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8642" w14:textId="77777777" w:rsidR="00204505" w:rsidRPr="00AC7EF3" w:rsidRDefault="00204505" w:rsidP="00204505">
      <w:pPr>
        <w:tabs>
          <w:tab w:val="left" w:pos="6210"/>
          <w:tab w:val="left" w:pos="6300"/>
          <w:tab w:val="left" w:pos="6660"/>
          <w:tab w:val="left" w:pos="7020"/>
        </w:tabs>
        <w:jc w:val="both"/>
        <w:rPr>
          <w:sz w:val="22"/>
          <w:szCs w:val="22"/>
          <w:lang w:val="es-ES"/>
        </w:rPr>
      </w:pPr>
      <w:r w:rsidRPr="00AC7EF3">
        <w:rPr>
          <w:smallCaps/>
          <w:sz w:val="22"/>
          <w:szCs w:val="22"/>
          <w:lang w:val="es-ES"/>
        </w:rPr>
        <w:t>COMISIÓN DE ASUNTOS MIGRATORIOS</w:t>
      </w:r>
      <w:r w:rsidRPr="00AC7EF3">
        <w:rPr>
          <w:sz w:val="22"/>
          <w:szCs w:val="22"/>
          <w:lang w:val="es-ES"/>
        </w:rPr>
        <w:tab/>
      </w:r>
      <w:r w:rsidRPr="00AC7EF3">
        <w:rPr>
          <w:sz w:val="22"/>
          <w:szCs w:val="22"/>
          <w:lang w:val="es-ES"/>
        </w:rPr>
        <w:tab/>
        <w:t>OEA/Ser.W</w:t>
      </w:r>
    </w:p>
    <w:p w14:paraId="5AD457E2" w14:textId="10A2E4CC" w:rsidR="00204505" w:rsidRPr="00AC7EF3" w:rsidRDefault="00204505" w:rsidP="00204505">
      <w:pPr>
        <w:tabs>
          <w:tab w:val="left" w:pos="6300"/>
          <w:tab w:val="left" w:pos="6660"/>
          <w:tab w:val="left" w:pos="7020"/>
        </w:tabs>
        <w:jc w:val="both"/>
        <w:rPr>
          <w:sz w:val="22"/>
          <w:szCs w:val="22"/>
          <w:lang w:val="es-US"/>
        </w:rPr>
      </w:pPr>
      <w:r w:rsidRPr="00AC7EF3">
        <w:rPr>
          <w:sz w:val="22"/>
          <w:szCs w:val="22"/>
          <w:lang w:val="es-ES"/>
        </w:rPr>
        <w:tab/>
      </w:r>
      <w:r w:rsidRPr="00AC7EF3">
        <w:rPr>
          <w:sz w:val="22"/>
          <w:szCs w:val="22"/>
          <w:lang w:val="es-US"/>
        </w:rPr>
        <w:t>CIDI/CAM/doc.</w:t>
      </w:r>
      <w:r w:rsidR="00AC7EF3" w:rsidRPr="00AC7EF3">
        <w:rPr>
          <w:sz w:val="22"/>
          <w:szCs w:val="22"/>
          <w:lang w:val="es-US"/>
        </w:rPr>
        <w:t>11</w:t>
      </w:r>
      <w:r w:rsidR="00475362">
        <w:rPr>
          <w:sz w:val="22"/>
          <w:szCs w:val="22"/>
          <w:lang w:val="es-US"/>
        </w:rPr>
        <w:t>4</w:t>
      </w:r>
      <w:r w:rsidRPr="00AC7EF3">
        <w:rPr>
          <w:sz w:val="22"/>
          <w:szCs w:val="22"/>
          <w:lang w:val="es-US"/>
        </w:rPr>
        <w:t>/2</w:t>
      </w:r>
      <w:r w:rsidR="00AC7EF3" w:rsidRPr="00AC7EF3">
        <w:rPr>
          <w:sz w:val="22"/>
          <w:szCs w:val="22"/>
          <w:lang w:val="es-US"/>
        </w:rPr>
        <w:t>2</w:t>
      </w:r>
    </w:p>
    <w:p w14:paraId="1F3C6500" w14:textId="11E4DF54" w:rsidR="00204505" w:rsidRPr="00AC7EF3" w:rsidRDefault="00204505" w:rsidP="00204505">
      <w:pPr>
        <w:tabs>
          <w:tab w:val="left" w:pos="6210"/>
          <w:tab w:val="left" w:pos="6300"/>
          <w:tab w:val="left" w:pos="6390"/>
          <w:tab w:val="left" w:pos="6480"/>
          <w:tab w:val="left" w:pos="6660"/>
          <w:tab w:val="left" w:pos="7020"/>
        </w:tabs>
        <w:jc w:val="both"/>
        <w:rPr>
          <w:sz w:val="22"/>
          <w:szCs w:val="22"/>
          <w:lang w:val="es-US"/>
        </w:rPr>
      </w:pPr>
      <w:r w:rsidRPr="00AC7EF3">
        <w:rPr>
          <w:smallCaps/>
          <w:sz w:val="22"/>
          <w:szCs w:val="22"/>
          <w:lang w:val="es-US"/>
        </w:rPr>
        <w:tab/>
      </w:r>
      <w:r w:rsidR="00DC4C7A">
        <w:rPr>
          <w:smallCaps/>
          <w:sz w:val="22"/>
          <w:szCs w:val="22"/>
          <w:lang w:val="es-US"/>
        </w:rPr>
        <w:t xml:space="preserve">  6</w:t>
      </w:r>
      <w:r w:rsidR="00856F72" w:rsidRPr="00AC7EF3">
        <w:rPr>
          <w:sz w:val="22"/>
          <w:szCs w:val="22"/>
          <w:lang w:val="es-US"/>
        </w:rPr>
        <w:t xml:space="preserve"> </w:t>
      </w:r>
      <w:r w:rsidR="004A48D8" w:rsidRPr="00AC7EF3">
        <w:rPr>
          <w:sz w:val="22"/>
          <w:szCs w:val="22"/>
          <w:lang w:val="es-US"/>
        </w:rPr>
        <w:t>ju</w:t>
      </w:r>
      <w:r w:rsidR="00DC4C7A">
        <w:rPr>
          <w:sz w:val="22"/>
          <w:szCs w:val="22"/>
          <w:lang w:val="es-US"/>
        </w:rPr>
        <w:t>l</w:t>
      </w:r>
      <w:r w:rsidR="004A48D8" w:rsidRPr="00AC7EF3">
        <w:rPr>
          <w:sz w:val="22"/>
          <w:szCs w:val="22"/>
          <w:lang w:val="es-US"/>
        </w:rPr>
        <w:t>io</w:t>
      </w:r>
      <w:r w:rsidRPr="00AC7EF3">
        <w:rPr>
          <w:sz w:val="22"/>
          <w:szCs w:val="22"/>
          <w:lang w:val="es-US"/>
        </w:rPr>
        <w:t xml:space="preserve"> 202</w:t>
      </w:r>
      <w:r w:rsidR="00856F72" w:rsidRPr="00AC7EF3">
        <w:rPr>
          <w:sz w:val="22"/>
          <w:szCs w:val="22"/>
          <w:lang w:val="es-US"/>
        </w:rPr>
        <w:t>2</w:t>
      </w:r>
    </w:p>
    <w:p w14:paraId="6AFB7A0E" w14:textId="77777777" w:rsidR="00204505" w:rsidRPr="00AC7EF3" w:rsidRDefault="00204505" w:rsidP="00204505">
      <w:pPr>
        <w:tabs>
          <w:tab w:val="left" w:pos="6120"/>
          <w:tab w:val="left" w:pos="6300"/>
          <w:tab w:val="left" w:pos="6660"/>
          <w:tab w:val="left" w:pos="7020"/>
        </w:tabs>
        <w:jc w:val="both"/>
        <w:rPr>
          <w:sz w:val="22"/>
          <w:szCs w:val="22"/>
          <w:lang w:val="es-ES"/>
        </w:rPr>
      </w:pPr>
      <w:r w:rsidRPr="00AC7EF3">
        <w:rPr>
          <w:sz w:val="22"/>
          <w:szCs w:val="22"/>
          <w:lang w:val="es-US"/>
        </w:rPr>
        <w:tab/>
      </w:r>
      <w:r w:rsidRPr="00AC7EF3">
        <w:rPr>
          <w:sz w:val="22"/>
          <w:szCs w:val="22"/>
          <w:lang w:val="es-US"/>
        </w:rPr>
        <w:tab/>
      </w:r>
      <w:r w:rsidRPr="00AC7EF3">
        <w:rPr>
          <w:sz w:val="22"/>
          <w:szCs w:val="22"/>
          <w:lang w:val="es-ES"/>
        </w:rPr>
        <w:t>Original: español</w:t>
      </w:r>
    </w:p>
    <w:p w14:paraId="4C8648BF" w14:textId="77777777" w:rsidR="00204505" w:rsidRPr="00AC7EF3" w:rsidRDefault="00204505" w:rsidP="00204505">
      <w:pPr>
        <w:pBdr>
          <w:bottom w:val="single" w:sz="12" w:space="1" w:color="auto"/>
        </w:pBdr>
        <w:tabs>
          <w:tab w:val="left" w:pos="6750"/>
        </w:tabs>
        <w:jc w:val="both"/>
        <w:rPr>
          <w:rFonts w:eastAsia="Calibri"/>
          <w:b/>
          <w:bCs/>
          <w:sz w:val="22"/>
          <w:szCs w:val="22"/>
          <w:lang w:val="es-ES"/>
        </w:rPr>
      </w:pPr>
    </w:p>
    <w:p w14:paraId="56A1A353" w14:textId="77777777" w:rsidR="00204505" w:rsidRPr="00AC7EF3" w:rsidRDefault="00204505" w:rsidP="00204505">
      <w:pPr>
        <w:jc w:val="both"/>
        <w:rPr>
          <w:rFonts w:eastAsia="Calibri"/>
          <w:sz w:val="22"/>
          <w:szCs w:val="22"/>
          <w:lang w:val="es-EC"/>
        </w:rPr>
      </w:pPr>
    </w:p>
    <w:p w14:paraId="684D30A5" w14:textId="7F80824D" w:rsidR="00391A8F" w:rsidRPr="00AC7EF3" w:rsidRDefault="00391A8F">
      <w:pPr>
        <w:rPr>
          <w:sz w:val="22"/>
          <w:szCs w:val="22"/>
          <w:lang w:val="es-EC"/>
        </w:rPr>
      </w:pPr>
    </w:p>
    <w:p w14:paraId="1E320463" w14:textId="3A154E6B" w:rsidR="00204505" w:rsidRPr="00AC7EF3" w:rsidRDefault="00204505" w:rsidP="00204505">
      <w:pPr>
        <w:jc w:val="center"/>
        <w:rPr>
          <w:rFonts w:eastAsia="Calibri"/>
          <w:noProof/>
          <w:sz w:val="22"/>
          <w:szCs w:val="22"/>
          <w:lang w:val="es-EC"/>
        </w:rPr>
      </w:pPr>
      <w:r w:rsidRPr="00AC7EF3">
        <w:rPr>
          <w:rFonts w:eastAsia="Calibri"/>
          <w:sz w:val="22"/>
          <w:szCs w:val="22"/>
          <w:lang w:val="es-EC"/>
        </w:rPr>
        <w:t>NOTA CONCEPTUAL</w:t>
      </w:r>
    </w:p>
    <w:p w14:paraId="7FDF1CD5" w14:textId="77777777" w:rsidR="00204505" w:rsidRPr="00AC7EF3" w:rsidRDefault="00204505" w:rsidP="00204505">
      <w:pPr>
        <w:jc w:val="center"/>
        <w:rPr>
          <w:rFonts w:eastAsia="Calibri"/>
          <w:noProof/>
          <w:sz w:val="22"/>
          <w:szCs w:val="22"/>
          <w:lang w:val="es-EC"/>
        </w:rPr>
      </w:pPr>
    </w:p>
    <w:p w14:paraId="2D621389" w14:textId="77777777" w:rsidR="00204505" w:rsidRPr="00AC7EF3" w:rsidRDefault="00204505" w:rsidP="00204505">
      <w:pPr>
        <w:jc w:val="center"/>
        <w:rPr>
          <w:rFonts w:eastAsia="Calibri"/>
          <w:noProof/>
          <w:sz w:val="22"/>
          <w:szCs w:val="22"/>
          <w:lang w:val="es-EC"/>
        </w:rPr>
      </w:pPr>
    </w:p>
    <w:p w14:paraId="269447DC" w14:textId="3B63B93F" w:rsidR="00204505" w:rsidRPr="00AC7EF3" w:rsidRDefault="00204505" w:rsidP="00204505">
      <w:pPr>
        <w:jc w:val="center"/>
        <w:rPr>
          <w:rFonts w:eastAsia="Calibri"/>
          <w:sz w:val="22"/>
          <w:szCs w:val="22"/>
          <w:lang w:val="es-EC"/>
        </w:rPr>
      </w:pPr>
      <w:r w:rsidRPr="00AC7EF3">
        <w:rPr>
          <w:rFonts w:eastAsia="Calibri"/>
          <w:sz w:val="22"/>
          <w:szCs w:val="22"/>
          <w:lang w:val="es-EC"/>
        </w:rPr>
        <w:t>SESION TEMÁTICA</w:t>
      </w:r>
    </w:p>
    <w:p w14:paraId="189AB99F" w14:textId="51CF6CAD" w:rsidR="00F5161A" w:rsidRDefault="00FA19F6" w:rsidP="004A48D8">
      <w:pPr>
        <w:jc w:val="center"/>
        <w:rPr>
          <w:sz w:val="22"/>
          <w:szCs w:val="22"/>
          <w:lang w:val="es-CL"/>
        </w:rPr>
      </w:pPr>
      <w:r w:rsidRPr="00FA19F6">
        <w:rPr>
          <w:sz w:val="22"/>
          <w:szCs w:val="22"/>
          <w:lang w:val="es-CL"/>
        </w:rPr>
        <w:t>“PREVENCIÓN DEL RACISMO, LA XENOFOBIA Y LA DISCRIMINACIÓN INTERSECCIONAL EN CONTRA DE PERSONAS MIGRANTES</w:t>
      </w:r>
      <w:r w:rsidR="00DC4C7A" w:rsidRPr="00FA19F6">
        <w:rPr>
          <w:sz w:val="22"/>
          <w:szCs w:val="22"/>
          <w:lang w:val="es-CL"/>
        </w:rPr>
        <w:t>”.</w:t>
      </w:r>
      <w:r w:rsidR="00DC4C7A">
        <w:rPr>
          <w:sz w:val="22"/>
          <w:szCs w:val="22"/>
          <w:lang w:val="es-CL"/>
        </w:rPr>
        <w:t xml:space="preserve"> Y</w:t>
      </w:r>
    </w:p>
    <w:p w14:paraId="1141D972" w14:textId="1BF7AE0A" w:rsidR="00204505" w:rsidRPr="00AC7EF3" w:rsidRDefault="00FA19F6" w:rsidP="00204505">
      <w:pPr>
        <w:jc w:val="center"/>
        <w:rPr>
          <w:sz w:val="22"/>
          <w:szCs w:val="22"/>
          <w:lang w:val="es-CL"/>
        </w:rPr>
      </w:pPr>
      <w:r w:rsidRPr="00FA19F6">
        <w:rPr>
          <w:sz w:val="22"/>
          <w:szCs w:val="22"/>
          <w:lang w:val="es-CL"/>
        </w:rPr>
        <w:t>“REGULARIZACIÓN Y CANALES REGULARES PARA LA ADMISIÓN Y ESTANCIA DE PERSONAS MIGRANTES”</w:t>
      </w:r>
    </w:p>
    <w:p w14:paraId="0EF8E509" w14:textId="77777777" w:rsidR="003A462E" w:rsidRPr="00AC7EF3" w:rsidRDefault="003A462E" w:rsidP="00204505">
      <w:pPr>
        <w:jc w:val="center"/>
        <w:rPr>
          <w:sz w:val="22"/>
          <w:szCs w:val="22"/>
          <w:lang w:val="es-CL"/>
        </w:rPr>
      </w:pPr>
    </w:p>
    <w:p w14:paraId="263F9307" w14:textId="14412400" w:rsidR="00204505" w:rsidRPr="00AC7EF3" w:rsidRDefault="00204505" w:rsidP="00204505">
      <w:pPr>
        <w:jc w:val="center"/>
        <w:rPr>
          <w:sz w:val="22"/>
          <w:szCs w:val="22"/>
          <w:lang w:val="es-CL"/>
        </w:rPr>
      </w:pPr>
      <w:r w:rsidRPr="00AC7EF3">
        <w:rPr>
          <w:sz w:val="22"/>
          <w:szCs w:val="22"/>
          <w:lang w:val="es-CL"/>
        </w:rPr>
        <w:t>(</w:t>
      </w:r>
      <w:r w:rsidR="00FA19F6">
        <w:rPr>
          <w:sz w:val="22"/>
          <w:szCs w:val="22"/>
          <w:lang w:val="es-CL"/>
        </w:rPr>
        <w:t>14</w:t>
      </w:r>
      <w:r w:rsidR="00856F72" w:rsidRPr="00AC7EF3">
        <w:rPr>
          <w:sz w:val="22"/>
          <w:szCs w:val="22"/>
          <w:lang w:val="es-CL"/>
        </w:rPr>
        <w:t xml:space="preserve"> de </w:t>
      </w:r>
      <w:r w:rsidR="00FA19F6">
        <w:rPr>
          <w:sz w:val="22"/>
          <w:szCs w:val="22"/>
          <w:lang w:val="es-CL"/>
        </w:rPr>
        <w:t>julio</w:t>
      </w:r>
      <w:r w:rsidR="003A462E" w:rsidRPr="00AC7EF3">
        <w:rPr>
          <w:sz w:val="22"/>
          <w:szCs w:val="22"/>
          <w:lang w:val="es-CL"/>
        </w:rPr>
        <w:t xml:space="preserve"> </w:t>
      </w:r>
      <w:r w:rsidRPr="00AC7EF3">
        <w:rPr>
          <w:sz w:val="22"/>
          <w:szCs w:val="22"/>
          <w:lang w:val="es-CL"/>
        </w:rPr>
        <w:t>de 202</w:t>
      </w:r>
      <w:r w:rsidR="00856F72" w:rsidRPr="00AC7EF3">
        <w:rPr>
          <w:sz w:val="22"/>
          <w:szCs w:val="22"/>
          <w:lang w:val="es-CL"/>
        </w:rPr>
        <w:t>2</w:t>
      </w:r>
      <w:r w:rsidRPr="00AC7EF3">
        <w:rPr>
          <w:sz w:val="22"/>
          <w:szCs w:val="22"/>
          <w:lang w:val="es-CL"/>
        </w:rPr>
        <w:t>)</w:t>
      </w:r>
    </w:p>
    <w:p w14:paraId="6FF83840" w14:textId="77777777" w:rsidR="00204505" w:rsidRPr="00AC7EF3" w:rsidRDefault="00204505" w:rsidP="00204505">
      <w:pPr>
        <w:jc w:val="center"/>
        <w:rPr>
          <w:sz w:val="22"/>
          <w:szCs w:val="22"/>
          <w:lang w:val="es-CL"/>
        </w:rPr>
      </w:pPr>
    </w:p>
    <w:p w14:paraId="0013C3BB" w14:textId="1A92C50A" w:rsidR="00204505" w:rsidRPr="00AC7EF3" w:rsidRDefault="00204505" w:rsidP="00204505">
      <w:pPr>
        <w:jc w:val="center"/>
        <w:rPr>
          <w:sz w:val="22"/>
          <w:szCs w:val="22"/>
          <w:lang w:val="es-CL"/>
        </w:rPr>
      </w:pPr>
      <w:r w:rsidRPr="00AC7EF3">
        <w:rPr>
          <w:sz w:val="22"/>
          <w:szCs w:val="22"/>
          <w:lang w:val="es-CL"/>
        </w:rPr>
        <w:t>(Preparada por la Presidencia de la CAM con el apoyo de la Secretaría Técnica)</w:t>
      </w:r>
    </w:p>
    <w:p w14:paraId="0B9DE096" w14:textId="42BD86B3" w:rsidR="004A48D8" w:rsidRPr="00AC7EF3" w:rsidRDefault="004A48D8" w:rsidP="00204505">
      <w:pPr>
        <w:jc w:val="center"/>
        <w:rPr>
          <w:sz w:val="22"/>
          <w:szCs w:val="22"/>
          <w:lang w:val="es-CL"/>
        </w:rPr>
      </w:pPr>
    </w:p>
    <w:p w14:paraId="7BE5614F" w14:textId="29D2FD33" w:rsidR="004A48D8" w:rsidRPr="00AC7EF3" w:rsidRDefault="004A48D8" w:rsidP="00204505">
      <w:pPr>
        <w:jc w:val="center"/>
        <w:rPr>
          <w:sz w:val="22"/>
          <w:szCs w:val="22"/>
          <w:lang w:val="es-CL"/>
        </w:rPr>
      </w:pPr>
    </w:p>
    <w:p w14:paraId="1E485DC7" w14:textId="47B910B0" w:rsidR="004A48D8" w:rsidRPr="00AC7EF3" w:rsidRDefault="004A48D8" w:rsidP="004A48D8">
      <w:pPr>
        <w:pStyle w:val="ListParagraph"/>
        <w:numPr>
          <w:ilvl w:val="0"/>
          <w:numId w:val="2"/>
        </w:numPr>
        <w:jc w:val="center"/>
        <w:rPr>
          <w:sz w:val="22"/>
          <w:szCs w:val="22"/>
          <w:lang w:val="es-CL"/>
        </w:rPr>
      </w:pPr>
      <w:r w:rsidRPr="00AC7EF3">
        <w:rPr>
          <w:sz w:val="22"/>
          <w:szCs w:val="22"/>
          <w:lang w:val="es-CL"/>
        </w:rPr>
        <w:t>“</w:t>
      </w:r>
      <w:r w:rsidR="00EF4F42" w:rsidRPr="00FA19F6">
        <w:rPr>
          <w:sz w:val="22"/>
          <w:szCs w:val="22"/>
          <w:lang w:val="es-CL"/>
        </w:rPr>
        <w:t>PREVENCIÓN DEL RACISMO, LA XENOFOBIA Y LA DISCRIMINACIÓN INTERSECCIONAL EN CONTRA DE PERSONAS MIGRANTES</w:t>
      </w:r>
      <w:r w:rsidRPr="00AC7EF3">
        <w:rPr>
          <w:sz w:val="22"/>
          <w:szCs w:val="22"/>
          <w:lang w:val="es-CL"/>
        </w:rPr>
        <w:t>”</w:t>
      </w:r>
    </w:p>
    <w:p w14:paraId="199383B8" w14:textId="4B30EA0F" w:rsidR="007F271F" w:rsidRPr="00AC7EF3" w:rsidRDefault="007F271F" w:rsidP="00856F72">
      <w:pPr>
        <w:rPr>
          <w:sz w:val="22"/>
          <w:szCs w:val="22"/>
          <w:lang w:val="es-EC"/>
        </w:rPr>
      </w:pPr>
    </w:p>
    <w:p w14:paraId="1C52AC68" w14:textId="456B7F07" w:rsidR="002D2FD9" w:rsidRPr="002D2FD9" w:rsidRDefault="002D2FD9" w:rsidP="00307499">
      <w:pPr>
        <w:ind w:firstLine="720"/>
        <w:jc w:val="both"/>
        <w:rPr>
          <w:sz w:val="22"/>
          <w:szCs w:val="22"/>
          <w:lang w:val="es-EC"/>
        </w:rPr>
      </w:pPr>
      <w:r w:rsidRPr="002D2FD9">
        <w:rPr>
          <w:sz w:val="22"/>
          <w:szCs w:val="22"/>
          <w:lang w:val="es-EC"/>
        </w:rPr>
        <w:t>La creciente diversidad étnica y racial de l</w:t>
      </w:r>
      <w:r w:rsidR="00B36FAA">
        <w:rPr>
          <w:sz w:val="22"/>
          <w:szCs w:val="22"/>
          <w:lang w:val="es-EC"/>
        </w:rPr>
        <w:t>os países de las Américas</w:t>
      </w:r>
      <w:r w:rsidRPr="002D2FD9">
        <w:rPr>
          <w:sz w:val="22"/>
          <w:szCs w:val="22"/>
          <w:lang w:val="es-EC"/>
        </w:rPr>
        <w:t xml:space="preserve"> es</w:t>
      </w:r>
      <w:r w:rsidR="00B36FAA">
        <w:rPr>
          <w:sz w:val="22"/>
          <w:szCs w:val="22"/>
          <w:lang w:val="es-EC"/>
        </w:rPr>
        <w:t>tá relacionada con</w:t>
      </w:r>
      <w:r w:rsidRPr="002D2FD9">
        <w:rPr>
          <w:sz w:val="22"/>
          <w:szCs w:val="22"/>
          <w:lang w:val="es-EC"/>
        </w:rPr>
        <w:t xml:space="preserve"> la</w:t>
      </w:r>
      <w:r w:rsidR="00B36FAA">
        <w:rPr>
          <w:sz w:val="22"/>
          <w:szCs w:val="22"/>
          <w:lang w:val="es-EC"/>
        </w:rPr>
        <w:t>s</w:t>
      </w:r>
      <w:r w:rsidRPr="002D2FD9">
        <w:rPr>
          <w:sz w:val="22"/>
          <w:szCs w:val="22"/>
          <w:lang w:val="es-EC"/>
        </w:rPr>
        <w:t xml:space="preserve"> </w:t>
      </w:r>
      <w:r w:rsidR="00B36FAA">
        <w:rPr>
          <w:sz w:val="22"/>
          <w:szCs w:val="22"/>
          <w:lang w:val="es-EC"/>
        </w:rPr>
        <w:t>dinámicas migratorias que se evidencian en la región</w:t>
      </w:r>
      <w:r w:rsidRPr="002D2FD9">
        <w:rPr>
          <w:sz w:val="22"/>
          <w:szCs w:val="22"/>
          <w:lang w:val="es-EC"/>
        </w:rPr>
        <w:t xml:space="preserve">. El aumento </w:t>
      </w:r>
      <w:r w:rsidR="00B36FAA">
        <w:rPr>
          <w:sz w:val="22"/>
          <w:szCs w:val="22"/>
          <w:lang w:val="es-EC"/>
        </w:rPr>
        <w:t xml:space="preserve">progresivo </w:t>
      </w:r>
      <w:r w:rsidRPr="002D2FD9">
        <w:rPr>
          <w:sz w:val="22"/>
          <w:szCs w:val="22"/>
          <w:lang w:val="es-EC"/>
        </w:rPr>
        <w:t xml:space="preserve">de la migración </w:t>
      </w:r>
      <w:r w:rsidR="00B36FAA">
        <w:rPr>
          <w:sz w:val="22"/>
          <w:szCs w:val="22"/>
          <w:lang w:val="es-EC"/>
        </w:rPr>
        <w:t xml:space="preserve">ha implicado </w:t>
      </w:r>
      <w:r w:rsidRPr="002D2FD9">
        <w:rPr>
          <w:sz w:val="22"/>
          <w:szCs w:val="22"/>
          <w:lang w:val="es-EC"/>
        </w:rPr>
        <w:t xml:space="preserve">que un número creciente de Estados se han convertido </w:t>
      </w:r>
      <w:r w:rsidR="00307499">
        <w:rPr>
          <w:sz w:val="22"/>
          <w:szCs w:val="22"/>
          <w:lang w:val="es-EC"/>
        </w:rPr>
        <w:t>en sociedades</w:t>
      </w:r>
      <w:r w:rsidRPr="002D2FD9">
        <w:rPr>
          <w:sz w:val="22"/>
          <w:szCs w:val="22"/>
          <w:lang w:val="es-EC"/>
        </w:rPr>
        <w:t xml:space="preserve"> multiétnic</w:t>
      </w:r>
      <w:r w:rsidR="00307499">
        <w:rPr>
          <w:sz w:val="22"/>
          <w:szCs w:val="22"/>
          <w:lang w:val="es-EC"/>
        </w:rPr>
        <w:t>a</w:t>
      </w:r>
      <w:r w:rsidRPr="002D2FD9">
        <w:rPr>
          <w:sz w:val="22"/>
          <w:szCs w:val="22"/>
          <w:lang w:val="es-EC"/>
        </w:rPr>
        <w:t xml:space="preserve">s, y se enfrentan al reto de acoger a personas de diferentes culturas, razas, religiones e idiomas. Abordar la realidad de la creciente diversidad significa encontrar mecanismos políticos, legales, sociales y económicos para garantizar el respeto mutuo y mediar en las relaciones por encima de las diferencias. </w:t>
      </w:r>
      <w:r w:rsidR="00307499">
        <w:rPr>
          <w:sz w:val="22"/>
          <w:szCs w:val="22"/>
          <w:lang w:val="es-EC"/>
        </w:rPr>
        <w:t>Sin embargo,</w:t>
      </w:r>
      <w:r w:rsidRPr="002D2FD9">
        <w:rPr>
          <w:sz w:val="22"/>
          <w:szCs w:val="22"/>
          <w:lang w:val="es-EC"/>
        </w:rPr>
        <w:t xml:space="preserve"> la xenofobia</w:t>
      </w:r>
      <w:r w:rsidR="00307499">
        <w:rPr>
          <w:sz w:val="22"/>
          <w:szCs w:val="22"/>
          <w:lang w:val="es-EC"/>
        </w:rPr>
        <w:t>,</w:t>
      </w:r>
      <w:r w:rsidRPr="002D2FD9">
        <w:rPr>
          <w:sz w:val="22"/>
          <w:szCs w:val="22"/>
          <w:lang w:val="es-EC"/>
        </w:rPr>
        <w:t xml:space="preserve"> el racismo </w:t>
      </w:r>
      <w:r w:rsidR="00307499">
        <w:rPr>
          <w:sz w:val="22"/>
          <w:szCs w:val="22"/>
          <w:lang w:val="es-EC"/>
        </w:rPr>
        <w:t xml:space="preserve">y otras </w:t>
      </w:r>
      <w:r w:rsidR="00B36FAA">
        <w:rPr>
          <w:sz w:val="22"/>
          <w:szCs w:val="22"/>
          <w:lang w:val="es-EC"/>
        </w:rPr>
        <w:t>formas</w:t>
      </w:r>
      <w:r w:rsidR="00307499">
        <w:rPr>
          <w:sz w:val="22"/>
          <w:szCs w:val="22"/>
          <w:lang w:val="es-EC"/>
        </w:rPr>
        <w:t xml:space="preserve"> conexas de intolerancia </w:t>
      </w:r>
      <w:r w:rsidRPr="002D2FD9">
        <w:rPr>
          <w:sz w:val="22"/>
          <w:szCs w:val="22"/>
          <w:lang w:val="es-EC"/>
        </w:rPr>
        <w:t xml:space="preserve">se han manifestado en algunas sociedades que han recibido un número considerable de </w:t>
      </w:r>
      <w:r w:rsidR="00307499">
        <w:rPr>
          <w:sz w:val="22"/>
          <w:szCs w:val="22"/>
          <w:lang w:val="es-EC"/>
        </w:rPr>
        <w:t>personas migrantes y refugiad</w:t>
      </w:r>
      <w:r w:rsidR="00161720">
        <w:rPr>
          <w:sz w:val="22"/>
          <w:szCs w:val="22"/>
          <w:lang w:val="es-EC"/>
        </w:rPr>
        <w:t>a</w:t>
      </w:r>
      <w:r w:rsidR="00307499">
        <w:rPr>
          <w:sz w:val="22"/>
          <w:szCs w:val="22"/>
          <w:lang w:val="es-EC"/>
        </w:rPr>
        <w:t>s.</w:t>
      </w:r>
      <w:r w:rsidR="00307499">
        <w:rPr>
          <w:rStyle w:val="FootnoteReference"/>
          <w:sz w:val="22"/>
          <w:szCs w:val="22"/>
          <w:lang w:val="es-EC"/>
        </w:rPr>
        <w:footnoteReference w:id="1"/>
      </w:r>
    </w:p>
    <w:p w14:paraId="14755B0B" w14:textId="77777777" w:rsidR="005574F0" w:rsidRDefault="005574F0" w:rsidP="00CF7A28">
      <w:pPr>
        <w:jc w:val="both"/>
        <w:rPr>
          <w:sz w:val="22"/>
          <w:szCs w:val="22"/>
          <w:lang w:val="es-EC"/>
        </w:rPr>
      </w:pPr>
    </w:p>
    <w:p w14:paraId="68B3DEFC" w14:textId="506AECF5" w:rsidR="005574F0" w:rsidRDefault="005574F0" w:rsidP="005574F0">
      <w:pPr>
        <w:ind w:firstLine="720"/>
        <w:jc w:val="both"/>
        <w:rPr>
          <w:sz w:val="22"/>
          <w:szCs w:val="22"/>
          <w:lang w:val="es-419"/>
        </w:rPr>
      </w:pPr>
      <w:r w:rsidRPr="008077F8">
        <w:rPr>
          <w:sz w:val="22"/>
          <w:szCs w:val="22"/>
          <w:lang w:val="es-EC"/>
        </w:rPr>
        <w:t xml:space="preserve">La Convención Interamericana contra el Racismo, la Discriminación Racial y Formas Conexas de Intolerancia, define al racismo como “cualquier teoría, doctrina, ideología o conjunto de ideas que enuncian un vínculo causal </w:t>
      </w:r>
      <w:r w:rsidRPr="008077F8">
        <w:rPr>
          <w:sz w:val="22"/>
          <w:szCs w:val="22"/>
          <w:lang w:val="es-419"/>
        </w:rPr>
        <w:t>entre las características fenotípicas o genotípicas de individuos o</w:t>
      </w:r>
      <w:r w:rsidRPr="008077F8">
        <w:rPr>
          <w:sz w:val="22"/>
          <w:szCs w:val="22"/>
          <w:lang w:val="es-EC"/>
        </w:rPr>
        <w:t xml:space="preserve"> grupos y sus rasgos intelectuales, culturales y de personalidad, incluido el falso concepto de la superioridad racial». Por otro lado, se define a la xenofobia como </w:t>
      </w:r>
      <w:r w:rsidRPr="008077F8">
        <w:rPr>
          <w:sz w:val="22"/>
          <w:szCs w:val="22"/>
          <w:lang w:val="es-419"/>
        </w:rPr>
        <w:t xml:space="preserve">un comportamiento que “implica una discriminación en </w:t>
      </w:r>
      <w:r w:rsidRPr="001B578D">
        <w:rPr>
          <w:sz w:val="22"/>
          <w:szCs w:val="22"/>
          <w:lang w:val="es-419"/>
        </w:rPr>
        <w:t xml:space="preserve">función de </w:t>
      </w:r>
      <w:r w:rsidRPr="008077F8">
        <w:rPr>
          <w:sz w:val="22"/>
          <w:szCs w:val="22"/>
          <w:lang w:val="es-419"/>
        </w:rPr>
        <w:t>la percepción del otro como extranjero u originario de fuera de una comunidad o una nación”</w:t>
      </w:r>
      <w:r w:rsidRPr="008077F8">
        <w:rPr>
          <w:rStyle w:val="FootnoteReference"/>
          <w:sz w:val="22"/>
          <w:szCs w:val="22"/>
          <w:lang w:val="es-419"/>
        </w:rPr>
        <w:footnoteReference w:id="2"/>
      </w:r>
      <w:r w:rsidRPr="008077F8">
        <w:rPr>
          <w:sz w:val="22"/>
          <w:szCs w:val="22"/>
          <w:lang w:val="es-419"/>
        </w:rPr>
        <w:t xml:space="preserve"> </w:t>
      </w:r>
    </w:p>
    <w:p w14:paraId="5D7D8154" w14:textId="77777777" w:rsidR="005574F0" w:rsidRPr="008077F8" w:rsidRDefault="005574F0" w:rsidP="005574F0">
      <w:pPr>
        <w:ind w:firstLine="720"/>
        <w:jc w:val="both"/>
        <w:rPr>
          <w:sz w:val="22"/>
          <w:szCs w:val="22"/>
          <w:lang w:val="es-419"/>
        </w:rPr>
      </w:pPr>
    </w:p>
    <w:p w14:paraId="7F725332" w14:textId="55B0D89F" w:rsidR="00164479" w:rsidRDefault="005574F0" w:rsidP="00307499">
      <w:pPr>
        <w:ind w:firstLine="720"/>
        <w:jc w:val="both"/>
        <w:rPr>
          <w:sz w:val="22"/>
          <w:szCs w:val="22"/>
          <w:lang w:val="es-EC"/>
        </w:rPr>
      </w:pPr>
      <w:r w:rsidRPr="005574F0">
        <w:rPr>
          <w:sz w:val="22"/>
          <w:szCs w:val="22"/>
          <w:lang w:val="es-EC"/>
        </w:rPr>
        <w:t>La discriminación y xenofobia son actos que deterioran la cohesión social, limitan el desarrollo socioeconómico y pueden resultar en violencia</w:t>
      </w:r>
      <w:r w:rsidR="002227ED" w:rsidRPr="008077F8">
        <w:rPr>
          <w:sz w:val="22"/>
          <w:szCs w:val="22"/>
          <w:lang w:val="es-EC"/>
        </w:rPr>
        <w:t xml:space="preserve">. </w:t>
      </w:r>
      <w:r w:rsidR="007629E6">
        <w:rPr>
          <w:sz w:val="22"/>
          <w:szCs w:val="22"/>
          <w:lang w:val="es-EC"/>
        </w:rPr>
        <w:t>Por ejemplo, durante</w:t>
      </w:r>
      <w:r w:rsidR="00164479">
        <w:rPr>
          <w:sz w:val="22"/>
          <w:szCs w:val="22"/>
          <w:lang w:val="es-EC"/>
        </w:rPr>
        <w:t xml:space="preserve"> el desarrollo de la pandemia de COVID-19, </w:t>
      </w:r>
      <w:r w:rsidR="007629E6">
        <w:rPr>
          <w:sz w:val="22"/>
          <w:szCs w:val="22"/>
          <w:lang w:val="es-EC"/>
        </w:rPr>
        <w:t>debido a la desinformación y los temores asociados al virus, e</w:t>
      </w:r>
      <w:r w:rsidR="007629E6" w:rsidRPr="007629E6">
        <w:rPr>
          <w:sz w:val="22"/>
          <w:szCs w:val="22"/>
          <w:lang w:val="es-EC"/>
        </w:rPr>
        <w:t xml:space="preserve">l odio y la discriminación </w:t>
      </w:r>
      <w:r w:rsidR="007629E6" w:rsidRPr="007629E6">
        <w:rPr>
          <w:sz w:val="22"/>
          <w:szCs w:val="22"/>
          <w:lang w:val="es-EC"/>
        </w:rPr>
        <w:lastRenderedPageBreak/>
        <w:t>contra l</w:t>
      </w:r>
      <w:r w:rsidR="007629E6">
        <w:rPr>
          <w:sz w:val="22"/>
          <w:szCs w:val="22"/>
          <w:lang w:val="es-EC"/>
        </w:rPr>
        <w:t>a</w:t>
      </w:r>
      <w:r w:rsidR="007629E6" w:rsidRPr="007629E6">
        <w:rPr>
          <w:sz w:val="22"/>
          <w:szCs w:val="22"/>
          <w:lang w:val="es-EC"/>
        </w:rPr>
        <w:t>s</w:t>
      </w:r>
      <w:r w:rsidR="007629E6">
        <w:rPr>
          <w:sz w:val="22"/>
          <w:szCs w:val="22"/>
          <w:lang w:val="es-EC"/>
        </w:rPr>
        <w:t xml:space="preserve"> personas</w:t>
      </w:r>
      <w:r w:rsidR="007629E6" w:rsidRPr="007629E6">
        <w:rPr>
          <w:sz w:val="22"/>
          <w:szCs w:val="22"/>
          <w:lang w:val="es-EC"/>
        </w:rPr>
        <w:t xml:space="preserve"> migrantes en muchos países del mundo se exacerba</w:t>
      </w:r>
      <w:r w:rsidR="007629E6">
        <w:rPr>
          <w:sz w:val="22"/>
          <w:szCs w:val="22"/>
          <w:lang w:val="es-EC"/>
        </w:rPr>
        <w:t xml:space="preserve">ron. De esta manera, </w:t>
      </w:r>
      <w:r w:rsidR="003B01DE">
        <w:rPr>
          <w:sz w:val="22"/>
          <w:szCs w:val="22"/>
          <w:lang w:val="es-EC"/>
        </w:rPr>
        <w:t>se adoptaron nombres alternativos para el COVID-19 haciendo referencias geográficas, se publicaron informes sensacionalistas que culpaban a determinadas comunidades de la propagación del virus, se presentaron ataques verbales y físico</w:t>
      </w:r>
      <w:r w:rsidR="00760E42">
        <w:rPr>
          <w:sz w:val="22"/>
          <w:szCs w:val="22"/>
          <w:lang w:val="es-EC"/>
        </w:rPr>
        <w:t>s, despidos arbitrarios o cierre de negocios basados en la nacionalidad de los propietarios, entre otros.</w:t>
      </w:r>
      <w:r w:rsidR="00720849">
        <w:rPr>
          <w:rStyle w:val="FootnoteReference"/>
          <w:sz w:val="22"/>
          <w:szCs w:val="22"/>
          <w:lang w:val="es-EC"/>
        </w:rPr>
        <w:footnoteReference w:id="3"/>
      </w:r>
      <w:r w:rsidR="00760E42">
        <w:rPr>
          <w:sz w:val="22"/>
          <w:szCs w:val="22"/>
          <w:lang w:val="es-EC"/>
        </w:rPr>
        <w:t xml:space="preserve"> </w:t>
      </w:r>
    </w:p>
    <w:p w14:paraId="1CC11877" w14:textId="77777777" w:rsidR="00164479" w:rsidRDefault="00164479" w:rsidP="00307499">
      <w:pPr>
        <w:ind w:firstLine="720"/>
        <w:jc w:val="both"/>
        <w:rPr>
          <w:sz w:val="22"/>
          <w:szCs w:val="22"/>
          <w:lang w:val="es-EC"/>
        </w:rPr>
      </w:pPr>
    </w:p>
    <w:p w14:paraId="7FBF1E7A" w14:textId="556253E1" w:rsidR="00B465BA" w:rsidRDefault="00B465BA" w:rsidP="00B465BA">
      <w:pPr>
        <w:ind w:firstLine="720"/>
        <w:jc w:val="both"/>
        <w:rPr>
          <w:sz w:val="22"/>
          <w:szCs w:val="22"/>
          <w:lang w:val="es-EC"/>
        </w:rPr>
      </w:pPr>
      <w:r>
        <w:rPr>
          <w:sz w:val="22"/>
          <w:szCs w:val="22"/>
          <w:lang w:val="es-EC"/>
        </w:rPr>
        <w:t>Asimismo</w:t>
      </w:r>
      <w:r w:rsidR="00307499">
        <w:rPr>
          <w:sz w:val="22"/>
          <w:szCs w:val="22"/>
          <w:lang w:val="es-EC"/>
        </w:rPr>
        <w:t>,</w:t>
      </w:r>
      <w:r w:rsidR="00164479">
        <w:rPr>
          <w:sz w:val="22"/>
          <w:szCs w:val="22"/>
          <w:lang w:val="es-EC"/>
        </w:rPr>
        <w:t xml:space="preserve"> de acuerdo con el ACNUR,</w:t>
      </w:r>
      <w:r w:rsidR="00307499">
        <w:rPr>
          <w:sz w:val="22"/>
          <w:szCs w:val="22"/>
          <w:lang w:val="es-EC"/>
        </w:rPr>
        <w:t xml:space="preserve"> </w:t>
      </w:r>
      <w:r w:rsidR="00BE4E09">
        <w:rPr>
          <w:sz w:val="22"/>
          <w:szCs w:val="22"/>
          <w:lang w:val="es-EC"/>
        </w:rPr>
        <w:t>e</w:t>
      </w:r>
      <w:r w:rsidR="00BE4E09" w:rsidRPr="00BE4E09">
        <w:rPr>
          <w:sz w:val="22"/>
          <w:szCs w:val="22"/>
          <w:lang w:val="es-EC"/>
        </w:rPr>
        <w:t>l racismo y la discriminación racial pueden afectar a las personas</w:t>
      </w:r>
      <w:r w:rsidR="00BE4E09">
        <w:rPr>
          <w:sz w:val="22"/>
          <w:szCs w:val="22"/>
          <w:lang w:val="es-EC"/>
        </w:rPr>
        <w:t xml:space="preserve"> </w:t>
      </w:r>
      <w:r w:rsidR="00BE4E09" w:rsidRPr="00BE4E09">
        <w:rPr>
          <w:sz w:val="22"/>
          <w:szCs w:val="22"/>
          <w:lang w:val="es-EC"/>
        </w:rPr>
        <w:t>refugiadas</w:t>
      </w:r>
      <w:r w:rsidR="00BE4E09">
        <w:rPr>
          <w:sz w:val="22"/>
          <w:szCs w:val="22"/>
          <w:lang w:val="es-EC"/>
        </w:rPr>
        <w:t xml:space="preserve"> y desplazadas</w:t>
      </w:r>
      <w:r w:rsidR="00BE4E09" w:rsidRPr="00BE4E09">
        <w:rPr>
          <w:sz w:val="22"/>
          <w:szCs w:val="22"/>
          <w:lang w:val="es-EC"/>
        </w:rPr>
        <w:t xml:space="preserve"> en todas las etapas del ciclo de desplazamiento, incluso como causa de</w:t>
      </w:r>
      <w:r w:rsidR="00BE4E09">
        <w:rPr>
          <w:sz w:val="22"/>
          <w:szCs w:val="22"/>
          <w:lang w:val="es-EC"/>
        </w:rPr>
        <w:t xml:space="preserve"> </w:t>
      </w:r>
      <w:r w:rsidR="00BE4E09" w:rsidRPr="00BE4E09">
        <w:rPr>
          <w:sz w:val="22"/>
          <w:szCs w:val="22"/>
          <w:lang w:val="es-EC"/>
        </w:rPr>
        <w:t>desplazamiento desde sus países de origen, en los países de tránsito, en los países de</w:t>
      </w:r>
      <w:r w:rsidR="00BE4E09">
        <w:rPr>
          <w:sz w:val="22"/>
          <w:szCs w:val="22"/>
          <w:lang w:val="es-EC"/>
        </w:rPr>
        <w:t xml:space="preserve"> </w:t>
      </w:r>
      <w:r w:rsidR="00BE4E09" w:rsidRPr="00BE4E09">
        <w:rPr>
          <w:sz w:val="22"/>
          <w:szCs w:val="22"/>
          <w:lang w:val="es-EC"/>
        </w:rPr>
        <w:t>acogida, así como en los casos en que las personas refugiadas buscan la repatriación</w:t>
      </w:r>
      <w:r w:rsidR="00BE4E09">
        <w:rPr>
          <w:sz w:val="22"/>
          <w:szCs w:val="22"/>
          <w:lang w:val="es-EC"/>
        </w:rPr>
        <w:t xml:space="preserve"> </w:t>
      </w:r>
      <w:r w:rsidR="00BE4E09" w:rsidRPr="00BE4E09">
        <w:rPr>
          <w:sz w:val="22"/>
          <w:szCs w:val="22"/>
          <w:lang w:val="es-EC"/>
        </w:rPr>
        <w:t>voluntaria y la reintegración en sus países de origen o en terceros países.</w:t>
      </w:r>
      <w:r w:rsidR="00D911B5">
        <w:rPr>
          <w:rStyle w:val="FootnoteReference"/>
          <w:sz w:val="22"/>
          <w:szCs w:val="22"/>
          <w:lang w:val="es-EC"/>
        </w:rPr>
        <w:footnoteReference w:id="4"/>
      </w:r>
      <w:r w:rsidRPr="00B465BA">
        <w:rPr>
          <w:sz w:val="22"/>
          <w:szCs w:val="22"/>
          <w:lang w:val="es-EC"/>
        </w:rPr>
        <w:t xml:space="preserve"> </w:t>
      </w:r>
    </w:p>
    <w:p w14:paraId="1EBA7CAB" w14:textId="6FECF9B1" w:rsidR="00744013" w:rsidRDefault="00744013" w:rsidP="00B465BA">
      <w:pPr>
        <w:ind w:firstLine="720"/>
        <w:jc w:val="both"/>
        <w:rPr>
          <w:sz w:val="22"/>
          <w:szCs w:val="22"/>
          <w:lang w:val="es-EC"/>
        </w:rPr>
      </w:pPr>
    </w:p>
    <w:p w14:paraId="7133E59F" w14:textId="64ABF2F5" w:rsidR="00744013" w:rsidRDefault="00744013" w:rsidP="00B465BA">
      <w:pPr>
        <w:ind w:firstLine="720"/>
        <w:jc w:val="both"/>
        <w:rPr>
          <w:sz w:val="22"/>
          <w:szCs w:val="22"/>
          <w:lang w:val="es-EC"/>
        </w:rPr>
      </w:pPr>
      <w:r>
        <w:rPr>
          <w:sz w:val="22"/>
          <w:szCs w:val="22"/>
          <w:lang w:val="es-EC"/>
        </w:rPr>
        <w:t>Adicionalmente, la discriminación contra personas migrantes</w:t>
      </w:r>
      <w:r w:rsidR="00B36FAA">
        <w:rPr>
          <w:sz w:val="22"/>
          <w:szCs w:val="22"/>
          <w:lang w:val="es-EC"/>
        </w:rPr>
        <w:t>, solicitantes de asilo y refugiadas</w:t>
      </w:r>
      <w:r>
        <w:rPr>
          <w:sz w:val="22"/>
          <w:szCs w:val="22"/>
          <w:lang w:val="es-EC"/>
        </w:rPr>
        <w:t xml:space="preserve"> puede </w:t>
      </w:r>
      <w:r w:rsidRPr="001B578D">
        <w:rPr>
          <w:sz w:val="22"/>
          <w:szCs w:val="22"/>
          <w:lang w:val="es-EC"/>
        </w:rPr>
        <w:t xml:space="preserve">aumentar la vulnerabilidad de ciertos grupos, no solo </w:t>
      </w:r>
      <w:r>
        <w:rPr>
          <w:sz w:val="22"/>
          <w:szCs w:val="22"/>
          <w:lang w:val="es-EC"/>
        </w:rPr>
        <w:t xml:space="preserve">por </w:t>
      </w:r>
      <w:r w:rsidRPr="001B578D">
        <w:rPr>
          <w:sz w:val="22"/>
          <w:szCs w:val="22"/>
          <w:lang w:val="es-EC"/>
        </w:rPr>
        <w:t xml:space="preserve">el aspecto racial, sino </w:t>
      </w:r>
      <w:r>
        <w:rPr>
          <w:sz w:val="22"/>
          <w:szCs w:val="22"/>
          <w:lang w:val="es-EC"/>
        </w:rPr>
        <w:t xml:space="preserve">también por </w:t>
      </w:r>
      <w:r w:rsidRPr="001B578D">
        <w:rPr>
          <w:sz w:val="22"/>
          <w:szCs w:val="22"/>
          <w:lang w:val="es-EC"/>
        </w:rPr>
        <w:t>el género, edad, orientación sexual, condición socio económica, discapacidad, entre otros.  Con respecto al género, la CEPAL reconoce una invisibilización de las mujeres y una ausencia de enfoque de género en el abordaje teórico de la problemática migratoria de las últimas décadas.</w:t>
      </w:r>
      <w:r w:rsidRPr="001B578D">
        <w:rPr>
          <w:rStyle w:val="FootnoteReference"/>
          <w:sz w:val="22"/>
          <w:szCs w:val="22"/>
          <w:lang w:val="es-EC"/>
        </w:rPr>
        <w:footnoteReference w:id="5"/>
      </w:r>
      <w:r w:rsidRPr="001B578D">
        <w:rPr>
          <w:sz w:val="22"/>
          <w:szCs w:val="22"/>
          <w:lang w:val="es-EC"/>
        </w:rPr>
        <w:t xml:space="preserve"> Sin embargo, </w:t>
      </w:r>
      <w:r>
        <w:rPr>
          <w:sz w:val="22"/>
          <w:szCs w:val="22"/>
          <w:lang w:val="es-EC"/>
        </w:rPr>
        <w:t>la evidencia</w:t>
      </w:r>
      <w:r w:rsidRPr="001B578D">
        <w:rPr>
          <w:sz w:val="22"/>
          <w:szCs w:val="22"/>
          <w:lang w:val="es-EC"/>
        </w:rPr>
        <w:t xml:space="preserve"> muestra una presencia predominante de mujeres en los </w:t>
      </w:r>
      <w:r>
        <w:rPr>
          <w:sz w:val="22"/>
          <w:szCs w:val="22"/>
          <w:lang w:val="es-EC"/>
        </w:rPr>
        <w:t>movimientos</w:t>
      </w:r>
      <w:r w:rsidRPr="001B578D">
        <w:rPr>
          <w:sz w:val="22"/>
          <w:szCs w:val="22"/>
          <w:lang w:val="es-EC"/>
        </w:rPr>
        <w:t xml:space="preserve"> migratorios</w:t>
      </w:r>
      <w:r w:rsidRPr="001B578D">
        <w:rPr>
          <w:rStyle w:val="FootnoteReference"/>
          <w:sz w:val="22"/>
          <w:szCs w:val="22"/>
          <w:lang w:val="es-EC"/>
        </w:rPr>
        <w:footnoteReference w:id="6"/>
      </w:r>
      <w:r w:rsidRPr="001B578D">
        <w:rPr>
          <w:sz w:val="22"/>
          <w:szCs w:val="22"/>
          <w:lang w:val="es-EC"/>
        </w:rPr>
        <w:t xml:space="preserve">, por esta razón el enfoque de género debe ser indispensable en el análisis de esta problemática. </w:t>
      </w:r>
    </w:p>
    <w:p w14:paraId="34BCD1F1" w14:textId="77777777" w:rsidR="00B465BA" w:rsidRDefault="00B465BA" w:rsidP="00307499">
      <w:pPr>
        <w:ind w:firstLine="720"/>
        <w:jc w:val="both"/>
        <w:rPr>
          <w:sz w:val="22"/>
          <w:szCs w:val="22"/>
          <w:lang w:val="es-EC"/>
        </w:rPr>
      </w:pPr>
    </w:p>
    <w:p w14:paraId="75E14106" w14:textId="1C504093" w:rsidR="00F230BA" w:rsidRPr="008077F8" w:rsidRDefault="00B465BA" w:rsidP="00161720">
      <w:pPr>
        <w:ind w:firstLine="720"/>
        <w:jc w:val="both"/>
        <w:rPr>
          <w:sz w:val="22"/>
          <w:szCs w:val="22"/>
          <w:lang w:val="es-EC"/>
        </w:rPr>
      </w:pPr>
      <w:r>
        <w:rPr>
          <w:sz w:val="22"/>
          <w:szCs w:val="22"/>
          <w:lang w:val="es-EC"/>
        </w:rPr>
        <w:t xml:space="preserve">Al respecto, se requiere fortalecer </w:t>
      </w:r>
      <w:r w:rsidRPr="001B578D">
        <w:rPr>
          <w:sz w:val="22"/>
          <w:szCs w:val="22"/>
          <w:lang w:val="es-EC"/>
        </w:rPr>
        <w:t xml:space="preserve">los marcos jurídicos de los gobiernos para definir jurídicamente al racismo y a la xenofobia, determinar y castigar los delitos racistas, reconocer formas de racismo especificas en la región, y fortalecer las capacidades de los gobiernos para hacer cumplir las normas internacionales en materia de racismo, xenofobia y otras formas de </w:t>
      </w:r>
      <w:r w:rsidR="00161720">
        <w:rPr>
          <w:sz w:val="22"/>
          <w:szCs w:val="22"/>
          <w:lang w:val="es-EC"/>
        </w:rPr>
        <w:t>in</w:t>
      </w:r>
      <w:r w:rsidRPr="001B578D">
        <w:rPr>
          <w:sz w:val="22"/>
          <w:szCs w:val="22"/>
          <w:lang w:val="es-EC"/>
        </w:rPr>
        <w:t>tolerancia</w:t>
      </w:r>
      <w:r>
        <w:rPr>
          <w:sz w:val="22"/>
          <w:szCs w:val="22"/>
          <w:lang w:val="es-EC"/>
        </w:rPr>
        <w:t>.</w:t>
      </w:r>
      <w:r w:rsidR="00744013" w:rsidRPr="00744013">
        <w:rPr>
          <w:rStyle w:val="FootnoteReference"/>
          <w:sz w:val="22"/>
          <w:szCs w:val="22"/>
          <w:lang w:val="es-EC"/>
        </w:rPr>
        <w:t xml:space="preserve"> </w:t>
      </w:r>
      <w:r w:rsidR="00744013" w:rsidRPr="001B578D">
        <w:rPr>
          <w:rStyle w:val="FootnoteReference"/>
          <w:sz w:val="22"/>
          <w:szCs w:val="22"/>
          <w:lang w:val="es-EC"/>
        </w:rPr>
        <w:footnoteReference w:id="7"/>
      </w:r>
      <w:r w:rsidR="00744013">
        <w:rPr>
          <w:sz w:val="22"/>
          <w:szCs w:val="22"/>
          <w:lang w:val="es-EC"/>
        </w:rPr>
        <w:t xml:space="preserve"> Además, resulta importante p</w:t>
      </w:r>
      <w:r w:rsidR="00744013" w:rsidRPr="001B578D">
        <w:rPr>
          <w:sz w:val="22"/>
          <w:szCs w:val="22"/>
          <w:lang w:val="es-EC"/>
        </w:rPr>
        <w:t xml:space="preserve">revenir discursos y apologías de odio hacia </w:t>
      </w:r>
      <w:r w:rsidR="00525A5D">
        <w:rPr>
          <w:sz w:val="22"/>
          <w:szCs w:val="22"/>
          <w:lang w:val="es-EC"/>
        </w:rPr>
        <w:t>las personas</w:t>
      </w:r>
      <w:r w:rsidR="00744013" w:rsidRPr="001B578D">
        <w:rPr>
          <w:sz w:val="22"/>
          <w:szCs w:val="22"/>
          <w:lang w:val="es-EC"/>
        </w:rPr>
        <w:t xml:space="preserve"> migrantes que puedan generar actos violentos y exacerbar la discriminación que estos grupos enfrentan</w:t>
      </w:r>
      <w:r w:rsidR="00744013">
        <w:rPr>
          <w:sz w:val="22"/>
          <w:szCs w:val="22"/>
          <w:lang w:val="es-EC"/>
        </w:rPr>
        <w:t>.</w:t>
      </w:r>
      <w:r w:rsidR="00744013" w:rsidRPr="001B578D">
        <w:rPr>
          <w:rStyle w:val="FootnoteReference"/>
          <w:sz w:val="22"/>
          <w:szCs w:val="22"/>
          <w:lang w:val="es-EC"/>
        </w:rPr>
        <w:footnoteReference w:id="8"/>
      </w:r>
    </w:p>
    <w:p w14:paraId="110EB75D" w14:textId="77777777" w:rsidR="00725DC8" w:rsidRPr="001B578D" w:rsidRDefault="00725DC8" w:rsidP="00CF7A28">
      <w:pPr>
        <w:jc w:val="both"/>
        <w:rPr>
          <w:sz w:val="22"/>
          <w:szCs w:val="22"/>
          <w:lang w:val="es-EC"/>
        </w:rPr>
      </w:pPr>
    </w:p>
    <w:p w14:paraId="234508BD" w14:textId="4320050F" w:rsidR="00D243A1" w:rsidRDefault="00780B72" w:rsidP="00725DC8">
      <w:pPr>
        <w:ind w:firstLine="720"/>
        <w:jc w:val="both"/>
        <w:rPr>
          <w:sz w:val="22"/>
          <w:szCs w:val="22"/>
          <w:lang w:val="es-EC"/>
        </w:rPr>
      </w:pPr>
      <w:r w:rsidRPr="001B578D">
        <w:rPr>
          <w:sz w:val="22"/>
          <w:szCs w:val="22"/>
          <w:lang w:val="es-EC"/>
        </w:rPr>
        <w:t xml:space="preserve">La </w:t>
      </w:r>
      <w:r w:rsidR="001D6950">
        <w:rPr>
          <w:sz w:val="22"/>
          <w:szCs w:val="22"/>
          <w:lang w:val="es-EC"/>
        </w:rPr>
        <w:t>Oficina de Alto Comisionado de Naciones Unidas para los Derechos Humanos (</w:t>
      </w:r>
      <w:r w:rsidRPr="001B578D">
        <w:rPr>
          <w:sz w:val="22"/>
          <w:szCs w:val="22"/>
          <w:lang w:val="es-EC"/>
        </w:rPr>
        <w:t>O</w:t>
      </w:r>
      <w:r w:rsidR="00192436">
        <w:rPr>
          <w:sz w:val="22"/>
          <w:szCs w:val="22"/>
          <w:lang w:val="es-EC"/>
        </w:rPr>
        <w:t>ACDH</w:t>
      </w:r>
      <w:r w:rsidR="001D6950">
        <w:rPr>
          <w:sz w:val="22"/>
          <w:szCs w:val="22"/>
          <w:lang w:val="es-EC"/>
        </w:rPr>
        <w:t>)</w:t>
      </w:r>
      <w:r w:rsidR="00852288" w:rsidRPr="001B578D">
        <w:rPr>
          <w:sz w:val="22"/>
          <w:szCs w:val="22"/>
          <w:lang w:val="es-EC"/>
        </w:rPr>
        <w:t xml:space="preserve"> afirma que para trabajar en la protección de migrantes frente a la </w:t>
      </w:r>
      <w:r w:rsidR="00725DC8" w:rsidRPr="001B578D">
        <w:rPr>
          <w:sz w:val="22"/>
          <w:szCs w:val="22"/>
          <w:lang w:val="es-EC"/>
        </w:rPr>
        <w:t>xenofobia</w:t>
      </w:r>
      <w:r w:rsidR="00852288" w:rsidRPr="001B578D">
        <w:rPr>
          <w:sz w:val="22"/>
          <w:szCs w:val="22"/>
          <w:lang w:val="es-EC"/>
        </w:rPr>
        <w:t xml:space="preserve"> y </w:t>
      </w:r>
      <w:r w:rsidR="00725DC8" w:rsidRPr="001B578D">
        <w:rPr>
          <w:sz w:val="22"/>
          <w:szCs w:val="22"/>
          <w:lang w:val="es-EC"/>
        </w:rPr>
        <w:t>discriminación</w:t>
      </w:r>
      <w:r w:rsidR="00CA30D6">
        <w:rPr>
          <w:sz w:val="22"/>
          <w:szCs w:val="22"/>
          <w:lang w:val="es-EC"/>
        </w:rPr>
        <w:t>,</w:t>
      </w:r>
      <w:r w:rsidR="00852288" w:rsidRPr="001B578D">
        <w:rPr>
          <w:sz w:val="22"/>
          <w:szCs w:val="22"/>
          <w:lang w:val="es-EC"/>
        </w:rPr>
        <w:t xml:space="preserve"> es necesario tener </w:t>
      </w:r>
      <w:r w:rsidR="00725DC8" w:rsidRPr="001B578D">
        <w:rPr>
          <w:sz w:val="22"/>
          <w:szCs w:val="22"/>
          <w:lang w:val="es-EC"/>
        </w:rPr>
        <w:t>enfoques comunes</w:t>
      </w:r>
      <w:r w:rsidR="00852288" w:rsidRPr="001B578D">
        <w:rPr>
          <w:sz w:val="22"/>
          <w:szCs w:val="22"/>
          <w:lang w:val="es-EC"/>
        </w:rPr>
        <w:t xml:space="preserve">, estrategias </w:t>
      </w:r>
      <w:r w:rsidR="00725DC8" w:rsidRPr="001B578D">
        <w:rPr>
          <w:sz w:val="22"/>
          <w:szCs w:val="22"/>
          <w:lang w:val="es-EC"/>
        </w:rPr>
        <w:t>conjuntas,</w:t>
      </w:r>
      <w:r w:rsidR="00852288" w:rsidRPr="001B578D">
        <w:rPr>
          <w:sz w:val="22"/>
          <w:szCs w:val="22"/>
          <w:lang w:val="es-EC"/>
        </w:rPr>
        <w:t xml:space="preserve"> coordinación y la posibilidad de movilizar recursos humanos y recursos materiales. </w:t>
      </w:r>
      <w:r w:rsidR="00187A29" w:rsidRPr="001B578D">
        <w:rPr>
          <w:sz w:val="22"/>
          <w:szCs w:val="22"/>
          <w:lang w:val="es-EC"/>
        </w:rPr>
        <w:t>Para lograr esto, e</w:t>
      </w:r>
      <w:r w:rsidR="00852288" w:rsidRPr="001B578D">
        <w:rPr>
          <w:sz w:val="22"/>
          <w:szCs w:val="22"/>
          <w:lang w:val="es-EC"/>
        </w:rPr>
        <w:t>s necesari</w:t>
      </w:r>
      <w:r w:rsidR="00845460">
        <w:rPr>
          <w:sz w:val="22"/>
          <w:szCs w:val="22"/>
          <w:lang w:val="es-EC"/>
        </w:rPr>
        <w:t>a la participación de todas las partes involucradas en este proceso</w:t>
      </w:r>
      <w:r w:rsidR="00852288" w:rsidRPr="001B578D">
        <w:rPr>
          <w:sz w:val="22"/>
          <w:szCs w:val="22"/>
          <w:lang w:val="es-EC"/>
        </w:rPr>
        <w:t xml:space="preserve">. </w:t>
      </w:r>
      <w:r w:rsidR="00852288" w:rsidRPr="001B578D">
        <w:rPr>
          <w:rStyle w:val="FootnoteReference"/>
          <w:sz w:val="22"/>
          <w:szCs w:val="22"/>
          <w:lang w:val="es-EC"/>
        </w:rPr>
        <w:footnoteReference w:id="9"/>
      </w:r>
      <w:r w:rsidR="00852288" w:rsidRPr="001B578D">
        <w:rPr>
          <w:sz w:val="22"/>
          <w:szCs w:val="22"/>
          <w:lang w:val="es-EC"/>
        </w:rPr>
        <w:t xml:space="preserve"> </w:t>
      </w:r>
    </w:p>
    <w:p w14:paraId="33EF38BC" w14:textId="77777777" w:rsidR="00D243A1" w:rsidRDefault="00D243A1" w:rsidP="00725DC8">
      <w:pPr>
        <w:ind w:firstLine="720"/>
        <w:jc w:val="both"/>
        <w:rPr>
          <w:sz w:val="22"/>
          <w:szCs w:val="22"/>
          <w:lang w:val="es-EC"/>
        </w:rPr>
      </w:pPr>
    </w:p>
    <w:p w14:paraId="62CA8E72" w14:textId="613105EC" w:rsidR="004A48D8" w:rsidRDefault="00845460" w:rsidP="00725DC8">
      <w:pPr>
        <w:ind w:firstLine="720"/>
        <w:jc w:val="both"/>
        <w:rPr>
          <w:sz w:val="22"/>
          <w:szCs w:val="22"/>
          <w:lang w:val="es-EC"/>
        </w:rPr>
      </w:pPr>
      <w:r>
        <w:rPr>
          <w:sz w:val="22"/>
          <w:szCs w:val="22"/>
          <w:lang w:val="es-EC"/>
        </w:rPr>
        <w:t>En conclusión, e</w:t>
      </w:r>
      <w:r w:rsidR="00D243A1">
        <w:rPr>
          <w:sz w:val="22"/>
          <w:szCs w:val="22"/>
          <w:lang w:val="es-EC"/>
        </w:rPr>
        <w:t xml:space="preserve">n un mundo donde la migración internacional es una realidad imposible de ignorar, la existencia de </w:t>
      </w:r>
      <w:r>
        <w:rPr>
          <w:sz w:val="22"/>
          <w:szCs w:val="22"/>
          <w:lang w:val="es-EC"/>
        </w:rPr>
        <w:t>diversas formas de discriminación</w:t>
      </w:r>
      <w:r w:rsidR="00826E7E">
        <w:rPr>
          <w:sz w:val="22"/>
          <w:szCs w:val="22"/>
          <w:lang w:val="es-EC"/>
        </w:rPr>
        <w:t xml:space="preserve"> como el racismo</w:t>
      </w:r>
      <w:r>
        <w:rPr>
          <w:sz w:val="22"/>
          <w:szCs w:val="22"/>
          <w:lang w:val="es-EC"/>
        </w:rPr>
        <w:t xml:space="preserve"> y </w:t>
      </w:r>
      <w:r w:rsidR="00826E7E">
        <w:rPr>
          <w:sz w:val="22"/>
          <w:szCs w:val="22"/>
          <w:lang w:val="es-EC"/>
        </w:rPr>
        <w:t xml:space="preserve">la </w:t>
      </w:r>
      <w:r>
        <w:rPr>
          <w:sz w:val="22"/>
          <w:szCs w:val="22"/>
          <w:lang w:val="es-EC"/>
        </w:rPr>
        <w:t>xenofobia</w:t>
      </w:r>
      <w:r w:rsidR="00D243A1">
        <w:rPr>
          <w:sz w:val="22"/>
          <w:szCs w:val="22"/>
          <w:lang w:val="es-EC"/>
        </w:rPr>
        <w:t xml:space="preserve"> sistémica</w:t>
      </w:r>
      <w:r w:rsidR="00826E7E">
        <w:rPr>
          <w:sz w:val="22"/>
          <w:szCs w:val="22"/>
          <w:lang w:val="es-EC"/>
        </w:rPr>
        <w:t>s</w:t>
      </w:r>
      <w:r>
        <w:rPr>
          <w:sz w:val="22"/>
          <w:szCs w:val="22"/>
          <w:lang w:val="es-EC"/>
        </w:rPr>
        <w:t xml:space="preserve"> en el </w:t>
      </w:r>
      <w:r w:rsidR="00D243A1">
        <w:rPr>
          <w:sz w:val="22"/>
          <w:szCs w:val="22"/>
          <w:lang w:val="es-EC"/>
        </w:rPr>
        <w:t>continente se vuelve una preocupación recurrente de los Estados</w:t>
      </w:r>
      <w:r>
        <w:rPr>
          <w:sz w:val="22"/>
          <w:szCs w:val="22"/>
          <w:lang w:val="es-EC"/>
        </w:rPr>
        <w:t>. Estas</w:t>
      </w:r>
      <w:r w:rsidR="00D243A1">
        <w:rPr>
          <w:sz w:val="22"/>
          <w:szCs w:val="22"/>
          <w:lang w:val="es-EC"/>
        </w:rPr>
        <w:t xml:space="preserve"> formas de discriminación</w:t>
      </w:r>
      <w:r>
        <w:rPr>
          <w:sz w:val="22"/>
          <w:szCs w:val="22"/>
          <w:lang w:val="es-EC"/>
        </w:rPr>
        <w:t xml:space="preserve"> </w:t>
      </w:r>
      <w:r>
        <w:rPr>
          <w:sz w:val="22"/>
          <w:szCs w:val="22"/>
          <w:lang w:val="es-EC"/>
        </w:rPr>
        <w:lastRenderedPageBreak/>
        <w:t xml:space="preserve">se exacerban por discursos de odio y estigmatización que se </w:t>
      </w:r>
      <w:r w:rsidR="00D243A1">
        <w:rPr>
          <w:sz w:val="22"/>
          <w:szCs w:val="22"/>
          <w:lang w:val="es-EC"/>
        </w:rPr>
        <w:t>observan</w:t>
      </w:r>
      <w:r>
        <w:rPr>
          <w:sz w:val="22"/>
          <w:szCs w:val="22"/>
          <w:lang w:val="es-EC"/>
        </w:rPr>
        <w:t xml:space="preserve"> en ciertos </w:t>
      </w:r>
      <w:r w:rsidR="00826E7E">
        <w:rPr>
          <w:sz w:val="22"/>
          <w:szCs w:val="22"/>
          <w:lang w:val="es-EC"/>
        </w:rPr>
        <w:t>movimientos</w:t>
      </w:r>
      <w:r>
        <w:rPr>
          <w:sz w:val="22"/>
          <w:szCs w:val="22"/>
          <w:lang w:val="es-EC"/>
        </w:rPr>
        <w:t xml:space="preserve"> políticos o en situaciones excepcionales como la crisis sanitaria. </w:t>
      </w:r>
      <w:r w:rsidR="00D243A1">
        <w:rPr>
          <w:sz w:val="22"/>
          <w:szCs w:val="22"/>
          <w:lang w:val="es-EC"/>
        </w:rPr>
        <w:t xml:space="preserve">Del mismo modo, </w:t>
      </w:r>
      <w:r>
        <w:rPr>
          <w:sz w:val="22"/>
          <w:szCs w:val="22"/>
          <w:lang w:val="es-EC"/>
        </w:rPr>
        <w:t xml:space="preserve">otras condiciones de vulnerabilidad </w:t>
      </w:r>
      <w:r w:rsidR="00D243A1">
        <w:rPr>
          <w:sz w:val="22"/>
          <w:szCs w:val="22"/>
          <w:lang w:val="es-EC"/>
        </w:rPr>
        <w:t xml:space="preserve">como el género </w:t>
      </w:r>
      <w:r>
        <w:rPr>
          <w:sz w:val="22"/>
          <w:szCs w:val="22"/>
          <w:lang w:val="es-EC"/>
        </w:rPr>
        <w:t xml:space="preserve">pueden dificultar el acceso a derechos </w:t>
      </w:r>
      <w:r w:rsidR="00826E7E">
        <w:rPr>
          <w:sz w:val="22"/>
          <w:szCs w:val="22"/>
          <w:lang w:val="es-EC"/>
        </w:rPr>
        <w:t>a</w:t>
      </w:r>
      <w:r>
        <w:rPr>
          <w:sz w:val="22"/>
          <w:szCs w:val="22"/>
          <w:lang w:val="es-EC"/>
        </w:rPr>
        <w:t xml:space="preserve"> estas comunidades</w:t>
      </w:r>
      <w:r w:rsidR="00D243A1">
        <w:rPr>
          <w:sz w:val="22"/>
          <w:szCs w:val="22"/>
          <w:lang w:val="es-EC"/>
        </w:rPr>
        <w:t xml:space="preserve">, por lo que </w:t>
      </w:r>
      <w:r>
        <w:rPr>
          <w:sz w:val="22"/>
          <w:szCs w:val="22"/>
          <w:lang w:val="es-EC"/>
        </w:rPr>
        <w:t>una lógica interseccional</w:t>
      </w:r>
      <w:r w:rsidR="00D243A1">
        <w:rPr>
          <w:sz w:val="22"/>
          <w:szCs w:val="22"/>
          <w:lang w:val="es-EC"/>
        </w:rPr>
        <w:t xml:space="preserve"> debe primar en la forma de abordar esta problemática</w:t>
      </w:r>
      <w:r>
        <w:rPr>
          <w:sz w:val="22"/>
          <w:szCs w:val="22"/>
          <w:lang w:val="es-EC"/>
        </w:rPr>
        <w:t>.</w:t>
      </w:r>
      <w:r w:rsidR="00826E7E">
        <w:rPr>
          <w:sz w:val="22"/>
          <w:szCs w:val="22"/>
          <w:lang w:val="es-EC"/>
        </w:rPr>
        <w:t xml:space="preserve"> Con respuesta a esto, el fortalecimiento del marco jurídico migratorio y de delitos relacionados con los migrantes se vuelve una prioridad de la región.</w:t>
      </w:r>
      <w:r>
        <w:rPr>
          <w:sz w:val="22"/>
          <w:szCs w:val="22"/>
          <w:lang w:val="es-EC"/>
        </w:rPr>
        <w:t xml:space="preserve"> </w:t>
      </w:r>
      <w:r w:rsidR="00725DC8" w:rsidRPr="001B578D">
        <w:rPr>
          <w:sz w:val="22"/>
          <w:szCs w:val="22"/>
          <w:lang w:val="es-EC"/>
        </w:rPr>
        <w:t xml:space="preserve">Por </w:t>
      </w:r>
      <w:r w:rsidR="00725DC8">
        <w:rPr>
          <w:sz w:val="22"/>
          <w:szCs w:val="22"/>
          <w:lang w:val="es-EC"/>
        </w:rPr>
        <w:t>esta razón, e</w:t>
      </w:r>
      <w:r w:rsidR="00725DC8" w:rsidRPr="00725DC8">
        <w:rPr>
          <w:sz w:val="22"/>
          <w:szCs w:val="22"/>
          <w:lang w:val="es-EC"/>
        </w:rPr>
        <w:t xml:space="preserve">n esta sesión </w:t>
      </w:r>
      <w:r w:rsidR="00725DC8">
        <w:rPr>
          <w:sz w:val="22"/>
          <w:szCs w:val="22"/>
          <w:lang w:val="es-EC"/>
        </w:rPr>
        <w:t xml:space="preserve">es importante </w:t>
      </w:r>
      <w:r w:rsidR="00187A29">
        <w:rPr>
          <w:sz w:val="22"/>
          <w:szCs w:val="22"/>
          <w:lang w:val="es-EC"/>
        </w:rPr>
        <w:t xml:space="preserve">conocer </w:t>
      </w:r>
      <w:r w:rsidR="00725DC8" w:rsidRPr="00725DC8">
        <w:rPr>
          <w:sz w:val="22"/>
          <w:szCs w:val="22"/>
          <w:lang w:val="es-EC"/>
        </w:rPr>
        <w:t>las intervenciones de los Estados miembros con el fin de compartir información sobre esta temática</w:t>
      </w:r>
      <w:r w:rsidR="00725DC8">
        <w:rPr>
          <w:sz w:val="22"/>
          <w:szCs w:val="22"/>
          <w:lang w:val="es-EC"/>
        </w:rPr>
        <w:t xml:space="preserve"> y poder coordinar una estrategia conjunta</w:t>
      </w:r>
      <w:r w:rsidR="00725DC8" w:rsidRPr="00725DC8">
        <w:rPr>
          <w:sz w:val="22"/>
          <w:szCs w:val="22"/>
          <w:lang w:val="es-EC"/>
        </w:rPr>
        <w:t>.</w:t>
      </w:r>
    </w:p>
    <w:p w14:paraId="2B0A28C2" w14:textId="38EDC4FB" w:rsidR="004A48D8" w:rsidRPr="00525A5D" w:rsidRDefault="004A48D8" w:rsidP="004A48D8">
      <w:pPr>
        <w:pStyle w:val="ListParagraph"/>
        <w:numPr>
          <w:ilvl w:val="0"/>
          <w:numId w:val="2"/>
        </w:numPr>
        <w:spacing w:before="240" w:after="240" w:line="276" w:lineRule="auto"/>
        <w:jc w:val="center"/>
        <w:rPr>
          <w:color w:val="202124"/>
          <w:sz w:val="22"/>
          <w:szCs w:val="22"/>
          <w:lang w:val="es-CL"/>
        </w:rPr>
      </w:pPr>
      <w:bookmarkStart w:id="0" w:name="_Hlk106029652"/>
      <w:r w:rsidRPr="00AC7EF3">
        <w:rPr>
          <w:color w:val="202124"/>
          <w:sz w:val="22"/>
          <w:szCs w:val="22"/>
          <w:lang w:val="es-CL"/>
        </w:rPr>
        <w:t>“</w:t>
      </w:r>
      <w:r w:rsidR="00C96249" w:rsidRPr="00525A5D">
        <w:rPr>
          <w:sz w:val="22"/>
          <w:szCs w:val="22"/>
          <w:lang w:val="es-CL"/>
        </w:rPr>
        <w:t>REGULARIZACIÓN Y CANALES REGULARES PARA LA ADMISIÓN Y ESTANCIA DE PERSONAS MIGRANTES</w:t>
      </w:r>
      <w:r w:rsidRPr="00525A5D">
        <w:rPr>
          <w:color w:val="202124"/>
          <w:sz w:val="22"/>
          <w:szCs w:val="22"/>
          <w:lang w:val="es-CL"/>
        </w:rPr>
        <w:t>”</w:t>
      </w:r>
    </w:p>
    <w:bookmarkEnd w:id="0"/>
    <w:p w14:paraId="0F753523" w14:textId="1DB47DB6" w:rsidR="00930DC5" w:rsidRPr="00CF7A28" w:rsidRDefault="00930DC5" w:rsidP="00930DC5">
      <w:pPr>
        <w:spacing w:before="240" w:after="240" w:line="276" w:lineRule="auto"/>
        <w:ind w:firstLine="360"/>
        <w:jc w:val="both"/>
        <w:rPr>
          <w:sz w:val="22"/>
          <w:szCs w:val="22"/>
          <w:lang w:val="es-419"/>
        </w:rPr>
      </w:pPr>
      <w:r w:rsidRPr="00525A5D">
        <w:rPr>
          <w:sz w:val="22"/>
          <w:szCs w:val="22"/>
          <w:lang w:val="es"/>
        </w:rPr>
        <w:t xml:space="preserve">El </w:t>
      </w:r>
      <w:r w:rsidR="00192436" w:rsidRPr="00525A5D">
        <w:rPr>
          <w:sz w:val="22"/>
          <w:szCs w:val="22"/>
          <w:lang w:val="es"/>
        </w:rPr>
        <w:t>O</w:t>
      </w:r>
      <w:r w:rsidRPr="00525A5D">
        <w:rPr>
          <w:sz w:val="22"/>
          <w:szCs w:val="22"/>
          <w:lang w:val="es"/>
        </w:rPr>
        <w:t>bjetivo</w:t>
      </w:r>
      <w:r w:rsidR="00192436" w:rsidRPr="00525A5D">
        <w:rPr>
          <w:sz w:val="22"/>
          <w:szCs w:val="22"/>
          <w:lang w:val="es"/>
        </w:rPr>
        <w:t xml:space="preserve"> 10</w:t>
      </w:r>
      <w:r w:rsidRPr="00525A5D">
        <w:rPr>
          <w:sz w:val="22"/>
          <w:szCs w:val="22"/>
          <w:lang w:val="es"/>
        </w:rPr>
        <w:t xml:space="preserve"> de </w:t>
      </w:r>
      <w:r w:rsidR="00192436" w:rsidRPr="00525A5D">
        <w:rPr>
          <w:sz w:val="22"/>
          <w:szCs w:val="22"/>
          <w:lang w:val="es"/>
        </w:rPr>
        <w:t>D</w:t>
      </w:r>
      <w:r w:rsidRPr="00525A5D">
        <w:rPr>
          <w:sz w:val="22"/>
          <w:szCs w:val="22"/>
          <w:lang w:val="es"/>
        </w:rPr>
        <w:t xml:space="preserve">esarrollo </w:t>
      </w:r>
      <w:r w:rsidR="00192436" w:rsidRPr="00525A5D">
        <w:rPr>
          <w:sz w:val="22"/>
          <w:szCs w:val="22"/>
          <w:lang w:val="es"/>
        </w:rPr>
        <w:t>S</w:t>
      </w:r>
      <w:r w:rsidRPr="00525A5D">
        <w:rPr>
          <w:sz w:val="22"/>
          <w:szCs w:val="22"/>
          <w:lang w:val="es"/>
        </w:rPr>
        <w:t xml:space="preserve">ostenible </w:t>
      </w:r>
      <w:r w:rsidR="00192436" w:rsidRPr="00525A5D">
        <w:rPr>
          <w:sz w:val="22"/>
          <w:szCs w:val="22"/>
          <w:lang w:val="es"/>
        </w:rPr>
        <w:t>plantea</w:t>
      </w:r>
      <w:r w:rsidRPr="00525A5D">
        <w:rPr>
          <w:sz w:val="22"/>
          <w:szCs w:val="22"/>
          <w:lang w:val="es"/>
        </w:rPr>
        <w:t xml:space="preserve"> </w:t>
      </w:r>
      <w:r w:rsidR="00192436" w:rsidRPr="00525A5D">
        <w:rPr>
          <w:sz w:val="22"/>
          <w:szCs w:val="22"/>
          <w:lang w:val="es"/>
        </w:rPr>
        <w:t>en la</w:t>
      </w:r>
      <w:r w:rsidRPr="00525A5D">
        <w:rPr>
          <w:sz w:val="22"/>
          <w:szCs w:val="22"/>
          <w:lang w:val="es"/>
        </w:rPr>
        <w:t xml:space="preserve"> meta</w:t>
      </w:r>
      <w:r w:rsidR="00192436" w:rsidRPr="00525A5D">
        <w:rPr>
          <w:sz w:val="22"/>
          <w:szCs w:val="22"/>
          <w:lang w:val="es"/>
        </w:rPr>
        <w:t xml:space="preserve"> </w:t>
      </w:r>
      <w:r w:rsidRPr="00525A5D">
        <w:rPr>
          <w:sz w:val="22"/>
          <w:szCs w:val="22"/>
          <w:lang w:val="es"/>
        </w:rPr>
        <w:t>7</w:t>
      </w:r>
      <w:r w:rsidR="00192436" w:rsidRPr="00525A5D">
        <w:rPr>
          <w:sz w:val="22"/>
          <w:szCs w:val="22"/>
          <w:lang w:val="es"/>
        </w:rPr>
        <w:t xml:space="preserve"> la necesidad de</w:t>
      </w:r>
      <w:r w:rsidRPr="00525A5D">
        <w:rPr>
          <w:sz w:val="22"/>
          <w:szCs w:val="22"/>
          <w:lang w:val="es"/>
        </w:rPr>
        <w:t xml:space="preserve"> “facilitar la migración y la movilidad ordenadas, seguras, regulares”</w:t>
      </w:r>
      <w:r w:rsidR="00525A5D">
        <w:rPr>
          <w:sz w:val="22"/>
          <w:szCs w:val="22"/>
          <w:lang w:val="es"/>
        </w:rPr>
        <w:t>.</w:t>
      </w:r>
      <w:r w:rsidRPr="00525A5D">
        <w:rPr>
          <w:sz w:val="22"/>
          <w:szCs w:val="22"/>
          <w:lang w:val="es"/>
        </w:rPr>
        <w:t xml:space="preserve"> Adicionalmente, la OIM reconoce </w:t>
      </w:r>
      <w:r w:rsidRPr="00CF7A28">
        <w:rPr>
          <w:sz w:val="22"/>
          <w:szCs w:val="22"/>
          <w:lang w:val="es-419"/>
        </w:rPr>
        <w:t xml:space="preserve">que </w:t>
      </w:r>
      <w:r w:rsidR="00525A5D">
        <w:rPr>
          <w:sz w:val="22"/>
          <w:szCs w:val="22"/>
          <w:lang w:val="es-419"/>
        </w:rPr>
        <w:t>“</w:t>
      </w:r>
      <w:r w:rsidRPr="00CF7A28">
        <w:rPr>
          <w:sz w:val="22"/>
          <w:szCs w:val="22"/>
          <w:lang w:val="es-419"/>
        </w:rPr>
        <w:t>la gobernanza efectiva de la migración es clave para lograr una migración más segura, ordenada y regular.” Además, expresa la importancia de contar con regímenes migratorios regionales.</w:t>
      </w:r>
      <w:r w:rsidRPr="00CF7A28">
        <w:rPr>
          <w:rStyle w:val="FootnoteReference"/>
          <w:sz w:val="22"/>
          <w:szCs w:val="22"/>
          <w:lang w:val="es-419"/>
        </w:rPr>
        <w:footnoteReference w:id="10"/>
      </w:r>
      <w:r w:rsidRPr="00CF7A28">
        <w:rPr>
          <w:sz w:val="22"/>
          <w:szCs w:val="22"/>
          <w:lang w:val="es-419"/>
        </w:rPr>
        <w:t xml:space="preserve"> En efecto, la migración irregular genera una condición de vulnerabilidad que puede llevar a </w:t>
      </w:r>
      <w:r w:rsidR="00192436" w:rsidRPr="00CF7A28">
        <w:rPr>
          <w:sz w:val="22"/>
          <w:szCs w:val="22"/>
          <w:lang w:val="es-419"/>
        </w:rPr>
        <w:t>la</w:t>
      </w:r>
      <w:r w:rsidRPr="00CF7A28">
        <w:rPr>
          <w:sz w:val="22"/>
          <w:szCs w:val="22"/>
          <w:lang w:val="es-419"/>
        </w:rPr>
        <w:t xml:space="preserve"> violación de derechos humanos de las personas migrantes. Además, esto no permite las contribuciones económicas, culturales y sociales de los migrantes que pueden </w:t>
      </w:r>
      <w:r w:rsidR="00192436" w:rsidRPr="00CF7A28">
        <w:rPr>
          <w:sz w:val="22"/>
          <w:szCs w:val="22"/>
          <w:lang w:val="es-419"/>
        </w:rPr>
        <w:t xml:space="preserve">aportar </w:t>
      </w:r>
      <w:r w:rsidRPr="00CF7A28">
        <w:rPr>
          <w:sz w:val="22"/>
          <w:szCs w:val="22"/>
          <w:lang w:val="es-419"/>
        </w:rPr>
        <w:t xml:space="preserve">al desarrollo de los países </w:t>
      </w:r>
      <w:r w:rsidR="00161720">
        <w:rPr>
          <w:sz w:val="22"/>
          <w:szCs w:val="22"/>
          <w:lang w:val="es-419"/>
        </w:rPr>
        <w:t>de acogida</w:t>
      </w:r>
      <w:r w:rsidRPr="00CF7A28">
        <w:rPr>
          <w:sz w:val="22"/>
          <w:szCs w:val="22"/>
          <w:lang w:val="es-419"/>
        </w:rPr>
        <w:t>. La pandemia de</w:t>
      </w:r>
      <w:r w:rsidR="00192436" w:rsidRPr="00CF7A28">
        <w:rPr>
          <w:sz w:val="22"/>
          <w:szCs w:val="22"/>
          <w:lang w:val="es-419"/>
        </w:rPr>
        <w:t>l</w:t>
      </w:r>
      <w:r w:rsidRPr="00CF7A28">
        <w:rPr>
          <w:sz w:val="22"/>
          <w:szCs w:val="22"/>
          <w:lang w:val="es-419"/>
        </w:rPr>
        <w:t xml:space="preserve"> COVID-19 ha vulnerado aún más los derechos de los migrantes</w:t>
      </w:r>
      <w:r w:rsidR="00192436" w:rsidRPr="00CF7A28">
        <w:rPr>
          <w:sz w:val="22"/>
          <w:szCs w:val="22"/>
          <w:lang w:val="es-419"/>
        </w:rPr>
        <w:t xml:space="preserve">, </w:t>
      </w:r>
      <w:r w:rsidRPr="00CF7A28">
        <w:rPr>
          <w:sz w:val="22"/>
          <w:szCs w:val="22"/>
          <w:lang w:val="es-419"/>
        </w:rPr>
        <w:t xml:space="preserve">al dificultarles el acceso a la protección social y a la salud. Aún con </w:t>
      </w:r>
      <w:r w:rsidR="006E2FE2" w:rsidRPr="00CF7A28">
        <w:rPr>
          <w:sz w:val="22"/>
          <w:szCs w:val="22"/>
          <w:lang w:val="es-419"/>
        </w:rPr>
        <w:t>la</w:t>
      </w:r>
      <w:r w:rsidRPr="00CF7A28">
        <w:rPr>
          <w:sz w:val="22"/>
          <w:szCs w:val="22"/>
          <w:lang w:val="es-419"/>
        </w:rPr>
        <w:t xml:space="preserve"> posibilidad de vulneración de derechos, el fenómeno migratorio no disminuye, por lo que se vuelve indispensable trabajar para la regularización del mismo.</w:t>
      </w:r>
    </w:p>
    <w:p w14:paraId="1E84294D" w14:textId="7551D010" w:rsidR="00930DC5" w:rsidRPr="00CF7A28" w:rsidRDefault="00930DC5" w:rsidP="00930DC5">
      <w:pPr>
        <w:ind w:firstLine="360"/>
        <w:jc w:val="both"/>
        <w:rPr>
          <w:sz w:val="22"/>
          <w:szCs w:val="22"/>
          <w:lang w:val="es-419"/>
        </w:rPr>
      </w:pPr>
      <w:r w:rsidRPr="00CF7A28">
        <w:rPr>
          <w:sz w:val="22"/>
          <w:szCs w:val="22"/>
          <w:lang w:val="es-419"/>
        </w:rPr>
        <w:t>La OIM define a la regularización como “cualquier proceso o programa por el que las autoridades de un Estado autorizan a un extranjero en situación irregular a permanecer legalmente en el país, concediéndole la condición de migrante regular”</w:t>
      </w:r>
      <w:r w:rsidR="006E2FE2" w:rsidRPr="00CF7A28">
        <w:rPr>
          <w:sz w:val="22"/>
          <w:szCs w:val="22"/>
          <w:lang w:val="es-419"/>
        </w:rPr>
        <w:t>.</w:t>
      </w:r>
      <w:r w:rsidRPr="00CF7A28">
        <w:rPr>
          <w:rStyle w:val="FootnoteReference"/>
          <w:sz w:val="22"/>
          <w:szCs w:val="22"/>
          <w:lang w:val="es-419"/>
        </w:rPr>
        <w:footnoteReference w:id="11"/>
      </w:r>
      <w:r w:rsidRPr="00CF7A28">
        <w:rPr>
          <w:sz w:val="22"/>
          <w:szCs w:val="22"/>
          <w:lang w:val="es-419"/>
        </w:rPr>
        <w:t xml:space="preserve"> Es importante entender que la regularización migratoria es el mecanismo principal “para incluir y proteger a la población migrante”</w:t>
      </w:r>
      <w:r w:rsidRPr="00CF7A28">
        <w:rPr>
          <w:rStyle w:val="FootnoteReference"/>
          <w:sz w:val="22"/>
          <w:szCs w:val="22"/>
          <w:lang w:val="es-419"/>
        </w:rPr>
        <w:footnoteReference w:id="12"/>
      </w:r>
      <w:r w:rsidRPr="00CF7A28">
        <w:rPr>
          <w:sz w:val="22"/>
          <w:szCs w:val="22"/>
          <w:lang w:val="es-419"/>
        </w:rPr>
        <w:t>, esto incluye otorgarle permisos de permanencia a los migrantes en algún país. De esta manera, se puede trabajar de manera oficial, y acceder a ciertos derechos como la salud, la educación y la seguridad social, entre otros.</w:t>
      </w:r>
    </w:p>
    <w:p w14:paraId="4F31418B" w14:textId="77777777" w:rsidR="00930DC5" w:rsidRPr="00CF7A28" w:rsidRDefault="00930DC5" w:rsidP="00930DC5">
      <w:pPr>
        <w:jc w:val="both"/>
        <w:rPr>
          <w:sz w:val="22"/>
          <w:szCs w:val="22"/>
          <w:lang w:val="es-419"/>
        </w:rPr>
      </w:pPr>
    </w:p>
    <w:p w14:paraId="2FAC51C8" w14:textId="37216085" w:rsidR="00930DC5" w:rsidRPr="00CF7A28" w:rsidRDefault="00930DC5" w:rsidP="00930DC5">
      <w:pPr>
        <w:ind w:firstLine="360"/>
        <w:jc w:val="both"/>
        <w:rPr>
          <w:sz w:val="22"/>
          <w:szCs w:val="22"/>
          <w:lang w:val="es-419"/>
        </w:rPr>
      </w:pPr>
      <w:r w:rsidRPr="00CF7A28">
        <w:rPr>
          <w:sz w:val="22"/>
          <w:szCs w:val="22"/>
          <w:lang w:val="es-419"/>
        </w:rPr>
        <w:t>En este sentido, las diferentes legislaciones de regularización de migrantes en los Estados de la región adquieren relevancia. Las capacidades de cada Estado dependen de sus experiencias históricas con la migración, algunos Estados han sido destino predilecto de migrantes desde siglos pasados, como es el caso de Argentina, mientras otros son destinos migratorios más recientes como Chile</w:t>
      </w:r>
      <w:r w:rsidR="00A16775" w:rsidRPr="00CF7A28">
        <w:rPr>
          <w:sz w:val="22"/>
          <w:szCs w:val="22"/>
          <w:lang w:val="es-419"/>
        </w:rPr>
        <w:t>;</w:t>
      </w:r>
      <w:r w:rsidRPr="00CF7A28">
        <w:rPr>
          <w:sz w:val="22"/>
          <w:szCs w:val="22"/>
          <w:lang w:val="es-419"/>
        </w:rPr>
        <w:t xml:space="preserve"> y otros han sido caracterizados más como puntos de emigración como Colombia y Perú.</w:t>
      </w:r>
      <w:r w:rsidRPr="00CF7A28">
        <w:rPr>
          <w:rStyle w:val="FootnoteReference"/>
          <w:sz w:val="22"/>
          <w:szCs w:val="22"/>
          <w:lang w:val="es-419"/>
        </w:rPr>
        <w:footnoteReference w:id="13"/>
      </w:r>
      <w:r w:rsidRPr="00CF7A28">
        <w:rPr>
          <w:sz w:val="22"/>
          <w:szCs w:val="22"/>
          <w:lang w:val="es-419"/>
        </w:rPr>
        <w:t xml:space="preserve"> Adicionalmente, otros Estados</w:t>
      </w:r>
      <w:r w:rsidR="00A16775" w:rsidRPr="00CF7A28">
        <w:rPr>
          <w:sz w:val="22"/>
          <w:szCs w:val="22"/>
          <w:lang w:val="es-419"/>
        </w:rPr>
        <w:t xml:space="preserve"> de la región</w:t>
      </w:r>
      <w:r w:rsidRPr="00CF7A28">
        <w:rPr>
          <w:sz w:val="22"/>
          <w:szCs w:val="22"/>
          <w:lang w:val="es-419"/>
        </w:rPr>
        <w:t xml:space="preserve"> son considerados como países de tránsito, antes de que los migrantes lleguen a su destino final. Toda esta </w:t>
      </w:r>
      <w:r w:rsidR="00A16775" w:rsidRPr="00CF7A28">
        <w:rPr>
          <w:sz w:val="22"/>
          <w:szCs w:val="22"/>
          <w:lang w:val="es-419"/>
        </w:rPr>
        <w:t>situación exige</w:t>
      </w:r>
      <w:r w:rsidRPr="00CF7A28">
        <w:rPr>
          <w:sz w:val="22"/>
          <w:szCs w:val="22"/>
          <w:lang w:val="es-419"/>
        </w:rPr>
        <w:t xml:space="preserve"> diferentes regímenes migratorios que permitan la estancia de los migrantes por estos países, ya sea de tránsito o acogida. </w:t>
      </w:r>
    </w:p>
    <w:p w14:paraId="00CA28CC" w14:textId="77777777" w:rsidR="00930DC5" w:rsidRPr="00CF7A28" w:rsidRDefault="00930DC5" w:rsidP="00930DC5">
      <w:pPr>
        <w:ind w:firstLine="360"/>
        <w:jc w:val="both"/>
        <w:rPr>
          <w:sz w:val="22"/>
          <w:szCs w:val="22"/>
          <w:lang w:val="es-419"/>
        </w:rPr>
      </w:pPr>
    </w:p>
    <w:p w14:paraId="668BC3FE" w14:textId="0DDAD33E" w:rsidR="00930DC5" w:rsidRPr="00CF7A28" w:rsidRDefault="00930DC5" w:rsidP="00930DC5">
      <w:pPr>
        <w:ind w:firstLine="360"/>
        <w:jc w:val="both"/>
        <w:rPr>
          <w:sz w:val="22"/>
          <w:szCs w:val="22"/>
          <w:lang w:val="es-419"/>
        </w:rPr>
      </w:pPr>
      <w:r w:rsidRPr="00CF7A28">
        <w:rPr>
          <w:sz w:val="22"/>
          <w:szCs w:val="22"/>
          <w:lang w:val="es-419"/>
        </w:rPr>
        <w:t xml:space="preserve">A nivel regional existen varias iniciativas que buscan la defensa de los derechos humanos de los migrantes y favorecer la regularización de estos. Se puede mencionar, por </w:t>
      </w:r>
      <w:r w:rsidR="00A16775" w:rsidRPr="00CF7A28">
        <w:rPr>
          <w:sz w:val="22"/>
          <w:szCs w:val="22"/>
          <w:lang w:val="es-419"/>
        </w:rPr>
        <w:t>ejemplo, la</w:t>
      </w:r>
      <w:r w:rsidRPr="00CF7A28">
        <w:rPr>
          <w:sz w:val="22"/>
          <w:szCs w:val="22"/>
          <w:lang w:val="es-419"/>
        </w:rPr>
        <w:t xml:space="preserve"> Ley Marco Regional en Materia de Migraciones con enfoque en Derechos Humanos que responsabiliza a los Estados de Centroamérica y el Caribe a buscar la regularización de los migrantes y a respetar los derechos humanos de esta población. </w:t>
      </w:r>
      <w:r w:rsidRPr="00CF7A28">
        <w:rPr>
          <w:rStyle w:val="FootnoteReference"/>
          <w:sz w:val="22"/>
          <w:szCs w:val="22"/>
          <w:lang w:val="es-419"/>
        </w:rPr>
        <w:footnoteReference w:id="14"/>
      </w:r>
      <w:r w:rsidRPr="00CF7A28">
        <w:rPr>
          <w:sz w:val="22"/>
          <w:szCs w:val="22"/>
          <w:lang w:val="es-419"/>
        </w:rPr>
        <w:t xml:space="preserve"> En Suramérica las dinámicas de integración regional como la Comunidad Andina, el Mercosur y la UNASUR incentivaron la regularización migratoria al reducir los requisitos entre los Estados miembros. </w:t>
      </w:r>
    </w:p>
    <w:p w14:paraId="1AEAD5B9" w14:textId="77777777" w:rsidR="00930DC5" w:rsidRPr="00CF7A28" w:rsidRDefault="00930DC5" w:rsidP="00930DC5">
      <w:pPr>
        <w:ind w:firstLine="360"/>
        <w:jc w:val="both"/>
        <w:rPr>
          <w:sz w:val="22"/>
          <w:szCs w:val="22"/>
          <w:lang w:val="es-419"/>
        </w:rPr>
      </w:pPr>
    </w:p>
    <w:p w14:paraId="3E15CF1B" w14:textId="05C53A68" w:rsidR="00930DC5" w:rsidRPr="00CF7A28" w:rsidRDefault="00930DC5" w:rsidP="00930DC5">
      <w:pPr>
        <w:ind w:firstLine="360"/>
        <w:jc w:val="both"/>
        <w:rPr>
          <w:sz w:val="22"/>
          <w:szCs w:val="22"/>
          <w:lang w:val="es-419"/>
        </w:rPr>
      </w:pPr>
      <w:r w:rsidRPr="00CF7A28">
        <w:rPr>
          <w:sz w:val="22"/>
          <w:szCs w:val="22"/>
          <w:lang w:val="es-419"/>
        </w:rPr>
        <w:t>Por otro lado, las vías regulares para la admisión y la estancia</w:t>
      </w:r>
      <w:r w:rsidR="00A75178">
        <w:rPr>
          <w:sz w:val="22"/>
          <w:szCs w:val="22"/>
          <w:lang w:val="es-419"/>
        </w:rPr>
        <w:t xml:space="preserve"> son </w:t>
      </w:r>
      <w:r w:rsidRPr="00CF7A28">
        <w:rPr>
          <w:sz w:val="22"/>
          <w:szCs w:val="22"/>
          <w:lang w:val="es-419"/>
        </w:rPr>
        <w:t>“los mecanismos jurídicos, políticos y administrativos que propician el viaje, la admisión y la estancia en el territorio de un Estado de manera regular (independientemente de si la entrada inicial ha sido regular o temporal)”</w:t>
      </w:r>
      <w:r w:rsidRPr="00CF7A28">
        <w:rPr>
          <w:rStyle w:val="FootnoteReference"/>
          <w:sz w:val="22"/>
          <w:szCs w:val="22"/>
          <w:lang w:val="es-419"/>
        </w:rPr>
        <w:footnoteReference w:id="15"/>
      </w:r>
      <w:r w:rsidRPr="00CF7A28">
        <w:rPr>
          <w:sz w:val="22"/>
          <w:szCs w:val="22"/>
          <w:lang w:val="es-419"/>
        </w:rPr>
        <w:t xml:space="preserve"> Estos pueden ser: no discrecionales con relación a las obligaciones del derecho internacional; o discrecionales, según los intereses y relaciones de los Estados. Igualmente, existen varios ejemplos de estas vías</w:t>
      </w:r>
      <w:r w:rsidR="00A16775" w:rsidRPr="00CF7A28">
        <w:rPr>
          <w:sz w:val="22"/>
          <w:szCs w:val="22"/>
          <w:lang w:val="es-419"/>
        </w:rPr>
        <w:t xml:space="preserve"> dependiendo de si se </w:t>
      </w:r>
      <w:r w:rsidR="004A5547" w:rsidRPr="00CF7A28">
        <w:rPr>
          <w:sz w:val="22"/>
          <w:szCs w:val="22"/>
          <w:lang w:val="es-419"/>
        </w:rPr>
        <w:t>está</w:t>
      </w:r>
      <w:r w:rsidR="00A16775" w:rsidRPr="00CF7A28">
        <w:rPr>
          <w:sz w:val="22"/>
          <w:szCs w:val="22"/>
          <w:lang w:val="es-419"/>
        </w:rPr>
        <w:t xml:space="preserve"> o no</w:t>
      </w:r>
      <w:r w:rsidR="004A5547" w:rsidRPr="00CF7A28">
        <w:rPr>
          <w:sz w:val="22"/>
          <w:szCs w:val="22"/>
          <w:lang w:val="es-419"/>
        </w:rPr>
        <w:t>,</w:t>
      </w:r>
      <w:r w:rsidR="00A16775" w:rsidRPr="00CF7A28">
        <w:rPr>
          <w:sz w:val="22"/>
          <w:szCs w:val="22"/>
          <w:lang w:val="es-419"/>
        </w:rPr>
        <w:t xml:space="preserve"> en el territorio de migración. Para los migrantes que no se encuentran </w:t>
      </w:r>
      <w:r w:rsidR="004A5547" w:rsidRPr="00CF7A28">
        <w:rPr>
          <w:sz w:val="22"/>
          <w:szCs w:val="22"/>
          <w:lang w:val="es-419"/>
        </w:rPr>
        <w:t>aún</w:t>
      </w:r>
      <w:r w:rsidR="00A16775" w:rsidRPr="00CF7A28">
        <w:rPr>
          <w:sz w:val="22"/>
          <w:szCs w:val="22"/>
          <w:lang w:val="es-419"/>
        </w:rPr>
        <w:t xml:space="preserve"> en el territorio objetivo de la migración existen:</w:t>
      </w:r>
      <w:r w:rsidRPr="00CF7A28">
        <w:rPr>
          <w:sz w:val="22"/>
          <w:szCs w:val="22"/>
          <w:lang w:val="es-419"/>
        </w:rPr>
        <w:t xml:space="preserve"> la concesión de un visado antes del ingreso al territorio por un puerto de entrada</w:t>
      </w:r>
      <w:r w:rsidR="00A16775" w:rsidRPr="00CF7A28">
        <w:rPr>
          <w:sz w:val="22"/>
          <w:szCs w:val="22"/>
          <w:lang w:val="es-419"/>
        </w:rPr>
        <w:t xml:space="preserve"> y</w:t>
      </w:r>
      <w:r w:rsidRPr="00CF7A28">
        <w:rPr>
          <w:sz w:val="22"/>
          <w:szCs w:val="22"/>
          <w:lang w:val="es-419"/>
        </w:rPr>
        <w:t xml:space="preserve"> la concesión de un visado al llegar a un puerto de entrada</w:t>
      </w:r>
      <w:r w:rsidR="00A16775" w:rsidRPr="00CF7A28">
        <w:rPr>
          <w:sz w:val="22"/>
          <w:szCs w:val="22"/>
          <w:lang w:val="es-419"/>
        </w:rPr>
        <w:t xml:space="preserve">. Para los migrantes que ya se encuentran en el territorio, se contemplan: </w:t>
      </w:r>
      <w:r w:rsidRPr="00CF7A28">
        <w:rPr>
          <w:sz w:val="22"/>
          <w:szCs w:val="22"/>
          <w:lang w:val="es-419"/>
        </w:rPr>
        <w:t xml:space="preserve"> un proceso de regularización y de concesión de un permiso de residencia para los migrantes irregulares y el cambio de una situación migratoria a otra</w:t>
      </w:r>
      <w:r w:rsidR="004A5547" w:rsidRPr="00CF7A28">
        <w:rPr>
          <w:sz w:val="22"/>
          <w:szCs w:val="22"/>
          <w:lang w:val="es-419"/>
        </w:rPr>
        <w:t xml:space="preserve">. </w:t>
      </w:r>
      <w:r w:rsidR="004A5547" w:rsidRPr="00CF7A28">
        <w:rPr>
          <w:rStyle w:val="FootnoteReference"/>
          <w:sz w:val="22"/>
          <w:szCs w:val="22"/>
          <w:lang w:val="es-419"/>
        </w:rPr>
        <w:footnoteReference w:id="16"/>
      </w:r>
    </w:p>
    <w:p w14:paraId="65B721C9" w14:textId="77777777" w:rsidR="00930DC5" w:rsidRPr="00CF7A28" w:rsidRDefault="00930DC5" w:rsidP="00930DC5">
      <w:pPr>
        <w:ind w:firstLine="360"/>
        <w:jc w:val="both"/>
        <w:rPr>
          <w:sz w:val="22"/>
          <w:szCs w:val="22"/>
          <w:lang w:val="es-419"/>
        </w:rPr>
      </w:pPr>
    </w:p>
    <w:p w14:paraId="3D981A33" w14:textId="68A91595" w:rsidR="00930DC5" w:rsidRPr="00CF7A28" w:rsidRDefault="00930DC5" w:rsidP="00930DC5">
      <w:pPr>
        <w:ind w:firstLine="360"/>
        <w:jc w:val="both"/>
        <w:rPr>
          <w:sz w:val="22"/>
          <w:szCs w:val="22"/>
          <w:lang w:val="es-419"/>
        </w:rPr>
      </w:pPr>
      <w:r w:rsidRPr="00CF7A28">
        <w:rPr>
          <w:sz w:val="22"/>
          <w:szCs w:val="22"/>
          <w:lang w:val="es-419"/>
        </w:rPr>
        <w:t xml:space="preserve">Asimismo, existen motivos humanitarios o de otra índole para la admisión de migrantes. Estos incluyen </w:t>
      </w:r>
      <w:r w:rsidR="004A5547" w:rsidRPr="00CF7A28">
        <w:rPr>
          <w:sz w:val="22"/>
          <w:szCs w:val="22"/>
          <w:lang w:val="es-419"/>
        </w:rPr>
        <w:t>“</w:t>
      </w:r>
      <w:r w:rsidRPr="00CF7A28">
        <w:rPr>
          <w:sz w:val="22"/>
          <w:szCs w:val="22"/>
          <w:lang w:val="es-419"/>
        </w:rPr>
        <w:t>el derecho a la vida privada y familiar, la unidad de la familia, el principio del interés superior del niño, el derecho a la salud, el principio de igualdad y no discriminación, los principios y derechos fundamentales del trabajo, y el principio de no devolución, entre otros.”</w:t>
      </w:r>
      <w:r w:rsidRPr="00CF7A28">
        <w:rPr>
          <w:rStyle w:val="FootnoteReference"/>
          <w:sz w:val="22"/>
          <w:szCs w:val="22"/>
          <w:lang w:val="es-419"/>
        </w:rPr>
        <w:footnoteReference w:id="17"/>
      </w:r>
    </w:p>
    <w:p w14:paraId="0F31EBE0" w14:textId="77777777" w:rsidR="00930DC5" w:rsidRPr="00CF7A28" w:rsidRDefault="00930DC5" w:rsidP="00930DC5">
      <w:pPr>
        <w:ind w:firstLine="360"/>
        <w:jc w:val="both"/>
        <w:rPr>
          <w:sz w:val="22"/>
          <w:szCs w:val="22"/>
          <w:lang w:val="es-419"/>
        </w:rPr>
      </w:pPr>
    </w:p>
    <w:p w14:paraId="09329F95" w14:textId="5ED71B44" w:rsidR="00930DC5" w:rsidRPr="00CF7A28" w:rsidRDefault="00930DC5" w:rsidP="00930DC5">
      <w:pPr>
        <w:ind w:firstLine="360"/>
        <w:jc w:val="both"/>
        <w:rPr>
          <w:sz w:val="22"/>
          <w:szCs w:val="22"/>
          <w:lang w:val="es-419"/>
        </w:rPr>
      </w:pPr>
      <w:r w:rsidRPr="00CF7A28">
        <w:rPr>
          <w:sz w:val="22"/>
          <w:szCs w:val="22"/>
          <w:lang w:val="es-419"/>
        </w:rPr>
        <w:t xml:space="preserve">De esta manera, es indispensable que los Estados avancen en la ampliación de los canales regulares de admisión. En efecto, la migración irregular ha dificultado la posibilidad de ampliar estos canales. </w:t>
      </w:r>
      <w:r w:rsidRPr="00CF7A28">
        <w:rPr>
          <w:rStyle w:val="FootnoteReference"/>
          <w:sz w:val="22"/>
          <w:szCs w:val="22"/>
          <w:lang w:val="es-419"/>
        </w:rPr>
        <w:footnoteReference w:id="18"/>
      </w:r>
      <w:r w:rsidRPr="00CF7A28">
        <w:rPr>
          <w:sz w:val="22"/>
          <w:szCs w:val="22"/>
          <w:lang w:val="es-419"/>
        </w:rPr>
        <w:t>Los Estados deben tener principios rectores sólidos</w:t>
      </w:r>
      <w:r w:rsidR="004A5547" w:rsidRPr="00CF7A28">
        <w:rPr>
          <w:sz w:val="22"/>
          <w:szCs w:val="22"/>
          <w:lang w:val="es-419"/>
        </w:rPr>
        <w:t xml:space="preserve">, </w:t>
      </w:r>
      <w:r w:rsidRPr="00CF7A28">
        <w:rPr>
          <w:sz w:val="22"/>
          <w:szCs w:val="22"/>
          <w:lang w:val="es-419"/>
        </w:rPr>
        <w:t>donde se instauren garantías de procedimiento que respeten los derechos humanos, al igual que tengan una perspectiva de género, entre otros. Esta garantía de procedimiento se logra con criterios de admisión claros, transparentes y basados en los derechos y necesidades de los migrantes. La accesibilidad a estos canales también es indispensable, ya que se afrontan distintos obstáculos para acceder, tales como: documentación apropiada en el idioma apropiado, computadora y a internet, costos asequibles para presentar las solicitudes, entre otros.</w:t>
      </w:r>
      <w:r w:rsidRPr="00CF7A28">
        <w:rPr>
          <w:rStyle w:val="FootnoteReference"/>
          <w:sz w:val="22"/>
          <w:szCs w:val="22"/>
          <w:lang w:val="es-419"/>
        </w:rPr>
        <w:footnoteReference w:id="19"/>
      </w:r>
    </w:p>
    <w:p w14:paraId="7620DB3C" w14:textId="77777777" w:rsidR="00930DC5" w:rsidRPr="00525A5D" w:rsidRDefault="00930DC5" w:rsidP="00930DC5">
      <w:pPr>
        <w:jc w:val="both"/>
        <w:rPr>
          <w:sz w:val="22"/>
          <w:szCs w:val="22"/>
          <w:lang w:val="es-419"/>
        </w:rPr>
      </w:pPr>
    </w:p>
    <w:p w14:paraId="263C14EC" w14:textId="0D5F34AF" w:rsidR="00204505" w:rsidRPr="00525A5D" w:rsidRDefault="00930DC5" w:rsidP="007F2869">
      <w:pPr>
        <w:ind w:firstLine="360"/>
        <w:jc w:val="both"/>
        <w:rPr>
          <w:sz w:val="22"/>
          <w:szCs w:val="22"/>
          <w:lang w:val="es"/>
        </w:rPr>
      </w:pPr>
      <w:r w:rsidRPr="00CF7A28">
        <w:rPr>
          <w:sz w:val="22"/>
          <w:szCs w:val="22"/>
          <w:lang w:val="es-419"/>
        </w:rPr>
        <w:t xml:space="preserve">En esta sesión se </w:t>
      </w:r>
      <w:r w:rsidR="004A5547" w:rsidRPr="00CF7A28">
        <w:rPr>
          <w:sz w:val="22"/>
          <w:szCs w:val="22"/>
          <w:lang w:val="es-419"/>
        </w:rPr>
        <w:t>abordará</w:t>
      </w:r>
      <w:r w:rsidRPr="00CF7A28">
        <w:rPr>
          <w:sz w:val="22"/>
          <w:szCs w:val="22"/>
          <w:lang w:val="es-419"/>
        </w:rPr>
        <w:t xml:space="preserve"> este tema y </w:t>
      </w:r>
      <w:r w:rsidR="004A5547" w:rsidRPr="00CF7A28">
        <w:rPr>
          <w:sz w:val="22"/>
          <w:szCs w:val="22"/>
          <w:lang w:val="es-419"/>
        </w:rPr>
        <w:t>se abrirán</w:t>
      </w:r>
      <w:r w:rsidRPr="00CF7A28">
        <w:rPr>
          <w:sz w:val="22"/>
          <w:szCs w:val="22"/>
          <w:lang w:val="es-419"/>
        </w:rPr>
        <w:t xml:space="preserve"> espacio</w:t>
      </w:r>
      <w:r w:rsidR="004A5547" w:rsidRPr="00CF7A28">
        <w:rPr>
          <w:sz w:val="22"/>
          <w:szCs w:val="22"/>
          <w:lang w:val="es-419"/>
        </w:rPr>
        <w:t>s</w:t>
      </w:r>
      <w:r w:rsidRPr="00CF7A28">
        <w:rPr>
          <w:sz w:val="22"/>
          <w:szCs w:val="22"/>
          <w:lang w:val="es-419"/>
        </w:rPr>
        <w:t xml:space="preserve"> para las intervenciones de los Estados miembros con el fin de compartir información y revisar los avances </w:t>
      </w:r>
      <w:r w:rsidR="00A75178">
        <w:rPr>
          <w:sz w:val="22"/>
          <w:szCs w:val="22"/>
          <w:lang w:val="es-419"/>
        </w:rPr>
        <w:t>en materia de</w:t>
      </w:r>
      <w:r w:rsidRPr="00CF7A28">
        <w:rPr>
          <w:sz w:val="22"/>
          <w:szCs w:val="22"/>
          <w:lang w:val="es-419"/>
        </w:rPr>
        <w:t xml:space="preserve"> </w:t>
      </w:r>
      <w:r w:rsidR="00A75178">
        <w:rPr>
          <w:sz w:val="22"/>
          <w:szCs w:val="22"/>
          <w:lang w:val="es-419"/>
        </w:rPr>
        <w:t>r</w:t>
      </w:r>
      <w:r w:rsidRPr="00CF7A28">
        <w:rPr>
          <w:sz w:val="22"/>
          <w:szCs w:val="22"/>
          <w:lang w:val="es-419"/>
        </w:rPr>
        <w:t xml:space="preserve">egularización de migrantes y la ampliación de canales de admisión y estancia. </w:t>
      </w:r>
      <w:r w:rsidR="00C92EBB" w:rsidRPr="00525A5D">
        <w:rPr>
          <w:noProof/>
          <w:sz w:val="22"/>
          <w:szCs w:val="22"/>
        </w:rPr>
        <mc:AlternateContent>
          <mc:Choice Requires="wps">
            <w:drawing>
              <wp:anchor distT="0" distB="0" distL="114300" distR="114300" simplePos="0" relativeHeight="251659264" behindDoc="0" locked="1" layoutInCell="1" allowOverlap="1" wp14:anchorId="471ADF43" wp14:editId="0AF842B0">
                <wp:simplePos x="0" y="0"/>
                <wp:positionH relativeFrom="column">
                  <wp:posOffset>-88265</wp:posOffset>
                </wp:positionH>
                <wp:positionV relativeFrom="page">
                  <wp:posOffset>9495790</wp:posOffset>
                </wp:positionV>
                <wp:extent cx="3383280"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38125"/>
                        </a:xfrm>
                        <a:prstGeom prst="rect">
                          <a:avLst/>
                        </a:prstGeom>
                        <a:noFill/>
                        <a:ln w="9525" cap="flat" cmpd="sng" algn="ctr">
                          <a:noFill/>
                          <a:prstDash val="solid"/>
                          <a:round/>
                          <a:headEnd type="none" w="med" len="med"/>
                          <a:tailEnd type="none" w="med" len="med"/>
                        </a:ln>
                      </wps:spPr>
                      <wps:txbx>
                        <w:txbxContent>
                          <w:p w14:paraId="63EA4207" w14:textId="77A98C77" w:rsidR="00C92EBB" w:rsidRPr="00C92EBB" w:rsidRDefault="00C92EBB">
                            <w:pPr>
                              <w:rPr>
                                <w:sz w:val="18"/>
                              </w:rPr>
                            </w:pPr>
                            <w:r>
                              <w:rPr>
                                <w:sz w:val="18"/>
                              </w:rPr>
                              <w:fldChar w:fldCharType="begin"/>
                            </w:r>
                            <w:r>
                              <w:rPr>
                                <w:sz w:val="18"/>
                              </w:rPr>
                              <w:instrText xml:space="preserve"> FILENAME  \* MERGEFORMAT </w:instrText>
                            </w:r>
                            <w:r>
                              <w:rPr>
                                <w:sz w:val="18"/>
                              </w:rPr>
                              <w:fldChar w:fldCharType="separate"/>
                            </w:r>
                            <w:r w:rsidR="008C0EC0">
                              <w:rPr>
                                <w:noProof/>
                                <w:sz w:val="18"/>
                              </w:rPr>
                              <w:t>CIDRP03582S01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1ADF43" id="_x0000_t202" coordsize="21600,21600" o:spt="202" path="m,l,21600r21600,l21600,xe">
                <v:stroke joinstyle="miter"/>
                <v:path gradientshapeok="t" o:connecttype="rect"/>
              </v:shapetype>
              <v:shape id="Text Box 2" o:spid="_x0000_s1026" type="#_x0000_t202" style="position:absolute;left:0;text-align:left;margin-left:-6.95pt;margin-top:747.7pt;width:266.4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" filled="f" stroked="f">
                <v:stroke joinstyle="round"/>
                <v:textbox>
                  <w:txbxContent>
                    <w:p w14:paraId="63EA4207" w14:textId="77A98C77" w:rsidR="00C92EBB" w:rsidRPr="00C92EBB" w:rsidRDefault="00C92EBB">
                      <w:pPr>
                        <w:rPr>
                          <w:sz w:val="18"/>
                        </w:rPr>
                      </w:pPr>
                      <w:r>
                        <w:rPr>
                          <w:sz w:val="18"/>
                        </w:rPr>
                        <w:fldChar w:fldCharType="begin"/>
                      </w:r>
                      <w:r>
                        <w:rPr>
                          <w:sz w:val="18"/>
                        </w:rPr>
                        <w:instrText xml:space="preserve"> FILENAME  \* MERGEFORMAT </w:instrText>
                      </w:r>
                      <w:r>
                        <w:rPr>
                          <w:sz w:val="18"/>
                        </w:rPr>
                        <w:fldChar w:fldCharType="separate"/>
                      </w:r>
                      <w:r w:rsidR="008C0EC0">
                        <w:rPr>
                          <w:noProof/>
                          <w:sz w:val="18"/>
                        </w:rPr>
                        <w:t>CIDRP03582S01</w:t>
                      </w:r>
                      <w:r>
                        <w:rPr>
                          <w:sz w:val="18"/>
                        </w:rPr>
                        <w:fldChar w:fldCharType="end"/>
                      </w:r>
                    </w:p>
                  </w:txbxContent>
                </v:textbox>
                <w10:wrap anchory="page"/>
                <w10:anchorlock/>
              </v:shape>
            </w:pict>
          </mc:Fallback>
        </mc:AlternateContent>
      </w:r>
    </w:p>
    <w:sectPr w:rsidR="00204505" w:rsidRPr="00525A5D" w:rsidSect="0041487D">
      <w:headerReference w:type="default" r:id="rId8"/>
      <w:pgSz w:w="12240" w:h="15840"/>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18EF" w14:textId="77777777" w:rsidR="00DC170E" w:rsidRDefault="00DC170E" w:rsidP="00204505">
      <w:r>
        <w:separator/>
      </w:r>
    </w:p>
  </w:endnote>
  <w:endnote w:type="continuationSeparator" w:id="0">
    <w:p w14:paraId="4B4E630D" w14:textId="77777777" w:rsidR="00DC170E" w:rsidRDefault="00DC170E" w:rsidP="0020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B616" w14:textId="77777777" w:rsidR="00DC170E" w:rsidRDefault="00DC170E" w:rsidP="00204505">
      <w:r>
        <w:separator/>
      </w:r>
    </w:p>
  </w:footnote>
  <w:footnote w:type="continuationSeparator" w:id="0">
    <w:p w14:paraId="7323574C" w14:textId="77777777" w:rsidR="00DC170E" w:rsidRDefault="00DC170E" w:rsidP="00204505">
      <w:r>
        <w:continuationSeparator/>
      </w:r>
    </w:p>
  </w:footnote>
  <w:footnote w:id="1">
    <w:p w14:paraId="0B9C11ED" w14:textId="38931562" w:rsidR="00307499" w:rsidRPr="00DC6CDA" w:rsidRDefault="00307499">
      <w:pPr>
        <w:pStyle w:val="FootnoteText"/>
        <w:rPr>
          <w:lang w:val="fr-FR"/>
        </w:rPr>
      </w:pPr>
      <w:r>
        <w:rPr>
          <w:rStyle w:val="FootnoteReference"/>
        </w:rPr>
        <w:footnoteRef/>
      </w:r>
      <w:r w:rsidRPr="00DC6CDA">
        <w:rPr>
          <w:lang w:val="fr-FR"/>
        </w:rPr>
        <w:t xml:space="preserve"> </w:t>
      </w:r>
      <w:r w:rsidR="00F47B3E" w:rsidRPr="00DC6CDA">
        <w:rPr>
          <w:lang w:val="fr-FR"/>
        </w:rPr>
        <w:t xml:space="preserve">OIM, OIT, </w:t>
      </w:r>
      <w:r w:rsidR="00DC6CDA">
        <w:rPr>
          <w:lang w:val="fr-FR"/>
        </w:rPr>
        <w:t>ACNUDH</w:t>
      </w:r>
      <w:r w:rsidR="00F47B3E" w:rsidRPr="00DC6CDA">
        <w:rPr>
          <w:lang w:val="fr-FR"/>
        </w:rPr>
        <w:t xml:space="preserve">, </w:t>
      </w:r>
      <w:hyperlink r:id="rId1" w:history="1">
        <w:r w:rsidR="00F47B3E" w:rsidRPr="00DC6CDA">
          <w:rPr>
            <w:rStyle w:val="Hyperlink"/>
            <w:lang w:val="fr-FR"/>
          </w:rPr>
          <w:t>International Migration, Racism, Discrimination and Xenophobia</w:t>
        </w:r>
      </w:hyperlink>
      <w:r w:rsidR="00DC6CDA">
        <w:rPr>
          <w:lang w:val="fr-FR"/>
        </w:rPr>
        <w:t xml:space="preserve">, Agosto de </w:t>
      </w:r>
      <w:r w:rsidR="00F47B3E" w:rsidRPr="00DC6CDA">
        <w:rPr>
          <w:lang w:val="fr-FR"/>
        </w:rPr>
        <w:t>2001</w:t>
      </w:r>
      <w:r w:rsidRPr="00DC6CDA">
        <w:rPr>
          <w:lang w:val="fr-FR"/>
        </w:rPr>
        <w:t xml:space="preserve"> p. 1</w:t>
      </w:r>
      <w:r w:rsidR="00DC6CDA">
        <w:rPr>
          <w:lang w:val="fr-FR"/>
        </w:rPr>
        <w:t>.</w:t>
      </w:r>
    </w:p>
  </w:footnote>
  <w:footnote w:id="2">
    <w:p w14:paraId="23EE877D" w14:textId="1D66E7F8" w:rsidR="005574F0" w:rsidRPr="00DC6CDA" w:rsidRDefault="005574F0" w:rsidP="005574F0">
      <w:pPr>
        <w:pStyle w:val="FootnoteText"/>
        <w:rPr>
          <w:lang w:val="fr-FR"/>
        </w:rPr>
      </w:pPr>
      <w:r>
        <w:rPr>
          <w:rStyle w:val="FootnoteReference"/>
        </w:rPr>
        <w:footnoteRef/>
      </w:r>
      <w:r w:rsidRPr="00DC6CDA">
        <w:rPr>
          <w:lang w:val="fr-FR"/>
        </w:rPr>
        <w:t xml:space="preserve"> </w:t>
      </w:r>
      <w:r w:rsidR="00DC6CDA" w:rsidRPr="00DC6CDA">
        <w:rPr>
          <w:lang w:val="fr-FR"/>
        </w:rPr>
        <w:t xml:space="preserve">OIM, OIT, </w:t>
      </w:r>
      <w:r w:rsidR="00DC6CDA">
        <w:rPr>
          <w:lang w:val="fr-FR"/>
        </w:rPr>
        <w:t>ACNUDH</w:t>
      </w:r>
      <w:r w:rsidR="00DC6CDA" w:rsidRPr="00DC6CDA">
        <w:rPr>
          <w:lang w:val="fr-FR"/>
        </w:rPr>
        <w:t xml:space="preserve">, </w:t>
      </w:r>
      <w:hyperlink r:id="rId2" w:history="1">
        <w:r w:rsidR="00DC6CDA" w:rsidRPr="00DC6CDA">
          <w:rPr>
            <w:rStyle w:val="Hyperlink"/>
            <w:lang w:val="fr-FR"/>
          </w:rPr>
          <w:t>International Migration, Racism, Discrimination and Xenophobia</w:t>
        </w:r>
      </w:hyperlink>
      <w:r w:rsidR="00DC6CDA">
        <w:rPr>
          <w:lang w:val="fr-FR"/>
        </w:rPr>
        <w:t xml:space="preserve">, Agosto de </w:t>
      </w:r>
      <w:r w:rsidR="00DC6CDA" w:rsidRPr="00DC6CDA">
        <w:rPr>
          <w:lang w:val="fr-FR"/>
        </w:rPr>
        <w:t>2001</w:t>
      </w:r>
      <w:r w:rsidRPr="00DC6CDA">
        <w:rPr>
          <w:lang w:val="fr-FR"/>
        </w:rPr>
        <w:t>, p</w:t>
      </w:r>
      <w:r w:rsidR="00DC6CDA" w:rsidRPr="00DC6CDA">
        <w:rPr>
          <w:lang w:val="fr-FR"/>
        </w:rPr>
        <w:t>.</w:t>
      </w:r>
      <w:r w:rsidRPr="00DC6CDA">
        <w:rPr>
          <w:lang w:val="fr-FR"/>
        </w:rPr>
        <w:t>2.</w:t>
      </w:r>
    </w:p>
  </w:footnote>
  <w:footnote w:id="3">
    <w:p w14:paraId="259700FD" w14:textId="64670583" w:rsidR="00720849" w:rsidRPr="000818AD" w:rsidRDefault="00720849" w:rsidP="000818AD">
      <w:pPr>
        <w:pStyle w:val="FootnoteText"/>
      </w:pPr>
      <w:r>
        <w:rPr>
          <w:rStyle w:val="FootnoteReference"/>
        </w:rPr>
        <w:footnoteRef/>
      </w:r>
      <w:r w:rsidR="00DC6CDA" w:rsidRPr="000818AD">
        <w:t xml:space="preserve">OIM, </w:t>
      </w:r>
      <w:hyperlink r:id="rId3" w:history="1">
        <w:r w:rsidR="000818AD" w:rsidRPr="000818AD">
          <w:rPr>
            <w:rStyle w:val="Hyperlink"/>
          </w:rPr>
          <w:t xml:space="preserve">Countering </w:t>
        </w:r>
        <w:r w:rsidR="000818AD">
          <w:rPr>
            <w:rStyle w:val="Hyperlink"/>
          </w:rPr>
          <w:t>X</w:t>
        </w:r>
        <w:r w:rsidR="000818AD" w:rsidRPr="000818AD">
          <w:rPr>
            <w:rStyle w:val="Hyperlink"/>
          </w:rPr>
          <w:t xml:space="preserve">enophobia and </w:t>
        </w:r>
        <w:r w:rsidR="000818AD">
          <w:rPr>
            <w:rStyle w:val="Hyperlink"/>
          </w:rPr>
          <w:t>S</w:t>
        </w:r>
        <w:r w:rsidR="000818AD" w:rsidRPr="000818AD">
          <w:rPr>
            <w:rStyle w:val="Hyperlink"/>
          </w:rPr>
          <w:t xml:space="preserve">tigma to </w:t>
        </w:r>
        <w:r w:rsidR="000818AD">
          <w:rPr>
            <w:rStyle w:val="Hyperlink"/>
          </w:rPr>
          <w:t>F</w:t>
        </w:r>
        <w:r w:rsidR="000818AD" w:rsidRPr="000818AD">
          <w:rPr>
            <w:rStyle w:val="Hyperlink"/>
          </w:rPr>
          <w:t xml:space="preserve">oster </w:t>
        </w:r>
        <w:r w:rsidR="000818AD">
          <w:rPr>
            <w:rStyle w:val="Hyperlink"/>
          </w:rPr>
          <w:t>S</w:t>
        </w:r>
        <w:r w:rsidR="000818AD" w:rsidRPr="000818AD">
          <w:rPr>
            <w:rStyle w:val="Hyperlink"/>
          </w:rPr>
          <w:t xml:space="preserve">ocial </w:t>
        </w:r>
        <w:r w:rsidR="000818AD">
          <w:rPr>
            <w:rStyle w:val="Hyperlink"/>
          </w:rPr>
          <w:t>C</w:t>
        </w:r>
        <w:r w:rsidR="000818AD" w:rsidRPr="000818AD">
          <w:rPr>
            <w:rStyle w:val="Hyperlink"/>
          </w:rPr>
          <w:t xml:space="preserve">ohesion in the </w:t>
        </w:r>
        <w:r w:rsidR="000818AD">
          <w:rPr>
            <w:rStyle w:val="Hyperlink"/>
          </w:rPr>
          <w:t>C</w:t>
        </w:r>
        <w:r w:rsidR="000818AD" w:rsidRPr="000818AD">
          <w:rPr>
            <w:rStyle w:val="Hyperlink"/>
          </w:rPr>
          <w:t xml:space="preserve">ovid 19 </w:t>
        </w:r>
        <w:r w:rsidR="000818AD">
          <w:rPr>
            <w:rStyle w:val="Hyperlink"/>
          </w:rPr>
          <w:t>R</w:t>
        </w:r>
        <w:r w:rsidR="000818AD" w:rsidRPr="000818AD">
          <w:rPr>
            <w:rStyle w:val="Hyperlink"/>
          </w:rPr>
          <w:t xml:space="preserve">esponse and </w:t>
        </w:r>
        <w:r w:rsidR="000818AD">
          <w:rPr>
            <w:rStyle w:val="Hyperlink"/>
          </w:rPr>
          <w:t>R</w:t>
        </w:r>
        <w:r w:rsidR="000818AD" w:rsidRPr="000818AD">
          <w:rPr>
            <w:rStyle w:val="Hyperlink"/>
          </w:rPr>
          <w:t>ecovery</w:t>
        </w:r>
      </w:hyperlink>
      <w:r w:rsidR="000818AD">
        <w:t>, Julio de 2020,</w:t>
      </w:r>
      <w:r w:rsidRPr="000818AD">
        <w:t xml:space="preserve"> p. 2-4</w:t>
      </w:r>
    </w:p>
  </w:footnote>
  <w:footnote w:id="4">
    <w:p w14:paraId="71B5CC4F" w14:textId="6A16CDFE" w:rsidR="00D911B5" w:rsidRPr="000818AD" w:rsidRDefault="00D911B5" w:rsidP="000818AD">
      <w:pPr>
        <w:pStyle w:val="FootnoteText"/>
        <w:rPr>
          <w:lang w:val="es-419"/>
        </w:rPr>
      </w:pPr>
      <w:r>
        <w:rPr>
          <w:rStyle w:val="FootnoteReference"/>
        </w:rPr>
        <w:footnoteRef/>
      </w:r>
      <w:r w:rsidRPr="000818AD">
        <w:rPr>
          <w:lang w:val="es-419"/>
        </w:rPr>
        <w:t xml:space="preserve"> </w:t>
      </w:r>
      <w:r w:rsidR="000818AD" w:rsidRPr="000818AD">
        <w:rPr>
          <w:lang w:val="es-419"/>
        </w:rPr>
        <w:t xml:space="preserve">ACNUR, </w:t>
      </w:r>
      <w:hyperlink r:id="rId4" w:history="1">
        <w:r w:rsidR="000818AD" w:rsidRPr="000818AD">
          <w:rPr>
            <w:rStyle w:val="Hyperlink"/>
            <w:lang w:val="es-419"/>
          </w:rPr>
          <w:t>GUÍA SOBRE RACISMO Y XENOFOBIA: Cómo ACNUR puede abordar y responder ante situaciones de racismo y xenofobia que afectan a personas bajo su mandato</w:t>
        </w:r>
      </w:hyperlink>
      <w:r w:rsidR="000818AD">
        <w:rPr>
          <w:lang w:val="es-419"/>
        </w:rPr>
        <w:t xml:space="preserve">, 2020, </w:t>
      </w:r>
      <w:r w:rsidR="00B465BA" w:rsidRPr="000818AD">
        <w:rPr>
          <w:lang w:val="es-419"/>
        </w:rPr>
        <w:t>p. 19.</w:t>
      </w:r>
    </w:p>
  </w:footnote>
  <w:footnote w:id="5">
    <w:p w14:paraId="2C197958" w14:textId="6283E9AD" w:rsidR="00744013" w:rsidRPr="00520F17" w:rsidRDefault="00744013" w:rsidP="00520F17">
      <w:pPr>
        <w:pStyle w:val="FootnoteText"/>
        <w:rPr>
          <w:lang w:val="es-419"/>
        </w:rPr>
      </w:pPr>
      <w:r>
        <w:rPr>
          <w:rStyle w:val="FootnoteReference"/>
        </w:rPr>
        <w:footnoteRef/>
      </w:r>
      <w:r w:rsidRPr="00C31D80">
        <w:rPr>
          <w:lang w:val="es-419"/>
        </w:rPr>
        <w:t xml:space="preserve"> </w:t>
      </w:r>
      <w:r w:rsidR="00520F17" w:rsidRPr="00520F17">
        <w:rPr>
          <w:lang w:val="es-419"/>
        </w:rPr>
        <w:t>CEPAL</w:t>
      </w:r>
      <w:r w:rsidR="00520F17">
        <w:rPr>
          <w:lang w:val="es-419"/>
        </w:rPr>
        <w:t xml:space="preserve">, CELADE, </w:t>
      </w:r>
      <w:r w:rsidR="00520F17" w:rsidRPr="00520F17">
        <w:rPr>
          <w:lang w:val="es-419"/>
        </w:rPr>
        <w:t>Migración internacional, derechos humanos y desarrollo,</w:t>
      </w:r>
      <w:r w:rsidR="00520F17">
        <w:rPr>
          <w:lang w:val="es-419"/>
        </w:rPr>
        <w:t xml:space="preserve"> 2006, p. 240.</w:t>
      </w:r>
    </w:p>
  </w:footnote>
  <w:footnote w:id="6">
    <w:p w14:paraId="6850DED0" w14:textId="24C802AC" w:rsidR="00744013" w:rsidRPr="00C31D80" w:rsidRDefault="00744013" w:rsidP="0035784F">
      <w:pPr>
        <w:pStyle w:val="FootnoteText"/>
        <w:rPr>
          <w:lang w:val="es-419"/>
        </w:rPr>
      </w:pPr>
      <w:r>
        <w:rPr>
          <w:rStyle w:val="FootnoteReference"/>
        </w:rPr>
        <w:footnoteRef/>
      </w:r>
      <w:r w:rsidRPr="00C31D80">
        <w:rPr>
          <w:lang w:val="es-419"/>
        </w:rPr>
        <w:t xml:space="preserve"> </w:t>
      </w:r>
      <w:r w:rsidR="0035784F">
        <w:rPr>
          <w:lang w:val="es-419"/>
        </w:rPr>
        <w:t xml:space="preserve">CEPAL, </w:t>
      </w:r>
      <w:hyperlink r:id="rId5" w:history="1">
        <w:r w:rsidR="0035784F" w:rsidRPr="0035784F">
          <w:rPr>
            <w:rStyle w:val="Hyperlink"/>
            <w:lang w:val="es-419"/>
          </w:rPr>
          <w:t>Las mujeres migrantes en las legislaciones de América Latina</w:t>
        </w:r>
      </w:hyperlink>
      <w:r w:rsidR="0035784F">
        <w:rPr>
          <w:lang w:val="es-419"/>
        </w:rPr>
        <w:t xml:space="preserve">, </w:t>
      </w:r>
      <w:r w:rsidR="00520F17">
        <w:rPr>
          <w:lang w:val="es-419"/>
        </w:rPr>
        <w:t xml:space="preserve">2019, </w:t>
      </w:r>
      <w:r w:rsidRPr="00C31D80">
        <w:rPr>
          <w:lang w:val="es-419"/>
        </w:rPr>
        <w:t>Pag 25</w:t>
      </w:r>
      <w:r w:rsidR="00520F17">
        <w:rPr>
          <w:lang w:val="es-419"/>
        </w:rPr>
        <w:t>-</w:t>
      </w:r>
      <w:r>
        <w:rPr>
          <w:lang w:val="es-419"/>
        </w:rPr>
        <w:t>26</w:t>
      </w:r>
      <w:r w:rsidR="00520F17">
        <w:rPr>
          <w:lang w:val="es-419"/>
        </w:rPr>
        <w:t>.</w:t>
      </w:r>
    </w:p>
  </w:footnote>
  <w:footnote w:id="7">
    <w:p w14:paraId="549DC41D" w14:textId="255D2889" w:rsidR="00744013" w:rsidRPr="00C31D80" w:rsidRDefault="00744013" w:rsidP="00744013">
      <w:pPr>
        <w:pStyle w:val="FootnoteText"/>
        <w:rPr>
          <w:lang w:val="es-419"/>
        </w:rPr>
      </w:pPr>
      <w:r>
        <w:rPr>
          <w:rStyle w:val="FootnoteReference"/>
        </w:rPr>
        <w:footnoteRef/>
      </w:r>
      <w:r w:rsidRPr="00C31D80">
        <w:rPr>
          <w:lang w:val="es-419"/>
        </w:rPr>
        <w:t xml:space="preserve"> </w:t>
      </w:r>
      <w:r w:rsidR="00520F17" w:rsidRPr="000818AD">
        <w:rPr>
          <w:lang w:val="es-419"/>
        </w:rPr>
        <w:t xml:space="preserve">ACNUR, </w:t>
      </w:r>
      <w:hyperlink r:id="rId6" w:history="1">
        <w:r w:rsidR="00520F17" w:rsidRPr="000818AD">
          <w:rPr>
            <w:rStyle w:val="Hyperlink"/>
            <w:lang w:val="es-419"/>
          </w:rPr>
          <w:t>GUÍA SOBRE RACISMO Y XENOFOBIA: Cómo ACNUR puede abordar y responder ante situaciones de racismo y xenofobia que afectan a personas bajo su mandato</w:t>
        </w:r>
      </w:hyperlink>
      <w:r w:rsidR="00520F17">
        <w:rPr>
          <w:lang w:val="es-419"/>
        </w:rPr>
        <w:t xml:space="preserve">, 2020, </w:t>
      </w:r>
      <w:r w:rsidR="00520F17" w:rsidRPr="000818AD">
        <w:rPr>
          <w:lang w:val="es-419"/>
        </w:rPr>
        <w:t xml:space="preserve">p. </w:t>
      </w:r>
      <w:r w:rsidR="00520F17">
        <w:rPr>
          <w:lang w:val="es-419"/>
        </w:rPr>
        <w:t>84.</w:t>
      </w:r>
    </w:p>
  </w:footnote>
  <w:footnote w:id="8">
    <w:p w14:paraId="6B196D90" w14:textId="601749F5" w:rsidR="00744013" w:rsidRPr="00C43A43" w:rsidRDefault="00744013" w:rsidP="00744013">
      <w:pPr>
        <w:pStyle w:val="FootnoteText"/>
        <w:rPr>
          <w:lang w:val="es-419"/>
        </w:rPr>
      </w:pPr>
      <w:r>
        <w:rPr>
          <w:rStyle w:val="FootnoteReference"/>
        </w:rPr>
        <w:footnoteRef/>
      </w:r>
      <w:r w:rsidRPr="00C43A43">
        <w:rPr>
          <w:lang w:val="es-419"/>
        </w:rPr>
        <w:t xml:space="preserve"> </w:t>
      </w:r>
      <w:r w:rsidR="00520F17" w:rsidRPr="00F47B3E">
        <w:rPr>
          <w:lang w:val="es-419"/>
        </w:rPr>
        <w:t>OEA</w:t>
      </w:r>
      <w:r w:rsidR="00520F17">
        <w:rPr>
          <w:lang w:val="es-419"/>
        </w:rPr>
        <w:t>,</w:t>
      </w:r>
      <w:r w:rsidR="00520F17" w:rsidRPr="00F47B3E">
        <w:rPr>
          <w:lang w:val="es-419"/>
        </w:rPr>
        <w:t xml:space="preserve"> </w:t>
      </w:r>
      <w:hyperlink r:id="rId7" w:history="1">
        <w:r w:rsidR="00520F17" w:rsidRPr="00F47B3E">
          <w:rPr>
            <w:rStyle w:val="Hyperlink"/>
            <w:lang w:val="es-419"/>
          </w:rPr>
          <w:t>Día Internacional del Migrante - "Medidas para prevenir discursos y apologías al odio tendientes a incitar la violencia o cualquier otro tipo de acciones ilegales contra personas migrantes son cruciales para evitar crímenes de odio</w:t>
        </w:r>
      </w:hyperlink>
      <w:r w:rsidR="00520F17" w:rsidRPr="00F47B3E">
        <w:rPr>
          <w:lang w:val="es-419"/>
        </w:rPr>
        <w:t xml:space="preserve">" </w:t>
      </w:r>
      <w:r w:rsidR="00520F17">
        <w:rPr>
          <w:lang w:val="es-419"/>
        </w:rPr>
        <w:t xml:space="preserve">Diciembre de </w:t>
      </w:r>
      <w:r w:rsidR="00520F17" w:rsidRPr="00F47B3E">
        <w:rPr>
          <w:lang w:val="es-419"/>
        </w:rPr>
        <w:t>2016</w:t>
      </w:r>
    </w:p>
  </w:footnote>
  <w:footnote w:id="9">
    <w:p w14:paraId="38D56A7C" w14:textId="61909E95" w:rsidR="00852288" w:rsidRPr="001E7B86" w:rsidRDefault="00852288">
      <w:pPr>
        <w:pStyle w:val="FootnoteText"/>
        <w:rPr>
          <w:lang w:val="fr-FR"/>
        </w:rPr>
      </w:pPr>
      <w:r>
        <w:rPr>
          <w:rStyle w:val="FootnoteReference"/>
        </w:rPr>
        <w:footnoteRef/>
      </w:r>
      <w:r w:rsidRPr="001E7B86">
        <w:rPr>
          <w:lang w:val="fr-FR"/>
        </w:rPr>
        <w:t xml:space="preserve"> </w:t>
      </w:r>
      <w:r w:rsidR="001E7B86" w:rsidRPr="00DC6CDA">
        <w:rPr>
          <w:lang w:val="fr-FR"/>
        </w:rPr>
        <w:t xml:space="preserve">OIM, OIT, </w:t>
      </w:r>
      <w:r w:rsidR="001E7B86">
        <w:rPr>
          <w:lang w:val="fr-FR"/>
        </w:rPr>
        <w:t>ACNUDH</w:t>
      </w:r>
      <w:r w:rsidR="001E7B86" w:rsidRPr="00DC6CDA">
        <w:rPr>
          <w:lang w:val="fr-FR"/>
        </w:rPr>
        <w:t xml:space="preserve">, </w:t>
      </w:r>
      <w:hyperlink r:id="rId8" w:history="1">
        <w:r w:rsidR="001E7B86" w:rsidRPr="00DC6CDA">
          <w:rPr>
            <w:rStyle w:val="Hyperlink"/>
            <w:lang w:val="fr-FR"/>
          </w:rPr>
          <w:t>International Migration, Racism, Discrimination and Xenophobia</w:t>
        </w:r>
      </w:hyperlink>
      <w:r w:rsidR="001E7B86">
        <w:rPr>
          <w:lang w:val="fr-FR"/>
        </w:rPr>
        <w:t xml:space="preserve">, Agosto de </w:t>
      </w:r>
      <w:r w:rsidR="001E7B86" w:rsidRPr="00DC6CDA">
        <w:rPr>
          <w:lang w:val="fr-FR"/>
        </w:rPr>
        <w:t>2001</w:t>
      </w:r>
      <w:r w:rsidR="001E7B86">
        <w:rPr>
          <w:lang w:val="fr-FR"/>
        </w:rPr>
        <w:t>,</w:t>
      </w:r>
      <w:r w:rsidR="001E7B86" w:rsidRPr="00DC6CDA">
        <w:rPr>
          <w:lang w:val="fr-FR"/>
        </w:rPr>
        <w:t xml:space="preserve"> p.</w:t>
      </w:r>
      <w:r w:rsidRPr="001E7B86">
        <w:rPr>
          <w:lang w:val="fr-FR"/>
        </w:rPr>
        <w:t xml:space="preserve"> 24</w:t>
      </w:r>
      <w:r w:rsidR="001E7B86">
        <w:rPr>
          <w:lang w:val="fr-FR"/>
        </w:rPr>
        <w:t>.</w:t>
      </w:r>
    </w:p>
  </w:footnote>
  <w:footnote w:id="10">
    <w:p w14:paraId="2AF8D829" w14:textId="66AF4AB2" w:rsidR="00930DC5" w:rsidRPr="00CF7A28" w:rsidRDefault="00930DC5" w:rsidP="00930DC5">
      <w:pPr>
        <w:pStyle w:val="FootnoteText"/>
        <w:rPr>
          <w:lang w:val="es-419"/>
        </w:rPr>
      </w:pPr>
      <w:r>
        <w:rPr>
          <w:rStyle w:val="FootnoteReference"/>
        </w:rPr>
        <w:footnoteRef/>
      </w:r>
      <w:r w:rsidRPr="00CF7A28">
        <w:rPr>
          <w:lang w:val="es-419"/>
        </w:rPr>
        <w:t xml:space="preserve"> </w:t>
      </w:r>
      <w:r w:rsidR="001E7B86">
        <w:rPr>
          <w:lang w:val="es-419"/>
        </w:rPr>
        <w:t xml:space="preserve">UNICEF, </w:t>
      </w:r>
      <w:hyperlink r:id="rId9" w:history="1">
        <w:r w:rsidR="001E7B86" w:rsidRPr="001E7B86">
          <w:rPr>
            <w:rStyle w:val="Hyperlink"/>
            <w:lang w:val="es-419"/>
          </w:rPr>
          <w:t>La regularización migratoria como condición esencial para la protección integral de los derechos de niños, niñas y adolescentes en contexto de movilidad humana</w:t>
        </w:r>
      </w:hyperlink>
      <w:r w:rsidR="001E7B86">
        <w:rPr>
          <w:lang w:val="es-419"/>
        </w:rPr>
        <w:t xml:space="preserve">, Mayo de 2020,  </w:t>
      </w:r>
      <w:r w:rsidRPr="00CF7A28">
        <w:rPr>
          <w:lang w:val="es-419"/>
        </w:rPr>
        <w:t>p.</w:t>
      </w:r>
      <w:r w:rsidR="001E7B86">
        <w:rPr>
          <w:lang w:val="es-419"/>
        </w:rPr>
        <w:t xml:space="preserve"> </w:t>
      </w:r>
      <w:r w:rsidRPr="00CF7A28">
        <w:rPr>
          <w:lang w:val="es-419"/>
        </w:rPr>
        <w:t>29</w:t>
      </w:r>
      <w:r w:rsidR="001E7B86">
        <w:rPr>
          <w:lang w:val="es-419"/>
        </w:rPr>
        <w:t>.</w:t>
      </w:r>
    </w:p>
  </w:footnote>
  <w:footnote w:id="11">
    <w:p w14:paraId="27895FBB" w14:textId="2B3E89F4" w:rsidR="00930DC5" w:rsidRPr="00222BFD" w:rsidRDefault="00930DC5" w:rsidP="00930DC5">
      <w:pPr>
        <w:pStyle w:val="FootnoteText"/>
        <w:rPr>
          <w:lang w:val="es-419"/>
        </w:rPr>
      </w:pPr>
      <w:r>
        <w:rPr>
          <w:rStyle w:val="FootnoteReference"/>
        </w:rPr>
        <w:footnoteRef/>
      </w:r>
      <w:r w:rsidRPr="00222BFD">
        <w:rPr>
          <w:lang w:val="es-419"/>
        </w:rPr>
        <w:t xml:space="preserve"> </w:t>
      </w:r>
      <w:r w:rsidR="00222BFD">
        <w:rPr>
          <w:lang w:val="es-419"/>
        </w:rPr>
        <w:t xml:space="preserve">OIM, </w:t>
      </w:r>
      <w:hyperlink r:id="rId10" w:history="1">
        <w:r w:rsidR="00222BFD" w:rsidRPr="00624857">
          <w:rPr>
            <w:rStyle w:val="Hyperlink"/>
            <w:lang w:val="es-419"/>
          </w:rPr>
          <w:t>Estudio Regional: Programas y Procesos de Regularización Migratoria</w:t>
        </w:r>
      </w:hyperlink>
      <w:r w:rsidR="00222BFD">
        <w:rPr>
          <w:lang w:val="es-419"/>
        </w:rPr>
        <w:t xml:space="preserve">, 2021, </w:t>
      </w:r>
      <w:r w:rsidR="00222BFD" w:rsidRPr="00624857">
        <w:rPr>
          <w:lang w:val="es-419"/>
        </w:rPr>
        <w:t>p.</w:t>
      </w:r>
      <w:r w:rsidR="00222BFD">
        <w:rPr>
          <w:lang w:val="es-419"/>
        </w:rPr>
        <w:t xml:space="preserve"> 1</w:t>
      </w:r>
      <w:r w:rsidR="00222BFD" w:rsidRPr="00624857">
        <w:rPr>
          <w:lang w:val="es-419"/>
        </w:rPr>
        <w:t>4</w:t>
      </w:r>
      <w:r w:rsidR="00222BFD">
        <w:rPr>
          <w:lang w:val="es-419"/>
        </w:rPr>
        <w:t>.</w:t>
      </w:r>
    </w:p>
  </w:footnote>
  <w:footnote w:id="12">
    <w:p w14:paraId="5C2A63AC" w14:textId="745B43EE" w:rsidR="00930DC5" w:rsidRPr="001E7B86" w:rsidRDefault="00930DC5" w:rsidP="00930DC5">
      <w:pPr>
        <w:pStyle w:val="FootnoteText"/>
        <w:rPr>
          <w:lang w:val="es-419"/>
        </w:rPr>
      </w:pPr>
      <w:r>
        <w:rPr>
          <w:rStyle w:val="FootnoteReference"/>
        </w:rPr>
        <w:footnoteRef/>
      </w:r>
      <w:r w:rsidRPr="001E7B86">
        <w:rPr>
          <w:lang w:val="es-419"/>
        </w:rPr>
        <w:t xml:space="preserve"> </w:t>
      </w:r>
      <w:r w:rsidR="001E7B86" w:rsidRPr="001E7B86">
        <w:rPr>
          <w:lang w:val="es-419"/>
        </w:rPr>
        <w:t xml:space="preserve">CELS, </w:t>
      </w:r>
      <w:hyperlink r:id="rId11" w:history="1">
        <w:r w:rsidR="001E7B86" w:rsidRPr="001E7B86">
          <w:rPr>
            <w:rStyle w:val="Hyperlink"/>
            <w:lang w:val="es-419"/>
          </w:rPr>
          <w:t>Laberintos de papel: Desigualdad y regularización migratoria en América del Sur</w:t>
        </w:r>
      </w:hyperlink>
      <w:r w:rsidR="001E7B86">
        <w:rPr>
          <w:lang w:val="es-419"/>
        </w:rPr>
        <w:t xml:space="preserve">, </w:t>
      </w:r>
      <w:r w:rsidR="001D08AD">
        <w:rPr>
          <w:lang w:val="es-419"/>
        </w:rPr>
        <w:t xml:space="preserve">Enero de 2020, </w:t>
      </w:r>
      <w:r w:rsidRPr="001E7B86">
        <w:rPr>
          <w:lang w:val="es-419"/>
        </w:rPr>
        <w:t>p. 7</w:t>
      </w:r>
      <w:r w:rsidR="001D08AD">
        <w:rPr>
          <w:lang w:val="es-419"/>
        </w:rPr>
        <w:t>.</w:t>
      </w:r>
    </w:p>
  </w:footnote>
  <w:footnote w:id="13">
    <w:p w14:paraId="613E960C" w14:textId="5E20AE8F" w:rsidR="00930DC5" w:rsidRPr="001E7B86" w:rsidRDefault="00930DC5" w:rsidP="00930DC5">
      <w:pPr>
        <w:pStyle w:val="FootnoteText"/>
        <w:rPr>
          <w:lang w:val="es-419"/>
        </w:rPr>
      </w:pPr>
      <w:r>
        <w:rPr>
          <w:rStyle w:val="FootnoteReference"/>
        </w:rPr>
        <w:footnoteRef/>
      </w:r>
      <w:r w:rsidRPr="001E7B86">
        <w:rPr>
          <w:lang w:val="es-419"/>
        </w:rPr>
        <w:t xml:space="preserve"> </w:t>
      </w:r>
      <w:r w:rsidR="001D08AD" w:rsidRPr="001E7B86">
        <w:rPr>
          <w:lang w:val="es-419"/>
        </w:rPr>
        <w:t xml:space="preserve">CELS, </w:t>
      </w:r>
      <w:hyperlink r:id="rId12" w:history="1">
        <w:r w:rsidR="001D08AD" w:rsidRPr="001E7B86">
          <w:rPr>
            <w:rStyle w:val="Hyperlink"/>
            <w:lang w:val="es-419"/>
          </w:rPr>
          <w:t>Laberintos de papel: Desigualdad y regularización migratoria en América del Sur</w:t>
        </w:r>
      </w:hyperlink>
      <w:r w:rsidR="001D08AD">
        <w:rPr>
          <w:lang w:val="es-419"/>
        </w:rPr>
        <w:t xml:space="preserve">, Enero de 2020, </w:t>
      </w:r>
      <w:r w:rsidR="001D08AD" w:rsidRPr="001E7B86">
        <w:rPr>
          <w:lang w:val="es-419"/>
        </w:rPr>
        <w:t xml:space="preserve">p. </w:t>
      </w:r>
      <w:r w:rsidR="001D08AD">
        <w:rPr>
          <w:lang w:val="es-419"/>
        </w:rPr>
        <w:t>1.</w:t>
      </w:r>
    </w:p>
  </w:footnote>
  <w:footnote w:id="14">
    <w:p w14:paraId="390F3F06" w14:textId="59CC44F5" w:rsidR="00930DC5" w:rsidRPr="00433604" w:rsidRDefault="00930DC5" w:rsidP="00930DC5">
      <w:pPr>
        <w:pStyle w:val="FootnoteText"/>
        <w:rPr>
          <w:lang w:val="es-419"/>
        </w:rPr>
      </w:pPr>
      <w:r>
        <w:rPr>
          <w:rStyle w:val="FootnoteReference"/>
        </w:rPr>
        <w:footnoteRef/>
      </w:r>
      <w:r w:rsidRPr="00433604">
        <w:rPr>
          <w:lang w:val="es-419"/>
        </w:rPr>
        <w:t xml:space="preserve"> FOPREL,</w:t>
      </w:r>
      <w:r w:rsidR="00433604" w:rsidRPr="00433604">
        <w:rPr>
          <w:lang w:val="es-419"/>
        </w:rPr>
        <w:t xml:space="preserve"> Ley Marco Regional en Materia de Migraciones con enfoque en Derechos Humanos</w:t>
      </w:r>
      <w:r w:rsidR="00433604">
        <w:rPr>
          <w:lang w:val="es-419"/>
        </w:rPr>
        <w:t>,</w:t>
      </w:r>
      <w:r w:rsidRPr="00433604">
        <w:rPr>
          <w:lang w:val="es-419"/>
        </w:rPr>
        <w:t xml:space="preserve"> 2019 p. 55</w:t>
      </w:r>
      <w:r w:rsidR="00433604">
        <w:rPr>
          <w:lang w:val="es-419"/>
        </w:rPr>
        <w:t>.</w:t>
      </w:r>
      <w:r w:rsidRPr="00433604">
        <w:rPr>
          <w:lang w:val="es-419"/>
        </w:rPr>
        <w:t xml:space="preserve"> </w:t>
      </w:r>
    </w:p>
  </w:footnote>
  <w:footnote w:id="15">
    <w:p w14:paraId="18F19BE7" w14:textId="1A96AA5D" w:rsidR="00930DC5" w:rsidRPr="00433604" w:rsidRDefault="00930DC5" w:rsidP="00930DC5">
      <w:pPr>
        <w:pStyle w:val="FootnoteText"/>
        <w:rPr>
          <w:lang w:val="es-419"/>
        </w:rPr>
      </w:pPr>
      <w:r>
        <w:rPr>
          <w:rStyle w:val="FootnoteReference"/>
        </w:rPr>
        <w:footnoteRef/>
      </w:r>
      <w:r w:rsidRPr="00433604">
        <w:rPr>
          <w:lang w:val="es-419"/>
        </w:rPr>
        <w:t xml:space="preserve"> </w:t>
      </w:r>
      <w:r w:rsidR="00433604" w:rsidRPr="00433604">
        <w:rPr>
          <w:lang w:val="es-419"/>
        </w:rPr>
        <w:t>La Red de las Naciones Unidas sobre la Migración</w:t>
      </w:r>
      <w:r w:rsidR="00433604">
        <w:rPr>
          <w:lang w:val="es-419"/>
        </w:rPr>
        <w:t xml:space="preserve">, </w:t>
      </w:r>
      <w:hyperlink r:id="rId13" w:history="1">
        <w:r w:rsidR="00433604" w:rsidRPr="00433604">
          <w:rPr>
            <w:rStyle w:val="Hyperlink"/>
            <w:lang w:val="es-419"/>
          </w:rPr>
          <w:t>Vías regulares para la admisión y la estancia de migrantes en situación de vulnerabilidad</w:t>
        </w:r>
      </w:hyperlink>
      <w:r w:rsidR="00433604">
        <w:rPr>
          <w:lang w:val="es-419"/>
        </w:rPr>
        <w:t>, 2021,</w:t>
      </w:r>
      <w:r w:rsidR="00433604" w:rsidRPr="00433604">
        <w:rPr>
          <w:lang w:val="es-419"/>
        </w:rPr>
        <w:t xml:space="preserve"> </w:t>
      </w:r>
      <w:r w:rsidRPr="00433604">
        <w:rPr>
          <w:lang w:val="es-419"/>
        </w:rPr>
        <w:t>p.</w:t>
      </w:r>
      <w:r w:rsidR="00433604">
        <w:rPr>
          <w:lang w:val="es-419"/>
        </w:rPr>
        <w:t xml:space="preserve"> </w:t>
      </w:r>
      <w:r w:rsidRPr="00433604">
        <w:rPr>
          <w:lang w:val="es-419"/>
        </w:rPr>
        <w:t>7</w:t>
      </w:r>
      <w:r w:rsidR="00433604">
        <w:rPr>
          <w:lang w:val="es-419"/>
        </w:rPr>
        <w:t>.</w:t>
      </w:r>
    </w:p>
  </w:footnote>
  <w:footnote w:id="16">
    <w:p w14:paraId="1B973989" w14:textId="078BD5D3" w:rsidR="004A5547" w:rsidRPr="00433604" w:rsidRDefault="004A5547" w:rsidP="004A5547">
      <w:pPr>
        <w:pStyle w:val="FootnoteText"/>
        <w:rPr>
          <w:lang w:val="es-419"/>
        </w:rPr>
      </w:pPr>
      <w:r>
        <w:rPr>
          <w:rStyle w:val="FootnoteReference"/>
        </w:rPr>
        <w:footnoteRef/>
      </w:r>
      <w:r w:rsidRPr="00433604">
        <w:rPr>
          <w:lang w:val="es-419"/>
        </w:rPr>
        <w:t xml:space="preserve"> </w:t>
      </w:r>
      <w:r w:rsidR="00433604" w:rsidRPr="00433604">
        <w:rPr>
          <w:lang w:val="es-419"/>
        </w:rPr>
        <w:t>La Red de las Naciones Unidas sobre la Migración</w:t>
      </w:r>
      <w:r w:rsidR="00433604">
        <w:rPr>
          <w:lang w:val="es-419"/>
        </w:rPr>
        <w:t xml:space="preserve">, </w:t>
      </w:r>
      <w:hyperlink r:id="rId14" w:history="1">
        <w:r w:rsidR="00433604" w:rsidRPr="00433604">
          <w:rPr>
            <w:rStyle w:val="Hyperlink"/>
            <w:lang w:val="es-419"/>
          </w:rPr>
          <w:t>Vías regulares para la admisión y la estancia de migrantes en situación de vulnerabilidad</w:t>
        </w:r>
      </w:hyperlink>
      <w:r w:rsidR="00433604">
        <w:rPr>
          <w:lang w:val="es-419"/>
        </w:rPr>
        <w:t>, 2021,</w:t>
      </w:r>
      <w:r w:rsidR="00433604" w:rsidRPr="00433604">
        <w:rPr>
          <w:lang w:val="es-419"/>
        </w:rPr>
        <w:t xml:space="preserve"> p.</w:t>
      </w:r>
      <w:r w:rsidR="00433604">
        <w:rPr>
          <w:lang w:val="es-419"/>
        </w:rPr>
        <w:t xml:space="preserve"> </w:t>
      </w:r>
      <w:r w:rsidR="00433604" w:rsidRPr="00433604">
        <w:rPr>
          <w:lang w:val="es-419"/>
        </w:rPr>
        <w:t>7</w:t>
      </w:r>
      <w:r w:rsidR="00433604">
        <w:rPr>
          <w:lang w:val="es-419"/>
        </w:rPr>
        <w:t>.</w:t>
      </w:r>
    </w:p>
  </w:footnote>
  <w:footnote w:id="17">
    <w:p w14:paraId="07F6B4C7" w14:textId="345A4EBF" w:rsidR="00930DC5" w:rsidRPr="00433604" w:rsidRDefault="00930DC5" w:rsidP="00930DC5">
      <w:pPr>
        <w:pStyle w:val="FootnoteText"/>
        <w:rPr>
          <w:lang w:val="es-419"/>
        </w:rPr>
      </w:pPr>
      <w:r>
        <w:rPr>
          <w:rStyle w:val="FootnoteReference"/>
        </w:rPr>
        <w:footnoteRef/>
      </w:r>
      <w:r w:rsidRPr="00433604">
        <w:rPr>
          <w:lang w:val="es-419"/>
        </w:rPr>
        <w:t xml:space="preserve"> </w:t>
      </w:r>
      <w:r w:rsidR="00433604" w:rsidRPr="00433604">
        <w:rPr>
          <w:lang w:val="es-419"/>
        </w:rPr>
        <w:t>La Red de las Naciones Unidas sobre la Migración</w:t>
      </w:r>
      <w:r w:rsidR="00433604">
        <w:rPr>
          <w:lang w:val="es-419"/>
        </w:rPr>
        <w:t xml:space="preserve">, </w:t>
      </w:r>
      <w:hyperlink r:id="rId15" w:history="1">
        <w:r w:rsidR="00433604" w:rsidRPr="00433604">
          <w:rPr>
            <w:rStyle w:val="Hyperlink"/>
            <w:lang w:val="es-419"/>
          </w:rPr>
          <w:t>Vías regulares para la admisión y la estancia de migrantes en situación de vulnerabilidad</w:t>
        </w:r>
      </w:hyperlink>
      <w:r w:rsidR="00433604">
        <w:rPr>
          <w:lang w:val="es-419"/>
        </w:rPr>
        <w:t>, 2021,</w:t>
      </w:r>
      <w:r w:rsidR="00433604" w:rsidRPr="00433604">
        <w:rPr>
          <w:lang w:val="es-419"/>
        </w:rPr>
        <w:t xml:space="preserve"> p.</w:t>
      </w:r>
      <w:r w:rsidR="00433604">
        <w:rPr>
          <w:lang w:val="es-419"/>
        </w:rPr>
        <w:t xml:space="preserve"> 8.</w:t>
      </w:r>
    </w:p>
  </w:footnote>
  <w:footnote w:id="18">
    <w:p w14:paraId="1E81F130" w14:textId="61BC50B0" w:rsidR="00930DC5" w:rsidRPr="00624857" w:rsidRDefault="00930DC5" w:rsidP="00930DC5">
      <w:pPr>
        <w:pStyle w:val="FootnoteText"/>
        <w:rPr>
          <w:lang w:val="es-419"/>
        </w:rPr>
      </w:pPr>
      <w:r>
        <w:rPr>
          <w:rStyle w:val="FootnoteReference"/>
        </w:rPr>
        <w:footnoteRef/>
      </w:r>
      <w:r w:rsidRPr="00624857">
        <w:rPr>
          <w:lang w:val="es-419"/>
        </w:rPr>
        <w:t xml:space="preserve"> </w:t>
      </w:r>
      <w:r w:rsidR="00624857">
        <w:rPr>
          <w:lang w:val="es-419"/>
        </w:rPr>
        <w:t xml:space="preserve">OIM, </w:t>
      </w:r>
      <w:hyperlink r:id="rId16" w:history="1">
        <w:r w:rsidR="00624857" w:rsidRPr="00624857">
          <w:rPr>
            <w:rStyle w:val="Hyperlink"/>
            <w:lang w:val="es-419"/>
          </w:rPr>
          <w:t>Estudio Regional: Programas y Procesos de Regularización Migratoria</w:t>
        </w:r>
      </w:hyperlink>
      <w:r w:rsidR="00624857">
        <w:rPr>
          <w:lang w:val="es-419"/>
        </w:rPr>
        <w:t xml:space="preserve">, 2021, </w:t>
      </w:r>
      <w:r w:rsidRPr="00624857">
        <w:rPr>
          <w:lang w:val="es-419"/>
        </w:rPr>
        <w:t>p.</w:t>
      </w:r>
      <w:r w:rsidR="00624857">
        <w:rPr>
          <w:lang w:val="es-419"/>
        </w:rPr>
        <w:t xml:space="preserve"> </w:t>
      </w:r>
      <w:r w:rsidRPr="00624857">
        <w:rPr>
          <w:lang w:val="es-419"/>
        </w:rPr>
        <w:t>4</w:t>
      </w:r>
      <w:r w:rsidR="00624857">
        <w:rPr>
          <w:lang w:val="es-419"/>
        </w:rPr>
        <w:t>.</w:t>
      </w:r>
    </w:p>
  </w:footnote>
  <w:footnote w:id="19">
    <w:p w14:paraId="7A0E8F6F" w14:textId="1BC9DBF3" w:rsidR="00930DC5" w:rsidRPr="00624857" w:rsidRDefault="00930DC5" w:rsidP="00930DC5">
      <w:pPr>
        <w:pStyle w:val="FootnoteText"/>
        <w:rPr>
          <w:lang w:val="es-419"/>
        </w:rPr>
      </w:pPr>
      <w:r>
        <w:rPr>
          <w:rStyle w:val="FootnoteReference"/>
        </w:rPr>
        <w:footnoteRef/>
      </w:r>
      <w:r w:rsidRPr="00624857">
        <w:rPr>
          <w:lang w:val="es-419"/>
        </w:rPr>
        <w:t xml:space="preserve"> </w:t>
      </w:r>
      <w:r w:rsidR="00433604" w:rsidRPr="00433604">
        <w:rPr>
          <w:lang w:val="es-419"/>
        </w:rPr>
        <w:t>La Red de las Naciones Unidas sobre la Migración</w:t>
      </w:r>
      <w:r w:rsidR="00433604">
        <w:rPr>
          <w:lang w:val="es-419"/>
        </w:rPr>
        <w:t xml:space="preserve">, </w:t>
      </w:r>
      <w:hyperlink r:id="rId17" w:history="1">
        <w:r w:rsidR="00433604" w:rsidRPr="00433604">
          <w:rPr>
            <w:rStyle w:val="Hyperlink"/>
            <w:lang w:val="es-419"/>
          </w:rPr>
          <w:t>Vías regulares para la admisión y la estancia de migrantes en situación de vulnerabilidad</w:t>
        </w:r>
      </w:hyperlink>
      <w:r w:rsidR="00433604">
        <w:rPr>
          <w:lang w:val="es-419"/>
        </w:rPr>
        <w:t>, 2021,</w:t>
      </w:r>
      <w:r w:rsidR="00433604" w:rsidRPr="00433604">
        <w:rPr>
          <w:lang w:val="es-419"/>
        </w:rPr>
        <w:t xml:space="preserve"> p.</w:t>
      </w:r>
      <w:r w:rsidR="00433604">
        <w:rPr>
          <w:lang w:val="es-419"/>
        </w:rPr>
        <w:t xml:space="preserve"> 13.</w:t>
      </w:r>
      <w:r w:rsidRPr="00624857">
        <w:rPr>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63373"/>
      <w:docPartObj>
        <w:docPartGallery w:val="Page Numbers (Top of Page)"/>
        <w:docPartUnique/>
      </w:docPartObj>
    </w:sdtPr>
    <w:sdtEndPr>
      <w:rPr>
        <w:noProof/>
      </w:rPr>
    </w:sdtEndPr>
    <w:sdtContent>
      <w:p w14:paraId="73162A74" w14:textId="08F23991" w:rsidR="00204505" w:rsidRDefault="00204505">
        <w:pPr>
          <w:pStyle w:val="Header"/>
          <w:jc w:val="center"/>
        </w:pPr>
        <w:r>
          <w:fldChar w:fldCharType="begin"/>
        </w:r>
        <w:r>
          <w:instrText xml:space="preserve"> PAGE  \* ArabicDash  \* MERGEFORMAT </w:instrText>
        </w:r>
        <w:r>
          <w:fldChar w:fldCharType="separate"/>
        </w:r>
        <w:r w:rsidR="00E80F35">
          <w:rPr>
            <w:noProof/>
          </w:rPr>
          <w:t>- 3 -</w:t>
        </w:r>
        <w:r>
          <w:fldChar w:fldCharType="end"/>
        </w:r>
      </w:p>
    </w:sdtContent>
  </w:sdt>
  <w:p w14:paraId="7D0DA528" w14:textId="77777777" w:rsidR="00204505" w:rsidRPr="00204505" w:rsidRDefault="00204505" w:rsidP="00204505">
    <w:pPr>
      <w:pStyle w:val="Header"/>
      <w:jc w:val="cent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0F06"/>
    <w:multiLevelType w:val="hybridMultilevel"/>
    <w:tmpl w:val="2CA8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E5D2A"/>
    <w:multiLevelType w:val="multilevel"/>
    <w:tmpl w:val="DDDE35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62749819">
    <w:abstractNumId w:val="1"/>
  </w:num>
  <w:num w:numId="2" w16cid:durableId="44512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05"/>
    <w:rsid w:val="00050F24"/>
    <w:rsid w:val="000818AD"/>
    <w:rsid w:val="000A2DD6"/>
    <w:rsid w:val="000D3702"/>
    <w:rsid w:val="00116FE2"/>
    <w:rsid w:val="00122A18"/>
    <w:rsid w:val="00141B39"/>
    <w:rsid w:val="00161720"/>
    <w:rsid w:val="00164479"/>
    <w:rsid w:val="00171502"/>
    <w:rsid w:val="00187A29"/>
    <w:rsid w:val="00192436"/>
    <w:rsid w:val="001955DE"/>
    <w:rsid w:val="001A2C0B"/>
    <w:rsid w:val="001B578D"/>
    <w:rsid w:val="001B7D61"/>
    <w:rsid w:val="001D08AD"/>
    <w:rsid w:val="001D35A8"/>
    <w:rsid w:val="001D6950"/>
    <w:rsid w:val="001E7B86"/>
    <w:rsid w:val="00204505"/>
    <w:rsid w:val="002227ED"/>
    <w:rsid w:val="00222BFD"/>
    <w:rsid w:val="002253B0"/>
    <w:rsid w:val="00263A74"/>
    <w:rsid w:val="0027713B"/>
    <w:rsid w:val="00293AB3"/>
    <w:rsid w:val="002D2FD9"/>
    <w:rsid w:val="002D7396"/>
    <w:rsid w:val="002E2D3B"/>
    <w:rsid w:val="00307499"/>
    <w:rsid w:val="003165E8"/>
    <w:rsid w:val="00323E36"/>
    <w:rsid w:val="00336AFA"/>
    <w:rsid w:val="003406CB"/>
    <w:rsid w:val="0035784F"/>
    <w:rsid w:val="00391A8F"/>
    <w:rsid w:val="00394A7B"/>
    <w:rsid w:val="003A462E"/>
    <w:rsid w:val="003B01DE"/>
    <w:rsid w:val="003E62A1"/>
    <w:rsid w:val="004123A9"/>
    <w:rsid w:val="0041487D"/>
    <w:rsid w:val="00433604"/>
    <w:rsid w:val="00475362"/>
    <w:rsid w:val="00480AA7"/>
    <w:rsid w:val="00492599"/>
    <w:rsid w:val="004A48D8"/>
    <w:rsid w:val="004A5547"/>
    <w:rsid w:val="004C22BC"/>
    <w:rsid w:val="004C5B4B"/>
    <w:rsid w:val="004C5D34"/>
    <w:rsid w:val="004E0079"/>
    <w:rsid w:val="005034B9"/>
    <w:rsid w:val="00520F17"/>
    <w:rsid w:val="00525A5D"/>
    <w:rsid w:val="00525C60"/>
    <w:rsid w:val="005449FE"/>
    <w:rsid w:val="005574F0"/>
    <w:rsid w:val="005C64C8"/>
    <w:rsid w:val="006203BD"/>
    <w:rsid w:val="00624857"/>
    <w:rsid w:val="00644714"/>
    <w:rsid w:val="00656F4F"/>
    <w:rsid w:val="0066597F"/>
    <w:rsid w:val="00672F36"/>
    <w:rsid w:val="006B3326"/>
    <w:rsid w:val="006D0E12"/>
    <w:rsid w:val="006E219F"/>
    <w:rsid w:val="006E2FE2"/>
    <w:rsid w:val="006E667D"/>
    <w:rsid w:val="007051E8"/>
    <w:rsid w:val="00720849"/>
    <w:rsid w:val="00721987"/>
    <w:rsid w:val="00725DC8"/>
    <w:rsid w:val="00744013"/>
    <w:rsid w:val="00747396"/>
    <w:rsid w:val="00754C56"/>
    <w:rsid w:val="00757B6F"/>
    <w:rsid w:val="00760E42"/>
    <w:rsid w:val="007629E6"/>
    <w:rsid w:val="00762A63"/>
    <w:rsid w:val="007678B1"/>
    <w:rsid w:val="00774D52"/>
    <w:rsid w:val="00780B72"/>
    <w:rsid w:val="007B5A91"/>
    <w:rsid w:val="007F271F"/>
    <w:rsid w:val="007F2869"/>
    <w:rsid w:val="007F4B4D"/>
    <w:rsid w:val="007F6EC9"/>
    <w:rsid w:val="00801589"/>
    <w:rsid w:val="00802FF1"/>
    <w:rsid w:val="008077F8"/>
    <w:rsid w:val="00824DE9"/>
    <w:rsid w:val="00826E7E"/>
    <w:rsid w:val="00845460"/>
    <w:rsid w:val="00852288"/>
    <w:rsid w:val="00856F72"/>
    <w:rsid w:val="00880B18"/>
    <w:rsid w:val="008B6D10"/>
    <w:rsid w:val="008C0EC0"/>
    <w:rsid w:val="008C24B9"/>
    <w:rsid w:val="008D1406"/>
    <w:rsid w:val="008E5D90"/>
    <w:rsid w:val="0090056D"/>
    <w:rsid w:val="00930DC5"/>
    <w:rsid w:val="00932AD6"/>
    <w:rsid w:val="009745D7"/>
    <w:rsid w:val="009E2CF9"/>
    <w:rsid w:val="009E3563"/>
    <w:rsid w:val="009E40F3"/>
    <w:rsid w:val="009F5FD8"/>
    <w:rsid w:val="00A16775"/>
    <w:rsid w:val="00A325DF"/>
    <w:rsid w:val="00A54B1F"/>
    <w:rsid w:val="00A7304A"/>
    <w:rsid w:val="00A75178"/>
    <w:rsid w:val="00A85DAD"/>
    <w:rsid w:val="00AA474E"/>
    <w:rsid w:val="00AC7EF3"/>
    <w:rsid w:val="00B122FE"/>
    <w:rsid w:val="00B22525"/>
    <w:rsid w:val="00B36FAA"/>
    <w:rsid w:val="00B465BA"/>
    <w:rsid w:val="00B54CA9"/>
    <w:rsid w:val="00B55E20"/>
    <w:rsid w:val="00B86AA8"/>
    <w:rsid w:val="00BC22C0"/>
    <w:rsid w:val="00BC7FFB"/>
    <w:rsid w:val="00BE479C"/>
    <w:rsid w:val="00BE4E09"/>
    <w:rsid w:val="00C06A96"/>
    <w:rsid w:val="00C31D80"/>
    <w:rsid w:val="00C406C4"/>
    <w:rsid w:val="00C43A43"/>
    <w:rsid w:val="00C92EBB"/>
    <w:rsid w:val="00C96249"/>
    <w:rsid w:val="00CA30D6"/>
    <w:rsid w:val="00CB070F"/>
    <w:rsid w:val="00CC2226"/>
    <w:rsid w:val="00CF7A28"/>
    <w:rsid w:val="00D10603"/>
    <w:rsid w:val="00D13259"/>
    <w:rsid w:val="00D156DB"/>
    <w:rsid w:val="00D243A1"/>
    <w:rsid w:val="00D31AD4"/>
    <w:rsid w:val="00D45E7B"/>
    <w:rsid w:val="00D54EED"/>
    <w:rsid w:val="00D911B5"/>
    <w:rsid w:val="00DA5479"/>
    <w:rsid w:val="00DB08E8"/>
    <w:rsid w:val="00DC170E"/>
    <w:rsid w:val="00DC4C7A"/>
    <w:rsid w:val="00DC6CDA"/>
    <w:rsid w:val="00DE561F"/>
    <w:rsid w:val="00E00DA0"/>
    <w:rsid w:val="00E15C25"/>
    <w:rsid w:val="00E52BDE"/>
    <w:rsid w:val="00E80F35"/>
    <w:rsid w:val="00EB1F58"/>
    <w:rsid w:val="00EF4F42"/>
    <w:rsid w:val="00F176D0"/>
    <w:rsid w:val="00F230BA"/>
    <w:rsid w:val="00F25AD1"/>
    <w:rsid w:val="00F47B3E"/>
    <w:rsid w:val="00F5161A"/>
    <w:rsid w:val="00F72051"/>
    <w:rsid w:val="00F8490A"/>
    <w:rsid w:val="00FA19F6"/>
    <w:rsid w:val="00FB1237"/>
    <w:rsid w:val="00FB4EB0"/>
    <w:rsid w:val="00FC4AF1"/>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CDC45"/>
  <w15:docId w15:val="{511CEF12-7477-ED46-8D79-23B53864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505"/>
    <w:pPr>
      <w:tabs>
        <w:tab w:val="center" w:pos="4680"/>
        <w:tab w:val="right" w:pos="9360"/>
      </w:tabs>
    </w:pPr>
  </w:style>
  <w:style w:type="character" w:customStyle="1" w:styleId="HeaderChar">
    <w:name w:val="Header Char"/>
    <w:basedOn w:val="DefaultParagraphFont"/>
    <w:link w:val="Header"/>
    <w:uiPriority w:val="99"/>
    <w:rsid w:val="00204505"/>
    <w:rPr>
      <w:sz w:val="24"/>
      <w:szCs w:val="24"/>
    </w:rPr>
  </w:style>
  <w:style w:type="paragraph" w:styleId="Footer">
    <w:name w:val="footer"/>
    <w:basedOn w:val="Normal"/>
    <w:link w:val="FooterChar"/>
    <w:rsid w:val="00204505"/>
    <w:pPr>
      <w:tabs>
        <w:tab w:val="center" w:pos="4680"/>
        <w:tab w:val="right" w:pos="9360"/>
      </w:tabs>
    </w:pPr>
  </w:style>
  <w:style w:type="character" w:customStyle="1" w:styleId="FooterChar">
    <w:name w:val="Footer Char"/>
    <w:basedOn w:val="DefaultParagraphFont"/>
    <w:link w:val="Footer"/>
    <w:rsid w:val="00204505"/>
    <w:rPr>
      <w:sz w:val="24"/>
      <w:szCs w:val="24"/>
    </w:rPr>
  </w:style>
  <w:style w:type="paragraph" w:styleId="NoSpacing">
    <w:name w:val="No Spacing"/>
    <w:uiPriority w:val="1"/>
    <w:qFormat/>
    <w:rsid w:val="003A462E"/>
    <w:rPr>
      <w:rFonts w:ascii="Arial" w:eastAsia="Arial" w:hAnsi="Arial" w:cs="Arial"/>
      <w:sz w:val="22"/>
      <w:szCs w:val="22"/>
      <w:lang w:val="es"/>
    </w:rPr>
  </w:style>
  <w:style w:type="character" w:customStyle="1" w:styleId="Hyperlink1">
    <w:name w:val="Hyperlink1"/>
    <w:basedOn w:val="DefaultParagraphFont"/>
    <w:uiPriority w:val="99"/>
    <w:unhideWhenUsed/>
    <w:rsid w:val="003A462E"/>
    <w:rPr>
      <w:color w:val="0000FF"/>
      <w:u w:val="single"/>
    </w:rPr>
  </w:style>
  <w:style w:type="character" w:styleId="Hyperlink">
    <w:name w:val="Hyperlink"/>
    <w:basedOn w:val="DefaultParagraphFont"/>
    <w:rsid w:val="003A462E"/>
    <w:rPr>
      <w:color w:val="0563C1" w:themeColor="hyperlink"/>
      <w:u w:val="single"/>
    </w:rPr>
  </w:style>
  <w:style w:type="character" w:customStyle="1" w:styleId="Mentionnonrsolue1">
    <w:name w:val="Mention non résolue1"/>
    <w:basedOn w:val="DefaultParagraphFont"/>
    <w:uiPriority w:val="99"/>
    <w:semiHidden/>
    <w:unhideWhenUsed/>
    <w:rsid w:val="0041487D"/>
    <w:rPr>
      <w:color w:val="605E5C"/>
      <w:shd w:val="clear" w:color="auto" w:fill="E1DFDD"/>
    </w:rPr>
  </w:style>
  <w:style w:type="paragraph" w:styleId="FootnoteText">
    <w:name w:val="footnote text"/>
    <w:basedOn w:val="Normal"/>
    <w:link w:val="FootnoteTextChar"/>
    <w:rsid w:val="00757B6F"/>
    <w:rPr>
      <w:sz w:val="20"/>
      <w:szCs w:val="20"/>
    </w:rPr>
  </w:style>
  <w:style w:type="character" w:customStyle="1" w:styleId="FootnoteTextChar">
    <w:name w:val="Footnote Text Char"/>
    <w:basedOn w:val="DefaultParagraphFont"/>
    <w:link w:val="FootnoteText"/>
    <w:rsid w:val="00757B6F"/>
  </w:style>
  <w:style w:type="character" w:styleId="FootnoteReference">
    <w:name w:val="footnote reference"/>
    <w:basedOn w:val="DefaultParagraphFont"/>
    <w:rsid w:val="00757B6F"/>
    <w:rPr>
      <w:vertAlign w:val="superscript"/>
    </w:rPr>
  </w:style>
  <w:style w:type="paragraph" w:styleId="ListParagraph">
    <w:name w:val="List Paragraph"/>
    <w:basedOn w:val="Normal"/>
    <w:uiPriority w:val="34"/>
    <w:qFormat/>
    <w:rsid w:val="004A48D8"/>
    <w:pPr>
      <w:ind w:left="720"/>
      <w:contextualSpacing/>
    </w:pPr>
  </w:style>
  <w:style w:type="character" w:styleId="CommentReference">
    <w:name w:val="annotation reference"/>
    <w:basedOn w:val="DefaultParagraphFont"/>
    <w:rsid w:val="009E2CF9"/>
    <w:rPr>
      <w:sz w:val="16"/>
      <w:szCs w:val="16"/>
    </w:rPr>
  </w:style>
  <w:style w:type="paragraph" w:styleId="CommentText">
    <w:name w:val="annotation text"/>
    <w:basedOn w:val="Normal"/>
    <w:link w:val="CommentTextChar"/>
    <w:rsid w:val="009E2CF9"/>
    <w:rPr>
      <w:sz w:val="20"/>
      <w:szCs w:val="20"/>
    </w:rPr>
  </w:style>
  <w:style w:type="character" w:customStyle="1" w:styleId="CommentTextChar">
    <w:name w:val="Comment Text Char"/>
    <w:basedOn w:val="DefaultParagraphFont"/>
    <w:link w:val="CommentText"/>
    <w:rsid w:val="009E2CF9"/>
  </w:style>
  <w:style w:type="paragraph" w:styleId="CommentSubject">
    <w:name w:val="annotation subject"/>
    <w:basedOn w:val="CommentText"/>
    <w:next w:val="CommentText"/>
    <w:link w:val="CommentSubjectChar"/>
    <w:semiHidden/>
    <w:unhideWhenUsed/>
    <w:rsid w:val="009E2CF9"/>
    <w:rPr>
      <w:b/>
      <w:bCs/>
    </w:rPr>
  </w:style>
  <w:style w:type="character" w:customStyle="1" w:styleId="CommentSubjectChar">
    <w:name w:val="Comment Subject Char"/>
    <w:basedOn w:val="CommentTextChar"/>
    <w:link w:val="CommentSubject"/>
    <w:semiHidden/>
    <w:rsid w:val="009E2CF9"/>
    <w:rPr>
      <w:b/>
      <w:bCs/>
    </w:rPr>
  </w:style>
  <w:style w:type="paragraph" w:styleId="BalloonText">
    <w:name w:val="Balloon Text"/>
    <w:basedOn w:val="Normal"/>
    <w:link w:val="BalloonTextChar"/>
    <w:semiHidden/>
    <w:unhideWhenUsed/>
    <w:rsid w:val="009E2CF9"/>
    <w:rPr>
      <w:rFonts w:ascii="Segoe UI" w:hAnsi="Segoe UI" w:cs="Segoe UI"/>
      <w:sz w:val="18"/>
      <w:szCs w:val="18"/>
    </w:rPr>
  </w:style>
  <w:style w:type="character" w:customStyle="1" w:styleId="BalloonTextChar">
    <w:name w:val="Balloon Text Char"/>
    <w:basedOn w:val="DefaultParagraphFont"/>
    <w:link w:val="BalloonText"/>
    <w:semiHidden/>
    <w:rsid w:val="009E2CF9"/>
    <w:rPr>
      <w:rFonts w:ascii="Segoe UI" w:hAnsi="Segoe UI" w:cs="Segoe UI"/>
      <w:sz w:val="18"/>
      <w:szCs w:val="18"/>
    </w:rPr>
  </w:style>
  <w:style w:type="character" w:styleId="FollowedHyperlink">
    <w:name w:val="FollowedHyperlink"/>
    <w:basedOn w:val="DefaultParagraphFont"/>
    <w:rsid w:val="00192436"/>
    <w:rPr>
      <w:color w:val="954F72" w:themeColor="followedHyperlink"/>
      <w:u w:val="single"/>
    </w:rPr>
  </w:style>
  <w:style w:type="paragraph" w:styleId="Revision">
    <w:name w:val="Revision"/>
    <w:hidden/>
    <w:uiPriority w:val="99"/>
    <w:semiHidden/>
    <w:rsid w:val="00DB08E8"/>
    <w:rPr>
      <w:sz w:val="24"/>
      <w:szCs w:val="24"/>
    </w:rPr>
  </w:style>
  <w:style w:type="character" w:styleId="UnresolvedMention">
    <w:name w:val="Unresolved Mention"/>
    <w:basedOn w:val="DefaultParagraphFont"/>
    <w:uiPriority w:val="99"/>
    <w:semiHidden/>
    <w:unhideWhenUsed/>
    <w:rsid w:val="00307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386">
      <w:bodyDiv w:val="1"/>
      <w:marLeft w:val="0"/>
      <w:marRight w:val="0"/>
      <w:marTop w:val="0"/>
      <w:marBottom w:val="0"/>
      <w:divBdr>
        <w:top w:val="none" w:sz="0" w:space="0" w:color="auto"/>
        <w:left w:val="none" w:sz="0" w:space="0" w:color="auto"/>
        <w:bottom w:val="none" w:sz="0" w:space="0" w:color="auto"/>
        <w:right w:val="none" w:sz="0" w:space="0" w:color="auto"/>
      </w:divBdr>
    </w:div>
    <w:div w:id="73866383">
      <w:bodyDiv w:val="1"/>
      <w:marLeft w:val="0"/>
      <w:marRight w:val="0"/>
      <w:marTop w:val="0"/>
      <w:marBottom w:val="0"/>
      <w:divBdr>
        <w:top w:val="none" w:sz="0" w:space="0" w:color="auto"/>
        <w:left w:val="none" w:sz="0" w:space="0" w:color="auto"/>
        <w:bottom w:val="none" w:sz="0" w:space="0" w:color="auto"/>
        <w:right w:val="none" w:sz="0" w:space="0" w:color="auto"/>
      </w:divBdr>
    </w:div>
    <w:div w:id="97331079">
      <w:bodyDiv w:val="1"/>
      <w:marLeft w:val="0"/>
      <w:marRight w:val="0"/>
      <w:marTop w:val="0"/>
      <w:marBottom w:val="0"/>
      <w:divBdr>
        <w:top w:val="none" w:sz="0" w:space="0" w:color="auto"/>
        <w:left w:val="none" w:sz="0" w:space="0" w:color="auto"/>
        <w:bottom w:val="none" w:sz="0" w:space="0" w:color="auto"/>
        <w:right w:val="none" w:sz="0" w:space="0" w:color="auto"/>
      </w:divBdr>
    </w:div>
    <w:div w:id="192545596">
      <w:bodyDiv w:val="1"/>
      <w:marLeft w:val="0"/>
      <w:marRight w:val="0"/>
      <w:marTop w:val="0"/>
      <w:marBottom w:val="0"/>
      <w:divBdr>
        <w:top w:val="none" w:sz="0" w:space="0" w:color="auto"/>
        <w:left w:val="none" w:sz="0" w:space="0" w:color="auto"/>
        <w:bottom w:val="none" w:sz="0" w:space="0" w:color="auto"/>
        <w:right w:val="none" w:sz="0" w:space="0" w:color="auto"/>
      </w:divBdr>
    </w:div>
    <w:div w:id="231233088">
      <w:bodyDiv w:val="1"/>
      <w:marLeft w:val="0"/>
      <w:marRight w:val="0"/>
      <w:marTop w:val="0"/>
      <w:marBottom w:val="0"/>
      <w:divBdr>
        <w:top w:val="none" w:sz="0" w:space="0" w:color="auto"/>
        <w:left w:val="none" w:sz="0" w:space="0" w:color="auto"/>
        <w:bottom w:val="none" w:sz="0" w:space="0" w:color="auto"/>
        <w:right w:val="none" w:sz="0" w:space="0" w:color="auto"/>
      </w:divBdr>
    </w:div>
    <w:div w:id="261844497">
      <w:bodyDiv w:val="1"/>
      <w:marLeft w:val="0"/>
      <w:marRight w:val="0"/>
      <w:marTop w:val="0"/>
      <w:marBottom w:val="0"/>
      <w:divBdr>
        <w:top w:val="none" w:sz="0" w:space="0" w:color="auto"/>
        <w:left w:val="none" w:sz="0" w:space="0" w:color="auto"/>
        <w:bottom w:val="none" w:sz="0" w:space="0" w:color="auto"/>
        <w:right w:val="none" w:sz="0" w:space="0" w:color="auto"/>
      </w:divBdr>
    </w:div>
    <w:div w:id="329868945">
      <w:bodyDiv w:val="1"/>
      <w:marLeft w:val="0"/>
      <w:marRight w:val="0"/>
      <w:marTop w:val="0"/>
      <w:marBottom w:val="0"/>
      <w:divBdr>
        <w:top w:val="none" w:sz="0" w:space="0" w:color="auto"/>
        <w:left w:val="none" w:sz="0" w:space="0" w:color="auto"/>
        <w:bottom w:val="none" w:sz="0" w:space="0" w:color="auto"/>
        <w:right w:val="none" w:sz="0" w:space="0" w:color="auto"/>
      </w:divBdr>
    </w:div>
    <w:div w:id="379788327">
      <w:bodyDiv w:val="1"/>
      <w:marLeft w:val="0"/>
      <w:marRight w:val="0"/>
      <w:marTop w:val="0"/>
      <w:marBottom w:val="0"/>
      <w:divBdr>
        <w:top w:val="none" w:sz="0" w:space="0" w:color="auto"/>
        <w:left w:val="none" w:sz="0" w:space="0" w:color="auto"/>
        <w:bottom w:val="none" w:sz="0" w:space="0" w:color="auto"/>
        <w:right w:val="none" w:sz="0" w:space="0" w:color="auto"/>
      </w:divBdr>
    </w:div>
    <w:div w:id="468860137">
      <w:bodyDiv w:val="1"/>
      <w:marLeft w:val="0"/>
      <w:marRight w:val="0"/>
      <w:marTop w:val="0"/>
      <w:marBottom w:val="0"/>
      <w:divBdr>
        <w:top w:val="none" w:sz="0" w:space="0" w:color="auto"/>
        <w:left w:val="none" w:sz="0" w:space="0" w:color="auto"/>
        <w:bottom w:val="none" w:sz="0" w:space="0" w:color="auto"/>
        <w:right w:val="none" w:sz="0" w:space="0" w:color="auto"/>
      </w:divBdr>
    </w:div>
    <w:div w:id="521433318">
      <w:bodyDiv w:val="1"/>
      <w:marLeft w:val="0"/>
      <w:marRight w:val="0"/>
      <w:marTop w:val="0"/>
      <w:marBottom w:val="0"/>
      <w:divBdr>
        <w:top w:val="none" w:sz="0" w:space="0" w:color="auto"/>
        <w:left w:val="none" w:sz="0" w:space="0" w:color="auto"/>
        <w:bottom w:val="none" w:sz="0" w:space="0" w:color="auto"/>
        <w:right w:val="none" w:sz="0" w:space="0" w:color="auto"/>
      </w:divBdr>
    </w:div>
    <w:div w:id="585068872">
      <w:bodyDiv w:val="1"/>
      <w:marLeft w:val="0"/>
      <w:marRight w:val="0"/>
      <w:marTop w:val="0"/>
      <w:marBottom w:val="0"/>
      <w:divBdr>
        <w:top w:val="none" w:sz="0" w:space="0" w:color="auto"/>
        <w:left w:val="none" w:sz="0" w:space="0" w:color="auto"/>
        <w:bottom w:val="none" w:sz="0" w:space="0" w:color="auto"/>
        <w:right w:val="none" w:sz="0" w:space="0" w:color="auto"/>
      </w:divBdr>
    </w:div>
    <w:div w:id="630669274">
      <w:bodyDiv w:val="1"/>
      <w:marLeft w:val="0"/>
      <w:marRight w:val="0"/>
      <w:marTop w:val="0"/>
      <w:marBottom w:val="0"/>
      <w:divBdr>
        <w:top w:val="none" w:sz="0" w:space="0" w:color="auto"/>
        <w:left w:val="none" w:sz="0" w:space="0" w:color="auto"/>
        <w:bottom w:val="none" w:sz="0" w:space="0" w:color="auto"/>
        <w:right w:val="none" w:sz="0" w:space="0" w:color="auto"/>
      </w:divBdr>
    </w:div>
    <w:div w:id="882061565">
      <w:bodyDiv w:val="1"/>
      <w:marLeft w:val="0"/>
      <w:marRight w:val="0"/>
      <w:marTop w:val="0"/>
      <w:marBottom w:val="0"/>
      <w:divBdr>
        <w:top w:val="none" w:sz="0" w:space="0" w:color="auto"/>
        <w:left w:val="none" w:sz="0" w:space="0" w:color="auto"/>
        <w:bottom w:val="none" w:sz="0" w:space="0" w:color="auto"/>
        <w:right w:val="none" w:sz="0" w:space="0" w:color="auto"/>
      </w:divBdr>
    </w:div>
    <w:div w:id="934674483">
      <w:bodyDiv w:val="1"/>
      <w:marLeft w:val="0"/>
      <w:marRight w:val="0"/>
      <w:marTop w:val="0"/>
      <w:marBottom w:val="0"/>
      <w:divBdr>
        <w:top w:val="none" w:sz="0" w:space="0" w:color="auto"/>
        <w:left w:val="none" w:sz="0" w:space="0" w:color="auto"/>
        <w:bottom w:val="none" w:sz="0" w:space="0" w:color="auto"/>
        <w:right w:val="none" w:sz="0" w:space="0" w:color="auto"/>
      </w:divBdr>
    </w:div>
    <w:div w:id="1019236514">
      <w:bodyDiv w:val="1"/>
      <w:marLeft w:val="0"/>
      <w:marRight w:val="0"/>
      <w:marTop w:val="0"/>
      <w:marBottom w:val="0"/>
      <w:divBdr>
        <w:top w:val="none" w:sz="0" w:space="0" w:color="auto"/>
        <w:left w:val="none" w:sz="0" w:space="0" w:color="auto"/>
        <w:bottom w:val="none" w:sz="0" w:space="0" w:color="auto"/>
        <w:right w:val="none" w:sz="0" w:space="0" w:color="auto"/>
      </w:divBdr>
    </w:div>
    <w:div w:id="1092318625">
      <w:bodyDiv w:val="1"/>
      <w:marLeft w:val="0"/>
      <w:marRight w:val="0"/>
      <w:marTop w:val="0"/>
      <w:marBottom w:val="0"/>
      <w:divBdr>
        <w:top w:val="none" w:sz="0" w:space="0" w:color="auto"/>
        <w:left w:val="none" w:sz="0" w:space="0" w:color="auto"/>
        <w:bottom w:val="none" w:sz="0" w:space="0" w:color="auto"/>
        <w:right w:val="none" w:sz="0" w:space="0" w:color="auto"/>
      </w:divBdr>
    </w:div>
    <w:div w:id="1118835206">
      <w:bodyDiv w:val="1"/>
      <w:marLeft w:val="0"/>
      <w:marRight w:val="0"/>
      <w:marTop w:val="0"/>
      <w:marBottom w:val="0"/>
      <w:divBdr>
        <w:top w:val="none" w:sz="0" w:space="0" w:color="auto"/>
        <w:left w:val="none" w:sz="0" w:space="0" w:color="auto"/>
        <w:bottom w:val="none" w:sz="0" w:space="0" w:color="auto"/>
        <w:right w:val="none" w:sz="0" w:space="0" w:color="auto"/>
      </w:divBdr>
    </w:div>
    <w:div w:id="1127309744">
      <w:bodyDiv w:val="1"/>
      <w:marLeft w:val="0"/>
      <w:marRight w:val="0"/>
      <w:marTop w:val="0"/>
      <w:marBottom w:val="0"/>
      <w:divBdr>
        <w:top w:val="none" w:sz="0" w:space="0" w:color="auto"/>
        <w:left w:val="none" w:sz="0" w:space="0" w:color="auto"/>
        <w:bottom w:val="none" w:sz="0" w:space="0" w:color="auto"/>
        <w:right w:val="none" w:sz="0" w:space="0" w:color="auto"/>
      </w:divBdr>
    </w:div>
    <w:div w:id="1246571833">
      <w:bodyDiv w:val="1"/>
      <w:marLeft w:val="0"/>
      <w:marRight w:val="0"/>
      <w:marTop w:val="0"/>
      <w:marBottom w:val="0"/>
      <w:divBdr>
        <w:top w:val="none" w:sz="0" w:space="0" w:color="auto"/>
        <w:left w:val="none" w:sz="0" w:space="0" w:color="auto"/>
        <w:bottom w:val="none" w:sz="0" w:space="0" w:color="auto"/>
        <w:right w:val="none" w:sz="0" w:space="0" w:color="auto"/>
      </w:divBdr>
    </w:div>
    <w:div w:id="1312489683">
      <w:bodyDiv w:val="1"/>
      <w:marLeft w:val="0"/>
      <w:marRight w:val="0"/>
      <w:marTop w:val="0"/>
      <w:marBottom w:val="0"/>
      <w:divBdr>
        <w:top w:val="none" w:sz="0" w:space="0" w:color="auto"/>
        <w:left w:val="none" w:sz="0" w:space="0" w:color="auto"/>
        <w:bottom w:val="none" w:sz="0" w:space="0" w:color="auto"/>
        <w:right w:val="none" w:sz="0" w:space="0" w:color="auto"/>
      </w:divBdr>
    </w:div>
    <w:div w:id="1385787906">
      <w:bodyDiv w:val="1"/>
      <w:marLeft w:val="0"/>
      <w:marRight w:val="0"/>
      <w:marTop w:val="0"/>
      <w:marBottom w:val="0"/>
      <w:divBdr>
        <w:top w:val="none" w:sz="0" w:space="0" w:color="auto"/>
        <w:left w:val="none" w:sz="0" w:space="0" w:color="auto"/>
        <w:bottom w:val="none" w:sz="0" w:space="0" w:color="auto"/>
        <w:right w:val="none" w:sz="0" w:space="0" w:color="auto"/>
      </w:divBdr>
    </w:div>
    <w:div w:id="1445534918">
      <w:bodyDiv w:val="1"/>
      <w:marLeft w:val="0"/>
      <w:marRight w:val="0"/>
      <w:marTop w:val="0"/>
      <w:marBottom w:val="0"/>
      <w:divBdr>
        <w:top w:val="none" w:sz="0" w:space="0" w:color="auto"/>
        <w:left w:val="none" w:sz="0" w:space="0" w:color="auto"/>
        <w:bottom w:val="none" w:sz="0" w:space="0" w:color="auto"/>
        <w:right w:val="none" w:sz="0" w:space="0" w:color="auto"/>
      </w:divBdr>
    </w:div>
    <w:div w:id="1464889999">
      <w:bodyDiv w:val="1"/>
      <w:marLeft w:val="0"/>
      <w:marRight w:val="0"/>
      <w:marTop w:val="0"/>
      <w:marBottom w:val="0"/>
      <w:divBdr>
        <w:top w:val="none" w:sz="0" w:space="0" w:color="auto"/>
        <w:left w:val="none" w:sz="0" w:space="0" w:color="auto"/>
        <w:bottom w:val="none" w:sz="0" w:space="0" w:color="auto"/>
        <w:right w:val="none" w:sz="0" w:space="0" w:color="auto"/>
      </w:divBdr>
    </w:div>
    <w:div w:id="1764032792">
      <w:bodyDiv w:val="1"/>
      <w:marLeft w:val="0"/>
      <w:marRight w:val="0"/>
      <w:marTop w:val="0"/>
      <w:marBottom w:val="0"/>
      <w:divBdr>
        <w:top w:val="none" w:sz="0" w:space="0" w:color="auto"/>
        <w:left w:val="none" w:sz="0" w:space="0" w:color="auto"/>
        <w:bottom w:val="none" w:sz="0" w:space="0" w:color="auto"/>
        <w:right w:val="none" w:sz="0" w:space="0" w:color="auto"/>
      </w:divBdr>
    </w:div>
    <w:div w:id="1860896418">
      <w:bodyDiv w:val="1"/>
      <w:marLeft w:val="0"/>
      <w:marRight w:val="0"/>
      <w:marTop w:val="0"/>
      <w:marBottom w:val="0"/>
      <w:divBdr>
        <w:top w:val="none" w:sz="0" w:space="0" w:color="auto"/>
        <w:left w:val="none" w:sz="0" w:space="0" w:color="auto"/>
        <w:bottom w:val="none" w:sz="0" w:space="0" w:color="auto"/>
        <w:right w:val="none" w:sz="0" w:space="0" w:color="auto"/>
      </w:divBdr>
    </w:div>
    <w:div w:id="1982805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iom.int/system/files/pdf/international_migration_racism.pdf" TargetMode="External"/><Relationship Id="rId13" Type="http://schemas.openxmlformats.org/officeDocument/2006/relationships/hyperlink" Target="https://migrationnetwork.un.org/sites/g/files/tmzbdl416/files/docs/21-217_es_iom_ee_uu_-_guidance_note-_regular_pathways.pdf" TargetMode="External"/><Relationship Id="rId3" Type="http://schemas.openxmlformats.org/officeDocument/2006/relationships/hyperlink" Target="https://www.iom.int/sites/g/files/tmzbdl486/files/documents/countering_xenophobia_and_stigma_130720.pdf" TargetMode="External"/><Relationship Id="rId7" Type="http://schemas.openxmlformats.org/officeDocument/2006/relationships/hyperlink" Target="https://www.oas.org/es/cidh/prensa/comunicados/2016/190.asp" TargetMode="External"/><Relationship Id="rId12" Type="http://schemas.openxmlformats.org/officeDocument/2006/relationships/hyperlink" Target="https://www.cels.org.ar/web/wp-content/uploads/2020/10/CELS_Migrantes_digital_Final-1.pdf" TargetMode="External"/><Relationship Id="rId17" Type="http://schemas.openxmlformats.org/officeDocument/2006/relationships/hyperlink" Target="https://migrationnetwork.un.org/sites/g/files/tmzbdl416/files/docs/21-217_es_iom_ee_uu_-_guidance_note-_regular_pathways.pdf" TargetMode="External"/><Relationship Id="rId2" Type="http://schemas.openxmlformats.org/officeDocument/2006/relationships/hyperlink" Target="https://publications.iom.int/system/files/pdf/international_migration_racism.pdf" TargetMode="External"/><Relationship Id="rId16" Type="http://schemas.openxmlformats.org/officeDocument/2006/relationships/hyperlink" Target="https://programamesocaribe.iom.int/sites/default/files/estudio_regional._programas_y_procesos_regularizacion._web.pdf" TargetMode="External"/><Relationship Id="rId1" Type="http://schemas.openxmlformats.org/officeDocument/2006/relationships/hyperlink" Target="https://publications.iom.int/system/files/pdf/international_migration_racism.pdf" TargetMode="External"/><Relationship Id="rId6" Type="http://schemas.openxmlformats.org/officeDocument/2006/relationships/hyperlink" Target="https://www.unhcr.org/6087cc104.pdf" TargetMode="External"/><Relationship Id="rId11" Type="http://schemas.openxmlformats.org/officeDocument/2006/relationships/hyperlink" Target="https://www.cels.org.ar/web/wp-content/uploads/2020/10/CELS_Migrantes_digital_Final-1.pdf" TargetMode="External"/><Relationship Id="rId5" Type="http://schemas.openxmlformats.org/officeDocument/2006/relationships/hyperlink" Target="https://repositorio.cepal.org/bitstream/handle/11362/44655/1/S1900271_es.pdf" TargetMode="External"/><Relationship Id="rId15" Type="http://schemas.openxmlformats.org/officeDocument/2006/relationships/hyperlink" Target="https://migrationnetwork.un.org/sites/g/files/tmzbdl416/files/docs/21-217_es_iom_ee_uu_-_guidance_note-_regular_pathways.pdf" TargetMode="External"/><Relationship Id="rId10" Type="http://schemas.openxmlformats.org/officeDocument/2006/relationships/hyperlink" Target="https://programamesocaribe.iom.int/sites/default/files/estudio_regional._programas_y_procesos_regularizacion._web.pdf" TargetMode="External"/><Relationship Id="rId4" Type="http://schemas.openxmlformats.org/officeDocument/2006/relationships/hyperlink" Target="https://www.unhcr.org/6087cc104.pdf" TargetMode="External"/><Relationship Id="rId9" Type="http://schemas.openxmlformats.org/officeDocument/2006/relationships/hyperlink" Target="https://www.unicef.org/lac/media/14396/file/Nota_tecnica_regularizacion_migratoria_y_derechos_nna.pdf" TargetMode="External"/><Relationship Id="rId14" Type="http://schemas.openxmlformats.org/officeDocument/2006/relationships/hyperlink" Target="https://migrationnetwork.un.org/sites/g/files/tmzbdl416/files/docs/21-217_es_iom_ee_uu_-_guidance_note-_regular_pathway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F5B7-BCD1-4307-9668-BC7283DC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1733</Words>
  <Characters>9642</Characters>
  <Application>Microsoft Office Word</Application>
  <DocSecurity>0</DocSecurity>
  <Lines>155</Lines>
  <Paragraphs>33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Sandra</dc:creator>
  <cp:keywords/>
  <dc:description/>
  <cp:lastModifiedBy>Burns, Sandra</cp:lastModifiedBy>
  <cp:revision>3</cp:revision>
  <dcterms:created xsi:type="dcterms:W3CDTF">2022-07-06T22:37:00Z</dcterms:created>
  <dcterms:modified xsi:type="dcterms:W3CDTF">2022-07-06T22:38:00Z</dcterms:modified>
</cp:coreProperties>
</file>