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B225" w14:textId="2AE5F794" w:rsidR="00D65E6C" w:rsidRPr="00F22742" w:rsidRDefault="00706D11" w:rsidP="0045206D">
      <w:pPr>
        <w:widowControl/>
        <w:tabs>
          <w:tab w:val="clear" w:pos="720"/>
          <w:tab w:val="clear" w:pos="1440"/>
          <w:tab w:val="clear" w:pos="2160"/>
          <w:tab w:val="clear" w:pos="2880"/>
          <w:tab w:val="clear" w:pos="3600"/>
          <w:tab w:val="clear" w:pos="4320"/>
          <w:tab w:val="clear" w:pos="5760"/>
          <w:tab w:val="clear" w:pos="7200"/>
          <w:tab w:val="clear" w:pos="7920"/>
        </w:tabs>
        <w:ind w:right="-162"/>
        <w:rPr>
          <w:rFonts w:ascii="Times New Roman" w:eastAsia="Times New Roman" w:hAnsi="Times New Roman"/>
          <w:szCs w:val="22"/>
          <w:lang w:val="fr-FR" w:eastAsia="en-US"/>
        </w:rPr>
      </w:pPr>
      <w:r w:rsidRPr="00F22742">
        <w:rPr>
          <w:rFonts w:ascii="Times New Roman" w:hAnsi="Times New Roman"/>
          <w:szCs w:val="22"/>
          <w:lang w:val="fr-FR"/>
        </w:rPr>
        <w:t>COMMISSION DES QUESTIONS DE MIGRATION</w:t>
      </w:r>
      <w:r w:rsidR="00D65E6C" w:rsidRPr="00F22742">
        <w:rPr>
          <w:rFonts w:ascii="Times New Roman" w:eastAsia="Times New Roman" w:hAnsi="Times New Roman"/>
          <w:szCs w:val="22"/>
          <w:lang w:val="fr-FR" w:eastAsia="en-US"/>
        </w:rPr>
        <w:tab/>
        <w:t>OEA/Ser.W</w:t>
      </w:r>
    </w:p>
    <w:p w14:paraId="21733AE4" w14:textId="6844AC51" w:rsidR="00D65E6C" w:rsidRPr="00F22742" w:rsidRDefault="00D65E6C" w:rsidP="0045206D">
      <w:pPr>
        <w:widowControl/>
        <w:tabs>
          <w:tab w:val="clear" w:pos="720"/>
          <w:tab w:val="clear" w:pos="1440"/>
          <w:tab w:val="clear" w:pos="2160"/>
          <w:tab w:val="clear" w:pos="2880"/>
          <w:tab w:val="clear" w:pos="3600"/>
          <w:tab w:val="clear" w:pos="4320"/>
          <w:tab w:val="clear" w:pos="5760"/>
          <w:tab w:val="clear" w:pos="7200"/>
          <w:tab w:val="clear" w:pos="7920"/>
        </w:tabs>
        <w:ind w:right="-162"/>
        <w:rPr>
          <w:rFonts w:ascii="Times New Roman" w:eastAsia="Times New Roman" w:hAnsi="Times New Roman"/>
          <w:szCs w:val="22"/>
          <w:lang w:val="fr-FR" w:eastAsia="en-US"/>
        </w:rPr>
      </w:pPr>
      <w:r w:rsidRPr="00F22742">
        <w:rPr>
          <w:rFonts w:ascii="Times New Roman" w:eastAsia="Times New Roman" w:hAnsi="Times New Roman"/>
          <w:szCs w:val="22"/>
          <w:lang w:val="fr-FR" w:eastAsia="en-US"/>
        </w:rPr>
        <w:tab/>
        <w:t>CIDI/CAM/doc.</w:t>
      </w:r>
      <w:r w:rsidR="00E07E54" w:rsidRPr="00F22742">
        <w:rPr>
          <w:rFonts w:ascii="Times New Roman" w:eastAsia="Times New Roman" w:hAnsi="Times New Roman"/>
          <w:szCs w:val="22"/>
          <w:lang w:val="fr-FR" w:eastAsia="en-US"/>
        </w:rPr>
        <w:t>116</w:t>
      </w:r>
      <w:r w:rsidR="00593395" w:rsidRPr="00F22742">
        <w:rPr>
          <w:rFonts w:ascii="Times New Roman" w:eastAsia="Times New Roman" w:hAnsi="Times New Roman"/>
          <w:szCs w:val="22"/>
          <w:lang w:val="fr-FR" w:eastAsia="en-US"/>
        </w:rPr>
        <w:t>/</w:t>
      </w:r>
      <w:r w:rsidRPr="00F22742">
        <w:rPr>
          <w:rFonts w:ascii="Times New Roman" w:eastAsia="Times New Roman" w:hAnsi="Times New Roman"/>
          <w:szCs w:val="22"/>
          <w:lang w:val="fr-FR" w:eastAsia="en-US"/>
        </w:rPr>
        <w:t>22</w:t>
      </w:r>
      <w:r w:rsidR="00AF7F6A" w:rsidRPr="00F22742">
        <w:rPr>
          <w:rFonts w:ascii="Times New Roman" w:eastAsia="Times New Roman" w:hAnsi="Times New Roman"/>
          <w:szCs w:val="22"/>
          <w:lang w:val="fr-FR" w:eastAsia="en-US"/>
        </w:rPr>
        <w:t xml:space="preserve"> rev.</w:t>
      </w:r>
      <w:r w:rsidR="0045206D" w:rsidRPr="00F22742">
        <w:rPr>
          <w:rFonts w:ascii="Times New Roman" w:eastAsia="Times New Roman" w:hAnsi="Times New Roman"/>
          <w:szCs w:val="22"/>
          <w:lang w:val="fr-FR" w:eastAsia="en-US"/>
        </w:rPr>
        <w:t xml:space="preserve"> </w:t>
      </w:r>
      <w:r w:rsidR="00AF7F6A" w:rsidRPr="00F22742">
        <w:rPr>
          <w:rFonts w:ascii="Times New Roman" w:eastAsia="Times New Roman" w:hAnsi="Times New Roman"/>
          <w:szCs w:val="22"/>
          <w:lang w:val="fr-FR" w:eastAsia="en-US"/>
        </w:rPr>
        <w:t>4</w:t>
      </w:r>
    </w:p>
    <w:p w14:paraId="5CA703A2" w14:textId="5357BEEF" w:rsidR="00D65E6C" w:rsidRPr="00F22742" w:rsidRDefault="00D65E6C" w:rsidP="0045206D">
      <w:pPr>
        <w:widowControl/>
        <w:tabs>
          <w:tab w:val="clear" w:pos="720"/>
          <w:tab w:val="clear" w:pos="1440"/>
          <w:tab w:val="clear" w:pos="2160"/>
          <w:tab w:val="clear" w:pos="2880"/>
          <w:tab w:val="clear" w:pos="3600"/>
          <w:tab w:val="clear" w:pos="4320"/>
          <w:tab w:val="clear" w:pos="5760"/>
          <w:tab w:val="clear" w:pos="7200"/>
          <w:tab w:val="clear" w:pos="7920"/>
        </w:tabs>
        <w:ind w:right="-1062"/>
        <w:rPr>
          <w:rFonts w:ascii="Times New Roman" w:eastAsia="Times New Roman" w:hAnsi="Times New Roman"/>
          <w:szCs w:val="22"/>
          <w:lang w:val="fr-FR" w:eastAsia="en-US"/>
        </w:rPr>
      </w:pPr>
      <w:r w:rsidRPr="00F22742">
        <w:rPr>
          <w:rFonts w:ascii="Times New Roman" w:eastAsia="Times New Roman" w:hAnsi="Times New Roman"/>
          <w:smallCaps/>
          <w:szCs w:val="22"/>
          <w:lang w:val="fr-FR" w:eastAsia="en-US"/>
        </w:rPr>
        <w:tab/>
      </w:r>
      <w:r w:rsidRPr="00F22742">
        <w:rPr>
          <w:rFonts w:ascii="Times New Roman" w:eastAsia="Times New Roman" w:hAnsi="Times New Roman"/>
          <w:szCs w:val="22"/>
          <w:lang w:val="fr-FR" w:eastAsia="en-US"/>
        </w:rPr>
        <w:t>2</w:t>
      </w:r>
      <w:r w:rsidR="00706D11" w:rsidRPr="00F22742">
        <w:rPr>
          <w:rFonts w:ascii="Times New Roman" w:eastAsia="Times New Roman" w:hAnsi="Times New Roman"/>
          <w:szCs w:val="22"/>
          <w:lang w:val="fr-FR" w:eastAsia="en-US"/>
        </w:rPr>
        <w:t>0 sept</w:t>
      </w:r>
      <w:r w:rsidR="00AF7F6A" w:rsidRPr="00F22742">
        <w:rPr>
          <w:rFonts w:ascii="Times New Roman" w:eastAsia="Times New Roman" w:hAnsi="Times New Roman"/>
          <w:szCs w:val="22"/>
          <w:lang w:val="fr-FR" w:eastAsia="en-US"/>
        </w:rPr>
        <w:t>embre</w:t>
      </w:r>
      <w:r w:rsidRPr="00F22742">
        <w:rPr>
          <w:rFonts w:ascii="Times New Roman" w:eastAsia="Times New Roman" w:hAnsi="Times New Roman"/>
          <w:szCs w:val="22"/>
          <w:lang w:val="fr-FR" w:eastAsia="en-US"/>
        </w:rPr>
        <w:t xml:space="preserve"> 202</w:t>
      </w:r>
      <w:r w:rsidR="00593395" w:rsidRPr="00F22742">
        <w:rPr>
          <w:rFonts w:ascii="Times New Roman" w:eastAsia="Times New Roman" w:hAnsi="Times New Roman"/>
          <w:szCs w:val="22"/>
          <w:lang w:val="fr-FR" w:eastAsia="en-US"/>
        </w:rPr>
        <w:t>2</w:t>
      </w:r>
    </w:p>
    <w:p w14:paraId="0E4350A5" w14:textId="3CA15581" w:rsidR="00D65E6C" w:rsidRPr="00F22742" w:rsidRDefault="00D65E6C" w:rsidP="00F22742">
      <w:pPr>
        <w:widowControl/>
        <w:tabs>
          <w:tab w:val="clear" w:pos="720"/>
          <w:tab w:val="clear" w:pos="1440"/>
          <w:tab w:val="clear" w:pos="2160"/>
          <w:tab w:val="clear" w:pos="2880"/>
          <w:tab w:val="clear" w:pos="3600"/>
          <w:tab w:val="clear" w:pos="4320"/>
          <w:tab w:val="clear" w:pos="5760"/>
          <w:tab w:val="clear" w:pos="7200"/>
          <w:tab w:val="clear" w:pos="7920"/>
        </w:tabs>
        <w:ind w:right="-162"/>
        <w:rPr>
          <w:rFonts w:ascii="Times New Roman" w:eastAsia="Times New Roman" w:hAnsi="Times New Roman"/>
          <w:szCs w:val="22"/>
          <w:lang w:val="fr-FR" w:eastAsia="en-US"/>
        </w:rPr>
      </w:pPr>
      <w:r w:rsidRPr="00F22742">
        <w:rPr>
          <w:rFonts w:ascii="Times New Roman" w:eastAsia="Times New Roman" w:hAnsi="Times New Roman"/>
          <w:szCs w:val="22"/>
          <w:lang w:val="fr-FR" w:eastAsia="en-US"/>
        </w:rPr>
        <w:tab/>
        <w:t>Original</w:t>
      </w:r>
      <w:r w:rsidR="00706D11" w:rsidRPr="00F22742">
        <w:rPr>
          <w:rFonts w:ascii="Times New Roman" w:eastAsia="Times New Roman" w:hAnsi="Times New Roman"/>
          <w:szCs w:val="22"/>
          <w:lang w:val="fr-FR" w:eastAsia="en-US"/>
        </w:rPr>
        <w:t> </w:t>
      </w:r>
      <w:r w:rsidRPr="00F22742">
        <w:rPr>
          <w:rFonts w:ascii="Times New Roman" w:eastAsia="Times New Roman" w:hAnsi="Times New Roman"/>
          <w:szCs w:val="22"/>
          <w:lang w:val="fr-FR" w:eastAsia="en-US"/>
        </w:rPr>
        <w:t>: espa</w:t>
      </w:r>
      <w:r w:rsidR="00CE1E71" w:rsidRPr="00F22742">
        <w:rPr>
          <w:rFonts w:ascii="Times New Roman" w:eastAsia="Times New Roman" w:hAnsi="Times New Roman"/>
          <w:szCs w:val="22"/>
          <w:lang w:val="fr-FR" w:eastAsia="en-US"/>
        </w:rPr>
        <w:t>gn</w:t>
      </w:r>
      <w:r w:rsidRPr="00F22742">
        <w:rPr>
          <w:rFonts w:ascii="Times New Roman" w:eastAsia="Times New Roman" w:hAnsi="Times New Roman"/>
          <w:szCs w:val="22"/>
          <w:lang w:val="fr-FR" w:eastAsia="en-US"/>
        </w:rPr>
        <w:t>ol</w:t>
      </w:r>
    </w:p>
    <w:p w14:paraId="477987E8" w14:textId="77777777" w:rsidR="00D65E6C" w:rsidRPr="00F22742" w:rsidRDefault="00D65E6C" w:rsidP="00D65E6C">
      <w:pPr>
        <w:widowControl/>
        <w:pBdr>
          <w:bottom w:val="single" w:sz="12" w:space="0" w:color="auto"/>
        </w:pBdr>
        <w:tabs>
          <w:tab w:val="clear" w:pos="720"/>
          <w:tab w:val="clear" w:pos="1440"/>
          <w:tab w:val="clear" w:pos="2160"/>
          <w:tab w:val="clear" w:pos="2880"/>
          <w:tab w:val="clear" w:pos="3600"/>
          <w:tab w:val="clear" w:pos="4320"/>
          <w:tab w:val="clear" w:pos="5760"/>
          <w:tab w:val="clear" w:pos="6480"/>
          <w:tab w:val="clear" w:pos="7200"/>
          <w:tab w:val="clear" w:pos="7920"/>
          <w:tab w:val="left" w:pos="6750"/>
          <w:tab w:val="left" w:pos="7110"/>
        </w:tabs>
        <w:ind w:right="18"/>
        <w:jc w:val="left"/>
        <w:rPr>
          <w:rFonts w:ascii="Times New Roman" w:eastAsia="Times New Roman" w:hAnsi="Times New Roman"/>
          <w:bCs/>
          <w:szCs w:val="22"/>
          <w:lang w:val="fr-FR" w:eastAsia="en-US"/>
        </w:rPr>
      </w:pPr>
    </w:p>
    <w:p w14:paraId="1C5FB171" w14:textId="77777777" w:rsidR="00D65E6C" w:rsidRPr="00F22742" w:rsidRDefault="00D65E6C" w:rsidP="00F2274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p w14:paraId="47F0ADB4" w14:textId="77777777" w:rsidR="00D65E6C" w:rsidRPr="00F22742"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p w14:paraId="11C5FC52" w14:textId="0898F0D8" w:rsidR="00AB6D67" w:rsidRPr="00F22742" w:rsidRDefault="0055147B" w:rsidP="00AB6D67">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fr-FR" w:eastAsia="en-US"/>
        </w:rPr>
      </w:pPr>
      <w:r w:rsidRPr="00F22742">
        <w:rPr>
          <w:rFonts w:ascii="Times New Roman" w:hAnsi="Times New Roman"/>
          <w:szCs w:val="22"/>
          <w:lang w:val="fr-FR"/>
        </w:rPr>
        <w:t xml:space="preserve">PROPOSITIONS DE TEXTES À INCLURE AU PROJET DE RÉSOLUTION GLOBALE </w:t>
      </w:r>
      <w:r w:rsidRPr="00F22742">
        <w:rPr>
          <w:rFonts w:ascii="Times New Roman" w:hAnsi="Times New Roman"/>
          <w:szCs w:val="22"/>
          <w:lang w:val="fr-FR"/>
        </w:rPr>
        <w:br/>
        <w:t>DU CIDI : ENCOURAGER LES INITIATIVES CONTINENTALES EN MATIÈRE DE DÉVELOPPEMENT INTÉGRÉ : PROMOTION DE LA RÉSILIENCE</w:t>
      </w:r>
      <w:r w:rsidR="00AF7F6A" w:rsidRPr="00F22742">
        <w:rPr>
          <w:rStyle w:val="FootnoteReference"/>
          <w:rFonts w:ascii="Times New Roman" w:eastAsia="Times New Roman" w:hAnsi="Times New Roman"/>
          <w:szCs w:val="22"/>
          <w:lang w:val="fr-FR" w:eastAsia="en-US"/>
        </w:rPr>
        <w:footnoteReference w:id="1"/>
      </w:r>
    </w:p>
    <w:p w14:paraId="736D9088" w14:textId="0793CF4A" w:rsidR="00AB6D67" w:rsidRPr="00F22742" w:rsidRDefault="00AB6D67" w:rsidP="000A2AB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p w14:paraId="2632E5D6" w14:textId="15BBCAEB" w:rsidR="00AF7F6A" w:rsidRPr="00F22742" w:rsidRDefault="00AF7F6A" w:rsidP="00AF7F6A">
      <w:pPr>
        <w:jc w:val="center"/>
        <w:rPr>
          <w:rFonts w:ascii="Times New Roman" w:hAnsi="Times New Roman"/>
          <w:bCs/>
          <w:szCs w:val="22"/>
          <w:lang w:val="fr-FR" w:eastAsia="en-US"/>
        </w:rPr>
      </w:pPr>
      <w:r w:rsidRPr="00F22742">
        <w:rPr>
          <w:rFonts w:ascii="Times New Roman" w:hAnsi="Times New Roman"/>
          <w:bCs/>
          <w:szCs w:val="22"/>
          <w:lang w:val="fr-FR" w:eastAsia="en-US"/>
        </w:rPr>
        <w:t>(</w:t>
      </w:r>
      <w:r w:rsidR="0055147B" w:rsidRPr="00F22742">
        <w:rPr>
          <w:rFonts w:ascii="Times New Roman" w:hAnsi="Times New Roman"/>
          <w:bCs/>
          <w:szCs w:val="22"/>
          <w:lang w:val="fr-FR" w:eastAsia="en-US"/>
        </w:rPr>
        <w:t xml:space="preserve">Convenues lors de la </w:t>
      </w:r>
      <w:r w:rsidR="00F477D7" w:rsidRPr="00F22742">
        <w:rPr>
          <w:rFonts w:ascii="Times New Roman" w:hAnsi="Times New Roman"/>
          <w:bCs/>
          <w:szCs w:val="22"/>
          <w:lang w:val="fr-FR" w:eastAsia="en-US"/>
        </w:rPr>
        <w:t>réunio</w:t>
      </w:r>
      <w:r w:rsidR="0055147B" w:rsidRPr="00F22742">
        <w:rPr>
          <w:rFonts w:ascii="Times New Roman" w:hAnsi="Times New Roman"/>
          <w:bCs/>
          <w:szCs w:val="22"/>
          <w:lang w:val="fr-FR" w:eastAsia="en-US"/>
        </w:rPr>
        <w:t xml:space="preserve">n de la </w:t>
      </w:r>
      <w:r w:rsidR="0055147B" w:rsidRPr="00F22742">
        <w:rPr>
          <w:rFonts w:ascii="Times New Roman" w:hAnsi="Times New Roman"/>
          <w:szCs w:val="22"/>
          <w:lang w:val="fr-FR"/>
        </w:rPr>
        <w:t xml:space="preserve">Commission des questions de migration </w:t>
      </w:r>
      <w:r w:rsidRPr="00F22742">
        <w:rPr>
          <w:rFonts w:ascii="Times New Roman" w:hAnsi="Times New Roman"/>
          <w:bCs/>
          <w:szCs w:val="22"/>
          <w:lang w:val="fr-FR" w:eastAsia="en-US"/>
        </w:rPr>
        <w:t xml:space="preserve">(CAM), </w:t>
      </w:r>
    </w:p>
    <w:p w14:paraId="09A80AAD" w14:textId="63637EA5" w:rsidR="00AF7F6A" w:rsidRPr="00F22742" w:rsidRDefault="00EB3EB1" w:rsidP="00AF7F6A">
      <w:pPr>
        <w:jc w:val="center"/>
        <w:rPr>
          <w:rFonts w:ascii="Times New Roman" w:hAnsi="Times New Roman"/>
          <w:bCs/>
          <w:szCs w:val="22"/>
          <w:lang w:val="fr-FR" w:eastAsia="en-US"/>
        </w:rPr>
      </w:pPr>
      <w:proofErr w:type="gramStart"/>
      <w:r w:rsidRPr="00F22742">
        <w:rPr>
          <w:rFonts w:ascii="Times New Roman" w:hAnsi="Times New Roman"/>
          <w:bCs/>
          <w:szCs w:val="22"/>
          <w:lang w:val="fr-FR" w:eastAsia="en-US"/>
        </w:rPr>
        <w:t>du</w:t>
      </w:r>
      <w:proofErr w:type="gramEnd"/>
      <w:r w:rsidR="00AF7F6A" w:rsidRPr="00F22742">
        <w:rPr>
          <w:rFonts w:ascii="Times New Roman" w:hAnsi="Times New Roman"/>
          <w:bCs/>
          <w:szCs w:val="22"/>
          <w:lang w:val="fr-FR" w:eastAsia="en-US"/>
        </w:rPr>
        <w:t xml:space="preserve"> 2</w:t>
      </w:r>
      <w:r w:rsidR="004D53E5">
        <w:rPr>
          <w:rFonts w:ascii="Times New Roman" w:hAnsi="Times New Roman"/>
          <w:bCs/>
          <w:szCs w:val="22"/>
          <w:lang w:val="fr-FR" w:eastAsia="en-US"/>
        </w:rPr>
        <w:t>0</w:t>
      </w:r>
      <w:r w:rsidRPr="00F22742">
        <w:rPr>
          <w:rFonts w:ascii="Times New Roman" w:hAnsi="Times New Roman"/>
          <w:bCs/>
          <w:szCs w:val="22"/>
          <w:lang w:val="fr-FR" w:eastAsia="en-US"/>
        </w:rPr>
        <w:t> </w:t>
      </w:r>
      <w:r w:rsidR="0055147B" w:rsidRPr="00F22742">
        <w:rPr>
          <w:rFonts w:ascii="Times New Roman" w:hAnsi="Times New Roman"/>
          <w:bCs/>
          <w:szCs w:val="22"/>
          <w:lang w:val="fr-FR" w:eastAsia="en-US"/>
        </w:rPr>
        <w:t>sept</w:t>
      </w:r>
      <w:r w:rsidRPr="00F22742">
        <w:rPr>
          <w:rFonts w:ascii="Times New Roman" w:hAnsi="Times New Roman"/>
          <w:bCs/>
          <w:szCs w:val="22"/>
          <w:lang w:val="fr-FR" w:eastAsia="en-US"/>
        </w:rPr>
        <w:t>embre </w:t>
      </w:r>
      <w:r w:rsidR="00AF7F6A" w:rsidRPr="00F22742">
        <w:rPr>
          <w:rFonts w:ascii="Times New Roman" w:hAnsi="Times New Roman"/>
          <w:bCs/>
          <w:szCs w:val="22"/>
          <w:lang w:val="fr-FR" w:eastAsia="en-US"/>
        </w:rPr>
        <w:t>2022)</w:t>
      </w:r>
    </w:p>
    <w:p w14:paraId="4C83FAD0" w14:textId="2A82D763" w:rsidR="00441CEC" w:rsidRPr="00F22742" w:rsidRDefault="00441CEC" w:rsidP="00F2274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p w14:paraId="788DB61F" w14:textId="77777777" w:rsidR="00AF7F6A" w:rsidRPr="00F22742" w:rsidRDefault="00AF7F6A" w:rsidP="00F2274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p w14:paraId="246E1423" w14:textId="77777777" w:rsidR="0055147B" w:rsidRPr="00F22742" w:rsidRDefault="0055147B" w:rsidP="0055147B">
      <w:pPr>
        <w:rPr>
          <w:rFonts w:ascii="Times New Roman" w:hAnsi="Times New Roman"/>
          <w:szCs w:val="22"/>
          <w:lang w:val="fr-FR"/>
        </w:rPr>
      </w:pPr>
      <w:bookmarkStart w:id="0" w:name="_Toc515731406"/>
      <w:bookmarkStart w:id="1" w:name="_Toc516679331"/>
      <w:r w:rsidRPr="00F22742">
        <w:rPr>
          <w:rFonts w:ascii="Times New Roman" w:hAnsi="Times New Roman"/>
          <w:color w:val="000000"/>
          <w:szCs w:val="22"/>
          <w:lang w:val="fr-FR"/>
        </w:rPr>
        <w:t>CONCERNANT LA LIGNE STRATÉGIQUE « ENCOURAGER LA PROMOTION ET LA PROTECTION DES DROITS HUMAINS DES MIGRANTS, Y COMPRIS LES TRAVAILLEURS MIGRANTS ET LEURS FAMILLES, CONFORMÉMENT AU PROGRAMME INTERAMÉRICAIN EN LA MATIÈRE, AFIN D’ENCOURAGER LEUR CONTRIBUTION AU DÉVELOPPEMENT »</w:t>
      </w:r>
    </w:p>
    <w:p w14:paraId="4D4E9AD4" w14:textId="0F3CA40C" w:rsidR="00AB6D67" w:rsidRPr="00F22742" w:rsidRDefault="00AB6D67" w:rsidP="00AB6D67">
      <w:pPr>
        <w:widowControl/>
        <w:tabs>
          <w:tab w:val="clear" w:pos="72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fr-FR" w:eastAsia="en-US"/>
        </w:rPr>
      </w:pPr>
    </w:p>
    <w:bookmarkEnd w:id="0"/>
    <w:bookmarkEnd w:id="1"/>
    <w:p w14:paraId="5B96A6BB" w14:textId="77777777" w:rsidR="00AB6D67" w:rsidRPr="00F22742" w:rsidRDefault="00AB6D67" w:rsidP="00AB6D67">
      <w:pPr>
        <w:rPr>
          <w:rFonts w:ascii="Times New Roman" w:eastAsia="Times New Roman" w:hAnsi="Times New Roman"/>
          <w:szCs w:val="22"/>
          <w:lang w:val="fr-FR" w:eastAsia="en-US"/>
        </w:rPr>
      </w:pPr>
    </w:p>
    <w:p w14:paraId="0AB3BFE6" w14:textId="77777777" w:rsidR="00AB6D67" w:rsidRPr="00F22742" w:rsidRDefault="00AB6D67" w:rsidP="00AB6D67">
      <w:pPr>
        <w:rPr>
          <w:rFonts w:ascii="Times New Roman" w:eastAsia="Times New Roman" w:hAnsi="Times New Roman"/>
          <w:szCs w:val="22"/>
          <w:lang w:val="fr-FR" w:eastAsia="en-US"/>
        </w:rPr>
      </w:pPr>
    </w:p>
    <w:p w14:paraId="76F020BB" w14:textId="1E6141FC" w:rsidR="00986AD4" w:rsidRPr="00F22742" w:rsidRDefault="0055147B" w:rsidP="00986AD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De réitérer l’importance d’une migration sûre, ordonnée, humaine et régulière et de l'élaboration de politiques publiques fondées sur des données probantes</w:t>
      </w:r>
      <w:r w:rsidR="00986AD4" w:rsidRPr="00F22742">
        <w:rPr>
          <w:rFonts w:ascii="Times New Roman" w:eastAsia="Times New Roman" w:hAnsi="Times New Roman"/>
          <w:szCs w:val="22"/>
          <w:lang w:val="fr-FR" w:eastAsia="en-US"/>
        </w:rPr>
        <w:t xml:space="preserve">, </w:t>
      </w:r>
      <w:r w:rsidRPr="00F22742">
        <w:rPr>
          <w:rFonts w:ascii="Times New Roman" w:eastAsia="Times New Roman" w:hAnsi="Times New Roman"/>
          <w:szCs w:val="22"/>
          <w:lang w:val="fr-FR" w:eastAsia="en-US"/>
        </w:rPr>
        <w:t>selon une approche ré</w:t>
      </w:r>
      <w:r w:rsidR="00986AD4" w:rsidRPr="00F22742">
        <w:rPr>
          <w:rFonts w:ascii="Times New Roman" w:eastAsia="Times New Roman" w:hAnsi="Times New Roman"/>
          <w:szCs w:val="22"/>
          <w:lang w:val="fr-FR" w:eastAsia="en-US"/>
        </w:rPr>
        <w:t>gional</w:t>
      </w:r>
      <w:r w:rsidRPr="00F22742">
        <w:rPr>
          <w:rFonts w:ascii="Times New Roman" w:eastAsia="Times New Roman" w:hAnsi="Times New Roman"/>
          <w:szCs w:val="22"/>
          <w:lang w:val="fr-FR" w:eastAsia="en-US"/>
        </w:rPr>
        <w:t>e et continentale</w:t>
      </w:r>
      <w:r w:rsidR="00986AD4" w:rsidRPr="00F22742">
        <w:rPr>
          <w:rFonts w:ascii="Times New Roman" w:eastAsia="Times New Roman" w:hAnsi="Times New Roman"/>
          <w:szCs w:val="22"/>
          <w:lang w:val="fr-FR" w:eastAsia="en-US"/>
        </w:rPr>
        <w:t xml:space="preserve">, </w:t>
      </w:r>
      <w:r w:rsidRPr="00F22742">
        <w:rPr>
          <w:rFonts w:ascii="Times New Roman" w:hAnsi="Times New Roman"/>
          <w:szCs w:val="22"/>
          <w:lang w:val="fr-FR"/>
        </w:rPr>
        <w:t xml:space="preserve">en renforçant les mécanismes de collecte de données morcelées et à jour sur les populations migrantes, dans le but de s’attaquer aux causes et </w:t>
      </w:r>
      <w:r w:rsidR="009D7BCD" w:rsidRPr="00F22742">
        <w:rPr>
          <w:rFonts w:ascii="Times New Roman" w:hAnsi="Times New Roman"/>
          <w:szCs w:val="22"/>
          <w:lang w:val="fr-FR"/>
        </w:rPr>
        <w:t xml:space="preserve">répercussions </w:t>
      </w:r>
      <w:r w:rsidRPr="00F22742">
        <w:rPr>
          <w:rFonts w:ascii="Times New Roman" w:hAnsi="Times New Roman"/>
          <w:szCs w:val="22"/>
          <w:lang w:val="fr-FR"/>
        </w:rPr>
        <w:t>structurelles de la migration, de prévenir et de réduire les risques de la migration irrégulière</w:t>
      </w:r>
      <w:r w:rsidR="00986AD4" w:rsidRPr="00F22742">
        <w:rPr>
          <w:rFonts w:ascii="Times New Roman" w:eastAsia="Times New Roman" w:hAnsi="Times New Roman"/>
          <w:szCs w:val="22"/>
          <w:lang w:val="fr-FR" w:eastAsia="en-US"/>
        </w:rPr>
        <w:t xml:space="preserve"> </w:t>
      </w:r>
      <w:r w:rsidRPr="00F22742">
        <w:rPr>
          <w:rFonts w:ascii="Times New Roman" w:eastAsia="Times New Roman" w:hAnsi="Times New Roman"/>
          <w:szCs w:val="22"/>
          <w:lang w:val="fr-FR" w:eastAsia="en-US"/>
        </w:rPr>
        <w:t xml:space="preserve">et ceux liés aux déplacements forcés </w:t>
      </w:r>
      <w:r w:rsidR="0033659D" w:rsidRPr="00F22742">
        <w:rPr>
          <w:rFonts w:ascii="Times New Roman" w:eastAsia="Times New Roman" w:hAnsi="Times New Roman"/>
          <w:szCs w:val="22"/>
          <w:lang w:val="fr-FR" w:eastAsia="en-US"/>
        </w:rPr>
        <w:t>afin de promouvoir et de renforcer les voies de migration régulières</w:t>
      </w:r>
      <w:r w:rsidR="00986AD4" w:rsidRPr="00F22742">
        <w:rPr>
          <w:rFonts w:ascii="Times New Roman" w:eastAsia="Times New Roman" w:hAnsi="Times New Roman"/>
          <w:szCs w:val="22"/>
          <w:lang w:val="fr-FR" w:eastAsia="en-US"/>
        </w:rPr>
        <w:t>.</w:t>
      </w:r>
    </w:p>
    <w:p w14:paraId="1C70533D" w14:textId="1C35FC2A" w:rsidR="00986AD4" w:rsidRPr="00F22742" w:rsidRDefault="00986AD4" w:rsidP="00AB6D67">
      <w:pPr>
        <w:rPr>
          <w:rFonts w:ascii="Times New Roman" w:eastAsia="Times New Roman" w:hAnsi="Times New Roman"/>
          <w:szCs w:val="22"/>
          <w:lang w:val="fr-FR" w:eastAsia="en-US"/>
        </w:rPr>
      </w:pPr>
    </w:p>
    <w:p w14:paraId="5E17A927" w14:textId="06A44883" w:rsidR="00986AD4" w:rsidRPr="00F22742" w:rsidRDefault="0033659D" w:rsidP="00986AD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D’inviter instamment tous les États membres, en cohérence avec les obligations pertinentes découlant du droit international des droits de la personne, à renforcer leurs politiques publiques de lutte contre la discrimination, le racisme, la xénophobie et toute forme d’intolérance afin de promouvoir l’intégration socio-économique, l’inclusion et l’autonomisation des migrants au sein des communautés d’origine, de transit, de destination et de retour, dans toutes les sphères de la société</w:t>
      </w:r>
      <w:r w:rsidR="00986AD4" w:rsidRPr="00F22742">
        <w:rPr>
          <w:rFonts w:ascii="Times New Roman" w:eastAsia="Times New Roman" w:hAnsi="Times New Roman"/>
          <w:szCs w:val="22"/>
          <w:lang w:val="fr-FR" w:eastAsia="en-US"/>
        </w:rPr>
        <w:t>.</w:t>
      </w:r>
    </w:p>
    <w:p w14:paraId="3B1965AB" w14:textId="77777777" w:rsidR="00A50506" w:rsidRPr="00F22742" w:rsidRDefault="00A50506" w:rsidP="00A50506">
      <w:pPr>
        <w:pStyle w:val="ListParagraph"/>
        <w:rPr>
          <w:rFonts w:ascii="Times New Roman" w:eastAsia="Times New Roman" w:hAnsi="Times New Roman"/>
          <w:szCs w:val="22"/>
          <w:lang w:val="fr-FR" w:eastAsia="en-US"/>
        </w:rPr>
      </w:pPr>
    </w:p>
    <w:p w14:paraId="316EDC59" w14:textId="22FB1E1C" w:rsidR="00A50506" w:rsidRPr="00F22742" w:rsidRDefault="002B24EA" w:rsidP="00A50506">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 xml:space="preserve">D’inviter instamment aussi tous les États membres à renforcer leurs politiques publiques, les mécanismes de coopération régionale et les processus consultatifs régionaux pour </w:t>
      </w:r>
      <w:r w:rsidRPr="00F22742">
        <w:rPr>
          <w:rFonts w:ascii="Times New Roman" w:hAnsi="Times New Roman"/>
          <w:szCs w:val="22"/>
          <w:lang w:val="fr-FR"/>
        </w:rPr>
        <w:lastRenderedPageBreak/>
        <w:t xml:space="preserve">prévenir et combattre les infractions de la traite des personnes, du trafic illicite des personnes migrantes , </w:t>
      </w:r>
      <w:r w:rsidRPr="00F22742">
        <w:rPr>
          <w:rFonts w:ascii="Times New Roman" w:eastAsia="Times New Roman" w:hAnsi="Times New Roman"/>
          <w:b/>
          <w:bCs/>
          <w:i/>
          <w:iCs/>
          <w:szCs w:val="22"/>
          <w:u w:val="single"/>
          <w:lang w:val="fr-FR" w:eastAsia="en-US"/>
        </w:rPr>
        <w:t>[ARG-CAN-MEX-CRI-CH</w:t>
      </w:r>
      <w:r w:rsidR="00F81A50" w:rsidRPr="00F22742">
        <w:rPr>
          <w:rFonts w:ascii="Times New Roman" w:eastAsia="Times New Roman" w:hAnsi="Times New Roman"/>
          <w:b/>
          <w:bCs/>
          <w:i/>
          <w:iCs/>
          <w:szCs w:val="22"/>
          <w:u w:val="single"/>
          <w:lang w:val="fr-FR" w:eastAsia="en-US"/>
        </w:rPr>
        <w:t> </w:t>
      </w:r>
      <w:r w:rsidRPr="00F22742">
        <w:rPr>
          <w:rFonts w:ascii="Times New Roman" w:eastAsia="Times New Roman" w:hAnsi="Times New Roman"/>
          <w:b/>
          <w:bCs/>
          <w:i/>
          <w:iCs/>
          <w:szCs w:val="22"/>
          <w:u w:val="single"/>
          <w:lang w:val="fr-FR" w:eastAsia="en-US"/>
        </w:rPr>
        <w:t>: en particul</w:t>
      </w:r>
      <w:r w:rsidR="00F81A50" w:rsidRPr="00F22742">
        <w:rPr>
          <w:rFonts w:ascii="Times New Roman" w:eastAsia="Times New Roman" w:hAnsi="Times New Roman"/>
          <w:b/>
          <w:bCs/>
          <w:i/>
          <w:iCs/>
          <w:szCs w:val="22"/>
          <w:u w:val="single"/>
          <w:lang w:val="fr-FR" w:eastAsia="en-US"/>
        </w:rPr>
        <w:t>ier les femmes dans toute leur diversité</w:t>
      </w:r>
      <w:r w:rsidRPr="00F22742">
        <w:rPr>
          <w:rFonts w:ascii="Times New Roman" w:eastAsia="Times New Roman" w:hAnsi="Times New Roman"/>
          <w:b/>
          <w:bCs/>
          <w:i/>
          <w:iCs/>
          <w:szCs w:val="22"/>
          <w:u w:val="single"/>
          <w:lang w:val="fr-FR" w:eastAsia="en-US"/>
        </w:rPr>
        <w:t>],</w:t>
      </w:r>
      <w:r w:rsidRPr="00F22742">
        <w:rPr>
          <w:rFonts w:ascii="Times New Roman" w:eastAsia="Times New Roman" w:hAnsi="Times New Roman"/>
          <w:szCs w:val="22"/>
          <w:u w:val="single"/>
          <w:lang w:val="fr-FR" w:eastAsia="en-US"/>
        </w:rPr>
        <w:t xml:space="preserve"> </w:t>
      </w:r>
      <w:r w:rsidRPr="00F22742">
        <w:rPr>
          <w:rFonts w:ascii="Times New Roman" w:eastAsia="Times New Roman" w:hAnsi="Times New Roman"/>
          <w:b/>
          <w:bCs/>
          <w:i/>
          <w:iCs/>
          <w:szCs w:val="22"/>
          <w:u w:val="single"/>
          <w:lang w:val="fr-FR" w:eastAsia="en-US"/>
        </w:rPr>
        <w:t>[STL-STV-PY-BR-GT</w:t>
      </w:r>
      <w:r w:rsidR="00F81A50" w:rsidRPr="00F22742">
        <w:rPr>
          <w:rFonts w:ascii="Times New Roman" w:eastAsia="Times New Roman" w:hAnsi="Times New Roman"/>
          <w:b/>
          <w:bCs/>
          <w:i/>
          <w:iCs/>
          <w:szCs w:val="22"/>
          <w:u w:val="single"/>
          <w:lang w:val="fr-FR" w:eastAsia="en-US"/>
        </w:rPr>
        <w:t> </w:t>
      </w:r>
      <w:r w:rsidRPr="00F22742">
        <w:rPr>
          <w:rFonts w:ascii="Times New Roman" w:eastAsia="Times New Roman" w:hAnsi="Times New Roman"/>
          <w:b/>
          <w:bCs/>
          <w:i/>
          <w:iCs/>
          <w:strike/>
          <w:szCs w:val="22"/>
          <w:u w:val="single"/>
          <w:lang w:val="fr-FR" w:eastAsia="en-US"/>
        </w:rPr>
        <w:t xml:space="preserve">: </w:t>
      </w:r>
      <w:r w:rsidR="00F81A50" w:rsidRPr="00F22742">
        <w:rPr>
          <w:rFonts w:ascii="Times New Roman" w:eastAsia="Times New Roman" w:hAnsi="Times New Roman"/>
          <w:b/>
          <w:bCs/>
          <w:i/>
          <w:iCs/>
          <w:strike/>
          <w:szCs w:val="22"/>
          <w:u w:val="single"/>
          <w:lang w:val="fr-FR" w:eastAsia="en-US"/>
        </w:rPr>
        <w:t>en particulier les femmes dans toute leur diversité</w:t>
      </w:r>
      <w:r w:rsidR="00F477D7" w:rsidRPr="00F22742">
        <w:rPr>
          <w:rFonts w:ascii="Times New Roman" w:eastAsia="Times New Roman" w:hAnsi="Times New Roman"/>
          <w:b/>
          <w:bCs/>
          <w:i/>
          <w:iCs/>
          <w:strike/>
          <w:szCs w:val="22"/>
          <w:u w:val="single"/>
          <w:lang w:val="fr-FR" w:eastAsia="en-US"/>
        </w:rPr>
        <w:t xml:space="preserve"> </w:t>
      </w:r>
      <w:r w:rsidR="00F477D7" w:rsidRPr="00F22742">
        <w:rPr>
          <w:rFonts w:ascii="Times New Roman" w:eastAsia="Times New Roman" w:hAnsi="Times New Roman"/>
          <w:b/>
          <w:bCs/>
          <w:i/>
          <w:iCs/>
          <w:szCs w:val="22"/>
          <w:u w:val="single"/>
          <w:lang w:val="fr-FR" w:eastAsia="en-US"/>
        </w:rPr>
        <w:t xml:space="preserve">en particulier </w:t>
      </w:r>
      <w:r w:rsidR="00F81A50" w:rsidRPr="00F22742">
        <w:rPr>
          <w:rFonts w:ascii="Times New Roman" w:eastAsia="Times New Roman" w:hAnsi="Times New Roman"/>
          <w:b/>
          <w:bCs/>
          <w:i/>
          <w:iCs/>
          <w:szCs w:val="22"/>
          <w:u w:val="single"/>
          <w:lang w:val="fr-FR" w:eastAsia="en-US"/>
        </w:rPr>
        <w:t>toutes les femmes</w:t>
      </w:r>
      <w:r w:rsidRPr="00F22742">
        <w:rPr>
          <w:rFonts w:ascii="Times New Roman" w:eastAsia="Times New Roman" w:hAnsi="Times New Roman"/>
          <w:b/>
          <w:bCs/>
          <w:i/>
          <w:iCs/>
          <w:szCs w:val="22"/>
          <w:lang w:val="fr-FR" w:eastAsia="en-US"/>
        </w:rPr>
        <w:t>]</w:t>
      </w:r>
      <w:r w:rsidRPr="00F22742">
        <w:rPr>
          <w:rFonts w:ascii="Times New Roman" w:hAnsi="Times New Roman"/>
          <w:szCs w:val="22"/>
          <w:lang w:val="fr-FR"/>
        </w:rPr>
        <w:t xml:space="preserve">, y compris en poursuivant les auteurs </w:t>
      </w:r>
      <w:r w:rsidRPr="00F22742">
        <w:rPr>
          <w:rFonts w:ascii="Times New Roman" w:eastAsia="Times New Roman" w:hAnsi="Times New Roman"/>
          <w:bCs/>
          <w:iCs/>
          <w:szCs w:val="22"/>
          <w:lang w:val="fr-FR" w:eastAsia="en-US"/>
        </w:rPr>
        <w:t>de</w:t>
      </w:r>
      <w:r w:rsidRPr="00F22742">
        <w:rPr>
          <w:rFonts w:ascii="Times New Roman" w:hAnsi="Times New Roman"/>
          <w:szCs w:val="22"/>
          <w:lang w:val="fr-FR"/>
        </w:rPr>
        <w:t xml:space="preserve"> ces infractions, en fournissant une protection adéquate, en offrant une assistance aux victimes de la traite des personnes, en veillant à ce que leurs politiques soient centrées sur</w:t>
      </w:r>
      <w:r w:rsidR="009D7BCD" w:rsidRPr="00F22742">
        <w:rPr>
          <w:rFonts w:ascii="Times New Roman" w:hAnsi="Times New Roman"/>
          <w:szCs w:val="22"/>
          <w:lang w:val="fr-FR"/>
        </w:rPr>
        <w:t xml:space="preserve"> les victimes</w:t>
      </w:r>
      <w:r w:rsidR="00F81A50" w:rsidRPr="00F22742">
        <w:rPr>
          <w:rFonts w:ascii="Times New Roman" w:hAnsi="Times New Roman"/>
          <w:szCs w:val="22"/>
          <w:lang w:val="fr-FR"/>
        </w:rPr>
        <w:t xml:space="preserve"> et en incluant </w:t>
      </w:r>
      <w:r w:rsidRPr="00F22742">
        <w:rPr>
          <w:rFonts w:ascii="Times New Roman" w:hAnsi="Times New Roman"/>
          <w:szCs w:val="22"/>
          <w:lang w:val="fr-FR"/>
        </w:rPr>
        <w:t>une perspective de genre</w:t>
      </w:r>
      <w:r w:rsidR="00A50506" w:rsidRPr="00F22742">
        <w:rPr>
          <w:rFonts w:ascii="Times New Roman" w:eastAsia="Times New Roman" w:hAnsi="Times New Roman"/>
          <w:szCs w:val="22"/>
          <w:lang w:val="fr-FR" w:eastAsia="en-US"/>
        </w:rPr>
        <w:t>.</w:t>
      </w:r>
      <w:r w:rsidR="008660A9" w:rsidRPr="00F22742">
        <w:rPr>
          <w:rFonts w:ascii="Times New Roman" w:eastAsia="Times New Roman" w:hAnsi="Times New Roman"/>
          <w:szCs w:val="22"/>
          <w:lang w:val="fr-FR" w:eastAsia="en-US"/>
        </w:rPr>
        <w:t xml:space="preserve"> </w:t>
      </w:r>
      <w:r w:rsidRPr="00F22742">
        <w:rPr>
          <w:rFonts w:ascii="Times New Roman" w:eastAsia="Times New Roman" w:hAnsi="Times New Roman"/>
          <w:b/>
          <w:bCs/>
          <w:i/>
          <w:iCs/>
          <w:szCs w:val="22"/>
          <w:lang w:val="fr-FR" w:eastAsia="en-US"/>
        </w:rPr>
        <w:t>(En suspens</w:t>
      </w:r>
      <w:r w:rsidR="008660A9" w:rsidRPr="00F22742">
        <w:rPr>
          <w:rFonts w:ascii="Times New Roman" w:eastAsia="Times New Roman" w:hAnsi="Times New Roman"/>
          <w:b/>
          <w:bCs/>
          <w:i/>
          <w:iCs/>
          <w:szCs w:val="22"/>
          <w:lang w:val="fr-FR" w:eastAsia="en-US"/>
        </w:rPr>
        <w:t>)</w:t>
      </w:r>
    </w:p>
    <w:p w14:paraId="748DD634" w14:textId="77777777" w:rsidR="006F1BE5" w:rsidRPr="00F22742" w:rsidRDefault="006F1BE5" w:rsidP="0045206D">
      <w:pPr>
        <w:pStyle w:val="ListParagraph"/>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eastAsia="Times New Roman" w:hAnsi="Times New Roman"/>
          <w:szCs w:val="22"/>
          <w:lang w:val="fr-FR" w:eastAsia="en-US"/>
        </w:rPr>
      </w:pPr>
    </w:p>
    <w:p w14:paraId="6A2FA581" w14:textId="1FA7D1D4" w:rsidR="006F1BE5" w:rsidRPr="00F22742" w:rsidRDefault="00F81A50" w:rsidP="006F1BE5">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De reconnaître qu’il est nécessaire de fournir aux personnes en situation de mobilité humaine un accès aux services de santé et de prévention des maladies, à la vaccination, aux services sociaux, à l’éducation et au travail en vue de leur pleine intégration dans les pays d’accueil, quel que soit leur statut migratoire, conformément aux lois nationales et aux obligations internationales applicables</w:t>
      </w:r>
      <w:r w:rsidR="006F1BE5" w:rsidRPr="00F22742">
        <w:rPr>
          <w:rFonts w:ascii="Times New Roman" w:eastAsia="Times New Roman" w:hAnsi="Times New Roman"/>
          <w:szCs w:val="22"/>
          <w:lang w:val="fr-FR" w:eastAsia="en-US"/>
        </w:rPr>
        <w:t>.</w:t>
      </w:r>
    </w:p>
    <w:p w14:paraId="65F424C8" w14:textId="6233EE5C" w:rsidR="006F1BE5" w:rsidRPr="00F22742"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163DD986" w14:textId="642368FF" w:rsidR="006F1BE5" w:rsidRPr="00F22742" w:rsidRDefault="00F81A50" w:rsidP="00FA49F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b/>
          <w:bCs/>
          <w:i/>
          <w:iCs/>
          <w:szCs w:val="22"/>
          <w:lang w:val="fr-FR" w:eastAsia="en-US"/>
        </w:rPr>
      </w:pPr>
      <w:r w:rsidRPr="00F22742">
        <w:rPr>
          <w:rFonts w:ascii="Times New Roman" w:hAnsi="Times New Roman"/>
          <w:szCs w:val="22"/>
          <w:lang w:val="fr-FR"/>
        </w:rPr>
        <w:t xml:space="preserve">D’inviter instamment les États Membres </w:t>
      </w:r>
      <w:r w:rsidR="008F261E" w:rsidRPr="00F22742">
        <w:rPr>
          <w:rFonts w:ascii="Times New Roman" w:hAnsi="Times New Roman"/>
          <w:szCs w:val="22"/>
          <w:lang w:val="fr-FR"/>
        </w:rPr>
        <w:t xml:space="preserve">à veiller à ce que les enfants et les adolescents migrants accompagnés et non accompagnés ou séparés de leurs familles, bénéficient d'une assistance et d'une protection spécialisées dans toute situation les concernant. </w:t>
      </w:r>
      <w:r w:rsidRPr="00F22742">
        <w:rPr>
          <w:rFonts w:ascii="Times New Roman" w:hAnsi="Times New Roman"/>
          <w:szCs w:val="22"/>
          <w:lang w:val="fr-FR"/>
        </w:rPr>
        <w:t xml:space="preserve">D’encourager les pays de la région à mettre en œuvre, si nécessaire, des accords de coopération et des protocoles de </w:t>
      </w:r>
      <w:r w:rsidR="00624E36" w:rsidRPr="00F22742">
        <w:rPr>
          <w:rFonts w:ascii="Times New Roman" w:hAnsi="Times New Roman"/>
          <w:szCs w:val="22"/>
          <w:lang w:val="fr-FR"/>
        </w:rPr>
        <w:t xml:space="preserve">protection, </w:t>
      </w:r>
      <w:r w:rsidRPr="00F22742">
        <w:rPr>
          <w:rFonts w:ascii="Times New Roman" w:hAnsi="Times New Roman"/>
          <w:szCs w:val="22"/>
          <w:lang w:val="fr-FR"/>
        </w:rPr>
        <w:t xml:space="preserve">d’assistance et de </w:t>
      </w:r>
      <w:r w:rsidR="00624E36" w:rsidRPr="00F22742">
        <w:rPr>
          <w:rFonts w:ascii="Times New Roman" w:hAnsi="Times New Roman"/>
          <w:szCs w:val="22"/>
          <w:lang w:val="fr-FR"/>
        </w:rPr>
        <w:t xml:space="preserve">prise en charge </w:t>
      </w:r>
      <w:r w:rsidRPr="00F22742">
        <w:rPr>
          <w:rFonts w:ascii="Times New Roman" w:hAnsi="Times New Roman"/>
          <w:szCs w:val="22"/>
          <w:lang w:val="fr-FR"/>
        </w:rPr>
        <w:t>des enfants et des adolescents en contexte de mobilité, accompagnés, non accompagnés ou séparés de leurs familles, en préservant</w:t>
      </w:r>
      <w:r w:rsidR="00624E36" w:rsidRPr="00F22742">
        <w:rPr>
          <w:rFonts w:ascii="Times New Roman" w:hAnsi="Times New Roman"/>
          <w:szCs w:val="22"/>
          <w:lang w:val="fr-FR"/>
        </w:rPr>
        <w:t xml:space="preserve"> avant tout</w:t>
      </w:r>
      <w:r w:rsidRPr="00F22742">
        <w:rPr>
          <w:rFonts w:ascii="Times New Roman" w:hAnsi="Times New Roman"/>
          <w:szCs w:val="22"/>
          <w:lang w:val="fr-FR"/>
        </w:rPr>
        <w:t xml:space="preserve"> l'intérêt supérieur de l'enfant, en respectant et en protégeant ses droits, </w:t>
      </w:r>
      <w:r w:rsidR="00624E36" w:rsidRPr="00F22742">
        <w:rPr>
          <w:rFonts w:ascii="Times New Roman" w:hAnsi="Times New Roman"/>
          <w:szCs w:val="22"/>
          <w:lang w:val="fr-FR"/>
        </w:rPr>
        <w:t xml:space="preserve">y compris le regroupement familial, et </w:t>
      </w:r>
      <w:r w:rsidRPr="00F22742">
        <w:rPr>
          <w:rFonts w:ascii="Times New Roman" w:hAnsi="Times New Roman"/>
          <w:szCs w:val="22"/>
          <w:lang w:val="fr-FR"/>
        </w:rPr>
        <w:t>en tenant compte des obligations des pays en vertu du droit international des droits de la personne</w:t>
      </w:r>
      <w:r w:rsidR="006F1BE5" w:rsidRPr="00F22742">
        <w:rPr>
          <w:rFonts w:ascii="Times New Roman" w:eastAsia="Times New Roman" w:hAnsi="Times New Roman"/>
          <w:szCs w:val="22"/>
          <w:lang w:val="fr-FR" w:eastAsia="en-US"/>
        </w:rPr>
        <w:t xml:space="preserve">. </w:t>
      </w:r>
      <w:r w:rsidR="00FA49F4" w:rsidRPr="00F22742">
        <w:rPr>
          <w:rFonts w:ascii="Times New Roman" w:eastAsia="Times New Roman" w:hAnsi="Times New Roman"/>
          <w:b/>
          <w:bCs/>
          <w:i/>
          <w:iCs/>
          <w:szCs w:val="22"/>
          <w:lang w:val="fr-FR" w:eastAsia="en-US"/>
        </w:rPr>
        <w:t>(</w:t>
      </w:r>
      <w:r w:rsidR="006F1BE5" w:rsidRPr="00F22742">
        <w:rPr>
          <w:rFonts w:ascii="Times New Roman" w:eastAsia="Times New Roman" w:hAnsi="Times New Roman"/>
          <w:b/>
          <w:bCs/>
          <w:i/>
          <w:iCs/>
          <w:szCs w:val="22"/>
          <w:lang w:val="fr-FR" w:eastAsia="en-US"/>
        </w:rPr>
        <w:t>Ad</w:t>
      </w:r>
      <w:r w:rsidR="008660A9" w:rsidRPr="00F22742">
        <w:rPr>
          <w:rFonts w:ascii="Times New Roman" w:eastAsia="Times New Roman" w:hAnsi="Times New Roman"/>
          <w:b/>
          <w:bCs/>
          <w:i/>
          <w:iCs/>
          <w:szCs w:val="22"/>
          <w:lang w:val="fr-FR" w:eastAsia="en-US"/>
        </w:rPr>
        <w:t xml:space="preserve"> r</w:t>
      </w:r>
      <w:r w:rsidRPr="00F22742">
        <w:rPr>
          <w:rFonts w:ascii="Times New Roman" w:eastAsia="Times New Roman" w:hAnsi="Times New Roman"/>
          <w:b/>
          <w:bCs/>
          <w:i/>
          <w:iCs/>
          <w:szCs w:val="22"/>
          <w:lang w:val="fr-FR" w:eastAsia="en-US"/>
        </w:rPr>
        <w:t>é</w:t>
      </w:r>
      <w:r w:rsidR="00FA49F4" w:rsidRPr="00F22742">
        <w:rPr>
          <w:rFonts w:ascii="Times New Roman" w:eastAsia="Times New Roman" w:hAnsi="Times New Roman"/>
          <w:b/>
          <w:bCs/>
          <w:i/>
          <w:iCs/>
          <w:szCs w:val="22"/>
          <w:lang w:val="fr-FR" w:eastAsia="en-US"/>
        </w:rPr>
        <w:t>f</w:t>
      </w:r>
      <w:r w:rsidRPr="00F22742">
        <w:rPr>
          <w:rFonts w:ascii="Times New Roman" w:eastAsia="Times New Roman" w:hAnsi="Times New Roman"/>
          <w:b/>
          <w:bCs/>
          <w:i/>
          <w:iCs/>
          <w:szCs w:val="22"/>
          <w:lang w:val="fr-FR" w:eastAsia="en-US"/>
        </w:rPr>
        <w:t>é</w:t>
      </w:r>
      <w:r w:rsidR="00FA49F4" w:rsidRPr="00F22742">
        <w:rPr>
          <w:rFonts w:ascii="Times New Roman" w:eastAsia="Times New Roman" w:hAnsi="Times New Roman"/>
          <w:b/>
          <w:bCs/>
          <w:i/>
          <w:iCs/>
          <w:szCs w:val="22"/>
          <w:lang w:val="fr-FR" w:eastAsia="en-US"/>
        </w:rPr>
        <w:t>r</w:t>
      </w:r>
      <w:r w:rsidRPr="00F22742">
        <w:rPr>
          <w:rFonts w:ascii="Times New Roman" w:eastAsia="Times New Roman" w:hAnsi="Times New Roman"/>
          <w:b/>
          <w:bCs/>
          <w:i/>
          <w:iCs/>
          <w:szCs w:val="22"/>
          <w:lang w:val="fr-FR" w:eastAsia="en-US"/>
        </w:rPr>
        <w:t>e</w:t>
      </w:r>
      <w:r w:rsidR="00FA49F4" w:rsidRPr="00F22742">
        <w:rPr>
          <w:rFonts w:ascii="Times New Roman" w:eastAsia="Times New Roman" w:hAnsi="Times New Roman"/>
          <w:b/>
          <w:bCs/>
          <w:i/>
          <w:iCs/>
          <w:szCs w:val="22"/>
          <w:lang w:val="fr-FR" w:eastAsia="en-US"/>
        </w:rPr>
        <w:t>ndum de la d</w:t>
      </w:r>
      <w:r w:rsidRPr="00F22742">
        <w:rPr>
          <w:rFonts w:ascii="Times New Roman" w:eastAsia="Times New Roman" w:hAnsi="Times New Roman"/>
          <w:b/>
          <w:bCs/>
          <w:i/>
          <w:iCs/>
          <w:szCs w:val="22"/>
          <w:lang w:val="fr-FR" w:eastAsia="en-US"/>
        </w:rPr>
        <w:t>é</w:t>
      </w:r>
      <w:r w:rsidR="00FA49F4" w:rsidRPr="00F22742">
        <w:rPr>
          <w:rFonts w:ascii="Times New Roman" w:eastAsia="Times New Roman" w:hAnsi="Times New Roman"/>
          <w:b/>
          <w:bCs/>
          <w:i/>
          <w:iCs/>
          <w:szCs w:val="22"/>
          <w:lang w:val="fr-FR" w:eastAsia="en-US"/>
        </w:rPr>
        <w:t>l</w:t>
      </w:r>
      <w:r w:rsidRPr="00F22742">
        <w:rPr>
          <w:rFonts w:ascii="Times New Roman" w:eastAsia="Times New Roman" w:hAnsi="Times New Roman"/>
          <w:b/>
          <w:bCs/>
          <w:i/>
          <w:iCs/>
          <w:szCs w:val="22"/>
          <w:lang w:val="fr-FR" w:eastAsia="en-US"/>
        </w:rPr>
        <w:t>é</w:t>
      </w:r>
      <w:r w:rsidR="00FA49F4" w:rsidRPr="00F22742">
        <w:rPr>
          <w:rFonts w:ascii="Times New Roman" w:eastAsia="Times New Roman" w:hAnsi="Times New Roman"/>
          <w:b/>
          <w:bCs/>
          <w:i/>
          <w:iCs/>
          <w:szCs w:val="22"/>
          <w:lang w:val="fr-FR" w:eastAsia="en-US"/>
        </w:rPr>
        <w:t>ga</w:t>
      </w:r>
      <w:r w:rsidRPr="00F22742">
        <w:rPr>
          <w:rFonts w:ascii="Times New Roman" w:eastAsia="Times New Roman" w:hAnsi="Times New Roman"/>
          <w:b/>
          <w:bCs/>
          <w:i/>
          <w:iCs/>
          <w:szCs w:val="22"/>
          <w:lang w:val="fr-FR" w:eastAsia="en-US"/>
        </w:rPr>
        <w:t>t</w:t>
      </w:r>
      <w:r w:rsidR="00FA49F4" w:rsidRPr="00F22742">
        <w:rPr>
          <w:rFonts w:ascii="Times New Roman" w:eastAsia="Times New Roman" w:hAnsi="Times New Roman"/>
          <w:b/>
          <w:bCs/>
          <w:i/>
          <w:iCs/>
          <w:szCs w:val="22"/>
          <w:lang w:val="fr-FR" w:eastAsia="en-US"/>
        </w:rPr>
        <w:t>i</w:t>
      </w:r>
      <w:r w:rsidRPr="00F22742">
        <w:rPr>
          <w:rFonts w:ascii="Times New Roman" w:eastAsia="Times New Roman" w:hAnsi="Times New Roman"/>
          <w:b/>
          <w:bCs/>
          <w:i/>
          <w:iCs/>
          <w:szCs w:val="22"/>
          <w:lang w:val="fr-FR" w:eastAsia="en-US"/>
        </w:rPr>
        <w:t>o</w:t>
      </w:r>
      <w:r w:rsidR="00FA49F4" w:rsidRPr="00F22742">
        <w:rPr>
          <w:rFonts w:ascii="Times New Roman" w:eastAsia="Times New Roman" w:hAnsi="Times New Roman"/>
          <w:b/>
          <w:bCs/>
          <w:i/>
          <w:iCs/>
          <w:szCs w:val="22"/>
          <w:lang w:val="fr-FR" w:eastAsia="en-US"/>
        </w:rPr>
        <w:t>n de</w:t>
      </w:r>
      <w:r w:rsidRPr="00F22742">
        <w:rPr>
          <w:rFonts w:ascii="Times New Roman" w:eastAsia="Times New Roman" w:hAnsi="Times New Roman"/>
          <w:b/>
          <w:bCs/>
          <w:i/>
          <w:iCs/>
          <w:szCs w:val="22"/>
          <w:lang w:val="fr-FR" w:eastAsia="en-US"/>
        </w:rPr>
        <w:t>s États-Unis</w:t>
      </w:r>
      <w:r w:rsidR="00FA49F4" w:rsidRPr="00F22742">
        <w:rPr>
          <w:rFonts w:ascii="Times New Roman" w:eastAsia="Times New Roman" w:hAnsi="Times New Roman"/>
          <w:b/>
          <w:bCs/>
          <w:i/>
          <w:iCs/>
          <w:szCs w:val="22"/>
          <w:lang w:val="fr-FR" w:eastAsia="en-US"/>
        </w:rPr>
        <w:t>).</w:t>
      </w:r>
    </w:p>
    <w:p w14:paraId="4A94C96B" w14:textId="48FFF426" w:rsidR="006F1BE5" w:rsidRPr="00F22742"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4C876016" w14:textId="6ABC130A" w:rsidR="006A7AC7" w:rsidRPr="00F22742" w:rsidRDefault="00F81A50" w:rsidP="006A7AC7">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D’inviter instamment</w:t>
      </w:r>
      <w:r w:rsidR="006A7AC7" w:rsidRPr="00F22742">
        <w:rPr>
          <w:rFonts w:ascii="Times New Roman" w:eastAsia="Times New Roman" w:hAnsi="Times New Roman"/>
          <w:szCs w:val="22"/>
          <w:lang w:val="fr-FR" w:eastAsia="en-US"/>
        </w:rPr>
        <w:t xml:space="preserve"> </w:t>
      </w:r>
      <w:r w:rsidR="00B90BEA" w:rsidRPr="00F22742">
        <w:rPr>
          <w:rFonts w:ascii="Times New Roman" w:hAnsi="Times New Roman"/>
          <w:szCs w:val="22"/>
          <w:lang w:val="fr-FR"/>
        </w:rPr>
        <w:t xml:space="preserve">les États membres à prendre en compte les droits des personnes migrantes, réfugiées et apatrides et des </w:t>
      </w:r>
      <w:r w:rsidR="00506130" w:rsidRPr="00F22742">
        <w:rPr>
          <w:rFonts w:ascii="Times New Roman" w:hAnsi="Times New Roman"/>
          <w:szCs w:val="22"/>
          <w:lang w:val="fr-FR"/>
        </w:rPr>
        <w:t>m</w:t>
      </w:r>
      <w:r w:rsidR="00B90BEA" w:rsidRPr="00F22742">
        <w:rPr>
          <w:rFonts w:ascii="Times New Roman" w:hAnsi="Times New Roman"/>
          <w:szCs w:val="22"/>
          <w:lang w:val="fr-FR"/>
        </w:rPr>
        <w:t xml:space="preserve">embres de leurs familles, selon une démarche intégrée soucieuse des droits de la personne, lors de la formulation et de la mise en œuvre des politiques de lutte </w:t>
      </w:r>
      <w:r w:rsidR="00DD1C04" w:rsidRPr="00F22742">
        <w:rPr>
          <w:rFonts w:ascii="Times New Roman" w:hAnsi="Times New Roman"/>
          <w:szCs w:val="22"/>
          <w:lang w:val="fr-FR"/>
        </w:rPr>
        <w:t>pour faire face aux situations d’urgence sanitaire, comme ce fut le cas avec</w:t>
      </w:r>
      <w:r w:rsidR="00B90BEA" w:rsidRPr="00F22742">
        <w:rPr>
          <w:rFonts w:ascii="Times New Roman" w:hAnsi="Times New Roman"/>
          <w:szCs w:val="22"/>
          <w:lang w:val="fr-FR"/>
        </w:rPr>
        <w:t xml:space="preserve"> la pandémie de COVID-19, en tenant compte des répercussions particulières</w:t>
      </w:r>
      <w:r w:rsidR="006A7AC7" w:rsidRPr="00F22742">
        <w:rPr>
          <w:rFonts w:ascii="Times New Roman" w:eastAsia="Times New Roman" w:hAnsi="Times New Roman"/>
          <w:szCs w:val="22"/>
          <w:lang w:val="fr-FR" w:eastAsia="en-US"/>
        </w:rPr>
        <w:t xml:space="preserve"> </w:t>
      </w:r>
      <w:r w:rsidR="00B90BEA" w:rsidRPr="00F22742">
        <w:rPr>
          <w:rFonts w:ascii="Times New Roman" w:hAnsi="Times New Roman"/>
          <w:szCs w:val="22"/>
          <w:lang w:val="fr-FR"/>
        </w:rPr>
        <w:t xml:space="preserve">sur </w:t>
      </w:r>
      <w:r w:rsidR="006A7AC7" w:rsidRPr="00F22742">
        <w:rPr>
          <w:rFonts w:ascii="Times New Roman" w:eastAsia="Times New Roman" w:hAnsi="Times New Roman"/>
          <w:b/>
          <w:bCs/>
          <w:i/>
          <w:iCs/>
          <w:szCs w:val="22"/>
          <w:lang w:val="fr-FR" w:eastAsia="en-US"/>
        </w:rPr>
        <w:t>[CAN-CRI-AR-CH-MEX</w:t>
      </w:r>
      <w:r w:rsidR="00B90BEA" w:rsidRPr="00F22742">
        <w:rPr>
          <w:rFonts w:ascii="Times New Roman" w:eastAsia="Times New Roman" w:hAnsi="Times New Roman"/>
          <w:b/>
          <w:bCs/>
          <w:i/>
          <w:iCs/>
          <w:szCs w:val="22"/>
          <w:lang w:val="fr-FR" w:eastAsia="en-US"/>
        </w:rPr>
        <w:t> </w:t>
      </w:r>
      <w:r w:rsidR="006A7AC7" w:rsidRPr="00F22742">
        <w:rPr>
          <w:rFonts w:ascii="Times New Roman" w:eastAsia="Times New Roman" w:hAnsi="Times New Roman"/>
          <w:b/>
          <w:bCs/>
          <w:i/>
          <w:iCs/>
          <w:szCs w:val="22"/>
          <w:lang w:val="fr-FR" w:eastAsia="en-US"/>
        </w:rPr>
        <w:t xml:space="preserve">: </w:t>
      </w:r>
      <w:r w:rsidR="00B90BEA" w:rsidRPr="00F22742">
        <w:rPr>
          <w:rFonts w:ascii="Times New Roman" w:eastAsia="Times New Roman" w:hAnsi="Times New Roman"/>
          <w:b/>
          <w:bCs/>
          <w:i/>
          <w:iCs/>
          <w:szCs w:val="22"/>
          <w:lang w:val="fr-FR" w:eastAsia="en-US"/>
        </w:rPr>
        <w:t>les femmes dans toute leur diversité</w:t>
      </w:r>
      <w:r w:rsidR="006A7AC7" w:rsidRPr="00F22742">
        <w:rPr>
          <w:rFonts w:ascii="Times New Roman" w:eastAsia="Times New Roman" w:hAnsi="Times New Roman"/>
          <w:b/>
          <w:bCs/>
          <w:i/>
          <w:iCs/>
          <w:szCs w:val="22"/>
          <w:lang w:val="fr-FR" w:eastAsia="en-US"/>
        </w:rPr>
        <w:t>]</w:t>
      </w:r>
      <w:r w:rsidR="006A7AC7" w:rsidRPr="00F22742">
        <w:rPr>
          <w:rFonts w:ascii="Times New Roman" w:eastAsia="Times New Roman" w:hAnsi="Times New Roman"/>
          <w:szCs w:val="22"/>
          <w:lang w:val="fr-FR" w:eastAsia="en-US"/>
        </w:rPr>
        <w:t xml:space="preserve"> </w:t>
      </w:r>
      <w:r w:rsidR="006A7AC7" w:rsidRPr="00F22742">
        <w:rPr>
          <w:rFonts w:ascii="Times New Roman" w:eastAsia="Times New Roman" w:hAnsi="Times New Roman"/>
          <w:b/>
          <w:bCs/>
          <w:i/>
          <w:iCs/>
          <w:szCs w:val="22"/>
          <w:lang w:val="fr-FR" w:eastAsia="en-US"/>
        </w:rPr>
        <w:t>[SVG-STL-PY-GT</w:t>
      </w:r>
      <w:r w:rsidR="001A0600" w:rsidRPr="00F22742">
        <w:rPr>
          <w:rFonts w:ascii="Times New Roman" w:eastAsia="Times New Roman" w:hAnsi="Times New Roman"/>
          <w:b/>
          <w:bCs/>
          <w:i/>
          <w:iCs/>
          <w:szCs w:val="22"/>
          <w:lang w:val="fr-FR" w:eastAsia="en-US"/>
        </w:rPr>
        <w:t> </w:t>
      </w:r>
      <w:r w:rsidR="00156007" w:rsidRPr="00F22742">
        <w:rPr>
          <w:rFonts w:ascii="Times New Roman" w:eastAsia="Times New Roman" w:hAnsi="Times New Roman"/>
          <w:b/>
          <w:bCs/>
          <w:i/>
          <w:iCs/>
          <w:szCs w:val="22"/>
          <w:lang w:val="fr-FR" w:eastAsia="en-US"/>
        </w:rPr>
        <w:t xml:space="preserve">: </w:t>
      </w:r>
      <w:r w:rsidR="00B90BEA" w:rsidRPr="00F22742">
        <w:rPr>
          <w:rFonts w:ascii="Times New Roman" w:eastAsia="Times New Roman" w:hAnsi="Times New Roman"/>
          <w:b/>
          <w:bCs/>
          <w:i/>
          <w:iCs/>
          <w:strike/>
          <w:szCs w:val="22"/>
          <w:lang w:val="fr-FR" w:eastAsia="en-US"/>
        </w:rPr>
        <w:t>les femmes dans toute leur diversité</w:t>
      </w:r>
      <w:r w:rsidR="006A7AC7" w:rsidRPr="00F22742">
        <w:rPr>
          <w:rFonts w:ascii="Times New Roman" w:eastAsia="Times New Roman" w:hAnsi="Times New Roman"/>
          <w:b/>
          <w:bCs/>
          <w:i/>
          <w:iCs/>
          <w:szCs w:val="22"/>
          <w:lang w:val="fr-FR" w:eastAsia="en-US"/>
        </w:rPr>
        <w:t xml:space="preserve"> l</w:t>
      </w:r>
      <w:r w:rsidR="00B90BEA" w:rsidRPr="00F22742">
        <w:rPr>
          <w:rFonts w:ascii="Times New Roman" w:eastAsia="Times New Roman" w:hAnsi="Times New Roman"/>
          <w:b/>
          <w:bCs/>
          <w:i/>
          <w:iCs/>
          <w:szCs w:val="22"/>
          <w:lang w:val="fr-FR" w:eastAsia="en-US"/>
        </w:rPr>
        <w:t>e</w:t>
      </w:r>
      <w:r w:rsidR="006A7AC7" w:rsidRPr="00F22742">
        <w:rPr>
          <w:rFonts w:ascii="Times New Roman" w:eastAsia="Times New Roman" w:hAnsi="Times New Roman"/>
          <w:b/>
          <w:bCs/>
          <w:i/>
          <w:iCs/>
          <w:szCs w:val="22"/>
          <w:lang w:val="fr-FR" w:eastAsia="en-US"/>
        </w:rPr>
        <w:t xml:space="preserve">s </w:t>
      </w:r>
      <w:r w:rsidR="00B90BEA" w:rsidRPr="00F22742">
        <w:rPr>
          <w:rFonts w:ascii="Times New Roman" w:eastAsia="Times New Roman" w:hAnsi="Times New Roman"/>
          <w:b/>
          <w:bCs/>
          <w:i/>
          <w:iCs/>
          <w:szCs w:val="22"/>
          <w:lang w:val="fr-FR" w:eastAsia="en-US"/>
        </w:rPr>
        <w:t>femme</w:t>
      </w:r>
      <w:r w:rsidR="006A7AC7" w:rsidRPr="00F22742">
        <w:rPr>
          <w:rFonts w:ascii="Times New Roman" w:eastAsia="Times New Roman" w:hAnsi="Times New Roman"/>
          <w:b/>
          <w:bCs/>
          <w:i/>
          <w:iCs/>
          <w:szCs w:val="22"/>
          <w:lang w:val="fr-FR" w:eastAsia="en-US"/>
        </w:rPr>
        <w:t>s</w:t>
      </w:r>
      <w:r w:rsidR="00156007" w:rsidRPr="00F22742">
        <w:rPr>
          <w:rFonts w:ascii="Times New Roman" w:eastAsia="Times New Roman" w:hAnsi="Times New Roman"/>
          <w:b/>
          <w:bCs/>
          <w:i/>
          <w:iCs/>
          <w:szCs w:val="22"/>
          <w:lang w:val="fr-FR" w:eastAsia="en-US"/>
        </w:rPr>
        <w:t>]</w:t>
      </w:r>
      <w:r w:rsidR="00B90BEA" w:rsidRPr="00F22742">
        <w:rPr>
          <w:rFonts w:ascii="Times New Roman" w:eastAsia="Times New Roman" w:hAnsi="Times New Roman"/>
          <w:szCs w:val="22"/>
          <w:lang w:val="fr-FR" w:eastAsia="en-US"/>
        </w:rPr>
        <w:t xml:space="preserve">, </w:t>
      </w:r>
      <w:r w:rsidR="00B90BEA" w:rsidRPr="00F22742">
        <w:rPr>
          <w:rFonts w:ascii="Times New Roman" w:hAnsi="Times New Roman"/>
          <w:szCs w:val="22"/>
          <w:lang w:val="fr-FR"/>
        </w:rPr>
        <w:t>les</w:t>
      </w:r>
      <w:r w:rsidR="00B90BEA" w:rsidRPr="00F22742">
        <w:rPr>
          <w:rFonts w:ascii="Times New Roman" w:eastAsia="Times New Roman" w:hAnsi="Times New Roman"/>
          <w:szCs w:val="22"/>
          <w:lang w:val="fr-FR" w:eastAsia="en-US"/>
        </w:rPr>
        <w:t xml:space="preserve"> </w:t>
      </w:r>
      <w:r w:rsidR="00B90BEA" w:rsidRPr="00F22742">
        <w:rPr>
          <w:rFonts w:ascii="Times New Roman" w:hAnsi="Times New Roman"/>
          <w:szCs w:val="22"/>
          <w:lang w:val="fr-FR"/>
        </w:rPr>
        <w:t>enfants</w:t>
      </w:r>
      <w:r w:rsidR="00B90BEA" w:rsidRPr="00F22742">
        <w:rPr>
          <w:rFonts w:ascii="Times New Roman" w:eastAsia="Times New Roman" w:hAnsi="Times New Roman"/>
          <w:szCs w:val="22"/>
          <w:lang w:val="fr-FR" w:eastAsia="en-US"/>
        </w:rPr>
        <w:t xml:space="preserve"> et adolescents migrant</w:t>
      </w:r>
      <w:r w:rsidR="006A7AC7" w:rsidRPr="00F22742">
        <w:rPr>
          <w:rFonts w:ascii="Times New Roman" w:eastAsia="Times New Roman" w:hAnsi="Times New Roman"/>
          <w:szCs w:val="22"/>
          <w:lang w:val="fr-FR" w:eastAsia="en-US"/>
        </w:rPr>
        <w:t xml:space="preserve">s </w:t>
      </w:r>
      <w:r w:rsidR="00B90BEA" w:rsidRPr="00F22742">
        <w:rPr>
          <w:rFonts w:ascii="Times New Roman" w:eastAsia="Times New Roman" w:hAnsi="Times New Roman"/>
          <w:szCs w:val="22"/>
          <w:lang w:val="fr-FR" w:eastAsia="en-US"/>
        </w:rPr>
        <w:t>et les groupes</w:t>
      </w:r>
      <w:r w:rsidR="006A7AC7" w:rsidRPr="00F22742">
        <w:rPr>
          <w:rFonts w:ascii="Times New Roman" w:eastAsia="Times New Roman" w:hAnsi="Times New Roman"/>
          <w:szCs w:val="22"/>
          <w:lang w:val="fr-FR" w:eastAsia="en-US"/>
        </w:rPr>
        <w:t xml:space="preserve"> en situa</w:t>
      </w:r>
      <w:r w:rsidR="00B90BEA" w:rsidRPr="00F22742">
        <w:rPr>
          <w:rFonts w:ascii="Times New Roman" w:eastAsia="Times New Roman" w:hAnsi="Times New Roman"/>
          <w:szCs w:val="22"/>
          <w:lang w:val="fr-FR" w:eastAsia="en-US"/>
        </w:rPr>
        <w:t>tio</w:t>
      </w:r>
      <w:r w:rsidR="006A7AC7" w:rsidRPr="00F22742">
        <w:rPr>
          <w:rFonts w:ascii="Times New Roman" w:eastAsia="Times New Roman" w:hAnsi="Times New Roman"/>
          <w:szCs w:val="22"/>
          <w:lang w:val="fr-FR" w:eastAsia="en-US"/>
        </w:rPr>
        <w:t>n de vuln</w:t>
      </w:r>
      <w:r w:rsidR="00B90BEA" w:rsidRPr="00F22742">
        <w:rPr>
          <w:rFonts w:ascii="Times New Roman" w:eastAsia="Times New Roman" w:hAnsi="Times New Roman"/>
          <w:szCs w:val="22"/>
          <w:lang w:val="fr-FR" w:eastAsia="en-US"/>
        </w:rPr>
        <w:t>érabilité</w:t>
      </w:r>
      <w:r w:rsidR="006A7AC7" w:rsidRPr="00F22742">
        <w:rPr>
          <w:rFonts w:ascii="Times New Roman" w:eastAsia="Times New Roman" w:hAnsi="Times New Roman"/>
          <w:szCs w:val="22"/>
          <w:lang w:val="fr-FR" w:eastAsia="en-US"/>
        </w:rPr>
        <w:t xml:space="preserve">, </w:t>
      </w:r>
      <w:r w:rsidR="00B90BEA" w:rsidRPr="00F22742">
        <w:rPr>
          <w:rFonts w:ascii="Times New Roman" w:hAnsi="Times New Roman"/>
          <w:szCs w:val="22"/>
          <w:lang w:val="fr-FR"/>
        </w:rPr>
        <w:t>sur la base des principes d’égalité et de non-discrimination</w:t>
      </w:r>
      <w:r w:rsidR="00506130" w:rsidRPr="00F22742">
        <w:rPr>
          <w:rFonts w:ascii="Times New Roman" w:hAnsi="Times New Roman"/>
          <w:szCs w:val="22"/>
          <w:lang w:val="fr-FR"/>
        </w:rPr>
        <w:t xml:space="preserve"> </w:t>
      </w:r>
      <w:r w:rsidR="00B90BEA" w:rsidRPr="00F22742">
        <w:rPr>
          <w:rFonts w:ascii="Times New Roman" w:hAnsi="Times New Roman"/>
          <w:szCs w:val="22"/>
          <w:lang w:val="fr-FR"/>
        </w:rPr>
        <w:t>conformément à la législation nationale et aux obligations internationales de chaque État</w:t>
      </w:r>
      <w:r w:rsidR="006A7AC7" w:rsidRPr="00F22742">
        <w:rPr>
          <w:rFonts w:ascii="Times New Roman" w:eastAsia="Times New Roman" w:hAnsi="Times New Roman"/>
          <w:b/>
          <w:bCs/>
          <w:szCs w:val="22"/>
          <w:lang w:val="fr-FR" w:eastAsia="en-US"/>
        </w:rPr>
        <w:t xml:space="preserve">. </w:t>
      </w:r>
      <w:r w:rsidR="00156007" w:rsidRPr="00F22742">
        <w:rPr>
          <w:rFonts w:ascii="Times New Roman" w:eastAsia="Times New Roman" w:hAnsi="Times New Roman"/>
          <w:b/>
          <w:bCs/>
          <w:i/>
          <w:iCs/>
          <w:szCs w:val="22"/>
          <w:lang w:val="fr-FR" w:eastAsia="en-US"/>
        </w:rPr>
        <w:t>(</w:t>
      </w:r>
      <w:r w:rsidR="00A40FDB" w:rsidRPr="00F22742">
        <w:rPr>
          <w:rFonts w:ascii="Times New Roman" w:eastAsia="Times New Roman" w:hAnsi="Times New Roman"/>
          <w:b/>
          <w:bCs/>
          <w:i/>
          <w:iCs/>
          <w:szCs w:val="22"/>
          <w:lang w:val="fr-FR" w:eastAsia="en-US"/>
        </w:rPr>
        <w:t>En suspens</w:t>
      </w:r>
      <w:r w:rsidR="00156007" w:rsidRPr="00F22742">
        <w:rPr>
          <w:rFonts w:ascii="Times New Roman" w:eastAsia="Times New Roman" w:hAnsi="Times New Roman"/>
          <w:b/>
          <w:bCs/>
          <w:i/>
          <w:iCs/>
          <w:szCs w:val="22"/>
          <w:lang w:val="fr-FR" w:eastAsia="en-US"/>
        </w:rPr>
        <w:t>)</w:t>
      </w:r>
    </w:p>
    <w:p w14:paraId="25D28873" w14:textId="18C95828" w:rsidR="006F1BE5" w:rsidRPr="00F22742"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7F47A8BB" w14:textId="66757F6A" w:rsidR="006F1BE5" w:rsidRPr="00F22742" w:rsidRDefault="00373692" w:rsidP="003D05D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lastRenderedPageBreak/>
        <w:t>D’encourager des initiatives de coopération internationale dans toutes les étapes du processus migratoire pour soutenir les personnes migrantes dans les pays d’origine, de transit, de destination et de retour, les personnes demandeuses d’asile, les personnes réfugié</w:t>
      </w:r>
      <w:r w:rsidR="00337C9E" w:rsidRPr="00F22742">
        <w:rPr>
          <w:rFonts w:ascii="Times New Roman" w:hAnsi="Times New Roman"/>
          <w:szCs w:val="22"/>
          <w:lang w:val="fr-FR"/>
        </w:rPr>
        <w:t>e</w:t>
      </w:r>
      <w:r w:rsidRPr="00F22742">
        <w:rPr>
          <w:rFonts w:ascii="Times New Roman" w:hAnsi="Times New Roman"/>
          <w:szCs w:val="22"/>
          <w:lang w:val="fr-FR"/>
        </w:rPr>
        <w:t>s et les personnes apatrides, et d’assurer, le cas échéant, l’apport d’une aide humanitaire et de développement ainsi que leur pleine intégration et insertion socioéconomique, conformément à la législation nationale et internationale applicable</w:t>
      </w:r>
      <w:r w:rsidR="003D05DA" w:rsidRPr="00F22742">
        <w:rPr>
          <w:rFonts w:ascii="Times New Roman" w:eastAsia="Times New Roman" w:hAnsi="Times New Roman"/>
          <w:szCs w:val="22"/>
          <w:lang w:val="fr-FR" w:eastAsia="en-US"/>
        </w:rPr>
        <w:t>.</w:t>
      </w:r>
    </w:p>
    <w:p w14:paraId="56B0F3D0" w14:textId="5D865B89" w:rsidR="006F1BE5" w:rsidRPr="00F22742"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067282F8" w14:textId="5CF4741F" w:rsidR="006F1BE5" w:rsidRPr="00F22742" w:rsidRDefault="0012206E" w:rsidP="00C759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De promouvoir et de soutenir, par le biais de politiques de coopération et de partage des responsabilités, le renforcement et le développement des capacités des États membres en matière migratoire et de protection, en particulier celles des petits États insulaires en développement, en tenant compte des objectifs d’insertion socioéconomique et en appliquant une approche fondée sur les droits de la personne et le développement durable</w:t>
      </w:r>
      <w:r w:rsidR="003D05DA" w:rsidRPr="00F22742">
        <w:rPr>
          <w:rFonts w:ascii="Times New Roman" w:eastAsia="Times New Roman" w:hAnsi="Times New Roman"/>
          <w:szCs w:val="22"/>
          <w:lang w:val="fr-FR" w:eastAsia="en-US"/>
        </w:rPr>
        <w:t xml:space="preserve">. </w:t>
      </w:r>
      <w:r w:rsidR="00C759E2" w:rsidRPr="00F22742">
        <w:rPr>
          <w:rFonts w:ascii="Times New Roman" w:eastAsia="Times New Roman" w:hAnsi="Times New Roman"/>
          <w:b/>
          <w:bCs/>
          <w:i/>
          <w:iCs/>
          <w:szCs w:val="22"/>
          <w:lang w:val="fr-FR" w:eastAsia="en-US"/>
        </w:rPr>
        <w:t>(</w:t>
      </w:r>
      <w:r w:rsidRPr="00F22742">
        <w:rPr>
          <w:rFonts w:ascii="Times New Roman" w:eastAsia="Times New Roman" w:hAnsi="Times New Roman"/>
          <w:b/>
          <w:bCs/>
          <w:i/>
          <w:iCs/>
          <w:szCs w:val="22"/>
          <w:lang w:val="fr-FR" w:eastAsia="en-US"/>
        </w:rPr>
        <w:t>Ad référendum de la délégation des États-Unis</w:t>
      </w:r>
      <w:r w:rsidR="00C759E2" w:rsidRPr="00F22742">
        <w:rPr>
          <w:rFonts w:ascii="Times New Roman" w:eastAsia="Times New Roman" w:hAnsi="Times New Roman"/>
          <w:b/>
          <w:bCs/>
          <w:i/>
          <w:iCs/>
          <w:szCs w:val="22"/>
          <w:lang w:val="fr-FR" w:eastAsia="en-US"/>
        </w:rPr>
        <w:t>).</w:t>
      </w:r>
    </w:p>
    <w:p w14:paraId="7C997A91" w14:textId="77777777" w:rsidR="006F1BE5" w:rsidRPr="00F22742"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637CEDF8" w14:textId="4CE3D800" w:rsidR="00C759E2" w:rsidRPr="00F22742" w:rsidRDefault="002D6942" w:rsidP="00C759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 xml:space="preserve">De reconnaître les défis de la mobilité humaine causés par les effets des catastrophes naturelles, la dégradation de l’environnement et la perte de biodiversité </w:t>
      </w:r>
      <w:r w:rsidR="004E4907" w:rsidRPr="00F22742">
        <w:rPr>
          <w:rFonts w:ascii="Times New Roman" w:hAnsi="Times New Roman"/>
          <w:szCs w:val="22"/>
          <w:lang w:val="fr-FR"/>
        </w:rPr>
        <w:t xml:space="preserve">entraînés ou aggravés </w:t>
      </w:r>
      <w:r w:rsidRPr="00F22742">
        <w:rPr>
          <w:rFonts w:ascii="Times New Roman" w:hAnsi="Times New Roman"/>
          <w:szCs w:val="22"/>
          <w:lang w:val="fr-FR"/>
        </w:rPr>
        <w:t xml:space="preserve">par le changement climatique, qui sont documentés dans les conclusions du Groupe d'experts intergouvernemental sur l'évolution du climat (GIEC) des Nations Unies figurant dans </w:t>
      </w:r>
      <w:r w:rsidR="00C66A84" w:rsidRPr="00F22742">
        <w:rPr>
          <w:rFonts w:ascii="Times New Roman" w:hAnsi="Times New Roman"/>
          <w:szCs w:val="22"/>
          <w:lang w:val="fr-FR"/>
        </w:rPr>
        <w:t>ses</w:t>
      </w:r>
      <w:r w:rsidRPr="00F22742">
        <w:rPr>
          <w:rFonts w:ascii="Times New Roman" w:hAnsi="Times New Roman"/>
          <w:szCs w:val="22"/>
          <w:lang w:val="fr-FR"/>
        </w:rPr>
        <w:t xml:space="preserve"> rapport</w:t>
      </w:r>
      <w:r w:rsidR="00C66A84" w:rsidRPr="00F22742">
        <w:rPr>
          <w:rFonts w:ascii="Times New Roman" w:hAnsi="Times New Roman"/>
          <w:szCs w:val="22"/>
          <w:lang w:val="fr-FR"/>
        </w:rPr>
        <w:t>s intitulés</w:t>
      </w:r>
      <w:r w:rsidRPr="00F22742">
        <w:rPr>
          <w:rFonts w:ascii="Times New Roman" w:hAnsi="Times New Roman"/>
          <w:szCs w:val="22"/>
          <w:lang w:val="fr-FR"/>
        </w:rPr>
        <w:t xml:space="preserve"> « Changement climatique 2021 : la base des sciences physiques »</w:t>
      </w:r>
      <w:r w:rsidR="004E4907" w:rsidRPr="00F22742">
        <w:rPr>
          <w:rFonts w:ascii="Times New Roman" w:hAnsi="Times New Roman"/>
          <w:szCs w:val="22"/>
          <w:lang w:val="fr-FR"/>
        </w:rPr>
        <w:t xml:space="preserve"> et « Changement climatique 2022 :</w:t>
      </w:r>
      <w:r w:rsidR="006740B4" w:rsidRPr="00F22742">
        <w:rPr>
          <w:rFonts w:ascii="Times New Roman" w:hAnsi="Times New Roman"/>
          <w:szCs w:val="22"/>
          <w:lang w:val="fr-FR"/>
        </w:rPr>
        <w:t xml:space="preserve"> impacts, adaptation et vulnérabilité »</w:t>
      </w:r>
      <w:r w:rsidR="004E4907" w:rsidRPr="00F22742">
        <w:rPr>
          <w:rFonts w:ascii="Times New Roman" w:hAnsi="Times New Roman"/>
          <w:szCs w:val="22"/>
          <w:lang w:val="fr-FR"/>
        </w:rPr>
        <w:t xml:space="preserve">, ainsi que </w:t>
      </w:r>
      <w:r w:rsidRPr="00F22742">
        <w:rPr>
          <w:rFonts w:ascii="Times New Roman" w:hAnsi="Times New Roman"/>
          <w:szCs w:val="22"/>
          <w:lang w:val="fr-FR"/>
        </w:rPr>
        <w:t>l'incidence que les catastrophes naturelles et les effets du changement climatique, de la dégradation de l'environnement et de la perte de biodiversité ont sur la migration</w:t>
      </w:r>
      <w:r w:rsidR="00337C9E" w:rsidRPr="00F22742">
        <w:rPr>
          <w:rFonts w:ascii="Times New Roman" w:hAnsi="Times New Roman"/>
          <w:szCs w:val="22"/>
          <w:lang w:val="fr-FR"/>
        </w:rPr>
        <w:t xml:space="preserve"> et l</w:t>
      </w:r>
      <w:r w:rsidR="00D83538" w:rsidRPr="00F22742">
        <w:rPr>
          <w:rFonts w:ascii="Times New Roman" w:hAnsi="Times New Roman"/>
          <w:szCs w:val="22"/>
          <w:lang w:val="fr-FR"/>
        </w:rPr>
        <w:t>e déplacement forcé des personnes en situation de mobilité humaine</w:t>
      </w:r>
      <w:r w:rsidRPr="00F22742">
        <w:rPr>
          <w:rFonts w:ascii="Times New Roman" w:hAnsi="Times New Roman"/>
          <w:szCs w:val="22"/>
          <w:lang w:val="fr-FR"/>
        </w:rPr>
        <w:t>, en particulier pour les femmes et les filles</w:t>
      </w:r>
      <w:r w:rsidRPr="00F22742">
        <w:rPr>
          <w:rFonts w:ascii="Times New Roman" w:eastAsia="Times New Roman" w:hAnsi="Times New Roman"/>
          <w:b/>
          <w:bCs/>
          <w:i/>
          <w:iCs/>
          <w:szCs w:val="22"/>
          <w:lang w:val="fr-FR" w:eastAsia="en-US"/>
        </w:rPr>
        <w:t xml:space="preserve"> </w:t>
      </w:r>
      <w:r w:rsidR="00C759E2" w:rsidRPr="00F22742">
        <w:rPr>
          <w:rFonts w:ascii="Times New Roman" w:eastAsia="Times New Roman" w:hAnsi="Times New Roman"/>
          <w:b/>
          <w:bCs/>
          <w:i/>
          <w:iCs/>
          <w:szCs w:val="22"/>
          <w:lang w:val="fr-FR" w:eastAsia="en-US"/>
        </w:rPr>
        <w:t>[CAN-CRI-CH-DR-AR</w:t>
      </w:r>
      <w:r w:rsidR="005518BD" w:rsidRPr="00F22742">
        <w:rPr>
          <w:rFonts w:ascii="Times New Roman" w:eastAsia="Times New Roman" w:hAnsi="Times New Roman"/>
          <w:b/>
          <w:bCs/>
          <w:i/>
          <w:iCs/>
          <w:szCs w:val="22"/>
          <w:lang w:val="fr-FR" w:eastAsia="en-US"/>
        </w:rPr>
        <w:t>-MEX</w:t>
      </w:r>
      <w:r w:rsidR="00D83538" w:rsidRPr="00F22742">
        <w:rPr>
          <w:rFonts w:ascii="Times New Roman" w:eastAsia="Times New Roman" w:hAnsi="Times New Roman"/>
          <w:b/>
          <w:bCs/>
          <w:i/>
          <w:iCs/>
          <w:szCs w:val="22"/>
          <w:lang w:val="fr-FR" w:eastAsia="en-US"/>
        </w:rPr>
        <w:t> </w:t>
      </w:r>
      <w:r w:rsidR="00C759E2" w:rsidRPr="00F22742">
        <w:rPr>
          <w:rFonts w:ascii="Times New Roman" w:eastAsia="Times New Roman" w:hAnsi="Times New Roman"/>
          <w:b/>
          <w:bCs/>
          <w:i/>
          <w:iCs/>
          <w:szCs w:val="22"/>
          <w:lang w:val="fr-FR" w:eastAsia="en-US"/>
        </w:rPr>
        <w:t xml:space="preserve">: </w:t>
      </w:r>
      <w:r w:rsidR="00D83538" w:rsidRPr="00F22742">
        <w:rPr>
          <w:rFonts w:ascii="Times New Roman" w:eastAsia="Times New Roman" w:hAnsi="Times New Roman"/>
          <w:b/>
          <w:bCs/>
          <w:i/>
          <w:iCs/>
          <w:szCs w:val="22"/>
          <w:lang w:val="fr-FR" w:eastAsia="en-US"/>
        </w:rPr>
        <w:t>dans toute leur diversité</w:t>
      </w:r>
      <w:r w:rsidR="00C759E2" w:rsidRPr="00F22742">
        <w:rPr>
          <w:rFonts w:ascii="Times New Roman" w:eastAsia="Times New Roman" w:hAnsi="Times New Roman"/>
          <w:b/>
          <w:bCs/>
          <w:i/>
          <w:iCs/>
          <w:szCs w:val="22"/>
          <w:lang w:val="fr-FR" w:eastAsia="en-US"/>
        </w:rPr>
        <w:t>]</w:t>
      </w:r>
      <w:r w:rsidR="00C759E2" w:rsidRPr="00F22742">
        <w:rPr>
          <w:rFonts w:ascii="Times New Roman" w:eastAsia="Times New Roman" w:hAnsi="Times New Roman"/>
          <w:szCs w:val="22"/>
          <w:lang w:val="fr-FR" w:eastAsia="en-US"/>
        </w:rPr>
        <w:t xml:space="preserve"> </w:t>
      </w:r>
      <w:r w:rsidR="00C759E2" w:rsidRPr="00F22742">
        <w:rPr>
          <w:rFonts w:ascii="Times New Roman" w:eastAsia="Times New Roman" w:hAnsi="Times New Roman"/>
          <w:b/>
          <w:bCs/>
          <w:i/>
          <w:iCs/>
          <w:szCs w:val="22"/>
          <w:lang w:val="fr-FR" w:eastAsia="en-US"/>
        </w:rPr>
        <w:t>[PY-GT-SVG-STL</w:t>
      </w:r>
      <w:r w:rsidR="00D83538" w:rsidRPr="00F22742">
        <w:rPr>
          <w:rFonts w:ascii="Times New Roman" w:eastAsia="Times New Roman" w:hAnsi="Times New Roman"/>
          <w:b/>
          <w:bCs/>
          <w:i/>
          <w:iCs/>
          <w:szCs w:val="22"/>
          <w:lang w:val="fr-FR" w:eastAsia="en-US"/>
        </w:rPr>
        <w:t> </w:t>
      </w:r>
      <w:r w:rsidR="00C759E2" w:rsidRPr="00F22742">
        <w:rPr>
          <w:rFonts w:ascii="Times New Roman" w:eastAsia="Times New Roman" w:hAnsi="Times New Roman"/>
          <w:b/>
          <w:bCs/>
          <w:i/>
          <w:iCs/>
          <w:szCs w:val="22"/>
          <w:lang w:val="fr-FR" w:eastAsia="en-US"/>
        </w:rPr>
        <w:t xml:space="preserve">: </w:t>
      </w:r>
      <w:r w:rsidR="00D83538" w:rsidRPr="00F22742">
        <w:rPr>
          <w:rFonts w:ascii="Times New Roman" w:eastAsia="Times New Roman" w:hAnsi="Times New Roman"/>
          <w:b/>
          <w:bCs/>
          <w:i/>
          <w:iCs/>
          <w:strike/>
          <w:szCs w:val="22"/>
          <w:lang w:val="fr-FR" w:eastAsia="en-US"/>
        </w:rPr>
        <w:t>dans toute leur diversité</w:t>
      </w:r>
      <w:r w:rsidR="00C759E2" w:rsidRPr="00F22742">
        <w:rPr>
          <w:rFonts w:ascii="Times New Roman" w:eastAsia="Times New Roman" w:hAnsi="Times New Roman"/>
          <w:b/>
          <w:bCs/>
          <w:i/>
          <w:iCs/>
          <w:szCs w:val="22"/>
          <w:lang w:val="fr-FR" w:eastAsia="en-US"/>
        </w:rPr>
        <w:t>]</w:t>
      </w:r>
      <w:r w:rsidR="00C759E2" w:rsidRPr="00F22742">
        <w:rPr>
          <w:rFonts w:ascii="Times New Roman" w:eastAsia="Times New Roman" w:hAnsi="Times New Roman"/>
          <w:szCs w:val="22"/>
          <w:lang w:val="fr-FR" w:eastAsia="en-US"/>
        </w:rPr>
        <w:t xml:space="preserve"> </w:t>
      </w:r>
      <w:r w:rsidRPr="00F22742">
        <w:rPr>
          <w:rFonts w:ascii="Times New Roman" w:eastAsia="Times New Roman" w:hAnsi="Times New Roman"/>
          <w:szCs w:val="22"/>
          <w:lang w:val="fr-FR" w:eastAsia="en-US"/>
        </w:rPr>
        <w:t xml:space="preserve">et les </w:t>
      </w:r>
      <w:r w:rsidRPr="00F22742">
        <w:rPr>
          <w:rFonts w:ascii="Times New Roman" w:hAnsi="Times New Roman"/>
          <w:szCs w:val="22"/>
          <w:lang w:val="fr-FR"/>
        </w:rPr>
        <w:t>personnes appartenant à des groupes historiquement</w:t>
      </w:r>
      <w:r w:rsidR="00C759E2" w:rsidRPr="00F22742">
        <w:rPr>
          <w:rFonts w:ascii="Times New Roman" w:eastAsia="Times New Roman" w:hAnsi="Times New Roman"/>
          <w:szCs w:val="22"/>
          <w:lang w:val="fr-FR" w:eastAsia="en-US"/>
        </w:rPr>
        <w:t xml:space="preserve"> margina</w:t>
      </w:r>
      <w:r w:rsidR="00E11149" w:rsidRPr="00F22742">
        <w:rPr>
          <w:rFonts w:ascii="Times New Roman" w:eastAsia="Times New Roman" w:hAnsi="Times New Roman"/>
          <w:szCs w:val="22"/>
          <w:lang w:val="fr-FR" w:eastAsia="en-US"/>
        </w:rPr>
        <w:t>lisés, discriminés et</w:t>
      </w:r>
      <w:r w:rsidR="00C759E2" w:rsidRPr="00F22742">
        <w:rPr>
          <w:rFonts w:ascii="Times New Roman" w:eastAsia="Times New Roman" w:hAnsi="Times New Roman"/>
          <w:szCs w:val="22"/>
          <w:lang w:val="fr-FR" w:eastAsia="en-US"/>
        </w:rPr>
        <w:t>/o</w:t>
      </w:r>
      <w:r w:rsidR="00E11149" w:rsidRPr="00F22742">
        <w:rPr>
          <w:rFonts w:ascii="Times New Roman" w:eastAsia="Times New Roman" w:hAnsi="Times New Roman"/>
          <w:szCs w:val="22"/>
          <w:lang w:val="fr-FR" w:eastAsia="en-US"/>
        </w:rPr>
        <w:t>u</w:t>
      </w:r>
      <w:r w:rsidR="00C759E2" w:rsidRPr="00F22742">
        <w:rPr>
          <w:rFonts w:ascii="Times New Roman" w:eastAsia="Times New Roman" w:hAnsi="Times New Roman"/>
          <w:szCs w:val="22"/>
          <w:lang w:val="fr-FR" w:eastAsia="en-US"/>
        </w:rPr>
        <w:t xml:space="preserve"> </w:t>
      </w:r>
      <w:r w:rsidRPr="00F22742">
        <w:rPr>
          <w:rFonts w:ascii="Times New Roman" w:hAnsi="Times New Roman"/>
          <w:szCs w:val="22"/>
          <w:lang w:val="fr-FR"/>
        </w:rPr>
        <w:t>vulnérables</w:t>
      </w:r>
      <w:r w:rsidR="00C759E2" w:rsidRPr="00F22742">
        <w:rPr>
          <w:rFonts w:ascii="Times New Roman" w:eastAsia="Times New Roman" w:hAnsi="Times New Roman"/>
          <w:szCs w:val="22"/>
          <w:lang w:val="fr-FR" w:eastAsia="en-US"/>
        </w:rPr>
        <w:t xml:space="preserve">.  </w:t>
      </w:r>
      <w:r w:rsidRPr="00F22742">
        <w:rPr>
          <w:rFonts w:ascii="Times New Roman" w:hAnsi="Times New Roman"/>
          <w:szCs w:val="22"/>
          <w:lang w:val="fr-FR"/>
        </w:rPr>
        <w:t>De reconnaître également la nécessité de s'attaquer aux causes structurelles qui augmentent le risque de catastrophes, en se concentrant sur les actions d'atténuation et de prévention</w:t>
      </w:r>
      <w:r w:rsidR="00E54B66" w:rsidRPr="00F22742">
        <w:rPr>
          <w:rFonts w:ascii="Times New Roman" w:hAnsi="Times New Roman"/>
          <w:szCs w:val="22"/>
          <w:lang w:val="fr-FR"/>
        </w:rPr>
        <w:t xml:space="preserve"> et l’apport</w:t>
      </w:r>
      <w:r w:rsidR="00752A2B" w:rsidRPr="00F22742">
        <w:rPr>
          <w:rFonts w:ascii="Times New Roman" w:hAnsi="Times New Roman"/>
          <w:szCs w:val="22"/>
          <w:lang w:val="fr-FR"/>
        </w:rPr>
        <w:t xml:space="preserve"> d’une aide humanitaire, d’une protection et de solutions aux personnes déplacées</w:t>
      </w:r>
      <w:r w:rsidRPr="00F22742">
        <w:rPr>
          <w:rFonts w:ascii="Times New Roman" w:hAnsi="Times New Roman"/>
          <w:szCs w:val="22"/>
          <w:lang w:val="fr-FR"/>
        </w:rPr>
        <w:t>. À cet égard, de réaffirmer la validité de la Déclaration AG/DEC. 88 (XLVI-O/16)</w:t>
      </w:r>
      <w:r w:rsidR="00E54B66" w:rsidRPr="00F22742">
        <w:rPr>
          <w:rFonts w:ascii="Times New Roman" w:hAnsi="Times New Roman"/>
          <w:szCs w:val="22"/>
          <w:lang w:val="fr-FR"/>
        </w:rPr>
        <w:t xml:space="preserve"> « </w:t>
      </w:r>
      <w:r w:rsidRPr="00F22742">
        <w:rPr>
          <w:rFonts w:ascii="Times New Roman" w:hAnsi="Times New Roman"/>
          <w:szCs w:val="22"/>
          <w:lang w:val="fr-FR"/>
        </w:rPr>
        <w:t>Déclaration sur le changement climatique, la sécurité alimentaire et la migration dans les Amériques</w:t>
      </w:r>
      <w:r w:rsidR="00E54B66" w:rsidRPr="00F22742">
        <w:rPr>
          <w:rFonts w:ascii="Times New Roman" w:hAnsi="Times New Roman"/>
          <w:szCs w:val="22"/>
          <w:lang w:val="fr-FR"/>
        </w:rPr>
        <w:t> »</w:t>
      </w:r>
      <w:r w:rsidRPr="00F22742">
        <w:rPr>
          <w:rFonts w:ascii="Times New Roman" w:hAnsi="Times New Roman"/>
          <w:szCs w:val="22"/>
          <w:lang w:val="fr-FR"/>
        </w:rPr>
        <w:t>, approuvée par l'Assemblée générale le 14 juin 2016</w:t>
      </w:r>
      <w:r w:rsidR="00C759E2" w:rsidRPr="00F22742">
        <w:rPr>
          <w:rFonts w:ascii="Times New Roman" w:eastAsia="Times New Roman" w:hAnsi="Times New Roman"/>
          <w:szCs w:val="22"/>
          <w:lang w:val="fr-FR" w:eastAsia="en-US"/>
        </w:rPr>
        <w:t xml:space="preserve">. </w:t>
      </w:r>
      <w:r w:rsidR="005518BD" w:rsidRPr="00F22742">
        <w:rPr>
          <w:rFonts w:ascii="Times New Roman" w:eastAsia="Times New Roman" w:hAnsi="Times New Roman"/>
          <w:b/>
          <w:bCs/>
          <w:i/>
          <w:iCs/>
          <w:szCs w:val="22"/>
          <w:lang w:val="fr-FR" w:eastAsia="en-US"/>
        </w:rPr>
        <w:t>(</w:t>
      </w:r>
      <w:r w:rsidR="0012206E" w:rsidRPr="00F22742">
        <w:rPr>
          <w:rFonts w:ascii="Times New Roman" w:eastAsia="Times New Roman" w:hAnsi="Times New Roman"/>
          <w:b/>
          <w:bCs/>
          <w:i/>
          <w:iCs/>
          <w:szCs w:val="22"/>
          <w:lang w:val="fr-FR" w:eastAsia="en-US"/>
        </w:rPr>
        <w:t>En suspens</w:t>
      </w:r>
      <w:r w:rsidR="005518BD" w:rsidRPr="00F22742">
        <w:rPr>
          <w:rFonts w:ascii="Times New Roman" w:eastAsia="Times New Roman" w:hAnsi="Times New Roman"/>
          <w:b/>
          <w:bCs/>
          <w:i/>
          <w:iCs/>
          <w:szCs w:val="22"/>
          <w:lang w:val="fr-FR" w:eastAsia="en-US"/>
        </w:rPr>
        <w:t>)</w:t>
      </w:r>
    </w:p>
    <w:p w14:paraId="3B7E6EA2" w14:textId="7C671962" w:rsidR="005518BD" w:rsidRPr="00F22742" w:rsidRDefault="005518BD" w:rsidP="005518BD">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b/>
          <w:bCs/>
          <w:i/>
          <w:iCs/>
          <w:szCs w:val="22"/>
          <w:lang w:val="fr-FR" w:eastAsia="en-US"/>
        </w:rPr>
      </w:pPr>
    </w:p>
    <w:p w14:paraId="1A45D152" w14:textId="7F902136" w:rsidR="005518BD" w:rsidRPr="00F22742" w:rsidRDefault="000A04FA"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eastAsia="Calibri" w:hAnsi="Times New Roman"/>
          <w:szCs w:val="22"/>
          <w:lang w:val="fr-FR"/>
        </w:rPr>
        <w:lastRenderedPageBreak/>
        <w:t xml:space="preserve">De promouvoir des </w:t>
      </w:r>
      <w:r w:rsidRPr="00F22742">
        <w:rPr>
          <w:rFonts w:ascii="Times New Roman" w:hAnsi="Times New Roman"/>
          <w:szCs w:val="22"/>
          <w:lang w:val="fr-FR"/>
        </w:rPr>
        <w:t>initiatives</w:t>
      </w:r>
      <w:r w:rsidRPr="00F22742">
        <w:rPr>
          <w:rFonts w:ascii="Times New Roman" w:eastAsia="Calibri" w:hAnsi="Times New Roman"/>
          <w:szCs w:val="22"/>
          <w:lang w:val="fr-FR"/>
        </w:rPr>
        <w:t xml:space="preserve"> de coopération internationale en matière de migration et de protection pour soutenir les États membres touchés par les catastrophes naturelles ou anthropiques ainsi que ceux qui reçoivent des flux importants de personnes migrantes et réfugiées</w:t>
      </w:r>
      <w:r w:rsidR="00450B34" w:rsidRPr="00F22742">
        <w:rPr>
          <w:rFonts w:ascii="Times New Roman" w:eastAsia="Times New Roman" w:hAnsi="Times New Roman"/>
          <w:szCs w:val="22"/>
          <w:lang w:val="fr-FR" w:eastAsia="en-US"/>
        </w:rPr>
        <w:t>.</w:t>
      </w:r>
    </w:p>
    <w:p w14:paraId="15A1251D" w14:textId="62197BCF" w:rsidR="00C759E2" w:rsidRPr="00F2274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06AFAFD6" w14:textId="3C41C15C" w:rsidR="00C759E2" w:rsidRPr="00F22742" w:rsidRDefault="00E8345E"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eastAsia="Calibri" w:hAnsi="Times New Roman"/>
          <w:szCs w:val="22"/>
          <w:lang w:val="fr-FR"/>
        </w:rPr>
        <w:t>De reconnaître l’importante contribution positive des personnes migrantes et réfugiées à la croissance inclusive et au développement durable des pays d’origine, de transit, de destination et de retour</w:t>
      </w:r>
      <w:r w:rsidR="00450B34" w:rsidRPr="00F22742">
        <w:rPr>
          <w:rFonts w:ascii="Times New Roman" w:eastAsia="Times New Roman" w:hAnsi="Times New Roman"/>
          <w:szCs w:val="22"/>
          <w:lang w:val="fr-FR" w:eastAsia="en-US"/>
        </w:rPr>
        <w:t>.</w:t>
      </w:r>
    </w:p>
    <w:p w14:paraId="230B016B" w14:textId="78421D3D" w:rsidR="00C759E2" w:rsidRPr="00F2274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1B68B648" w14:textId="360FA5A4" w:rsidR="00C759E2" w:rsidRPr="00F22742" w:rsidRDefault="00161662"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 xml:space="preserve">De souligner les initiatives générées au niveau multilatéral pour le dialogue, les échanges d’information et la coopération en matière de migration et de protection internationale, et de prendre note des initiatives </w:t>
      </w:r>
      <w:r w:rsidRPr="00F22742">
        <w:rPr>
          <w:rFonts w:ascii="Times New Roman" w:eastAsia="Calibri" w:hAnsi="Times New Roman"/>
          <w:szCs w:val="22"/>
          <w:lang w:val="fr-FR"/>
        </w:rPr>
        <w:t>auxquelles</w:t>
      </w:r>
      <w:r w:rsidRPr="00F22742">
        <w:rPr>
          <w:rFonts w:ascii="Times New Roman" w:hAnsi="Times New Roman"/>
          <w:szCs w:val="22"/>
          <w:lang w:val="fr-FR"/>
        </w:rPr>
        <w:t xml:space="preserve"> participent certains États membres de l’OEA, telles que</w:t>
      </w:r>
      <w:r w:rsidR="00D4381E" w:rsidRPr="00F22742">
        <w:rPr>
          <w:rFonts w:ascii="Times New Roman" w:hAnsi="Times New Roman"/>
          <w:szCs w:val="22"/>
          <w:lang w:val="fr-FR"/>
        </w:rPr>
        <w:t xml:space="preserve"> les déclarations, les programmes d’action et les objectifs convenus dans des </w:t>
      </w:r>
      <w:r w:rsidR="00D935AF" w:rsidRPr="00F22742">
        <w:rPr>
          <w:rFonts w:ascii="Times New Roman" w:hAnsi="Times New Roman"/>
          <w:szCs w:val="22"/>
          <w:lang w:val="fr-FR"/>
        </w:rPr>
        <w:t>sphères</w:t>
      </w:r>
      <w:r w:rsidR="00D4381E" w:rsidRPr="00F22742">
        <w:rPr>
          <w:rFonts w:ascii="Times New Roman" w:hAnsi="Times New Roman"/>
          <w:szCs w:val="22"/>
          <w:lang w:val="fr-FR"/>
        </w:rPr>
        <w:t xml:space="preserve"> comme la Conférence internationale sur la population et le développement (1994)</w:t>
      </w:r>
      <w:r w:rsidR="008E3D64" w:rsidRPr="00F22742">
        <w:rPr>
          <w:rFonts w:ascii="Times New Roman" w:hAnsi="Times New Roman"/>
          <w:szCs w:val="22"/>
          <w:lang w:val="fr-FR"/>
        </w:rPr>
        <w:t>,</w:t>
      </w:r>
      <w:r w:rsidRPr="00F22742">
        <w:rPr>
          <w:rFonts w:ascii="Times New Roman" w:hAnsi="Times New Roman"/>
          <w:szCs w:val="22"/>
          <w:lang w:val="fr-FR"/>
        </w:rPr>
        <w:t xml:space="preserve"> le Forum mondial sur la migration et le développement</w:t>
      </w:r>
      <w:r w:rsidR="008E3D64" w:rsidRPr="00F22742">
        <w:rPr>
          <w:rFonts w:ascii="Times New Roman" w:hAnsi="Times New Roman"/>
          <w:szCs w:val="22"/>
          <w:lang w:val="fr-FR"/>
        </w:rPr>
        <w:t xml:space="preserve"> (2007)</w:t>
      </w:r>
      <w:r w:rsidRPr="00F22742">
        <w:rPr>
          <w:rFonts w:ascii="Times New Roman" w:hAnsi="Times New Roman"/>
          <w:szCs w:val="22"/>
          <w:lang w:val="fr-FR"/>
        </w:rPr>
        <w:t xml:space="preserve">, le Pacte mondial pour des migrations sûres, ordonnées et régulières </w:t>
      </w:r>
      <w:r w:rsidR="008E3D64" w:rsidRPr="00F22742">
        <w:rPr>
          <w:rFonts w:ascii="Times New Roman" w:hAnsi="Times New Roman"/>
          <w:szCs w:val="22"/>
          <w:lang w:val="fr-FR"/>
        </w:rPr>
        <w:t>(2018),</w:t>
      </w:r>
      <w:r w:rsidRPr="00F22742">
        <w:rPr>
          <w:rFonts w:ascii="Times New Roman" w:hAnsi="Times New Roman"/>
          <w:szCs w:val="22"/>
          <w:lang w:val="fr-FR"/>
        </w:rPr>
        <w:t xml:space="preserve"> le Pacte mondial sur les réfugiés</w:t>
      </w:r>
      <w:r w:rsidR="008E3D64" w:rsidRPr="00F22742">
        <w:rPr>
          <w:rFonts w:ascii="Times New Roman" w:hAnsi="Times New Roman"/>
          <w:szCs w:val="22"/>
          <w:lang w:val="fr-FR"/>
        </w:rPr>
        <w:t xml:space="preserve"> (2018)</w:t>
      </w:r>
      <w:r w:rsidRPr="00F22742">
        <w:rPr>
          <w:rFonts w:ascii="Times New Roman" w:hAnsi="Times New Roman"/>
          <w:szCs w:val="22"/>
          <w:lang w:val="fr-FR"/>
        </w:rPr>
        <w:t>, ainsi que la Déclaration de Los Angeles sur la migration et la protection</w:t>
      </w:r>
      <w:r w:rsidR="008E3D64" w:rsidRPr="00F22742">
        <w:rPr>
          <w:rFonts w:ascii="Times New Roman" w:hAnsi="Times New Roman"/>
          <w:szCs w:val="22"/>
          <w:lang w:val="fr-FR"/>
        </w:rPr>
        <w:t xml:space="preserve"> (2022), et dans </w:t>
      </w:r>
      <w:r w:rsidR="00487D4C" w:rsidRPr="00F22742">
        <w:rPr>
          <w:rFonts w:ascii="Times New Roman" w:hAnsi="Times New Roman"/>
          <w:szCs w:val="22"/>
          <w:lang w:val="fr-FR"/>
        </w:rPr>
        <w:t>l</w:t>
      </w:r>
      <w:r w:rsidR="008E3D64" w:rsidRPr="00F22742">
        <w:rPr>
          <w:rFonts w:ascii="Times New Roman" w:hAnsi="Times New Roman"/>
          <w:szCs w:val="22"/>
          <w:lang w:val="fr-FR"/>
        </w:rPr>
        <w:t>esquelles les États ont reconnu la nécessité d’affronter les causes de la migration, y compris la migration irrégulière, et de promouvoir notamment les conditions politiques, économiques et de sécurité</w:t>
      </w:r>
      <w:r w:rsidR="00306420" w:rsidRPr="00F22742">
        <w:rPr>
          <w:rFonts w:ascii="Times New Roman" w:hAnsi="Times New Roman"/>
          <w:szCs w:val="22"/>
          <w:lang w:val="fr-FR"/>
        </w:rPr>
        <w:t xml:space="preserve"> adéquates</w:t>
      </w:r>
      <w:r w:rsidR="008E3D64" w:rsidRPr="00F22742">
        <w:rPr>
          <w:rFonts w:ascii="Times New Roman" w:hAnsi="Times New Roman"/>
          <w:szCs w:val="22"/>
          <w:lang w:val="fr-FR"/>
        </w:rPr>
        <w:t>. De même,</w:t>
      </w:r>
      <w:r w:rsidRPr="00F22742">
        <w:rPr>
          <w:rFonts w:ascii="Times New Roman" w:hAnsi="Times New Roman"/>
          <w:szCs w:val="22"/>
          <w:lang w:val="fr-FR"/>
        </w:rPr>
        <w:t xml:space="preserve"> d’encourager le Secrétariat général de l'OEA</w:t>
      </w:r>
      <w:r w:rsidR="008E3D64" w:rsidRPr="00F22742">
        <w:rPr>
          <w:rFonts w:ascii="Times New Roman" w:hAnsi="Times New Roman"/>
          <w:szCs w:val="22"/>
          <w:lang w:val="fr-FR"/>
        </w:rPr>
        <w:t>, par l’intermédiaire du</w:t>
      </w:r>
      <w:r w:rsidRPr="00F22742">
        <w:rPr>
          <w:rFonts w:ascii="Times New Roman" w:hAnsi="Times New Roman"/>
          <w:szCs w:val="22"/>
          <w:lang w:val="fr-FR"/>
        </w:rPr>
        <w:t xml:space="preserve"> Département de l’inclusion sociale du Secrétariat à l’accès aux droits et à l’équité</w:t>
      </w:r>
      <w:r w:rsidR="008E3D64" w:rsidRPr="00F22742">
        <w:rPr>
          <w:rFonts w:ascii="Times New Roman" w:hAnsi="Times New Roman"/>
          <w:szCs w:val="22"/>
          <w:lang w:val="fr-FR"/>
        </w:rPr>
        <w:t xml:space="preserve"> (DIS/SADE)</w:t>
      </w:r>
      <w:r w:rsidRPr="00F22742">
        <w:rPr>
          <w:rFonts w:ascii="Times New Roman" w:hAnsi="Times New Roman"/>
          <w:szCs w:val="22"/>
          <w:lang w:val="fr-FR"/>
        </w:rPr>
        <w:t>, à travailler en coordination et en collaboration avec d'autres institutions régionales et internationales en la matière</w:t>
      </w:r>
      <w:r w:rsidR="00F22742" w:rsidRPr="00F22742">
        <w:rPr>
          <w:rFonts w:ascii="Times New Roman" w:hAnsi="Times New Roman"/>
          <w:szCs w:val="22"/>
          <w:lang w:val="fr-FR"/>
        </w:rPr>
        <w:t>.</w:t>
      </w:r>
    </w:p>
    <w:p w14:paraId="0F264CA0" w14:textId="4B566254" w:rsidR="00C759E2" w:rsidRPr="00F2274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1E9A0DC3" w14:textId="29068EDE" w:rsidR="00450B34" w:rsidRPr="00F22742" w:rsidRDefault="0048251F"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 xml:space="preserve">De rendre hommage au travail des mécanismes et processus consultatifs régionaux existants, tels que la Conférence régionale sur la migration (CRM), la Commission centraméricaine pour la migration (OCAM) et le Réseau ibéro-américain des autorités migratoires (RIAM), la Conférence sud-américaine sur la migration (CSM), </w:t>
      </w:r>
      <w:r w:rsidR="001B5EB7" w:rsidRPr="00F22742">
        <w:rPr>
          <w:rFonts w:ascii="Times New Roman" w:hAnsi="Times New Roman"/>
          <w:szCs w:val="22"/>
          <w:lang w:val="fr-FR"/>
        </w:rPr>
        <w:t xml:space="preserve">le Forum spécialisé du MERCOSUR en matière de migration (FEM), la Communauté des États d’Amérique latine et des Caraïbes (CELAC), </w:t>
      </w:r>
      <w:r w:rsidRPr="00F22742">
        <w:rPr>
          <w:rFonts w:ascii="Times New Roman" w:hAnsi="Times New Roman"/>
          <w:szCs w:val="22"/>
          <w:lang w:val="fr-FR"/>
        </w:rPr>
        <w:t xml:space="preserve">les Consultations des Caraïbes sur la migration (CMC), le Processus de Quito (PdQ), la Communauté andine (CAN), le </w:t>
      </w:r>
      <w:r w:rsidRPr="00F22742">
        <w:rPr>
          <w:rFonts w:ascii="Times New Roman" w:hAnsi="Times New Roman"/>
          <w:bCs/>
          <w:color w:val="000000"/>
          <w:szCs w:val="22"/>
          <w:lang w:val="fr-FR" w:eastAsia="es-MX"/>
        </w:rPr>
        <w:t>Cadre intégral régional pour la protection et les solutions (MIRPS)</w:t>
      </w:r>
      <w:r w:rsidRPr="00F22742">
        <w:rPr>
          <w:rFonts w:ascii="Times New Roman" w:hAnsi="Times New Roman"/>
          <w:szCs w:val="22"/>
          <w:lang w:val="fr-FR"/>
        </w:rPr>
        <w:t xml:space="preserve"> et d'autres espaces régionaux ayant un champ d’action important </w:t>
      </w:r>
      <w:r w:rsidR="001B5EB7" w:rsidRPr="00F22742">
        <w:rPr>
          <w:rFonts w:ascii="Times New Roman" w:hAnsi="Times New Roman"/>
          <w:szCs w:val="22"/>
          <w:lang w:val="fr-FR"/>
        </w:rPr>
        <w:t>dans ces domaines</w:t>
      </w:r>
      <w:r w:rsidRPr="00F22742">
        <w:rPr>
          <w:rFonts w:ascii="Times New Roman" w:hAnsi="Times New Roman"/>
          <w:szCs w:val="22"/>
          <w:lang w:val="fr-FR"/>
        </w:rPr>
        <w:t xml:space="preserve">, et </w:t>
      </w:r>
      <w:r w:rsidR="001B5EB7" w:rsidRPr="00F22742">
        <w:rPr>
          <w:rFonts w:ascii="Times New Roman" w:hAnsi="Times New Roman"/>
          <w:szCs w:val="22"/>
          <w:lang w:val="fr-FR"/>
        </w:rPr>
        <w:t>d</w:t>
      </w:r>
      <w:r w:rsidR="008E3D64" w:rsidRPr="00F22742">
        <w:rPr>
          <w:rFonts w:ascii="Times New Roman" w:hAnsi="Times New Roman"/>
          <w:szCs w:val="22"/>
          <w:lang w:val="fr-FR"/>
        </w:rPr>
        <w:t>’encourager le</w:t>
      </w:r>
      <w:r w:rsidR="005C7E91" w:rsidRPr="00F22742">
        <w:rPr>
          <w:rFonts w:ascii="Times New Roman" w:hAnsi="Times New Roman"/>
          <w:szCs w:val="22"/>
          <w:lang w:val="fr-FR"/>
        </w:rPr>
        <w:t xml:space="preserve"> Secrétariat général de l’OE</w:t>
      </w:r>
      <w:r w:rsidR="00D935AF" w:rsidRPr="00F22742">
        <w:rPr>
          <w:rFonts w:ascii="Times New Roman" w:hAnsi="Times New Roman"/>
          <w:szCs w:val="22"/>
          <w:lang w:val="fr-FR"/>
        </w:rPr>
        <w:t>A</w:t>
      </w:r>
      <w:r w:rsidR="005C7E91" w:rsidRPr="00F22742">
        <w:rPr>
          <w:rFonts w:ascii="Times New Roman" w:hAnsi="Times New Roman"/>
          <w:szCs w:val="22"/>
          <w:lang w:val="fr-FR"/>
        </w:rPr>
        <w:t>, par le biais du DIS</w:t>
      </w:r>
      <w:r w:rsidR="00AC3252" w:rsidRPr="00F22742">
        <w:rPr>
          <w:rFonts w:ascii="Times New Roman" w:hAnsi="Times New Roman"/>
          <w:szCs w:val="22"/>
          <w:lang w:val="fr-FR"/>
        </w:rPr>
        <w:t>/SA</w:t>
      </w:r>
      <w:r w:rsidR="008E3D64" w:rsidRPr="00F22742">
        <w:rPr>
          <w:rFonts w:ascii="Times New Roman" w:hAnsi="Times New Roman"/>
          <w:szCs w:val="22"/>
          <w:lang w:val="fr-FR"/>
        </w:rPr>
        <w:t>D</w:t>
      </w:r>
      <w:r w:rsidR="00AC3252" w:rsidRPr="00F22742">
        <w:rPr>
          <w:rFonts w:ascii="Times New Roman" w:hAnsi="Times New Roman"/>
          <w:szCs w:val="22"/>
          <w:lang w:val="fr-FR"/>
        </w:rPr>
        <w:t>E</w:t>
      </w:r>
      <w:r w:rsidR="005C7E91" w:rsidRPr="00F22742">
        <w:rPr>
          <w:rFonts w:ascii="Times New Roman" w:hAnsi="Times New Roman"/>
          <w:szCs w:val="22"/>
          <w:lang w:val="fr-FR"/>
        </w:rPr>
        <w:t xml:space="preserve">, </w:t>
      </w:r>
      <w:r w:rsidR="00D935AF" w:rsidRPr="00F22742">
        <w:rPr>
          <w:rFonts w:ascii="Times New Roman" w:hAnsi="Times New Roman"/>
          <w:szCs w:val="22"/>
          <w:lang w:val="fr-FR"/>
        </w:rPr>
        <w:t xml:space="preserve">à promouvoir </w:t>
      </w:r>
      <w:r w:rsidRPr="00F22742">
        <w:rPr>
          <w:rFonts w:ascii="Times New Roman" w:hAnsi="Times New Roman"/>
          <w:szCs w:val="22"/>
          <w:lang w:val="fr-FR"/>
        </w:rPr>
        <w:t>un espace de dialogue entre ces mécanismes régionaux au moyen d’une réunion annuelle se déroulant dans le cadre de</w:t>
      </w:r>
      <w:r w:rsidR="005C7E91" w:rsidRPr="00F22742">
        <w:rPr>
          <w:rFonts w:ascii="Times New Roman" w:hAnsi="Times New Roman"/>
          <w:szCs w:val="22"/>
          <w:lang w:val="fr-FR"/>
        </w:rPr>
        <w:t xml:space="preserve">s séances </w:t>
      </w:r>
      <w:r w:rsidR="005C7E91" w:rsidRPr="00F22742">
        <w:rPr>
          <w:rFonts w:ascii="Times New Roman" w:hAnsi="Times New Roman"/>
          <w:szCs w:val="22"/>
          <w:lang w:val="fr-FR"/>
        </w:rPr>
        <w:lastRenderedPageBreak/>
        <w:t>ordinaires de</w:t>
      </w:r>
      <w:r w:rsidRPr="00F22742">
        <w:rPr>
          <w:rFonts w:ascii="Times New Roman" w:hAnsi="Times New Roman"/>
          <w:szCs w:val="22"/>
          <w:lang w:val="fr-FR"/>
        </w:rPr>
        <w:t xml:space="preserve"> la Commission sur les questions de migration (CAM), qui aura pour objectif de contribuer à améliorer la gouvernance migratoire </w:t>
      </w:r>
      <w:r w:rsidR="00954368" w:rsidRPr="00F22742">
        <w:rPr>
          <w:rFonts w:ascii="Times New Roman" w:hAnsi="Times New Roman"/>
          <w:szCs w:val="22"/>
          <w:lang w:val="fr-FR"/>
        </w:rPr>
        <w:t xml:space="preserve">et la protection internationale </w:t>
      </w:r>
      <w:r w:rsidRPr="00F22742">
        <w:rPr>
          <w:rFonts w:ascii="Times New Roman" w:hAnsi="Times New Roman"/>
          <w:szCs w:val="22"/>
          <w:lang w:val="fr-FR"/>
        </w:rPr>
        <w:t>dans les Amériques selon une perspective intégrée</w:t>
      </w:r>
      <w:r w:rsidR="00450B34" w:rsidRPr="00F22742">
        <w:rPr>
          <w:rFonts w:ascii="Times New Roman" w:eastAsia="Times New Roman" w:hAnsi="Times New Roman"/>
          <w:szCs w:val="22"/>
          <w:lang w:val="fr-FR" w:eastAsia="en-US"/>
        </w:rPr>
        <w:t xml:space="preserve">.  </w:t>
      </w:r>
    </w:p>
    <w:p w14:paraId="28F9F9D0" w14:textId="18F17216" w:rsidR="00450B34" w:rsidRPr="00F22742" w:rsidRDefault="00450B34"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01B28173" w14:textId="6D928A67" w:rsidR="00450B34" w:rsidRPr="00F22742" w:rsidRDefault="00255167"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eastAsia="Calibri" w:hAnsi="Times New Roman"/>
          <w:szCs w:val="22"/>
          <w:lang w:val="fr-FR"/>
        </w:rPr>
        <w:t xml:space="preserve">D’encourager les États membres, en </w:t>
      </w:r>
      <w:r w:rsidR="00161662" w:rsidRPr="00F22742">
        <w:rPr>
          <w:rFonts w:ascii="Times New Roman" w:eastAsia="Calibri" w:hAnsi="Times New Roman"/>
          <w:szCs w:val="22"/>
          <w:lang w:val="fr-FR"/>
        </w:rPr>
        <w:t>cohérence</w:t>
      </w:r>
      <w:r w:rsidRPr="00F22742">
        <w:rPr>
          <w:rFonts w:ascii="Times New Roman" w:eastAsia="Calibri" w:hAnsi="Times New Roman"/>
          <w:szCs w:val="22"/>
          <w:lang w:val="fr-FR"/>
        </w:rPr>
        <w:t xml:space="preserve"> avec le Programme de développement durable à l’horizon 2030 et ses objectifs, à promouvoir des transferts de fonds plus rapides, plus sûrs et moins coûteux dans le but de </w:t>
      </w:r>
      <w:r w:rsidRPr="00F22742">
        <w:rPr>
          <w:rFonts w:ascii="Times New Roman" w:hAnsi="Times New Roman"/>
          <w:szCs w:val="22"/>
          <w:lang w:val="fr-FR"/>
        </w:rPr>
        <w:t>réduire</w:t>
      </w:r>
      <w:r w:rsidRPr="00F22742">
        <w:rPr>
          <w:rFonts w:ascii="Times New Roman" w:eastAsia="Calibri" w:hAnsi="Times New Roman"/>
          <w:szCs w:val="22"/>
          <w:lang w:val="fr-FR"/>
        </w:rPr>
        <w:t xml:space="preserve">, d'ici à 2030, le coût moyen des transactions à moins de 3 % du montant transféré, en développant des cadres politiques et réglementaires qui favorisent la concurrence, la réglementation et l'innovation sur le marché des transferts de fonds, en proposant des programmes et des instruments sensibles à la perspective soucieuse du genre, en vue d'améliorer l'inclusion financière des </w:t>
      </w:r>
      <w:r w:rsidR="00161662" w:rsidRPr="00F22742">
        <w:rPr>
          <w:rFonts w:ascii="Times New Roman" w:eastAsia="Calibri" w:hAnsi="Times New Roman"/>
          <w:szCs w:val="22"/>
          <w:lang w:val="fr-FR"/>
        </w:rPr>
        <w:t xml:space="preserve">personnes </w:t>
      </w:r>
      <w:r w:rsidRPr="00F22742">
        <w:rPr>
          <w:rFonts w:ascii="Times New Roman" w:eastAsia="Calibri" w:hAnsi="Times New Roman"/>
          <w:szCs w:val="22"/>
          <w:lang w:val="fr-FR"/>
        </w:rPr>
        <w:t>migrant</w:t>
      </w:r>
      <w:r w:rsidR="00161662" w:rsidRPr="00F22742">
        <w:rPr>
          <w:rFonts w:ascii="Times New Roman" w:eastAsia="Calibri" w:hAnsi="Times New Roman"/>
          <w:szCs w:val="22"/>
          <w:lang w:val="fr-FR"/>
        </w:rPr>
        <w:t>e</w:t>
      </w:r>
      <w:r w:rsidRPr="00F22742">
        <w:rPr>
          <w:rFonts w:ascii="Times New Roman" w:eastAsia="Calibri" w:hAnsi="Times New Roman"/>
          <w:szCs w:val="22"/>
          <w:lang w:val="fr-FR"/>
        </w:rPr>
        <w:t>s</w:t>
      </w:r>
      <w:r w:rsidR="00161662" w:rsidRPr="00F22742">
        <w:rPr>
          <w:rFonts w:ascii="Times New Roman" w:eastAsia="Calibri" w:hAnsi="Times New Roman"/>
          <w:szCs w:val="22"/>
          <w:lang w:val="fr-FR"/>
        </w:rPr>
        <w:t xml:space="preserve"> et réfugiées</w:t>
      </w:r>
      <w:r w:rsidRPr="00F22742">
        <w:rPr>
          <w:rFonts w:ascii="Times New Roman" w:eastAsia="Calibri" w:hAnsi="Times New Roman"/>
          <w:szCs w:val="22"/>
          <w:lang w:val="fr-FR"/>
        </w:rPr>
        <w:t xml:space="preserve"> et de leurs familles</w:t>
      </w:r>
      <w:r w:rsidR="00651DEE" w:rsidRPr="00F22742">
        <w:rPr>
          <w:rFonts w:ascii="Times New Roman" w:eastAsia="Times New Roman" w:hAnsi="Times New Roman"/>
          <w:szCs w:val="22"/>
          <w:lang w:val="fr-FR" w:eastAsia="en-US"/>
        </w:rPr>
        <w:t>.</w:t>
      </w:r>
    </w:p>
    <w:p w14:paraId="4353511B" w14:textId="6E5B62D4" w:rsidR="00450B34" w:rsidRPr="00F22742" w:rsidRDefault="00450B34"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42EB600B" w14:textId="23345C09" w:rsidR="00450B34" w:rsidRPr="00F22742" w:rsidRDefault="00161662"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hAnsi="Times New Roman"/>
          <w:szCs w:val="22"/>
          <w:lang w:val="fr-FR"/>
        </w:rPr>
        <w:t>De réaffirmer l’importance de continuer de renforcer et de promouvoir le dialogue, les échanges d’informations et la coopération régionale et bilatérale sur les questions de migration et de protection, selon le cas, au moment d’aborder les défis liés à la migration dans le continent américain, en particulier au sein du Conseil permanent et au sein du CIDI et de ses organes subsidiaires comme la Commission sur les questions de migration, conformément aux dispositions de la résolution AG/RES. 2910 (XLVII-O/17), « Migration dans les Amériques », et de la déclaration CP/DEC. 68 (2099/16), « Coopération interaméricaine pour faire face aux défis et aux possibilités de la migration », adoptée par le Conseil permanent le 15 décembre 2016</w:t>
      </w:r>
      <w:r w:rsidR="00651DEE" w:rsidRPr="00F22742">
        <w:rPr>
          <w:rFonts w:ascii="Times New Roman" w:eastAsia="Times New Roman" w:hAnsi="Times New Roman"/>
          <w:szCs w:val="22"/>
          <w:lang w:val="fr-FR" w:eastAsia="en-US"/>
        </w:rPr>
        <w:t>.</w:t>
      </w:r>
    </w:p>
    <w:p w14:paraId="4F9811BD" w14:textId="65DD97BD" w:rsidR="00651DEE" w:rsidRPr="00F22742" w:rsidRDefault="00651DEE"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fr-FR" w:eastAsia="en-US"/>
        </w:rPr>
      </w:pPr>
    </w:p>
    <w:p w14:paraId="011313B7" w14:textId="556D8D14" w:rsidR="00651DEE" w:rsidRPr="00F22742" w:rsidRDefault="00803072"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fr-FR" w:eastAsia="en-US"/>
        </w:rPr>
      </w:pPr>
      <w:r w:rsidRPr="00F22742">
        <w:rPr>
          <w:rFonts w:ascii="Times New Roman" w:eastAsia="Times New Roman" w:hAnsi="Times New Roman"/>
          <w:szCs w:val="22"/>
          <w:lang w:val="fr-FR" w:eastAsia="en-US"/>
        </w:rPr>
        <w:t xml:space="preserve">De prendre note de l’importance du partage des responsabilités et d’apporter des réponses coordonnées en matière de mobilité humaine avec les organismes multilatéraux tels que le système des Nations Unies, les banques multilatérales de développement, les institutions financières internationales et les acteurs non gouvernementaux concernés comme la société civile, les organisations </w:t>
      </w:r>
      <w:r w:rsidR="00CC2D3A" w:rsidRPr="00F22742">
        <w:rPr>
          <w:rFonts w:ascii="Times New Roman" w:eastAsia="Times New Roman" w:hAnsi="Times New Roman"/>
          <w:szCs w:val="22"/>
          <w:lang w:val="fr-FR" w:eastAsia="en-US"/>
        </w:rPr>
        <w:t>de la diaspora et le secteur privé</w:t>
      </w:r>
      <w:r w:rsidR="00651DEE" w:rsidRPr="00F22742">
        <w:rPr>
          <w:rFonts w:ascii="Times New Roman" w:eastAsia="Times New Roman" w:hAnsi="Times New Roman"/>
          <w:szCs w:val="22"/>
          <w:lang w:val="fr-FR" w:eastAsia="en-US"/>
        </w:rPr>
        <w:t>.</w:t>
      </w:r>
    </w:p>
    <w:p w14:paraId="6000A03B" w14:textId="254E3959" w:rsidR="00E10C74" w:rsidRPr="00F22742" w:rsidRDefault="00C87A73">
      <w:pPr>
        <w:rPr>
          <w:rFonts w:ascii="Times New Roman" w:hAnsi="Times New Roman"/>
          <w:szCs w:val="22"/>
          <w:lang w:val="fr-FR"/>
        </w:rPr>
      </w:pPr>
      <w:r w:rsidRPr="00F22742">
        <w:rPr>
          <w:rFonts w:ascii="Times New Roman" w:hAnsi="Times New Roman"/>
          <w:noProof/>
          <w:szCs w:val="22"/>
          <w:lang w:val="fr-FR" w:eastAsia="fr-FR"/>
        </w:rPr>
        <mc:AlternateContent>
          <mc:Choice Requires="wps">
            <w:drawing>
              <wp:anchor distT="0" distB="0" distL="114300" distR="114300" simplePos="0" relativeHeight="251657216" behindDoc="0" locked="1" layoutInCell="1" allowOverlap="1" wp14:anchorId="44FAC7E0" wp14:editId="5B325B6F">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BD3962E" w14:textId="1D901C7B" w:rsidR="00C87A73" w:rsidRPr="00C87A73" w:rsidRDefault="00C87A7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986AD4">
                              <w:rPr>
                                <w:rFonts w:ascii="Times New Roman" w:hAnsi="Times New Roman"/>
                                <w:noProof/>
                                <w:sz w:val="18"/>
                              </w:rPr>
                              <w:t>CIDRP03689</w:t>
                            </w:r>
                            <w:r w:rsidR="00B90BEA">
                              <w:rPr>
                                <w:rFonts w:ascii="Times New Roman" w:hAnsi="Times New Roman"/>
                                <w:noProof/>
                                <w:sz w:val="18"/>
                              </w:rPr>
                              <w:t>F</w:t>
                            </w:r>
                            <w:r w:rsidR="00986AD4">
                              <w:rPr>
                                <w:rFonts w:ascii="Times New Roman" w:hAnsi="Times New Roman"/>
                                <w:noProof/>
                                <w:sz w:val="18"/>
                              </w:rPr>
                              <w:t>0</w:t>
                            </w:r>
                            <w:r w:rsidR="00F22742">
                              <w:rPr>
                                <w:rFonts w:ascii="Times New Roman" w:hAnsi="Times New Roman"/>
                                <w:noProof/>
                                <w:sz w:val="18"/>
                              </w:rPr>
                              <w:t>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AC7E0"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BD3962E" w14:textId="1D901C7B" w:rsidR="00C87A73" w:rsidRPr="00C87A73" w:rsidRDefault="00C87A7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986AD4">
                        <w:rPr>
                          <w:rFonts w:ascii="Times New Roman" w:hAnsi="Times New Roman"/>
                          <w:noProof/>
                          <w:sz w:val="18"/>
                        </w:rPr>
                        <w:t>CIDRP03689</w:t>
                      </w:r>
                      <w:r w:rsidR="00B90BEA">
                        <w:rPr>
                          <w:rFonts w:ascii="Times New Roman" w:hAnsi="Times New Roman"/>
                          <w:noProof/>
                          <w:sz w:val="18"/>
                        </w:rPr>
                        <w:t>F</w:t>
                      </w:r>
                      <w:r w:rsidR="00986AD4">
                        <w:rPr>
                          <w:rFonts w:ascii="Times New Roman" w:hAnsi="Times New Roman"/>
                          <w:noProof/>
                          <w:sz w:val="18"/>
                        </w:rPr>
                        <w:t>0</w:t>
                      </w:r>
                      <w:r w:rsidR="00F22742">
                        <w:rPr>
                          <w:rFonts w:ascii="Times New Roman" w:hAnsi="Times New Roman"/>
                          <w:noProof/>
                          <w:sz w:val="18"/>
                        </w:rPr>
                        <w:t>4</w:t>
                      </w:r>
                      <w:r>
                        <w:rPr>
                          <w:rFonts w:ascii="Times New Roman" w:hAnsi="Times New Roman"/>
                          <w:sz w:val="18"/>
                        </w:rPr>
                        <w:fldChar w:fldCharType="end"/>
                      </w:r>
                    </w:p>
                  </w:txbxContent>
                </v:textbox>
                <w10:wrap anchory="page"/>
                <w10:anchorlock/>
              </v:shape>
            </w:pict>
          </mc:Fallback>
        </mc:AlternateContent>
      </w:r>
    </w:p>
    <w:sectPr w:rsidR="00E10C74" w:rsidRPr="00F22742" w:rsidSect="00D65E6C">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ADF6" w14:textId="77777777" w:rsidR="00243364" w:rsidRDefault="00243364" w:rsidP="00D65E6C">
      <w:pPr>
        <w:rPr>
          <w:rFonts w:hint="eastAsia"/>
        </w:rPr>
      </w:pPr>
      <w:r>
        <w:separator/>
      </w:r>
    </w:p>
  </w:endnote>
  <w:endnote w:type="continuationSeparator" w:id="0">
    <w:p w14:paraId="652B3F86" w14:textId="77777777" w:rsidR="00243364" w:rsidRDefault="00243364" w:rsidP="00D65E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1A73" w14:textId="77777777" w:rsidR="00243364" w:rsidRDefault="00243364" w:rsidP="00D65E6C">
      <w:pPr>
        <w:rPr>
          <w:rFonts w:hint="eastAsia"/>
        </w:rPr>
      </w:pPr>
      <w:r>
        <w:separator/>
      </w:r>
    </w:p>
  </w:footnote>
  <w:footnote w:type="continuationSeparator" w:id="0">
    <w:p w14:paraId="1E907544" w14:textId="77777777" w:rsidR="00243364" w:rsidRDefault="00243364" w:rsidP="00D65E6C">
      <w:pPr>
        <w:rPr>
          <w:rFonts w:hint="eastAsia"/>
        </w:rPr>
      </w:pPr>
      <w:r>
        <w:continuationSeparator/>
      </w:r>
    </w:p>
  </w:footnote>
  <w:footnote w:id="1">
    <w:p w14:paraId="66B07AC5" w14:textId="312B02AC" w:rsidR="00AF7F6A" w:rsidRPr="0045206D" w:rsidRDefault="00AF7F6A" w:rsidP="0045206D">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lang w:val="fr-FR"/>
        </w:rPr>
      </w:pPr>
      <w:r w:rsidRPr="0045206D">
        <w:rPr>
          <w:rStyle w:val="FootnoteReference"/>
          <w:rFonts w:ascii="Times New Roman" w:hAnsi="Times New Roman"/>
          <w:vertAlign w:val="baseline"/>
        </w:rPr>
        <w:footnoteRef/>
      </w:r>
      <w:r w:rsidR="0045206D">
        <w:rPr>
          <w:rFonts w:ascii="Times New Roman" w:hAnsi="Times New Roman"/>
          <w:lang w:val="fr-FR"/>
        </w:rPr>
        <w:t>.</w:t>
      </w:r>
      <w:r w:rsidR="0045206D">
        <w:rPr>
          <w:rFonts w:ascii="Times New Roman" w:hAnsi="Times New Roman"/>
          <w:lang w:val="fr-FR"/>
        </w:rPr>
        <w:tab/>
      </w:r>
      <w:r w:rsidR="0033659D" w:rsidRPr="0045206D">
        <w:rPr>
          <w:rFonts w:ascii="Times New Roman" w:hAnsi="Times New Roman"/>
          <w:b/>
          <w:bCs/>
          <w:lang w:val="fr-FR"/>
        </w:rPr>
        <w:t>Texte complet </w:t>
      </w:r>
      <w:r w:rsidR="00D91075" w:rsidRPr="0045206D">
        <w:rPr>
          <w:rFonts w:ascii="Times New Roman" w:hAnsi="Times New Roman"/>
          <w:b/>
          <w:bCs/>
          <w:lang w:val="fr-FR"/>
        </w:rPr>
        <w:t xml:space="preserve">: </w:t>
      </w:r>
      <w:r w:rsidR="00964718" w:rsidRPr="0045206D">
        <w:rPr>
          <w:rFonts w:ascii="Times New Roman" w:hAnsi="Times New Roman"/>
          <w:b/>
          <w:bCs/>
          <w:lang w:val="fr-FR"/>
        </w:rPr>
        <w:t>A</w:t>
      </w:r>
      <w:r w:rsidR="002F3A99" w:rsidRPr="0045206D">
        <w:rPr>
          <w:rFonts w:ascii="Times New Roman" w:hAnsi="Times New Roman"/>
          <w:b/>
          <w:bCs/>
          <w:lang w:val="fr-FR"/>
        </w:rPr>
        <w:t xml:space="preserve">d </w:t>
      </w:r>
      <w:r w:rsidR="00BE0683" w:rsidRPr="0045206D">
        <w:rPr>
          <w:rFonts w:ascii="Times New Roman" w:hAnsi="Times New Roman"/>
          <w:b/>
          <w:bCs/>
          <w:lang w:val="fr-FR"/>
        </w:rPr>
        <w:t>r</w:t>
      </w:r>
      <w:r w:rsidR="0033659D" w:rsidRPr="0045206D">
        <w:rPr>
          <w:rFonts w:ascii="Times New Roman" w:hAnsi="Times New Roman"/>
          <w:b/>
          <w:bCs/>
          <w:lang w:val="fr-FR"/>
        </w:rPr>
        <w:t>éfére</w:t>
      </w:r>
      <w:r w:rsidR="002F3A99" w:rsidRPr="0045206D">
        <w:rPr>
          <w:rFonts w:ascii="Times New Roman" w:hAnsi="Times New Roman"/>
          <w:b/>
          <w:bCs/>
          <w:lang w:val="fr-FR"/>
        </w:rPr>
        <w:t>ndum de la d</w:t>
      </w:r>
      <w:r w:rsidR="0033659D" w:rsidRPr="0045206D">
        <w:rPr>
          <w:rFonts w:ascii="Times New Roman" w:hAnsi="Times New Roman"/>
          <w:b/>
          <w:bCs/>
          <w:lang w:val="fr-FR"/>
        </w:rPr>
        <w:t>é</w:t>
      </w:r>
      <w:r w:rsidR="002F3A99" w:rsidRPr="0045206D">
        <w:rPr>
          <w:rFonts w:ascii="Times New Roman" w:hAnsi="Times New Roman"/>
          <w:b/>
          <w:bCs/>
          <w:lang w:val="fr-FR"/>
        </w:rPr>
        <w:t>l</w:t>
      </w:r>
      <w:r w:rsidR="0033659D" w:rsidRPr="0045206D">
        <w:rPr>
          <w:rFonts w:ascii="Times New Roman" w:hAnsi="Times New Roman"/>
          <w:b/>
          <w:bCs/>
          <w:lang w:val="fr-FR"/>
        </w:rPr>
        <w:t>é</w:t>
      </w:r>
      <w:r w:rsidR="002F3A99" w:rsidRPr="0045206D">
        <w:rPr>
          <w:rFonts w:ascii="Times New Roman" w:hAnsi="Times New Roman"/>
          <w:b/>
          <w:bCs/>
          <w:lang w:val="fr-FR"/>
        </w:rPr>
        <w:t>ga</w:t>
      </w:r>
      <w:r w:rsidR="0033659D" w:rsidRPr="0045206D">
        <w:rPr>
          <w:rFonts w:ascii="Times New Roman" w:hAnsi="Times New Roman"/>
          <w:b/>
          <w:bCs/>
          <w:lang w:val="fr-FR"/>
        </w:rPr>
        <w:t>t</w:t>
      </w:r>
      <w:r w:rsidR="002F3A99" w:rsidRPr="0045206D">
        <w:rPr>
          <w:rFonts w:ascii="Times New Roman" w:hAnsi="Times New Roman"/>
          <w:b/>
          <w:bCs/>
          <w:lang w:val="fr-FR"/>
        </w:rPr>
        <w:t>i</w:t>
      </w:r>
      <w:r w:rsidR="0033659D" w:rsidRPr="0045206D">
        <w:rPr>
          <w:rFonts w:ascii="Times New Roman" w:hAnsi="Times New Roman"/>
          <w:b/>
          <w:bCs/>
          <w:lang w:val="fr-FR"/>
        </w:rPr>
        <w:t>o</w:t>
      </w:r>
      <w:r w:rsidR="002F3A99" w:rsidRPr="0045206D">
        <w:rPr>
          <w:rFonts w:ascii="Times New Roman" w:hAnsi="Times New Roman"/>
          <w:b/>
          <w:bCs/>
          <w:lang w:val="fr-FR"/>
        </w:rPr>
        <w:t>n</w:t>
      </w:r>
      <w:r w:rsidR="005301BF" w:rsidRPr="0045206D">
        <w:rPr>
          <w:rFonts w:ascii="Times New Roman" w:hAnsi="Times New Roman"/>
          <w:b/>
          <w:bCs/>
          <w:lang w:val="fr-FR"/>
        </w:rPr>
        <w:t xml:space="preserve"> de </w:t>
      </w:r>
      <w:r w:rsidR="0033659D" w:rsidRPr="0045206D">
        <w:rPr>
          <w:rFonts w:ascii="Times New Roman" w:hAnsi="Times New Roman"/>
          <w:b/>
          <w:bCs/>
          <w:lang w:val="fr-FR"/>
        </w:rPr>
        <w:t xml:space="preserve">la </w:t>
      </w:r>
      <w:r w:rsidR="005301BF" w:rsidRPr="0045206D">
        <w:rPr>
          <w:rFonts w:ascii="Times New Roman" w:hAnsi="Times New Roman"/>
          <w:b/>
          <w:bCs/>
          <w:lang w:val="fr-FR"/>
        </w:rPr>
        <w:t>Trini</w:t>
      </w:r>
      <w:r w:rsidR="0033659D" w:rsidRPr="0045206D">
        <w:rPr>
          <w:rFonts w:ascii="Times New Roman" w:hAnsi="Times New Roman"/>
          <w:b/>
          <w:bCs/>
          <w:lang w:val="fr-FR"/>
        </w:rPr>
        <w:t>té-et-</w:t>
      </w:r>
      <w:r w:rsidR="005301BF" w:rsidRPr="0045206D">
        <w:rPr>
          <w:rFonts w:ascii="Times New Roman" w:hAnsi="Times New Roman"/>
          <w:b/>
          <w:bCs/>
          <w:lang w:val="fr-FR"/>
        </w:rPr>
        <w:t>Tobago</w:t>
      </w:r>
      <w:r w:rsidR="005301BF" w:rsidRPr="0045206D">
        <w:rPr>
          <w:rFonts w:ascii="Times New Roman" w:hAnsi="Times New Roman"/>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01172"/>
      <w:docPartObj>
        <w:docPartGallery w:val="Page Numbers (Top of Page)"/>
        <w:docPartUnique/>
      </w:docPartObj>
    </w:sdtPr>
    <w:sdtEndPr>
      <w:rPr>
        <w:noProof/>
      </w:rPr>
    </w:sdtEndPr>
    <w:sdtContent>
      <w:p w14:paraId="4B1FFDB2" w14:textId="74A8C512" w:rsidR="00D65E6C" w:rsidRDefault="00D65E6C">
        <w:pPr>
          <w:pStyle w:val="Header"/>
          <w:jc w:val="center"/>
          <w:rPr>
            <w:rFonts w:hint="eastAsia"/>
          </w:rPr>
        </w:pPr>
        <w:r>
          <w:rPr>
            <w:rFonts w:hint="eastAsia"/>
          </w:rPr>
          <w:fldChar w:fldCharType="begin"/>
        </w:r>
        <w:r>
          <w:rPr>
            <w:rFonts w:hint="eastAsia"/>
          </w:rPr>
          <w:instrText xml:space="preserve"> </w:instrText>
        </w:r>
        <w:r>
          <w:instrText>PAGE  \* ArabicDash  \* MERGEFORMAT</w:instrText>
        </w:r>
        <w:r>
          <w:rPr>
            <w:rFonts w:hint="eastAsia"/>
          </w:rPr>
          <w:instrText xml:space="preserve"> </w:instrText>
        </w:r>
        <w:r>
          <w:rPr>
            <w:rFonts w:hint="eastAsia"/>
          </w:rPr>
          <w:fldChar w:fldCharType="separate"/>
        </w:r>
        <w:r w:rsidR="000C0000">
          <w:rPr>
            <w:rFonts w:hint="eastAsia"/>
            <w:noProof/>
          </w:rPr>
          <w:t>- 2 -</w:t>
        </w:r>
        <w:r>
          <w:rPr>
            <w:rFonts w:hint="eastAsia"/>
          </w:rPr>
          <w:fldChar w:fldCharType="end"/>
        </w:r>
      </w:p>
    </w:sdtContent>
  </w:sdt>
  <w:p w14:paraId="044EEC87" w14:textId="77777777" w:rsidR="00D65E6C" w:rsidRDefault="00D65E6C">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A49"/>
    <w:multiLevelType w:val="hybridMultilevel"/>
    <w:tmpl w:val="51D02E58"/>
    <w:lvl w:ilvl="0" w:tplc="5DA4E8D6">
      <w:start w:val="1"/>
      <w:numFmt w:val="decimal"/>
      <w:lvlText w:val="%1."/>
      <w:lvlJc w:val="left"/>
      <w:pPr>
        <w:ind w:left="81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052B"/>
    <w:multiLevelType w:val="hybridMultilevel"/>
    <w:tmpl w:val="07F0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31C5E"/>
    <w:multiLevelType w:val="hybridMultilevel"/>
    <w:tmpl w:val="A8789856"/>
    <w:lvl w:ilvl="0" w:tplc="573CEA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747160">
    <w:abstractNumId w:val="0"/>
  </w:num>
  <w:num w:numId="2" w16cid:durableId="1803032847">
    <w:abstractNumId w:val="1"/>
  </w:num>
  <w:num w:numId="3" w16cid:durableId="45170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67"/>
    <w:rsid w:val="000555F3"/>
    <w:rsid w:val="000A04FA"/>
    <w:rsid w:val="000A2ABD"/>
    <w:rsid w:val="000C0000"/>
    <w:rsid w:val="000F213B"/>
    <w:rsid w:val="0012206E"/>
    <w:rsid w:val="00156007"/>
    <w:rsid w:val="00161662"/>
    <w:rsid w:val="001A04DD"/>
    <w:rsid w:val="001A0600"/>
    <w:rsid w:val="001B016C"/>
    <w:rsid w:val="001B5EB7"/>
    <w:rsid w:val="00243364"/>
    <w:rsid w:val="00255167"/>
    <w:rsid w:val="002B24EA"/>
    <w:rsid w:val="002D6942"/>
    <w:rsid w:val="002F3A99"/>
    <w:rsid w:val="00306420"/>
    <w:rsid w:val="00306BC0"/>
    <w:rsid w:val="00317A1E"/>
    <w:rsid w:val="0033659D"/>
    <w:rsid w:val="00337C9E"/>
    <w:rsid w:val="00371AED"/>
    <w:rsid w:val="00373692"/>
    <w:rsid w:val="003C09F1"/>
    <w:rsid w:val="003C23AE"/>
    <w:rsid w:val="003D05DA"/>
    <w:rsid w:val="004047D3"/>
    <w:rsid w:val="004347D6"/>
    <w:rsid w:val="00441CEC"/>
    <w:rsid w:val="00450B34"/>
    <w:rsid w:val="0045206D"/>
    <w:rsid w:val="0048251F"/>
    <w:rsid w:val="00487D4C"/>
    <w:rsid w:val="00490F93"/>
    <w:rsid w:val="004A0334"/>
    <w:rsid w:val="004A4717"/>
    <w:rsid w:val="004D53E5"/>
    <w:rsid w:val="004E4907"/>
    <w:rsid w:val="004F6F49"/>
    <w:rsid w:val="0050522B"/>
    <w:rsid w:val="00506130"/>
    <w:rsid w:val="00516F61"/>
    <w:rsid w:val="005301BF"/>
    <w:rsid w:val="0054253D"/>
    <w:rsid w:val="0055147B"/>
    <w:rsid w:val="005518BD"/>
    <w:rsid w:val="00593395"/>
    <w:rsid w:val="005C7E91"/>
    <w:rsid w:val="00600203"/>
    <w:rsid w:val="006041A6"/>
    <w:rsid w:val="00613471"/>
    <w:rsid w:val="00624E36"/>
    <w:rsid w:val="00651DEE"/>
    <w:rsid w:val="006740B4"/>
    <w:rsid w:val="006A7AC7"/>
    <w:rsid w:val="006B6DAB"/>
    <w:rsid w:val="006F1BE5"/>
    <w:rsid w:val="00706D11"/>
    <w:rsid w:val="00742147"/>
    <w:rsid w:val="00752A2B"/>
    <w:rsid w:val="00786DE7"/>
    <w:rsid w:val="007F1CFE"/>
    <w:rsid w:val="00803072"/>
    <w:rsid w:val="008540F9"/>
    <w:rsid w:val="008660A9"/>
    <w:rsid w:val="008B6FD2"/>
    <w:rsid w:val="008D1D8E"/>
    <w:rsid w:val="008E3D64"/>
    <w:rsid w:val="008F261E"/>
    <w:rsid w:val="0092588E"/>
    <w:rsid w:val="00954368"/>
    <w:rsid w:val="00964718"/>
    <w:rsid w:val="00986AD4"/>
    <w:rsid w:val="0099307A"/>
    <w:rsid w:val="009D7BCD"/>
    <w:rsid w:val="00A102C1"/>
    <w:rsid w:val="00A133E2"/>
    <w:rsid w:val="00A40FDB"/>
    <w:rsid w:val="00A50506"/>
    <w:rsid w:val="00A6273B"/>
    <w:rsid w:val="00AB6D67"/>
    <w:rsid w:val="00AC3252"/>
    <w:rsid w:val="00AF6685"/>
    <w:rsid w:val="00AF7F6A"/>
    <w:rsid w:val="00B90BEA"/>
    <w:rsid w:val="00BE0683"/>
    <w:rsid w:val="00C2395E"/>
    <w:rsid w:val="00C64192"/>
    <w:rsid w:val="00C66A84"/>
    <w:rsid w:val="00C74B56"/>
    <w:rsid w:val="00C759E2"/>
    <w:rsid w:val="00C87A73"/>
    <w:rsid w:val="00CC2D3A"/>
    <w:rsid w:val="00CE1E71"/>
    <w:rsid w:val="00D200C2"/>
    <w:rsid w:val="00D4381E"/>
    <w:rsid w:val="00D65E6C"/>
    <w:rsid w:val="00D83538"/>
    <w:rsid w:val="00D91075"/>
    <w:rsid w:val="00D935AF"/>
    <w:rsid w:val="00DB7DDA"/>
    <w:rsid w:val="00DD1C04"/>
    <w:rsid w:val="00DD7445"/>
    <w:rsid w:val="00E07E54"/>
    <w:rsid w:val="00E11149"/>
    <w:rsid w:val="00E27879"/>
    <w:rsid w:val="00E54B66"/>
    <w:rsid w:val="00E8345E"/>
    <w:rsid w:val="00EB3EB1"/>
    <w:rsid w:val="00F22742"/>
    <w:rsid w:val="00F477D7"/>
    <w:rsid w:val="00F81A50"/>
    <w:rsid w:val="00FA49F4"/>
    <w:rsid w:val="00FC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C0B80"/>
  <w15:docId w15:val="{5DD78063-D59C-4A3E-BEDF-54D98042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67"/>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MS Mincho" w:hAnsi="CG Times" w:cs="Times New Roman"/>
      <w:szCs w:val="20"/>
      <w:lang w:val="es-CO"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67"/>
    <w:pPr>
      <w:ind w:left="720"/>
    </w:pPr>
  </w:style>
  <w:style w:type="paragraph" w:styleId="Header">
    <w:name w:val="header"/>
    <w:basedOn w:val="Normal"/>
    <w:link w:val="HeaderChar"/>
    <w:uiPriority w:val="99"/>
    <w:unhideWhenUsed/>
    <w:rsid w:val="00D65E6C"/>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HeaderChar">
    <w:name w:val="Header Char"/>
    <w:basedOn w:val="DefaultParagraphFont"/>
    <w:link w:val="Header"/>
    <w:uiPriority w:val="99"/>
    <w:rsid w:val="00D65E6C"/>
    <w:rPr>
      <w:rFonts w:ascii="CG Times" w:eastAsia="MS Mincho" w:hAnsi="CG Times" w:cs="Times New Roman"/>
      <w:szCs w:val="20"/>
      <w:lang w:val="es-CO" w:eastAsia="es-ES_tradnl"/>
    </w:rPr>
  </w:style>
  <w:style w:type="paragraph" w:styleId="Footer">
    <w:name w:val="footer"/>
    <w:basedOn w:val="Normal"/>
    <w:link w:val="FooterChar"/>
    <w:uiPriority w:val="99"/>
    <w:unhideWhenUsed/>
    <w:rsid w:val="00D65E6C"/>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FooterChar">
    <w:name w:val="Footer Char"/>
    <w:basedOn w:val="DefaultParagraphFont"/>
    <w:link w:val="Footer"/>
    <w:uiPriority w:val="99"/>
    <w:rsid w:val="00D65E6C"/>
    <w:rPr>
      <w:rFonts w:ascii="CG Times" w:eastAsia="MS Mincho" w:hAnsi="CG Times" w:cs="Times New Roman"/>
      <w:szCs w:val="20"/>
      <w:lang w:val="es-CO" w:eastAsia="es-ES_tradnl"/>
    </w:rPr>
  </w:style>
  <w:style w:type="paragraph" w:styleId="FootnoteText">
    <w:name w:val="footnote text"/>
    <w:basedOn w:val="Normal"/>
    <w:link w:val="FootnoteTextChar"/>
    <w:uiPriority w:val="99"/>
    <w:semiHidden/>
    <w:unhideWhenUsed/>
    <w:rsid w:val="00AF7F6A"/>
    <w:rPr>
      <w:sz w:val="20"/>
    </w:rPr>
  </w:style>
  <w:style w:type="character" w:customStyle="1" w:styleId="FootnoteTextChar">
    <w:name w:val="Footnote Text Char"/>
    <w:basedOn w:val="DefaultParagraphFont"/>
    <w:link w:val="FootnoteText"/>
    <w:uiPriority w:val="99"/>
    <w:semiHidden/>
    <w:rsid w:val="00AF7F6A"/>
    <w:rPr>
      <w:rFonts w:ascii="CG Times" w:eastAsia="MS Mincho" w:hAnsi="CG Times" w:cs="Times New Roman"/>
      <w:sz w:val="20"/>
      <w:szCs w:val="20"/>
      <w:lang w:val="es-CO" w:eastAsia="es-ES_tradnl"/>
    </w:rPr>
  </w:style>
  <w:style w:type="character" w:styleId="FootnoteReference">
    <w:name w:val="footnote reference"/>
    <w:basedOn w:val="DefaultParagraphFont"/>
    <w:uiPriority w:val="99"/>
    <w:semiHidden/>
    <w:unhideWhenUsed/>
    <w:rsid w:val="00AF7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0EFF-F15E-4BB4-B277-398FE927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9990</Characters>
  <Application>Microsoft Office Word</Application>
  <DocSecurity>4</DocSecurity>
  <Lines>195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 Vasquez Rivasplata</dc:creator>
  <cp:lastModifiedBy>Burns, Sandra</cp:lastModifiedBy>
  <cp:revision>2</cp:revision>
  <dcterms:created xsi:type="dcterms:W3CDTF">2022-09-22T21:37:00Z</dcterms:created>
  <dcterms:modified xsi:type="dcterms:W3CDTF">2022-09-22T21:37:00Z</dcterms:modified>
</cp:coreProperties>
</file>