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4E8" w:rsidRPr="00751A7E" w:rsidRDefault="004E14E8" w:rsidP="00751A7E">
      <w:pPr>
        <w:pStyle w:val="MediumGrid2-Accent1"/>
        <w:ind w:right="900"/>
        <w:jc w:val="right"/>
        <w:rPr>
          <w:rFonts w:ascii="Times New Roman" w:hAnsi="Times New Roman"/>
          <w:lang w:val="es-ES"/>
        </w:rPr>
      </w:pPr>
      <w:r w:rsidRPr="00751A7E">
        <w:rPr>
          <w:rFonts w:ascii="Times New Roman" w:hAnsi="Times New Roman"/>
          <w:caps/>
          <w:lang w:val="es-ES"/>
        </w:rPr>
        <w:t>comisiÓn de Asuntos Migratorios</w:t>
      </w:r>
      <w:r w:rsidRPr="00751A7E">
        <w:rPr>
          <w:rFonts w:ascii="Times New Roman" w:hAnsi="Times New Roman"/>
          <w:lang w:val="es-ES"/>
        </w:rPr>
        <w:tab/>
      </w:r>
      <w:r w:rsidRPr="00751A7E">
        <w:rPr>
          <w:rFonts w:ascii="Times New Roman" w:hAnsi="Times New Roman"/>
          <w:lang w:val="es-ES"/>
        </w:rPr>
        <w:tab/>
      </w:r>
      <w:r w:rsidRPr="00751A7E">
        <w:rPr>
          <w:rFonts w:ascii="Times New Roman" w:hAnsi="Times New Roman"/>
          <w:lang w:val="es-ES"/>
        </w:rPr>
        <w:tab/>
      </w:r>
      <w:r w:rsidRPr="00751A7E">
        <w:rPr>
          <w:rFonts w:ascii="Times New Roman" w:hAnsi="Times New Roman"/>
          <w:lang w:val="es-ES"/>
        </w:rPr>
        <w:tab/>
      </w:r>
      <w:r w:rsidRPr="00751A7E">
        <w:rPr>
          <w:rFonts w:ascii="Times New Roman" w:hAnsi="Times New Roman"/>
          <w:lang w:val="es-ES"/>
        </w:rPr>
        <w:tab/>
      </w:r>
      <w:r w:rsidRPr="00751A7E">
        <w:rPr>
          <w:rFonts w:ascii="Times New Roman" w:hAnsi="Times New Roman"/>
          <w:lang w:val="es-ES"/>
        </w:rPr>
        <w:tab/>
      </w:r>
      <w:r w:rsidRPr="00751A7E">
        <w:rPr>
          <w:rFonts w:ascii="Times New Roman" w:hAnsi="Times New Roman"/>
          <w:lang w:val="es-ES"/>
        </w:rPr>
        <w:tab/>
      </w:r>
      <w:r w:rsidR="006C161E" w:rsidRPr="00751A7E">
        <w:rPr>
          <w:rFonts w:ascii="Times New Roman" w:hAnsi="Times New Roman"/>
          <w:lang w:val="es-ES"/>
        </w:rPr>
        <w:tab/>
      </w:r>
      <w:r w:rsidR="006C161E" w:rsidRPr="00751A7E">
        <w:rPr>
          <w:rFonts w:ascii="Times New Roman" w:hAnsi="Times New Roman"/>
          <w:lang w:val="es-ES"/>
        </w:rPr>
        <w:tab/>
      </w:r>
      <w:r w:rsidR="006C161E" w:rsidRPr="00751A7E">
        <w:rPr>
          <w:rFonts w:ascii="Times New Roman" w:hAnsi="Times New Roman"/>
          <w:lang w:val="es-ES"/>
        </w:rPr>
        <w:tab/>
      </w:r>
      <w:r w:rsidR="006C161E" w:rsidRPr="00751A7E">
        <w:rPr>
          <w:rFonts w:ascii="Times New Roman" w:hAnsi="Times New Roman"/>
          <w:lang w:val="es-ES"/>
        </w:rPr>
        <w:tab/>
      </w:r>
      <w:r w:rsidR="006C161E" w:rsidRPr="00751A7E">
        <w:rPr>
          <w:rFonts w:ascii="Times New Roman" w:hAnsi="Times New Roman"/>
          <w:lang w:val="es-ES"/>
        </w:rPr>
        <w:tab/>
      </w:r>
      <w:r w:rsidRPr="00751A7E">
        <w:rPr>
          <w:rFonts w:ascii="Times New Roman" w:hAnsi="Times New Roman"/>
          <w:lang w:val="es-ES"/>
        </w:rPr>
        <w:t>OEA/Ser.W</w:t>
      </w:r>
    </w:p>
    <w:p w:rsidR="004E14E8" w:rsidRDefault="004E14E8" w:rsidP="006C161E">
      <w:pPr>
        <w:pStyle w:val="MediumGrid2-Accent1"/>
        <w:jc w:val="right"/>
        <w:rPr>
          <w:rFonts w:ascii="Times New Roman" w:hAnsi="Times New Roman"/>
          <w:lang w:val="es-ES"/>
        </w:rPr>
      </w:pPr>
      <w:r w:rsidRPr="00751A7E">
        <w:rPr>
          <w:rFonts w:ascii="Times New Roman" w:hAnsi="Times New Roman"/>
          <w:lang w:val="es-ES"/>
        </w:rPr>
        <w:t>CIDI/CAM/doc.</w:t>
      </w:r>
      <w:r w:rsidR="00751A7E" w:rsidRPr="00751A7E">
        <w:rPr>
          <w:rFonts w:ascii="Times New Roman" w:hAnsi="Times New Roman"/>
          <w:lang w:val="es-ES"/>
        </w:rPr>
        <w:t>7</w:t>
      </w:r>
      <w:r w:rsidR="00640D5A">
        <w:rPr>
          <w:rFonts w:ascii="Times New Roman" w:hAnsi="Times New Roman"/>
          <w:lang w:val="es-ES"/>
        </w:rPr>
        <w:t>6</w:t>
      </w:r>
      <w:r w:rsidR="00751A7E" w:rsidRPr="00751A7E">
        <w:rPr>
          <w:rFonts w:ascii="Times New Roman" w:hAnsi="Times New Roman"/>
          <w:lang w:val="es-ES"/>
        </w:rPr>
        <w:t>/20</w:t>
      </w:r>
    </w:p>
    <w:p w:rsidR="00640D5A" w:rsidRPr="00751A7E" w:rsidRDefault="00640D5A" w:rsidP="00640D5A">
      <w:pPr>
        <w:pStyle w:val="MediumGrid2-Accent1"/>
        <w:ind w:left="6480" w:firstLine="540"/>
        <w:rPr>
          <w:rFonts w:ascii="Times New Roman" w:hAnsi="Times New Roman"/>
          <w:lang w:val="es-ES"/>
        </w:rPr>
      </w:pPr>
      <w:r>
        <w:rPr>
          <w:rFonts w:ascii="Times New Roman" w:hAnsi="Times New Roman"/>
          <w:lang w:val="es-ES"/>
        </w:rPr>
        <w:t xml:space="preserve">14 febrero </w:t>
      </w:r>
      <w:r w:rsidRPr="00751A7E">
        <w:rPr>
          <w:rFonts w:ascii="Times New Roman" w:hAnsi="Times New Roman"/>
          <w:lang w:val="es-ES"/>
        </w:rPr>
        <w:t>20</w:t>
      </w:r>
      <w:r>
        <w:rPr>
          <w:rFonts w:ascii="Times New Roman" w:hAnsi="Times New Roman"/>
          <w:lang w:val="es-ES"/>
        </w:rPr>
        <w:t>20</w:t>
      </w:r>
    </w:p>
    <w:p w:rsidR="004E14E8" w:rsidRPr="00751A7E" w:rsidRDefault="004E14E8" w:rsidP="00751A7E">
      <w:pPr>
        <w:pStyle w:val="MediumGrid2-Accent1"/>
        <w:ind w:right="450"/>
        <w:jc w:val="right"/>
        <w:rPr>
          <w:rFonts w:ascii="Times New Roman" w:hAnsi="Times New Roman"/>
          <w:lang w:val="es-ES"/>
        </w:rPr>
      </w:pPr>
      <w:r w:rsidRPr="00751A7E">
        <w:rPr>
          <w:rFonts w:ascii="Times New Roman" w:hAnsi="Times New Roman"/>
          <w:lang w:val="es-ES"/>
        </w:rPr>
        <w:t>Original: español</w:t>
      </w:r>
    </w:p>
    <w:p w:rsidR="004E14E8" w:rsidRPr="00751A7E" w:rsidRDefault="004E14E8" w:rsidP="006E1224">
      <w:pPr>
        <w:pBdr>
          <w:bottom w:val="single" w:sz="12" w:space="1" w:color="auto"/>
        </w:pBdr>
        <w:tabs>
          <w:tab w:val="left" w:pos="6750"/>
        </w:tabs>
        <w:spacing w:after="0" w:line="240" w:lineRule="auto"/>
        <w:ind w:right="18"/>
        <w:jc w:val="right"/>
        <w:rPr>
          <w:rFonts w:ascii="Times New Roman" w:hAnsi="Times New Roman"/>
          <w:b/>
          <w:bCs/>
          <w:lang w:val="es-ES"/>
        </w:rPr>
      </w:pPr>
    </w:p>
    <w:p w:rsidR="004E14E8" w:rsidRPr="00751A7E" w:rsidRDefault="004E14E8" w:rsidP="006E1224">
      <w:pPr>
        <w:pStyle w:val="MediumGrid2-Accent1"/>
        <w:rPr>
          <w:rFonts w:ascii="Times New Roman" w:hAnsi="Times New Roman"/>
          <w:lang w:val="es-ES"/>
        </w:rPr>
      </w:pPr>
    </w:p>
    <w:p w:rsidR="001D295D" w:rsidRDefault="001D295D" w:rsidP="006E1224">
      <w:pPr>
        <w:pStyle w:val="MediumGrid2-Accent1"/>
        <w:jc w:val="center"/>
        <w:rPr>
          <w:rFonts w:ascii="Times New Roman" w:hAnsi="Times New Roman"/>
          <w:lang w:val="es-ES"/>
        </w:rPr>
      </w:pPr>
    </w:p>
    <w:p w:rsidR="004E14E8" w:rsidRPr="00751A7E" w:rsidRDefault="004E14E8" w:rsidP="006E1224">
      <w:pPr>
        <w:pStyle w:val="MediumGrid2-Accent1"/>
        <w:jc w:val="center"/>
        <w:rPr>
          <w:rFonts w:ascii="Times New Roman" w:hAnsi="Times New Roman"/>
          <w:noProof/>
          <w:lang w:val="es-ES"/>
        </w:rPr>
      </w:pPr>
      <w:r w:rsidRPr="00751A7E">
        <w:rPr>
          <w:rFonts w:ascii="Times New Roman" w:hAnsi="Times New Roman"/>
          <w:lang w:val="es-ES"/>
        </w:rPr>
        <w:t>NOTA CONCEPTUAL</w:t>
      </w:r>
    </w:p>
    <w:p w:rsidR="006E1224" w:rsidRDefault="006E1224" w:rsidP="006E1224">
      <w:pPr>
        <w:spacing w:after="0" w:line="240" w:lineRule="auto"/>
        <w:jc w:val="center"/>
        <w:rPr>
          <w:rFonts w:ascii="Times New Roman" w:hAnsi="Times New Roman"/>
        </w:rPr>
      </w:pPr>
      <w:r w:rsidRPr="006E1224">
        <w:rPr>
          <w:rFonts w:ascii="Times New Roman" w:hAnsi="Times New Roman"/>
        </w:rPr>
        <w:t xml:space="preserve">IV SESION TEMATICA: “RESPUESTAS DE LA COMUNIDAD INTERNACIONAL PARA ATENDER </w:t>
      </w:r>
      <w:r w:rsidRPr="006E1224">
        <w:rPr>
          <w:rFonts w:ascii="Times New Roman" w:hAnsi="Times New Roman"/>
        </w:rPr>
        <w:t>LA RESPUESTA</w:t>
      </w:r>
      <w:r w:rsidRPr="006E1224">
        <w:rPr>
          <w:rFonts w:ascii="Times New Roman" w:hAnsi="Times New Roman"/>
        </w:rPr>
        <w:t xml:space="preserve"> HUMANITARIA Y LA INTEGRACIÓN SOCIAL DE LAS POBLACIONES MIGRANTES EN LA REGIÓN”,</w:t>
      </w:r>
    </w:p>
    <w:p w:rsidR="006E1224" w:rsidRPr="006E1224" w:rsidRDefault="006E1224" w:rsidP="006E1224">
      <w:pPr>
        <w:spacing w:after="0" w:line="240" w:lineRule="auto"/>
        <w:jc w:val="center"/>
        <w:rPr>
          <w:rFonts w:ascii="Times New Roman" w:hAnsi="Times New Roman"/>
        </w:rPr>
      </w:pPr>
      <w:r w:rsidRPr="006E1224">
        <w:rPr>
          <w:rFonts w:ascii="Times New Roman" w:hAnsi="Times New Roman"/>
        </w:rPr>
        <w:t xml:space="preserve"> A CELEBRARSE EL 2</w:t>
      </w:r>
      <w:r>
        <w:rPr>
          <w:rFonts w:ascii="Times New Roman" w:hAnsi="Times New Roman"/>
        </w:rPr>
        <w:t>7</w:t>
      </w:r>
      <w:r w:rsidRPr="006E1224">
        <w:rPr>
          <w:rFonts w:ascii="Times New Roman" w:hAnsi="Times New Roman"/>
        </w:rPr>
        <w:t xml:space="preserve"> DE FEBRERO DE 2020</w:t>
      </w:r>
    </w:p>
    <w:p w:rsidR="006E1224" w:rsidRPr="006E1224" w:rsidRDefault="006E1224" w:rsidP="006E1224">
      <w:pPr>
        <w:spacing w:after="0" w:line="240" w:lineRule="auto"/>
        <w:jc w:val="center"/>
        <w:rPr>
          <w:rFonts w:ascii="Times New Roman" w:hAnsi="Times New Roman"/>
        </w:rPr>
      </w:pPr>
    </w:p>
    <w:p w:rsidR="006E1224" w:rsidRPr="006E1224" w:rsidRDefault="006E1224" w:rsidP="006E1224">
      <w:pPr>
        <w:spacing w:after="0" w:line="240" w:lineRule="auto"/>
        <w:jc w:val="center"/>
        <w:rPr>
          <w:rFonts w:ascii="Times New Roman" w:hAnsi="Times New Roman"/>
        </w:rPr>
      </w:pPr>
      <w:r w:rsidRPr="006E1224">
        <w:rPr>
          <w:rFonts w:ascii="Times New Roman" w:hAnsi="Times New Roman"/>
        </w:rPr>
        <w:t>(Preparada por la Presidencia de la CAM con el apoyo de la Secretaría Técnica)</w:t>
      </w:r>
    </w:p>
    <w:p w:rsidR="006E1224" w:rsidRPr="006E1224" w:rsidRDefault="006E1224" w:rsidP="006E1224">
      <w:pPr>
        <w:spacing w:after="0" w:line="240" w:lineRule="auto"/>
        <w:jc w:val="both"/>
        <w:rPr>
          <w:rFonts w:ascii="Times New Roman" w:hAnsi="Times New Roman"/>
        </w:rPr>
      </w:pPr>
    </w:p>
    <w:p w:rsidR="006E1224" w:rsidRPr="006E1224" w:rsidRDefault="006E1224" w:rsidP="006E1224">
      <w:pPr>
        <w:spacing w:after="0" w:line="240" w:lineRule="auto"/>
        <w:jc w:val="both"/>
        <w:rPr>
          <w:rFonts w:ascii="Times New Roman" w:hAnsi="Times New Roman"/>
        </w:rPr>
      </w:pPr>
    </w:p>
    <w:p w:rsidR="006E1224" w:rsidRDefault="006E1224" w:rsidP="006E1224">
      <w:pPr>
        <w:spacing w:after="0" w:line="240" w:lineRule="auto"/>
        <w:jc w:val="both"/>
        <w:rPr>
          <w:rFonts w:ascii="Times New Roman" w:hAnsi="Times New Roman"/>
          <w:lang w:val="es-GT"/>
        </w:rPr>
      </w:pPr>
      <w:r w:rsidRPr="006E1224">
        <w:rPr>
          <w:rFonts w:ascii="Times New Roman" w:hAnsi="Times New Roman"/>
        </w:rPr>
        <w:tab/>
      </w:r>
      <w:r w:rsidRPr="006E1224">
        <w:rPr>
          <w:rFonts w:ascii="Times New Roman" w:hAnsi="Times New Roman"/>
          <w:lang w:val="es-GT"/>
        </w:rPr>
        <w:t>En los últimos años la región de las Américas ha registrado importantes flujos de migrantes y refugiados, que han puesto a prueba las capacidades de los países de tránsito y destino para recibir y atender a estas poblaciones. Entre los casos más importantes destacan los siguientes:</w:t>
      </w:r>
    </w:p>
    <w:p w:rsidR="006E1224" w:rsidRPr="006E1224" w:rsidRDefault="006E1224" w:rsidP="006E1224">
      <w:pPr>
        <w:spacing w:after="0" w:line="240" w:lineRule="auto"/>
        <w:jc w:val="both"/>
        <w:rPr>
          <w:rFonts w:ascii="Times New Roman" w:hAnsi="Times New Roman"/>
          <w:lang w:val="es-US"/>
        </w:rPr>
      </w:pPr>
    </w:p>
    <w:p w:rsidR="006E1224" w:rsidRDefault="006E1224" w:rsidP="006E1224">
      <w:pPr>
        <w:numPr>
          <w:ilvl w:val="0"/>
          <w:numId w:val="18"/>
        </w:numPr>
        <w:spacing w:after="0" w:line="240" w:lineRule="auto"/>
        <w:jc w:val="both"/>
        <w:rPr>
          <w:rFonts w:ascii="Times New Roman" w:hAnsi="Times New Roman"/>
          <w:lang w:val="es-GT"/>
        </w:rPr>
      </w:pPr>
      <w:r w:rsidRPr="006E1224">
        <w:rPr>
          <w:rFonts w:ascii="Times New Roman" w:hAnsi="Times New Roman"/>
          <w:lang w:val="es-GT"/>
        </w:rPr>
        <w:t>Los flujos masivos de migrantes y refugiados desde Venezuela.  Para diciembre de 2019, 4.8 millones de venezolanos habían salido de su país</w:t>
      </w:r>
      <w:r w:rsidRPr="006E1224">
        <w:rPr>
          <w:rFonts w:ascii="Times New Roman" w:hAnsi="Times New Roman"/>
          <w:vertAlign w:val="superscript"/>
          <w:lang w:val="es-GT"/>
        </w:rPr>
        <w:footnoteReference w:id="1"/>
      </w:r>
      <w:r w:rsidRPr="006E1224">
        <w:rPr>
          <w:rFonts w:ascii="Times New Roman" w:hAnsi="Times New Roman"/>
          <w:lang w:val="es-GT"/>
        </w:rPr>
        <w:t xml:space="preserve">, de los cuáles al menos el 80 por ciento se han asentado en los países de Sudamérica durante los últimos cuatro años. Por la intensidad y magnitud de los flujos de venezolanos en un periodo tan corto de tiempo esta situación representa la crisis más grande de migrantes y refugiados que haya enfrentado la región y una de las mayores crisis de desplazados a nivel mundial.  </w:t>
      </w:r>
    </w:p>
    <w:p w:rsidR="006E1224" w:rsidRPr="006E1224" w:rsidRDefault="006E1224" w:rsidP="006E1224">
      <w:pPr>
        <w:spacing w:after="0" w:line="240" w:lineRule="auto"/>
        <w:ind w:left="360"/>
        <w:jc w:val="both"/>
        <w:rPr>
          <w:rFonts w:ascii="Times New Roman" w:hAnsi="Times New Roman"/>
          <w:lang w:val="es-GT"/>
        </w:rPr>
      </w:pPr>
    </w:p>
    <w:p w:rsidR="006E1224" w:rsidRDefault="006E1224" w:rsidP="006E1224">
      <w:pPr>
        <w:numPr>
          <w:ilvl w:val="0"/>
          <w:numId w:val="18"/>
        </w:numPr>
        <w:spacing w:after="0" w:line="240" w:lineRule="auto"/>
        <w:jc w:val="both"/>
        <w:rPr>
          <w:rFonts w:ascii="Times New Roman" w:hAnsi="Times New Roman"/>
          <w:lang w:val="es-GT"/>
        </w:rPr>
      </w:pPr>
      <w:r w:rsidRPr="006E1224">
        <w:rPr>
          <w:rFonts w:ascii="Times New Roman" w:hAnsi="Times New Roman"/>
          <w:lang w:val="es-GT"/>
        </w:rPr>
        <w:t>Los migrantes y refugiados desde Nicaragua especialmente desde abril de 2018. Desde abril hasta septiembre de 2019 un total de 96,996 nicaragüenses habían salido de su país de los cuáles 76,781 llegaron a Costa Rica</w:t>
      </w:r>
      <w:r w:rsidRPr="006E1224">
        <w:rPr>
          <w:rFonts w:ascii="Times New Roman" w:hAnsi="Times New Roman"/>
          <w:vertAlign w:val="superscript"/>
          <w:lang w:val="es-GT"/>
        </w:rPr>
        <w:footnoteReference w:id="2"/>
      </w:r>
      <w:r w:rsidRPr="006E1224">
        <w:rPr>
          <w:rFonts w:ascii="Times New Roman" w:hAnsi="Times New Roman"/>
          <w:lang w:val="es-GT"/>
        </w:rPr>
        <w:t xml:space="preserve">. </w:t>
      </w:r>
    </w:p>
    <w:p w:rsidR="006E1224" w:rsidRPr="006E1224" w:rsidRDefault="006E1224" w:rsidP="006E1224">
      <w:pPr>
        <w:spacing w:after="0" w:line="240" w:lineRule="auto"/>
        <w:ind w:left="360"/>
        <w:jc w:val="both"/>
        <w:rPr>
          <w:rFonts w:ascii="Times New Roman" w:hAnsi="Times New Roman"/>
          <w:lang w:val="es-GT"/>
        </w:rPr>
      </w:pPr>
    </w:p>
    <w:p w:rsidR="006E1224" w:rsidRDefault="006E1224" w:rsidP="006E1224">
      <w:pPr>
        <w:numPr>
          <w:ilvl w:val="0"/>
          <w:numId w:val="18"/>
        </w:numPr>
        <w:spacing w:after="0" w:line="240" w:lineRule="auto"/>
        <w:jc w:val="both"/>
        <w:rPr>
          <w:rFonts w:ascii="Times New Roman" w:hAnsi="Times New Roman"/>
          <w:lang w:val="es-GT"/>
        </w:rPr>
      </w:pPr>
      <w:r w:rsidRPr="006E1224">
        <w:rPr>
          <w:rFonts w:ascii="Times New Roman" w:hAnsi="Times New Roman"/>
          <w:lang w:val="es-GT"/>
        </w:rPr>
        <w:t xml:space="preserve"> La migración, los desplazamientos, y los flujos de refugiados desde los países del Norte de Centroamérica incluidos El Salvador, Honduras y Guatemala. Según el Alto Comisionado de las Naciones Unidas para los Refugiados (ACNUR), para mediados de 2019, un total de 386,480 personas provenientes de esos países habían solicitado refugio en otras partes del mundo.</w:t>
      </w:r>
      <w:r w:rsidRPr="006E1224">
        <w:rPr>
          <w:rFonts w:ascii="Times New Roman" w:hAnsi="Times New Roman"/>
          <w:vertAlign w:val="superscript"/>
          <w:lang w:val="es-GT"/>
        </w:rPr>
        <w:footnoteReference w:id="3"/>
      </w:r>
      <w:r w:rsidRPr="006E1224">
        <w:rPr>
          <w:rFonts w:ascii="Times New Roman" w:hAnsi="Times New Roman"/>
          <w:lang w:val="es-GT"/>
        </w:rPr>
        <w:t xml:space="preserve"> Además los flujos de migrantes han venido creciendo en los últimos años lo que se refleja en el incremento en el número de detenciones realizadas por la Patrulla Fronteriza de </w:t>
      </w:r>
      <w:r w:rsidRPr="006E1224">
        <w:rPr>
          <w:rFonts w:ascii="Times New Roman" w:hAnsi="Times New Roman"/>
          <w:lang w:val="es-GT"/>
        </w:rPr>
        <w:lastRenderedPageBreak/>
        <w:t>Estados Unidos que a finales del año fiscal 2019 sumaron un total de 851,508 comparado con 396,579 al final del año fiscal 2018</w:t>
      </w:r>
      <w:r w:rsidRPr="006E1224">
        <w:rPr>
          <w:rFonts w:ascii="Times New Roman" w:hAnsi="Times New Roman"/>
          <w:vertAlign w:val="superscript"/>
          <w:lang w:val="es-GT"/>
        </w:rPr>
        <w:footnoteReference w:id="4"/>
      </w:r>
      <w:r w:rsidRPr="006E1224">
        <w:rPr>
          <w:rFonts w:ascii="Times New Roman" w:hAnsi="Times New Roman"/>
          <w:lang w:val="es-GT"/>
        </w:rPr>
        <w:t>. Más del 50 por ciento de las personas detenidas provienen del Norte de Centroamérica.</w:t>
      </w:r>
      <w:r w:rsidRPr="006E1224">
        <w:rPr>
          <w:rFonts w:ascii="Times New Roman" w:hAnsi="Times New Roman"/>
          <w:vertAlign w:val="superscript"/>
          <w:lang w:val="es-GT"/>
        </w:rPr>
        <w:footnoteReference w:id="5"/>
      </w:r>
      <w:r w:rsidRPr="006E1224">
        <w:rPr>
          <w:rFonts w:ascii="Times New Roman" w:hAnsi="Times New Roman"/>
          <w:lang w:val="es-GT"/>
        </w:rPr>
        <w:t xml:space="preserve">  </w:t>
      </w:r>
    </w:p>
    <w:p w:rsidR="006E1224" w:rsidRPr="006E1224" w:rsidRDefault="006E1224" w:rsidP="006E1224">
      <w:pPr>
        <w:spacing w:after="0" w:line="240" w:lineRule="auto"/>
        <w:ind w:left="360"/>
        <w:jc w:val="both"/>
        <w:rPr>
          <w:rFonts w:ascii="Times New Roman" w:hAnsi="Times New Roman"/>
          <w:lang w:val="es-GT"/>
        </w:rPr>
      </w:pPr>
    </w:p>
    <w:p w:rsidR="006E1224" w:rsidRDefault="006E1224" w:rsidP="006E1224">
      <w:pPr>
        <w:numPr>
          <w:ilvl w:val="0"/>
          <w:numId w:val="18"/>
        </w:numPr>
        <w:spacing w:after="0" w:line="240" w:lineRule="auto"/>
        <w:jc w:val="both"/>
        <w:rPr>
          <w:rFonts w:ascii="Times New Roman" w:hAnsi="Times New Roman"/>
          <w:lang w:val="es-GT"/>
        </w:rPr>
      </w:pPr>
      <w:r w:rsidRPr="006E1224">
        <w:rPr>
          <w:rFonts w:ascii="Times New Roman" w:hAnsi="Times New Roman"/>
          <w:lang w:val="es-GT"/>
        </w:rPr>
        <w:t xml:space="preserve">Los constantes flujos migratorios y los desplazamientos forzados de haitianos a otros países de la región por </w:t>
      </w:r>
      <w:r w:rsidR="006B2386" w:rsidRPr="006E1224">
        <w:rPr>
          <w:rFonts w:ascii="Times New Roman" w:hAnsi="Times New Roman"/>
          <w:lang w:val="es-GT"/>
        </w:rPr>
        <w:t>las distintas circunstancias</w:t>
      </w:r>
      <w:r w:rsidRPr="006E1224">
        <w:rPr>
          <w:rFonts w:ascii="Times New Roman" w:hAnsi="Times New Roman"/>
          <w:lang w:val="es-GT"/>
        </w:rPr>
        <w:t xml:space="preserve"> que ha atravesado su país en los últimos años. Más de dos millones de haitianos residen fuera de su país especialmente en República Dominicana, Estados Unidos, Canadá, Cuba, Bahamas, Brasil, Chile, Jamaica, México, y Turcos y Caicos.</w:t>
      </w:r>
      <w:r w:rsidRPr="006E1224">
        <w:rPr>
          <w:rFonts w:ascii="Times New Roman" w:hAnsi="Times New Roman"/>
          <w:vertAlign w:val="superscript"/>
          <w:lang w:val="es-GT"/>
        </w:rPr>
        <w:footnoteReference w:id="6"/>
      </w:r>
      <w:r w:rsidRPr="006E1224">
        <w:rPr>
          <w:rFonts w:ascii="Times New Roman" w:hAnsi="Times New Roman"/>
          <w:lang w:val="es-GT"/>
        </w:rPr>
        <w:t xml:space="preserve"> </w:t>
      </w:r>
    </w:p>
    <w:p w:rsidR="006E1224" w:rsidRPr="006E1224" w:rsidRDefault="006E1224" w:rsidP="006E1224">
      <w:pPr>
        <w:spacing w:after="0" w:line="240" w:lineRule="auto"/>
        <w:ind w:left="360"/>
        <w:jc w:val="both"/>
        <w:rPr>
          <w:rFonts w:ascii="Times New Roman" w:hAnsi="Times New Roman"/>
          <w:lang w:val="es-GT"/>
        </w:rPr>
      </w:pPr>
    </w:p>
    <w:p w:rsidR="006E1224" w:rsidRDefault="006E1224" w:rsidP="006E1224">
      <w:pPr>
        <w:spacing w:after="0" w:line="240" w:lineRule="auto"/>
        <w:ind w:left="720"/>
        <w:jc w:val="both"/>
        <w:rPr>
          <w:rFonts w:ascii="Times New Roman" w:hAnsi="Times New Roman"/>
          <w:lang w:val="es-GT"/>
        </w:rPr>
      </w:pPr>
      <w:r w:rsidRPr="006E1224">
        <w:rPr>
          <w:rFonts w:ascii="Times New Roman" w:hAnsi="Times New Roman"/>
          <w:lang w:val="es-GT"/>
        </w:rPr>
        <w:t xml:space="preserve">Entre los retos a los que han enfrentado los países de tránsito y destino como consecuencia de estos fenómenos destacan los siguientes: </w:t>
      </w:r>
    </w:p>
    <w:p w:rsidR="006E1224" w:rsidRPr="006E1224" w:rsidRDefault="006E1224" w:rsidP="006E1224">
      <w:pPr>
        <w:spacing w:after="0" w:line="240" w:lineRule="auto"/>
        <w:ind w:left="720"/>
        <w:jc w:val="both"/>
        <w:rPr>
          <w:rFonts w:ascii="Times New Roman" w:hAnsi="Times New Roman"/>
          <w:lang w:val="es-GT"/>
        </w:rPr>
      </w:pPr>
    </w:p>
    <w:p w:rsidR="006E1224" w:rsidRDefault="006E1224" w:rsidP="006E1224">
      <w:pPr>
        <w:numPr>
          <w:ilvl w:val="0"/>
          <w:numId w:val="20"/>
        </w:numPr>
        <w:spacing w:after="0" w:line="240" w:lineRule="auto"/>
        <w:jc w:val="both"/>
        <w:rPr>
          <w:rFonts w:ascii="Times New Roman" w:hAnsi="Times New Roman"/>
          <w:lang w:val="es-GT"/>
        </w:rPr>
      </w:pPr>
      <w:r w:rsidRPr="006E1224">
        <w:rPr>
          <w:rFonts w:ascii="Times New Roman" w:hAnsi="Times New Roman"/>
          <w:lang w:val="es-GT"/>
        </w:rPr>
        <w:t xml:space="preserve">La necesidad de proveer ayuda humanitaria adecuada a las poblaciones de migrantes y refugiados que transitan o se asientan en su territorio en conjunto con otros actores de la sociedad civil y los actores de la comunidad internacional. Esto incluye, acceso a servicios médicos de emergencia, asistencia alimentaria, acceso a vivienda y refugio, acceso a protección e información legal, protección y asistencia a personas víctimas de situaciones de violencia y de trata, entre otras cosas. </w:t>
      </w:r>
    </w:p>
    <w:p w:rsidR="00647FC3" w:rsidRPr="006E1224" w:rsidRDefault="00647FC3" w:rsidP="00647FC3">
      <w:pPr>
        <w:spacing w:after="0" w:line="240" w:lineRule="auto"/>
        <w:ind w:left="1440"/>
        <w:jc w:val="both"/>
        <w:rPr>
          <w:rFonts w:ascii="Times New Roman" w:hAnsi="Times New Roman"/>
          <w:lang w:val="es-GT"/>
        </w:rPr>
      </w:pPr>
    </w:p>
    <w:p w:rsidR="006E1224" w:rsidRDefault="006E1224" w:rsidP="006E1224">
      <w:pPr>
        <w:numPr>
          <w:ilvl w:val="0"/>
          <w:numId w:val="18"/>
        </w:numPr>
        <w:spacing w:after="0" w:line="240" w:lineRule="auto"/>
        <w:jc w:val="both"/>
        <w:rPr>
          <w:rFonts w:ascii="Times New Roman" w:hAnsi="Times New Roman"/>
          <w:lang w:val="es-GT"/>
        </w:rPr>
      </w:pPr>
      <w:r w:rsidRPr="006E1224">
        <w:rPr>
          <w:rFonts w:ascii="Times New Roman" w:hAnsi="Times New Roman"/>
          <w:lang w:val="es-GT"/>
        </w:rPr>
        <w:t xml:space="preserve">La necesidad de facilitar la integración socioeconómica de las poblaciones que arriban a su país evitando a su vez el aumento de la discriminación, el racismo, la xenofobia, y las condiciones de inestabilidad social e inseguridad pública.  </w:t>
      </w:r>
    </w:p>
    <w:p w:rsidR="006E1224" w:rsidRPr="006E1224" w:rsidRDefault="006E1224" w:rsidP="006E1224">
      <w:pPr>
        <w:spacing w:after="0" w:line="240" w:lineRule="auto"/>
        <w:ind w:left="360"/>
        <w:jc w:val="both"/>
        <w:rPr>
          <w:rFonts w:ascii="Times New Roman" w:hAnsi="Times New Roman"/>
          <w:lang w:val="es-GT"/>
        </w:rPr>
      </w:pPr>
    </w:p>
    <w:p w:rsidR="006E1224" w:rsidRDefault="006E1224" w:rsidP="006E1224">
      <w:pPr>
        <w:spacing w:after="0" w:line="240" w:lineRule="auto"/>
        <w:jc w:val="both"/>
        <w:rPr>
          <w:rFonts w:ascii="Times New Roman" w:hAnsi="Times New Roman"/>
          <w:lang w:val="es-GT"/>
        </w:rPr>
      </w:pPr>
      <w:r w:rsidRPr="006E1224">
        <w:rPr>
          <w:rFonts w:ascii="Times New Roman" w:hAnsi="Times New Roman"/>
          <w:lang w:val="es-GT"/>
        </w:rPr>
        <w:tab/>
        <w:t xml:space="preserve">Para poder hacer frente a estos grandes retos, los países de la región han tomado diversas medidas incluyendo: cambios y reformas institucionales a nivel nacional y subnacional para modernizar los sistemas de asistencia y atención a las poblaciones migrantes así como de recolección de datos; nuevas modalidades legales para facilitar la regularización de migrantes incluyendo permisos especiales de permanencia y otros; cambios en sus sistemas de solicitud de asilo y de refugio para agilizarlos y hacerlos más eficientes; creación de nuevos espacios de diálogo con </w:t>
      </w:r>
      <w:r w:rsidRPr="006E1224">
        <w:rPr>
          <w:rFonts w:ascii="Times New Roman" w:hAnsi="Times New Roman"/>
          <w:lang w:val="es-GT"/>
        </w:rPr>
        <w:lastRenderedPageBreak/>
        <w:t>organizaciones de la sociedad civil, el sector privado y los diferentes actores del estado con la intención de facilitar la inclusión económica y social de migrantes y refugiados; capacitación de autoridades en los distintos niveles de gobierno para atender mejor a poblaciones migrantes y evitar la discriminación, el racismo y la xenofobia; y la creación de nuevos espacios de coordinación y de diálogos a nivel nacional, subregional y regional para dar una respuesta más adecuada a las crisis de migrantes y refugiados que enfrentan.</w:t>
      </w:r>
    </w:p>
    <w:p w:rsidR="006E1224" w:rsidRPr="006E1224" w:rsidRDefault="006E1224" w:rsidP="006E1224">
      <w:pPr>
        <w:spacing w:after="0" w:line="240" w:lineRule="auto"/>
        <w:jc w:val="both"/>
        <w:rPr>
          <w:rFonts w:ascii="Times New Roman" w:hAnsi="Times New Roman"/>
          <w:lang w:val="es-GT"/>
        </w:rPr>
      </w:pPr>
    </w:p>
    <w:p w:rsidR="006E1224" w:rsidRDefault="006E1224" w:rsidP="006E1224">
      <w:pPr>
        <w:spacing w:after="0" w:line="240" w:lineRule="auto"/>
        <w:jc w:val="both"/>
        <w:rPr>
          <w:rFonts w:ascii="Times New Roman" w:hAnsi="Times New Roman"/>
          <w:lang w:val="es-GT"/>
        </w:rPr>
      </w:pPr>
      <w:r w:rsidRPr="006E1224">
        <w:rPr>
          <w:rFonts w:ascii="Times New Roman" w:hAnsi="Times New Roman"/>
          <w:lang w:val="es-GT"/>
        </w:rPr>
        <w:tab/>
        <w:t>Considerando todas las medidas que han adoptado hasta la fecha, los países de la región han optado por soluciones creativas dentro de la crisis</w:t>
      </w:r>
      <w:r w:rsidRPr="006E1224">
        <w:rPr>
          <w:rFonts w:ascii="Times New Roman" w:hAnsi="Times New Roman"/>
          <w:vertAlign w:val="superscript"/>
          <w:lang w:val="es-GT"/>
        </w:rPr>
        <w:footnoteReference w:id="7"/>
      </w:r>
      <w:r w:rsidRPr="006E1224">
        <w:rPr>
          <w:rFonts w:ascii="Times New Roman" w:hAnsi="Times New Roman"/>
          <w:lang w:val="es-GT"/>
        </w:rPr>
        <w:t>. Sin embargo, conforme los flujos continúan siguen incrementándose los retos lo que supera los recursos financieros y las capacidades institucionales que tienen.  Para que los esfuerzos que han hecho puedan continuarse en el tiempo los países que se han visto más impactados requiere del apoyo de instituciones y donantes internacionales que, a su vez, están sobre-extendidos en la atención de las diferentes crisis que se enfrentan a escala mundial</w:t>
      </w:r>
      <w:r w:rsidRPr="006E1224">
        <w:rPr>
          <w:rFonts w:ascii="Times New Roman" w:hAnsi="Times New Roman"/>
          <w:vertAlign w:val="superscript"/>
          <w:lang w:val="es-GT"/>
        </w:rPr>
        <w:footnoteReference w:id="8"/>
      </w:r>
      <w:r w:rsidRPr="006E1224">
        <w:rPr>
          <w:rFonts w:ascii="Times New Roman" w:hAnsi="Times New Roman"/>
          <w:lang w:val="es-GT"/>
        </w:rPr>
        <w:t xml:space="preserve">.  </w:t>
      </w:r>
    </w:p>
    <w:p w:rsidR="006E1224" w:rsidRPr="006E1224" w:rsidRDefault="006E1224" w:rsidP="006E1224">
      <w:pPr>
        <w:spacing w:after="0" w:line="240" w:lineRule="auto"/>
        <w:jc w:val="both"/>
        <w:rPr>
          <w:rFonts w:ascii="Times New Roman" w:hAnsi="Times New Roman"/>
          <w:lang w:val="es-GT"/>
        </w:rPr>
      </w:pPr>
    </w:p>
    <w:p w:rsidR="006E1224" w:rsidRDefault="006E1224" w:rsidP="006E1224">
      <w:pPr>
        <w:spacing w:after="0" w:line="240" w:lineRule="auto"/>
        <w:jc w:val="both"/>
        <w:rPr>
          <w:rFonts w:ascii="Times New Roman" w:hAnsi="Times New Roman"/>
          <w:b/>
          <w:lang w:val="es-GT"/>
        </w:rPr>
      </w:pPr>
      <w:r w:rsidRPr="006E1224">
        <w:rPr>
          <w:rFonts w:ascii="Times New Roman" w:hAnsi="Times New Roman"/>
          <w:b/>
          <w:lang w:val="es-GT"/>
        </w:rPr>
        <w:t xml:space="preserve">El apoyo de la comunidad internacional: esfuerzos sin precedentes en la región </w:t>
      </w:r>
    </w:p>
    <w:p w:rsidR="006E1224" w:rsidRPr="006E1224" w:rsidRDefault="006E1224" w:rsidP="006E1224">
      <w:pPr>
        <w:spacing w:after="0" w:line="240" w:lineRule="auto"/>
        <w:jc w:val="both"/>
        <w:rPr>
          <w:rFonts w:ascii="Times New Roman" w:hAnsi="Times New Roman"/>
          <w:b/>
          <w:lang w:val="es-GT"/>
        </w:rPr>
      </w:pPr>
    </w:p>
    <w:p w:rsidR="006E1224" w:rsidRDefault="006E1224" w:rsidP="006E1224">
      <w:pPr>
        <w:spacing w:after="0" w:line="240" w:lineRule="auto"/>
        <w:jc w:val="both"/>
        <w:rPr>
          <w:rFonts w:ascii="Times New Roman" w:hAnsi="Times New Roman"/>
          <w:lang w:val="es-GT"/>
        </w:rPr>
      </w:pPr>
      <w:r w:rsidRPr="006E1224">
        <w:rPr>
          <w:rFonts w:ascii="Times New Roman" w:hAnsi="Times New Roman"/>
          <w:lang w:val="es-GT"/>
        </w:rPr>
        <w:tab/>
        <w:t>A pesar de que algunos análisis han señalado que los países de la región no han recibido los mismos recursos que los que se proveen en otras regiones del mundo para hacer frente a las crisis humanitarias que enfrentan como consecuencias de los aumentos sin precedentes de los flujos de migrantes y refugiados,</w:t>
      </w:r>
      <w:r w:rsidRPr="006E1224">
        <w:rPr>
          <w:rFonts w:ascii="Times New Roman" w:hAnsi="Times New Roman"/>
          <w:vertAlign w:val="superscript"/>
          <w:lang w:val="es-GT"/>
        </w:rPr>
        <w:footnoteReference w:id="9"/>
      </w:r>
      <w:r w:rsidRPr="006E1224">
        <w:rPr>
          <w:rFonts w:ascii="Times New Roman" w:hAnsi="Times New Roman"/>
          <w:lang w:val="es-GT"/>
        </w:rPr>
        <w:t xml:space="preserve">  aun así la comunidad internacional ha emprendido importantes esfuerzos para canalizar recursos financieros, materiales y humanos para apoyar a los gobiernos de la región. Los casos son muchos. Sin ser exhaustivos a continuación se presentan algunos ejemplos:</w:t>
      </w:r>
    </w:p>
    <w:p w:rsidR="006E1224" w:rsidRPr="006E1224" w:rsidRDefault="006E1224" w:rsidP="006E1224">
      <w:pPr>
        <w:spacing w:after="0" w:line="240" w:lineRule="auto"/>
        <w:jc w:val="both"/>
        <w:rPr>
          <w:rFonts w:ascii="Times New Roman" w:hAnsi="Times New Roman"/>
          <w:lang w:val="es-GT"/>
        </w:rPr>
      </w:pPr>
    </w:p>
    <w:p w:rsidR="006E1224" w:rsidRDefault="006E1224" w:rsidP="006E1224">
      <w:pPr>
        <w:numPr>
          <w:ilvl w:val="0"/>
          <w:numId w:val="21"/>
        </w:numPr>
        <w:spacing w:after="0" w:line="240" w:lineRule="auto"/>
        <w:jc w:val="both"/>
        <w:rPr>
          <w:rFonts w:ascii="Times New Roman" w:hAnsi="Times New Roman"/>
          <w:lang w:val="es-GT"/>
        </w:rPr>
      </w:pPr>
      <w:r w:rsidRPr="006E1224">
        <w:rPr>
          <w:rFonts w:ascii="Times New Roman" w:hAnsi="Times New Roman"/>
          <w:b/>
          <w:lang w:val="es-GT"/>
        </w:rPr>
        <w:t>Agencias de la Organización de las Naciones Unidas (ONU)</w:t>
      </w:r>
      <w:r w:rsidRPr="006E1224">
        <w:rPr>
          <w:rFonts w:ascii="Times New Roman" w:hAnsi="Times New Roman"/>
          <w:lang w:val="es-GT"/>
        </w:rPr>
        <w:t xml:space="preserve">. Para hacer frente de la forma más efectiva posible a los retos generados por la crisis generada por los grandes flujos de migrantes y refugiados venezolanos, el 12 de abril de 2018 la ONU creó la Plataforma Regional de Coordinación Interagencial. Esta plataforma está integrada por 17 agencias de la ONU lideradas por la Organización Internacional de las Migraciones (OIM) y el Alto Comisionado de las Naciones Unidas para los Refugiados (ACNUR). Además participan 15 organizaciones de la sociedad civil, cinco donantes, dos instituciones financieras internacionales y el Comité de la Cruz </w:t>
      </w:r>
      <w:r w:rsidRPr="006E1224">
        <w:rPr>
          <w:rFonts w:ascii="Times New Roman" w:hAnsi="Times New Roman"/>
          <w:lang w:val="es-GT"/>
        </w:rPr>
        <w:lastRenderedPageBreak/>
        <w:t>Roja Internacional (CCRI).</w:t>
      </w:r>
      <w:r w:rsidRPr="006E1224">
        <w:rPr>
          <w:rFonts w:ascii="Times New Roman" w:hAnsi="Times New Roman"/>
          <w:vertAlign w:val="superscript"/>
          <w:lang w:val="es-GT"/>
        </w:rPr>
        <w:footnoteReference w:id="10"/>
      </w:r>
      <w:r w:rsidRPr="006E1224">
        <w:rPr>
          <w:rFonts w:ascii="Times New Roman" w:hAnsi="Times New Roman"/>
          <w:lang w:val="es-GT"/>
        </w:rPr>
        <w:t xml:space="preserve"> Más aun, la plataforma se ha ido replicando en cada país lo que significa que al menos 170 actores colaboran a través de distintos grupos de trabajo en esta respuesta regional. Sólo entre enero y diciembre de 2019 un total de 738 millones de dólares fueron solicitados a través de esta plataforma por Colombia (315.5 millones de dólares), Ecuador (117.3 millones de dólares), Perú (106 millones de dólares), Brasil (56.6 millones de dólares) el Cono Sur en su conjunto (35.7 millones de dólares, la región del Caribe (34.8 millones de dólares), Centroamérica y México (21.7 millones de dólares) y para iniciativas regionales (49.7 millones de dólares).</w:t>
      </w:r>
      <w:r w:rsidRPr="006E1224">
        <w:rPr>
          <w:rFonts w:ascii="Times New Roman" w:hAnsi="Times New Roman"/>
          <w:vertAlign w:val="superscript"/>
          <w:lang w:val="es-GT"/>
        </w:rPr>
        <w:footnoteReference w:id="11"/>
      </w:r>
      <w:r w:rsidRPr="006E1224">
        <w:rPr>
          <w:rFonts w:ascii="Times New Roman" w:hAnsi="Times New Roman"/>
          <w:lang w:val="es-GT"/>
        </w:rPr>
        <w:t xml:space="preserve">   </w:t>
      </w:r>
    </w:p>
    <w:p w:rsidR="006E1224" w:rsidRPr="006E1224" w:rsidRDefault="006E1224" w:rsidP="006E1224">
      <w:pPr>
        <w:spacing w:after="0" w:line="240" w:lineRule="auto"/>
        <w:ind w:left="1080"/>
        <w:jc w:val="both"/>
        <w:rPr>
          <w:rFonts w:ascii="Times New Roman" w:hAnsi="Times New Roman"/>
          <w:lang w:val="es-GT"/>
        </w:rPr>
      </w:pPr>
    </w:p>
    <w:p w:rsidR="006E1224" w:rsidRDefault="006E1224" w:rsidP="006E1224">
      <w:pPr>
        <w:spacing w:after="0" w:line="240" w:lineRule="auto"/>
        <w:ind w:left="1440"/>
        <w:jc w:val="both"/>
        <w:rPr>
          <w:rFonts w:ascii="Times New Roman" w:hAnsi="Times New Roman"/>
          <w:lang w:val="es-GT"/>
        </w:rPr>
      </w:pPr>
      <w:r w:rsidRPr="006E1224">
        <w:rPr>
          <w:rFonts w:ascii="Times New Roman" w:hAnsi="Times New Roman"/>
          <w:lang w:val="es-GT"/>
        </w:rPr>
        <w:t>Las contribuciones a través de esta plataforma provienen de países de todo el mundo, muchos de ellos por parte de donantes privados y se asignan a las distintas agencias y organizaciones participantes</w:t>
      </w:r>
      <w:r w:rsidRPr="006E1224">
        <w:rPr>
          <w:rFonts w:ascii="Times New Roman" w:hAnsi="Times New Roman"/>
          <w:vertAlign w:val="superscript"/>
          <w:lang w:val="es-GT"/>
        </w:rPr>
        <w:footnoteReference w:id="12"/>
      </w:r>
      <w:r w:rsidRPr="006E1224">
        <w:rPr>
          <w:rFonts w:ascii="Times New Roman" w:hAnsi="Times New Roman"/>
          <w:lang w:val="es-GT"/>
        </w:rPr>
        <w:t xml:space="preserve">.  Entre los temas a los que se dirigen los fondos destacan la ayuda a emergencias directa, protección, integración socioeconómica y cultural de los migrantes y refugiados, el fortalecimiento de la capacidad de respuesta de los gobiernos de acogida y actividades regionales. </w:t>
      </w:r>
    </w:p>
    <w:p w:rsidR="006E1224" w:rsidRPr="006E1224" w:rsidRDefault="006E1224" w:rsidP="006E1224">
      <w:pPr>
        <w:spacing w:after="0" w:line="240" w:lineRule="auto"/>
        <w:ind w:left="1080"/>
        <w:jc w:val="both"/>
        <w:rPr>
          <w:rFonts w:ascii="Times New Roman" w:hAnsi="Times New Roman"/>
          <w:lang w:val="es-GT"/>
        </w:rPr>
      </w:pPr>
    </w:p>
    <w:p w:rsidR="006E1224" w:rsidRPr="006E1224" w:rsidRDefault="006E1224" w:rsidP="006E1224">
      <w:pPr>
        <w:numPr>
          <w:ilvl w:val="0"/>
          <w:numId w:val="21"/>
        </w:numPr>
        <w:spacing w:after="0" w:line="240" w:lineRule="auto"/>
        <w:jc w:val="both"/>
        <w:rPr>
          <w:rFonts w:ascii="Times New Roman" w:hAnsi="Times New Roman"/>
          <w:b/>
          <w:lang w:val="es-GT"/>
        </w:rPr>
      </w:pPr>
      <w:r w:rsidRPr="006E1224">
        <w:rPr>
          <w:rFonts w:ascii="Times New Roman" w:hAnsi="Times New Roman"/>
          <w:b/>
          <w:lang w:val="es-GT"/>
        </w:rPr>
        <w:t xml:space="preserve">Banco Mundial. </w:t>
      </w:r>
      <w:r w:rsidRPr="006E1224">
        <w:rPr>
          <w:rFonts w:ascii="Times New Roman" w:hAnsi="Times New Roman"/>
          <w:lang w:val="es-GT"/>
        </w:rPr>
        <w:t xml:space="preserve">Desde el 2016, el Banco Mundial creó el fondo conocido como </w:t>
      </w:r>
      <w:r w:rsidRPr="006E1224">
        <w:rPr>
          <w:rFonts w:ascii="Times New Roman" w:hAnsi="Times New Roman"/>
          <w:i/>
          <w:lang w:val="es-GT"/>
        </w:rPr>
        <w:t>Global Concessional Financing Facility</w:t>
      </w:r>
      <w:r w:rsidRPr="006E1224">
        <w:rPr>
          <w:rFonts w:ascii="Times New Roman" w:hAnsi="Times New Roman"/>
          <w:lang w:val="es-GT"/>
        </w:rPr>
        <w:t xml:space="preserve"> (GCFF) o Facilidad de Financiamiento Concesional Global, en conjunto con las Naciones Unidas y el Banco de Desarrollo Islámico para apoyar a países de ingreso medio que se han visto ampliamente impactados como países de acogida por de flujos masivos de migrantes y refugiados provenientes de otros países. La intención de este fondo es permitir a estos países tener el acceso a créditos concesionales que normalmente están reservados para países de ingresos bajos. En particular el fondo ha beneficiado a Jordania y Líbano que han recibido un considerable volumen de refugiados desde Siria. No obstante, en enero de 2019 Colombia que ha estado especialmente impactado por la llegada de grandes flujos de migrantes y refugiados provenientes de Venezuela fue adicionado como un país que puede beneficiarse del fondo, al tiempo que Ecuador también ha hecho una solicitud para sumarse</w:t>
      </w:r>
      <w:r w:rsidRPr="006E1224">
        <w:rPr>
          <w:rFonts w:ascii="Times New Roman" w:hAnsi="Times New Roman"/>
          <w:vertAlign w:val="superscript"/>
          <w:lang w:val="es-GT"/>
        </w:rPr>
        <w:footnoteReference w:id="13"/>
      </w:r>
      <w:r w:rsidRPr="006E1224">
        <w:rPr>
          <w:rFonts w:ascii="Times New Roman" w:hAnsi="Times New Roman"/>
          <w:lang w:val="es-GT"/>
        </w:rPr>
        <w:t>. Los recursos del fondo provienen de países donantes como Canadá, Dinamarca, Alemania, Japón, Holanda, Noruega, Suecia, Reino Unido, Estados Unidos y la Comisión Europea.</w:t>
      </w:r>
      <w:r w:rsidRPr="006E1224">
        <w:rPr>
          <w:rFonts w:ascii="Times New Roman" w:hAnsi="Times New Roman"/>
          <w:vertAlign w:val="superscript"/>
          <w:lang w:val="es-GT"/>
        </w:rPr>
        <w:footnoteReference w:id="14"/>
      </w:r>
      <w:r w:rsidRPr="006E1224">
        <w:rPr>
          <w:rFonts w:ascii="Times New Roman" w:hAnsi="Times New Roman"/>
          <w:lang w:val="es-GT"/>
        </w:rPr>
        <w:t xml:space="preserve"> </w:t>
      </w:r>
    </w:p>
    <w:p w:rsidR="006E1224" w:rsidRPr="006E1224" w:rsidRDefault="006E1224" w:rsidP="006E1224">
      <w:pPr>
        <w:spacing w:after="0" w:line="240" w:lineRule="auto"/>
        <w:ind w:left="720"/>
        <w:jc w:val="both"/>
        <w:rPr>
          <w:rFonts w:ascii="Times New Roman" w:hAnsi="Times New Roman"/>
          <w:b/>
          <w:lang w:val="es-GT"/>
        </w:rPr>
      </w:pPr>
    </w:p>
    <w:p w:rsidR="006E1224" w:rsidRDefault="006E1224" w:rsidP="006E1224">
      <w:pPr>
        <w:spacing w:after="0" w:line="240" w:lineRule="auto"/>
        <w:ind w:left="1440"/>
        <w:jc w:val="both"/>
        <w:rPr>
          <w:rFonts w:ascii="Times New Roman" w:hAnsi="Times New Roman"/>
          <w:lang w:val="es-GT"/>
        </w:rPr>
      </w:pPr>
      <w:r w:rsidRPr="006E1224">
        <w:rPr>
          <w:rFonts w:ascii="Times New Roman" w:hAnsi="Times New Roman"/>
          <w:lang w:val="es-GT"/>
        </w:rPr>
        <w:t xml:space="preserve">El primer financiamiento que ha recibido el gobierno de Colombia a través del GCFF incluye un crédito de 31.5 millones de dólares para un proyecto que requiere de 750 </w:t>
      </w:r>
      <w:r w:rsidRPr="006E1224">
        <w:rPr>
          <w:rFonts w:ascii="Times New Roman" w:hAnsi="Times New Roman"/>
          <w:lang w:val="es-GT"/>
        </w:rPr>
        <w:lastRenderedPageBreak/>
        <w:t>millones de dólares titulado Segunda Sostenibilidad Fiscal, Competitividad y Desarrollo a través de la Migración.</w:t>
      </w:r>
      <w:r w:rsidRPr="006E1224">
        <w:rPr>
          <w:rFonts w:ascii="Times New Roman" w:hAnsi="Times New Roman"/>
          <w:vertAlign w:val="superscript"/>
          <w:lang w:val="es-GT"/>
        </w:rPr>
        <w:footnoteReference w:id="15"/>
      </w:r>
      <w:r w:rsidRPr="006E1224">
        <w:rPr>
          <w:rFonts w:ascii="Times New Roman" w:hAnsi="Times New Roman"/>
          <w:lang w:val="es-GT"/>
        </w:rPr>
        <w:t xml:space="preserve"> Los recursos serán utilizados para el registro de inmigrantes, sensibilización de las comunidades de acogida para fomentar la integración de migrantes y refugiados, provisión de servicios básicos para esta población y fortalecimiento de la capacidad del Estado para responder a los flujos de migrantes y de refugiados a través de reformas legales, decretos, regulaciones y otras medidas institucionales.</w:t>
      </w:r>
      <w:r w:rsidRPr="006E1224">
        <w:rPr>
          <w:rFonts w:ascii="Times New Roman" w:hAnsi="Times New Roman"/>
          <w:vertAlign w:val="superscript"/>
          <w:lang w:val="es-GT"/>
        </w:rPr>
        <w:footnoteReference w:id="16"/>
      </w:r>
    </w:p>
    <w:p w:rsidR="006E1224" w:rsidRPr="006E1224" w:rsidRDefault="006E1224" w:rsidP="006E1224">
      <w:pPr>
        <w:spacing w:after="0" w:line="240" w:lineRule="auto"/>
        <w:ind w:left="1080"/>
        <w:jc w:val="both"/>
        <w:rPr>
          <w:rFonts w:ascii="Times New Roman" w:hAnsi="Times New Roman"/>
          <w:b/>
          <w:lang w:val="es-GT"/>
        </w:rPr>
      </w:pPr>
    </w:p>
    <w:p w:rsidR="006E1224" w:rsidRPr="006E1224" w:rsidRDefault="006E1224" w:rsidP="006E1224">
      <w:pPr>
        <w:numPr>
          <w:ilvl w:val="0"/>
          <w:numId w:val="21"/>
        </w:numPr>
        <w:spacing w:after="0" w:line="240" w:lineRule="auto"/>
        <w:jc w:val="both"/>
        <w:rPr>
          <w:rFonts w:ascii="Times New Roman" w:hAnsi="Times New Roman"/>
          <w:b/>
          <w:lang w:val="es-GT"/>
        </w:rPr>
      </w:pPr>
      <w:r w:rsidRPr="006E1224">
        <w:rPr>
          <w:rFonts w:ascii="Times New Roman" w:hAnsi="Times New Roman"/>
          <w:b/>
          <w:lang w:val="es-GT"/>
        </w:rPr>
        <w:t xml:space="preserve">Banco Inter-americano de Desarrollo (BID). </w:t>
      </w:r>
      <w:r w:rsidRPr="006E1224">
        <w:rPr>
          <w:rFonts w:ascii="Times New Roman" w:hAnsi="Times New Roman"/>
          <w:lang w:val="es-GT"/>
        </w:rPr>
        <w:t>Al igual que el Banco Mundial, la Junta de Gobierno del BID aprobó en el 2019 que su plataforma de crédito para situaciones especiales sea utilizada para facilitar la integración de migrantes en sus comunidades de acogida en toda la región de América Latina. A través de su plataforma el Banco proveerá 100 millones de dólares además de préstamos adicionales que podrán proveerse vía los recursos que ofrezcan distintos donantes internacionales. Los créditos que proveerá el BID se dedicarán a apoyar a los gobiernos nacionales y locales a poner en práctica programas de desarrollo que faciliten la integración económica y social de migrantes y refugiados.</w:t>
      </w:r>
      <w:r w:rsidRPr="006E1224">
        <w:rPr>
          <w:rFonts w:ascii="Times New Roman" w:hAnsi="Times New Roman"/>
          <w:vertAlign w:val="superscript"/>
          <w:lang w:val="es-GT"/>
        </w:rPr>
        <w:footnoteReference w:id="17"/>
      </w:r>
      <w:r w:rsidRPr="006E1224">
        <w:rPr>
          <w:rFonts w:ascii="Times New Roman" w:hAnsi="Times New Roman"/>
          <w:lang w:val="es-GT"/>
        </w:rPr>
        <w:t xml:space="preserve">  </w:t>
      </w:r>
    </w:p>
    <w:p w:rsidR="006E1224" w:rsidRPr="006E1224" w:rsidRDefault="006E1224" w:rsidP="006E1224">
      <w:pPr>
        <w:spacing w:after="0" w:line="240" w:lineRule="auto"/>
        <w:ind w:left="1080"/>
        <w:jc w:val="both"/>
        <w:rPr>
          <w:rFonts w:ascii="Times New Roman" w:hAnsi="Times New Roman"/>
          <w:b/>
          <w:lang w:val="es-GT"/>
        </w:rPr>
      </w:pPr>
    </w:p>
    <w:p w:rsidR="006E1224" w:rsidRDefault="006E1224" w:rsidP="006E1224">
      <w:pPr>
        <w:spacing w:after="0" w:line="240" w:lineRule="auto"/>
        <w:ind w:left="1440"/>
        <w:jc w:val="both"/>
        <w:rPr>
          <w:rFonts w:ascii="Times New Roman" w:hAnsi="Times New Roman"/>
          <w:lang w:val="es-GT"/>
        </w:rPr>
      </w:pPr>
      <w:r w:rsidRPr="006E1224">
        <w:rPr>
          <w:rFonts w:ascii="Times New Roman" w:hAnsi="Times New Roman"/>
          <w:lang w:val="es-GT"/>
        </w:rPr>
        <w:t>Tras poner en práctica esta iniciativa el gobierno de España anunció que dará al BID cinco millones de dólares para apoyar proyectos dirigidos por esta institución orientados al registro y documentación de migrantes, acceso a servicios básicos de calidad, incluyendo agua, saneamiento, y administración de basura sólida, educación, salud, y otras actividades sociales. También se destinarán a la creación de oportunidades económicas y de empleo y al fortalecimiento de la capacidad de los gobiernos en la implementación de políticas públicas efectivas para la migración y la inclusión social.</w:t>
      </w:r>
      <w:r w:rsidRPr="006E1224">
        <w:rPr>
          <w:rFonts w:ascii="Times New Roman" w:hAnsi="Times New Roman"/>
          <w:vertAlign w:val="superscript"/>
          <w:lang w:val="es-GT"/>
        </w:rPr>
        <w:footnoteReference w:id="18"/>
      </w:r>
      <w:r w:rsidRPr="006E1224">
        <w:rPr>
          <w:rFonts w:ascii="Times New Roman" w:hAnsi="Times New Roman"/>
          <w:lang w:val="es-GT"/>
        </w:rPr>
        <w:t xml:space="preserve"> </w:t>
      </w:r>
    </w:p>
    <w:p w:rsidR="006E1224" w:rsidRPr="006E1224" w:rsidRDefault="006E1224" w:rsidP="006E1224">
      <w:pPr>
        <w:spacing w:after="0" w:line="240" w:lineRule="auto"/>
        <w:ind w:left="1440"/>
        <w:jc w:val="both"/>
        <w:rPr>
          <w:rFonts w:ascii="Times New Roman" w:hAnsi="Times New Roman"/>
          <w:b/>
          <w:lang w:val="es-GT"/>
        </w:rPr>
      </w:pPr>
    </w:p>
    <w:p w:rsidR="006E1224" w:rsidRDefault="006E1224" w:rsidP="006E1224">
      <w:pPr>
        <w:numPr>
          <w:ilvl w:val="0"/>
          <w:numId w:val="21"/>
        </w:numPr>
        <w:spacing w:after="0" w:line="240" w:lineRule="auto"/>
        <w:jc w:val="both"/>
        <w:rPr>
          <w:rFonts w:ascii="Times New Roman" w:hAnsi="Times New Roman"/>
          <w:lang w:val="es-GT"/>
        </w:rPr>
      </w:pPr>
      <w:r w:rsidRPr="006E1224">
        <w:rPr>
          <w:rFonts w:ascii="Times New Roman" w:hAnsi="Times New Roman"/>
          <w:b/>
          <w:lang w:val="es-GT"/>
        </w:rPr>
        <w:t>Unión Europea</w:t>
      </w:r>
      <w:r w:rsidRPr="006E1224">
        <w:rPr>
          <w:rFonts w:ascii="Times New Roman" w:hAnsi="Times New Roman"/>
          <w:lang w:val="es-GT"/>
        </w:rPr>
        <w:t>. Para dar una respuesta a la crisis humanitaria generada por el creciente número de migrantes y refugiados que salen de Venezuela, la Unión Europea ha donado 170 millones de Euros</w:t>
      </w:r>
      <w:r w:rsidRPr="006E1224">
        <w:rPr>
          <w:rFonts w:ascii="Times New Roman" w:hAnsi="Times New Roman"/>
          <w:vertAlign w:val="superscript"/>
          <w:lang w:val="es-GT"/>
        </w:rPr>
        <w:footnoteReference w:id="19"/>
      </w:r>
      <w:r w:rsidRPr="006E1224">
        <w:rPr>
          <w:rFonts w:ascii="Times New Roman" w:hAnsi="Times New Roman"/>
          <w:lang w:val="es-GT"/>
        </w:rPr>
        <w:t xml:space="preserve">. </w:t>
      </w:r>
    </w:p>
    <w:p w:rsidR="006E1224" w:rsidRPr="006E1224" w:rsidRDefault="006E1224" w:rsidP="006E1224">
      <w:pPr>
        <w:spacing w:after="0" w:line="240" w:lineRule="auto"/>
        <w:ind w:left="1080"/>
        <w:jc w:val="both"/>
        <w:rPr>
          <w:rFonts w:ascii="Times New Roman" w:hAnsi="Times New Roman"/>
          <w:lang w:val="es-GT"/>
        </w:rPr>
      </w:pPr>
    </w:p>
    <w:p w:rsidR="006E1224" w:rsidRDefault="006E1224" w:rsidP="006E1224">
      <w:pPr>
        <w:spacing w:after="0" w:line="240" w:lineRule="auto"/>
        <w:ind w:left="1440"/>
        <w:jc w:val="both"/>
        <w:rPr>
          <w:rFonts w:ascii="Times New Roman" w:hAnsi="Times New Roman"/>
          <w:lang w:val="es-GT"/>
        </w:rPr>
      </w:pPr>
      <w:r w:rsidRPr="006E1224">
        <w:rPr>
          <w:rFonts w:ascii="Times New Roman" w:hAnsi="Times New Roman"/>
          <w:lang w:val="es-GT"/>
        </w:rPr>
        <w:t xml:space="preserve">De ellos, 70 millones se han dedicado a atender las necesidades de los venezolanos dentro de su propio país, tales como acceso a servicios de salud de emergencia, agua </w:t>
      </w:r>
      <w:r w:rsidRPr="006E1224">
        <w:rPr>
          <w:rFonts w:ascii="Times New Roman" w:hAnsi="Times New Roman"/>
          <w:lang w:val="es-GT"/>
        </w:rPr>
        <w:lastRenderedPageBreak/>
        <w:t xml:space="preserve">potable, servicios sanitarios y educación. A su vez, 100 millones de Euros se han asignado a atender directamente las necesidades humanitarias de las poblaciones de migrantes y refugiados, especialmente en zonas fronterizas (34 millones) de países de tránsito y acogida; a apoyar a los gobiernos locales directamente para que puedan facilitar la inclusión socioeconómica de estas poblaciones así como su aceptación en las comunidades de acogida (16 millones); a través de una contribución al BID  (10 millones) a su programa para fortalecer las capacidades fiscales y de gastos de los gobiernos locales para facilitar el acceso a la vivienda y al mercado laboral de migrantes y refugiados; para la identificación y documentación de los migrantes y refugiados, y combatir la trata, la discriminación y la xenofobia. </w:t>
      </w:r>
    </w:p>
    <w:p w:rsidR="006E1224" w:rsidRPr="006E1224" w:rsidRDefault="006E1224" w:rsidP="006E1224">
      <w:pPr>
        <w:spacing w:after="0" w:line="240" w:lineRule="auto"/>
        <w:ind w:left="1080"/>
        <w:jc w:val="both"/>
        <w:rPr>
          <w:rFonts w:ascii="Times New Roman" w:hAnsi="Times New Roman"/>
          <w:lang w:val="es-GT"/>
        </w:rPr>
      </w:pPr>
    </w:p>
    <w:p w:rsidR="006E1224" w:rsidRDefault="006E1224" w:rsidP="006E1224">
      <w:pPr>
        <w:spacing w:after="0" w:line="240" w:lineRule="auto"/>
        <w:ind w:left="1440"/>
        <w:jc w:val="both"/>
        <w:rPr>
          <w:rFonts w:ascii="Times New Roman" w:hAnsi="Times New Roman"/>
          <w:lang w:val="es-GT"/>
        </w:rPr>
      </w:pPr>
      <w:r w:rsidRPr="006E1224">
        <w:rPr>
          <w:rFonts w:ascii="Times New Roman" w:hAnsi="Times New Roman"/>
          <w:lang w:val="es-GT"/>
        </w:rPr>
        <w:t>Es importante notar que a estos fondos de la Unión Europea se suman a los 3 mil 600 millones de Euros que esta institución ha provisto a América Latina y el Caribe en su conjunto como una forma de cooperación para al desarrollo y que se dirigen a temas que están vinculados de forma directa con las razones de la migración desde distintos países de la región y especialmente desde los países del Norte de Centroamérica. Estos temas incluyen: la seguridad y el imperio de la ley, sostenibilidad ambiental y respuesta al cambio climático, agricultura, seguridad alimentaria y nutricional, crecimiento económico inclusivo, modernización y reformas al sector público, y facilitación de la integración regional.</w:t>
      </w:r>
      <w:r w:rsidRPr="006E1224">
        <w:rPr>
          <w:rFonts w:ascii="Times New Roman" w:hAnsi="Times New Roman"/>
          <w:vertAlign w:val="superscript"/>
          <w:lang w:val="es-GT"/>
        </w:rPr>
        <w:footnoteReference w:id="20"/>
      </w:r>
      <w:r w:rsidRPr="006E1224">
        <w:rPr>
          <w:rFonts w:ascii="Times New Roman" w:hAnsi="Times New Roman"/>
          <w:lang w:val="es-GT"/>
        </w:rPr>
        <w:t xml:space="preserve"> </w:t>
      </w:r>
    </w:p>
    <w:p w:rsidR="006E1224" w:rsidRPr="006E1224" w:rsidRDefault="006E1224" w:rsidP="006E1224">
      <w:pPr>
        <w:spacing w:after="0" w:line="240" w:lineRule="auto"/>
        <w:ind w:left="1440"/>
        <w:jc w:val="both"/>
        <w:rPr>
          <w:rFonts w:ascii="Times New Roman" w:hAnsi="Times New Roman"/>
          <w:lang w:val="es-GT"/>
        </w:rPr>
      </w:pPr>
    </w:p>
    <w:p w:rsidR="006E1224" w:rsidRDefault="006E1224" w:rsidP="006E1224">
      <w:pPr>
        <w:spacing w:after="0" w:line="240" w:lineRule="auto"/>
        <w:ind w:left="1440"/>
        <w:jc w:val="both"/>
        <w:rPr>
          <w:rFonts w:ascii="Times New Roman" w:hAnsi="Times New Roman"/>
          <w:lang w:val="es-GT"/>
        </w:rPr>
      </w:pPr>
      <w:r w:rsidRPr="006E1224">
        <w:rPr>
          <w:rFonts w:ascii="Times New Roman" w:hAnsi="Times New Roman"/>
          <w:lang w:val="es-GT"/>
        </w:rPr>
        <w:t>La Unión Europea también anunció en Octubre de 2019 que a principios del 2020 convocaría a una reunión de los Amigos del Proceso de Quito, integrado por varios países de la región para responder a los retos generados por los grandes flujos de migrantes y refugiados venezolanos, como un modo de ayudar a estos países a atraer más recursos por parte de la comunidad internacional.</w:t>
      </w:r>
      <w:r w:rsidRPr="006E1224">
        <w:rPr>
          <w:rFonts w:ascii="Times New Roman" w:hAnsi="Times New Roman"/>
          <w:vertAlign w:val="superscript"/>
          <w:lang w:val="es-GT"/>
        </w:rPr>
        <w:footnoteReference w:id="21"/>
      </w:r>
    </w:p>
    <w:p w:rsidR="006E1224" w:rsidRPr="006E1224" w:rsidRDefault="006E1224" w:rsidP="006E1224">
      <w:pPr>
        <w:spacing w:after="0" w:line="240" w:lineRule="auto"/>
        <w:ind w:left="1440"/>
        <w:jc w:val="both"/>
        <w:rPr>
          <w:rFonts w:ascii="Times New Roman" w:hAnsi="Times New Roman"/>
          <w:lang w:val="es-GT"/>
        </w:rPr>
      </w:pPr>
    </w:p>
    <w:p w:rsidR="006E1224" w:rsidRDefault="006E1224" w:rsidP="006E1224">
      <w:pPr>
        <w:spacing w:after="0" w:line="240" w:lineRule="auto"/>
        <w:jc w:val="both"/>
        <w:rPr>
          <w:rFonts w:ascii="Times New Roman" w:hAnsi="Times New Roman"/>
          <w:lang w:val="es-ES"/>
        </w:rPr>
      </w:pPr>
      <w:r w:rsidRPr="006E1224">
        <w:rPr>
          <w:rFonts w:ascii="Times New Roman" w:hAnsi="Times New Roman"/>
          <w:lang w:val="es-ES"/>
        </w:rPr>
        <w:tab/>
        <w:t xml:space="preserve">Tomando como base estos y otros ejemplos, la presente sesión estará dedicada a reflexionar sobre los retos que enfrentan los países de la región como consecuencia de las distintas crisis de migrantes y refugiados, y sobre las distintas respuestas que la comunidad internacional ha adoptado como una forma de apoyarlos. Para ello, se contará con la presencia de expertos sobre el tema incluyendo representantes de países donantes y de organizaciones internacionales. </w:t>
      </w:r>
    </w:p>
    <w:p w:rsidR="006E1224" w:rsidRPr="006E1224" w:rsidRDefault="006E1224" w:rsidP="006E1224">
      <w:pPr>
        <w:spacing w:after="0" w:line="240" w:lineRule="auto"/>
        <w:jc w:val="both"/>
        <w:rPr>
          <w:rFonts w:ascii="Times New Roman" w:hAnsi="Times New Roman"/>
          <w:u w:val="single"/>
          <w:lang w:val="es-ES"/>
        </w:rPr>
      </w:pPr>
    </w:p>
    <w:p w:rsidR="006E1224" w:rsidRPr="006E1224" w:rsidRDefault="006E1224" w:rsidP="006E1224">
      <w:pPr>
        <w:spacing w:after="0" w:line="240" w:lineRule="auto"/>
        <w:jc w:val="both"/>
        <w:rPr>
          <w:rFonts w:ascii="Times New Roman" w:hAnsi="Times New Roman"/>
          <w:lang w:val="es-ES"/>
        </w:rPr>
      </w:pPr>
      <w:r w:rsidRPr="006E1224">
        <w:rPr>
          <w:rFonts w:ascii="Times New Roman" w:hAnsi="Times New Roman"/>
          <w:lang w:val="es-ES"/>
        </w:rPr>
        <w:tab/>
        <w:t xml:space="preserve">Se abrirá el espacio para las intervenciones de los Estados miembros. En especial se invita a los Estados que han estado impactados por las distintas crisis de migrantes y refugiados que enfrenta la región como países de tránsito y acogida a compartir los retos que enfrentan y sus experiencias en referencia al apoyo que han recibido de los organismos y donantes internacionales. </w:t>
      </w:r>
    </w:p>
    <w:p w:rsidR="006E1224" w:rsidRPr="006E1224" w:rsidRDefault="006E1224" w:rsidP="006E1224">
      <w:pPr>
        <w:spacing w:after="0" w:line="240" w:lineRule="auto"/>
        <w:jc w:val="both"/>
        <w:rPr>
          <w:rFonts w:ascii="Times New Roman" w:hAnsi="Times New Roman"/>
          <w:lang w:val="es-ES"/>
        </w:rPr>
      </w:pPr>
    </w:p>
    <w:p w:rsidR="006E1224" w:rsidRPr="006E1224" w:rsidRDefault="006E1224" w:rsidP="006E1224">
      <w:pPr>
        <w:spacing w:after="0" w:line="240" w:lineRule="auto"/>
        <w:jc w:val="both"/>
        <w:rPr>
          <w:rFonts w:ascii="Times New Roman" w:hAnsi="Times New Roman"/>
          <w:lang w:val="es-ES"/>
        </w:rPr>
      </w:pPr>
    </w:p>
    <w:p w:rsidR="004E14E8" w:rsidRPr="00751A7E" w:rsidRDefault="004E14E8" w:rsidP="006E1224">
      <w:pPr>
        <w:pStyle w:val="MediumGrid2-Accent1"/>
        <w:jc w:val="both"/>
        <w:rPr>
          <w:rFonts w:ascii="Times New Roman" w:hAnsi="Times New Roman"/>
          <w:noProof/>
          <w:lang w:val="es-ES"/>
        </w:rPr>
      </w:pPr>
    </w:p>
    <w:sectPr w:rsidR="004E14E8" w:rsidRPr="00751A7E" w:rsidSect="006E1224">
      <w:headerReference w:type="default" r:id="rId8"/>
      <w:pgSz w:w="12240" w:h="15840"/>
      <w:pgMar w:top="2160" w:right="1570" w:bottom="1296" w:left="1699"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052" w:rsidRDefault="00B74052" w:rsidP="004E14E8">
      <w:pPr>
        <w:spacing w:after="0" w:line="240" w:lineRule="auto"/>
      </w:pPr>
      <w:r>
        <w:separator/>
      </w:r>
    </w:p>
  </w:endnote>
  <w:endnote w:type="continuationSeparator" w:id="0">
    <w:p w:rsidR="00B74052" w:rsidRDefault="00B74052" w:rsidP="004E1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052" w:rsidRDefault="00B74052" w:rsidP="004E14E8">
      <w:pPr>
        <w:spacing w:after="0" w:line="240" w:lineRule="auto"/>
      </w:pPr>
      <w:r>
        <w:separator/>
      </w:r>
    </w:p>
  </w:footnote>
  <w:footnote w:type="continuationSeparator" w:id="0">
    <w:p w:rsidR="00B74052" w:rsidRDefault="00B74052" w:rsidP="004E14E8">
      <w:pPr>
        <w:spacing w:after="0" w:line="240" w:lineRule="auto"/>
      </w:pPr>
      <w:r>
        <w:continuationSeparator/>
      </w:r>
    </w:p>
  </w:footnote>
  <w:footnote w:id="1">
    <w:p w:rsidR="006E1224" w:rsidRDefault="006E1224" w:rsidP="001D295D">
      <w:pPr>
        <w:pStyle w:val="FootnoteText"/>
        <w:spacing w:after="0" w:line="240" w:lineRule="auto"/>
        <w:rPr>
          <w:lang w:val="es-US"/>
        </w:rPr>
      </w:pPr>
      <w:r>
        <w:rPr>
          <w:rStyle w:val="FootnoteReference"/>
        </w:rPr>
        <w:footnoteRef/>
      </w:r>
      <w:r w:rsidRPr="005158FB">
        <w:rPr>
          <w:lang w:val="en-US"/>
        </w:rPr>
        <w:t xml:space="preserve"> Response for Venezuelans Coordination Platform</w:t>
      </w:r>
      <w:r>
        <w:rPr>
          <w:lang w:val="en-US"/>
        </w:rPr>
        <w:t xml:space="preserve">. </w:t>
      </w:r>
      <w:r w:rsidRPr="00AF3FB4">
        <w:rPr>
          <w:lang w:val="en-US"/>
        </w:rPr>
        <w:t xml:space="preserve">Last updated 05 December 2019. </w:t>
      </w:r>
      <w:r w:rsidRPr="006E1224">
        <w:rPr>
          <w:lang w:val="es-US"/>
        </w:rPr>
        <w:t xml:space="preserve">Disponible en: </w:t>
      </w:r>
      <w:hyperlink r:id="rId1" w:history="1">
        <w:r w:rsidRPr="006E1224">
          <w:rPr>
            <w:rStyle w:val="Hyperlink"/>
            <w:lang w:val="es-US"/>
          </w:rPr>
          <w:t>https://r4v.info/en/situations/platform</w:t>
        </w:r>
      </w:hyperlink>
      <w:r w:rsidRPr="006E1224">
        <w:rPr>
          <w:lang w:val="es-US"/>
        </w:rPr>
        <w:t xml:space="preserve">. </w:t>
      </w:r>
    </w:p>
    <w:p w:rsidR="001D295D" w:rsidRPr="006E1224" w:rsidRDefault="001D295D" w:rsidP="001D295D">
      <w:pPr>
        <w:pStyle w:val="FootnoteText"/>
        <w:spacing w:after="0" w:line="240" w:lineRule="auto"/>
        <w:rPr>
          <w:lang w:val="es-US"/>
        </w:rPr>
      </w:pPr>
    </w:p>
  </w:footnote>
  <w:footnote w:id="2">
    <w:p w:rsidR="006E1224" w:rsidRDefault="006E1224" w:rsidP="001D295D">
      <w:pPr>
        <w:pStyle w:val="FootnoteText"/>
        <w:spacing w:after="0" w:line="240" w:lineRule="auto"/>
      </w:pPr>
      <w:r>
        <w:rPr>
          <w:rStyle w:val="FootnoteReference"/>
        </w:rPr>
        <w:footnoteRef/>
      </w:r>
      <w:r>
        <w:t xml:space="preserve"> Alto Comisionado de las Naciones Unidas para los Refugiados. Infografía sobre el número </w:t>
      </w:r>
      <w:r w:rsidR="001D295D">
        <w:t>de personas</w:t>
      </w:r>
      <w:r>
        <w:t xml:space="preserve"> forzadas a huir elaborada por el. 2nda reunión anual del MIRPS, Noviembre 8, 2019, Ciudad de México, México.  </w:t>
      </w:r>
    </w:p>
    <w:p w:rsidR="001D295D" w:rsidRPr="00226887" w:rsidRDefault="001D295D" w:rsidP="001D295D">
      <w:pPr>
        <w:pStyle w:val="FootnoteText"/>
        <w:spacing w:after="0" w:line="240" w:lineRule="auto"/>
      </w:pPr>
    </w:p>
  </w:footnote>
  <w:footnote w:id="3">
    <w:p w:rsidR="006E1224" w:rsidRPr="00AF3FB4" w:rsidRDefault="006E1224" w:rsidP="001D295D">
      <w:pPr>
        <w:pStyle w:val="FootnoteText"/>
        <w:spacing w:after="0" w:line="240" w:lineRule="auto"/>
      </w:pPr>
      <w:r>
        <w:rPr>
          <w:rStyle w:val="FootnoteReference"/>
        </w:rPr>
        <w:footnoteRef/>
      </w:r>
      <w:r>
        <w:t xml:space="preserve"> Alto Comisionado de las Naciones Unidas para los Refugiados. Infografía sobre el número </w:t>
      </w:r>
      <w:r w:rsidR="001D295D">
        <w:t>de personas</w:t>
      </w:r>
      <w:r>
        <w:t xml:space="preserve"> forzadas a huir elaborada por el. 2nda reunión anual del MIRPS, Noviembre 8, 2019, Ciudad de México, México.  </w:t>
      </w:r>
    </w:p>
  </w:footnote>
  <w:footnote w:id="4">
    <w:p w:rsidR="006E1224" w:rsidRDefault="006E1224" w:rsidP="006B2386">
      <w:pPr>
        <w:pStyle w:val="FootnoteText"/>
        <w:spacing w:after="0" w:line="240" w:lineRule="auto"/>
        <w:jc w:val="both"/>
        <w:rPr>
          <w:lang w:val="es-US"/>
        </w:rPr>
      </w:pPr>
      <w:r>
        <w:rPr>
          <w:rStyle w:val="FootnoteReference"/>
        </w:rPr>
        <w:footnoteRef/>
      </w:r>
      <w:r w:rsidRPr="00D9248D">
        <w:rPr>
          <w:lang w:val="en-US"/>
        </w:rPr>
        <w:t xml:space="preserve"> Ver: U.S. Customs and Border Protection, Southwest Border Migration </w:t>
      </w:r>
      <w:r>
        <w:rPr>
          <w:lang w:val="en-US"/>
        </w:rPr>
        <w:t xml:space="preserve">Fy2019 and FY2018. </w:t>
      </w:r>
      <w:r w:rsidRPr="00D9248D">
        <w:rPr>
          <w:lang w:val="es-US"/>
        </w:rPr>
        <w:t xml:space="preserve">Disponible en:   </w:t>
      </w:r>
      <w:hyperlink r:id="rId2" w:history="1">
        <w:r w:rsidRPr="00F23946">
          <w:rPr>
            <w:rStyle w:val="Hyperlink"/>
            <w:lang w:val="es-US"/>
          </w:rPr>
          <w:t>https://www.cbp.gov/newsroom/stats/sw-border-migration/fy-2019</w:t>
        </w:r>
      </w:hyperlink>
      <w:r>
        <w:rPr>
          <w:lang w:val="es-US"/>
        </w:rPr>
        <w:t>.</w:t>
      </w:r>
    </w:p>
    <w:p w:rsidR="006B2386" w:rsidRPr="00D9248D" w:rsidRDefault="006B2386" w:rsidP="006B2386">
      <w:pPr>
        <w:pStyle w:val="FootnoteText"/>
        <w:spacing w:after="0" w:line="240" w:lineRule="auto"/>
        <w:jc w:val="both"/>
        <w:rPr>
          <w:lang w:val="es-US"/>
        </w:rPr>
      </w:pPr>
    </w:p>
  </w:footnote>
  <w:footnote w:id="5">
    <w:p w:rsidR="006B2386" w:rsidRDefault="006E1224" w:rsidP="006B2386">
      <w:pPr>
        <w:pStyle w:val="FootnoteText"/>
        <w:spacing w:after="0" w:line="240" w:lineRule="auto"/>
        <w:jc w:val="both"/>
        <w:rPr>
          <w:lang w:val="en-US"/>
        </w:rPr>
      </w:pPr>
      <w:r>
        <w:rPr>
          <w:rStyle w:val="FootnoteReference"/>
        </w:rPr>
        <w:footnoteRef/>
      </w:r>
      <w:r>
        <w:t xml:space="preserve"> En el año fiscal 2018, 57 por ciento de las personas detenidas por la patrulla fronteriza provenían de El Salvador, Honduras y Guatemala. Los datos por nacionalidad aún no son accesibles para el año fiscal 2019.  </w:t>
      </w:r>
      <w:r>
        <w:rPr>
          <w:lang w:val="es-US"/>
        </w:rPr>
        <w:t xml:space="preserve">Vale la pena notar que México sigue siendo el país que representa el mayor número de detenidos de una nacionalidad específica aunque la magnitud de los flujos desde México ha venido decreciendo desde el 2007 con lo cual el número de personas que llegan a Estados Unidos desde este país es muy bajo si se compara con los números de detenidos desde </w:t>
      </w:r>
      <w:r w:rsidR="006B2386">
        <w:rPr>
          <w:lang w:val="es-US"/>
        </w:rPr>
        <w:t>México en</w:t>
      </w:r>
      <w:r>
        <w:rPr>
          <w:lang w:val="es-US"/>
        </w:rPr>
        <w:t xml:space="preserve"> décadas anteriores. </w:t>
      </w:r>
      <w:r w:rsidR="006B2386">
        <w:rPr>
          <w:lang w:val="es-US"/>
        </w:rPr>
        <w:t>Además,</w:t>
      </w:r>
      <w:r>
        <w:rPr>
          <w:lang w:val="es-US"/>
        </w:rPr>
        <w:t xml:space="preserve"> debido a que más gente retorna a México que la que llega a los Estados Unidos el saldo neto de la migración mexicana hacia los Estados Unidos es negativo lo que aún no ocurre en el caso de la migración Centroamérica. </w:t>
      </w:r>
      <w:r w:rsidRPr="006E1224">
        <w:rPr>
          <w:lang w:val="en-US"/>
        </w:rPr>
        <w:t xml:space="preserve">Ver: U.S </w:t>
      </w:r>
      <w:r w:rsidR="006B2386" w:rsidRPr="006E1224">
        <w:rPr>
          <w:lang w:val="en-US"/>
        </w:rPr>
        <w:t>Border</w:t>
      </w:r>
      <w:r w:rsidRPr="006E1224">
        <w:rPr>
          <w:lang w:val="en-US"/>
        </w:rPr>
        <w:t xml:space="preserve"> Patrol, Nationwide apprehensions by Citizenship and Sector FY2007-2018. Disponible en: </w:t>
      </w:r>
    </w:p>
    <w:p w:rsidR="006E1224" w:rsidRDefault="006E1224" w:rsidP="006B2386">
      <w:pPr>
        <w:pStyle w:val="FootnoteText"/>
        <w:spacing w:after="0" w:line="240" w:lineRule="auto"/>
        <w:jc w:val="both"/>
        <w:rPr>
          <w:lang w:val="en-US"/>
        </w:rPr>
      </w:pPr>
      <w:hyperlink r:id="rId3" w:history="1">
        <w:r w:rsidRPr="006E1224">
          <w:rPr>
            <w:rStyle w:val="Hyperlink"/>
            <w:lang w:val="en-US"/>
          </w:rPr>
          <w:t>https://www.cbp.gov/sites/default/files/assets/documents/2019-Mar/BP%20Apps%20by%20Sector%20and%20Citizenship%20FY07-FY18.pdf</w:t>
        </w:r>
      </w:hyperlink>
      <w:r w:rsidRPr="006E1224">
        <w:rPr>
          <w:lang w:val="en-US"/>
        </w:rPr>
        <w:t xml:space="preserve">. </w:t>
      </w:r>
    </w:p>
    <w:p w:rsidR="006B2386" w:rsidRPr="006E1224" w:rsidRDefault="006B2386" w:rsidP="006B2386">
      <w:pPr>
        <w:pStyle w:val="FootnoteText"/>
        <w:spacing w:after="0" w:line="240" w:lineRule="auto"/>
        <w:jc w:val="both"/>
        <w:rPr>
          <w:lang w:val="en-US"/>
        </w:rPr>
      </w:pPr>
    </w:p>
  </w:footnote>
  <w:footnote w:id="6">
    <w:p w:rsidR="006E1224" w:rsidRPr="006E1224" w:rsidRDefault="006E1224" w:rsidP="006B2386">
      <w:pPr>
        <w:pStyle w:val="FootnoteText"/>
        <w:spacing w:after="0" w:line="240" w:lineRule="auto"/>
        <w:jc w:val="both"/>
        <w:rPr>
          <w:lang w:val="en-US"/>
        </w:rPr>
      </w:pPr>
      <w:r>
        <w:rPr>
          <w:rStyle w:val="FootnoteReference"/>
        </w:rPr>
        <w:footnoteRef/>
      </w:r>
      <w:r w:rsidRPr="006E1224">
        <w:rPr>
          <w:lang w:val="en-US"/>
        </w:rPr>
        <w:t xml:space="preserve"> World Population review 2019. Disponible en: </w:t>
      </w:r>
      <w:hyperlink r:id="rId4" w:history="1">
        <w:r w:rsidRPr="006E1224">
          <w:rPr>
            <w:rStyle w:val="Hyperlink"/>
            <w:lang w:val="en-US"/>
          </w:rPr>
          <w:t>http://worldpopulationreview.com/countries/haiti-population/</w:t>
        </w:r>
      </w:hyperlink>
      <w:r w:rsidRPr="006E1224">
        <w:rPr>
          <w:lang w:val="en-US"/>
        </w:rPr>
        <w:t xml:space="preserve">. </w:t>
      </w:r>
    </w:p>
  </w:footnote>
  <w:footnote w:id="7">
    <w:p w:rsidR="006B2386" w:rsidRDefault="006E1224" w:rsidP="006B2386">
      <w:pPr>
        <w:pStyle w:val="FootnoteText"/>
        <w:spacing w:after="0" w:line="240" w:lineRule="auto"/>
        <w:jc w:val="both"/>
        <w:rPr>
          <w:lang w:val="en-US"/>
        </w:rPr>
      </w:pPr>
      <w:r>
        <w:rPr>
          <w:rStyle w:val="FootnoteReference"/>
        </w:rPr>
        <w:footnoteRef/>
      </w:r>
      <w:r w:rsidRPr="004A298A">
        <w:rPr>
          <w:lang w:val="en-US"/>
        </w:rPr>
        <w:t xml:space="preserve"> Selee, Andrew et al. </w:t>
      </w:r>
      <w:r w:rsidRPr="004A298A">
        <w:rPr>
          <w:i/>
          <w:lang w:val="en-US"/>
        </w:rPr>
        <w:t xml:space="preserve">Creativity amid </w:t>
      </w:r>
      <w:r>
        <w:rPr>
          <w:i/>
          <w:lang w:val="en-US"/>
        </w:rPr>
        <w:t xml:space="preserve">Crisis: Legal Pathways for Venezuelan Migrants in Latin America. </w:t>
      </w:r>
      <w:r w:rsidRPr="006E1224">
        <w:rPr>
          <w:lang w:val="en-US"/>
        </w:rPr>
        <w:t xml:space="preserve">Migration Policy Institute. Policy Brief, Enero de 2019. Disponible en: </w:t>
      </w:r>
    </w:p>
    <w:p w:rsidR="006E1224" w:rsidRDefault="006B2386" w:rsidP="006B2386">
      <w:pPr>
        <w:pStyle w:val="FootnoteText"/>
        <w:spacing w:after="0" w:line="240" w:lineRule="auto"/>
        <w:jc w:val="both"/>
        <w:rPr>
          <w:lang w:val="en-US"/>
        </w:rPr>
      </w:pPr>
      <w:hyperlink r:id="rId5" w:history="1">
        <w:r w:rsidRPr="00B21710">
          <w:rPr>
            <w:rStyle w:val="Hyperlink"/>
            <w:lang w:val="en-US"/>
          </w:rPr>
          <w:t>https://www.migrationpolicy.org/research/legal-pathways-venezuelan-migrants-latin-america</w:t>
        </w:r>
      </w:hyperlink>
      <w:r w:rsidR="006E1224" w:rsidRPr="006E1224">
        <w:rPr>
          <w:lang w:val="en-US"/>
        </w:rPr>
        <w:t>.</w:t>
      </w:r>
    </w:p>
    <w:p w:rsidR="006B2386" w:rsidRPr="006E1224" w:rsidRDefault="006B2386" w:rsidP="006B2386">
      <w:pPr>
        <w:pStyle w:val="FootnoteText"/>
        <w:spacing w:after="0" w:line="240" w:lineRule="auto"/>
        <w:jc w:val="both"/>
        <w:rPr>
          <w:lang w:val="en-US"/>
        </w:rPr>
      </w:pPr>
    </w:p>
  </w:footnote>
  <w:footnote w:id="8">
    <w:p w:rsidR="006E1224" w:rsidRDefault="006E1224" w:rsidP="006B2386">
      <w:pPr>
        <w:pStyle w:val="FootnoteText"/>
        <w:spacing w:after="0" w:line="240" w:lineRule="auto"/>
        <w:jc w:val="both"/>
        <w:rPr>
          <w:lang w:val="es-US"/>
        </w:rPr>
      </w:pPr>
      <w:r>
        <w:rPr>
          <w:rStyle w:val="FootnoteReference"/>
        </w:rPr>
        <w:footnoteRef/>
      </w:r>
      <w:r w:rsidRPr="0013205F">
        <w:rPr>
          <w:lang w:val="en-US"/>
        </w:rPr>
        <w:t xml:space="preserve"> Ferris, Elizabeth. </w:t>
      </w:r>
      <w:r w:rsidRPr="0013205F">
        <w:rPr>
          <w:i/>
          <w:lang w:val="en-US"/>
        </w:rPr>
        <w:t>Too Many  Humanitarian C</w:t>
      </w:r>
      <w:r>
        <w:rPr>
          <w:i/>
          <w:lang w:val="en-US"/>
        </w:rPr>
        <w:t xml:space="preserve">rises, Not Enough Global Resources. </w:t>
      </w:r>
      <w:r w:rsidRPr="0013205F">
        <w:rPr>
          <w:lang w:val="es-US"/>
        </w:rPr>
        <w:t xml:space="preserve">Op Ed. Bookings. 30 de Julio de 2014. Disponible en: </w:t>
      </w:r>
      <w:hyperlink r:id="rId6" w:history="1">
        <w:r w:rsidRPr="00F23946">
          <w:rPr>
            <w:rStyle w:val="Hyperlink"/>
            <w:lang w:val="es-US"/>
          </w:rPr>
          <w:t>https://www.brookings.edu/opinions/too-many-humanitarian-crises-not-enough-global-resources/</w:t>
        </w:r>
      </w:hyperlink>
      <w:r>
        <w:rPr>
          <w:lang w:val="es-US"/>
        </w:rPr>
        <w:t xml:space="preserve">. </w:t>
      </w:r>
    </w:p>
    <w:p w:rsidR="006B2386" w:rsidRPr="0013205F" w:rsidRDefault="006B2386" w:rsidP="006B2386">
      <w:pPr>
        <w:pStyle w:val="FootnoteText"/>
        <w:spacing w:after="0" w:line="240" w:lineRule="auto"/>
        <w:jc w:val="both"/>
        <w:rPr>
          <w:lang w:val="es-US"/>
        </w:rPr>
      </w:pPr>
    </w:p>
  </w:footnote>
  <w:footnote w:id="9">
    <w:p w:rsidR="006E1224" w:rsidRDefault="006E1224" w:rsidP="006B2386">
      <w:pPr>
        <w:pStyle w:val="FootnoteText"/>
        <w:spacing w:after="0" w:line="240" w:lineRule="auto"/>
        <w:jc w:val="both"/>
        <w:rPr>
          <w:lang w:val="fr-CA"/>
        </w:rPr>
      </w:pPr>
      <w:r>
        <w:rPr>
          <w:rStyle w:val="FootnoteReference"/>
        </w:rPr>
        <w:footnoteRef/>
      </w:r>
      <w:r>
        <w:t xml:space="preserve"> </w:t>
      </w:r>
      <w:r>
        <w:rPr>
          <w:lang w:val="es-US"/>
        </w:rPr>
        <w:t xml:space="preserve">Bahar, Dany y Strauss, Sebastian. </w:t>
      </w:r>
      <w:r w:rsidRPr="0013205F">
        <w:rPr>
          <w:i/>
          <w:lang w:val="en-US"/>
        </w:rPr>
        <w:t xml:space="preserve">Neighbor nations can’t bear costs of </w:t>
      </w:r>
      <w:r>
        <w:rPr>
          <w:i/>
          <w:lang w:val="en-US"/>
        </w:rPr>
        <w:t xml:space="preserve">Venezuelan refugee crisis alone. </w:t>
      </w:r>
      <w:r w:rsidRPr="0013205F">
        <w:rPr>
          <w:lang w:val="es-US"/>
        </w:rPr>
        <w:t xml:space="preserve">Op ed. Bookings. 7 de Marzo de 2018. Disponible en: </w:t>
      </w:r>
      <w:hyperlink r:id="rId7" w:history="1">
        <w:r w:rsidRPr="00F23946">
          <w:rPr>
            <w:rStyle w:val="Hyperlink"/>
            <w:lang w:val="es-US"/>
          </w:rPr>
          <w:t>https://www.brookings.edu/opinions/too-many-humanitarian-crises-not-enough-global-resources/</w:t>
        </w:r>
      </w:hyperlink>
      <w:r>
        <w:rPr>
          <w:lang w:val="es-US"/>
        </w:rPr>
        <w:t xml:space="preserve">. ver también Bahar, Dany y Dooley, Meagan. </w:t>
      </w:r>
      <w:r w:rsidRPr="00291A7C">
        <w:rPr>
          <w:i/>
          <w:lang w:val="en-US"/>
        </w:rPr>
        <w:t xml:space="preserve">Venezuela refugee crisis to become the largest and most underfunded in modern history. </w:t>
      </w:r>
      <w:r w:rsidRPr="006E1224">
        <w:rPr>
          <w:lang w:val="fr-CA"/>
        </w:rPr>
        <w:t xml:space="preserve">Bookings Institution. Diciembre 9, 2019. Disponible en: </w:t>
      </w:r>
      <w:hyperlink r:id="rId8" w:history="1">
        <w:r w:rsidRPr="006E1224">
          <w:rPr>
            <w:rStyle w:val="Hyperlink"/>
            <w:lang w:val="fr-CA"/>
          </w:rPr>
          <w:t>https://reliefweb.int/report/venezuela-bolivarian-republic/venezuela-refugee-crisis-become-largest-and-most-underfunded</w:t>
        </w:r>
      </w:hyperlink>
      <w:r w:rsidRPr="006E1224">
        <w:rPr>
          <w:lang w:val="fr-CA"/>
        </w:rPr>
        <w:t xml:space="preserve">. </w:t>
      </w:r>
    </w:p>
    <w:p w:rsidR="006B2386" w:rsidRPr="006E1224" w:rsidRDefault="006B2386" w:rsidP="006B2386">
      <w:pPr>
        <w:pStyle w:val="FootnoteText"/>
        <w:spacing w:after="0" w:line="240" w:lineRule="auto"/>
        <w:jc w:val="both"/>
        <w:rPr>
          <w:lang w:val="fr-CA"/>
        </w:rPr>
      </w:pPr>
    </w:p>
  </w:footnote>
  <w:footnote w:id="10">
    <w:p w:rsidR="006B2386" w:rsidRDefault="006E1224" w:rsidP="006B2386">
      <w:pPr>
        <w:pStyle w:val="FootnoteText"/>
        <w:spacing w:after="0" w:line="240" w:lineRule="auto"/>
        <w:jc w:val="both"/>
        <w:rPr>
          <w:lang w:val="en-US"/>
        </w:rPr>
      </w:pPr>
      <w:r>
        <w:rPr>
          <w:rStyle w:val="FootnoteReference"/>
        </w:rPr>
        <w:footnoteRef/>
      </w:r>
      <w:r w:rsidRPr="00723B40">
        <w:rPr>
          <w:lang w:val="en-US"/>
        </w:rPr>
        <w:t xml:space="preserve"> </w:t>
      </w:r>
      <w:r w:rsidRPr="005158FB">
        <w:rPr>
          <w:lang w:val="en-US"/>
        </w:rPr>
        <w:t>Response for Venezuelans Coordination Platform</w:t>
      </w:r>
      <w:r>
        <w:rPr>
          <w:lang w:val="en-US"/>
        </w:rPr>
        <w:t xml:space="preserve">. </w:t>
      </w:r>
      <w:r w:rsidRPr="00AF3FB4">
        <w:rPr>
          <w:lang w:val="en-US"/>
        </w:rPr>
        <w:t xml:space="preserve">Last updated 05 December 2019. </w:t>
      </w:r>
      <w:r>
        <w:rPr>
          <w:lang w:val="en-US"/>
        </w:rPr>
        <w:t>Disponible en</w:t>
      </w:r>
      <w:r w:rsidRPr="00AF3FB4">
        <w:rPr>
          <w:lang w:val="en-US"/>
        </w:rPr>
        <w:t xml:space="preserve">: </w:t>
      </w:r>
    </w:p>
    <w:p w:rsidR="006E1224" w:rsidRDefault="006E1224" w:rsidP="006B2386">
      <w:pPr>
        <w:pStyle w:val="FootnoteText"/>
        <w:spacing w:after="0" w:line="240" w:lineRule="auto"/>
        <w:jc w:val="both"/>
        <w:rPr>
          <w:lang w:val="en-US"/>
        </w:rPr>
      </w:pPr>
      <w:hyperlink r:id="rId9" w:history="1">
        <w:r w:rsidRPr="00AF3FB4">
          <w:rPr>
            <w:rStyle w:val="Hyperlink"/>
            <w:lang w:val="en-US"/>
          </w:rPr>
          <w:t>https://r4v.info/en/situations/platform</w:t>
        </w:r>
      </w:hyperlink>
      <w:r>
        <w:rPr>
          <w:lang w:val="en-US"/>
        </w:rPr>
        <w:t xml:space="preserve">. </w:t>
      </w:r>
    </w:p>
    <w:p w:rsidR="006B2386" w:rsidRPr="00723B40" w:rsidRDefault="006B2386" w:rsidP="006B2386">
      <w:pPr>
        <w:pStyle w:val="FootnoteText"/>
        <w:spacing w:after="0" w:line="240" w:lineRule="auto"/>
        <w:jc w:val="both"/>
        <w:rPr>
          <w:lang w:val="en-US"/>
        </w:rPr>
      </w:pPr>
    </w:p>
  </w:footnote>
  <w:footnote w:id="11">
    <w:p w:rsidR="006E1224" w:rsidRDefault="006E1224" w:rsidP="006B2386">
      <w:pPr>
        <w:pStyle w:val="FootnoteText"/>
        <w:spacing w:after="0" w:line="240" w:lineRule="auto"/>
        <w:jc w:val="both"/>
        <w:rPr>
          <w:lang w:val="es-US"/>
        </w:rPr>
      </w:pPr>
      <w:r>
        <w:rPr>
          <w:rStyle w:val="FootnoteReference"/>
        </w:rPr>
        <w:footnoteRef/>
      </w:r>
      <w:r w:rsidRPr="008D603A">
        <w:rPr>
          <w:lang w:val="en-US"/>
        </w:rPr>
        <w:t xml:space="preserve"> UNHCR. </w:t>
      </w:r>
      <w:r w:rsidRPr="008D603A">
        <w:rPr>
          <w:i/>
          <w:lang w:val="en-US"/>
        </w:rPr>
        <w:t xml:space="preserve">2019 Regional Refugee and Migrants Response Plan for refugees and </w:t>
      </w:r>
      <w:r>
        <w:rPr>
          <w:i/>
          <w:lang w:val="en-US"/>
        </w:rPr>
        <w:t xml:space="preserve">Migrants from Venezuela. </w:t>
      </w:r>
      <w:r w:rsidRPr="006E1224">
        <w:rPr>
          <w:lang w:val="es-US"/>
        </w:rPr>
        <w:t xml:space="preserve">Disponible en: </w:t>
      </w:r>
      <w:r w:rsidRPr="006E1224">
        <w:rPr>
          <w:i/>
          <w:lang w:val="es-US"/>
        </w:rPr>
        <w:t xml:space="preserve"> </w:t>
      </w:r>
      <w:hyperlink r:id="rId10" w:history="1">
        <w:r w:rsidRPr="006E1224">
          <w:rPr>
            <w:rStyle w:val="Hyperlink"/>
            <w:lang w:val="es-US"/>
          </w:rPr>
          <w:t>http://reporting.unhcr.org/node/21600</w:t>
        </w:r>
      </w:hyperlink>
      <w:r w:rsidRPr="006E1224">
        <w:rPr>
          <w:lang w:val="es-US"/>
        </w:rPr>
        <w:t xml:space="preserve">. </w:t>
      </w:r>
    </w:p>
    <w:p w:rsidR="006B2386" w:rsidRPr="006E1224" w:rsidRDefault="006B2386" w:rsidP="006B2386">
      <w:pPr>
        <w:pStyle w:val="FootnoteText"/>
        <w:spacing w:after="0" w:line="240" w:lineRule="auto"/>
        <w:jc w:val="both"/>
        <w:rPr>
          <w:lang w:val="es-US"/>
        </w:rPr>
      </w:pPr>
    </w:p>
  </w:footnote>
  <w:footnote w:id="12">
    <w:p w:rsidR="006B2386" w:rsidRDefault="006E1224" w:rsidP="006B2386">
      <w:pPr>
        <w:pStyle w:val="FootnoteText"/>
        <w:spacing w:after="0" w:line="240" w:lineRule="auto"/>
        <w:jc w:val="both"/>
        <w:rPr>
          <w:lang w:val="en-US"/>
        </w:rPr>
      </w:pPr>
      <w:r>
        <w:rPr>
          <w:rStyle w:val="FootnoteReference"/>
        </w:rPr>
        <w:footnoteRef/>
      </w:r>
      <w:r w:rsidRPr="00695679">
        <w:rPr>
          <w:lang w:val="es-US"/>
        </w:rPr>
        <w:t xml:space="preserve"> Los montos donados por país se pueden ver en el siguiente sitio</w:t>
      </w:r>
      <w:r>
        <w:rPr>
          <w:lang w:val="es-US"/>
        </w:rPr>
        <w:t xml:space="preserve">: </w:t>
      </w:r>
      <w:r w:rsidRPr="00695679">
        <w:rPr>
          <w:lang w:val="es-US"/>
        </w:rPr>
        <w:t xml:space="preserve">UNHCR. </w:t>
      </w:r>
      <w:r w:rsidRPr="008D603A">
        <w:rPr>
          <w:i/>
          <w:lang w:val="en-US"/>
        </w:rPr>
        <w:t xml:space="preserve">2019 Regional Refugee and Migrants Response Plan for refugees and </w:t>
      </w:r>
      <w:r>
        <w:rPr>
          <w:i/>
          <w:lang w:val="en-US"/>
        </w:rPr>
        <w:t xml:space="preserve">Migrants from Venezuela. </w:t>
      </w:r>
      <w:r>
        <w:rPr>
          <w:lang w:val="en-US"/>
        </w:rPr>
        <w:t>Disponible en:</w:t>
      </w:r>
    </w:p>
    <w:p w:rsidR="006E1224" w:rsidRDefault="006E1224" w:rsidP="006B2386">
      <w:pPr>
        <w:pStyle w:val="FootnoteText"/>
        <w:spacing w:after="0" w:line="240" w:lineRule="auto"/>
        <w:jc w:val="both"/>
        <w:rPr>
          <w:lang w:val="en-US"/>
        </w:rPr>
      </w:pPr>
      <w:r w:rsidRPr="008D603A">
        <w:rPr>
          <w:i/>
          <w:lang w:val="en-US"/>
        </w:rPr>
        <w:t xml:space="preserve"> </w:t>
      </w:r>
      <w:hyperlink r:id="rId11" w:history="1">
        <w:r w:rsidRPr="008D603A">
          <w:rPr>
            <w:rStyle w:val="Hyperlink"/>
            <w:lang w:val="en-US"/>
          </w:rPr>
          <w:t>http://reporting.unhcr.org/node/21600</w:t>
        </w:r>
      </w:hyperlink>
      <w:r w:rsidRPr="008D603A">
        <w:rPr>
          <w:lang w:val="en-US"/>
        </w:rPr>
        <w:t>.</w:t>
      </w:r>
    </w:p>
    <w:p w:rsidR="006B2386" w:rsidRPr="00C76FFC" w:rsidRDefault="006B2386" w:rsidP="006B2386">
      <w:pPr>
        <w:pStyle w:val="FootnoteText"/>
        <w:spacing w:after="0" w:line="240" w:lineRule="auto"/>
        <w:jc w:val="both"/>
        <w:rPr>
          <w:lang w:val="en-US"/>
        </w:rPr>
      </w:pPr>
    </w:p>
  </w:footnote>
  <w:footnote w:id="13">
    <w:p w:rsidR="006E1224" w:rsidRDefault="006E1224" w:rsidP="006B2386">
      <w:pPr>
        <w:pStyle w:val="FootnoteText"/>
        <w:spacing w:after="0" w:line="240" w:lineRule="auto"/>
        <w:jc w:val="both"/>
        <w:rPr>
          <w:lang w:val="en-US"/>
        </w:rPr>
      </w:pPr>
      <w:r>
        <w:rPr>
          <w:rStyle w:val="FootnoteReference"/>
        </w:rPr>
        <w:footnoteRef/>
      </w:r>
      <w:r w:rsidRPr="00C76FFC">
        <w:rPr>
          <w:lang w:val="en-US"/>
        </w:rPr>
        <w:t xml:space="preserve"> Global Concessional Financing Facility, 2019 annual report. </w:t>
      </w:r>
    </w:p>
    <w:p w:rsidR="006B2386" w:rsidRPr="00C76FFC" w:rsidRDefault="006B2386" w:rsidP="006B2386">
      <w:pPr>
        <w:pStyle w:val="FootnoteText"/>
        <w:spacing w:after="0" w:line="240" w:lineRule="auto"/>
        <w:jc w:val="both"/>
        <w:rPr>
          <w:lang w:val="en-US"/>
        </w:rPr>
      </w:pPr>
    </w:p>
  </w:footnote>
  <w:footnote w:id="14">
    <w:p w:rsidR="006E1224" w:rsidRPr="00C76FFC" w:rsidRDefault="006E1224" w:rsidP="006B2386">
      <w:pPr>
        <w:pStyle w:val="FootnoteText"/>
        <w:spacing w:after="0" w:line="240" w:lineRule="auto"/>
        <w:jc w:val="both"/>
        <w:rPr>
          <w:lang w:val="en-US"/>
        </w:rPr>
      </w:pPr>
      <w:r>
        <w:rPr>
          <w:rStyle w:val="FootnoteReference"/>
        </w:rPr>
        <w:footnoteRef/>
      </w:r>
      <w:r w:rsidRPr="00C76FFC">
        <w:rPr>
          <w:lang w:val="en-US"/>
        </w:rPr>
        <w:t xml:space="preserve"> Global Concessional Financing Facility, 2019 annual report. </w:t>
      </w:r>
    </w:p>
  </w:footnote>
  <w:footnote w:id="15">
    <w:p w:rsidR="006E1224" w:rsidRDefault="006E1224" w:rsidP="006B2386">
      <w:pPr>
        <w:pStyle w:val="FootnoteText"/>
        <w:spacing w:after="0" w:line="240" w:lineRule="auto"/>
        <w:jc w:val="both"/>
        <w:rPr>
          <w:lang w:val="en-US"/>
        </w:rPr>
      </w:pPr>
      <w:r>
        <w:rPr>
          <w:rStyle w:val="FootnoteReference"/>
        </w:rPr>
        <w:footnoteRef/>
      </w:r>
      <w:r w:rsidRPr="00C76FFC">
        <w:rPr>
          <w:lang w:val="en-US"/>
        </w:rPr>
        <w:t xml:space="preserve"> Global Concessional Financing Facility, 2019 annual report. </w:t>
      </w:r>
    </w:p>
    <w:p w:rsidR="006B2386" w:rsidRPr="00C76FFC" w:rsidRDefault="006B2386" w:rsidP="006B2386">
      <w:pPr>
        <w:pStyle w:val="FootnoteText"/>
        <w:spacing w:after="0" w:line="240" w:lineRule="auto"/>
        <w:jc w:val="both"/>
        <w:rPr>
          <w:lang w:val="en-US"/>
        </w:rPr>
      </w:pPr>
    </w:p>
  </w:footnote>
  <w:footnote w:id="16">
    <w:p w:rsidR="006E1224" w:rsidRDefault="006E1224" w:rsidP="006B2386">
      <w:pPr>
        <w:pStyle w:val="FootnoteText"/>
        <w:spacing w:after="0" w:line="240" w:lineRule="auto"/>
        <w:jc w:val="both"/>
        <w:rPr>
          <w:lang w:val="en-US"/>
        </w:rPr>
      </w:pPr>
      <w:r>
        <w:rPr>
          <w:rStyle w:val="FootnoteReference"/>
        </w:rPr>
        <w:footnoteRef/>
      </w:r>
      <w:r w:rsidRPr="00C76FFC">
        <w:rPr>
          <w:lang w:val="en-US"/>
        </w:rPr>
        <w:t xml:space="preserve"> Global Concessional Financing Facility, 2019 annual report. </w:t>
      </w:r>
    </w:p>
    <w:p w:rsidR="006B2386" w:rsidRPr="00C76FFC" w:rsidRDefault="006B2386" w:rsidP="006B2386">
      <w:pPr>
        <w:pStyle w:val="FootnoteText"/>
        <w:spacing w:after="0" w:line="240" w:lineRule="auto"/>
        <w:jc w:val="both"/>
        <w:rPr>
          <w:lang w:val="en-US"/>
        </w:rPr>
      </w:pPr>
    </w:p>
  </w:footnote>
  <w:footnote w:id="17">
    <w:p w:rsidR="006E1224" w:rsidRDefault="006E1224" w:rsidP="006B2386">
      <w:pPr>
        <w:pStyle w:val="FootnoteText"/>
        <w:spacing w:after="0" w:line="240" w:lineRule="auto"/>
        <w:jc w:val="both"/>
        <w:rPr>
          <w:lang w:val="es-US"/>
        </w:rPr>
      </w:pPr>
      <w:r>
        <w:rPr>
          <w:rStyle w:val="FootnoteReference"/>
        </w:rPr>
        <w:footnoteRef/>
      </w:r>
      <w:r w:rsidRPr="00E674BC">
        <w:rPr>
          <w:lang w:val="en-US"/>
        </w:rPr>
        <w:t xml:space="preserve"> </w:t>
      </w:r>
      <w:r w:rsidRPr="00E674BC">
        <w:rPr>
          <w:i/>
          <w:lang w:val="en-US"/>
        </w:rPr>
        <w:t xml:space="preserve">IADB approves grant funds for countries receiving migrants in </w:t>
      </w:r>
      <w:r>
        <w:rPr>
          <w:i/>
          <w:lang w:val="en-US"/>
        </w:rPr>
        <w:t xml:space="preserve">Latin America and Caribbean. </w:t>
      </w:r>
      <w:r w:rsidRPr="00E674BC">
        <w:rPr>
          <w:lang w:val="es-US"/>
        </w:rPr>
        <w:t xml:space="preserve">Mayo 7, 2019. Disponible en: </w:t>
      </w:r>
      <w:hyperlink r:id="rId12" w:history="1">
        <w:r w:rsidR="006B2386" w:rsidRPr="00B21710">
          <w:rPr>
            <w:rStyle w:val="Hyperlink"/>
            <w:lang w:val="es-US"/>
          </w:rPr>
          <w:t>https://www.iadb.org/en/news/idb-approves-grant-funds-countries-receiving-migrants-latin-america-and-caribbean</w:t>
        </w:r>
      </w:hyperlink>
    </w:p>
    <w:p w:rsidR="006B2386" w:rsidRPr="00E674BC" w:rsidRDefault="006B2386" w:rsidP="006B2386">
      <w:pPr>
        <w:pStyle w:val="FootnoteText"/>
        <w:spacing w:after="0" w:line="240" w:lineRule="auto"/>
        <w:jc w:val="both"/>
        <w:rPr>
          <w:lang w:val="es-US"/>
        </w:rPr>
      </w:pPr>
    </w:p>
  </w:footnote>
  <w:footnote w:id="18">
    <w:p w:rsidR="006B2386" w:rsidRDefault="006E1224" w:rsidP="006B2386">
      <w:pPr>
        <w:pStyle w:val="FootnoteText"/>
        <w:spacing w:after="0" w:line="240" w:lineRule="auto"/>
        <w:jc w:val="both"/>
        <w:rPr>
          <w:lang w:val="es-US"/>
        </w:rPr>
      </w:pPr>
      <w:r>
        <w:rPr>
          <w:rStyle w:val="FootnoteReference"/>
        </w:rPr>
        <w:footnoteRef/>
      </w:r>
      <w:r w:rsidRPr="00E674BC">
        <w:rPr>
          <w:lang w:val="en-US"/>
        </w:rPr>
        <w:t xml:space="preserve"> </w:t>
      </w:r>
      <w:r w:rsidRPr="00E674BC">
        <w:rPr>
          <w:i/>
          <w:lang w:val="en-US"/>
        </w:rPr>
        <w:t xml:space="preserve">Spain makes contribution to IDB’s Migration iniatiative. </w:t>
      </w:r>
      <w:r w:rsidRPr="00E674BC">
        <w:rPr>
          <w:lang w:val="es-US"/>
        </w:rPr>
        <w:t>Marzo 20, 2019. Disponible en:</w:t>
      </w:r>
    </w:p>
    <w:p w:rsidR="006E1224" w:rsidRDefault="006E1224" w:rsidP="006B2386">
      <w:pPr>
        <w:pStyle w:val="FootnoteText"/>
        <w:spacing w:after="0" w:line="240" w:lineRule="auto"/>
        <w:jc w:val="both"/>
        <w:rPr>
          <w:lang w:val="es-US"/>
        </w:rPr>
      </w:pPr>
      <w:r w:rsidRPr="00E674BC">
        <w:rPr>
          <w:lang w:val="es-US"/>
        </w:rPr>
        <w:t xml:space="preserve"> </w:t>
      </w:r>
      <w:hyperlink r:id="rId13" w:history="1">
        <w:r w:rsidRPr="006761A0">
          <w:rPr>
            <w:rStyle w:val="Hyperlink"/>
            <w:lang w:val="es-US"/>
          </w:rPr>
          <w:t>https://www.iadb.org/en/news/spain-makes-contribution-idbs-migration-initiative</w:t>
        </w:r>
      </w:hyperlink>
      <w:r>
        <w:rPr>
          <w:lang w:val="es-US"/>
        </w:rPr>
        <w:t xml:space="preserve">. </w:t>
      </w:r>
    </w:p>
    <w:p w:rsidR="006B2386" w:rsidRPr="00E674BC" w:rsidRDefault="006B2386" w:rsidP="006B2386">
      <w:pPr>
        <w:pStyle w:val="FootnoteText"/>
        <w:spacing w:after="0" w:line="240" w:lineRule="auto"/>
        <w:jc w:val="both"/>
        <w:rPr>
          <w:lang w:val="es-US"/>
        </w:rPr>
      </w:pPr>
    </w:p>
  </w:footnote>
  <w:footnote w:id="19">
    <w:p w:rsidR="006E1224" w:rsidRPr="006E1224" w:rsidRDefault="006E1224" w:rsidP="006B2386">
      <w:pPr>
        <w:pStyle w:val="FootnoteText"/>
        <w:spacing w:after="0" w:line="240" w:lineRule="auto"/>
        <w:jc w:val="both"/>
        <w:rPr>
          <w:lang w:val="fr-CA"/>
        </w:rPr>
      </w:pPr>
      <w:r>
        <w:rPr>
          <w:rStyle w:val="FootnoteReference"/>
        </w:rPr>
        <w:footnoteRef/>
      </w:r>
      <w:r w:rsidRPr="006E1224">
        <w:rPr>
          <w:lang w:val="fr-CA"/>
        </w:rPr>
        <w:t xml:space="preserve"> European Union External Action. </w:t>
      </w:r>
      <w:r w:rsidRPr="006E1224">
        <w:rPr>
          <w:i/>
          <w:lang w:val="fr-CA"/>
        </w:rPr>
        <w:t xml:space="preserve">EU Supports Venezuelan Refugees, Migrants and Host Communities. </w:t>
      </w:r>
      <w:r w:rsidRPr="006E1224">
        <w:rPr>
          <w:lang w:val="fr-CA"/>
        </w:rPr>
        <w:t xml:space="preserve">Bruselas, 28 de octubre de 2019. Disponible en: </w:t>
      </w:r>
      <w:hyperlink r:id="rId14" w:history="1">
        <w:r w:rsidRPr="006E1224">
          <w:rPr>
            <w:rStyle w:val="Hyperlink"/>
            <w:lang w:val="fr-CA"/>
          </w:rPr>
          <w:t>https://eeas.europa.eu/headquarters/headquarters-homepage_en/69487/EU%20supports%20Venezuelan%20refugees,%20migrants%20and%20host%20communities</w:t>
        </w:r>
      </w:hyperlink>
    </w:p>
  </w:footnote>
  <w:footnote w:id="20">
    <w:p w:rsidR="006E1224" w:rsidRDefault="006E1224" w:rsidP="006B2386">
      <w:pPr>
        <w:pStyle w:val="FootnoteText"/>
        <w:spacing w:after="0" w:line="240" w:lineRule="auto"/>
        <w:jc w:val="both"/>
        <w:rPr>
          <w:lang w:val="es-US"/>
        </w:rPr>
      </w:pPr>
      <w:r>
        <w:rPr>
          <w:rStyle w:val="FootnoteReference"/>
        </w:rPr>
        <w:footnoteRef/>
      </w:r>
      <w:r w:rsidRPr="006E1224">
        <w:rPr>
          <w:lang w:val="fr-CA"/>
        </w:rPr>
        <w:t xml:space="preserve"> European Union External Action. </w:t>
      </w:r>
      <w:r w:rsidRPr="006E1224">
        <w:rPr>
          <w:i/>
          <w:lang w:val="fr-CA"/>
        </w:rPr>
        <w:t xml:space="preserve">EU Supports Venezuelan Refugees, Migrants and Host Communities. </w:t>
      </w:r>
      <w:r w:rsidRPr="006E1224">
        <w:rPr>
          <w:lang w:val="fr-CA"/>
        </w:rPr>
        <w:t xml:space="preserve">Bruselas, 28 de octubre de 2019. Disponible en: </w:t>
      </w:r>
      <w:hyperlink r:id="rId15" w:history="1">
        <w:r w:rsidRPr="006E1224">
          <w:rPr>
            <w:rStyle w:val="Hyperlink"/>
            <w:lang w:val="fr-CA"/>
          </w:rPr>
          <w:t>https://eeas.europa.eu/headquarters/headquarters-homepage_en/69487/EU%20supports%20Venezuelan%20refugees,%20migrants%20and%20host%20communities</w:t>
        </w:r>
      </w:hyperlink>
    </w:p>
    <w:p w:rsidR="006B2386" w:rsidRPr="006E1224" w:rsidRDefault="006B2386" w:rsidP="006B2386">
      <w:pPr>
        <w:pStyle w:val="FootnoteText"/>
        <w:spacing w:after="0" w:line="240" w:lineRule="auto"/>
        <w:jc w:val="both"/>
        <w:rPr>
          <w:lang w:val="fr-CA"/>
        </w:rPr>
      </w:pPr>
    </w:p>
  </w:footnote>
  <w:footnote w:id="21">
    <w:p w:rsidR="006E1224" w:rsidRDefault="006E1224" w:rsidP="006B2386">
      <w:pPr>
        <w:pStyle w:val="FootnoteText"/>
        <w:spacing w:after="0" w:line="240" w:lineRule="auto"/>
        <w:jc w:val="both"/>
        <w:rPr>
          <w:lang w:val="en-US"/>
        </w:rPr>
      </w:pPr>
      <w:r>
        <w:rPr>
          <w:rStyle w:val="FootnoteReference"/>
        </w:rPr>
        <w:footnoteRef/>
      </w:r>
      <w:r w:rsidRPr="00AF55AD">
        <w:rPr>
          <w:lang w:val="en-US"/>
        </w:rPr>
        <w:t xml:space="preserve"> International Solidarity Conference on the V</w:t>
      </w:r>
      <w:r>
        <w:rPr>
          <w:lang w:val="en-US"/>
        </w:rPr>
        <w:t xml:space="preserve">enezuelan Refugee and Migration crisis, Brussels 28-29- joint communique by the co-chairs. Brussels, 29 of October, 2020. </w:t>
      </w:r>
    </w:p>
    <w:p w:rsidR="00467E99" w:rsidRDefault="00467E99" w:rsidP="00467E99">
      <w:pPr>
        <w:spacing w:after="0" w:line="240" w:lineRule="auto"/>
        <w:jc w:val="both"/>
        <w:rPr>
          <w:lang w:val="en-US"/>
        </w:rPr>
      </w:pPr>
    </w:p>
    <w:p w:rsidR="00467E99" w:rsidRPr="00AF55AD" w:rsidRDefault="00467E99" w:rsidP="00467E99">
      <w:pPr>
        <w:spacing w:after="0" w:line="240" w:lineRule="auto"/>
        <w:jc w:val="both"/>
        <w:rPr>
          <w:lang w:val="en-US"/>
        </w:rPr>
      </w:pPr>
      <w:r w:rsidRPr="00467E99">
        <w:rPr>
          <w:noProof/>
          <w:lang w:val="en-US"/>
        </w:rPr>
        <w:drawing>
          <wp:inline distT="0" distB="0" distL="0" distR="0">
            <wp:extent cx="33909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0900" cy="228600"/>
                    </a:xfrm>
                    <a:prstGeom prst="rect">
                      <a:avLst/>
                    </a:prstGeom>
                    <a:noFill/>
                    <a:ln>
                      <a:noFill/>
                    </a:ln>
                  </pic:spPr>
                </pic:pic>
              </a:graphicData>
            </a:graphic>
          </wp:inline>
        </w:drawing>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A7E" w:rsidRDefault="00751A7E" w:rsidP="00751A7E">
    <w:pPr>
      <w:pStyle w:val="Header"/>
      <w:jc w:val="center"/>
    </w:pPr>
    <w:r>
      <w:fldChar w:fldCharType="begin"/>
    </w:r>
    <w:r>
      <w:instrText xml:space="preserve"> PAGE   \* MERGEFORMAT </w:instrText>
    </w:r>
    <w:r>
      <w:fldChar w:fldCharType="separate"/>
    </w:r>
    <w:r w:rsidR="00467E99">
      <w:rPr>
        <w:noProof/>
      </w:rPr>
      <w:t>- 6 -</w:t>
    </w:r>
    <w:r>
      <w:rPr>
        <w:noProof/>
      </w:rPr>
      <w:fldChar w:fldCharType="end"/>
    </w:r>
  </w:p>
  <w:p w:rsidR="00751A7E" w:rsidRDefault="00751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40522"/>
    <w:multiLevelType w:val="hybridMultilevel"/>
    <w:tmpl w:val="1D6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913F8"/>
    <w:multiLevelType w:val="hybridMultilevel"/>
    <w:tmpl w:val="784A1AAA"/>
    <w:lvl w:ilvl="0" w:tplc="6354162E">
      <w:start w:val="1"/>
      <w:numFmt w:val="bullet"/>
      <w:lvlText w:val="•"/>
      <w:lvlJc w:val="left"/>
      <w:pPr>
        <w:tabs>
          <w:tab w:val="num" w:pos="720"/>
        </w:tabs>
        <w:ind w:left="720" w:hanging="360"/>
      </w:pPr>
      <w:rPr>
        <w:rFonts w:ascii="Arial" w:hAnsi="Arial" w:hint="default"/>
      </w:rPr>
    </w:lvl>
    <w:lvl w:ilvl="1" w:tplc="5566A79A" w:tentative="1">
      <w:start w:val="1"/>
      <w:numFmt w:val="bullet"/>
      <w:lvlText w:val="•"/>
      <w:lvlJc w:val="left"/>
      <w:pPr>
        <w:tabs>
          <w:tab w:val="num" w:pos="1440"/>
        </w:tabs>
        <w:ind w:left="1440" w:hanging="360"/>
      </w:pPr>
      <w:rPr>
        <w:rFonts w:ascii="Arial" w:hAnsi="Arial" w:hint="default"/>
      </w:rPr>
    </w:lvl>
    <w:lvl w:ilvl="2" w:tplc="6AF46DD2" w:tentative="1">
      <w:start w:val="1"/>
      <w:numFmt w:val="bullet"/>
      <w:lvlText w:val="•"/>
      <w:lvlJc w:val="left"/>
      <w:pPr>
        <w:tabs>
          <w:tab w:val="num" w:pos="2160"/>
        </w:tabs>
        <w:ind w:left="2160" w:hanging="360"/>
      </w:pPr>
      <w:rPr>
        <w:rFonts w:ascii="Arial" w:hAnsi="Arial" w:hint="default"/>
      </w:rPr>
    </w:lvl>
    <w:lvl w:ilvl="3" w:tplc="6890CF3A" w:tentative="1">
      <w:start w:val="1"/>
      <w:numFmt w:val="bullet"/>
      <w:lvlText w:val="•"/>
      <w:lvlJc w:val="left"/>
      <w:pPr>
        <w:tabs>
          <w:tab w:val="num" w:pos="2880"/>
        </w:tabs>
        <w:ind w:left="2880" w:hanging="360"/>
      </w:pPr>
      <w:rPr>
        <w:rFonts w:ascii="Arial" w:hAnsi="Arial" w:hint="default"/>
      </w:rPr>
    </w:lvl>
    <w:lvl w:ilvl="4" w:tplc="A3C44896" w:tentative="1">
      <w:start w:val="1"/>
      <w:numFmt w:val="bullet"/>
      <w:lvlText w:val="•"/>
      <w:lvlJc w:val="left"/>
      <w:pPr>
        <w:tabs>
          <w:tab w:val="num" w:pos="3600"/>
        </w:tabs>
        <w:ind w:left="3600" w:hanging="360"/>
      </w:pPr>
      <w:rPr>
        <w:rFonts w:ascii="Arial" w:hAnsi="Arial" w:hint="default"/>
      </w:rPr>
    </w:lvl>
    <w:lvl w:ilvl="5" w:tplc="FC12F59C" w:tentative="1">
      <w:start w:val="1"/>
      <w:numFmt w:val="bullet"/>
      <w:lvlText w:val="•"/>
      <w:lvlJc w:val="left"/>
      <w:pPr>
        <w:tabs>
          <w:tab w:val="num" w:pos="4320"/>
        </w:tabs>
        <w:ind w:left="4320" w:hanging="360"/>
      </w:pPr>
      <w:rPr>
        <w:rFonts w:ascii="Arial" w:hAnsi="Arial" w:hint="default"/>
      </w:rPr>
    </w:lvl>
    <w:lvl w:ilvl="6" w:tplc="11E4D1D8" w:tentative="1">
      <w:start w:val="1"/>
      <w:numFmt w:val="bullet"/>
      <w:lvlText w:val="•"/>
      <w:lvlJc w:val="left"/>
      <w:pPr>
        <w:tabs>
          <w:tab w:val="num" w:pos="5040"/>
        </w:tabs>
        <w:ind w:left="5040" w:hanging="360"/>
      </w:pPr>
      <w:rPr>
        <w:rFonts w:ascii="Arial" w:hAnsi="Arial" w:hint="default"/>
      </w:rPr>
    </w:lvl>
    <w:lvl w:ilvl="7" w:tplc="E57E987C" w:tentative="1">
      <w:start w:val="1"/>
      <w:numFmt w:val="bullet"/>
      <w:lvlText w:val="•"/>
      <w:lvlJc w:val="left"/>
      <w:pPr>
        <w:tabs>
          <w:tab w:val="num" w:pos="5760"/>
        </w:tabs>
        <w:ind w:left="5760" w:hanging="360"/>
      </w:pPr>
      <w:rPr>
        <w:rFonts w:ascii="Arial" w:hAnsi="Arial" w:hint="default"/>
      </w:rPr>
    </w:lvl>
    <w:lvl w:ilvl="8" w:tplc="3A24F8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9A073A"/>
    <w:multiLevelType w:val="hybridMultilevel"/>
    <w:tmpl w:val="272288C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ACB0C99"/>
    <w:multiLevelType w:val="hybridMultilevel"/>
    <w:tmpl w:val="4462EEF0"/>
    <w:lvl w:ilvl="0" w:tplc="6B42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41313"/>
    <w:multiLevelType w:val="hybridMultilevel"/>
    <w:tmpl w:val="7480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D76D2"/>
    <w:multiLevelType w:val="hybridMultilevel"/>
    <w:tmpl w:val="90AC899E"/>
    <w:lvl w:ilvl="0" w:tplc="100AAD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EA243E"/>
    <w:multiLevelType w:val="hybridMultilevel"/>
    <w:tmpl w:val="3A9E425C"/>
    <w:lvl w:ilvl="0" w:tplc="1E3EB8B2">
      <w:start w:val="1"/>
      <w:numFmt w:val="bullet"/>
      <w:lvlText w:val="•"/>
      <w:lvlJc w:val="left"/>
      <w:pPr>
        <w:tabs>
          <w:tab w:val="num" w:pos="720"/>
        </w:tabs>
        <w:ind w:left="720" w:hanging="360"/>
      </w:pPr>
      <w:rPr>
        <w:rFonts w:ascii="Arial" w:hAnsi="Arial" w:hint="default"/>
      </w:rPr>
    </w:lvl>
    <w:lvl w:ilvl="1" w:tplc="2174E964" w:tentative="1">
      <w:start w:val="1"/>
      <w:numFmt w:val="bullet"/>
      <w:lvlText w:val="•"/>
      <w:lvlJc w:val="left"/>
      <w:pPr>
        <w:tabs>
          <w:tab w:val="num" w:pos="1440"/>
        </w:tabs>
        <w:ind w:left="1440" w:hanging="360"/>
      </w:pPr>
      <w:rPr>
        <w:rFonts w:ascii="Arial" w:hAnsi="Arial" w:hint="default"/>
      </w:rPr>
    </w:lvl>
    <w:lvl w:ilvl="2" w:tplc="5CB63850" w:tentative="1">
      <w:start w:val="1"/>
      <w:numFmt w:val="bullet"/>
      <w:lvlText w:val="•"/>
      <w:lvlJc w:val="left"/>
      <w:pPr>
        <w:tabs>
          <w:tab w:val="num" w:pos="2160"/>
        </w:tabs>
        <w:ind w:left="2160" w:hanging="360"/>
      </w:pPr>
      <w:rPr>
        <w:rFonts w:ascii="Arial" w:hAnsi="Arial" w:hint="default"/>
      </w:rPr>
    </w:lvl>
    <w:lvl w:ilvl="3" w:tplc="B7C0E688" w:tentative="1">
      <w:start w:val="1"/>
      <w:numFmt w:val="bullet"/>
      <w:lvlText w:val="•"/>
      <w:lvlJc w:val="left"/>
      <w:pPr>
        <w:tabs>
          <w:tab w:val="num" w:pos="2880"/>
        </w:tabs>
        <w:ind w:left="2880" w:hanging="360"/>
      </w:pPr>
      <w:rPr>
        <w:rFonts w:ascii="Arial" w:hAnsi="Arial" w:hint="default"/>
      </w:rPr>
    </w:lvl>
    <w:lvl w:ilvl="4" w:tplc="831E9158" w:tentative="1">
      <w:start w:val="1"/>
      <w:numFmt w:val="bullet"/>
      <w:lvlText w:val="•"/>
      <w:lvlJc w:val="left"/>
      <w:pPr>
        <w:tabs>
          <w:tab w:val="num" w:pos="3600"/>
        </w:tabs>
        <w:ind w:left="3600" w:hanging="360"/>
      </w:pPr>
      <w:rPr>
        <w:rFonts w:ascii="Arial" w:hAnsi="Arial" w:hint="default"/>
      </w:rPr>
    </w:lvl>
    <w:lvl w:ilvl="5" w:tplc="76FE921E" w:tentative="1">
      <w:start w:val="1"/>
      <w:numFmt w:val="bullet"/>
      <w:lvlText w:val="•"/>
      <w:lvlJc w:val="left"/>
      <w:pPr>
        <w:tabs>
          <w:tab w:val="num" w:pos="4320"/>
        </w:tabs>
        <w:ind w:left="4320" w:hanging="360"/>
      </w:pPr>
      <w:rPr>
        <w:rFonts w:ascii="Arial" w:hAnsi="Arial" w:hint="default"/>
      </w:rPr>
    </w:lvl>
    <w:lvl w:ilvl="6" w:tplc="21E26438" w:tentative="1">
      <w:start w:val="1"/>
      <w:numFmt w:val="bullet"/>
      <w:lvlText w:val="•"/>
      <w:lvlJc w:val="left"/>
      <w:pPr>
        <w:tabs>
          <w:tab w:val="num" w:pos="5040"/>
        </w:tabs>
        <w:ind w:left="5040" w:hanging="360"/>
      </w:pPr>
      <w:rPr>
        <w:rFonts w:ascii="Arial" w:hAnsi="Arial" w:hint="default"/>
      </w:rPr>
    </w:lvl>
    <w:lvl w:ilvl="7" w:tplc="4A529170" w:tentative="1">
      <w:start w:val="1"/>
      <w:numFmt w:val="bullet"/>
      <w:lvlText w:val="•"/>
      <w:lvlJc w:val="left"/>
      <w:pPr>
        <w:tabs>
          <w:tab w:val="num" w:pos="5760"/>
        </w:tabs>
        <w:ind w:left="5760" w:hanging="360"/>
      </w:pPr>
      <w:rPr>
        <w:rFonts w:ascii="Arial" w:hAnsi="Arial" w:hint="default"/>
      </w:rPr>
    </w:lvl>
    <w:lvl w:ilvl="8" w:tplc="F5AED3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53BD6"/>
    <w:multiLevelType w:val="hybridMultilevel"/>
    <w:tmpl w:val="C02CEAD0"/>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D9B3192"/>
    <w:multiLevelType w:val="hybridMultilevel"/>
    <w:tmpl w:val="F8EAB5A6"/>
    <w:lvl w:ilvl="0" w:tplc="50702EA2">
      <w:start w:val="1"/>
      <w:numFmt w:val="bullet"/>
      <w:lvlText w:val="•"/>
      <w:lvlJc w:val="left"/>
      <w:pPr>
        <w:tabs>
          <w:tab w:val="num" w:pos="720"/>
        </w:tabs>
        <w:ind w:left="720" w:hanging="360"/>
      </w:pPr>
      <w:rPr>
        <w:rFonts w:ascii="Arial" w:hAnsi="Arial" w:hint="default"/>
      </w:rPr>
    </w:lvl>
    <w:lvl w:ilvl="1" w:tplc="48347D98" w:tentative="1">
      <w:start w:val="1"/>
      <w:numFmt w:val="bullet"/>
      <w:lvlText w:val="•"/>
      <w:lvlJc w:val="left"/>
      <w:pPr>
        <w:tabs>
          <w:tab w:val="num" w:pos="1440"/>
        </w:tabs>
        <w:ind w:left="1440" w:hanging="360"/>
      </w:pPr>
      <w:rPr>
        <w:rFonts w:ascii="Arial" w:hAnsi="Arial" w:hint="default"/>
      </w:rPr>
    </w:lvl>
    <w:lvl w:ilvl="2" w:tplc="C664954A">
      <w:start w:val="1"/>
      <w:numFmt w:val="bullet"/>
      <w:lvlText w:val="•"/>
      <w:lvlJc w:val="left"/>
      <w:pPr>
        <w:tabs>
          <w:tab w:val="num" w:pos="2160"/>
        </w:tabs>
        <w:ind w:left="2160" w:hanging="360"/>
      </w:pPr>
      <w:rPr>
        <w:rFonts w:ascii="Arial" w:hAnsi="Arial" w:hint="default"/>
      </w:rPr>
    </w:lvl>
    <w:lvl w:ilvl="3" w:tplc="DAE2ADC6" w:tentative="1">
      <w:start w:val="1"/>
      <w:numFmt w:val="bullet"/>
      <w:lvlText w:val="•"/>
      <w:lvlJc w:val="left"/>
      <w:pPr>
        <w:tabs>
          <w:tab w:val="num" w:pos="2880"/>
        </w:tabs>
        <w:ind w:left="2880" w:hanging="360"/>
      </w:pPr>
      <w:rPr>
        <w:rFonts w:ascii="Arial" w:hAnsi="Arial" w:hint="default"/>
      </w:rPr>
    </w:lvl>
    <w:lvl w:ilvl="4" w:tplc="25385E3C" w:tentative="1">
      <w:start w:val="1"/>
      <w:numFmt w:val="bullet"/>
      <w:lvlText w:val="•"/>
      <w:lvlJc w:val="left"/>
      <w:pPr>
        <w:tabs>
          <w:tab w:val="num" w:pos="3600"/>
        </w:tabs>
        <w:ind w:left="3600" w:hanging="360"/>
      </w:pPr>
      <w:rPr>
        <w:rFonts w:ascii="Arial" w:hAnsi="Arial" w:hint="default"/>
      </w:rPr>
    </w:lvl>
    <w:lvl w:ilvl="5" w:tplc="81F2C75E" w:tentative="1">
      <w:start w:val="1"/>
      <w:numFmt w:val="bullet"/>
      <w:lvlText w:val="•"/>
      <w:lvlJc w:val="left"/>
      <w:pPr>
        <w:tabs>
          <w:tab w:val="num" w:pos="4320"/>
        </w:tabs>
        <w:ind w:left="4320" w:hanging="360"/>
      </w:pPr>
      <w:rPr>
        <w:rFonts w:ascii="Arial" w:hAnsi="Arial" w:hint="default"/>
      </w:rPr>
    </w:lvl>
    <w:lvl w:ilvl="6" w:tplc="DB04CBDA" w:tentative="1">
      <w:start w:val="1"/>
      <w:numFmt w:val="bullet"/>
      <w:lvlText w:val="•"/>
      <w:lvlJc w:val="left"/>
      <w:pPr>
        <w:tabs>
          <w:tab w:val="num" w:pos="5040"/>
        </w:tabs>
        <w:ind w:left="5040" w:hanging="360"/>
      </w:pPr>
      <w:rPr>
        <w:rFonts w:ascii="Arial" w:hAnsi="Arial" w:hint="default"/>
      </w:rPr>
    </w:lvl>
    <w:lvl w:ilvl="7" w:tplc="E318973C" w:tentative="1">
      <w:start w:val="1"/>
      <w:numFmt w:val="bullet"/>
      <w:lvlText w:val="•"/>
      <w:lvlJc w:val="left"/>
      <w:pPr>
        <w:tabs>
          <w:tab w:val="num" w:pos="5760"/>
        </w:tabs>
        <w:ind w:left="5760" w:hanging="360"/>
      </w:pPr>
      <w:rPr>
        <w:rFonts w:ascii="Arial" w:hAnsi="Arial" w:hint="default"/>
      </w:rPr>
    </w:lvl>
    <w:lvl w:ilvl="8" w:tplc="5D4200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EB13ECF"/>
    <w:multiLevelType w:val="hybridMultilevel"/>
    <w:tmpl w:val="8E3ACEBC"/>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05F3DF5"/>
    <w:multiLevelType w:val="hybridMultilevel"/>
    <w:tmpl w:val="F070C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B0F8E"/>
    <w:multiLevelType w:val="hybridMultilevel"/>
    <w:tmpl w:val="C2E0BB9A"/>
    <w:lvl w:ilvl="0" w:tplc="12EC406C">
      <w:numFmt w:val="bullet"/>
      <w:lvlText w:val="-"/>
      <w:lvlJc w:val="left"/>
      <w:pPr>
        <w:ind w:left="720" w:hanging="360"/>
      </w:pPr>
      <w:rPr>
        <w:rFonts w:ascii="Cambria" w:eastAsia="SimSu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16E9D"/>
    <w:multiLevelType w:val="multilevel"/>
    <w:tmpl w:val="B2D4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F21F04"/>
    <w:multiLevelType w:val="hybridMultilevel"/>
    <w:tmpl w:val="323A49B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C5B0C93"/>
    <w:multiLevelType w:val="hybridMultilevel"/>
    <w:tmpl w:val="19262532"/>
    <w:lvl w:ilvl="0" w:tplc="70B445C0">
      <w:start w:val="1"/>
      <w:numFmt w:val="bullet"/>
      <w:lvlText w:val="•"/>
      <w:lvlJc w:val="left"/>
      <w:pPr>
        <w:tabs>
          <w:tab w:val="num" w:pos="720"/>
        </w:tabs>
        <w:ind w:left="720" w:hanging="360"/>
      </w:pPr>
      <w:rPr>
        <w:rFonts w:ascii="Arial" w:hAnsi="Arial" w:hint="default"/>
      </w:rPr>
    </w:lvl>
    <w:lvl w:ilvl="1" w:tplc="3B0249CE" w:tentative="1">
      <w:start w:val="1"/>
      <w:numFmt w:val="bullet"/>
      <w:lvlText w:val="•"/>
      <w:lvlJc w:val="left"/>
      <w:pPr>
        <w:tabs>
          <w:tab w:val="num" w:pos="1440"/>
        </w:tabs>
        <w:ind w:left="1440" w:hanging="360"/>
      </w:pPr>
      <w:rPr>
        <w:rFonts w:ascii="Arial" w:hAnsi="Arial" w:hint="default"/>
      </w:rPr>
    </w:lvl>
    <w:lvl w:ilvl="2" w:tplc="CFE62126">
      <w:start w:val="1"/>
      <w:numFmt w:val="decimal"/>
      <w:lvlText w:val="%3."/>
      <w:lvlJc w:val="left"/>
      <w:pPr>
        <w:tabs>
          <w:tab w:val="num" w:pos="2160"/>
        </w:tabs>
        <w:ind w:left="2160" w:hanging="360"/>
      </w:pPr>
    </w:lvl>
    <w:lvl w:ilvl="3" w:tplc="1B8E930A" w:tentative="1">
      <w:start w:val="1"/>
      <w:numFmt w:val="bullet"/>
      <w:lvlText w:val="•"/>
      <w:lvlJc w:val="left"/>
      <w:pPr>
        <w:tabs>
          <w:tab w:val="num" w:pos="2880"/>
        </w:tabs>
        <w:ind w:left="2880" w:hanging="360"/>
      </w:pPr>
      <w:rPr>
        <w:rFonts w:ascii="Arial" w:hAnsi="Arial" w:hint="default"/>
      </w:rPr>
    </w:lvl>
    <w:lvl w:ilvl="4" w:tplc="8B6E76DC" w:tentative="1">
      <w:start w:val="1"/>
      <w:numFmt w:val="bullet"/>
      <w:lvlText w:val="•"/>
      <w:lvlJc w:val="left"/>
      <w:pPr>
        <w:tabs>
          <w:tab w:val="num" w:pos="3600"/>
        </w:tabs>
        <w:ind w:left="3600" w:hanging="360"/>
      </w:pPr>
      <w:rPr>
        <w:rFonts w:ascii="Arial" w:hAnsi="Arial" w:hint="default"/>
      </w:rPr>
    </w:lvl>
    <w:lvl w:ilvl="5" w:tplc="5238BA1A" w:tentative="1">
      <w:start w:val="1"/>
      <w:numFmt w:val="bullet"/>
      <w:lvlText w:val="•"/>
      <w:lvlJc w:val="left"/>
      <w:pPr>
        <w:tabs>
          <w:tab w:val="num" w:pos="4320"/>
        </w:tabs>
        <w:ind w:left="4320" w:hanging="360"/>
      </w:pPr>
      <w:rPr>
        <w:rFonts w:ascii="Arial" w:hAnsi="Arial" w:hint="default"/>
      </w:rPr>
    </w:lvl>
    <w:lvl w:ilvl="6" w:tplc="F022D8C4" w:tentative="1">
      <w:start w:val="1"/>
      <w:numFmt w:val="bullet"/>
      <w:lvlText w:val="•"/>
      <w:lvlJc w:val="left"/>
      <w:pPr>
        <w:tabs>
          <w:tab w:val="num" w:pos="5040"/>
        </w:tabs>
        <w:ind w:left="5040" w:hanging="360"/>
      </w:pPr>
      <w:rPr>
        <w:rFonts w:ascii="Arial" w:hAnsi="Arial" w:hint="default"/>
      </w:rPr>
    </w:lvl>
    <w:lvl w:ilvl="7" w:tplc="541E906C" w:tentative="1">
      <w:start w:val="1"/>
      <w:numFmt w:val="bullet"/>
      <w:lvlText w:val="•"/>
      <w:lvlJc w:val="left"/>
      <w:pPr>
        <w:tabs>
          <w:tab w:val="num" w:pos="5760"/>
        </w:tabs>
        <w:ind w:left="5760" w:hanging="360"/>
      </w:pPr>
      <w:rPr>
        <w:rFonts w:ascii="Arial" w:hAnsi="Arial" w:hint="default"/>
      </w:rPr>
    </w:lvl>
    <w:lvl w:ilvl="8" w:tplc="ECF2A7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C8458B"/>
    <w:multiLevelType w:val="hybridMultilevel"/>
    <w:tmpl w:val="40DC9046"/>
    <w:lvl w:ilvl="0" w:tplc="6E702A10">
      <w:start w:val="1"/>
      <w:numFmt w:val="bullet"/>
      <w:lvlText w:val="•"/>
      <w:lvlJc w:val="left"/>
      <w:pPr>
        <w:tabs>
          <w:tab w:val="num" w:pos="720"/>
        </w:tabs>
        <w:ind w:left="720" w:hanging="360"/>
      </w:pPr>
      <w:rPr>
        <w:rFonts w:ascii="Arial" w:hAnsi="Arial" w:hint="default"/>
      </w:rPr>
    </w:lvl>
    <w:lvl w:ilvl="1" w:tplc="18F26976" w:tentative="1">
      <w:start w:val="1"/>
      <w:numFmt w:val="bullet"/>
      <w:lvlText w:val="•"/>
      <w:lvlJc w:val="left"/>
      <w:pPr>
        <w:tabs>
          <w:tab w:val="num" w:pos="1440"/>
        </w:tabs>
        <w:ind w:left="1440" w:hanging="360"/>
      </w:pPr>
      <w:rPr>
        <w:rFonts w:ascii="Arial" w:hAnsi="Arial" w:hint="default"/>
      </w:rPr>
    </w:lvl>
    <w:lvl w:ilvl="2" w:tplc="731091B4" w:tentative="1">
      <w:start w:val="1"/>
      <w:numFmt w:val="bullet"/>
      <w:lvlText w:val="•"/>
      <w:lvlJc w:val="left"/>
      <w:pPr>
        <w:tabs>
          <w:tab w:val="num" w:pos="2160"/>
        </w:tabs>
        <w:ind w:left="2160" w:hanging="360"/>
      </w:pPr>
      <w:rPr>
        <w:rFonts w:ascii="Arial" w:hAnsi="Arial" w:hint="default"/>
      </w:rPr>
    </w:lvl>
    <w:lvl w:ilvl="3" w:tplc="1D6AD4BA" w:tentative="1">
      <w:start w:val="1"/>
      <w:numFmt w:val="bullet"/>
      <w:lvlText w:val="•"/>
      <w:lvlJc w:val="left"/>
      <w:pPr>
        <w:tabs>
          <w:tab w:val="num" w:pos="2880"/>
        </w:tabs>
        <w:ind w:left="2880" w:hanging="360"/>
      </w:pPr>
      <w:rPr>
        <w:rFonts w:ascii="Arial" w:hAnsi="Arial" w:hint="default"/>
      </w:rPr>
    </w:lvl>
    <w:lvl w:ilvl="4" w:tplc="91DE7248" w:tentative="1">
      <w:start w:val="1"/>
      <w:numFmt w:val="bullet"/>
      <w:lvlText w:val="•"/>
      <w:lvlJc w:val="left"/>
      <w:pPr>
        <w:tabs>
          <w:tab w:val="num" w:pos="3600"/>
        </w:tabs>
        <w:ind w:left="3600" w:hanging="360"/>
      </w:pPr>
      <w:rPr>
        <w:rFonts w:ascii="Arial" w:hAnsi="Arial" w:hint="default"/>
      </w:rPr>
    </w:lvl>
    <w:lvl w:ilvl="5" w:tplc="D39A50C4" w:tentative="1">
      <w:start w:val="1"/>
      <w:numFmt w:val="bullet"/>
      <w:lvlText w:val="•"/>
      <w:lvlJc w:val="left"/>
      <w:pPr>
        <w:tabs>
          <w:tab w:val="num" w:pos="4320"/>
        </w:tabs>
        <w:ind w:left="4320" w:hanging="360"/>
      </w:pPr>
      <w:rPr>
        <w:rFonts w:ascii="Arial" w:hAnsi="Arial" w:hint="default"/>
      </w:rPr>
    </w:lvl>
    <w:lvl w:ilvl="6" w:tplc="DFE4BC2C" w:tentative="1">
      <w:start w:val="1"/>
      <w:numFmt w:val="bullet"/>
      <w:lvlText w:val="•"/>
      <w:lvlJc w:val="left"/>
      <w:pPr>
        <w:tabs>
          <w:tab w:val="num" w:pos="5040"/>
        </w:tabs>
        <w:ind w:left="5040" w:hanging="360"/>
      </w:pPr>
      <w:rPr>
        <w:rFonts w:ascii="Arial" w:hAnsi="Arial" w:hint="default"/>
      </w:rPr>
    </w:lvl>
    <w:lvl w:ilvl="7" w:tplc="54B04E08" w:tentative="1">
      <w:start w:val="1"/>
      <w:numFmt w:val="bullet"/>
      <w:lvlText w:val="•"/>
      <w:lvlJc w:val="left"/>
      <w:pPr>
        <w:tabs>
          <w:tab w:val="num" w:pos="5760"/>
        </w:tabs>
        <w:ind w:left="5760" w:hanging="360"/>
      </w:pPr>
      <w:rPr>
        <w:rFonts w:ascii="Arial" w:hAnsi="Arial" w:hint="default"/>
      </w:rPr>
    </w:lvl>
    <w:lvl w:ilvl="8" w:tplc="F8B84F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2437B9"/>
    <w:multiLevelType w:val="hybridMultilevel"/>
    <w:tmpl w:val="DEF63EA8"/>
    <w:lvl w:ilvl="0" w:tplc="05BC7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802E7"/>
    <w:multiLevelType w:val="hybridMultilevel"/>
    <w:tmpl w:val="36746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614C40"/>
    <w:multiLevelType w:val="hybridMultilevel"/>
    <w:tmpl w:val="04CC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3325C"/>
    <w:multiLevelType w:val="hybridMultilevel"/>
    <w:tmpl w:val="7BE8F0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4B5ECE"/>
    <w:multiLevelType w:val="hybridMultilevel"/>
    <w:tmpl w:val="D9F07742"/>
    <w:lvl w:ilvl="0" w:tplc="B7EEBE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F7FFB"/>
    <w:multiLevelType w:val="hybridMultilevel"/>
    <w:tmpl w:val="E86E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21"/>
  </w:num>
  <w:num w:numId="4">
    <w:abstractNumId w:val="20"/>
  </w:num>
  <w:num w:numId="5">
    <w:abstractNumId w:val="11"/>
  </w:num>
  <w:num w:numId="6">
    <w:abstractNumId w:val="0"/>
  </w:num>
  <w:num w:numId="7">
    <w:abstractNumId w:val="10"/>
  </w:num>
  <w:num w:numId="8">
    <w:abstractNumId w:val="18"/>
  </w:num>
  <w:num w:numId="9">
    <w:abstractNumId w:val="2"/>
  </w:num>
  <w:num w:numId="10">
    <w:abstractNumId w:val="8"/>
  </w:num>
  <w:num w:numId="11">
    <w:abstractNumId w:val="14"/>
  </w:num>
  <w:num w:numId="12">
    <w:abstractNumId w:val="6"/>
  </w:num>
  <w:num w:numId="13">
    <w:abstractNumId w:val="1"/>
  </w:num>
  <w:num w:numId="14">
    <w:abstractNumId w:val="15"/>
  </w:num>
  <w:num w:numId="15">
    <w:abstractNumId w:val="17"/>
  </w:num>
  <w:num w:numId="16">
    <w:abstractNumId w:val="12"/>
  </w:num>
  <w:num w:numId="17">
    <w:abstractNumId w:val="3"/>
  </w:num>
  <w:num w:numId="18">
    <w:abstractNumId w:val="4"/>
  </w:num>
  <w:num w:numId="19">
    <w:abstractNumId w:val="16"/>
  </w:num>
  <w:num w:numId="20">
    <w:abstractNumId w:val="7"/>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E8"/>
    <w:rsid w:val="00000FA5"/>
    <w:rsid w:val="00003741"/>
    <w:rsid w:val="00011663"/>
    <w:rsid w:val="000156D2"/>
    <w:rsid w:val="00022FA2"/>
    <w:rsid w:val="00024B99"/>
    <w:rsid w:val="00026A25"/>
    <w:rsid w:val="00040625"/>
    <w:rsid w:val="00044AA0"/>
    <w:rsid w:val="000476D1"/>
    <w:rsid w:val="00074455"/>
    <w:rsid w:val="0008745C"/>
    <w:rsid w:val="00087ECB"/>
    <w:rsid w:val="000901C7"/>
    <w:rsid w:val="00095EF0"/>
    <w:rsid w:val="000A2A41"/>
    <w:rsid w:val="000C0936"/>
    <w:rsid w:val="000C0CAB"/>
    <w:rsid w:val="000C6073"/>
    <w:rsid w:val="000D13A3"/>
    <w:rsid w:val="000E1309"/>
    <w:rsid w:val="000E1FFB"/>
    <w:rsid w:val="000E211D"/>
    <w:rsid w:val="000E4BCE"/>
    <w:rsid w:val="000F4808"/>
    <w:rsid w:val="001055DB"/>
    <w:rsid w:val="00116EA5"/>
    <w:rsid w:val="0011718F"/>
    <w:rsid w:val="00143941"/>
    <w:rsid w:val="00146EDC"/>
    <w:rsid w:val="0016155D"/>
    <w:rsid w:val="001733A2"/>
    <w:rsid w:val="001740BB"/>
    <w:rsid w:val="00177D8C"/>
    <w:rsid w:val="0018267F"/>
    <w:rsid w:val="0018412F"/>
    <w:rsid w:val="00185A2B"/>
    <w:rsid w:val="001860FD"/>
    <w:rsid w:val="00186772"/>
    <w:rsid w:val="001879B0"/>
    <w:rsid w:val="00197702"/>
    <w:rsid w:val="001B3AB7"/>
    <w:rsid w:val="001B4050"/>
    <w:rsid w:val="001B68C5"/>
    <w:rsid w:val="001C051C"/>
    <w:rsid w:val="001C173E"/>
    <w:rsid w:val="001C256A"/>
    <w:rsid w:val="001C545F"/>
    <w:rsid w:val="001D01FF"/>
    <w:rsid w:val="001D0BD8"/>
    <w:rsid w:val="001D295D"/>
    <w:rsid w:val="001D5B48"/>
    <w:rsid w:val="001D5B51"/>
    <w:rsid w:val="001D5F80"/>
    <w:rsid w:val="001E0B80"/>
    <w:rsid w:val="001E3002"/>
    <w:rsid w:val="001F12DD"/>
    <w:rsid w:val="001F2834"/>
    <w:rsid w:val="001F5EA9"/>
    <w:rsid w:val="00203CBA"/>
    <w:rsid w:val="002063E0"/>
    <w:rsid w:val="0021299A"/>
    <w:rsid w:val="002242CF"/>
    <w:rsid w:val="00224EA1"/>
    <w:rsid w:val="002253C4"/>
    <w:rsid w:val="00226887"/>
    <w:rsid w:val="00226F8D"/>
    <w:rsid w:val="00243E0F"/>
    <w:rsid w:val="002443C2"/>
    <w:rsid w:val="00245E12"/>
    <w:rsid w:val="00253311"/>
    <w:rsid w:val="00254236"/>
    <w:rsid w:val="00257E95"/>
    <w:rsid w:val="00264285"/>
    <w:rsid w:val="00290F90"/>
    <w:rsid w:val="0029342A"/>
    <w:rsid w:val="002957D3"/>
    <w:rsid w:val="002A7C01"/>
    <w:rsid w:val="002B3ECF"/>
    <w:rsid w:val="002B72C4"/>
    <w:rsid w:val="002C2822"/>
    <w:rsid w:val="002C2AB8"/>
    <w:rsid w:val="002C5DA9"/>
    <w:rsid w:val="002E6EB7"/>
    <w:rsid w:val="0030611C"/>
    <w:rsid w:val="00311334"/>
    <w:rsid w:val="003125ED"/>
    <w:rsid w:val="00314CD6"/>
    <w:rsid w:val="00315BE1"/>
    <w:rsid w:val="003175EE"/>
    <w:rsid w:val="00322A6B"/>
    <w:rsid w:val="00323F4E"/>
    <w:rsid w:val="0033535A"/>
    <w:rsid w:val="0033770A"/>
    <w:rsid w:val="00340BF3"/>
    <w:rsid w:val="0034333E"/>
    <w:rsid w:val="0034621B"/>
    <w:rsid w:val="0034683E"/>
    <w:rsid w:val="00346DBD"/>
    <w:rsid w:val="003472EE"/>
    <w:rsid w:val="00347419"/>
    <w:rsid w:val="003521A3"/>
    <w:rsid w:val="00353898"/>
    <w:rsid w:val="00353D57"/>
    <w:rsid w:val="0035538B"/>
    <w:rsid w:val="00365647"/>
    <w:rsid w:val="00365E48"/>
    <w:rsid w:val="003667A4"/>
    <w:rsid w:val="003732BE"/>
    <w:rsid w:val="00376DA2"/>
    <w:rsid w:val="0038213F"/>
    <w:rsid w:val="0038438B"/>
    <w:rsid w:val="00386626"/>
    <w:rsid w:val="00390A92"/>
    <w:rsid w:val="00390E59"/>
    <w:rsid w:val="003913F1"/>
    <w:rsid w:val="00392F4C"/>
    <w:rsid w:val="0039664E"/>
    <w:rsid w:val="00396CEE"/>
    <w:rsid w:val="003A1A48"/>
    <w:rsid w:val="003A2B1A"/>
    <w:rsid w:val="003A3D0A"/>
    <w:rsid w:val="003A4067"/>
    <w:rsid w:val="003A40E7"/>
    <w:rsid w:val="003A4FEE"/>
    <w:rsid w:val="003A5916"/>
    <w:rsid w:val="003B45E9"/>
    <w:rsid w:val="003B6F62"/>
    <w:rsid w:val="003C35B6"/>
    <w:rsid w:val="003C4B87"/>
    <w:rsid w:val="003C69C2"/>
    <w:rsid w:val="003C7813"/>
    <w:rsid w:val="003D5F37"/>
    <w:rsid w:val="003E338E"/>
    <w:rsid w:val="003F2109"/>
    <w:rsid w:val="003F2A64"/>
    <w:rsid w:val="003F6051"/>
    <w:rsid w:val="00403179"/>
    <w:rsid w:val="004076CB"/>
    <w:rsid w:val="004163F1"/>
    <w:rsid w:val="00430453"/>
    <w:rsid w:val="00435FBE"/>
    <w:rsid w:val="004516E7"/>
    <w:rsid w:val="00454059"/>
    <w:rsid w:val="00454BE5"/>
    <w:rsid w:val="00457A8B"/>
    <w:rsid w:val="004659A6"/>
    <w:rsid w:val="00467E99"/>
    <w:rsid w:val="00467F2A"/>
    <w:rsid w:val="00470656"/>
    <w:rsid w:val="00471A54"/>
    <w:rsid w:val="00473EDB"/>
    <w:rsid w:val="004822F9"/>
    <w:rsid w:val="00482B4D"/>
    <w:rsid w:val="00490E83"/>
    <w:rsid w:val="00493525"/>
    <w:rsid w:val="004963FD"/>
    <w:rsid w:val="00497289"/>
    <w:rsid w:val="004B22F5"/>
    <w:rsid w:val="004C7C83"/>
    <w:rsid w:val="004D3428"/>
    <w:rsid w:val="004D4470"/>
    <w:rsid w:val="004D7E15"/>
    <w:rsid w:val="004E14E8"/>
    <w:rsid w:val="004E360D"/>
    <w:rsid w:val="004E567D"/>
    <w:rsid w:val="004E73DA"/>
    <w:rsid w:val="004E7792"/>
    <w:rsid w:val="004F6F2C"/>
    <w:rsid w:val="004F794E"/>
    <w:rsid w:val="005011EB"/>
    <w:rsid w:val="00504E2C"/>
    <w:rsid w:val="00511AFB"/>
    <w:rsid w:val="00512540"/>
    <w:rsid w:val="005158FB"/>
    <w:rsid w:val="0052227B"/>
    <w:rsid w:val="00530949"/>
    <w:rsid w:val="00530C1F"/>
    <w:rsid w:val="00545092"/>
    <w:rsid w:val="00551D52"/>
    <w:rsid w:val="00554FCE"/>
    <w:rsid w:val="005604F6"/>
    <w:rsid w:val="005655C7"/>
    <w:rsid w:val="005704C2"/>
    <w:rsid w:val="005754EA"/>
    <w:rsid w:val="00576E83"/>
    <w:rsid w:val="00577CB1"/>
    <w:rsid w:val="005838F9"/>
    <w:rsid w:val="005920EB"/>
    <w:rsid w:val="00593AE2"/>
    <w:rsid w:val="005941E4"/>
    <w:rsid w:val="00596FD2"/>
    <w:rsid w:val="005A2463"/>
    <w:rsid w:val="005B2C56"/>
    <w:rsid w:val="005B4A58"/>
    <w:rsid w:val="005C22B4"/>
    <w:rsid w:val="005D017C"/>
    <w:rsid w:val="005D01F8"/>
    <w:rsid w:val="005D0B5D"/>
    <w:rsid w:val="005E65D4"/>
    <w:rsid w:val="005E7784"/>
    <w:rsid w:val="005F5437"/>
    <w:rsid w:val="005F6E84"/>
    <w:rsid w:val="00601A35"/>
    <w:rsid w:val="00605F39"/>
    <w:rsid w:val="00613AE6"/>
    <w:rsid w:val="006153E1"/>
    <w:rsid w:val="006219FE"/>
    <w:rsid w:val="00622718"/>
    <w:rsid w:val="00624A51"/>
    <w:rsid w:val="006313F5"/>
    <w:rsid w:val="00634F7A"/>
    <w:rsid w:val="00640D5A"/>
    <w:rsid w:val="006438E0"/>
    <w:rsid w:val="00647FC3"/>
    <w:rsid w:val="00652736"/>
    <w:rsid w:val="0065596C"/>
    <w:rsid w:val="0066200D"/>
    <w:rsid w:val="00663791"/>
    <w:rsid w:val="00664A3B"/>
    <w:rsid w:val="00667975"/>
    <w:rsid w:val="00667A3A"/>
    <w:rsid w:val="00667A7D"/>
    <w:rsid w:val="006726FC"/>
    <w:rsid w:val="006765FF"/>
    <w:rsid w:val="00681E31"/>
    <w:rsid w:val="00683378"/>
    <w:rsid w:val="00684555"/>
    <w:rsid w:val="00685DD1"/>
    <w:rsid w:val="0069314E"/>
    <w:rsid w:val="006A6065"/>
    <w:rsid w:val="006A7ABA"/>
    <w:rsid w:val="006B0F17"/>
    <w:rsid w:val="006B2386"/>
    <w:rsid w:val="006B51FC"/>
    <w:rsid w:val="006C161E"/>
    <w:rsid w:val="006E1224"/>
    <w:rsid w:val="006E225B"/>
    <w:rsid w:val="006E45AE"/>
    <w:rsid w:val="006E4D30"/>
    <w:rsid w:val="006F5CA5"/>
    <w:rsid w:val="006F5D11"/>
    <w:rsid w:val="006F6629"/>
    <w:rsid w:val="006F6EBE"/>
    <w:rsid w:val="0070103F"/>
    <w:rsid w:val="00701A09"/>
    <w:rsid w:val="007334B7"/>
    <w:rsid w:val="00742642"/>
    <w:rsid w:val="00751A7E"/>
    <w:rsid w:val="00757EA0"/>
    <w:rsid w:val="007617D9"/>
    <w:rsid w:val="00767D0F"/>
    <w:rsid w:val="007703E9"/>
    <w:rsid w:val="007717C8"/>
    <w:rsid w:val="00771C81"/>
    <w:rsid w:val="00771CA1"/>
    <w:rsid w:val="00774729"/>
    <w:rsid w:val="00780BB7"/>
    <w:rsid w:val="007847BE"/>
    <w:rsid w:val="00785140"/>
    <w:rsid w:val="0078515B"/>
    <w:rsid w:val="00791A93"/>
    <w:rsid w:val="007957DA"/>
    <w:rsid w:val="007B23CB"/>
    <w:rsid w:val="007B55F2"/>
    <w:rsid w:val="007C7C08"/>
    <w:rsid w:val="007D0FB0"/>
    <w:rsid w:val="007D480D"/>
    <w:rsid w:val="007F4C9E"/>
    <w:rsid w:val="007F5524"/>
    <w:rsid w:val="008042BA"/>
    <w:rsid w:val="00804E5A"/>
    <w:rsid w:val="00805E0A"/>
    <w:rsid w:val="008108CE"/>
    <w:rsid w:val="008134D5"/>
    <w:rsid w:val="00816146"/>
    <w:rsid w:val="008202A0"/>
    <w:rsid w:val="00852782"/>
    <w:rsid w:val="00853615"/>
    <w:rsid w:val="008566A9"/>
    <w:rsid w:val="0086290B"/>
    <w:rsid w:val="00871893"/>
    <w:rsid w:val="00882A15"/>
    <w:rsid w:val="00885DCE"/>
    <w:rsid w:val="00893ED6"/>
    <w:rsid w:val="00894F31"/>
    <w:rsid w:val="00895D21"/>
    <w:rsid w:val="008A4F6C"/>
    <w:rsid w:val="008A71D1"/>
    <w:rsid w:val="008B5F75"/>
    <w:rsid w:val="008C7841"/>
    <w:rsid w:val="008D5F68"/>
    <w:rsid w:val="008D618F"/>
    <w:rsid w:val="008E164F"/>
    <w:rsid w:val="008E6F6D"/>
    <w:rsid w:val="00906734"/>
    <w:rsid w:val="00906C02"/>
    <w:rsid w:val="00906F55"/>
    <w:rsid w:val="00927A43"/>
    <w:rsid w:val="00930583"/>
    <w:rsid w:val="009314A8"/>
    <w:rsid w:val="0093307C"/>
    <w:rsid w:val="009350F4"/>
    <w:rsid w:val="00940962"/>
    <w:rsid w:val="00941CFF"/>
    <w:rsid w:val="00951187"/>
    <w:rsid w:val="00954405"/>
    <w:rsid w:val="00962D62"/>
    <w:rsid w:val="00963D48"/>
    <w:rsid w:val="00964414"/>
    <w:rsid w:val="009664CB"/>
    <w:rsid w:val="00975451"/>
    <w:rsid w:val="0097700D"/>
    <w:rsid w:val="00977504"/>
    <w:rsid w:val="00985516"/>
    <w:rsid w:val="00985580"/>
    <w:rsid w:val="00987215"/>
    <w:rsid w:val="009954D0"/>
    <w:rsid w:val="009A197E"/>
    <w:rsid w:val="009B7338"/>
    <w:rsid w:val="009C37C6"/>
    <w:rsid w:val="009C7050"/>
    <w:rsid w:val="009D2FD6"/>
    <w:rsid w:val="009D3D60"/>
    <w:rsid w:val="009D62D9"/>
    <w:rsid w:val="009E45A6"/>
    <w:rsid w:val="009E466D"/>
    <w:rsid w:val="009F13A1"/>
    <w:rsid w:val="009F2153"/>
    <w:rsid w:val="009F484F"/>
    <w:rsid w:val="00A05DE0"/>
    <w:rsid w:val="00A23D9C"/>
    <w:rsid w:val="00A27924"/>
    <w:rsid w:val="00A35D2F"/>
    <w:rsid w:val="00A41A90"/>
    <w:rsid w:val="00A53031"/>
    <w:rsid w:val="00A55319"/>
    <w:rsid w:val="00A663A0"/>
    <w:rsid w:val="00A7489D"/>
    <w:rsid w:val="00A818B8"/>
    <w:rsid w:val="00A82300"/>
    <w:rsid w:val="00A82F03"/>
    <w:rsid w:val="00A91CDF"/>
    <w:rsid w:val="00A973C2"/>
    <w:rsid w:val="00AA0CCE"/>
    <w:rsid w:val="00AA2CF7"/>
    <w:rsid w:val="00AB3524"/>
    <w:rsid w:val="00AB5E6F"/>
    <w:rsid w:val="00AC081E"/>
    <w:rsid w:val="00AE7621"/>
    <w:rsid w:val="00AE7A1A"/>
    <w:rsid w:val="00AF3FB4"/>
    <w:rsid w:val="00AF4CA9"/>
    <w:rsid w:val="00AF4CC8"/>
    <w:rsid w:val="00B01788"/>
    <w:rsid w:val="00B031B8"/>
    <w:rsid w:val="00B126B2"/>
    <w:rsid w:val="00B2071C"/>
    <w:rsid w:val="00B2358C"/>
    <w:rsid w:val="00B2600E"/>
    <w:rsid w:val="00B3753F"/>
    <w:rsid w:val="00B5749B"/>
    <w:rsid w:val="00B57536"/>
    <w:rsid w:val="00B60ED0"/>
    <w:rsid w:val="00B631FB"/>
    <w:rsid w:val="00B67CBD"/>
    <w:rsid w:val="00B74052"/>
    <w:rsid w:val="00B74324"/>
    <w:rsid w:val="00B7718F"/>
    <w:rsid w:val="00BA1ADC"/>
    <w:rsid w:val="00BB013A"/>
    <w:rsid w:val="00BB0659"/>
    <w:rsid w:val="00BB3507"/>
    <w:rsid w:val="00BB4524"/>
    <w:rsid w:val="00BC0504"/>
    <w:rsid w:val="00BC5C2E"/>
    <w:rsid w:val="00BD0AB9"/>
    <w:rsid w:val="00BD2FBD"/>
    <w:rsid w:val="00BD4D82"/>
    <w:rsid w:val="00BD784B"/>
    <w:rsid w:val="00BE0477"/>
    <w:rsid w:val="00BE3B43"/>
    <w:rsid w:val="00BF5758"/>
    <w:rsid w:val="00BF72DD"/>
    <w:rsid w:val="00C005DE"/>
    <w:rsid w:val="00C052BD"/>
    <w:rsid w:val="00C0712A"/>
    <w:rsid w:val="00C10F49"/>
    <w:rsid w:val="00C1555C"/>
    <w:rsid w:val="00C2241C"/>
    <w:rsid w:val="00C3067B"/>
    <w:rsid w:val="00C30862"/>
    <w:rsid w:val="00C31A54"/>
    <w:rsid w:val="00C32809"/>
    <w:rsid w:val="00C36169"/>
    <w:rsid w:val="00C45064"/>
    <w:rsid w:val="00C528FC"/>
    <w:rsid w:val="00C53B10"/>
    <w:rsid w:val="00C622C3"/>
    <w:rsid w:val="00C64F1C"/>
    <w:rsid w:val="00C67D42"/>
    <w:rsid w:val="00C7712D"/>
    <w:rsid w:val="00C77558"/>
    <w:rsid w:val="00C829EE"/>
    <w:rsid w:val="00C9334B"/>
    <w:rsid w:val="00CB1335"/>
    <w:rsid w:val="00CB1FC8"/>
    <w:rsid w:val="00CB6BC0"/>
    <w:rsid w:val="00CC5EED"/>
    <w:rsid w:val="00CC6D23"/>
    <w:rsid w:val="00CD42F2"/>
    <w:rsid w:val="00CE5CE8"/>
    <w:rsid w:val="00CF0543"/>
    <w:rsid w:val="00CF16B5"/>
    <w:rsid w:val="00CF3709"/>
    <w:rsid w:val="00CF7EA8"/>
    <w:rsid w:val="00D11E77"/>
    <w:rsid w:val="00D1572D"/>
    <w:rsid w:val="00D16C9F"/>
    <w:rsid w:val="00D2090E"/>
    <w:rsid w:val="00D21B3E"/>
    <w:rsid w:val="00D21B67"/>
    <w:rsid w:val="00D266C1"/>
    <w:rsid w:val="00D33985"/>
    <w:rsid w:val="00D33BA4"/>
    <w:rsid w:val="00D342D8"/>
    <w:rsid w:val="00D440F7"/>
    <w:rsid w:val="00D4569E"/>
    <w:rsid w:val="00D475B1"/>
    <w:rsid w:val="00D47F1E"/>
    <w:rsid w:val="00D543DD"/>
    <w:rsid w:val="00D63E4B"/>
    <w:rsid w:val="00D66345"/>
    <w:rsid w:val="00D705CE"/>
    <w:rsid w:val="00D75542"/>
    <w:rsid w:val="00D81ACA"/>
    <w:rsid w:val="00D83AA2"/>
    <w:rsid w:val="00D90233"/>
    <w:rsid w:val="00D91271"/>
    <w:rsid w:val="00D92B47"/>
    <w:rsid w:val="00D942E7"/>
    <w:rsid w:val="00D9459D"/>
    <w:rsid w:val="00DA09F3"/>
    <w:rsid w:val="00DA2770"/>
    <w:rsid w:val="00DA43BE"/>
    <w:rsid w:val="00DB176D"/>
    <w:rsid w:val="00DB1779"/>
    <w:rsid w:val="00DC56B8"/>
    <w:rsid w:val="00DE341C"/>
    <w:rsid w:val="00DE474B"/>
    <w:rsid w:val="00DF0FF9"/>
    <w:rsid w:val="00DF144A"/>
    <w:rsid w:val="00DF1FD9"/>
    <w:rsid w:val="00DF21E6"/>
    <w:rsid w:val="00DF4204"/>
    <w:rsid w:val="00DF4472"/>
    <w:rsid w:val="00DF7F0D"/>
    <w:rsid w:val="00E02C67"/>
    <w:rsid w:val="00E06ED5"/>
    <w:rsid w:val="00E21DE1"/>
    <w:rsid w:val="00E23173"/>
    <w:rsid w:val="00E23AC2"/>
    <w:rsid w:val="00E253DA"/>
    <w:rsid w:val="00E3256F"/>
    <w:rsid w:val="00E36024"/>
    <w:rsid w:val="00E418B9"/>
    <w:rsid w:val="00E44F0A"/>
    <w:rsid w:val="00E47AE9"/>
    <w:rsid w:val="00E50359"/>
    <w:rsid w:val="00E53037"/>
    <w:rsid w:val="00E55391"/>
    <w:rsid w:val="00E62052"/>
    <w:rsid w:val="00E632AC"/>
    <w:rsid w:val="00E7136B"/>
    <w:rsid w:val="00E81218"/>
    <w:rsid w:val="00E84B72"/>
    <w:rsid w:val="00EA24B8"/>
    <w:rsid w:val="00EA3378"/>
    <w:rsid w:val="00EA625C"/>
    <w:rsid w:val="00ED1256"/>
    <w:rsid w:val="00ED4E56"/>
    <w:rsid w:val="00EE14F7"/>
    <w:rsid w:val="00EE1F37"/>
    <w:rsid w:val="00EE46F7"/>
    <w:rsid w:val="00F04306"/>
    <w:rsid w:val="00F06E99"/>
    <w:rsid w:val="00F073CD"/>
    <w:rsid w:val="00F14793"/>
    <w:rsid w:val="00F32B6E"/>
    <w:rsid w:val="00F430EE"/>
    <w:rsid w:val="00F45C0E"/>
    <w:rsid w:val="00F50A40"/>
    <w:rsid w:val="00F60EA6"/>
    <w:rsid w:val="00F61044"/>
    <w:rsid w:val="00F63D53"/>
    <w:rsid w:val="00F6570C"/>
    <w:rsid w:val="00F73068"/>
    <w:rsid w:val="00F852FF"/>
    <w:rsid w:val="00F90BA6"/>
    <w:rsid w:val="00F96947"/>
    <w:rsid w:val="00FA227B"/>
    <w:rsid w:val="00FA50C6"/>
    <w:rsid w:val="00FA5998"/>
    <w:rsid w:val="00FB2EEF"/>
    <w:rsid w:val="00FB60CF"/>
    <w:rsid w:val="00FC6A48"/>
    <w:rsid w:val="00FD48E5"/>
    <w:rsid w:val="00FE176B"/>
    <w:rsid w:val="00FE777C"/>
    <w:rsid w:val="00FF4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7821FC6"/>
  <w15:chartTrackingRefBased/>
  <w15:docId w15:val="{36EDFB92-91D0-48A5-8ECD-49B1BF4C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EC"/>
    </w:rPr>
  </w:style>
  <w:style w:type="paragraph" w:styleId="Heading1">
    <w:name w:val="heading 1"/>
    <w:basedOn w:val="Normal"/>
    <w:next w:val="Normal"/>
    <w:link w:val="Heading1Char"/>
    <w:uiPriority w:val="9"/>
    <w:qFormat/>
    <w:rsid w:val="00D11E77"/>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fn,single space,FOOTNOTES,Footnote Text Char1,Footnote Text Char Char,ft,Footnote,FN, Car,Footnote Text.SES Car,Footnote Text.SES,Footnote Text Char1 Char1,footnote,F,Footnote Text Char2,footn"/>
    <w:basedOn w:val="Normal"/>
    <w:link w:val="FootnoteTextChar"/>
    <w:uiPriority w:val="99"/>
    <w:unhideWhenUsed/>
    <w:qFormat/>
    <w:rsid w:val="004E14E8"/>
    <w:rPr>
      <w:sz w:val="20"/>
      <w:szCs w:val="20"/>
    </w:rPr>
  </w:style>
  <w:style w:type="character" w:customStyle="1" w:styleId="FootnoteTextChar">
    <w:name w:val="Footnote Text Char"/>
    <w:aliases w:val="Footnote Text Char Char Char Char Char Char Char,fn Char,single space Char,FOOTNOTES Char,Footnote Text Char1 Char,Footnote Text Char Char Char,ft Char,Footnote Char,FN Char, Car Char,Footnote Text.SES Car Char,Footnote Text.SES Char"/>
    <w:link w:val="FootnoteText"/>
    <w:uiPriority w:val="99"/>
    <w:rsid w:val="004E14E8"/>
    <w:rPr>
      <w:lang w:val="es-EC"/>
    </w:rPr>
  </w:style>
  <w:style w:type="character" w:styleId="FootnoteReference">
    <w:name w:val="footnote reference"/>
    <w:uiPriority w:val="99"/>
    <w:unhideWhenUsed/>
    <w:rsid w:val="004E14E8"/>
    <w:rPr>
      <w:vertAlign w:val="superscript"/>
    </w:rPr>
  </w:style>
  <w:style w:type="paragraph" w:styleId="MediumGrid2-Accent1">
    <w:name w:val="Medium Grid 2 Accent 1"/>
    <w:uiPriority w:val="1"/>
    <w:qFormat/>
    <w:rsid w:val="004E14E8"/>
    <w:rPr>
      <w:sz w:val="22"/>
      <w:szCs w:val="22"/>
      <w:lang w:val="es-EC"/>
    </w:rPr>
  </w:style>
  <w:style w:type="paragraph" w:styleId="Header">
    <w:name w:val="header"/>
    <w:basedOn w:val="Normal"/>
    <w:link w:val="HeaderChar"/>
    <w:uiPriority w:val="99"/>
    <w:unhideWhenUsed/>
    <w:rsid w:val="00024B99"/>
    <w:pPr>
      <w:tabs>
        <w:tab w:val="center" w:pos="4680"/>
        <w:tab w:val="right" w:pos="9360"/>
      </w:tabs>
    </w:pPr>
  </w:style>
  <w:style w:type="character" w:customStyle="1" w:styleId="HeaderChar">
    <w:name w:val="Header Char"/>
    <w:link w:val="Header"/>
    <w:uiPriority w:val="99"/>
    <w:rsid w:val="00024B99"/>
    <w:rPr>
      <w:sz w:val="22"/>
      <w:szCs w:val="22"/>
      <w:lang w:val="es-EC"/>
    </w:rPr>
  </w:style>
  <w:style w:type="paragraph" w:styleId="Footer">
    <w:name w:val="footer"/>
    <w:basedOn w:val="Normal"/>
    <w:link w:val="FooterChar"/>
    <w:uiPriority w:val="99"/>
    <w:unhideWhenUsed/>
    <w:rsid w:val="00024B99"/>
    <w:pPr>
      <w:tabs>
        <w:tab w:val="center" w:pos="4680"/>
        <w:tab w:val="right" w:pos="9360"/>
      </w:tabs>
    </w:pPr>
  </w:style>
  <w:style w:type="character" w:customStyle="1" w:styleId="FooterChar">
    <w:name w:val="Footer Char"/>
    <w:link w:val="Footer"/>
    <w:uiPriority w:val="99"/>
    <w:rsid w:val="00024B99"/>
    <w:rPr>
      <w:sz w:val="22"/>
      <w:szCs w:val="22"/>
      <w:lang w:val="es-EC"/>
    </w:rPr>
  </w:style>
  <w:style w:type="character" w:styleId="Hyperlink">
    <w:name w:val="Hyperlink"/>
    <w:uiPriority w:val="99"/>
    <w:unhideWhenUsed/>
    <w:rsid w:val="00074455"/>
    <w:rPr>
      <w:color w:val="0563C1"/>
      <w:u w:val="single"/>
    </w:rPr>
  </w:style>
  <w:style w:type="paragraph" w:styleId="EndnoteText">
    <w:name w:val="endnote text"/>
    <w:basedOn w:val="Normal"/>
    <w:link w:val="EndnoteTextChar"/>
    <w:uiPriority w:val="99"/>
    <w:semiHidden/>
    <w:unhideWhenUsed/>
    <w:rsid w:val="009E466D"/>
    <w:rPr>
      <w:sz w:val="20"/>
      <w:szCs w:val="20"/>
    </w:rPr>
  </w:style>
  <w:style w:type="character" w:customStyle="1" w:styleId="EndnoteTextChar">
    <w:name w:val="Endnote Text Char"/>
    <w:link w:val="EndnoteText"/>
    <w:uiPriority w:val="99"/>
    <w:semiHidden/>
    <w:rsid w:val="009E466D"/>
    <w:rPr>
      <w:lang w:val="es-EC"/>
    </w:rPr>
  </w:style>
  <w:style w:type="character" w:styleId="EndnoteReference">
    <w:name w:val="endnote reference"/>
    <w:uiPriority w:val="99"/>
    <w:semiHidden/>
    <w:unhideWhenUsed/>
    <w:rsid w:val="009E466D"/>
    <w:rPr>
      <w:vertAlign w:val="superscript"/>
    </w:rPr>
  </w:style>
  <w:style w:type="paragraph" w:styleId="MediumGrid1-Accent2">
    <w:name w:val="Medium Grid 1 Accent 2"/>
    <w:basedOn w:val="Normal"/>
    <w:uiPriority w:val="34"/>
    <w:qFormat/>
    <w:rsid w:val="003E338E"/>
    <w:pPr>
      <w:spacing w:after="160" w:line="259" w:lineRule="auto"/>
      <w:ind w:left="720"/>
      <w:contextualSpacing/>
    </w:pPr>
    <w:rPr>
      <w:lang w:val="es-ES_tradnl"/>
    </w:rPr>
  </w:style>
  <w:style w:type="paragraph" w:styleId="BlockText">
    <w:name w:val="Block Text"/>
    <w:basedOn w:val="Normal"/>
    <w:uiPriority w:val="99"/>
    <w:semiHidden/>
    <w:unhideWhenUsed/>
    <w:rsid w:val="00DF4472"/>
    <w:pPr>
      <w:spacing w:after="120"/>
      <w:ind w:left="1440" w:right="1440"/>
    </w:pPr>
  </w:style>
  <w:style w:type="paragraph" w:styleId="BalloonText">
    <w:name w:val="Balloon Text"/>
    <w:basedOn w:val="Normal"/>
    <w:link w:val="BalloonTextChar"/>
    <w:uiPriority w:val="99"/>
    <w:semiHidden/>
    <w:unhideWhenUsed/>
    <w:rsid w:val="00DA09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09F3"/>
    <w:rPr>
      <w:rFonts w:ascii="Segoe UI" w:hAnsi="Segoe UI" w:cs="Segoe UI"/>
      <w:sz w:val="18"/>
      <w:szCs w:val="18"/>
      <w:lang w:val="es-EC"/>
    </w:rPr>
  </w:style>
  <w:style w:type="character" w:styleId="CommentReference">
    <w:name w:val="annotation reference"/>
    <w:uiPriority w:val="99"/>
    <w:semiHidden/>
    <w:unhideWhenUsed/>
    <w:rsid w:val="00C31A54"/>
    <w:rPr>
      <w:sz w:val="16"/>
      <w:szCs w:val="16"/>
    </w:rPr>
  </w:style>
  <w:style w:type="paragraph" w:styleId="CommentText">
    <w:name w:val="annotation text"/>
    <w:basedOn w:val="Normal"/>
    <w:link w:val="CommentTextChar"/>
    <w:uiPriority w:val="99"/>
    <w:semiHidden/>
    <w:unhideWhenUsed/>
    <w:rsid w:val="00C31A54"/>
    <w:rPr>
      <w:sz w:val="20"/>
      <w:szCs w:val="20"/>
    </w:rPr>
  </w:style>
  <w:style w:type="character" w:customStyle="1" w:styleId="CommentTextChar">
    <w:name w:val="Comment Text Char"/>
    <w:link w:val="CommentText"/>
    <w:uiPriority w:val="99"/>
    <w:semiHidden/>
    <w:rsid w:val="00C31A54"/>
    <w:rPr>
      <w:lang w:val="es-EC"/>
    </w:rPr>
  </w:style>
  <w:style w:type="paragraph" w:styleId="CommentSubject">
    <w:name w:val="annotation subject"/>
    <w:basedOn w:val="CommentText"/>
    <w:next w:val="CommentText"/>
    <w:link w:val="CommentSubjectChar"/>
    <w:uiPriority w:val="99"/>
    <w:semiHidden/>
    <w:unhideWhenUsed/>
    <w:rsid w:val="00C31A54"/>
    <w:rPr>
      <w:b/>
      <w:bCs/>
    </w:rPr>
  </w:style>
  <w:style w:type="character" w:customStyle="1" w:styleId="CommentSubjectChar">
    <w:name w:val="Comment Subject Char"/>
    <w:link w:val="CommentSubject"/>
    <w:uiPriority w:val="99"/>
    <w:semiHidden/>
    <w:rsid w:val="00C31A54"/>
    <w:rPr>
      <w:b/>
      <w:bCs/>
      <w:lang w:val="es-EC"/>
    </w:rPr>
  </w:style>
  <w:style w:type="character" w:styleId="FollowedHyperlink">
    <w:name w:val="FollowedHyperlink"/>
    <w:uiPriority w:val="99"/>
    <w:semiHidden/>
    <w:unhideWhenUsed/>
    <w:rsid w:val="009350F4"/>
    <w:rPr>
      <w:color w:val="954F72"/>
      <w:u w:val="single"/>
    </w:rPr>
  </w:style>
  <w:style w:type="character" w:customStyle="1" w:styleId="Heading1Char">
    <w:name w:val="Heading 1 Char"/>
    <w:link w:val="Heading1"/>
    <w:uiPriority w:val="9"/>
    <w:rsid w:val="00D11E77"/>
    <w:rPr>
      <w:rFonts w:ascii="Calibri Light" w:eastAsia="Times New Roman" w:hAnsi="Calibri Light" w:cs="Times New Roman"/>
      <w:b/>
      <w:bCs/>
      <w:kern w:val="32"/>
      <w:sz w:val="32"/>
      <w:szCs w:val="32"/>
      <w:lang w:val="es-EC"/>
    </w:rPr>
  </w:style>
  <w:style w:type="paragraph" w:styleId="Revision">
    <w:name w:val="Revision"/>
    <w:hidden/>
    <w:uiPriority w:val="99"/>
    <w:unhideWhenUsed/>
    <w:rsid w:val="009954D0"/>
    <w:rPr>
      <w:sz w:val="22"/>
      <w:szCs w:val="22"/>
      <w:lang w:val="es-EC"/>
    </w:rPr>
  </w:style>
  <w:style w:type="paragraph" w:styleId="NoSpacing">
    <w:name w:val="No Spacing"/>
    <w:uiPriority w:val="99"/>
    <w:qFormat/>
    <w:rsid w:val="00AA2CF7"/>
    <w:rPr>
      <w:sz w:val="22"/>
      <w:szCs w:val="22"/>
      <w:lang w:val="es-EC"/>
    </w:rPr>
  </w:style>
  <w:style w:type="paragraph" w:styleId="ListParagraph">
    <w:name w:val="List Paragraph"/>
    <w:basedOn w:val="Normal"/>
    <w:uiPriority w:val="99"/>
    <w:qFormat/>
    <w:rsid w:val="006E122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81419">
      <w:bodyDiv w:val="1"/>
      <w:marLeft w:val="0"/>
      <w:marRight w:val="0"/>
      <w:marTop w:val="0"/>
      <w:marBottom w:val="0"/>
      <w:divBdr>
        <w:top w:val="none" w:sz="0" w:space="0" w:color="auto"/>
        <w:left w:val="none" w:sz="0" w:space="0" w:color="auto"/>
        <w:bottom w:val="none" w:sz="0" w:space="0" w:color="auto"/>
        <w:right w:val="none" w:sz="0" w:space="0" w:color="auto"/>
      </w:divBdr>
      <w:divsChild>
        <w:div w:id="486946651">
          <w:marLeft w:val="720"/>
          <w:marRight w:val="0"/>
          <w:marTop w:val="200"/>
          <w:marBottom w:val="0"/>
          <w:divBdr>
            <w:top w:val="none" w:sz="0" w:space="0" w:color="auto"/>
            <w:left w:val="none" w:sz="0" w:space="0" w:color="auto"/>
            <w:bottom w:val="none" w:sz="0" w:space="0" w:color="auto"/>
            <w:right w:val="none" w:sz="0" w:space="0" w:color="auto"/>
          </w:divBdr>
        </w:div>
        <w:div w:id="1205291524">
          <w:marLeft w:val="720"/>
          <w:marRight w:val="0"/>
          <w:marTop w:val="200"/>
          <w:marBottom w:val="0"/>
          <w:divBdr>
            <w:top w:val="none" w:sz="0" w:space="0" w:color="auto"/>
            <w:left w:val="none" w:sz="0" w:space="0" w:color="auto"/>
            <w:bottom w:val="none" w:sz="0" w:space="0" w:color="auto"/>
            <w:right w:val="none" w:sz="0" w:space="0" w:color="auto"/>
          </w:divBdr>
        </w:div>
      </w:divsChild>
    </w:div>
    <w:div w:id="577131326">
      <w:bodyDiv w:val="1"/>
      <w:marLeft w:val="0"/>
      <w:marRight w:val="0"/>
      <w:marTop w:val="0"/>
      <w:marBottom w:val="0"/>
      <w:divBdr>
        <w:top w:val="none" w:sz="0" w:space="0" w:color="auto"/>
        <w:left w:val="none" w:sz="0" w:space="0" w:color="auto"/>
        <w:bottom w:val="none" w:sz="0" w:space="0" w:color="auto"/>
        <w:right w:val="none" w:sz="0" w:space="0" w:color="auto"/>
      </w:divBdr>
      <w:divsChild>
        <w:div w:id="261956761">
          <w:marLeft w:val="720"/>
          <w:marRight w:val="0"/>
          <w:marTop w:val="200"/>
          <w:marBottom w:val="0"/>
          <w:divBdr>
            <w:top w:val="none" w:sz="0" w:space="0" w:color="auto"/>
            <w:left w:val="none" w:sz="0" w:space="0" w:color="auto"/>
            <w:bottom w:val="none" w:sz="0" w:space="0" w:color="auto"/>
            <w:right w:val="none" w:sz="0" w:space="0" w:color="auto"/>
          </w:divBdr>
        </w:div>
        <w:div w:id="342708822">
          <w:marLeft w:val="720"/>
          <w:marRight w:val="0"/>
          <w:marTop w:val="200"/>
          <w:marBottom w:val="0"/>
          <w:divBdr>
            <w:top w:val="none" w:sz="0" w:space="0" w:color="auto"/>
            <w:left w:val="none" w:sz="0" w:space="0" w:color="auto"/>
            <w:bottom w:val="none" w:sz="0" w:space="0" w:color="auto"/>
            <w:right w:val="none" w:sz="0" w:space="0" w:color="auto"/>
          </w:divBdr>
        </w:div>
      </w:divsChild>
    </w:div>
    <w:div w:id="972439821">
      <w:bodyDiv w:val="1"/>
      <w:marLeft w:val="0"/>
      <w:marRight w:val="0"/>
      <w:marTop w:val="0"/>
      <w:marBottom w:val="0"/>
      <w:divBdr>
        <w:top w:val="none" w:sz="0" w:space="0" w:color="auto"/>
        <w:left w:val="none" w:sz="0" w:space="0" w:color="auto"/>
        <w:bottom w:val="none" w:sz="0" w:space="0" w:color="auto"/>
        <w:right w:val="none" w:sz="0" w:space="0" w:color="auto"/>
      </w:divBdr>
      <w:divsChild>
        <w:div w:id="347954311">
          <w:marLeft w:val="720"/>
          <w:marRight w:val="0"/>
          <w:marTop w:val="200"/>
          <w:marBottom w:val="0"/>
          <w:divBdr>
            <w:top w:val="none" w:sz="0" w:space="0" w:color="auto"/>
            <w:left w:val="none" w:sz="0" w:space="0" w:color="auto"/>
            <w:bottom w:val="none" w:sz="0" w:space="0" w:color="auto"/>
            <w:right w:val="none" w:sz="0" w:space="0" w:color="auto"/>
          </w:divBdr>
        </w:div>
        <w:div w:id="440106562">
          <w:marLeft w:val="720"/>
          <w:marRight w:val="0"/>
          <w:marTop w:val="200"/>
          <w:marBottom w:val="0"/>
          <w:divBdr>
            <w:top w:val="none" w:sz="0" w:space="0" w:color="auto"/>
            <w:left w:val="none" w:sz="0" w:space="0" w:color="auto"/>
            <w:bottom w:val="none" w:sz="0" w:space="0" w:color="auto"/>
            <w:right w:val="none" w:sz="0" w:space="0" w:color="auto"/>
          </w:divBdr>
        </w:div>
        <w:div w:id="695617496">
          <w:marLeft w:val="720"/>
          <w:marRight w:val="0"/>
          <w:marTop w:val="200"/>
          <w:marBottom w:val="0"/>
          <w:divBdr>
            <w:top w:val="none" w:sz="0" w:space="0" w:color="auto"/>
            <w:left w:val="none" w:sz="0" w:space="0" w:color="auto"/>
            <w:bottom w:val="none" w:sz="0" w:space="0" w:color="auto"/>
            <w:right w:val="none" w:sz="0" w:space="0" w:color="auto"/>
          </w:divBdr>
        </w:div>
        <w:div w:id="1823423279">
          <w:marLeft w:val="720"/>
          <w:marRight w:val="0"/>
          <w:marTop w:val="200"/>
          <w:marBottom w:val="0"/>
          <w:divBdr>
            <w:top w:val="none" w:sz="0" w:space="0" w:color="auto"/>
            <w:left w:val="none" w:sz="0" w:space="0" w:color="auto"/>
            <w:bottom w:val="none" w:sz="0" w:space="0" w:color="auto"/>
            <w:right w:val="none" w:sz="0" w:space="0" w:color="auto"/>
          </w:divBdr>
        </w:div>
      </w:divsChild>
    </w:div>
    <w:div w:id="996499057">
      <w:bodyDiv w:val="1"/>
      <w:marLeft w:val="0"/>
      <w:marRight w:val="0"/>
      <w:marTop w:val="0"/>
      <w:marBottom w:val="0"/>
      <w:divBdr>
        <w:top w:val="none" w:sz="0" w:space="0" w:color="auto"/>
        <w:left w:val="none" w:sz="0" w:space="0" w:color="auto"/>
        <w:bottom w:val="none" w:sz="0" w:space="0" w:color="auto"/>
        <w:right w:val="none" w:sz="0" w:space="0" w:color="auto"/>
      </w:divBdr>
      <w:divsChild>
        <w:div w:id="253365771">
          <w:marLeft w:val="2434"/>
          <w:marRight w:val="0"/>
          <w:marTop w:val="100"/>
          <w:marBottom w:val="0"/>
          <w:divBdr>
            <w:top w:val="none" w:sz="0" w:space="0" w:color="auto"/>
            <w:left w:val="none" w:sz="0" w:space="0" w:color="auto"/>
            <w:bottom w:val="none" w:sz="0" w:space="0" w:color="auto"/>
            <w:right w:val="none" w:sz="0" w:space="0" w:color="auto"/>
          </w:divBdr>
        </w:div>
        <w:div w:id="436874948">
          <w:marLeft w:val="2434"/>
          <w:marRight w:val="0"/>
          <w:marTop w:val="100"/>
          <w:marBottom w:val="0"/>
          <w:divBdr>
            <w:top w:val="none" w:sz="0" w:space="0" w:color="auto"/>
            <w:left w:val="none" w:sz="0" w:space="0" w:color="auto"/>
            <w:bottom w:val="none" w:sz="0" w:space="0" w:color="auto"/>
            <w:right w:val="none" w:sz="0" w:space="0" w:color="auto"/>
          </w:divBdr>
        </w:div>
        <w:div w:id="621376962">
          <w:marLeft w:val="2434"/>
          <w:marRight w:val="0"/>
          <w:marTop w:val="100"/>
          <w:marBottom w:val="0"/>
          <w:divBdr>
            <w:top w:val="none" w:sz="0" w:space="0" w:color="auto"/>
            <w:left w:val="none" w:sz="0" w:space="0" w:color="auto"/>
            <w:bottom w:val="none" w:sz="0" w:space="0" w:color="auto"/>
            <w:right w:val="none" w:sz="0" w:space="0" w:color="auto"/>
          </w:divBdr>
        </w:div>
        <w:div w:id="1017315558">
          <w:marLeft w:val="720"/>
          <w:marRight w:val="0"/>
          <w:marTop w:val="200"/>
          <w:marBottom w:val="0"/>
          <w:divBdr>
            <w:top w:val="none" w:sz="0" w:space="0" w:color="auto"/>
            <w:left w:val="none" w:sz="0" w:space="0" w:color="auto"/>
            <w:bottom w:val="none" w:sz="0" w:space="0" w:color="auto"/>
            <w:right w:val="none" w:sz="0" w:space="0" w:color="auto"/>
          </w:divBdr>
        </w:div>
      </w:divsChild>
    </w:div>
    <w:div w:id="1219170718">
      <w:bodyDiv w:val="1"/>
      <w:marLeft w:val="0"/>
      <w:marRight w:val="0"/>
      <w:marTop w:val="0"/>
      <w:marBottom w:val="0"/>
      <w:divBdr>
        <w:top w:val="none" w:sz="0" w:space="0" w:color="auto"/>
        <w:left w:val="none" w:sz="0" w:space="0" w:color="auto"/>
        <w:bottom w:val="none" w:sz="0" w:space="0" w:color="auto"/>
        <w:right w:val="none" w:sz="0" w:space="0" w:color="auto"/>
      </w:divBdr>
      <w:divsChild>
        <w:div w:id="68695372">
          <w:marLeft w:val="720"/>
          <w:marRight w:val="0"/>
          <w:marTop w:val="200"/>
          <w:marBottom w:val="0"/>
          <w:divBdr>
            <w:top w:val="none" w:sz="0" w:space="0" w:color="auto"/>
            <w:left w:val="none" w:sz="0" w:space="0" w:color="auto"/>
            <w:bottom w:val="none" w:sz="0" w:space="0" w:color="auto"/>
            <w:right w:val="none" w:sz="0" w:space="0" w:color="auto"/>
          </w:divBdr>
        </w:div>
        <w:div w:id="1042941855">
          <w:marLeft w:val="720"/>
          <w:marRight w:val="0"/>
          <w:marTop w:val="200"/>
          <w:marBottom w:val="0"/>
          <w:divBdr>
            <w:top w:val="none" w:sz="0" w:space="0" w:color="auto"/>
            <w:left w:val="none" w:sz="0" w:space="0" w:color="auto"/>
            <w:bottom w:val="none" w:sz="0" w:space="0" w:color="auto"/>
            <w:right w:val="none" w:sz="0" w:space="0" w:color="auto"/>
          </w:divBdr>
        </w:div>
      </w:divsChild>
    </w:div>
    <w:div w:id="189303446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44">
          <w:marLeft w:val="0"/>
          <w:marRight w:val="0"/>
          <w:marTop w:val="0"/>
          <w:marBottom w:val="0"/>
          <w:divBdr>
            <w:top w:val="none" w:sz="0" w:space="0" w:color="auto"/>
            <w:left w:val="none" w:sz="0" w:space="0" w:color="auto"/>
            <w:bottom w:val="none" w:sz="0" w:space="0" w:color="auto"/>
            <w:right w:val="none" w:sz="0" w:space="0" w:color="auto"/>
          </w:divBdr>
          <w:divsChild>
            <w:div w:id="1993946021">
              <w:marLeft w:val="0"/>
              <w:marRight w:val="0"/>
              <w:marTop w:val="0"/>
              <w:marBottom w:val="0"/>
              <w:divBdr>
                <w:top w:val="none" w:sz="0" w:space="0" w:color="auto"/>
                <w:left w:val="none" w:sz="0" w:space="0" w:color="auto"/>
                <w:bottom w:val="none" w:sz="0" w:space="0" w:color="auto"/>
                <w:right w:val="none" w:sz="0" w:space="0" w:color="auto"/>
              </w:divBdr>
              <w:divsChild>
                <w:div w:id="11105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liefweb.int/report/venezuela-bolivarian-republic/venezuela-refugee-crisis-become-largest-and-most-underfunded" TargetMode="External"/><Relationship Id="rId13" Type="http://schemas.openxmlformats.org/officeDocument/2006/relationships/hyperlink" Target="https://www.iadb.org/en/news/spain-makes-contribution-idbs-migration-initiative" TargetMode="External"/><Relationship Id="rId3" Type="http://schemas.openxmlformats.org/officeDocument/2006/relationships/hyperlink" Target="https://www.cbp.gov/sites/default/files/assets/documents/2019-Mar/BP%20Apps%20by%20Sector%20and%20Citizenship%20FY07-FY18.pdf" TargetMode="External"/><Relationship Id="rId7" Type="http://schemas.openxmlformats.org/officeDocument/2006/relationships/hyperlink" Target="https://www.brookings.edu/opinions/too-many-humanitarian-crises-not-enough-global-resources/" TargetMode="External"/><Relationship Id="rId12" Type="http://schemas.openxmlformats.org/officeDocument/2006/relationships/hyperlink" Target="https://www.iadb.org/en/news/idb-approves-grant-funds-countries-receiving-migrants-latin-america-and-caribbean" TargetMode="External"/><Relationship Id="rId2" Type="http://schemas.openxmlformats.org/officeDocument/2006/relationships/hyperlink" Target="https://www.cbp.gov/newsroom/stats/sw-border-migration/fy-2019" TargetMode="External"/><Relationship Id="rId16" Type="http://schemas.openxmlformats.org/officeDocument/2006/relationships/image" Target="media/image1.emf"/><Relationship Id="rId1" Type="http://schemas.openxmlformats.org/officeDocument/2006/relationships/hyperlink" Target="https://r4v.info/en/situations/platform" TargetMode="External"/><Relationship Id="rId6" Type="http://schemas.openxmlformats.org/officeDocument/2006/relationships/hyperlink" Target="https://www.brookings.edu/opinions/too-many-humanitarian-crises-not-enough-global-resources/" TargetMode="External"/><Relationship Id="rId11" Type="http://schemas.openxmlformats.org/officeDocument/2006/relationships/hyperlink" Target="http://reporting.unhcr.org/node/21600" TargetMode="External"/><Relationship Id="rId5" Type="http://schemas.openxmlformats.org/officeDocument/2006/relationships/hyperlink" Target="https://www.migrationpolicy.org/research/legal-pathways-venezuelan-migrants-latin-america" TargetMode="External"/><Relationship Id="rId15" Type="http://schemas.openxmlformats.org/officeDocument/2006/relationships/hyperlink" Target="https://eeas.europa.eu/headquarters/headquarters-homepage_en/69487/EU%20supports%20Venezuelan%20refugees,%20migrants%20and%20host%20communities" TargetMode="External"/><Relationship Id="rId10" Type="http://schemas.openxmlformats.org/officeDocument/2006/relationships/hyperlink" Target="http://reporting.unhcr.org/node/21600" TargetMode="External"/><Relationship Id="rId4" Type="http://schemas.openxmlformats.org/officeDocument/2006/relationships/hyperlink" Target="http://worldpopulationreview.com/countries/haiti-population/" TargetMode="External"/><Relationship Id="rId9" Type="http://schemas.openxmlformats.org/officeDocument/2006/relationships/hyperlink" Target="https://r4v.info/en/situations/platform" TargetMode="External"/><Relationship Id="rId14" Type="http://schemas.openxmlformats.org/officeDocument/2006/relationships/hyperlink" Target="https://eeas.europa.eu/headquarters/headquarters-homepage_en/69487/EU%20supports%20Venezuelan%20refugees,%20migrants%20and%20host%20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4BEA-1824-4140-81F8-D37F7A643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2075</Words>
  <Characters>11829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Links>
    <vt:vector size="90" baseType="variant">
      <vt:variant>
        <vt:i4>6881282</vt:i4>
      </vt:variant>
      <vt:variant>
        <vt:i4>42</vt:i4>
      </vt:variant>
      <vt:variant>
        <vt:i4>0</vt:i4>
      </vt:variant>
      <vt:variant>
        <vt:i4>5</vt:i4>
      </vt:variant>
      <vt:variant>
        <vt:lpwstr>https://eeas.europa.eu/headquarters/headquarters-homepage_en/69487/EU supports Venezuelan refugees, migrants and host communities</vt:lpwstr>
      </vt:variant>
      <vt:variant>
        <vt:lpwstr/>
      </vt:variant>
      <vt:variant>
        <vt:i4>6881282</vt:i4>
      </vt:variant>
      <vt:variant>
        <vt:i4>39</vt:i4>
      </vt:variant>
      <vt:variant>
        <vt:i4>0</vt:i4>
      </vt:variant>
      <vt:variant>
        <vt:i4>5</vt:i4>
      </vt:variant>
      <vt:variant>
        <vt:lpwstr>https://eeas.europa.eu/headquarters/headquarters-homepage_en/69487/EU supports Venezuelan refugees, migrants and host communities</vt:lpwstr>
      </vt:variant>
      <vt:variant>
        <vt:lpwstr/>
      </vt:variant>
      <vt:variant>
        <vt:i4>2949218</vt:i4>
      </vt:variant>
      <vt:variant>
        <vt:i4>36</vt:i4>
      </vt:variant>
      <vt:variant>
        <vt:i4>0</vt:i4>
      </vt:variant>
      <vt:variant>
        <vt:i4>5</vt:i4>
      </vt:variant>
      <vt:variant>
        <vt:lpwstr>https://www.iadb.org/en/news/spain-makes-contribution-idbs-migration-initiative</vt:lpwstr>
      </vt:variant>
      <vt:variant>
        <vt:lpwstr/>
      </vt:variant>
      <vt:variant>
        <vt:i4>2097185</vt:i4>
      </vt:variant>
      <vt:variant>
        <vt:i4>33</vt:i4>
      </vt:variant>
      <vt:variant>
        <vt:i4>0</vt:i4>
      </vt:variant>
      <vt:variant>
        <vt:i4>5</vt:i4>
      </vt:variant>
      <vt:variant>
        <vt:lpwstr>https://www.iadb.org/en/news/idb-approves-grant-funds-countries-receiving-migrants-latin-america-and-caribbean</vt:lpwstr>
      </vt:variant>
      <vt:variant>
        <vt:lpwstr/>
      </vt:variant>
      <vt:variant>
        <vt:i4>1441863</vt:i4>
      </vt:variant>
      <vt:variant>
        <vt:i4>30</vt:i4>
      </vt:variant>
      <vt:variant>
        <vt:i4>0</vt:i4>
      </vt:variant>
      <vt:variant>
        <vt:i4>5</vt:i4>
      </vt:variant>
      <vt:variant>
        <vt:lpwstr>http://reporting.unhcr.org/node/21600</vt:lpwstr>
      </vt:variant>
      <vt:variant>
        <vt:lpwstr/>
      </vt:variant>
      <vt:variant>
        <vt:i4>1441863</vt:i4>
      </vt:variant>
      <vt:variant>
        <vt:i4>27</vt:i4>
      </vt:variant>
      <vt:variant>
        <vt:i4>0</vt:i4>
      </vt:variant>
      <vt:variant>
        <vt:i4>5</vt:i4>
      </vt:variant>
      <vt:variant>
        <vt:lpwstr>http://reporting.unhcr.org/node/21600</vt:lpwstr>
      </vt:variant>
      <vt:variant>
        <vt:lpwstr/>
      </vt:variant>
      <vt:variant>
        <vt:i4>3211315</vt:i4>
      </vt:variant>
      <vt:variant>
        <vt:i4>24</vt:i4>
      </vt:variant>
      <vt:variant>
        <vt:i4>0</vt:i4>
      </vt:variant>
      <vt:variant>
        <vt:i4>5</vt:i4>
      </vt:variant>
      <vt:variant>
        <vt:lpwstr>https://r4v.info/en/situations/platform</vt:lpwstr>
      </vt:variant>
      <vt:variant>
        <vt:lpwstr/>
      </vt:variant>
      <vt:variant>
        <vt:i4>4063283</vt:i4>
      </vt:variant>
      <vt:variant>
        <vt:i4>21</vt:i4>
      </vt:variant>
      <vt:variant>
        <vt:i4>0</vt:i4>
      </vt:variant>
      <vt:variant>
        <vt:i4>5</vt:i4>
      </vt:variant>
      <vt:variant>
        <vt:lpwstr>https://reliefweb.int/report/venezuela-bolivarian-republic/venezuela-refugee-crisis-become-largest-and-most-underfunded</vt:lpwstr>
      </vt:variant>
      <vt:variant>
        <vt:lpwstr/>
      </vt:variant>
      <vt:variant>
        <vt:i4>1507408</vt:i4>
      </vt:variant>
      <vt:variant>
        <vt:i4>18</vt:i4>
      </vt:variant>
      <vt:variant>
        <vt:i4>0</vt:i4>
      </vt:variant>
      <vt:variant>
        <vt:i4>5</vt:i4>
      </vt:variant>
      <vt:variant>
        <vt:lpwstr>https://www.brookings.edu/opinions/too-many-humanitarian-crises-not-enough-global-resources/</vt:lpwstr>
      </vt:variant>
      <vt:variant>
        <vt:lpwstr/>
      </vt:variant>
      <vt:variant>
        <vt:i4>1507408</vt:i4>
      </vt:variant>
      <vt:variant>
        <vt:i4>15</vt:i4>
      </vt:variant>
      <vt:variant>
        <vt:i4>0</vt:i4>
      </vt:variant>
      <vt:variant>
        <vt:i4>5</vt:i4>
      </vt:variant>
      <vt:variant>
        <vt:lpwstr>https://www.brookings.edu/opinions/too-many-humanitarian-crises-not-enough-global-resources/</vt:lpwstr>
      </vt:variant>
      <vt:variant>
        <vt:lpwstr/>
      </vt:variant>
      <vt:variant>
        <vt:i4>131091</vt:i4>
      </vt:variant>
      <vt:variant>
        <vt:i4>12</vt:i4>
      </vt:variant>
      <vt:variant>
        <vt:i4>0</vt:i4>
      </vt:variant>
      <vt:variant>
        <vt:i4>5</vt:i4>
      </vt:variant>
      <vt:variant>
        <vt:lpwstr>https://www.migrationpolicy.org/research/legal-pathways-venezuelan-migrants-latin-america</vt:lpwstr>
      </vt:variant>
      <vt:variant>
        <vt:lpwstr/>
      </vt:variant>
      <vt:variant>
        <vt:i4>720911</vt:i4>
      </vt:variant>
      <vt:variant>
        <vt:i4>9</vt:i4>
      </vt:variant>
      <vt:variant>
        <vt:i4>0</vt:i4>
      </vt:variant>
      <vt:variant>
        <vt:i4>5</vt:i4>
      </vt:variant>
      <vt:variant>
        <vt:lpwstr>http://worldpopulationreview.com/countries/haiti-population/</vt:lpwstr>
      </vt:variant>
      <vt:variant>
        <vt:lpwstr/>
      </vt:variant>
      <vt:variant>
        <vt:i4>5505027</vt:i4>
      </vt:variant>
      <vt:variant>
        <vt:i4>6</vt:i4>
      </vt:variant>
      <vt:variant>
        <vt:i4>0</vt:i4>
      </vt:variant>
      <vt:variant>
        <vt:i4>5</vt:i4>
      </vt:variant>
      <vt:variant>
        <vt:lpwstr>https://www.cbp.gov/sites/default/files/assets/documents/2019-Mar/BP Apps by Sector and Citizenship FY07-FY18.pdf</vt:lpwstr>
      </vt:variant>
      <vt:variant>
        <vt:lpwstr/>
      </vt:variant>
      <vt:variant>
        <vt:i4>3670076</vt:i4>
      </vt:variant>
      <vt:variant>
        <vt:i4>3</vt:i4>
      </vt:variant>
      <vt:variant>
        <vt:i4>0</vt:i4>
      </vt:variant>
      <vt:variant>
        <vt:i4>5</vt:i4>
      </vt:variant>
      <vt:variant>
        <vt:lpwstr>https://www.cbp.gov/newsroom/stats/sw-border-migration/fy-2019</vt:lpwstr>
      </vt:variant>
      <vt:variant>
        <vt:lpwstr/>
      </vt:variant>
      <vt:variant>
        <vt:i4>3211315</vt:i4>
      </vt:variant>
      <vt:variant>
        <vt:i4>0</vt:i4>
      </vt:variant>
      <vt:variant>
        <vt:i4>0</vt:i4>
      </vt:variant>
      <vt:variant>
        <vt:i4>5</vt:i4>
      </vt:variant>
      <vt:variant>
        <vt:lpwstr>https://r4v.info/en/situations/platform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Burns, Sandra</cp:lastModifiedBy>
  <cp:revision>3</cp:revision>
  <cp:lastPrinted>2019-11-18T23:41:00Z</cp:lastPrinted>
  <dcterms:created xsi:type="dcterms:W3CDTF">2020-02-14T15:50:00Z</dcterms:created>
  <dcterms:modified xsi:type="dcterms:W3CDTF">2020-02-14T16:07:00Z</dcterms:modified>
</cp:coreProperties>
</file>