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FF62" w14:textId="638537DA" w:rsidR="00705D8A" w:rsidRPr="00493D30" w:rsidRDefault="000963DE" w:rsidP="00E36CB5">
      <w:pPr>
        <w:tabs>
          <w:tab w:val="left" w:pos="6480"/>
          <w:tab w:val="left" w:pos="7200"/>
        </w:tabs>
        <w:ind w:right="-720"/>
        <w:rPr>
          <w:sz w:val="22"/>
          <w:szCs w:val="22"/>
        </w:rPr>
      </w:pPr>
      <w:r w:rsidRPr="00493D30">
        <w:rPr>
          <w:noProof/>
          <w:sz w:val="22"/>
          <w:szCs w:val="22"/>
        </w:rPr>
        <mc:AlternateContent>
          <mc:Choice Requires="wps">
            <w:drawing>
              <wp:anchor distT="0" distB="0" distL="114300" distR="114300" simplePos="0" relativeHeight="251658240" behindDoc="0" locked="0" layoutInCell="1" allowOverlap="1" wp14:anchorId="4A4E7555" wp14:editId="5ABB6E59">
                <wp:simplePos x="0" y="0"/>
                <wp:positionH relativeFrom="column">
                  <wp:posOffset>291465</wp:posOffset>
                </wp:positionH>
                <wp:positionV relativeFrom="paragraph">
                  <wp:posOffset>-911860</wp:posOffset>
                </wp:positionV>
                <wp:extent cx="4663440" cy="914400"/>
                <wp:effectExtent l="0" t="2540" r="4445" b="0"/>
                <wp:wrapNone/>
                <wp:docPr id="12532154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A7FA" w14:textId="77777777" w:rsidR="00705D8A" w:rsidRPr="00E65CA4" w:rsidRDefault="00705D8A" w:rsidP="00705D8A">
                            <w:pPr>
                              <w:pStyle w:val="Header"/>
                              <w:tabs>
                                <w:tab w:val="left" w:pos="900"/>
                              </w:tabs>
                              <w:spacing w:line="240" w:lineRule="atLeast"/>
                              <w:jc w:val="center"/>
                              <w:rPr>
                                <w:rFonts w:ascii="Garamond" w:hAnsi="Garamond"/>
                                <w:b/>
                                <w:sz w:val="28"/>
                                <w:szCs w:val="24"/>
                                <w:lang w:val="pt-BR"/>
                              </w:rPr>
                            </w:pPr>
                            <w:r w:rsidRPr="00E65CA4">
                              <w:rPr>
                                <w:rFonts w:ascii="Garamond" w:hAnsi="Garamond"/>
                                <w:b/>
                                <w:sz w:val="28"/>
                                <w:szCs w:val="24"/>
                                <w:lang w:val="pt-BR"/>
                              </w:rPr>
                              <w:t>ORGANIZA</w:t>
                            </w:r>
                            <w:r w:rsidR="00E65CA4" w:rsidRPr="00E65CA4">
                              <w:rPr>
                                <w:rFonts w:ascii="Garamond" w:hAnsi="Garamond"/>
                                <w:b/>
                                <w:sz w:val="28"/>
                                <w:szCs w:val="24"/>
                                <w:lang w:val="pt-BR"/>
                              </w:rPr>
                              <w:t xml:space="preserve">ÇÃO DOS </w:t>
                            </w:r>
                            <w:r w:rsidRPr="00E65CA4">
                              <w:rPr>
                                <w:rFonts w:ascii="Garamond" w:hAnsi="Garamond"/>
                                <w:b/>
                                <w:sz w:val="28"/>
                                <w:szCs w:val="24"/>
                                <w:lang w:val="pt-BR"/>
                              </w:rPr>
                              <w:t>ESTADOS AMERICANOS</w:t>
                            </w:r>
                          </w:p>
                          <w:p w14:paraId="003F22DA" w14:textId="77777777" w:rsidR="00705D8A" w:rsidRPr="00E65CA4" w:rsidRDefault="00705D8A" w:rsidP="00705D8A">
                            <w:pPr>
                              <w:pStyle w:val="Header"/>
                              <w:tabs>
                                <w:tab w:val="left" w:pos="900"/>
                              </w:tabs>
                              <w:spacing w:line="240" w:lineRule="atLeast"/>
                              <w:jc w:val="center"/>
                              <w:rPr>
                                <w:rFonts w:ascii="Garamond" w:hAnsi="Garamond"/>
                                <w:b/>
                                <w:szCs w:val="22"/>
                                <w:lang w:val="pt-BR"/>
                              </w:rPr>
                            </w:pPr>
                            <w:r w:rsidRPr="00E65CA4">
                              <w:rPr>
                                <w:rFonts w:ascii="Garamond" w:hAnsi="Garamond"/>
                                <w:b/>
                                <w:szCs w:val="22"/>
                                <w:lang w:val="pt-BR"/>
                              </w:rPr>
                              <w:t>Conse</w:t>
                            </w:r>
                            <w:r w:rsidR="00E65CA4" w:rsidRPr="00E65CA4">
                              <w:rPr>
                                <w:rFonts w:ascii="Garamond" w:hAnsi="Garamond"/>
                                <w:b/>
                                <w:szCs w:val="22"/>
                                <w:lang w:val="pt-BR"/>
                              </w:rPr>
                              <w:t>lh</w:t>
                            </w:r>
                            <w:r w:rsidRPr="00E65CA4">
                              <w:rPr>
                                <w:rFonts w:ascii="Garamond" w:hAnsi="Garamond"/>
                                <w:b/>
                                <w:szCs w:val="22"/>
                                <w:lang w:val="pt-BR"/>
                              </w:rPr>
                              <w:t xml:space="preserve">o Interamericano </w:t>
                            </w:r>
                            <w:r w:rsidR="00E65CA4" w:rsidRPr="00E65CA4">
                              <w:rPr>
                                <w:rFonts w:ascii="Garamond" w:hAnsi="Garamond"/>
                                <w:b/>
                                <w:szCs w:val="22"/>
                                <w:lang w:val="pt-BR"/>
                              </w:rPr>
                              <w:t xml:space="preserve">de </w:t>
                            </w:r>
                            <w:r w:rsidRPr="00E65CA4">
                              <w:rPr>
                                <w:rFonts w:ascii="Garamond" w:hAnsi="Garamond"/>
                                <w:b/>
                                <w:szCs w:val="22"/>
                                <w:lang w:val="pt-BR"/>
                              </w:rPr>
                              <w:t>Des</w:t>
                            </w:r>
                            <w:r w:rsidR="00E65CA4" w:rsidRPr="00E65CA4">
                              <w:rPr>
                                <w:rFonts w:ascii="Garamond" w:hAnsi="Garamond"/>
                                <w:b/>
                                <w:szCs w:val="22"/>
                                <w:lang w:val="pt-BR"/>
                              </w:rPr>
                              <w:t xml:space="preserve">envolvimento </w:t>
                            </w:r>
                            <w:r w:rsidRPr="00E65CA4">
                              <w:rPr>
                                <w:rFonts w:ascii="Garamond" w:hAnsi="Garamond"/>
                                <w:b/>
                                <w:szCs w:val="22"/>
                                <w:lang w:val="pt-BR"/>
                              </w:rPr>
                              <w:t>Integral</w:t>
                            </w:r>
                          </w:p>
                          <w:p w14:paraId="1128B095" w14:textId="77777777" w:rsidR="00705D8A" w:rsidRPr="00E65CA4" w:rsidRDefault="00705D8A" w:rsidP="00705D8A">
                            <w:pPr>
                              <w:pStyle w:val="Header"/>
                              <w:tabs>
                                <w:tab w:val="left" w:pos="900"/>
                              </w:tabs>
                              <w:spacing w:line="240" w:lineRule="atLeast"/>
                              <w:jc w:val="center"/>
                              <w:rPr>
                                <w:b/>
                                <w:szCs w:val="22"/>
                                <w:lang w:val="pt-BR"/>
                              </w:rPr>
                            </w:pPr>
                            <w:r w:rsidRPr="00E65CA4">
                              <w:rPr>
                                <w:rFonts w:ascii="Garamond" w:hAnsi="Garamond"/>
                                <w:b/>
                                <w:szCs w:val="22"/>
                                <w:lang w:val="pt-B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E7555" id="_x0000_t202" coordsize="21600,21600" o:spt="202" path="m,l,21600r21600,l21600,xe">
                <v:stroke joinstyle="miter"/>
                <v:path gradientshapeok="t" o:connecttype="rect"/>
              </v:shapetype>
              <v:shape id="Text Box 5" o:spid="_x0000_s1026" type="#_x0000_t202" style="position:absolute;margin-left:22.95pt;margin-top:-71.8pt;width:367.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" stroked="f">
                <v:textbox>
                  <w:txbxContent>
                    <w:p w14:paraId="6FBEA7FA" w14:textId="77777777" w:rsidR="00705D8A" w:rsidRPr="00E65CA4" w:rsidRDefault="00705D8A" w:rsidP="00705D8A">
                      <w:pPr>
                        <w:pStyle w:val="Header"/>
                        <w:tabs>
                          <w:tab w:val="left" w:pos="900"/>
                        </w:tabs>
                        <w:spacing w:line="240" w:lineRule="atLeast"/>
                        <w:jc w:val="center"/>
                        <w:rPr>
                          <w:rFonts w:ascii="Garamond" w:hAnsi="Garamond"/>
                          <w:b/>
                          <w:sz w:val="28"/>
                          <w:szCs w:val="24"/>
                          <w:lang w:val="pt-BR"/>
                        </w:rPr>
                      </w:pPr>
                      <w:r w:rsidRPr="00E65CA4">
                        <w:rPr>
                          <w:rFonts w:ascii="Garamond" w:hAnsi="Garamond"/>
                          <w:b/>
                          <w:sz w:val="28"/>
                          <w:szCs w:val="24"/>
                          <w:lang w:val="pt-BR"/>
                        </w:rPr>
                        <w:t>ORGANIZA</w:t>
                      </w:r>
                      <w:r w:rsidR="00E65CA4" w:rsidRPr="00E65CA4">
                        <w:rPr>
                          <w:rFonts w:ascii="Garamond" w:hAnsi="Garamond"/>
                          <w:b/>
                          <w:sz w:val="28"/>
                          <w:szCs w:val="24"/>
                          <w:lang w:val="pt-BR"/>
                        </w:rPr>
                        <w:t xml:space="preserve">ÇÃO DOS </w:t>
                      </w:r>
                      <w:r w:rsidRPr="00E65CA4">
                        <w:rPr>
                          <w:rFonts w:ascii="Garamond" w:hAnsi="Garamond"/>
                          <w:b/>
                          <w:sz w:val="28"/>
                          <w:szCs w:val="24"/>
                          <w:lang w:val="pt-BR"/>
                        </w:rPr>
                        <w:t>ESTADOS AMERICANOS</w:t>
                      </w:r>
                    </w:p>
                    <w:p w14:paraId="003F22DA" w14:textId="77777777" w:rsidR="00705D8A" w:rsidRPr="00E65CA4" w:rsidRDefault="00705D8A" w:rsidP="00705D8A">
                      <w:pPr>
                        <w:pStyle w:val="Header"/>
                        <w:tabs>
                          <w:tab w:val="left" w:pos="900"/>
                        </w:tabs>
                        <w:spacing w:line="240" w:lineRule="atLeast"/>
                        <w:jc w:val="center"/>
                        <w:rPr>
                          <w:rFonts w:ascii="Garamond" w:hAnsi="Garamond"/>
                          <w:b/>
                          <w:szCs w:val="22"/>
                          <w:lang w:val="pt-BR"/>
                        </w:rPr>
                      </w:pPr>
                      <w:r w:rsidRPr="00E65CA4">
                        <w:rPr>
                          <w:rFonts w:ascii="Garamond" w:hAnsi="Garamond"/>
                          <w:b/>
                          <w:szCs w:val="22"/>
                          <w:lang w:val="pt-BR"/>
                        </w:rPr>
                        <w:t>Conse</w:t>
                      </w:r>
                      <w:r w:rsidR="00E65CA4" w:rsidRPr="00E65CA4">
                        <w:rPr>
                          <w:rFonts w:ascii="Garamond" w:hAnsi="Garamond"/>
                          <w:b/>
                          <w:szCs w:val="22"/>
                          <w:lang w:val="pt-BR"/>
                        </w:rPr>
                        <w:t>lh</w:t>
                      </w:r>
                      <w:r w:rsidRPr="00E65CA4">
                        <w:rPr>
                          <w:rFonts w:ascii="Garamond" w:hAnsi="Garamond"/>
                          <w:b/>
                          <w:szCs w:val="22"/>
                          <w:lang w:val="pt-BR"/>
                        </w:rPr>
                        <w:t xml:space="preserve">o Interamericano </w:t>
                      </w:r>
                      <w:r w:rsidR="00E65CA4" w:rsidRPr="00E65CA4">
                        <w:rPr>
                          <w:rFonts w:ascii="Garamond" w:hAnsi="Garamond"/>
                          <w:b/>
                          <w:szCs w:val="22"/>
                          <w:lang w:val="pt-BR"/>
                        </w:rPr>
                        <w:t xml:space="preserve">de </w:t>
                      </w:r>
                      <w:r w:rsidRPr="00E65CA4">
                        <w:rPr>
                          <w:rFonts w:ascii="Garamond" w:hAnsi="Garamond"/>
                          <w:b/>
                          <w:szCs w:val="22"/>
                          <w:lang w:val="pt-BR"/>
                        </w:rPr>
                        <w:t>Des</w:t>
                      </w:r>
                      <w:r w:rsidR="00E65CA4" w:rsidRPr="00E65CA4">
                        <w:rPr>
                          <w:rFonts w:ascii="Garamond" w:hAnsi="Garamond"/>
                          <w:b/>
                          <w:szCs w:val="22"/>
                          <w:lang w:val="pt-BR"/>
                        </w:rPr>
                        <w:t xml:space="preserve">envolvimento </w:t>
                      </w:r>
                      <w:r w:rsidRPr="00E65CA4">
                        <w:rPr>
                          <w:rFonts w:ascii="Garamond" w:hAnsi="Garamond"/>
                          <w:b/>
                          <w:szCs w:val="22"/>
                          <w:lang w:val="pt-BR"/>
                        </w:rPr>
                        <w:t>Integral</w:t>
                      </w:r>
                    </w:p>
                    <w:p w14:paraId="1128B095" w14:textId="77777777" w:rsidR="00705D8A" w:rsidRPr="00E65CA4" w:rsidRDefault="00705D8A" w:rsidP="00705D8A">
                      <w:pPr>
                        <w:pStyle w:val="Header"/>
                        <w:tabs>
                          <w:tab w:val="left" w:pos="900"/>
                        </w:tabs>
                        <w:spacing w:line="240" w:lineRule="atLeast"/>
                        <w:jc w:val="center"/>
                        <w:rPr>
                          <w:b/>
                          <w:szCs w:val="22"/>
                          <w:lang w:val="pt-BR"/>
                        </w:rPr>
                      </w:pPr>
                      <w:r w:rsidRPr="00E65CA4">
                        <w:rPr>
                          <w:rFonts w:ascii="Garamond" w:hAnsi="Garamond"/>
                          <w:b/>
                          <w:szCs w:val="22"/>
                          <w:lang w:val="pt-BR"/>
                        </w:rPr>
                        <w:t>(CIDI)</w:t>
                      </w:r>
                    </w:p>
                  </w:txbxContent>
                </v:textbox>
              </v:shape>
            </w:pict>
          </mc:Fallback>
        </mc:AlternateContent>
      </w:r>
      <w:r w:rsidRPr="00493D30">
        <w:rPr>
          <w:noProof/>
          <w:sz w:val="22"/>
          <w:szCs w:val="22"/>
        </w:rPr>
        <w:drawing>
          <wp:anchor distT="0" distB="0" distL="114300" distR="114300" simplePos="0" relativeHeight="251656192" behindDoc="0" locked="0" layoutInCell="1" allowOverlap="1" wp14:anchorId="3EF82C19" wp14:editId="6D431EF7">
            <wp:simplePos x="0" y="0"/>
            <wp:positionH relativeFrom="column">
              <wp:posOffset>-570230</wp:posOffset>
            </wp:positionH>
            <wp:positionV relativeFrom="paragraph">
              <wp:posOffset>-1064260</wp:posOffset>
            </wp:positionV>
            <wp:extent cx="822960" cy="8248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493D30">
        <w:rPr>
          <w:noProof/>
          <w:sz w:val="22"/>
          <w:szCs w:val="22"/>
        </w:rPr>
        <mc:AlternateContent>
          <mc:Choice Requires="wps">
            <w:drawing>
              <wp:anchor distT="0" distB="0" distL="114300" distR="114300" simplePos="0" relativeHeight="251657216" behindDoc="0" locked="0" layoutInCell="1" allowOverlap="1" wp14:anchorId="51C09C57" wp14:editId="084E54A9">
                <wp:simplePos x="0" y="0"/>
                <wp:positionH relativeFrom="column">
                  <wp:posOffset>4954270</wp:posOffset>
                </wp:positionH>
                <wp:positionV relativeFrom="paragraph">
                  <wp:posOffset>-1064260</wp:posOffset>
                </wp:positionV>
                <wp:extent cx="1287780" cy="862330"/>
                <wp:effectExtent l="4445" t="2540" r="3175" b="1905"/>
                <wp:wrapNone/>
                <wp:docPr id="11577359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3EA18" w14:textId="091BBCCB" w:rsidR="00705D8A" w:rsidRDefault="000963DE" w:rsidP="00705D8A">
                            <w:pPr>
                              <w:ind w:right="-130"/>
                            </w:pPr>
                            <w:r>
                              <w:rPr>
                                <w:noProof/>
                              </w:rPr>
                              <w:drawing>
                                <wp:inline distT="0" distB="0" distL="0" distR="0" wp14:anchorId="18799645" wp14:editId="18F4F9B1">
                                  <wp:extent cx="11049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09C57" id="Text Box 3" o:spid="_x0000_s1027" type="#_x0000_t202" style="position:absolute;margin-left:390.1pt;margin-top:-83.8pt;width:101.4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" stroked="f">
                <v:textbox>
                  <w:txbxContent>
                    <w:p w14:paraId="7DC3EA18" w14:textId="091BBCCB" w:rsidR="00705D8A" w:rsidRDefault="000963DE" w:rsidP="00705D8A">
                      <w:pPr>
                        <w:ind w:right="-130"/>
                      </w:pPr>
                      <w:r>
                        <w:rPr>
                          <w:noProof/>
                        </w:rPr>
                        <w:drawing>
                          <wp:inline distT="0" distB="0" distL="0" distR="0" wp14:anchorId="18799645" wp14:editId="18F4F9B1">
                            <wp:extent cx="11049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00E36CB5" w:rsidRPr="00493D30">
        <w:rPr>
          <w:sz w:val="22"/>
          <w:szCs w:val="22"/>
        </w:rPr>
        <w:tab/>
      </w:r>
      <w:r w:rsidR="00705D8A" w:rsidRPr="00493D30">
        <w:rPr>
          <w:sz w:val="22"/>
          <w:szCs w:val="22"/>
        </w:rPr>
        <w:tab/>
        <w:t>OEA/Ser.W</w:t>
      </w:r>
    </w:p>
    <w:p w14:paraId="2DE436EF" w14:textId="15321946" w:rsidR="00705D8A" w:rsidRPr="00493D30" w:rsidRDefault="00705D8A" w:rsidP="00705D8A">
      <w:pPr>
        <w:tabs>
          <w:tab w:val="left" w:pos="7200"/>
        </w:tabs>
        <w:ind w:right="-1080"/>
        <w:rPr>
          <w:sz w:val="22"/>
          <w:szCs w:val="22"/>
        </w:rPr>
      </w:pPr>
      <w:r w:rsidRPr="00493D30">
        <w:rPr>
          <w:b/>
          <w:sz w:val="22"/>
          <w:szCs w:val="22"/>
        </w:rPr>
        <w:tab/>
      </w:r>
      <w:r w:rsidRPr="00493D30">
        <w:rPr>
          <w:sz w:val="22"/>
          <w:szCs w:val="22"/>
        </w:rPr>
        <w:t>CIDI/</w:t>
      </w:r>
      <w:r w:rsidR="00E65CA4" w:rsidRPr="00493D30">
        <w:rPr>
          <w:sz w:val="22"/>
          <w:szCs w:val="22"/>
        </w:rPr>
        <w:t>d</w:t>
      </w:r>
      <w:r w:rsidR="00616F9E" w:rsidRPr="00493D30">
        <w:rPr>
          <w:sz w:val="22"/>
          <w:szCs w:val="22"/>
        </w:rPr>
        <w:t>oc.</w:t>
      </w:r>
      <w:r w:rsidR="00493D30" w:rsidRPr="00493D30">
        <w:rPr>
          <w:sz w:val="22"/>
          <w:szCs w:val="22"/>
        </w:rPr>
        <w:t>391</w:t>
      </w:r>
      <w:r w:rsidRPr="00493D30">
        <w:rPr>
          <w:sz w:val="22"/>
          <w:szCs w:val="22"/>
        </w:rPr>
        <w:t>/</w:t>
      </w:r>
      <w:r w:rsidR="00493D30" w:rsidRPr="00493D30">
        <w:rPr>
          <w:sz w:val="22"/>
          <w:szCs w:val="22"/>
        </w:rPr>
        <w:t>23</w:t>
      </w:r>
      <w:r w:rsidR="00493D30">
        <w:rPr>
          <w:rStyle w:val="FootnoteReference"/>
          <w:sz w:val="22"/>
          <w:szCs w:val="22"/>
        </w:rPr>
        <w:footnoteReference w:id="1"/>
      </w:r>
      <w:r w:rsidR="00493D30" w:rsidRPr="00493D30">
        <w:rPr>
          <w:sz w:val="22"/>
          <w:szCs w:val="22"/>
        </w:rPr>
        <w:t xml:space="preserve"> </w:t>
      </w:r>
    </w:p>
    <w:p w14:paraId="271C2AB2" w14:textId="04FA7645" w:rsidR="00705D8A" w:rsidRPr="00493D30" w:rsidRDefault="00705D8A" w:rsidP="00705D8A">
      <w:pPr>
        <w:tabs>
          <w:tab w:val="left" w:pos="7200"/>
        </w:tabs>
        <w:ind w:right="-1080"/>
        <w:rPr>
          <w:sz w:val="22"/>
          <w:szCs w:val="22"/>
        </w:rPr>
      </w:pPr>
      <w:r w:rsidRPr="00493D30">
        <w:rPr>
          <w:sz w:val="22"/>
          <w:szCs w:val="22"/>
        </w:rPr>
        <w:tab/>
      </w:r>
      <w:r w:rsidR="00E65CA4" w:rsidRPr="00493D30">
        <w:rPr>
          <w:sz w:val="22"/>
          <w:szCs w:val="22"/>
        </w:rPr>
        <w:t>29 ju</w:t>
      </w:r>
      <w:r w:rsidR="00493D30" w:rsidRPr="00493D30">
        <w:rPr>
          <w:sz w:val="22"/>
          <w:szCs w:val="22"/>
        </w:rPr>
        <w:t>n</w:t>
      </w:r>
      <w:r w:rsidR="00E65CA4" w:rsidRPr="00493D30">
        <w:rPr>
          <w:sz w:val="22"/>
          <w:szCs w:val="22"/>
        </w:rPr>
        <w:t xml:space="preserve">ho </w:t>
      </w:r>
      <w:r w:rsidRPr="00493D30">
        <w:rPr>
          <w:sz w:val="22"/>
          <w:szCs w:val="22"/>
        </w:rPr>
        <w:t>20</w:t>
      </w:r>
      <w:r w:rsidR="00493D30" w:rsidRPr="00493D30">
        <w:rPr>
          <w:sz w:val="22"/>
          <w:szCs w:val="22"/>
        </w:rPr>
        <w:t>23</w:t>
      </w:r>
    </w:p>
    <w:p w14:paraId="7E9EA728" w14:textId="77777777" w:rsidR="00705D8A" w:rsidRPr="00493D30" w:rsidRDefault="00705D8A" w:rsidP="00705D8A">
      <w:pPr>
        <w:pBdr>
          <w:bottom w:val="single" w:sz="12" w:space="1" w:color="auto"/>
        </w:pBdr>
        <w:tabs>
          <w:tab w:val="left" w:pos="7200"/>
        </w:tabs>
        <w:ind w:right="-1080"/>
        <w:rPr>
          <w:sz w:val="22"/>
          <w:szCs w:val="22"/>
        </w:rPr>
      </w:pPr>
      <w:r w:rsidRPr="00493D30">
        <w:rPr>
          <w:sz w:val="22"/>
          <w:szCs w:val="22"/>
        </w:rPr>
        <w:tab/>
        <w:t>Original: espa</w:t>
      </w:r>
      <w:r w:rsidR="00E65CA4" w:rsidRPr="00493D30">
        <w:rPr>
          <w:sz w:val="22"/>
          <w:szCs w:val="22"/>
        </w:rPr>
        <w:t>nh</w:t>
      </w:r>
      <w:r w:rsidRPr="00493D30">
        <w:rPr>
          <w:sz w:val="22"/>
          <w:szCs w:val="22"/>
        </w:rPr>
        <w:t xml:space="preserve">ol </w:t>
      </w:r>
      <w:r w:rsidR="00E65CA4" w:rsidRPr="00493D30">
        <w:rPr>
          <w:sz w:val="22"/>
          <w:szCs w:val="22"/>
        </w:rPr>
        <w:t>/inglê</w:t>
      </w:r>
      <w:r w:rsidRPr="00493D30">
        <w:rPr>
          <w:sz w:val="22"/>
          <w:szCs w:val="22"/>
        </w:rPr>
        <w:t xml:space="preserve">s </w:t>
      </w:r>
    </w:p>
    <w:p w14:paraId="277FA816" w14:textId="77777777" w:rsidR="00705D8A" w:rsidRPr="00493D30" w:rsidRDefault="00705D8A" w:rsidP="00705D8A">
      <w:pPr>
        <w:pBdr>
          <w:bottom w:val="single" w:sz="12" w:space="1" w:color="auto"/>
        </w:pBdr>
        <w:tabs>
          <w:tab w:val="left" w:pos="7200"/>
        </w:tabs>
        <w:ind w:right="-1080"/>
        <w:rPr>
          <w:sz w:val="22"/>
          <w:szCs w:val="22"/>
        </w:rPr>
      </w:pPr>
    </w:p>
    <w:p w14:paraId="676025E3" w14:textId="77777777" w:rsidR="00705D8A" w:rsidRPr="00493D30" w:rsidRDefault="00705D8A" w:rsidP="00E34214">
      <w:pPr>
        <w:pStyle w:val="Title"/>
        <w:jc w:val="both"/>
        <w:rPr>
          <w:rFonts w:ascii="Times New Roman" w:hAnsi="Times New Roman"/>
          <w:b w:val="0"/>
          <w:bCs/>
          <w:szCs w:val="22"/>
          <w:lang w:val="pt-BR"/>
        </w:rPr>
      </w:pPr>
    </w:p>
    <w:p w14:paraId="6E9A63C2" w14:textId="77777777" w:rsidR="00E65CA4" w:rsidRPr="00493D30" w:rsidRDefault="00E65CA4" w:rsidP="00E65CA4">
      <w:pPr>
        <w:pStyle w:val="Title"/>
        <w:jc w:val="both"/>
        <w:rPr>
          <w:rFonts w:ascii="Times New Roman" w:hAnsi="Times New Roman"/>
          <w:b w:val="0"/>
          <w:bCs/>
          <w:szCs w:val="22"/>
          <w:lang w:val="pt-BR"/>
        </w:rPr>
      </w:pPr>
    </w:p>
    <w:p w14:paraId="33F1F1B4" w14:textId="77777777" w:rsidR="00E65CA4" w:rsidRPr="00493D30" w:rsidRDefault="00E65CA4" w:rsidP="00E65CA4">
      <w:pPr>
        <w:jc w:val="center"/>
        <w:rPr>
          <w:sz w:val="22"/>
          <w:szCs w:val="22"/>
          <w:lang w:eastAsia="pt-BR"/>
        </w:rPr>
      </w:pPr>
      <w:r w:rsidRPr="00493D30">
        <w:rPr>
          <w:sz w:val="22"/>
          <w:szCs w:val="22"/>
          <w:lang w:eastAsia="pt-BR"/>
        </w:rPr>
        <w:t>ESTATUTO DO FUNDO DE COOPERAÇÃO PARA O DESENVOLVIMENTO DA OEA (FCD/OEA) E DISPOSIÇÕES SOBRE OUTROS RECURSOS PARA A</w:t>
      </w:r>
      <w:r w:rsidRPr="00493D30">
        <w:rPr>
          <w:sz w:val="22"/>
          <w:szCs w:val="22"/>
          <w:lang w:eastAsia="pt-BR"/>
        </w:rPr>
        <w:br/>
        <w:t>COOPERAÇÃO SOLIDÁRIA PARA O DESENVOLVIMENTO</w:t>
      </w:r>
    </w:p>
    <w:p w14:paraId="63D25357" w14:textId="77777777" w:rsidR="00E65CA4" w:rsidRPr="00493D30" w:rsidRDefault="00E65CA4" w:rsidP="00E65CA4">
      <w:pPr>
        <w:rPr>
          <w:sz w:val="22"/>
          <w:szCs w:val="22"/>
          <w:lang w:eastAsia="pt-BR"/>
        </w:rPr>
      </w:pPr>
    </w:p>
    <w:p w14:paraId="16D41F5A" w14:textId="77777777" w:rsidR="00033F0A" w:rsidRPr="00493D30" w:rsidRDefault="00E65CA4" w:rsidP="00E65CA4">
      <w:pPr>
        <w:tabs>
          <w:tab w:val="left" w:pos="0"/>
        </w:tabs>
        <w:jc w:val="center"/>
        <w:rPr>
          <w:sz w:val="22"/>
          <w:szCs w:val="22"/>
          <w:lang w:eastAsia="pt-BR"/>
        </w:rPr>
      </w:pPr>
      <w:r w:rsidRPr="00493D30">
        <w:rPr>
          <w:sz w:val="22"/>
          <w:szCs w:val="22"/>
          <w:lang w:eastAsia="pt-BR"/>
        </w:rPr>
        <w:t xml:space="preserve">(Acordado na Trigésima Oitava Reunião Ordinária do CIDI, </w:t>
      </w:r>
    </w:p>
    <w:p w14:paraId="7256CC8A" w14:textId="77777777" w:rsidR="00493D30" w:rsidRPr="00493D30" w:rsidRDefault="00E65CA4" w:rsidP="00E65CA4">
      <w:pPr>
        <w:tabs>
          <w:tab w:val="left" w:pos="0"/>
        </w:tabs>
        <w:jc w:val="center"/>
        <w:rPr>
          <w:sz w:val="22"/>
          <w:szCs w:val="22"/>
          <w:lang w:eastAsia="pt-BR"/>
        </w:rPr>
      </w:pPr>
      <w:r w:rsidRPr="00493D30">
        <w:rPr>
          <w:sz w:val="22"/>
          <w:szCs w:val="22"/>
          <w:lang w:eastAsia="pt-BR"/>
        </w:rPr>
        <w:t xml:space="preserve">realizada em 22 de maio de 2014, </w:t>
      </w:r>
      <w:r w:rsidR="00493D30" w:rsidRPr="00493D30">
        <w:rPr>
          <w:sz w:val="22"/>
          <w:szCs w:val="22"/>
          <w:lang w:eastAsia="pt-BR"/>
        </w:rPr>
        <w:t>e modificado em 9 de junho de 2023,</w:t>
      </w:r>
    </w:p>
    <w:p w14:paraId="62C38501" w14:textId="2860A47D" w:rsidR="00E65CA4" w:rsidRPr="00493D30" w:rsidRDefault="00493D30" w:rsidP="00E65CA4">
      <w:pPr>
        <w:tabs>
          <w:tab w:val="left" w:pos="0"/>
        </w:tabs>
        <w:jc w:val="center"/>
        <w:rPr>
          <w:sz w:val="22"/>
          <w:szCs w:val="22"/>
          <w:lang w:eastAsia="pt-BR"/>
        </w:rPr>
      </w:pPr>
      <w:r w:rsidRPr="00493D30">
        <w:rPr>
          <w:sz w:val="22"/>
          <w:szCs w:val="22"/>
          <w:lang w:eastAsia="pt-BR"/>
        </w:rPr>
        <w:t xml:space="preserve"> </w:t>
      </w:r>
      <w:r w:rsidR="00042CAB">
        <w:rPr>
          <w:sz w:val="22"/>
          <w:szCs w:val="22"/>
          <w:lang w:eastAsia="pt-BR"/>
        </w:rPr>
        <w:t>pela</w:t>
      </w:r>
      <w:r w:rsidRPr="00493D30">
        <w:rPr>
          <w:sz w:val="22"/>
          <w:szCs w:val="22"/>
          <w:lang w:eastAsia="pt-BR"/>
        </w:rPr>
        <w:t xml:space="preserve"> resolução AG/RES. 2985 (LII-O-22)</w:t>
      </w:r>
      <w:r w:rsidR="00E65CA4" w:rsidRPr="00493D30">
        <w:rPr>
          <w:sz w:val="22"/>
          <w:szCs w:val="22"/>
          <w:lang w:eastAsia="pt-BR"/>
        </w:rPr>
        <w:t>)</w:t>
      </w:r>
      <w:r w:rsidR="00E764E5">
        <w:rPr>
          <w:rStyle w:val="FootnoteReference"/>
          <w:sz w:val="22"/>
          <w:szCs w:val="22"/>
          <w:lang w:eastAsia="pt-BR"/>
        </w:rPr>
        <w:footnoteReference w:id="2"/>
      </w:r>
    </w:p>
    <w:p w14:paraId="01D251E1" w14:textId="77777777" w:rsidR="00E65CA4" w:rsidRPr="00493D30" w:rsidRDefault="00E65CA4" w:rsidP="00E65CA4">
      <w:pPr>
        <w:jc w:val="both"/>
        <w:rPr>
          <w:bCs/>
          <w:sz w:val="22"/>
          <w:szCs w:val="22"/>
          <w:lang w:eastAsia="pt-BR"/>
        </w:rPr>
      </w:pPr>
    </w:p>
    <w:p w14:paraId="7C9BE865" w14:textId="77777777" w:rsidR="00E65CA4" w:rsidRPr="00493D30" w:rsidRDefault="00E65CA4" w:rsidP="00E65CA4">
      <w:pPr>
        <w:jc w:val="both"/>
        <w:rPr>
          <w:bCs/>
          <w:sz w:val="22"/>
          <w:szCs w:val="22"/>
          <w:lang w:eastAsia="pt-BR"/>
        </w:rPr>
      </w:pPr>
    </w:p>
    <w:p w14:paraId="042F6BB9" w14:textId="77777777" w:rsidR="00E65CA4" w:rsidRPr="00493D30" w:rsidRDefault="00E65CA4" w:rsidP="00E65CA4">
      <w:pPr>
        <w:jc w:val="center"/>
        <w:rPr>
          <w:sz w:val="22"/>
          <w:szCs w:val="22"/>
          <w:lang w:eastAsia="pt-BR"/>
        </w:rPr>
      </w:pPr>
      <w:r w:rsidRPr="00493D30">
        <w:rPr>
          <w:sz w:val="22"/>
          <w:szCs w:val="22"/>
          <w:lang w:eastAsia="pt-BR"/>
        </w:rPr>
        <w:t>CAPÍTULO I</w:t>
      </w:r>
    </w:p>
    <w:p w14:paraId="2A445A85" w14:textId="77777777" w:rsidR="00E65CA4" w:rsidRPr="00493D30" w:rsidRDefault="00E65CA4" w:rsidP="00E65CA4">
      <w:pPr>
        <w:rPr>
          <w:sz w:val="22"/>
          <w:szCs w:val="22"/>
          <w:lang w:eastAsia="pt-BR"/>
        </w:rPr>
      </w:pPr>
    </w:p>
    <w:p w14:paraId="1B5170A4" w14:textId="77777777" w:rsidR="00E65CA4" w:rsidRPr="00493D30" w:rsidRDefault="00E65CA4" w:rsidP="00E65CA4">
      <w:pPr>
        <w:jc w:val="center"/>
        <w:rPr>
          <w:sz w:val="22"/>
          <w:szCs w:val="22"/>
          <w:lang w:eastAsia="pt-BR"/>
        </w:rPr>
      </w:pPr>
      <w:r w:rsidRPr="00493D30">
        <w:rPr>
          <w:sz w:val="22"/>
          <w:szCs w:val="22"/>
          <w:lang w:eastAsia="pt-BR"/>
        </w:rPr>
        <w:t>FONTES DE FINANCIAMENTO DA COOPERAÇÃO SOLIDÁRIA</w:t>
      </w:r>
    </w:p>
    <w:p w14:paraId="1E5B12A1" w14:textId="77777777" w:rsidR="00E65CA4" w:rsidRPr="00493D30" w:rsidRDefault="00E65CA4" w:rsidP="00E65CA4">
      <w:pPr>
        <w:jc w:val="center"/>
        <w:rPr>
          <w:sz w:val="22"/>
          <w:szCs w:val="22"/>
          <w:lang w:eastAsia="pt-BR"/>
        </w:rPr>
      </w:pPr>
      <w:r w:rsidRPr="00493D30">
        <w:rPr>
          <w:sz w:val="22"/>
          <w:szCs w:val="22"/>
          <w:lang w:eastAsia="pt-BR"/>
        </w:rPr>
        <w:t>PARA O DESENVOLVIMENTO</w:t>
      </w:r>
    </w:p>
    <w:p w14:paraId="26E6762B" w14:textId="77777777" w:rsidR="00E65CA4" w:rsidRPr="00493D30" w:rsidRDefault="00E65CA4" w:rsidP="00E65CA4">
      <w:pPr>
        <w:jc w:val="both"/>
        <w:rPr>
          <w:bCs/>
          <w:sz w:val="22"/>
          <w:szCs w:val="22"/>
          <w:lang w:eastAsia="pt-BR"/>
        </w:rPr>
      </w:pPr>
    </w:p>
    <w:p w14:paraId="725014A1" w14:textId="77777777" w:rsidR="00E65CA4" w:rsidRPr="00493D30" w:rsidRDefault="00E65CA4" w:rsidP="00E65CA4">
      <w:pPr>
        <w:jc w:val="both"/>
        <w:rPr>
          <w:sz w:val="22"/>
          <w:szCs w:val="22"/>
          <w:lang w:eastAsia="pt-BR"/>
        </w:rPr>
      </w:pPr>
      <w:r w:rsidRPr="00493D30">
        <w:rPr>
          <w:bCs/>
          <w:sz w:val="22"/>
          <w:szCs w:val="22"/>
          <w:lang w:eastAsia="pt-BR"/>
        </w:rPr>
        <w:t>Artigo 1.</w:t>
      </w:r>
      <w:r w:rsidRPr="00493D30">
        <w:rPr>
          <w:bCs/>
          <w:sz w:val="22"/>
          <w:szCs w:val="22"/>
          <w:lang w:eastAsia="pt-BR"/>
        </w:rPr>
        <w:tab/>
      </w:r>
      <w:r w:rsidRPr="00493D30">
        <w:rPr>
          <w:sz w:val="22"/>
          <w:szCs w:val="22"/>
          <w:lang w:eastAsia="pt-BR"/>
        </w:rPr>
        <w:t xml:space="preserve">Este Estatuto rege o funcionamento do Fundo de Cooperação para o Desenvolvimento da OEA (FCD/OEA), estabelecido para contribuir para o financiamento dos programas, dos projetos e das atividades de cooperação nacionais e multilaterais (doravante, “atividades de cooperação solidária para o desenvolvimento”) realizados no âmbito do Plano Estratégico de Cooperação Solidária para o Desenvolvimento (doravante, “o Plano Estratégico”). Este Estatuto identifica, além disso, os demais fundos administrados pela Secretaria-Geral que podem coadjuvar no financiamento das atividades de cooperação solidária. </w:t>
      </w:r>
    </w:p>
    <w:p w14:paraId="0534497F" w14:textId="77777777" w:rsidR="00E65CA4" w:rsidRPr="00493D30" w:rsidRDefault="00E65CA4" w:rsidP="00E65CA4">
      <w:pPr>
        <w:jc w:val="both"/>
        <w:rPr>
          <w:bCs/>
          <w:sz w:val="22"/>
          <w:szCs w:val="22"/>
          <w:lang w:eastAsia="pt-BR"/>
        </w:rPr>
      </w:pPr>
    </w:p>
    <w:p w14:paraId="41F43AEB" w14:textId="77777777" w:rsidR="00E65CA4" w:rsidRPr="00493D30" w:rsidRDefault="00E65CA4" w:rsidP="00E65CA4">
      <w:pPr>
        <w:jc w:val="both"/>
        <w:rPr>
          <w:sz w:val="22"/>
          <w:szCs w:val="22"/>
          <w:lang w:eastAsia="pt-BR"/>
        </w:rPr>
      </w:pPr>
      <w:r w:rsidRPr="00493D30">
        <w:rPr>
          <w:bCs/>
          <w:sz w:val="22"/>
          <w:szCs w:val="22"/>
          <w:lang w:eastAsia="pt-BR"/>
        </w:rPr>
        <w:t>Artigo 2.</w:t>
      </w:r>
      <w:r w:rsidRPr="00493D30">
        <w:rPr>
          <w:bCs/>
          <w:sz w:val="22"/>
          <w:szCs w:val="22"/>
          <w:lang w:eastAsia="pt-BR"/>
        </w:rPr>
        <w:tab/>
      </w:r>
      <w:r w:rsidRPr="00493D30">
        <w:rPr>
          <w:sz w:val="22"/>
          <w:szCs w:val="22"/>
          <w:lang w:eastAsia="pt-BR"/>
        </w:rPr>
        <w:t>Os recursos destinados ao financiamento das atividades de cooperação solidária para o desenvolvimento são agrupados nos seguintes fundos: FCD/OEA, fundos específicos, fundos fiduciários, e Fundo Ordinário da Organização, conforme o caso.</w:t>
      </w:r>
      <w:r w:rsidRPr="00493D30">
        <w:rPr>
          <w:bCs/>
          <w:i/>
          <w:iCs/>
          <w:sz w:val="22"/>
          <w:szCs w:val="22"/>
          <w:lang w:eastAsia="pt-BR"/>
        </w:rPr>
        <w:t xml:space="preserve"> </w:t>
      </w:r>
    </w:p>
    <w:p w14:paraId="51852289" w14:textId="77777777" w:rsidR="00E65CA4" w:rsidRPr="00493D30" w:rsidRDefault="00E65CA4" w:rsidP="00E65CA4">
      <w:pPr>
        <w:jc w:val="both"/>
        <w:rPr>
          <w:sz w:val="22"/>
          <w:szCs w:val="22"/>
          <w:lang w:eastAsia="pt-BR"/>
        </w:rPr>
      </w:pPr>
    </w:p>
    <w:p w14:paraId="7B8AC173" w14:textId="77777777" w:rsidR="00E65CA4" w:rsidRPr="00493D30" w:rsidRDefault="00E65CA4" w:rsidP="00E65CA4">
      <w:pPr>
        <w:ind w:firstLine="720"/>
        <w:jc w:val="both"/>
        <w:rPr>
          <w:sz w:val="22"/>
          <w:szCs w:val="22"/>
          <w:lang w:eastAsia="pt-BR"/>
        </w:rPr>
      </w:pPr>
      <w:r w:rsidRPr="00493D30">
        <w:rPr>
          <w:sz w:val="22"/>
          <w:szCs w:val="22"/>
          <w:lang w:eastAsia="pt-BR"/>
        </w:rPr>
        <w:t xml:space="preserve">A utilização dos recursos desses fundos será feita de acordo com o disposto nas Normas Gerais para o Funcionamento da Secretaria-Geral (doravante, “Normas Gerais”), neste Estatuto e nos regulamentos pertinentes. </w:t>
      </w:r>
    </w:p>
    <w:p w14:paraId="152C5742" w14:textId="77777777" w:rsidR="00E65CA4" w:rsidRPr="00493D30" w:rsidRDefault="00E65CA4" w:rsidP="00E65CA4">
      <w:pPr>
        <w:jc w:val="both"/>
        <w:rPr>
          <w:bCs/>
          <w:sz w:val="22"/>
          <w:szCs w:val="22"/>
          <w:lang w:eastAsia="pt-BR"/>
        </w:rPr>
      </w:pPr>
    </w:p>
    <w:p w14:paraId="611C49D4" w14:textId="77777777" w:rsidR="00E65CA4" w:rsidRPr="00493D30" w:rsidRDefault="00E65CA4" w:rsidP="00E65CA4">
      <w:pPr>
        <w:jc w:val="both"/>
        <w:rPr>
          <w:sz w:val="22"/>
          <w:szCs w:val="22"/>
          <w:lang w:eastAsia="pt-BR"/>
        </w:rPr>
      </w:pPr>
      <w:r w:rsidRPr="00493D30">
        <w:rPr>
          <w:bCs/>
          <w:sz w:val="22"/>
          <w:szCs w:val="22"/>
          <w:lang w:eastAsia="pt-BR"/>
        </w:rPr>
        <w:t>Artigo 3.</w:t>
      </w:r>
      <w:r w:rsidRPr="00493D30">
        <w:rPr>
          <w:bCs/>
          <w:sz w:val="22"/>
          <w:szCs w:val="22"/>
          <w:lang w:eastAsia="pt-BR"/>
        </w:rPr>
        <w:tab/>
      </w:r>
      <w:r w:rsidRPr="00493D30">
        <w:rPr>
          <w:sz w:val="22"/>
          <w:szCs w:val="22"/>
          <w:lang w:eastAsia="pt-BR"/>
        </w:rPr>
        <w:t xml:space="preserve">Os Estados membros participarão do financiamento das atividades de cooperação solidária para o desenvolvimento mediante contribuições voluntárias ao FCD/OEA. Os Estados </w:t>
      </w:r>
      <w:r w:rsidRPr="00493D30">
        <w:rPr>
          <w:sz w:val="22"/>
          <w:szCs w:val="22"/>
          <w:lang w:eastAsia="pt-BR"/>
        </w:rPr>
        <w:lastRenderedPageBreak/>
        <w:t xml:space="preserve">membros também poderão efetuar contribuições especiais ou doações a fundos específicos e a fundos fiduciários. </w:t>
      </w:r>
    </w:p>
    <w:p w14:paraId="15493577" w14:textId="77777777" w:rsidR="00E65CA4" w:rsidRPr="00493D30" w:rsidRDefault="00E65CA4" w:rsidP="00E65CA4">
      <w:pPr>
        <w:jc w:val="both"/>
        <w:rPr>
          <w:bCs/>
          <w:sz w:val="22"/>
          <w:szCs w:val="22"/>
          <w:lang w:eastAsia="pt-BR"/>
        </w:rPr>
      </w:pPr>
    </w:p>
    <w:p w14:paraId="3494DBD7" w14:textId="77777777" w:rsidR="00E65CA4" w:rsidRPr="00493D30" w:rsidRDefault="00E65CA4" w:rsidP="00E65CA4">
      <w:pPr>
        <w:jc w:val="both"/>
        <w:rPr>
          <w:sz w:val="22"/>
          <w:szCs w:val="22"/>
          <w:lang w:eastAsia="pt-BR"/>
        </w:rPr>
      </w:pPr>
      <w:r w:rsidRPr="00493D30">
        <w:rPr>
          <w:bCs/>
          <w:sz w:val="22"/>
          <w:szCs w:val="22"/>
          <w:lang w:eastAsia="pt-BR"/>
        </w:rPr>
        <w:t>Artigo 4.</w:t>
      </w:r>
      <w:r w:rsidRPr="00493D30">
        <w:rPr>
          <w:bCs/>
          <w:sz w:val="22"/>
          <w:szCs w:val="22"/>
          <w:lang w:eastAsia="pt-BR"/>
        </w:rPr>
        <w:tab/>
      </w:r>
      <w:r w:rsidRPr="00493D30">
        <w:rPr>
          <w:sz w:val="22"/>
          <w:szCs w:val="22"/>
          <w:lang w:eastAsia="pt-BR"/>
        </w:rPr>
        <w:t xml:space="preserve">Os Estados Observadores Permanentes junto à Organização dos Estados Americanos (OEA) e outros Estados membros das Nações Unidas, bem como pessoas, entidades públicas ou privadas, nacionais ou internacionais, poderão participar do financiamento das atividades de cooperação solidária para o desenvolvimento mediante contribuições ou doações a fundos específicos e a fundos fiduciários, de acordo com as Normas Gerais. </w:t>
      </w:r>
    </w:p>
    <w:p w14:paraId="4DC29721" w14:textId="77777777" w:rsidR="00E65CA4" w:rsidRPr="00493D30" w:rsidRDefault="00E65CA4" w:rsidP="00E65CA4">
      <w:pPr>
        <w:jc w:val="both"/>
        <w:rPr>
          <w:bCs/>
          <w:sz w:val="22"/>
          <w:szCs w:val="22"/>
          <w:lang w:eastAsia="pt-BR"/>
        </w:rPr>
      </w:pPr>
    </w:p>
    <w:p w14:paraId="3D2CA687" w14:textId="77777777" w:rsidR="00E65CA4" w:rsidRPr="00493D30" w:rsidRDefault="00E65CA4" w:rsidP="00E65CA4">
      <w:pPr>
        <w:jc w:val="both"/>
        <w:rPr>
          <w:sz w:val="22"/>
          <w:szCs w:val="22"/>
          <w:lang w:eastAsia="pt-BR"/>
        </w:rPr>
      </w:pPr>
      <w:r w:rsidRPr="00493D30">
        <w:rPr>
          <w:bCs/>
          <w:sz w:val="22"/>
          <w:szCs w:val="22"/>
          <w:lang w:eastAsia="pt-BR"/>
        </w:rPr>
        <w:t>Artigo 5.</w:t>
      </w:r>
      <w:r w:rsidRPr="00493D30">
        <w:rPr>
          <w:bCs/>
          <w:sz w:val="22"/>
          <w:szCs w:val="22"/>
          <w:lang w:eastAsia="pt-BR"/>
        </w:rPr>
        <w:tab/>
      </w:r>
      <w:r w:rsidRPr="00493D30">
        <w:rPr>
          <w:sz w:val="22"/>
          <w:szCs w:val="22"/>
          <w:lang w:eastAsia="pt-BR"/>
        </w:rPr>
        <w:t xml:space="preserve">Os juros decorrentes dos recursos dos fundos regidos por este Estatuto serão considerados receitas do respectivo fundo e administrados em conformidade com as disposições pertinentes das Normas Gerais. </w:t>
      </w:r>
    </w:p>
    <w:p w14:paraId="74FD6534" w14:textId="77777777" w:rsidR="00E65CA4" w:rsidRDefault="00E65CA4" w:rsidP="00E65CA4">
      <w:pPr>
        <w:jc w:val="both"/>
        <w:rPr>
          <w:sz w:val="22"/>
          <w:szCs w:val="22"/>
          <w:lang w:eastAsia="pt-BR"/>
        </w:rPr>
      </w:pPr>
    </w:p>
    <w:p w14:paraId="1059AA63" w14:textId="77777777" w:rsidR="00316840" w:rsidRPr="00493D30" w:rsidRDefault="00316840" w:rsidP="00E65CA4">
      <w:pPr>
        <w:jc w:val="both"/>
        <w:rPr>
          <w:sz w:val="22"/>
          <w:szCs w:val="22"/>
          <w:lang w:eastAsia="pt-BR"/>
        </w:rPr>
      </w:pPr>
    </w:p>
    <w:p w14:paraId="382065C4" w14:textId="77777777" w:rsidR="00E65CA4" w:rsidRPr="00493D30" w:rsidRDefault="00E65CA4" w:rsidP="00E65CA4">
      <w:pPr>
        <w:jc w:val="center"/>
        <w:rPr>
          <w:sz w:val="22"/>
          <w:szCs w:val="22"/>
          <w:lang w:eastAsia="pt-BR"/>
        </w:rPr>
      </w:pPr>
      <w:r w:rsidRPr="00493D30">
        <w:rPr>
          <w:sz w:val="22"/>
          <w:szCs w:val="22"/>
          <w:lang w:eastAsia="pt-BR"/>
        </w:rPr>
        <w:t>CAPÍTULO II</w:t>
      </w:r>
    </w:p>
    <w:p w14:paraId="4DECDD01" w14:textId="77777777" w:rsidR="00E65CA4" w:rsidRPr="00493D30" w:rsidRDefault="00E65CA4" w:rsidP="00E65CA4">
      <w:pPr>
        <w:jc w:val="center"/>
        <w:rPr>
          <w:sz w:val="22"/>
          <w:szCs w:val="22"/>
          <w:lang w:eastAsia="pt-BR"/>
        </w:rPr>
      </w:pPr>
      <w:r w:rsidRPr="00493D30">
        <w:rPr>
          <w:sz w:val="22"/>
          <w:szCs w:val="22"/>
          <w:lang w:eastAsia="pt-BR"/>
        </w:rPr>
        <w:t>FINANCIAMENTO COM RECURSOS DO FCD/OEA</w:t>
      </w:r>
    </w:p>
    <w:p w14:paraId="12E7502C" w14:textId="77777777" w:rsidR="00E65CA4" w:rsidRPr="00493D30" w:rsidRDefault="00E65CA4" w:rsidP="00E65CA4">
      <w:pPr>
        <w:jc w:val="both"/>
        <w:rPr>
          <w:bCs/>
          <w:sz w:val="22"/>
          <w:szCs w:val="22"/>
          <w:lang w:eastAsia="pt-BR"/>
        </w:rPr>
      </w:pPr>
    </w:p>
    <w:p w14:paraId="4EFB7589" w14:textId="77777777" w:rsidR="00E65CA4" w:rsidRPr="00493D30" w:rsidRDefault="00E65CA4" w:rsidP="00E65CA4">
      <w:pPr>
        <w:jc w:val="both"/>
        <w:rPr>
          <w:bCs/>
          <w:sz w:val="22"/>
          <w:szCs w:val="22"/>
          <w:lang w:eastAsia="pt-BR"/>
        </w:rPr>
      </w:pPr>
    </w:p>
    <w:p w14:paraId="1FD8E289" w14:textId="77777777" w:rsidR="00E65CA4" w:rsidRPr="00493D30" w:rsidRDefault="00E65CA4" w:rsidP="00E65CA4">
      <w:pPr>
        <w:jc w:val="both"/>
        <w:rPr>
          <w:sz w:val="22"/>
          <w:szCs w:val="22"/>
          <w:lang w:eastAsia="pt-BR"/>
        </w:rPr>
      </w:pPr>
      <w:r w:rsidRPr="00493D30">
        <w:rPr>
          <w:bCs/>
          <w:sz w:val="22"/>
          <w:szCs w:val="22"/>
          <w:lang w:eastAsia="pt-BR"/>
        </w:rPr>
        <w:t>A.</w:t>
      </w:r>
      <w:r w:rsidRPr="00493D30">
        <w:rPr>
          <w:bCs/>
          <w:sz w:val="22"/>
          <w:szCs w:val="22"/>
          <w:lang w:eastAsia="pt-BR"/>
        </w:rPr>
        <w:tab/>
        <w:t>Natureza e composição</w:t>
      </w:r>
    </w:p>
    <w:p w14:paraId="5E776C79" w14:textId="77777777" w:rsidR="00E65CA4" w:rsidRPr="00493D30" w:rsidRDefault="00E65CA4" w:rsidP="00E65CA4">
      <w:pPr>
        <w:jc w:val="both"/>
        <w:rPr>
          <w:bCs/>
          <w:sz w:val="22"/>
          <w:szCs w:val="22"/>
          <w:u w:val="single"/>
          <w:lang w:eastAsia="pt-BR"/>
        </w:rPr>
      </w:pPr>
    </w:p>
    <w:p w14:paraId="26893B78" w14:textId="77777777" w:rsidR="00E65CA4" w:rsidRPr="00493D30" w:rsidRDefault="00E65CA4" w:rsidP="00E65CA4">
      <w:pPr>
        <w:jc w:val="both"/>
        <w:rPr>
          <w:sz w:val="22"/>
          <w:szCs w:val="22"/>
          <w:lang w:eastAsia="pt-BR"/>
        </w:rPr>
      </w:pPr>
      <w:r w:rsidRPr="00493D30">
        <w:rPr>
          <w:bCs/>
          <w:sz w:val="22"/>
          <w:szCs w:val="22"/>
          <w:lang w:eastAsia="pt-BR"/>
        </w:rPr>
        <w:t>Artigo 6</w:t>
      </w:r>
      <w:r w:rsidRPr="00493D30">
        <w:rPr>
          <w:sz w:val="22"/>
          <w:szCs w:val="22"/>
          <w:lang w:eastAsia="pt-BR"/>
        </w:rPr>
        <w:t>.</w:t>
      </w:r>
      <w:r w:rsidRPr="00493D30">
        <w:rPr>
          <w:sz w:val="22"/>
          <w:szCs w:val="22"/>
          <w:lang w:eastAsia="pt-BR"/>
        </w:rPr>
        <w:tab/>
        <w:t xml:space="preserve">O FCD/OEA é constituído pelas contribuições voluntárias dos Estados membros e por outros ativos. </w:t>
      </w:r>
    </w:p>
    <w:p w14:paraId="79BB3871" w14:textId="77777777" w:rsidR="00E65CA4" w:rsidRPr="00493D30" w:rsidRDefault="00E65CA4" w:rsidP="00E65CA4">
      <w:pPr>
        <w:jc w:val="both"/>
        <w:rPr>
          <w:bCs/>
          <w:sz w:val="22"/>
          <w:szCs w:val="22"/>
          <w:lang w:eastAsia="pt-BR"/>
        </w:rPr>
      </w:pPr>
    </w:p>
    <w:p w14:paraId="1E713CB1" w14:textId="77777777" w:rsidR="00E65CA4" w:rsidRPr="00493D30" w:rsidRDefault="00E65CA4" w:rsidP="00E65CA4">
      <w:pPr>
        <w:jc w:val="both"/>
        <w:rPr>
          <w:sz w:val="22"/>
          <w:szCs w:val="22"/>
          <w:lang w:eastAsia="pt-BR"/>
        </w:rPr>
      </w:pPr>
      <w:r w:rsidRPr="00493D30">
        <w:rPr>
          <w:bCs/>
          <w:sz w:val="22"/>
          <w:szCs w:val="22"/>
          <w:lang w:eastAsia="pt-BR"/>
        </w:rPr>
        <w:t>Artigo 7.</w:t>
      </w:r>
      <w:r w:rsidRPr="00493D30">
        <w:rPr>
          <w:bCs/>
          <w:sz w:val="22"/>
          <w:szCs w:val="22"/>
          <w:lang w:eastAsia="pt-BR"/>
        </w:rPr>
        <w:tab/>
      </w:r>
      <w:r w:rsidRPr="00493D30">
        <w:rPr>
          <w:sz w:val="22"/>
          <w:szCs w:val="22"/>
          <w:lang w:eastAsia="pt-BR"/>
        </w:rPr>
        <w:t>A Conta de Desenvolvimento Integral se baseia nas prioridades estabelecidas no Plano Estratégico e na Conta de Reserva que será constituída com 10% das contribuições voluntárias anuais dos Estados membros. A Conta de Reserva manterá o equivalente a 3% dos recursos existentes no FCD/OEA para atividades imprevistas.</w:t>
      </w:r>
    </w:p>
    <w:p w14:paraId="79320CAB" w14:textId="77777777" w:rsidR="00E65CA4" w:rsidRPr="00493D30" w:rsidRDefault="00E65CA4" w:rsidP="00E65CA4">
      <w:pPr>
        <w:jc w:val="both"/>
        <w:rPr>
          <w:bCs/>
          <w:sz w:val="22"/>
          <w:szCs w:val="22"/>
          <w:lang w:eastAsia="pt-BR"/>
        </w:rPr>
      </w:pPr>
    </w:p>
    <w:p w14:paraId="101CE912" w14:textId="77777777" w:rsidR="00E65CA4" w:rsidRPr="00493D30" w:rsidRDefault="00E65CA4" w:rsidP="00E65CA4">
      <w:pPr>
        <w:jc w:val="both"/>
        <w:rPr>
          <w:sz w:val="22"/>
          <w:szCs w:val="22"/>
          <w:lang w:eastAsia="pt-BR"/>
        </w:rPr>
      </w:pPr>
      <w:r w:rsidRPr="00493D30">
        <w:rPr>
          <w:bCs/>
          <w:sz w:val="22"/>
          <w:szCs w:val="22"/>
          <w:lang w:eastAsia="pt-BR"/>
        </w:rPr>
        <w:t>Artigo 8.</w:t>
      </w:r>
      <w:r w:rsidRPr="00493D30">
        <w:rPr>
          <w:bCs/>
          <w:sz w:val="22"/>
          <w:szCs w:val="22"/>
          <w:lang w:eastAsia="pt-BR"/>
        </w:rPr>
        <w:tab/>
      </w:r>
      <w:r w:rsidRPr="00493D30">
        <w:rPr>
          <w:sz w:val="22"/>
          <w:szCs w:val="22"/>
          <w:lang w:eastAsia="pt-BR"/>
        </w:rPr>
        <w:t xml:space="preserve">Os Estados membros poderão atribuir seu oferecimento de contribuição voluntaria à Conta de Desenvolvimento Integral e/ou a uma ou a várias contas setoriais, na proporção que cada Estado membro contribuinte decidir dentro dos prazos regulamentares. </w:t>
      </w:r>
    </w:p>
    <w:p w14:paraId="40260F36" w14:textId="77777777" w:rsidR="00E65CA4" w:rsidRPr="00493D30" w:rsidRDefault="00E65CA4" w:rsidP="00E65CA4">
      <w:pPr>
        <w:jc w:val="both"/>
        <w:rPr>
          <w:bCs/>
          <w:sz w:val="22"/>
          <w:szCs w:val="22"/>
          <w:lang w:eastAsia="pt-BR"/>
        </w:rPr>
      </w:pPr>
    </w:p>
    <w:p w14:paraId="0F2262E3" w14:textId="77777777" w:rsidR="00E65CA4" w:rsidRPr="00493D30" w:rsidRDefault="00E65CA4" w:rsidP="00E65CA4">
      <w:pPr>
        <w:jc w:val="both"/>
        <w:rPr>
          <w:sz w:val="22"/>
          <w:szCs w:val="22"/>
          <w:u w:val="single"/>
          <w:lang w:eastAsia="pt-BR"/>
        </w:rPr>
      </w:pPr>
      <w:r w:rsidRPr="00493D30">
        <w:rPr>
          <w:bCs/>
          <w:sz w:val="22"/>
          <w:szCs w:val="22"/>
          <w:lang w:eastAsia="pt-BR"/>
        </w:rPr>
        <w:t>Artigo 9.</w:t>
      </w:r>
      <w:r w:rsidRPr="00493D30">
        <w:rPr>
          <w:bCs/>
          <w:sz w:val="22"/>
          <w:szCs w:val="22"/>
          <w:lang w:eastAsia="pt-BR"/>
        </w:rPr>
        <w:tab/>
      </w:r>
      <w:r w:rsidRPr="00493D30">
        <w:rPr>
          <w:sz w:val="22"/>
          <w:szCs w:val="22"/>
          <w:lang w:eastAsia="pt-BR"/>
        </w:rPr>
        <w:t>A Conta de Desenvolvimento Integral inclui as prioridades estabelecidas no Plano Estratégico vigente:</w:t>
      </w:r>
    </w:p>
    <w:p w14:paraId="353850E4" w14:textId="77777777" w:rsidR="00E65CA4" w:rsidRPr="00493D30" w:rsidRDefault="00E65CA4" w:rsidP="00E65CA4">
      <w:pPr>
        <w:jc w:val="both"/>
        <w:rPr>
          <w:sz w:val="22"/>
          <w:szCs w:val="22"/>
          <w:lang w:eastAsia="pt-BR"/>
        </w:rPr>
      </w:pPr>
    </w:p>
    <w:p w14:paraId="4C841E08" w14:textId="77777777" w:rsidR="00E65CA4" w:rsidRPr="00493D30" w:rsidRDefault="00E65CA4" w:rsidP="00E65CA4">
      <w:pPr>
        <w:numPr>
          <w:ilvl w:val="0"/>
          <w:numId w:val="1"/>
        </w:numPr>
        <w:tabs>
          <w:tab w:val="clear" w:pos="720"/>
          <w:tab w:val="num" w:pos="1440"/>
        </w:tabs>
        <w:ind w:left="2160" w:right="360" w:hanging="720"/>
        <w:jc w:val="both"/>
        <w:rPr>
          <w:sz w:val="22"/>
          <w:szCs w:val="22"/>
          <w:lang w:eastAsia="pt-BR"/>
        </w:rPr>
      </w:pPr>
      <w:r w:rsidRPr="00493D30">
        <w:rPr>
          <w:sz w:val="22"/>
          <w:szCs w:val="22"/>
          <w:lang w:eastAsia="pt-BR"/>
        </w:rPr>
        <w:t>desenvolvimento social e geração de emprego produtivo;</w:t>
      </w:r>
    </w:p>
    <w:p w14:paraId="038105A2" w14:textId="77777777" w:rsidR="00E65CA4" w:rsidRPr="00493D30" w:rsidRDefault="00E65CA4" w:rsidP="00E65CA4">
      <w:pPr>
        <w:numPr>
          <w:ilvl w:val="0"/>
          <w:numId w:val="1"/>
        </w:numPr>
        <w:tabs>
          <w:tab w:val="clear" w:pos="720"/>
          <w:tab w:val="num" w:pos="1440"/>
        </w:tabs>
        <w:ind w:left="2160" w:right="360" w:hanging="720"/>
        <w:jc w:val="both"/>
        <w:rPr>
          <w:sz w:val="22"/>
          <w:szCs w:val="22"/>
          <w:lang w:eastAsia="pt-BR"/>
        </w:rPr>
      </w:pPr>
      <w:r w:rsidRPr="00493D30">
        <w:rPr>
          <w:sz w:val="22"/>
          <w:szCs w:val="22"/>
          <w:lang w:eastAsia="pt-BR"/>
        </w:rPr>
        <w:t>educação;</w:t>
      </w:r>
    </w:p>
    <w:p w14:paraId="07C1BA79" w14:textId="77777777" w:rsidR="00E65CA4" w:rsidRPr="00493D30" w:rsidRDefault="00E65CA4" w:rsidP="00E65CA4">
      <w:pPr>
        <w:numPr>
          <w:ilvl w:val="0"/>
          <w:numId w:val="1"/>
        </w:numPr>
        <w:tabs>
          <w:tab w:val="clear" w:pos="720"/>
          <w:tab w:val="num" w:pos="1440"/>
        </w:tabs>
        <w:ind w:left="2160" w:right="360" w:hanging="720"/>
        <w:jc w:val="both"/>
        <w:rPr>
          <w:sz w:val="22"/>
          <w:szCs w:val="22"/>
          <w:lang w:eastAsia="pt-BR"/>
        </w:rPr>
      </w:pPr>
      <w:r w:rsidRPr="00493D30">
        <w:rPr>
          <w:sz w:val="22"/>
          <w:szCs w:val="22"/>
          <w:lang w:eastAsia="pt-BR"/>
        </w:rPr>
        <w:t>diversificação e integração econômica, abertura comercial e acesso a mercados;</w:t>
      </w:r>
    </w:p>
    <w:p w14:paraId="2E1B644A" w14:textId="77777777" w:rsidR="00E65CA4" w:rsidRPr="00493D30" w:rsidRDefault="00E65CA4" w:rsidP="00E65CA4">
      <w:pPr>
        <w:numPr>
          <w:ilvl w:val="0"/>
          <w:numId w:val="1"/>
        </w:numPr>
        <w:tabs>
          <w:tab w:val="clear" w:pos="720"/>
          <w:tab w:val="num" w:pos="1440"/>
        </w:tabs>
        <w:ind w:left="2160" w:right="360" w:hanging="720"/>
        <w:jc w:val="both"/>
        <w:rPr>
          <w:sz w:val="22"/>
          <w:szCs w:val="22"/>
          <w:lang w:eastAsia="pt-BR"/>
        </w:rPr>
      </w:pPr>
      <w:r w:rsidRPr="00493D30">
        <w:rPr>
          <w:sz w:val="22"/>
          <w:szCs w:val="22"/>
          <w:lang w:eastAsia="pt-BR"/>
        </w:rPr>
        <w:t>desenvolvimento científico e intercâmbio e transferência de tecnologia;</w:t>
      </w:r>
    </w:p>
    <w:p w14:paraId="6BE3246D" w14:textId="77777777" w:rsidR="00E65CA4" w:rsidRPr="00493D30" w:rsidRDefault="00E65CA4" w:rsidP="00E65CA4">
      <w:pPr>
        <w:numPr>
          <w:ilvl w:val="0"/>
          <w:numId w:val="1"/>
        </w:numPr>
        <w:tabs>
          <w:tab w:val="clear" w:pos="720"/>
          <w:tab w:val="num" w:pos="1440"/>
        </w:tabs>
        <w:ind w:left="2160" w:right="360" w:hanging="720"/>
        <w:jc w:val="both"/>
        <w:rPr>
          <w:sz w:val="22"/>
          <w:szCs w:val="22"/>
          <w:lang w:eastAsia="pt-BR"/>
        </w:rPr>
      </w:pPr>
      <w:r w:rsidRPr="00493D30">
        <w:rPr>
          <w:sz w:val="22"/>
          <w:szCs w:val="22"/>
          <w:lang w:eastAsia="pt-BR"/>
        </w:rPr>
        <w:t>fortalecimento das instituições democráticas;</w:t>
      </w:r>
    </w:p>
    <w:p w14:paraId="03F9569F" w14:textId="77777777" w:rsidR="00E65CA4" w:rsidRPr="00493D30" w:rsidRDefault="00E65CA4" w:rsidP="00E65CA4">
      <w:pPr>
        <w:numPr>
          <w:ilvl w:val="0"/>
          <w:numId w:val="1"/>
        </w:numPr>
        <w:tabs>
          <w:tab w:val="clear" w:pos="720"/>
          <w:tab w:val="num" w:pos="1440"/>
        </w:tabs>
        <w:ind w:left="2160" w:right="360" w:hanging="720"/>
        <w:jc w:val="both"/>
        <w:rPr>
          <w:sz w:val="22"/>
          <w:szCs w:val="22"/>
          <w:lang w:eastAsia="pt-BR"/>
        </w:rPr>
      </w:pPr>
      <w:r w:rsidRPr="00493D30">
        <w:rPr>
          <w:sz w:val="22"/>
          <w:szCs w:val="22"/>
          <w:lang w:eastAsia="pt-BR"/>
        </w:rPr>
        <w:t xml:space="preserve">desenvolvimento sustentável do turismo; </w:t>
      </w:r>
    </w:p>
    <w:p w14:paraId="0F7CD055" w14:textId="77777777" w:rsidR="00E65CA4" w:rsidRPr="00493D30" w:rsidRDefault="00E65CA4" w:rsidP="00E65CA4">
      <w:pPr>
        <w:numPr>
          <w:ilvl w:val="0"/>
          <w:numId w:val="1"/>
        </w:numPr>
        <w:tabs>
          <w:tab w:val="clear" w:pos="720"/>
          <w:tab w:val="num" w:pos="1440"/>
        </w:tabs>
        <w:ind w:left="2160" w:right="360" w:hanging="720"/>
        <w:jc w:val="both"/>
        <w:rPr>
          <w:sz w:val="22"/>
          <w:szCs w:val="22"/>
          <w:lang w:eastAsia="pt-BR"/>
        </w:rPr>
      </w:pPr>
      <w:r w:rsidRPr="00493D30">
        <w:rPr>
          <w:sz w:val="22"/>
          <w:szCs w:val="22"/>
          <w:lang w:eastAsia="pt-BR"/>
        </w:rPr>
        <w:t>desenvolvimento sustentável e meio ambiente; e</w:t>
      </w:r>
    </w:p>
    <w:p w14:paraId="4250F3B1" w14:textId="77777777" w:rsidR="00E65CA4" w:rsidRPr="00493D30" w:rsidRDefault="00E65CA4" w:rsidP="00E65CA4">
      <w:pPr>
        <w:numPr>
          <w:ilvl w:val="0"/>
          <w:numId w:val="1"/>
        </w:numPr>
        <w:tabs>
          <w:tab w:val="clear" w:pos="720"/>
          <w:tab w:val="num" w:pos="1440"/>
        </w:tabs>
        <w:ind w:left="2160" w:right="360" w:hanging="720"/>
        <w:jc w:val="both"/>
        <w:rPr>
          <w:sz w:val="22"/>
          <w:szCs w:val="22"/>
          <w:lang w:eastAsia="pt-BR"/>
        </w:rPr>
      </w:pPr>
      <w:r w:rsidRPr="00493D30">
        <w:rPr>
          <w:sz w:val="22"/>
          <w:szCs w:val="22"/>
          <w:lang w:eastAsia="pt-BR"/>
        </w:rPr>
        <w:t>cultura.</w:t>
      </w:r>
    </w:p>
    <w:p w14:paraId="36A1AA96" w14:textId="77777777" w:rsidR="00E65CA4" w:rsidRPr="00493D30" w:rsidRDefault="00E65CA4" w:rsidP="00E65CA4">
      <w:pPr>
        <w:jc w:val="both"/>
        <w:rPr>
          <w:sz w:val="22"/>
          <w:szCs w:val="22"/>
          <w:lang w:eastAsia="pt-BR"/>
        </w:rPr>
      </w:pPr>
    </w:p>
    <w:p w14:paraId="731A1BCC" w14:textId="77777777" w:rsidR="00E65CA4" w:rsidRPr="00493D30" w:rsidRDefault="00E65CA4" w:rsidP="00E65CA4">
      <w:pPr>
        <w:ind w:firstLine="720"/>
        <w:jc w:val="both"/>
        <w:rPr>
          <w:sz w:val="22"/>
          <w:szCs w:val="22"/>
          <w:lang w:eastAsia="pt-BR"/>
        </w:rPr>
      </w:pPr>
      <w:r w:rsidRPr="00493D30">
        <w:rPr>
          <w:sz w:val="22"/>
          <w:szCs w:val="22"/>
          <w:lang w:eastAsia="pt-BR"/>
        </w:rPr>
        <w:t xml:space="preserve">As contas setoriais serão revistas para serem ajustadas às prioridades estabelecidas no Plano Estratégico. </w:t>
      </w:r>
    </w:p>
    <w:p w14:paraId="4BA9631C" w14:textId="77777777" w:rsidR="00E65CA4" w:rsidRPr="00493D30" w:rsidRDefault="00E65CA4" w:rsidP="00E65CA4">
      <w:pPr>
        <w:jc w:val="both"/>
        <w:rPr>
          <w:sz w:val="22"/>
          <w:szCs w:val="22"/>
          <w:lang w:eastAsia="pt-BR"/>
        </w:rPr>
      </w:pPr>
    </w:p>
    <w:p w14:paraId="3C4C08B5" w14:textId="77777777" w:rsidR="00E65CA4" w:rsidRPr="00493D30" w:rsidRDefault="00E65CA4" w:rsidP="00E65CA4">
      <w:pPr>
        <w:ind w:firstLine="720"/>
        <w:jc w:val="both"/>
        <w:rPr>
          <w:sz w:val="22"/>
          <w:szCs w:val="22"/>
          <w:lang w:eastAsia="pt-BR"/>
        </w:rPr>
      </w:pPr>
      <w:r w:rsidRPr="00493D30">
        <w:rPr>
          <w:sz w:val="22"/>
          <w:szCs w:val="22"/>
          <w:lang w:eastAsia="pt-BR"/>
        </w:rPr>
        <w:lastRenderedPageBreak/>
        <w:t xml:space="preserve">A Junta Diretora da Agência Interamericana de Cooperação e Desenvolvimento (AICD) poderá estabelecer subcontas, quando necessário, com base nas prioridades constantes do Plano Estratégico. </w:t>
      </w:r>
    </w:p>
    <w:p w14:paraId="4BF6D1EF" w14:textId="77777777" w:rsidR="00E65CA4" w:rsidRPr="00493D30" w:rsidRDefault="00E65CA4" w:rsidP="00E65CA4">
      <w:pPr>
        <w:jc w:val="both"/>
        <w:rPr>
          <w:sz w:val="22"/>
          <w:szCs w:val="22"/>
          <w:u w:val="thick"/>
          <w:lang w:eastAsia="pt-BR"/>
        </w:rPr>
      </w:pPr>
      <w:r w:rsidRPr="00493D30">
        <w:rPr>
          <w:bCs/>
          <w:sz w:val="22"/>
          <w:szCs w:val="22"/>
          <w:lang w:eastAsia="pt-BR"/>
        </w:rPr>
        <w:t xml:space="preserve"> </w:t>
      </w:r>
    </w:p>
    <w:p w14:paraId="56E090EB" w14:textId="77777777" w:rsidR="00E65CA4" w:rsidRPr="00493D30" w:rsidRDefault="00E65CA4" w:rsidP="00E65CA4">
      <w:pPr>
        <w:jc w:val="both"/>
        <w:rPr>
          <w:sz w:val="22"/>
          <w:szCs w:val="22"/>
          <w:lang w:eastAsia="pt-BR"/>
        </w:rPr>
      </w:pPr>
      <w:r w:rsidRPr="00493D30">
        <w:rPr>
          <w:bCs/>
          <w:sz w:val="22"/>
          <w:szCs w:val="22"/>
          <w:lang w:eastAsia="pt-BR"/>
        </w:rPr>
        <w:t>Artigo 10.</w:t>
      </w:r>
      <w:r w:rsidRPr="00493D30">
        <w:rPr>
          <w:bCs/>
          <w:sz w:val="22"/>
          <w:szCs w:val="22"/>
          <w:lang w:eastAsia="pt-BR"/>
        </w:rPr>
        <w:tab/>
      </w:r>
      <w:r w:rsidRPr="00493D30">
        <w:rPr>
          <w:sz w:val="22"/>
          <w:szCs w:val="22"/>
          <w:lang w:eastAsia="pt-BR"/>
        </w:rPr>
        <w:t>Os recursos do FCD/OEA financiam:</w:t>
      </w:r>
    </w:p>
    <w:p w14:paraId="00247213" w14:textId="77777777" w:rsidR="00E65CA4" w:rsidRPr="00493D30" w:rsidRDefault="00E65CA4" w:rsidP="00E65CA4">
      <w:pPr>
        <w:jc w:val="both"/>
        <w:rPr>
          <w:sz w:val="22"/>
          <w:szCs w:val="22"/>
          <w:lang w:eastAsia="pt-BR"/>
        </w:rPr>
      </w:pPr>
    </w:p>
    <w:p w14:paraId="1138E932" w14:textId="77777777" w:rsidR="00E65CA4" w:rsidRPr="00493D30" w:rsidRDefault="00E65CA4" w:rsidP="00E65CA4">
      <w:pPr>
        <w:numPr>
          <w:ilvl w:val="0"/>
          <w:numId w:val="4"/>
        </w:numPr>
        <w:tabs>
          <w:tab w:val="clear" w:pos="2160"/>
          <w:tab w:val="num" w:pos="1440"/>
        </w:tabs>
        <w:ind w:left="1440"/>
        <w:jc w:val="both"/>
        <w:rPr>
          <w:sz w:val="22"/>
          <w:szCs w:val="22"/>
          <w:lang w:eastAsia="pt-BR"/>
        </w:rPr>
      </w:pPr>
      <w:r w:rsidRPr="00493D30">
        <w:rPr>
          <w:sz w:val="22"/>
          <w:szCs w:val="22"/>
          <w:lang w:eastAsia="pt-BR"/>
        </w:rPr>
        <w:t xml:space="preserve">reuniões técnicas, seminários e </w:t>
      </w:r>
      <w:r w:rsidRPr="00493D30">
        <w:rPr>
          <w:i/>
          <w:sz w:val="22"/>
          <w:szCs w:val="22"/>
          <w:lang w:eastAsia="pt-BR"/>
        </w:rPr>
        <w:t>workshops</w:t>
      </w:r>
      <w:r w:rsidRPr="00493D30">
        <w:rPr>
          <w:sz w:val="22"/>
          <w:szCs w:val="22"/>
          <w:lang w:eastAsia="pt-BR"/>
        </w:rPr>
        <w:t xml:space="preserve"> que contribuam para o diálogo interamericano e a cooperação solidária para o desenvolvimento; </w:t>
      </w:r>
    </w:p>
    <w:p w14:paraId="4F56CFAC" w14:textId="77777777" w:rsidR="00E65CA4" w:rsidRPr="00493D30" w:rsidRDefault="00E65CA4" w:rsidP="00E65CA4">
      <w:pPr>
        <w:jc w:val="both"/>
        <w:rPr>
          <w:sz w:val="22"/>
          <w:szCs w:val="22"/>
          <w:lang w:eastAsia="pt-BR"/>
        </w:rPr>
      </w:pPr>
    </w:p>
    <w:p w14:paraId="5069DDA5" w14:textId="77777777" w:rsidR="00E65CA4" w:rsidRPr="00493D30" w:rsidRDefault="00E65CA4" w:rsidP="00E65CA4">
      <w:pPr>
        <w:numPr>
          <w:ilvl w:val="0"/>
          <w:numId w:val="4"/>
        </w:numPr>
        <w:tabs>
          <w:tab w:val="clear" w:pos="2160"/>
          <w:tab w:val="num" w:pos="1440"/>
        </w:tabs>
        <w:ind w:left="1440"/>
        <w:jc w:val="both"/>
        <w:rPr>
          <w:sz w:val="22"/>
          <w:szCs w:val="22"/>
          <w:lang w:eastAsia="pt-BR"/>
        </w:rPr>
      </w:pPr>
      <w:r w:rsidRPr="00493D30">
        <w:rPr>
          <w:sz w:val="22"/>
          <w:szCs w:val="22"/>
          <w:lang w:eastAsia="pt-BR"/>
        </w:rPr>
        <w:t xml:space="preserve">atividades de cooperação solidária para o desenvolvimento levadas a cabo no âmbito do Plano Estratégico, com a aprovação da Junta Diretora da AICD; </w:t>
      </w:r>
    </w:p>
    <w:p w14:paraId="0868DF08" w14:textId="77777777" w:rsidR="00E65CA4" w:rsidRPr="00493D30" w:rsidRDefault="00E65CA4" w:rsidP="00E65CA4">
      <w:pPr>
        <w:jc w:val="both"/>
        <w:rPr>
          <w:sz w:val="22"/>
          <w:szCs w:val="22"/>
          <w:lang w:eastAsia="pt-BR"/>
        </w:rPr>
      </w:pPr>
    </w:p>
    <w:p w14:paraId="287F3197" w14:textId="77777777" w:rsidR="00E65CA4" w:rsidRPr="00493D30" w:rsidRDefault="00E65CA4" w:rsidP="00E65CA4">
      <w:pPr>
        <w:numPr>
          <w:ilvl w:val="0"/>
          <w:numId w:val="4"/>
        </w:numPr>
        <w:tabs>
          <w:tab w:val="clear" w:pos="2160"/>
          <w:tab w:val="num" w:pos="1440"/>
        </w:tabs>
        <w:ind w:left="1440"/>
        <w:jc w:val="both"/>
        <w:rPr>
          <w:sz w:val="22"/>
          <w:szCs w:val="22"/>
          <w:lang w:eastAsia="pt-BR"/>
        </w:rPr>
      </w:pPr>
      <w:r w:rsidRPr="00493D30">
        <w:rPr>
          <w:sz w:val="22"/>
          <w:szCs w:val="22"/>
          <w:lang w:eastAsia="pt-BR"/>
        </w:rPr>
        <w:t>apropriações extraordinárias expressamente autorizadas pelo Conselho Interamericano de Desenvolvimento Integral (CIDI), destinadas a atividades ou situações não previstas na programação das atividades de cooperação solidária para o desenvolvimento.</w:t>
      </w:r>
    </w:p>
    <w:p w14:paraId="329E430D" w14:textId="77777777" w:rsidR="00E65CA4" w:rsidRPr="00493D30" w:rsidRDefault="00E65CA4" w:rsidP="00E65CA4">
      <w:pPr>
        <w:jc w:val="both"/>
        <w:rPr>
          <w:bCs/>
          <w:sz w:val="22"/>
          <w:szCs w:val="22"/>
          <w:lang w:eastAsia="pt-BR"/>
        </w:rPr>
      </w:pPr>
    </w:p>
    <w:p w14:paraId="7C7F115A" w14:textId="77777777" w:rsidR="00E65CA4" w:rsidRPr="00493D30" w:rsidRDefault="00E65CA4" w:rsidP="00E65CA4">
      <w:pPr>
        <w:jc w:val="both"/>
        <w:rPr>
          <w:bCs/>
          <w:i/>
          <w:iCs/>
          <w:sz w:val="22"/>
          <w:szCs w:val="22"/>
          <w:lang w:eastAsia="pt-BR"/>
        </w:rPr>
      </w:pPr>
      <w:r w:rsidRPr="00493D30">
        <w:rPr>
          <w:bCs/>
          <w:sz w:val="22"/>
          <w:szCs w:val="22"/>
          <w:lang w:eastAsia="pt-BR"/>
        </w:rPr>
        <w:t>Artigo 11.</w:t>
      </w:r>
      <w:r w:rsidRPr="00493D30">
        <w:rPr>
          <w:bCs/>
          <w:sz w:val="22"/>
          <w:szCs w:val="22"/>
          <w:lang w:eastAsia="pt-BR"/>
        </w:rPr>
        <w:tab/>
      </w:r>
      <w:r w:rsidRPr="00493D30">
        <w:rPr>
          <w:sz w:val="22"/>
          <w:szCs w:val="22"/>
          <w:lang w:eastAsia="pt-BR"/>
        </w:rPr>
        <w:t>Os recursos do FCD/OEA não poderão ser destinados ao financiamento de pessoal do serviço de carreira. Os recursos do FCD/OEA só poderão financiar pessoal temporário com contrato por tempo limitado ou contratados independentes e empresas sob contrato por resultado para a execução de atividades específicas de cooperação solidária para o desenvolvimento aprovadas pelo CIDI, e somente pelo tempo que essas atividades específicas durarem.</w:t>
      </w:r>
    </w:p>
    <w:p w14:paraId="31C99C69" w14:textId="77777777" w:rsidR="00E65CA4" w:rsidRPr="00493D30" w:rsidRDefault="00E65CA4" w:rsidP="00E65CA4">
      <w:pPr>
        <w:jc w:val="both"/>
        <w:rPr>
          <w:bCs/>
          <w:i/>
          <w:iCs/>
          <w:sz w:val="22"/>
          <w:szCs w:val="22"/>
          <w:lang w:eastAsia="pt-BR"/>
        </w:rPr>
      </w:pPr>
    </w:p>
    <w:p w14:paraId="1E824595" w14:textId="77777777" w:rsidR="00E65CA4" w:rsidRPr="00493D30" w:rsidRDefault="00E65CA4" w:rsidP="00E65CA4">
      <w:pPr>
        <w:jc w:val="both"/>
        <w:rPr>
          <w:bCs/>
          <w:i/>
          <w:iCs/>
          <w:sz w:val="22"/>
          <w:szCs w:val="22"/>
          <w:lang w:eastAsia="pt-BR"/>
        </w:rPr>
      </w:pPr>
    </w:p>
    <w:p w14:paraId="06B42C04" w14:textId="77777777" w:rsidR="00E65CA4" w:rsidRPr="00493D30" w:rsidRDefault="00E65CA4" w:rsidP="00E65CA4">
      <w:pPr>
        <w:jc w:val="both"/>
        <w:rPr>
          <w:sz w:val="22"/>
          <w:szCs w:val="22"/>
          <w:lang w:eastAsia="pt-BR"/>
        </w:rPr>
      </w:pPr>
      <w:r w:rsidRPr="00493D30">
        <w:rPr>
          <w:bCs/>
          <w:sz w:val="22"/>
          <w:szCs w:val="22"/>
          <w:lang w:eastAsia="pt-BR"/>
        </w:rPr>
        <w:t>B.</w:t>
      </w:r>
      <w:r w:rsidRPr="00493D30">
        <w:rPr>
          <w:bCs/>
          <w:sz w:val="22"/>
          <w:szCs w:val="22"/>
          <w:lang w:eastAsia="pt-BR"/>
        </w:rPr>
        <w:tab/>
        <w:t xml:space="preserve">Contribuições para o </w:t>
      </w:r>
      <w:r w:rsidRPr="00493D30">
        <w:rPr>
          <w:sz w:val="22"/>
          <w:szCs w:val="22"/>
          <w:lang w:eastAsia="pt-BR"/>
        </w:rPr>
        <w:t>FCD/OEA</w:t>
      </w:r>
    </w:p>
    <w:p w14:paraId="4909427C" w14:textId="77777777" w:rsidR="00E65CA4" w:rsidRPr="00493D30" w:rsidRDefault="00E65CA4" w:rsidP="00E65CA4">
      <w:pPr>
        <w:jc w:val="both"/>
        <w:rPr>
          <w:bCs/>
          <w:sz w:val="22"/>
          <w:szCs w:val="22"/>
          <w:lang w:eastAsia="pt-BR"/>
        </w:rPr>
      </w:pPr>
    </w:p>
    <w:p w14:paraId="03486F42" w14:textId="77777777" w:rsidR="00E65CA4" w:rsidRPr="00493D30" w:rsidRDefault="00E65CA4" w:rsidP="00E65CA4">
      <w:pPr>
        <w:jc w:val="both"/>
        <w:rPr>
          <w:sz w:val="22"/>
          <w:szCs w:val="22"/>
          <w:lang w:eastAsia="pt-BR"/>
        </w:rPr>
      </w:pPr>
      <w:r w:rsidRPr="00493D30">
        <w:rPr>
          <w:bCs/>
          <w:sz w:val="22"/>
          <w:szCs w:val="22"/>
          <w:lang w:eastAsia="pt-BR"/>
        </w:rPr>
        <w:t>Artigo 12.</w:t>
      </w:r>
      <w:r w:rsidRPr="00493D30">
        <w:rPr>
          <w:bCs/>
          <w:sz w:val="22"/>
          <w:szCs w:val="22"/>
          <w:lang w:eastAsia="pt-BR"/>
        </w:rPr>
        <w:tab/>
      </w:r>
      <w:r w:rsidRPr="00493D30">
        <w:rPr>
          <w:sz w:val="22"/>
          <w:szCs w:val="22"/>
          <w:lang w:eastAsia="pt-BR"/>
        </w:rPr>
        <w:t>Os Estados membros farão seus oferecimentos de contribuição levando em consideração as cinco últimas contribuições que tiverem realizado, bem como a projeção da Secretaria Executiva de Desenvolvimento Integral (doravante</w:t>
      </w:r>
      <w:r w:rsidR="00467FEA" w:rsidRPr="00493D30">
        <w:rPr>
          <w:sz w:val="22"/>
          <w:szCs w:val="22"/>
          <w:lang w:eastAsia="pt-BR"/>
        </w:rPr>
        <w:t xml:space="preserve">, </w:t>
      </w:r>
      <w:r w:rsidRPr="00493D30">
        <w:rPr>
          <w:sz w:val="22"/>
          <w:szCs w:val="22"/>
          <w:lang w:eastAsia="pt-BR"/>
        </w:rPr>
        <w:t>“SEDI”) acerca dos recursos necessários para o financiamento das atividades de cooperação solidária.</w:t>
      </w:r>
    </w:p>
    <w:p w14:paraId="0CE0F326" w14:textId="77777777" w:rsidR="00E65CA4" w:rsidRPr="00493D30" w:rsidRDefault="00E65CA4" w:rsidP="00E65CA4">
      <w:pPr>
        <w:jc w:val="both"/>
        <w:rPr>
          <w:sz w:val="22"/>
          <w:szCs w:val="22"/>
          <w:lang w:eastAsia="pt-BR"/>
        </w:rPr>
      </w:pPr>
    </w:p>
    <w:p w14:paraId="2CDCA6D1" w14:textId="77777777" w:rsidR="00E65CA4" w:rsidRPr="00493D30" w:rsidRDefault="00E65CA4" w:rsidP="00E65CA4">
      <w:pPr>
        <w:jc w:val="both"/>
        <w:rPr>
          <w:sz w:val="22"/>
          <w:szCs w:val="22"/>
          <w:lang w:eastAsia="pt-BR"/>
        </w:rPr>
      </w:pPr>
      <w:r w:rsidRPr="00493D30">
        <w:rPr>
          <w:bCs/>
          <w:sz w:val="22"/>
          <w:szCs w:val="22"/>
          <w:lang w:eastAsia="pt-BR"/>
        </w:rPr>
        <w:t>Artigo 13.</w:t>
      </w:r>
      <w:r w:rsidRPr="00493D30">
        <w:rPr>
          <w:bCs/>
          <w:sz w:val="22"/>
          <w:szCs w:val="22"/>
          <w:lang w:eastAsia="pt-BR"/>
        </w:rPr>
        <w:tab/>
      </w:r>
      <w:r w:rsidRPr="00493D30">
        <w:rPr>
          <w:sz w:val="22"/>
          <w:szCs w:val="22"/>
          <w:lang w:eastAsia="pt-BR"/>
        </w:rPr>
        <w:t>A utilização dos recursos do FCD/OEA pelos Estados membros estará sujeita ao cumprimento dos seguintes requisitos:</w:t>
      </w:r>
    </w:p>
    <w:p w14:paraId="27F85844" w14:textId="77777777" w:rsidR="00E65CA4" w:rsidRPr="00493D30" w:rsidRDefault="00E65CA4" w:rsidP="00E65CA4">
      <w:pPr>
        <w:jc w:val="both"/>
        <w:rPr>
          <w:sz w:val="22"/>
          <w:szCs w:val="22"/>
          <w:lang w:eastAsia="pt-BR"/>
        </w:rPr>
      </w:pPr>
    </w:p>
    <w:p w14:paraId="7D5EE3B5" w14:textId="77777777" w:rsidR="00E65CA4" w:rsidRPr="00493D30" w:rsidRDefault="00E65CA4" w:rsidP="00E65CA4">
      <w:pPr>
        <w:numPr>
          <w:ilvl w:val="0"/>
          <w:numId w:val="2"/>
        </w:numPr>
        <w:tabs>
          <w:tab w:val="clear" w:pos="720"/>
          <w:tab w:val="num" w:pos="1440"/>
        </w:tabs>
        <w:ind w:left="1440" w:hanging="720"/>
        <w:jc w:val="both"/>
        <w:rPr>
          <w:sz w:val="22"/>
          <w:szCs w:val="22"/>
          <w:lang w:eastAsia="pt-BR"/>
        </w:rPr>
      </w:pPr>
      <w:r w:rsidRPr="00493D30">
        <w:rPr>
          <w:sz w:val="22"/>
          <w:szCs w:val="22"/>
          <w:lang w:eastAsia="pt-BR"/>
        </w:rPr>
        <w:t xml:space="preserve">ter feito um oferecimento de contribuição voluntária dentro do prazo estabelecido no inciso </w:t>
      </w:r>
      <w:r w:rsidRPr="00493D30">
        <w:rPr>
          <w:sz w:val="22"/>
          <w:szCs w:val="22"/>
          <w:u w:val="single"/>
          <w:lang w:eastAsia="pt-BR"/>
        </w:rPr>
        <w:t>a</w:t>
      </w:r>
      <w:r w:rsidRPr="00493D30">
        <w:rPr>
          <w:sz w:val="22"/>
          <w:szCs w:val="22"/>
          <w:lang w:eastAsia="pt-BR"/>
        </w:rPr>
        <w:t xml:space="preserve"> do Artigo 17 deste Estatuto; e</w:t>
      </w:r>
    </w:p>
    <w:p w14:paraId="3C528563" w14:textId="77777777" w:rsidR="00E65CA4" w:rsidRPr="00493D30" w:rsidRDefault="00E65CA4" w:rsidP="00E65CA4">
      <w:pPr>
        <w:numPr>
          <w:ilvl w:val="0"/>
          <w:numId w:val="2"/>
        </w:numPr>
        <w:tabs>
          <w:tab w:val="clear" w:pos="720"/>
          <w:tab w:val="num" w:pos="1440"/>
        </w:tabs>
        <w:ind w:left="1440" w:hanging="720"/>
        <w:jc w:val="both"/>
        <w:rPr>
          <w:sz w:val="22"/>
          <w:szCs w:val="22"/>
          <w:lang w:eastAsia="pt-BR"/>
        </w:rPr>
      </w:pPr>
      <w:r w:rsidRPr="00493D30">
        <w:rPr>
          <w:sz w:val="22"/>
          <w:szCs w:val="22"/>
          <w:lang w:eastAsia="pt-BR"/>
        </w:rPr>
        <w:t xml:space="preserve">ter pago a totalidade do oferecimento de contribuição dentro do prazo estipulado no inciso </w:t>
      </w:r>
      <w:r w:rsidRPr="00493D30">
        <w:rPr>
          <w:sz w:val="22"/>
          <w:szCs w:val="22"/>
          <w:u w:val="single"/>
          <w:lang w:eastAsia="pt-BR"/>
        </w:rPr>
        <w:t>b</w:t>
      </w:r>
      <w:r w:rsidRPr="00493D30">
        <w:rPr>
          <w:sz w:val="22"/>
          <w:szCs w:val="22"/>
          <w:lang w:eastAsia="pt-BR"/>
        </w:rPr>
        <w:t xml:space="preserve"> do Artigo 17 deste Estatuto. </w:t>
      </w:r>
    </w:p>
    <w:p w14:paraId="44D3F51D" w14:textId="77777777" w:rsidR="00E65CA4" w:rsidRPr="00493D30" w:rsidRDefault="00E65CA4" w:rsidP="00E65CA4">
      <w:pPr>
        <w:jc w:val="both"/>
        <w:rPr>
          <w:bCs/>
          <w:color w:val="FF0000"/>
          <w:sz w:val="22"/>
          <w:szCs w:val="22"/>
          <w:lang w:eastAsia="pt-BR"/>
        </w:rPr>
      </w:pPr>
    </w:p>
    <w:p w14:paraId="126F44B0" w14:textId="77777777" w:rsidR="00E65CA4" w:rsidRPr="00493D30" w:rsidRDefault="00E65CA4" w:rsidP="00E65CA4">
      <w:pPr>
        <w:tabs>
          <w:tab w:val="left" w:pos="0"/>
        </w:tabs>
        <w:jc w:val="both"/>
        <w:rPr>
          <w:bCs/>
          <w:i/>
          <w:iCs/>
          <w:sz w:val="22"/>
          <w:szCs w:val="22"/>
          <w:lang w:eastAsia="pt-BR"/>
        </w:rPr>
      </w:pPr>
      <w:r w:rsidRPr="00493D30">
        <w:rPr>
          <w:sz w:val="22"/>
          <w:szCs w:val="22"/>
          <w:lang w:eastAsia="pt-BR"/>
        </w:rPr>
        <w:tab/>
        <w:t xml:space="preserve">Os Estados membros não incluídos no Calendário de </w:t>
      </w:r>
      <w:r w:rsidRPr="00493D30">
        <w:rPr>
          <w:color w:val="000000"/>
          <w:sz w:val="22"/>
          <w:szCs w:val="22"/>
          <w:lang w:eastAsia="pt-BR"/>
        </w:rPr>
        <w:t xml:space="preserve">Programação, </w:t>
      </w:r>
      <w:r w:rsidRPr="00493D30">
        <w:rPr>
          <w:sz w:val="22"/>
          <w:szCs w:val="22"/>
          <w:lang w:eastAsia="pt-BR"/>
        </w:rPr>
        <w:t>Obrigação</w:t>
      </w:r>
      <w:r w:rsidRPr="00493D30">
        <w:rPr>
          <w:color w:val="000000"/>
          <w:sz w:val="22"/>
          <w:szCs w:val="22"/>
          <w:lang w:eastAsia="pt-BR"/>
        </w:rPr>
        <w:t xml:space="preserve"> e Execução </w:t>
      </w:r>
      <w:r w:rsidRPr="00493D30">
        <w:rPr>
          <w:sz w:val="22"/>
          <w:szCs w:val="22"/>
          <w:lang w:eastAsia="pt-BR"/>
        </w:rPr>
        <w:t xml:space="preserve">(doravante, “Calendário”), por não terem feito sua contribuição para um ciclo de programação específico, que estiverem interessados em contribuir e se tornar beneficiários das atividades estabelecidas em determinado programa desse ciclo sem que ele seja afetado em sua formulação, deverão solicitar à JD/AICD que suas contribuições extemporâneas sejam consideradas como recebidas dentro do respectivo ciclo. A participação desses Estados membros nas atividades correspondentes ao ciclo em questão será limitada pela disponibilidade de fundos para esse ciclo. </w:t>
      </w:r>
    </w:p>
    <w:p w14:paraId="51AABDAC" w14:textId="77777777" w:rsidR="00E65CA4" w:rsidRPr="00493D30" w:rsidRDefault="00E65CA4" w:rsidP="00E65CA4">
      <w:pPr>
        <w:tabs>
          <w:tab w:val="left" w:pos="0"/>
        </w:tabs>
        <w:jc w:val="both"/>
        <w:rPr>
          <w:sz w:val="22"/>
          <w:szCs w:val="22"/>
          <w:lang w:eastAsia="pt-BR"/>
        </w:rPr>
      </w:pPr>
    </w:p>
    <w:p w14:paraId="1E3B4FFF" w14:textId="77777777" w:rsidR="00E65CA4" w:rsidRPr="00493D30" w:rsidRDefault="00E65CA4" w:rsidP="00E65CA4">
      <w:pPr>
        <w:tabs>
          <w:tab w:val="left" w:pos="0"/>
        </w:tabs>
        <w:jc w:val="both"/>
        <w:rPr>
          <w:sz w:val="22"/>
          <w:szCs w:val="22"/>
          <w:lang w:eastAsia="pt-BR"/>
        </w:rPr>
      </w:pPr>
      <w:r w:rsidRPr="00493D30">
        <w:rPr>
          <w:sz w:val="22"/>
          <w:szCs w:val="22"/>
          <w:lang w:eastAsia="pt-BR"/>
        </w:rPr>
        <w:tab/>
        <w:t xml:space="preserve">Caso os recursos disponíveis não sejam suficientes para a programação de um ciclo específico, a SEDI informará a AICD sobre a situação para que esta decida sobre uma resposta apropriada que permita aos Estados membros receberem os benefícios do Fundo. </w:t>
      </w:r>
    </w:p>
    <w:p w14:paraId="01EB3651" w14:textId="77777777" w:rsidR="00E65CA4" w:rsidRPr="00493D30" w:rsidRDefault="00E65CA4" w:rsidP="00E65CA4">
      <w:pPr>
        <w:jc w:val="both"/>
        <w:rPr>
          <w:sz w:val="22"/>
          <w:szCs w:val="22"/>
          <w:lang w:eastAsia="pt-BR"/>
        </w:rPr>
      </w:pPr>
      <w:r w:rsidRPr="00493D30">
        <w:rPr>
          <w:bCs/>
          <w:sz w:val="22"/>
          <w:szCs w:val="22"/>
          <w:lang w:eastAsia="pt-BR"/>
        </w:rPr>
        <w:lastRenderedPageBreak/>
        <w:t>Artigo 14.</w:t>
      </w:r>
      <w:r w:rsidRPr="00493D30">
        <w:rPr>
          <w:bCs/>
          <w:sz w:val="22"/>
          <w:szCs w:val="22"/>
          <w:lang w:eastAsia="pt-BR"/>
        </w:rPr>
        <w:tab/>
      </w:r>
      <w:r w:rsidRPr="00493D30">
        <w:rPr>
          <w:sz w:val="22"/>
          <w:szCs w:val="22"/>
          <w:lang w:eastAsia="pt-BR"/>
        </w:rPr>
        <w:t xml:space="preserve">Os oferecimentos de contribuição voluntária ao FCD/OEA e seus pagamentos serão feitos em dólares dos Estados Unidos da América. </w:t>
      </w:r>
    </w:p>
    <w:p w14:paraId="378F6445" w14:textId="77777777" w:rsidR="00E65CA4" w:rsidRPr="00493D30" w:rsidRDefault="00E65CA4" w:rsidP="00E65CA4">
      <w:pPr>
        <w:jc w:val="both"/>
        <w:rPr>
          <w:sz w:val="22"/>
          <w:szCs w:val="22"/>
          <w:lang w:eastAsia="pt-BR"/>
        </w:rPr>
      </w:pPr>
    </w:p>
    <w:p w14:paraId="1306704E" w14:textId="77777777" w:rsidR="00E65CA4" w:rsidRPr="00493D30" w:rsidRDefault="00E65CA4" w:rsidP="00E65CA4">
      <w:pPr>
        <w:ind w:firstLine="720"/>
        <w:jc w:val="both"/>
        <w:rPr>
          <w:sz w:val="22"/>
          <w:szCs w:val="22"/>
          <w:lang w:eastAsia="pt-BR"/>
        </w:rPr>
      </w:pPr>
      <w:r w:rsidRPr="00493D30">
        <w:rPr>
          <w:sz w:val="22"/>
          <w:szCs w:val="22"/>
          <w:lang w:eastAsia="pt-BR"/>
        </w:rPr>
        <w:t xml:space="preserve">Os pagamentos desses oferecimentos poderão ser feitos parcialmente na moeda nacional do respectivo Estado membro dentro dos limites estabelecidos pelo Secretário-Geral, levando em consideração as necessidades de arcar com despesas na moeda desse país. </w:t>
      </w:r>
    </w:p>
    <w:p w14:paraId="790F2484" w14:textId="77777777" w:rsidR="00E65CA4" w:rsidRPr="00493D30" w:rsidRDefault="00E65CA4" w:rsidP="00E65CA4">
      <w:pPr>
        <w:jc w:val="both"/>
        <w:rPr>
          <w:bCs/>
          <w:sz w:val="22"/>
          <w:szCs w:val="22"/>
          <w:lang w:eastAsia="pt-BR"/>
        </w:rPr>
      </w:pPr>
    </w:p>
    <w:p w14:paraId="54F8E765" w14:textId="77777777" w:rsidR="00E65CA4" w:rsidRPr="00493D30" w:rsidRDefault="00E65CA4" w:rsidP="00E65CA4">
      <w:pPr>
        <w:jc w:val="both"/>
        <w:rPr>
          <w:color w:val="000000"/>
          <w:sz w:val="22"/>
          <w:szCs w:val="22"/>
          <w:lang w:eastAsia="pt-BR"/>
        </w:rPr>
      </w:pPr>
      <w:r w:rsidRPr="00493D30">
        <w:rPr>
          <w:bCs/>
          <w:color w:val="000000"/>
          <w:sz w:val="22"/>
          <w:szCs w:val="22"/>
          <w:lang w:eastAsia="pt-BR"/>
        </w:rPr>
        <w:t>Artigo 15</w:t>
      </w:r>
      <w:r w:rsidRPr="00493D30">
        <w:rPr>
          <w:color w:val="000000"/>
          <w:sz w:val="22"/>
          <w:szCs w:val="22"/>
          <w:lang w:eastAsia="pt-BR"/>
        </w:rPr>
        <w:t>.</w:t>
      </w:r>
      <w:r w:rsidRPr="00493D30">
        <w:rPr>
          <w:color w:val="000000"/>
          <w:sz w:val="22"/>
          <w:szCs w:val="22"/>
          <w:lang w:eastAsia="pt-BR"/>
        </w:rPr>
        <w:tab/>
        <w:t xml:space="preserve">Os Estados membros terão direito a fazer parte do Enfoque Programático com suas respectivas atividades que serão financiadas com recursos do </w:t>
      </w:r>
      <w:r w:rsidRPr="00493D30">
        <w:rPr>
          <w:sz w:val="22"/>
          <w:szCs w:val="22"/>
          <w:lang w:eastAsia="pt-BR"/>
        </w:rPr>
        <w:t>FCD/OEA</w:t>
      </w:r>
      <w:r w:rsidRPr="00493D30">
        <w:rPr>
          <w:color w:val="000000"/>
          <w:sz w:val="22"/>
          <w:szCs w:val="22"/>
          <w:lang w:eastAsia="pt-BR"/>
        </w:rPr>
        <w:t xml:space="preserve">, desde que os Estados membros efetivem seus oferecimentos de contribuição dentro dos prazos indicados no Artigo 17, inciso </w:t>
      </w:r>
      <w:r w:rsidRPr="00493D30">
        <w:rPr>
          <w:color w:val="000000"/>
          <w:sz w:val="22"/>
          <w:szCs w:val="22"/>
          <w:u w:val="single"/>
          <w:lang w:eastAsia="pt-BR"/>
        </w:rPr>
        <w:t>b</w:t>
      </w:r>
      <w:r w:rsidRPr="00493D30">
        <w:rPr>
          <w:color w:val="000000"/>
          <w:sz w:val="22"/>
          <w:szCs w:val="22"/>
          <w:lang w:eastAsia="pt-BR"/>
        </w:rPr>
        <w:t xml:space="preserve">, deste Estatuto. </w:t>
      </w:r>
    </w:p>
    <w:p w14:paraId="6BD1E8E0" w14:textId="77777777" w:rsidR="00E65CA4" w:rsidRPr="00493D30" w:rsidRDefault="00E65CA4" w:rsidP="00E65CA4">
      <w:pPr>
        <w:jc w:val="both"/>
        <w:rPr>
          <w:bCs/>
          <w:sz w:val="22"/>
          <w:szCs w:val="22"/>
          <w:lang w:eastAsia="pt-BR"/>
        </w:rPr>
      </w:pPr>
    </w:p>
    <w:p w14:paraId="6EDFDBBF" w14:textId="77777777" w:rsidR="00E65CA4" w:rsidRPr="00493D30" w:rsidRDefault="00E65CA4" w:rsidP="00E65CA4">
      <w:pPr>
        <w:jc w:val="both"/>
        <w:rPr>
          <w:sz w:val="22"/>
          <w:szCs w:val="22"/>
          <w:lang w:eastAsia="pt-BR"/>
        </w:rPr>
      </w:pPr>
      <w:r w:rsidRPr="00493D30">
        <w:rPr>
          <w:bCs/>
          <w:sz w:val="22"/>
          <w:szCs w:val="22"/>
          <w:lang w:eastAsia="pt-BR"/>
        </w:rPr>
        <w:t>Artigo 16.</w:t>
      </w:r>
      <w:r w:rsidRPr="00493D30">
        <w:rPr>
          <w:bCs/>
          <w:sz w:val="22"/>
          <w:szCs w:val="22"/>
          <w:lang w:eastAsia="pt-BR"/>
        </w:rPr>
        <w:tab/>
      </w:r>
      <w:r w:rsidRPr="00493D30">
        <w:rPr>
          <w:sz w:val="22"/>
          <w:szCs w:val="22"/>
          <w:lang w:eastAsia="pt-BR"/>
        </w:rPr>
        <w:t xml:space="preserve">Em casos excepcionais, a JD/AICD poderá prorrogar o prazo para tornar efetivo o oferecimento de contribuição. </w:t>
      </w:r>
    </w:p>
    <w:p w14:paraId="1CFE30B1" w14:textId="77777777" w:rsidR="00E65CA4" w:rsidRPr="00493D30" w:rsidRDefault="00E65CA4" w:rsidP="00E65CA4">
      <w:pPr>
        <w:jc w:val="both"/>
        <w:rPr>
          <w:sz w:val="22"/>
          <w:szCs w:val="22"/>
          <w:lang w:eastAsia="pt-BR"/>
        </w:rPr>
      </w:pPr>
    </w:p>
    <w:p w14:paraId="5E9EA4FB" w14:textId="77777777" w:rsidR="00E65CA4" w:rsidRPr="00493D30" w:rsidRDefault="00E65CA4" w:rsidP="00E65CA4">
      <w:pPr>
        <w:jc w:val="both"/>
        <w:rPr>
          <w:sz w:val="22"/>
          <w:szCs w:val="22"/>
          <w:lang w:eastAsia="pt-BR"/>
        </w:rPr>
      </w:pPr>
    </w:p>
    <w:p w14:paraId="072C113F" w14:textId="77777777" w:rsidR="00E65CA4" w:rsidRPr="00493D30" w:rsidRDefault="00E65CA4" w:rsidP="00E65CA4">
      <w:pPr>
        <w:ind w:left="720" w:hanging="720"/>
        <w:jc w:val="both"/>
        <w:rPr>
          <w:bCs/>
          <w:sz w:val="22"/>
          <w:szCs w:val="22"/>
          <w:lang w:eastAsia="pt-BR"/>
        </w:rPr>
      </w:pPr>
      <w:r w:rsidRPr="00493D30">
        <w:rPr>
          <w:bCs/>
          <w:sz w:val="22"/>
          <w:szCs w:val="22"/>
          <w:lang w:eastAsia="pt-BR"/>
        </w:rPr>
        <w:t>C.</w:t>
      </w:r>
      <w:r w:rsidRPr="00493D30">
        <w:rPr>
          <w:bCs/>
          <w:sz w:val="22"/>
          <w:szCs w:val="22"/>
          <w:lang w:eastAsia="pt-BR"/>
        </w:rPr>
        <w:tab/>
        <w:t xml:space="preserve">Programação, obrigação e execução das atividades de cooperação solidária para o desenvolvimento </w:t>
      </w:r>
    </w:p>
    <w:p w14:paraId="409E4C1E" w14:textId="77777777" w:rsidR="00E65CA4" w:rsidRPr="00493D30" w:rsidRDefault="00E65CA4" w:rsidP="00E65CA4">
      <w:pPr>
        <w:jc w:val="both"/>
        <w:rPr>
          <w:bCs/>
          <w:sz w:val="22"/>
          <w:szCs w:val="22"/>
          <w:lang w:eastAsia="pt-BR"/>
        </w:rPr>
      </w:pPr>
    </w:p>
    <w:p w14:paraId="13DAF783" w14:textId="77777777" w:rsidR="00E65CA4" w:rsidRPr="00493D30" w:rsidRDefault="00E65CA4" w:rsidP="00E65CA4">
      <w:pPr>
        <w:jc w:val="both"/>
        <w:rPr>
          <w:color w:val="000000"/>
          <w:sz w:val="22"/>
          <w:szCs w:val="22"/>
          <w:lang w:eastAsia="pt-BR"/>
        </w:rPr>
      </w:pPr>
      <w:r w:rsidRPr="00493D30">
        <w:rPr>
          <w:bCs/>
          <w:color w:val="000000"/>
          <w:sz w:val="22"/>
          <w:szCs w:val="22"/>
          <w:lang w:eastAsia="pt-BR"/>
        </w:rPr>
        <w:t>Artigo 17.</w:t>
      </w:r>
      <w:r w:rsidRPr="00493D30">
        <w:rPr>
          <w:bCs/>
          <w:color w:val="000000"/>
          <w:sz w:val="22"/>
          <w:szCs w:val="22"/>
          <w:lang w:eastAsia="pt-BR"/>
        </w:rPr>
        <w:tab/>
      </w:r>
      <w:r w:rsidRPr="00493D30">
        <w:rPr>
          <w:color w:val="000000"/>
          <w:sz w:val="22"/>
          <w:szCs w:val="22"/>
          <w:lang w:eastAsia="pt-BR"/>
        </w:rPr>
        <w:t xml:space="preserve">Os programas e as atividades de cooperação solidária para o desenvolvimento financiados pelo </w:t>
      </w:r>
      <w:r w:rsidRPr="00493D30">
        <w:rPr>
          <w:sz w:val="22"/>
          <w:szCs w:val="22"/>
          <w:lang w:eastAsia="pt-BR"/>
        </w:rPr>
        <w:t>FCD/OEA</w:t>
      </w:r>
      <w:r w:rsidRPr="00493D30">
        <w:rPr>
          <w:color w:val="000000"/>
          <w:sz w:val="22"/>
          <w:szCs w:val="22"/>
          <w:lang w:eastAsia="pt-BR"/>
        </w:rPr>
        <w:t xml:space="preserve"> serão regidos pelo Calendário</w:t>
      </w:r>
      <w:r w:rsidRPr="00493D30">
        <w:rPr>
          <w:color w:val="0000FF"/>
          <w:sz w:val="22"/>
          <w:szCs w:val="22"/>
          <w:lang w:eastAsia="pt-BR"/>
        </w:rPr>
        <w:t xml:space="preserve">, </w:t>
      </w:r>
      <w:r w:rsidRPr="00493D30">
        <w:rPr>
          <w:color w:val="000000"/>
          <w:sz w:val="22"/>
          <w:szCs w:val="22"/>
          <w:lang w:eastAsia="pt-BR"/>
        </w:rPr>
        <w:t xml:space="preserve">que terá os seguintes critérios e prazos: </w:t>
      </w:r>
    </w:p>
    <w:p w14:paraId="5256238C" w14:textId="77777777" w:rsidR="00E65CA4" w:rsidRPr="00493D30" w:rsidRDefault="00E65CA4" w:rsidP="00E65CA4">
      <w:pPr>
        <w:tabs>
          <w:tab w:val="left" w:pos="1440"/>
        </w:tabs>
        <w:ind w:left="720"/>
        <w:jc w:val="both"/>
        <w:rPr>
          <w:color w:val="0000FF"/>
          <w:sz w:val="22"/>
          <w:szCs w:val="22"/>
          <w:lang w:eastAsia="pt-BR"/>
        </w:rPr>
      </w:pPr>
      <w:r w:rsidRPr="00493D30">
        <w:rPr>
          <w:sz w:val="22"/>
          <w:szCs w:val="22"/>
          <w:lang w:eastAsia="pt-BR"/>
        </w:rPr>
        <w:t>Contribuições voluntárias dos Estados membros:</w:t>
      </w:r>
      <w:r w:rsidRPr="00493D30">
        <w:rPr>
          <w:color w:val="0000FF"/>
          <w:sz w:val="22"/>
          <w:szCs w:val="22"/>
          <w:lang w:eastAsia="pt-BR"/>
        </w:rPr>
        <w:t xml:space="preserve"> </w:t>
      </w:r>
    </w:p>
    <w:p w14:paraId="4D9E8C39" w14:textId="77777777" w:rsidR="00E65CA4" w:rsidRPr="00375217" w:rsidRDefault="00E65CA4" w:rsidP="00E65CA4">
      <w:pPr>
        <w:tabs>
          <w:tab w:val="left" w:pos="1440"/>
        </w:tabs>
        <w:jc w:val="both"/>
        <w:rPr>
          <w:sz w:val="22"/>
          <w:szCs w:val="22"/>
          <w:u w:val="thick"/>
          <w:lang w:eastAsia="pt-BR"/>
        </w:rPr>
      </w:pPr>
    </w:p>
    <w:p w14:paraId="567642CB" w14:textId="77777777" w:rsidR="00E65CA4" w:rsidRPr="00493D30" w:rsidRDefault="00E65CA4" w:rsidP="00E65CA4">
      <w:pPr>
        <w:numPr>
          <w:ilvl w:val="0"/>
          <w:numId w:val="8"/>
        </w:numPr>
        <w:tabs>
          <w:tab w:val="clear" w:pos="1080"/>
          <w:tab w:val="num" w:pos="1440"/>
        </w:tabs>
        <w:ind w:left="1440" w:hanging="720"/>
        <w:jc w:val="both"/>
        <w:rPr>
          <w:bCs/>
          <w:i/>
          <w:iCs/>
          <w:color w:val="000000"/>
          <w:sz w:val="22"/>
          <w:szCs w:val="22"/>
          <w:lang w:eastAsia="pt-BR"/>
        </w:rPr>
      </w:pPr>
      <w:r w:rsidRPr="00493D30">
        <w:rPr>
          <w:color w:val="000000"/>
          <w:sz w:val="22"/>
          <w:szCs w:val="22"/>
          <w:lang w:eastAsia="pt-BR"/>
        </w:rPr>
        <w:t xml:space="preserve">Os Estados membros darão a conhecer seus oferecimentos de contribuições voluntárias ao </w:t>
      </w:r>
      <w:r w:rsidRPr="00493D30">
        <w:rPr>
          <w:sz w:val="22"/>
          <w:szCs w:val="22"/>
          <w:lang w:eastAsia="pt-BR"/>
        </w:rPr>
        <w:t>FCD/OEA</w:t>
      </w:r>
      <w:r w:rsidRPr="00493D30">
        <w:rPr>
          <w:color w:val="000000"/>
          <w:sz w:val="22"/>
          <w:szCs w:val="22"/>
          <w:lang w:eastAsia="pt-BR"/>
        </w:rPr>
        <w:t>, por escrito, até 31 de julho de cada ano.</w:t>
      </w:r>
      <w:r w:rsidRPr="00493D30">
        <w:rPr>
          <w:sz w:val="22"/>
          <w:szCs w:val="22"/>
          <w:lang w:eastAsia="pt-BR"/>
        </w:rPr>
        <w:t xml:space="preserve"> </w:t>
      </w:r>
    </w:p>
    <w:p w14:paraId="11ED48A8" w14:textId="77777777" w:rsidR="00E65CA4" w:rsidRPr="00493D30" w:rsidRDefault="00E65CA4" w:rsidP="00E65CA4">
      <w:pPr>
        <w:tabs>
          <w:tab w:val="num" w:pos="1440"/>
        </w:tabs>
        <w:ind w:left="1440" w:hanging="720"/>
        <w:jc w:val="both"/>
        <w:rPr>
          <w:color w:val="000000"/>
          <w:sz w:val="22"/>
          <w:szCs w:val="22"/>
          <w:lang w:eastAsia="pt-BR"/>
        </w:rPr>
      </w:pPr>
    </w:p>
    <w:p w14:paraId="5708FF84" w14:textId="77777777" w:rsidR="00E65CA4" w:rsidRPr="00493D30" w:rsidRDefault="00E65CA4" w:rsidP="00E65CA4">
      <w:pPr>
        <w:numPr>
          <w:ilvl w:val="0"/>
          <w:numId w:val="8"/>
        </w:numPr>
        <w:tabs>
          <w:tab w:val="clear" w:pos="1080"/>
          <w:tab w:val="num" w:pos="1440"/>
        </w:tabs>
        <w:ind w:left="1440" w:hanging="720"/>
        <w:jc w:val="both"/>
        <w:rPr>
          <w:sz w:val="22"/>
          <w:szCs w:val="22"/>
          <w:lang w:eastAsia="pt-BR"/>
        </w:rPr>
      </w:pPr>
      <w:r w:rsidRPr="00493D30">
        <w:rPr>
          <w:sz w:val="22"/>
          <w:szCs w:val="22"/>
          <w:lang w:eastAsia="pt-BR"/>
        </w:rPr>
        <w:t xml:space="preserve">Os Estados membros efetivarão suas contribuições anuais ao FCD/OEA </w:t>
      </w:r>
      <w:r w:rsidRPr="00493D30">
        <w:rPr>
          <w:color w:val="000000"/>
          <w:sz w:val="22"/>
          <w:szCs w:val="22"/>
          <w:lang w:eastAsia="pt-BR"/>
        </w:rPr>
        <w:t>até 31 de outubro</w:t>
      </w:r>
      <w:r w:rsidRPr="00493D30">
        <w:rPr>
          <w:i/>
          <w:iCs/>
          <w:color w:val="000000"/>
          <w:sz w:val="22"/>
          <w:szCs w:val="22"/>
          <w:lang w:eastAsia="pt-BR"/>
        </w:rPr>
        <w:t>,</w:t>
      </w:r>
      <w:r w:rsidRPr="00493D30">
        <w:rPr>
          <w:sz w:val="22"/>
          <w:szCs w:val="22"/>
          <w:lang w:eastAsia="pt-BR"/>
        </w:rPr>
        <w:t xml:space="preserve"> as quais irão integrar o capital semente para os respectivos ciclos de programação, com vistas a continuar criando sinergias e a gerir recursos adicionais de potenciais parceiros externos. </w:t>
      </w:r>
    </w:p>
    <w:p w14:paraId="0F3F446C" w14:textId="77777777" w:rsidR="00E65CA4" w:rsidRPr="00493D30" w:rsidRDefault="00E65CA4" w:rsidP="00E65CA4">
      <w:pPr>
        <w:tabs>
          <w:tab w:val="num" w:pos="1440"/>
        </w:tabs>
        <w:ind w:left="1440" w:hanging="720"/>
        <w:jc w:val="both"/>
        <w:rPr>
          <w:rFonts w:ascii="Arial" w:hAnsi="Arial" w:cs="Arial"/>
          <w:sz w:val="22"/>
          <w:szCs w:val="22"/>
          <w:lang w:eastAsia="pt-BR"/>
        </w:rPr>
      </w:pPr>
    </w:p>
    <w:p w14:paraId="09309211" w14:textId="77777777" w:rsidR="00E65CA4" w:rsidRPr="00493D30" w:rsidRDefault="00E65CA4" w:rsidP="00E65CA4">
      <w:pPr>
        <w:numPr>
          <w:ilvl w:val="0"/>
          <w:numId w:val="8"/>
        </w:numPr>
        <w:tabs>
          <w:tab w:val="clear" w:pos="1080"/>
          <w:tab w:val="num" w:pos="1440"/>
        </w:tabs>
        <w:ind w:left="1440" w:hanging="720"/>
        <w:jc w:val="both"/>
        <w:rPr>
          <w:bCs/>
          <w:i/>
          <w:iCs/>
          <w:sz w:val="22"/>
          <w:szCs w:val="22"/>
          <w:lang w:eastAsia="pt-BR"/>
        </w:rPr>
      </w:pPr>
      <w:r w:rsidRPr="00493D30">
        <w:rPr>
          <w:sz w:val="22"/>
          <w:szCs w:val="22"/>
          <w:lang w:eastAsia="pt-BR"/>
        </w:rPr>
        <w:t>Os Estados membros, com base nas contribuições que oferecerem regularmente ao FCD/OEA, apresentarão cartas de compromisso e apoio ao processo do FCD/OEA, o que constituirá uma mostra do seu comprometimento frente a potenciais parceiros/doadores com relação aos programas que serão implementados.</w:t>
      </w:r>
    </w:p>
    <w:p w14:paraId="27605DCF" w14:textId="77777777" w:rsidR="00E65CA4" w:rsidRPr="00493D30" w:rsidRDefault="00E65CA4" w:rsidP="00E65CA4">
      <w:pPr>
        <w:tabs>
          <w:tab w:val="num" w:pos="1440"/>
        </w:tabs>
        <w:ind w:left="1440" w:hanging="720"/>
        <w:jc w:val="both"/>
        <w:rPr>
          <w:bCs/>
          <w:i/>
          <w:iCs/>
          <w:color w:val="000000"/>
          <w:sz w:val="22"/>
          <w:szCs w:val="22"/>
          <w:lang w:eastAsia="pt-BR"/>
        </w:rPr>
      </w:pPr>
    </w:p>
    <w:p w14:paraId="36FB9A8D" w14:textId="77777777" w:rsidR="00E65CA4" w:rsidRPr="00493D30" w:rsidRDefault="00E65CA4" w:rsidP="00E65CA4">
      <w:pPr>
        <w:tabs>
          <w:tab w:val="num" w:pos="1440"/>
        </w:tabs>
        <w:ind w:left="1440" w:hanging="720"/>
        <w:jc w:val="both"/>
        <w:rPr>
          <w:bCs/>
          <w:i/>
          <w:iCs/>
          <w:sz w:val="22"/>
          <w:szCs w:val="22"/>
          <w:lang w:eastAsia="pt-BR"/>
        </w:rPr>
      </w:pPr>
      <w:r w:rsidRPr="00493D30">
        <w:rPr>
          <w:snapToGrid w:val="0"/>
          <w:spacing w:val="-2"/>
          <w:sz w:val="22"/>
          <w:szCs w:val="22"/>
          <w:lang w:eastAsia="pt-BR"/>
        </w:rPr>
        <w:t>Definição da programação:</w:t>
      </w:r>
      <w:r w:rsidRPr="00493D30">
        <w:rPr>
          <w:snapToGrid w:val="0"/>
          <w:color w:val="0000FF"/>
          <w:spacing w:val="-2"/>
          <w:sz w:val="22"/>
          <w:szCs w:val="22"/>
          <w:lang w:eastAsia="pt-BR"/>
        </w:rPr>
        <w:t xml:space="preserve"> </w:t>
      </w:r>
    </w:p>
    <w:p w14:paraId="6D64F095" w14:textId="77777777" w:rsidR="00E65CA4" w:rsidRPr="00493D30" w:rsidRDefault="00E65CA4" w:rsidP="00E65CA4">
      <w:pPr>
        <w:tabs>
          <w:tab w:val="num" w:pos="1440"/>
        </w:tabs>
        <w:ind w:left="1440" w:hanging="720"/>
        <w:rPr>
          <w:bCs/>
          <w:sz w:val="22"/>
          <w:szCs w:val="22"/>
          <w:lang w:eastAsia="pt-BR"/>
        </w:rPr>
      </w:pPr>
    </w:p>
    <w:p w14:paraId="546E6A68" w14:textId="77777777" w:rsidR="00E65CA4" w:rsidRPr="00493D30" w:rsidRDefault="00E65CA4" w:rsidP="00E65CA4">
      <w:pPr>
        <w:numPr>
          <w:ilvl w:val="0"/>
          <w:numId w:val="8"/>
        </w:numPr>
        <w:tabs>
          <w:tab w:val="clear" w:pos="1080"/>
          <w:tab w:val="num" w:pos="1440"/>
        </w:tabs>
        <w:ind w:left="1440" w:hanging="720"/>
        <w:jc w:val="both"/>
        <w:rPr>
          <w:bCs/>
          <w:i/>
          <w:iCs/>
          <w:color w:val="E36C0A"/>
          <w:sz w:val="22"/>
          <w:szCs w:val="22"/>
          <w:lang w:eastAsia="pt-BR"/>
        </w:rPr>
      </w:pPr>
      <w:r w:rsidRPr="00493D30">
        <w:rPr>
          <w:snapToGrid w:val="0"/>
          <w:spacing w:val="-2"/>
          <w:sz w:val="22"/>
          <w:szCs w:val="22"/>
          <w:lang w:eastAsia="pt-BR"/>
        </w:rPr>
        <w:t xml:space="preserve">Com a finalidade de desenvolver um objetivo claramente definido, a Seção de Cooperação Técnica (SCT) da SEDI, em coordenação com os Órgãos Nacionais de Ligação (ONEs) e as autoridades nacionais pertinentes </w:t>
      </w:r>
      <w:r w:rsidRPr="00493D30">
        <w:rPr>
          <w:snapToGrid w:val="0"/>
          <w:spacing w:val="-2"/>
          <w:sz w:val="22"/>
          <w:szCs w:val="22"/>
          <w:lang w:eastAsia="pt-BR"/>
        </w:rPr>
        <w:sym w:font="Symbol" w:char="F02D"/>
      </w:r>
      <w:r w:rsidRPr="00493D30">
        <w:rPr>
          <w:snapToGrid w:val="0"/>
          <w:spacing w:val="-2"/>
          <w:sz w:val="22"/>
          <w:szCs w:val="22"/>
          <w:lang w:eastAsia="pt-BR"/>
        </w:rPr>
        <w:t xml:space="preserve"> identificará a área do Plano Estratégico correspondente e as áreas temáticas que ajudam a sua formulação; inclusive educação e ciência e tecnologia, em sua transversalidade. </w:t>
      </w:r>
    </w:p>
    <w:p w14:paraId="2AF4EF60" w14:textId="77777777" w:rsidR="00E65CA4" w:rsidRPr="00493D30" w:rsidRDefault="00E65CA4" w:rsidP="00E65CA4">
      <w:pPr>
        <w:tabs>
          <w:tab w:val="num" w:pos="1440"/>
        </w:tabs>
        <w:ind w:left="1440" w:hanging="720"/>
        <w:rPr>
          <w:snapToGrid w:val="0"/>
          <w:spacing w:val="-2"/>
          <w:sz w:val="22"/>
          <w:szCs w:val="22"/>
          <w:lang w:eastAsia="pt-BR"/>
        </w:rPr>
      </w:pPr>
    </w:p>
    <w:p w14:paraId="118FF651" w14:textId="77777777" w:rsidR="00E65CA4" w:rsidRPr="00493D30" w:rsidRDefault="00E65CA4" w:rsidP="00E65CA4">
      <w:pPr>
        <w:numPr>
          <w:ilvl w:val="0"/>
          <w:numId w:val="8"/>
        </w:numPr>
        <w:tabs>
          <w:tab w:val="clear" w:pos="1080"/>
          <w:tab w:val="num" w:pos="1440"/>
        </w:tabs>
        <w:ind w:left="1440" w:hanging="720"/>
        <w:jc w:val="both"/>
        <w:rPr>
          <w:sz w:val="22"/>
          <w:szCs w:val="22"/>
          <w:lang w:eastAsia="pt-BR"/>
        </w:rPr>
      </w:pPr>
      <w:r w:rsidRPr="00493D30">
        <w:rPr>
          <w:snapToGrid w:val="0"/>
          <w:spacing w:val="-2"/>
          <w:sz w:val="22"/>
          <w:szCs w:val="22"/>
          <w:lang w:eastAsia="pt-BR"/>
        </w:rPr>
        <w:t>A SCT, por meio do ONE de cada Estado membro, realizará consultas e conduzirá uma pesquisa para identificar as prioridades dos Estados membros sobre as áreas de ação do Plano Estratégico e as áreas temáticas correspondentes para a formulação de até quatro</w:t>
      </w:r>
      <w:r w:rsidRPr="00493D30">
        <w:rPr>
          <w:snapToGrid w:val="0"/>
          <w:color w:val="0000FF"/>
          <w:spacing w:val="-2"/>
          <w:sz w:val="22"/>
          <w:szCs w:val="22"/>
          <w:lang w:eastAsia="pt-BR"/>
        </w:rPr>
        <w:t xml:space="preserve"> </w:t>
      </w:r>
      <w:r w:rsidRPr="00493D30">
        <w:rPr>
          <w:snapToGrid w:val="0"/>
          <w:spacing w:val="-2"/>
          <w:sz w:val="22"/>
          <w:szCs w:val="22"/>
          <w:lang w:eastAsia="pt-BR"/>
        </w:rPr>
        <w:t>programas.</w:t>
      </w:r>
    </w:p>
    <w:p w14:paraId="5AE93CFE" w14:textId="77777777" w:rsidR="00E65CA4" w:rsidRPr="00493D30" w:rsidRDefault="00E65CA4" w:rsidP="00E65CA4">
      <w:pPr>
        <w:ind w:left="1440"/>
        <w:jc w:val="both"/>
        <w:rPr>
          <w:sz w:val="22"/>
          <w:szCs w:val="22"/>
          <w:lang w:eastAsia="pt-BR"/>
        </w:rPr>
      </w:pPr>
    </w:p>
    <w:p w14:paraId="40D5C59F" w14:textId="77777777" w:rsidR="00E65CA4" w:rsidRPr="00493D30" w:rsidRDefault="00E65CA4" w:rsidP="00E65CA4">
      <w:pPr>
        <w:numPr>
          <w:ilvl w:val="0"/>
          <w:numId w:val="8"/>
        </w:numPr>
        <w:tabs>
          <w:tab w:val="clear" w:pos="1080"/>
          <w:tab w:val="num" w:pos="1440"/>
        </w:tabs>
        <w:ind w:left="1440" w:hanging="720"/>
        <w:jc w:val="both"/>
        <w:rPr>
          <w:sz w:val="22"/>
          <w:szCs w:val="22"/>
          <w:u w:val="thick"/>
          <w:lang w:eastAsia="pt-BR"/>
        </w:rPr>
      </w:pPr>
      <w:r w:rsidRPr="00493D30">
        <w:rPr>
          <w:color w:val="000000"/>
          <w:sz w:val="22"/>
          <w:szCs w:val="22"/>
          <w:lang w:eastAsia="pt-BR"/>
        </w:rPr>
        <w:t>A SCT apresentará os resultados da pesquisa ao CIDI para que este considere e aprove a área de ação e as áreas temáticas que definirão até quatro programas para a formulação inicial da proposta de</w:t>
      </w:r>
      <w:r w:rsidRPr="00493D30">
        <w:rPr>
          <w:sz w:val="22"/>
          <w:szCs w:val="22"/>
          <w:lang w:eastAsia="pt-BR"/>
        </w:rPr>
        <w:t xml:space="preserve"> E</w:t>
      </w:r>
      <w:r w:rsidRPr="00493D30">
        <w:rPr>
          <w:color w:val="000000"/>
          <w:sz w:val="22"/>
          <w:szCs w:val="22"/>
          <w:lang w:eastAsia="pt-BR"/>
        </w:rPr>
        <w:t>nfoque Programático, até</w:t>
      </w:r>
      <w:r w:rsidRPr="00493D30">
        <w:rPr>
          <w:sz w:val="22"/>
          <w:szCs w:val="22"/>
          <w:lang w:eastAsia="pt-BR"/>
        </w:rPr>
        <w:t xml:space="preserve"> </w:t>
      </w:r>
      <w:r w:rsidRPr="00493D30">
        <w:rPr>
          <w:bCs/>
          <w:sz w:val="22"/>
          <w:szCs w:val="22"/>
          <w:lang w:eastAsia="pt-BR"/>
        </w:rPr>
        <w:t>15 de abril</w:t>
      </w:r>
      <w:r w:rsidRPr="00493D30">
        <w:rPr>
          <w:sz w:val="22"/>
          <w:szCs w:val="22"/>
          <w:lang w:eastAsia="pt-BR"/>
        </w:rPr>
        <w:t xml:space="preserve"> do primeiro ano do ciclo de programação</w:t>
      </w:r>
      <w:r w:rsidRPr="00493D30">
        <w:rPr>
          <w:i/>
          <w:iCs/>
          <w:sz w:val="22"/>
          <w:szCs w:val="22"/>
          <w:lang w:eastAsia="pt-BR"/>
        </w:rPr>
        <w:t>.</w:t>
      </w:r>
      <w:r w:rsidRPr="00493D30">
        <w:rPr>
          <w:sz w:val="22"/>
          <w:szCs w:val="22"/>
          <w:lang w:eastAsia="pt-BR"/>
        </w:rPr>
        <w:t xml:space="preserve"> </w:t>
      </w:r>
    </w:p>
    <w:p w14:paraId="640B4D6F" w14:textId="77777777" w:rsidR="00E65CA4" w:rsidRPr="00493D30" w:rsidRDefault="00E65CA4" w:rsidP="00E65CA4">
      <w:pPr>
        <w:tabs>
          <w:tab w:val="left" w:pos="1440"/>
        </w:tabs>
        <w:ind w:left="720"/>
        <w:jc w:val="both"/>
        <w:rPr>
          <w:color w:val="000000"/>
          <w:sz w:val="22"/>
          <w:szCs w:val="22"/>
          <w:u w:val="thick"/>
          <w:lang w:eastAsia="pt-BR"/>
        </w:rPr>
      </w:pPr>
    </w:p>
    <w:p w14:paraId="20A69203" w14:textId="77777777" w:rsidR="00E65CA4" w:rsidRPr="00493D30" w:rsidRDefault="00E65CA4" w:rsidP="00E65CA4">
      <w:pPr>
        <w:numPr>
          <w:ilvl w:val="0"/>
          <w:numId w:val="8"/>
        </w:numPr>
        <w:tabs>
          <w:tab w:val="clear" w:pos="1080"/>
          <w:tab w:val="left" w:pos="720"/>
          <w:tab w:val="num" w:pos="1440"/>
        </w:tabs>
        <w:ind w:left="1440" w:hanging="720"/>
        <w:jc w:val="both"/>
        <w:rPr>
          <w:color w:val="000000"/>
          <w:sz w:val="22"/>
          <w:szCs w:val="22"/>
          <w:u w:val="thick"/>
          <w:lang w:eastAsia="pt-BR"/>
        </w:rPr>
      </w:pPr>
      <w:r w:rsidRPr="00493D30">
        <w:rPr>
          <w:color w:val="000000"/>
          <w:sz w:val="22"/>
          <w:szCs w:val="22"/>
          <w:lang w:eastAsia="pt-BR"/>
        </w:rPr>
        <w:t xml:space="preserve">A JD/AICD confirmará o montante disponível dos fundos semente para o ciclo de programação, </w:t>
      </w:r>
      <w:r w:rsidRPr="00493D30">
        <w:rPr>
          <w:sz w:val="22"/>
          <w:szCs w:val="22"/>
          <w:lang w:eastAsia="pt-BR"/>
        </w:rPr>
        <w:t xml:space="preserve">até </w:t>
      </w:r>
      <w:r w:rsidRPr="00493D30">
        <w:rPr>
          <w:bCs/>
          <w:sz w:val="22"/>
          <w:szCs w:val="22"/>
          <w:lang w:eastAsia="pt-BR"/>
        </w:rPr>
        <w:t>30 de abril</w:t>
      </w:r>
      <w:r w:rsidRPr="00493D30">
        <w:rPr>
          <w:color w:val="000000"/>
          <w:sz w:val="22"/>
          <w:szCs w:val="22"/>
          <w:lang w:eastAsia="pt-BR"/>
        </w:rPr>
        <w:t xml:space="preserve">. </w:t>
      </w:r>
    </w:p>
    <w:p w14:paraId="313C4C24" w14:textId="77777777" w:rsidR="00E65CA4" w:rsidRPr="00493D30" w:rsidRDefault="00E65CA4" w:rsidP="00E65CA4">
      <w:pPr>
        <w:tabs>
          <w:tab w:val="left" w:pos="720"/>
          <w:tab w:val="num" w:pos="1440"/>
        </w:tabs>
        <w:ind w:left="1440" w:hanging="720"/>
        <w:jc w:val="both"/>
        <w:rPr>
          <w:color w:val="000000"/>
          <w:sz w:val="22"/>
          <w:szCs w:val="22"/>
          <w:u w:val="thick"/>
          <w:lang w:eastAsia="pt-BR"/>
        </w:rPr>
      </w:pPr>
    </w:p>
    <w:p w14:paraId="7141CCC1" w14:textId="77777777" w:rsidR="00E65CA4" w:rsidRPr="00493D30" w:rsidRDefault="00E65CA4" w:rsidP="00E65CA4">
      <w:pPr>
        <w:numPr>
          <w:ilvl w:val="0"/>
          <w:numId w:val="8"/>
        </w:numPr>
        <w:tabs>
          <w:tab w:val="clear" w:pos="1080"/>
          <w:tab w:val="left" w:pos="720"/>
          <w:tab w:val="num" w:pos="1440"/>
        </w:tabs>
        <w:ind w:left="1440" w:hanging="720"/>
        <w:jc w:val="both"/>
        <w:rPr>
          <w:color w:val="000000"/>
          <w:sz w:val="22"/>
          <w:szCs w:val="22"/>
          <w:u w:val="thick"/>
          <w:lang w:eastAsia="pt-BR"/>
        </w:rPr>
      </w:pPr>
      <w:r w:rsidRPr="00493D30">
        <w:rPr>
          <w:snapToGrid w:val="0"/>
          <w:sz w:val="22"/>
          <w:szCs w:val="22"/>
          <w:lang w:eastAsia="pt-BR"/>
        </w:rPr>
        <w:t>Com o propósito de assegurar a participação de cada Estado membro na formulação dos programas e na identificação das atividades, será solicitado que as Missões Permanentes apresentem uma carta para confirmar sua participação em um dos programas de acordo com suas necessidades, indicando a instituição(ções) executora(s) e o(s) funcionário(s) responsável(eis) em cada país participante</w:t>
      </w:r>
      <w:r w:rsidRPr="00493D30">
        <w:rPr>
          <w:color w:val="000000"/>
          <w:sz w:val="22"/>
          <w:szCs w:val="22"/>
          <w:lang w:eastAsia="pt-BR"/>
        </w:rPr>
        <w:t>,</w:t>
      </w:r>
      <w:r w:rsidRPr="00493D30">
        <w:rPr>
          <w:sz w:val="22"/>
          <w:szCs w:val="22"/>
          <w:lang w:eastAsia="pt-BR"/>
        </w:rPr>
        <w:t xml:space="preserve"> até </w:t>
      </w:r>
      <w:r w:rsidRPr="00493D30">
        <w:rPr>
          <w:bCs/>
          <w:sz w:val="22"/>
          <w:szCs w:val="22"/>
          <w:lang w:eastAsia="pt-BR"/>
        </w:rPr>
        <w:t>15 de maio</w:t>
      </w:r>
      <w:r w:rsidRPr="00493D30">
        <w:rPr>
          <w:color w:val="000000"/>
          <w:sz w:val="22"/>
          <w:szCs w:val="22"/>
          <w:lang w:eastAsia="pt-BR"/>
        </w:rPr>
        <w:t xml:space="preserve">. </w:t>
      </w:r>
    </w:p>
    <w:p w14:paraId="0458F37D" w14:textId="77777777" w:rsidR="00E65CA4" w:rsidRPr="00493D30" w:rsidRDefault="00E65CA4" w:rsidP="00E65CA4">
      <w:pPr>
        <w:tabs>
          <w:tab w:val="left" w:pos="720"/>
          <w:tab w:val="num" w:pos="1440"/>
        </w:tabs>
        <w:ind w:left="1440" w:hanging="720"/>
        <w:jc w:val="both"/>
        <w:rPr>
          <w:color w:val="000000"/>
          <w:sz w:val="22"/>
          <w:szCs w:val="22"/>
          <w:u w:val="thick"/>
          <w:lang w:eastAsia="pt-BR"/>
        </w:rPr>
      </w:pPr>
    </w:p>
    <w:p w14:paraId="6381C120" w14:textId="77777777" w:rsidR="00E65CA4" w:rsidRPr="00493D30" w:rsidRDefault="00E65CA4" w:rsidP="00E65CA4">
      <w:pPr>
        <w:numPr>
          <w:ilvl w:val="0"/>
          <w:numId w:val="8"/>
        </w:numPr>
        <w:tabs>
          <w:tab w:val="clear" w:pos="1080"/>
          <w:tab w:val="left" w:pos="720"/>
          <w:tab w:val="num" w:pos="1440"/>
        </w:tabs>
        <w:ind w:left="1440" w:hanging="720"/>
        <w:jc w:val="both"/>
        <w:rPr>
          <w:color w:val="000000"/>
          <w:sz w:val="22"/>
          <w:szCs w:val="22"/>
          <w:lang w:eastAsia="pt-BR"/>
        </w:rPr>
      </w:pPr>
      <w:r w:rsidRPr="00493D30">
        <w:rPr>
          <w:color w:val="000000"/>
          <w:sz w:val="22"/>
          <w:szCs w:val="22"/>
          <w:lang w:eastAsia="pt-BR"/>
        </w:rPr>
        <w:t xml:space="preserve">A Junta Diretora da AICD ampliará a participação dos Estados membros em mais de um programa na medida que os recursos financeiros o permitam. </w:t>
      </w:r>
    </w:p>
    <w:p w14:paraId="03DAC3BE" w14:textId="77777777" w:rsidR="00E65CA4" w:rsidRPr="00493D30" w:rsidRDefault="00E65CA4" w:rsidP="00E65CA4">
      <w:pPr>
        <w:tabs>
          <w:tab w:val="left" w:pos="720"/>
          <w:tab w:val="num" w:pos="1440"/>
        </w:tabs>
        <w:ind w:left="1440" w:hanging="720"/>
        <w:jc w:val="both"/>
        <w:rPr>
          <w:snapToGrid w:val="0"/>
          <w:sz w:val="22"/>
          <w:szCs w:val="22"/>
          <w:lang w:eastAsia="pt-BR"/>
        </w:rPr>
      </w:pPr>
    </w:p>
    <w:p w14:paraId="7A93FEB3" w14:textId="77777777" w:rsidR="00E65CA4" w:rsidRPr="00493D30" w:rsidRDefault="00E65CA4" w:rsidP="00E65CA4">
      <w:pPr>
        <w:numPr>
          <w:ilvl w:val="0"/>
          <w:numId w:val="8"/>
        </w:numPr>
        <w:tabs>
          <w:tab w:val="clear" w:pos="1080"/>
          <w:tab w:val="left" w:pos="720"/>
          <w:tab w:val="num" w:pos="1440"/>
        </w:tabs>
        <w:ind w:left="1440" w:hanging="720"/>
        <w:jc w:val="both"/>
        <w:rPr>
          <w:color w:val="000000"/>
          <w:sz w:val="22"/>
          <w:szCs w:val="22"/>
          <w:lang w:eastAsia="pt-BR"/>
        </w:rPr>
      </w:pPr>
      <w:r w:rsidRPr="00493D30">
        <w:rPr>
          <w:snapToGrid w:val="0"/>
          <w:sz w:val="22"/>
          <w:szCs w:val="22"/>
          <w:lang w:eastAsia="pt-BR"/>
        </w:rPr>
        <w:t xml:space="preserve">A STC, com a colaboração dos departamentos da SEDI e em estreita coordenação com os ONEs e as autoridades nacionais pertinentes, formulará a proposta de Enfoque Programático de três anos de implementação, que conterá o objetivo, os programas com suas respectivas atividades, e o orçamento de cada área temática, inclusive os custos de avaliação, até 30 de agosto. </w:t>
      </w:r>
    </w:p>
    <w:p w14:paraId="1A9F1F74" w14:textId="77777777" w:rsidR="00E65CA4" w:rsidRPr="00493D30" w:rsidRDefault="00E65CA4" w:rsidP="00E65CA4">
      <w:pPr>
        <w:tabs>
          <w:tab w:val="left" w:pos="720"/>
          <w:tab w:val="num" w:pos="1440"/>
        </w:tabs>
        <w:ind w:left="1440" w:hanging="720"/>
        <w:jc w:val="both"/>
        <w:rPr>
          <w:color w:val="0000FF"/>
          <w:sz w:val="22"/>
          <w:szCs w:val="22"/>
          <w:lang w:eastAsia="pt-BR"/>
        </w:rPr>
      </w:pPr>
    </w:p>
    <w:p w14:paraId="65865385" w14:textId="77777777" w:rsidR="00E65CA4" w:rsidRPr="00493D30" w:rsidRDefault="00E65CA4" w:rsidP="00E65CA4">
      <w:pPr>
        <w:numPr>
          <w:ilvl w:val="0"/>
          <w:numId w:val="8"/>
        </w:numPr>
        <w:tabs>
          <w:tab w:val="clear" w:pos="1080"/>
          <w:tab w:val="left" w:pos="720"/>
          <w:tab w:val="num" w:pos="1440"/>
        </w:tabs>
        <w:ind w:left="1440" w:hanging="720"/>
        <w:jc w:val="both"/>
        <w:rPr>
          <w:color w:val="000000"/>
          <w:sz w:val="22"/>
          <w:szCs w:val="22"/>
          <w:u w:val="thick"/>
          <w:lang w:eastAsia="pt-BR"/>
        </w:rPr>
      </w:pPr>
      <w:r w:rsidRPr="00493D30">
        <w:rPr>
          <w:snapToGrid w:val="0"/>
          <w:spacing w:val="-2"/>
          <w:sz w:val="22"/>
          <w:szCs w:val="22"/>
          <w:lang w:eastAsia="pt-BR"/>
        </w:rPr>
        <w:t>A SEDI apresentará o Enfoque Programático à JD/AICD para sua consideração e aprovação, até 30 de setembro</w:t>
      </w:r>
      <w:r w:rsidRPr="00493D30">
        <w:rPr>
          <w:sz w:val="22"/>
          <w:szCs w:val="22"/>
          <w:lang w:eastAsia="pt-BR"/>
        </w:rPr>
        <w:t>.</w:t>
      </w:r>
      <w:r w:rsidRPr="00493D30">
        <w:rPr>
          <w:sz w:val="22"/>
          <w:szCs w:val="22"/>
          <w:u w:val="thick"/>
          <w:lang w:eastAsia="pt-BR"/>
        </w:rPr>
        <w:t xml:space="preserve"> </w:t>
      </w:r>
    </w:p>
    <w:p w14:paraId="6D3EFFDD" w14:textId="77777777" w:rsidR="00E65CA4" w:rsidRPr="00316840" w:rsidRDefault="00E65CA4" w:rsidP="00E65CA4">
      <w:pPr>
        <w:tabs>
          <w:tab w:val="left" w:pos="720"/>
          <w:tab w:val="num" w:pos="1440"/>
        </w:tabs>
        <w:ind w:left="1440" w:hanging="720"/>
        <w:jc w:val="both"/>
        <w:rPr>
          <w:sz w:val="22"/>
          <w:szCs w:val="22"/>
          <w:lang w:eastAsia="pt-BR"/>
        </w:rPr>
      </w:pPr>
    </w:p>
    <w:p w14:paraId="24EAA65E" w14:textId="16B9E918" w:rsidR="00E65CA4" w:rsidRPr="00316840" w:rsidRDefault="00E65CA4" w:rsidP="00E65CA4">
      <w:pPr>
        <w:tabs>
          <w:tab w:val="left" w:pos="720"/>
          <w:tab w:val="num" w:pos="1440"/>
        </w:tabs>
        <w:ind w:left="1440" w:hanging="720"/>
        <w:jc w:val="both"/>
        <w:rPr>
          <w:sz w:val="22"/>
          <w:szCs w:val="22"/>
          <w:lang w:eastAsia="pt-BR"/>
        </w:rPr>
      </w:pPr>
      <w:r w:rsidRPr="00493D30">
        <w:rPr>
          <w:sz w:val="22"/>
          <w:szCs w:val="22"/>
          <w:lang w:eastAsia="pt-BR"/>
        </w:rPr>
        <w:t>Implementação da programação:</w:t>
      </w:r>
      <w:r w:rsidRPr="00493D30">
        <w:rPr>
          <w:color w:val="0000FF"/>
          <w:sz w:val="22"/>
          <w:szCs w:val="22"/>
          <w:lang w:eastAsia="pt-BR"/>
        </w:rPr>
        <w:t xml:space="preserve"> </w:t>
      </w:r>
    </w:p>
    <w:p w14:paraId="58FD18F9" w14:textId="77777777" w:rsidR="00E65CA4" w:rsidRPr="00316840" w:rsidRDefault="00E65CA4" w:rsidP="00E65CA4">
      <w:pPr>
        <w:tabs>
          <w:tab w:val="left" w:pos="720"/>
          <w:tab w:val="num" w:pos="1440"/>
        </w:tabs>
        <w:ind w:left="1440" w:hanging="720"/>
        <w:jc w:val="both"/>
        <w:rPr>
          <w:snapToGrid w:val="0"/>
          <w:spacing w:val="-2"/>
          <w:sz w:val="22"/>
          <w:szCs w:val="22"/>
          <w:lang w:eastAsia="pt-BR"/>
        </w:rPr>
      </w:pPr>
    </w:p>
    <w:p w14:paraId="00B3E479" w14:textId="77777777" w:rsidR="00E65CA4" w:rsidRPr="00493D30" w:rsidRDefault="00E65CA4" w:rsidP="00E65CA4">
      <w:pPr>
        <w:numPr>
          <w:ilvl w:val="0"/>
          <w:numId w:val="8"/>
        </w:numPr>
        <w:tabs>
          <w:tab w:val="clear" w:pos="1080"/>
          <w:tab w:val="left" w:pos="720"/>
          <w:tab w:val="num" w:pos="1440"/>
        </w:tabs>
        <w:ind w:left="1440" w:hanging="720"/>
        <w:jc w:val="both"/>
        <w:rPr>
          <w:color w:val="0000FF"/>
          <w:sz w:val="22"/>
          <w:szCs w:val="22"/>
          <w:lang w:eastAsia="pt-BR"/>
        </w:rPr>
      </w:pPr>
      <w:r w:rsidRPr="00493D30">
        <w:rPr>
          <w:color w:val="000000"/>
          <w:sz w:val="22"/>
          <w:szCs w:val="22"/>
          <w:lang w:eastAsia="pt-BR"/>
        </w:rPr>
        <w:t xml:space="preserve">A SCT preparará e enviará aos Estados membros, antes de 15 de outubro, a documentação necessária (Acordos de Execução e formatos pertinentes). </w:t>
      </w:r>
    </w:p>
    <w:p w14:paraId="1050AB89" w14:textId="77777777" w:rsidR="00E65CA4" w:rsidRPr="00493D30" w:rsidRDefault="00E65CA4" w:rsidP="00E65CA4">
      <w:pPr>
        <w:tabs>
          <w:tab w:val="left" w:pos="720"/>
          <w:tab w:val="num" w:pos="1440"/>
        </w:tabs>
        <w:ind w:left="1440" w:hanging="720"/>
        <w:jc w:val="both"/>
        <w:rPr>
          <w:color w:val="000000"/>
          <w:sz w:val="22"/>
          <w:szCs w:val="22"/>
          <w:u w:val="thick"/>
          <w:lang w:eastAsia="pt-BR"/>
        </w:rPr>
      </w:pPr>
      <w:r w:rsidRPr="00493D30">
        <w:rPr>
          <w:color w:val="000000"/>
          <w:sz w:val="22"/>
          <w:szCs w:val="22"/>
          <w:lang w:eastAsia="pt-BR"/>
        </w:rPr>
        <w:tab/>
      </w:r>
      <w:r w:rsidRPr="00493D30">
        <w:rPr>
          <w:color w:val="0000FF"/>
          <w:sz w:val="22"/>
          <w:szCs w:val="22"/>
          <w:lang w:eastAsia="pt-BR"/>
        </w:rPr>
        <w:t xml:space="preserve"> </w:t>
      </w:r>
    </w:p>
    <w:p w14:paraId="01D15561" w14:textId="77777777" w:rsidR="00E65CA4" w:rsidRPr="00493D30" w:rsidRDefault="00E65CA4" w:rsidP="00E65CA4">
      <w:pPr>
        <w:numPr>
          <w:ilvl w:val="0"/>
          <w:numId w:val="8"/>
        </w:numPr>
        <w:tabs>
          <w:tab w:val="clear" w:pos="1080"/>
          <w:tab w:val="left" w:pos="720"/>
          <w:tab w:val="num" w:pos="1440"/>
        </w:tabs>
        <w:ind w:left="1440" w:hanging="720"/>
        <w:jc w:val="both"/>
        <w:rPr>
          <w:bCs/>
          <w:i/>
          <w:iCs/>
          <w:color w:val="000000"/>
          <w:sz w:val="22"/>
          <w:szCs w:val="22"/>
          <w:lang w:eastAsia="pt-BR"/>
        </w:rPr>
      </w:pPr>
      <w:r w:rsidRPr="00493D30">
        <w:rPr>
          <w:color w:val="000000"/>
          <w:sz w:val="22"/>
          <w:szCs w:val="22"/>
          <w:lang w:eastAsia="pt-BR"/>
        </w:rPr>
        <w:t xml:space="preserve">Cada </w:t>
      </w:r>
      <w:r w:rsidRPr="00493D30">
        <w:rPr>
          <w:sz w:val="22"/>
          <w:szCs w:val="22"/>
          <w:lang w:eastAsia="pt-BR"/>
        </w:rPr>
        <w:t>Estado Membro</w:t>
      </w:r>
      <w:r w:rsidRPr="00493D30">
        <w:rPr>
          <w:color w:val="000000"/>
          <w:sz w:val="22"/>
          <w:szCs w:val="22"/>
          <w:lang w:eastAsia="pt-BR"/>
        </w:rPr>
        <w:t xml:space="preserve"> participante deverá apresentar um plano de execução que inclua o orçamento e o calendário de execução para os três anos de duração do programa, segundo as datas limites estabelecidas no Acordo de Execução. </w:t>
      </w:r>
    </w:p>
    <w:p w14:paraId="56C52877" w14:textId="77777777" w:rsidR="00E65CA4" w:rsidRPr="00493D30" w:rsidRDefault="00E65CA4" w:rsidP="00E65CA4">
      <w:pPr>
        <w:tabs>
          <w:tab w:val="left" w:pos="720"/>
          <w:tab w:val="num" w:pos="1440"/>
        </w:tabs>
        <w:ind w:left="1440" w:hanging="720"/>
        <w:jc w:val="both"/>
        <w:rPr>
          <w:color w:val="000000"/>
          <w:sz w:val="22"/>
          <w:szCs w:val="22"/>
          <w:lang w:eastAsia="pt-BR"/>
        </w:rPr>
      </w:pPr>
    </w:p>
    <w:p w14:paraId="64AE4498" w14:textId="77777777" w:rsidR="00E65CA4" w:rsidRPr="00493D30" w:rsidRDefault="00E65CA4" w:rsidP="00E65CA4">
      <w:pPr>
        <w:numPr>
          <w:ilvl w:val="0"/>
          <w:numId w:val="8"/>
        </w:numPr>
        <w:tabs>
          <w:tab w:val="clear" w:pos="1080"/>
          <w:tab w:val="left" w:pos="720"/>
          <w:tab w:val="num" w:pos="1440"/>
        </w:tabs>
        <w:ind w:left="1440" w:hanging="720"/>
        <w:jc w:val="both"/>
        <w:rPr>
          <w:color w:val="000000"/>
          <w:sz w:val="22"/>
          <w:szCs w:val="22"/>
          <w:lang w:eastAsia="pt-BR"/>
        </w:rPr>
      </w:pPr>
      <w:r w:rsidRPr="00493D30">
        <w:rPr>
          <w:color w:val="000000"/>
          <w:sz w:val="22"/>
          <w:szCs w:val="22"/>
          <w:lang w:eastAsia="pt-BR"/>
        </w:rPr>
        <w:t>Os Estados membros participantes (instituição executora e ONE) assinarão os acordos de execução até 15 de dezembro.</w:t>
      </w:r>
      <w:r w:rsidRPr="00493D30">
        <w:rPr>
          <w:sz w:val="22"/>
          <w:szCs w:val="22"/>
          <w:lang w:eastAsia="pt-BR"/>
        </w:rPr>
        <w:t xml:space="preserve"> </w:t>
      </w:r>
    </w:p>
    <w:p w14:paraId="0C8A6ED6" w14:textId="77777777" w:rsidR="00E65CA4" w:rsidRPr="00493D30" w:rsidRDefault="00E65CA4" w:rsidP="00E65CA4">
      <w:pPr>
        <w:tabs>
          <w:tab w:val="left" w:pos="720"/>
          <w:tab w:val="num" w:pos="1440"/>
        </w:tabs>
        <w:ind w:left="1440" w:hanging="720"/>
        <w:rPr>
          <w:color w:val="000000"/>
          <w:sz w:val="22"/>
          <w:szCs w:val="22"/>
          <w:lang w:eastAsia="pt-BR"/>
        </w:rPr>
      </w:pPr>
    </w:p>
    <w:p w14:paraId="35CAC5A2" w14:textId="77777777" w:rsidR="00E65CA4" w:rsidRPr="00375217" w:rsidRDefault="00E65CA4" w:rsidP="00E65CA4">
      <w:pPr>
        <w:numPr>
          <w:ilvl w:val="0"/>
          <w:numId w:val="8"/>
        </w:numPr>
        <w:tabs>
          <w:tab w:val="clear" w:pos="1080"/>
          <w:tab w:val="left" w:pos="720"/>
          <w:tab w:val="num" w:pos="1440"/>
        </w:tabs>
        <w:ind w:left="1440" w:hanging="720"/>
        <w:jc w:val="both"/>
        <w:rPr>
          <w:sz w:val="22"/>
          <w:szCs w:val="22"/>
          <w:u w:val="thick"/>
          <w:lang w:eastAsia="pt-BR"/>
        </w:rPr>
      </w:pPr>
      <w:r w:rsidRPr="00493D30">
        <w:rPr>
          <w:sz w:val="22"/>
          <w:szCs w:val="22"/>
          <w:lang w:eastAsia="pt-BR"/>
        </w:rPr>
        <w:t>A SEDI obrigará</w:t>
      </w:r>
      <w:r w:rsidRPr="00493D30">
        <w:rPr>
          <w:color w:val="000000"/>
          <w:sz w:val="22"/>
          <w:szCs w:val="22"/>
          <w:lang w:eastAsia="pt-BR"/>
        </w:rPr>
        <w:t xml:space="preserve"> os recursos para a execução dos programas no início de cada ciclo de programação, depois de receber dos Estados membros os Acordos de Execução assinados.</w:t>
      </w:r>
      <w:r w:rsidRPr="00493D30">
        <w:rPr>
          <w:sz w:val="22"/>
          <w:szCs w:val="22"/>
          <w:u w:val="thick"/>
          <w:lang w:eastAsia="pt-BR"/>
        </w:rPr>
        <w:t xml:space="preserve"> </w:t>
      </w:r>
    </w:p>
    <w:p w14:paraId="3F0CB30A" w14:textId="4DED1F8E" w:rsidR="00375217" w:rsidRDefault="00375217">
      <w:pPr>
        <w:rPr>
          <w:color w:val="0000FF"/>
          <w:sz w:val="22"/>
          <w:szCs w:val="22"/>
          <w:u w:val="thick"/>
          <w:lang w:eastAsia="pt-BR"/>
        </w:rPr>
      </w:pPr>
      <w:r>
        <w:rPr>
          <w:color w:val="0000FF"/>
          <w:sz w:val="22"/>
          <w:szCs w:val="22"/>
          <w:u w:val="thick"/>
          <w:lang w:eastAsia="pt-BR"/>
        </w:rPr>
        <w:br w:type="page"/>
      </w:r>
    </w:p>
    <w:p w14:paraId="653D62A5" w14:textId="77777777" w:rsidR="00E65CA4" w:rsidRPr="00493D30" w:rsidRDefault="00E65CA4" w:rsidP="00E65CA4">
      <w:pPr>
        <w:tabs>
          <w:tab w:val="left" w:pos="720"/>
        </w:tabs>
        <w:ind w:left="90"/>
        <w:jc w:val="both"/>
        <w:rPr>
          <w:color w:val="0000FF"/>
          <w:sz w:val="22"/>
          <w:szCs w:val="22"/>
          <w:u w:val="single"/>
          <w:lang w:eastAsia="pt-BR"/>
        </w:rPr>
      </w:pPr>
      <w:r w:rsidRPr="00493D30">
        <w:rPr>
          <w:color w:val="000000"/>
          <w:sz w:val="22"/>
          <w:szCs w:val="22"/>
          <w:lang w:eastAsia="pt-BR"/>
        </w:rPr>
        <w:lastRenderedPageBreak/>
        <w:tab/>
      </w:r>
      <w:r w:rsidRPr="00493D30">
        <w:rPr>
          <w:sz w:val="22"/>
          <w:szCs w:val="22"/>
          <w:lang w:eastAsia="pt-BR"/>
        </w:rPr>
        <w:t>Desembolsos financeiros:</w:t>
      </w:r>
      <w:r w:rsidRPr="00493D30">
        <w:rPr>
          <w:color w:val="0000FF"/>
          <w:sz w:val="22"/>
          <w:szCs w:val="22"/>
          <w:lang w:eastAsia="pt-BR"/>
        </w:rPr>
        <w:t xml:space="preserve"> </w:t>
      </w:r>
    </w:p>
    <w:p w14:paraId="7EFE2FE0" w14:textId="77777777" w:rsidR="00E65CA4" w:rsidRPr="00493D30" w:rsidRDefault="00E65CA4" w:rsidP="00E65CA4">
      <w:pPr>
        <w:rPr>
          <w:bCs/>
          <w:sz w:val="22"/>
          <w:szCs w:val="22"/>
          <w:lang w:eastAsia="pt-BR"/>
        </w:rPr>
      </w:pPr>
    </w:p>
    <w:p w14:paraId="787F9FB4" w14:textId="77777777" w:rsidR="00E65CA4" w:rsidRPr="00493D30" w:rsidRDefault="00E65CA4" w:rsidP="00E65CA4">
      <w:pPr>
        <w:numPr>
          <w:ilvl w:val="0"/>
          <w:numId w:val="8"/>
        </w:numPr>
        <w:tabs>
          <w:tab w:val="clear" w:pos="1080"/>
          <w:tab w:val="num" w:pos="1440"/>
        </w:tabs>
        <w:ind w:left="1440" w:hanging="720"/>
        <w:jc w:val="both"/>
        <w:rPr>
          <w:color w:val="000000"/>
          <w:sz w:val="22"/>
          <w:szCs w:val="22"/>
          <w:lang w:eastAsia="pt-BR"/>
        </w:rPr>
      </w:pPr>
      <w:r w:rsidRPr="00493D30">
        <w:rPr>
          <w:color w:val="000000"/>
          <w:sz w:val="22"/>
          <w:szCs w:val="22"/>
          <w:lang w:eastAsia="pt-BR"/>
        </w:rPr>
        <w:t xml:space="preserve">Os desembolsos para a execução dos programas poderão ser processados imediatamente após a obrigação dos recursos, depois que as instituições executoras tiverem apresentado um plano de execução satisfatório para a execução das atividades em cada país e tiverem assinado os </w:t>
      </w:r>
      <w:r w:rsidRPr="00493D30">
        <w:rPr>
          <w:sz w:val="22"/>
          <w:szCs w:val="22"/>
          <w:lang w:eastAsia="pt-BR"/>
        </w:rPr>
        <w:t>Acordos de Execução</w:t>
      </w:r>
      <w:r w:rsidRPr="00493D30">
        <w:rPr>
          <w:color w:val="000000"/>
          <w:sz w:val="22"/>
          <w:szCs w:val="22"/>
          <w:lang w:eastAsia="pt-BR"/>
        </w:rPr>
        <w:t xml:space="preserve"> correspondentes.</w:t>
      </w:r>
      <w:r w:rsidRPr="00493D30">
        <w:rPr>
          <w:color w:val="0000FF"/>
          <w:sz w:val="22"/>
          <w:szCs w:val="22"/>
          <w:lang w:eastAsia="pt-BR"/>
        </w:rPr>
        <w:t xml:space="preserve"> </w:t>
      </w:r>
    </w:p>
    <w:p w14:paraId="531EBBFE" w14:textId="77777777" w:rsidR="00E65CA4" w:rsidRPr="00493D30" w:rsidRDefault="00E65CA4" w:rsidP="00E65CA4">
      <w:pPr>
        <w:tabs>
          <w:tab w:val="num" w:pos="1440"/>
        </w:tabs>
        <w:ind w:left="1440" w:hanging="720"/>
        <w:jc w:val="both"/>
        <w:rPr>
          <w:color w:val="000000"/>
          <w:sz w:val="22"/>
          <w:szCs w:val="22"/>
          <w:lang w:eastAsia="pt-BR"/>
        </w:rPr>
      </w:pPr>
    </w:p>
    <w:p w14:paraId="5D1EE600" w14:textId="77777777" w:rsidR="00E65CA4" w:rsidRPr="00493D30" w:rsidRDefault="00E65CA4" w:rsidP="00E65CA4">
      <w:pPr>
        <w:numPr>
          <w:ilvl w:val="0"/>
          <w:numId w:val="8"/>
        </w:numPr>
        <w:tabs>
          <w:tab w:val="clear" w:pos="1080"/>
          <w:tab w:val="num" w:pos="1440"/>
        </w:tabs>
        <w:ind w:left="1440" w:hanging="720"/>
        <w:jc w:val="both"/>
        <w:rPr>
          <w:sz w:val="22"/>
          <w:szCs w:val="22"/>
          <w:lang w:eastAsia="pt-BR"/>
        </w:rPr>
      </w:pPr>
      <w:r w:rsidRPr="00493D30">
        <w:rPr>
          <w:snapToGrid w:val="0"/>
          <w:sz w:val="22"/>
          <w:szCs w:val="22"/>
          <w:lang w:eastAsia="pt-BR"/>
        </w:rPr>
        <w:t xml:space="preserve">Os fundos serão desembolsados a cada seis meses com base na apresentação de relatórios de acompanhamento satisfatórios. Em caso de relatório não satisfatório, a Junta Diretora da AICD decidirá a respeito segundo o disposto no Acordo de Execução. </w:t>
      </w:r>
    </w:p>
    <w:p w14:paraId="056A68F8" w14:textId="77777777" w:rsidR="00E65CA4" w:rsidRPr="00493D30" w:rsidRDefault="00E65CA4" w:rsidP="00E65CA4">
      <w:pPr>
        <w:tabs>
          <w:tab w:val="left" w:pos="1440"/>
        </w:tabs>
        <w:ind w:left="90"/>
        <w:jc w:val="both"/>
        <w:rPr>
          <w:snapToGrid w:val="0"/>
          <w:sz w:val="22"/>
          <w:szCs w:val="22"/>
          <w:lang w:eastAsia="pt-BR"/>
        </w:rPr>
      </w:pPr>
    </w:p>
    <w:p w14:paraId="5E4992D6" w14:textId="77777777" w:rsidR="00E65CA4" w:rsidRPr="00493D30" w:rsidRDefault="00E65CA4" w:rsidP="00E65CA4">
      <w:pPr>
        <w:ind w:left="720"/>
        <w:jc w:val="both"/>
        <w:rPr>
          <w:color w:val="0000FF"/>
          <w:sz w:val="22"/>
          <w:szCs w:val="22"/>
          <w:u w:val="single"/>
          <w:lang w:eastAsia="pt-BR"/>
        </w:rPr>
      </w:pPr>
      <w:r w:rsidRPr="00493D30">
        <w:rPr>
          <w:snapToGrid w:val="0"/>
          <w:sz w:val="22"/>
          <w:szCs w:val="22"/>
          <w:lang w:eastAsia="pt-BR"/>
        </w:rPr>
        <w:t>Monitoramento e avaliação:</w:t>
      </w:r>
      <w:r w:rsidRPr="00493D30">
        <w:rPr>
          <w:bCs/>
          <w:i/>
          <w:iCs/>
          <w:sz w:val="22"/>
          <w:szCs w:val="22"/>
          <w:lang w:eastAsia="pt-BR"/>
        </w:rPr>
        <w:t xml:space="preserve"> </w:t>
      </w:r>
    </w:p>
    <w:p w14:paraId="4793040B" w14:textId="77777777" w:rsidR="00E65CA4" w:rsidRPr="00493D30" w:rsidRDefault="00E65CA4" w:rsidP="00E65CA4">
      <w:pPr>
        <w:ind w:left="720" w:firstLine="360"/>
        <w:rPr>
          <w:color w:val="000000"/>
          <w:sz w:val="22"/>
          <w:szCs w:val="22"/>
          <w:u w:val="thick"/>
          <w:lang w:eastAsia="pt-BR"/>
        </w:rPr>
      </w:pPr>
    </w:p>
    <w:p w14:paraId="6E0EEDD7" w14:textId="77777777" w:rsidR="00E65CA4" w:rsidRPr="00493D30" w:rsidRDefault="00E65CA4" w:rsidP="00E65CA4">
      <w:pPr>
        <w:numPr>
          <w:ilvl w:val="0"/>
          <w:numId w:val="8"/>
        </w:numPr>
        <w:tabs>
          <w:tab w:val="clear" w:pos="1080"/>
          <w:tab w:val="num" w:pos="1440"/>
        </w:tabs>
        <w:ind w:left="1440" w:hanging="720"/>
        <w:jc w:val="both"/>
        <w:rPr>
          <w:color w:val="000000"/>
          <w:sz w:val="22"/>
          <w:szCs w:val="22"/>
          <w:lang w:eastAsia="pt-BR"/>
        </w:rPr>
      </w:pPr>
      <w:r w:rsidRPr="00493D30">
        <w:rPr>
          <w:sz w:val="22"/>
          <w:szCs w:val="22"/>
          <w:lang w:eastAsia="pt-BR"/>
        </w:rPr>
        <w:t xml:space="preserve">Dentro dos 90 dias que se seguirem à assinatura do Acordo, os coordenadores nacionais do programa apresentarão à SCT um plano de monitoramento e avaliação que cobrirá os três anos de execução das atividades. </w:t>
      </w:r>
    </w:p>
    <w:p w14:paraId="4DC734C2" w14:textId="77777777" w:rsidR="00E65CA4" w:rsidRPr="00493D30" w:rsidRDefault="00E65CA4" w:rsidP="00E65CA4">
      <w:pPr>
        <w:tabs>
          <w:tab w:val="num" w:pos="1440"/>
        </w:tabs>
        <w:ind w:left="1440" w:hanging="720"/>
        <w:jc w:val="both"/>
        <w:rPr>
          <w:color w:val="000000"/>
          <w:sz w:val="22"/>
          <w:szCs w:val="22"/>
          <w:lang w:eastAsia="pt-BR"/>
        </w:rPr>
      </w:pPr>
    </w:p>
    <w:p w14:paraId="6E3FE6CB" w14:textId="77777777" w:rsidR="00E65CA4" w:rsidRPr="00493D30" w:rsidRDefault="00E65CA4" w:rsidP="00E65CA4">
      <w:pPr>
        <w:numPr>
          <w:ilvl w:val="0"/>
          <w:numId w:val="8"/>
        </w:numPr>
        <w:tabs>
          <w:tab w:val="clear" w:pos="1080"/>
          <w:tab w:val="num" w:pos="1440"/>
        </w:tabs>
        <w:ind w:left="1440" w:hanging="720"/>
        <w:jc w:val="both"/>
        <w:rPr>
          <w:color w:val="000000"/>
          <w:sz w:val="22"/>
          <w:szCs w:val="22"/>
          <w:lang w:eastAsia="pt-BR"/>
        </w:rPr>
      </w:pPr>
      <w:r w:rsidRPr="00493D30">
        <w:rPr>
          <w:sz w:val="22"/>
          <w:szCs w:val="22"/>
          <w:lang w:eastAsia="pt-BR"/>
        </w:rPr>
        <w:t xml:space="preserve">Um plano de monitoramento e avaliação será incorporado no Plano de Execução correspondente. </w:t>
      </w:r>
    </w:p>
    <w:p w14:paraId="2485DE4D" w14:textId="77777777" w:rsidR="00E65CA4" w:rsidRPr="00493D30" w:rsidRDefault="00E65CA4" w:rsidP="00E65CA4">
      <w:pPr>
        <w:tabs>
          <w:tab w:val="num" w:pos="1440"/>
        </w:tabs>
        <w:ind w:left="1440" w:hanging="720"/>
        <w:jc w:val="both"/>
        <w:rPr>
          <w:color w:val="000000"/>
          <w:sz w:val="22"/>
          <w:szCs w:val="22"/>
          <w:lang w:eastAsia="pt-BR"/>
        </w:rPr>
      </w:pPr>
    </w:p>
    <w:p w14:paraId="3EAE00D2" w14:textId="77777777" w:rsidR="00E65CA4" w:rsidRPr="00493D30" w:rsidRDefault="00E65CA4" w:rsidP="00E65CA4">
      <w:pPr>
        <w:numPr>
          <w:ilvl w:val="0"/>
          <w:numId w:val="8"/>
        </w:numPr>
        <w:tabs>
          <w:tab w:val="clear" w:pos="1080"/>
          <w:tab w:val="num" w:pos="1440"/>
        </w:tabs>
        <w:ind w:left="1440" w:hanging="720"/>
        <w:jc w:val="both"/>
        <w:rPr>
          <w:color w:val="000000"/>
          <w:sz w:val="22"/>
          <w:szCs w:val="22"/>
          <w:lang w:eastAsia="pt-BR"/>
        </w:rPr>
      </w:pPr>
      <w:r w:rsidRPr="00493D30">
        <w:rPr>
          <w:sz w:val="22"/>
          <w:szCs w:val="22"/>
          <w:lang w:eastAsia="pt-BR"/>
        </w:rPr>
        <w:t>A SCT fará um relatório de acompanhamento na metade da implementação do ciclo de programação (final do Ano 2), o qual permitirá, nos casos que merecerem, que sejam feitos os ajustes de execução necessários para assegurar a adequada implementação dos</w:t>
      </w:r>
      <w:r w:rsidRPr="00493D30">
        <w:rPr>
          <w:color w:val="0000FF"/>
          <w:sz w:val="22"/>
          <w:szCs w:val="22"/>
          <w:lang w:eastAsia="pt-BR"/>
        </w:rPr>
        <w:t xml:space="preserve"> </w:t>
      </w:r>
      <w:r w:rsidRPr="00493D30">
        <w:rPr>
          <w:color w:val="000000"/>
          <w:sz w:val="22"/>
          <w:szCs w:val="22"/>
          <w:lang w:eastAsia="pt-BR"/>
        </w:rPr>
        <w:t>Programas.</w:t>
      </w:r>
      <w:r w:rsidRPr="00493D30">
        <w:rPr>
          <w:bCs/>
          <w:i/>
          <w:iCs/>
          <w:sz w:val="22"/>
          <w:szCs w:val="22"/>
          <w:lang w:eastAsia="pt-BR"/>
        </w:rPr>
        <w:t xml:space="preserve"> </w:t>
      </w:r>
    </w:p>
    <w:p w14:paraId="346251C1" w14:textId="77777777" w:rsidR="00E65CA4" w:rsidRPr="00493D30" w:rsidRDefault="00E65CA4" w:rsidP="00E65CA4">
      <w:pPr>
        <w:tabs>
          <w:tab w:val="num" w:pos="1440"/>
        </w:tabs>
        <w:ind w:left="1440" w:hanging="720"/>
        <w:jc w:val="both"/>
        <w:rPr>
          <w:color w:val="000000"/>
          <w:sz w:val="22"/>
          <w:szCs w:val="22"/>
          <w:u w:val="thick"/>
          <w:lang w:eastAsia="pt-BR"/>
        </w:rPr>
      </w:pPr>
      <w:r w:rsidRPr="00493D30">
        <w:rPr>
          <w:color w:val="0000FF"/>
          <w:sz w:val="22"/>
          <w:szCs w:val="22"/>
          <w:lang w:eastAsia="pt-BR"/>
        </w:rPr>
        <w:t xml:space="preserve"> </w:t>
      </w:r>
    </w:p>
    <w:p w14:paraId="3AE72E4F" w14:textId="77777777" w:rsidR="00E65CA4" w:rsidRPr="00493D30" w:rsidRDefault="00E65CA4" w:rsidP="00E65CA4">
      <w:pPr>
        <w:numPr>
          <w:ilvl w:val="0"/>
          <w:numId w:val="8"/>
        </w:numPr>
        <w:tabs>
          <w:tab w:val="clear" w:pos="1080"/>
          <w:tab w:val="num" w:pos="1440"/>
        </w:tabs>
        <w:ind w:left="1440" w:hanging="720"/>
        <w:jc w:val="both"/>
        <w:rPr>
          <w:color w:val="000000"/>
          <w:sz w:val="22"/>
          <w:szCs w:val="22"/>
          <w:lang w:eastAsia="pt-BR"/>
        </w:rPr>
      </w:pPr>
      <w:r w:rsidRPr="00493D30">
        <w:rPr>
          <w:sz w:val="22"/>
          <w:szCs w:val="22"/>
          <w:lang w:eastAsia="pt-BR"/>
        </w:rPr>
        <w:t xml:space="preserve">Uma avaliação final dos programas, coordenada pela SCT em cooperação com o Departamento de Planejamento e Avaliação, será feita ao término do ciclo de programação correspondente. A avaliação será executada por um avaliador independente qualificado de acordo com padrões definidos no respectivo Acordo de Execução. </w:t>
      </w:r>
    </w:p>
    <w:p w14:paraId="51E85454" w14:textId="77777777" w:rsidR="00E65CA4" w:rsidRPr="00493D30" w:rsidRDefault="00E65CA4" w:rsidP="00E65CA4">
      <w:pPr>
        <w:tabs>
          <w:tab w:val="left" w:pos="1440"/>
        </w:tabs>
        <w:ind w:left="90"/>
        <w:jc w:val="both"/>
        <w:rPr>
          <w:bCs/>
          <w:i/>
          <w:iCs/>
          <w:color w:val="000000"/>
          <w:sz w:val="22"/>
          <w:szCs w:val="22"/>
          <w:u w:val="thick"/>
          <w:lang w:eastAsia="pt-BR"/>
        </w:rPr>
      </w:pPr>
    </w:p>
    <w:p w14:paraId="58F80D3B" w14:textId="77777777" w:rsidR="00E65CA4" w:rsidRPr="00493D30" w:rsidRDefault="00E65CA4" w:rsidP="00E65CA4">
      <w:pPr>
        <w:ind w:firstLine="720"/>
        <w:jc w:val="both"/>
        <w:rPr>
          <w:color w:val="000000"/>
          <w:sz w:val="22"/>
          <w:szCs w:val="22"/>
          <w:lang w:eastAsia="pt-BR"/>
        </w:rPr>
      </w:pPr>
      <w:r w:rsidRPr="00493D30">
        <w:rPr>
          <w:color w:val="000000"/>
          <w:sz w:val="22"/>
          <w:szCs w:val="22"/>
          <w:lang w:eastAsia="pt-BR"/>
        </w:rPr>
        <w:t xml:space="preserve">Esse Calendário poderá ser modificado pela Junta Diretora da AICD, de acordo com seu regulamento. A Junta Diretora da AICD informará o CIDI nos cinco dias úteis que se seguirem à data em que essa decisão for tomada. </w:t>
      </w:r>
    </w:p>
    <w:p w14:paraId="3F206DCB" w14:textId="77777777" w:rsidR="00E65CA4" w:rsidRPr="00493D30" w:rsidRDefault="00E65CA4" w:rsidP="00E65CA4">
      <w:pPr>
        <w:jc w:val="both"/>
        <w:rPr>
          <w:bCs/>
          <w:color w:val="000000"/>
          <w:sz w:val="22"/>
          <w:szCs w:val="22"/>
          <w:lang w:eastAsia="pt-BR"/>
        </w:rPr>
      </w:pPr>
    </w:p>
    <w:p w14:paraId="5A20EB06" w14:textId="77777777" w:rsidR="00E65CA4" w:rsidRPr="00493D30" w:rsidRDefault="00E65CA4" w:rsidP="00E65CA4">
      <w:pPr>
        <w:jc w:val="both"/>
        <w:rPr>
          <w:color w:val="0000FF"/>
          <w:sz w:val="22"/>
          <w:szCs w:val="22"/>
          <w:lang w:eastAsia="pt-BR"/>
        </w:rPr>
      </w:pPr>
      <w:r w:rsidRPr="00493D30">
        <w:rPr>
          <w:bCs/>
          <w:sz w:val="22"/>
          <w:szCs w:val="22"/>
          <w:lang w:eastAsia="pt-BR"/>
        </w:rPr>
        <w:t>Artigo 18.</w:t>
      </w:r>
      <w:r w:rsidRPr="00493D30">
        <w:rPr>
          <w:bCs/>
          <w:sz w:val="22"/>
          <w:szCs w:val="22"/>
          <w:lang w:eastAsia="pt-BR"/>
        </w:rPr>
        <w:tab/>
      </w:r>
      <w:r w:rsidRPr="00493D30">
        <w:rPr>
          <w:sz w:val="22"/>
          <w:szCs w:val="22"/>
          <w:lang w:eastAsia="pt-BR"/>
        </w:rPr>
        <w:t xml:space="preserve">A SCT elaborará, em consulta com os ONEs e as autoridades nacionais pertinentes e com o apoio dos Departamentos/SEDI, os programas a que se refere o Artigo 17, inciso </w:t>
      </w:r>
      <w:r w:rsidRPr="00493D30">
        <w:rPr>
          <w:sz w:val="22"/>
          <w:szCs w:val="22"/>
          <w:u w:val="single"/>
          <w:lang w:eastAsia="pt-BR"/>
        </w:rPr>
        <w:t>e</w:t>
      </w:r>
      <w:r w:rsidRPr="00493D30">
        <w:rPr>
          <w:sz w:val="22"/>
          <w:szCs w:val="22"/>
          <w:lang w:eastAsia="pt-BR"/>
        </w:rPr>
        <w:t>, levando em conta as diretrizes estabelecidas no Plano Estratégico em matéria de cooperação.</w:t>
      </w:r>
    </w:p>
    <w:p w14:paraId="3BE51CB2" w14:textId="77777777" w:rsidR="00E65CA4" w:rsidRPr="00493D30" w:rsidRDefault="00E65CA4" w:rsidP="00E65CA4">
      <w:pPr>
        <w:jc w:val="both"/>
        <w:rPr>
          <w:color w:val="0000FF"/>
          <w:sz w:val="22"/>
          <w:szCs w:val="22"/>
          <w:lang w:eastAsia="pt-BR"/>
        </w:rPr>
      </w:pPr>
    </w:p>
    <w:p w14:paraId="5F8AB87F" w14:textId="77777777" w:rsidR="00E65CA4" w:rsidRPr="00493D30" w:rsidRDefault="00E65CA4" w:rsidP="00E65CA4">
      <w:pPr>
        <w:ind w:firstLine="720"/>
        <w:jc w:val="both"/>
        <w:rPr>
          <w:color w:val="000000"/>
          <w:sz w:val="22"/>
          <w:szCs w:val="22"/>
          <w:lang w:eastAsia="pt-BR"/>
        </w:rPr>
      </w:pPr>
      <w:r w:rsidRPr="00493D30">
        <w:rPr>
          <w:sz w:val="22"/>
          <w:szCs w:val="22"/>
          <w:lang w:eastAsia="pt-BR"/>
        </w:rPr>
        <w:t>Os Programas terão um enfoque multinacional para a implementação de atividades de cooperação solidária para o desenvolvimento e refletirão um adequado equilíbrio regional</w:t>
      </w:r>
      <w:r w:rsidRPr="00493D30">
        <w:rPr>
          <w:color w:val="000000"/>
          <w:sz w:val="22"/>
          <w:szCs w:val="22"/>
          <w:lang w:eastAsia="pt-BR"/>
        </w:rPr>
        <w:t>.</w:t>
      </w:r>
    </w:p>
    <w:p w14:paraId="67D4C630" w14:textId="77777777" w:rsidR="00E65CA4" w:rsidRPr="00493D30" w:rsidRDefault="00E65CA4" w:rsidP="00E65CA4">
      <w:pPr>
        <w:jc w:val="both"/>
        <w:rPr>
          <w:sz w:val="22"/>
          <w:szCs w:val="22"/>
          <w:lang w:eastAsia="pt-BR"/>
        </w:rPr>
      </w:pPr>
    </w:p>
    <w:p w14:paraId="68C40869" w14:textId="77777777" w:rsidR="00E65CA4" w:rsidRPr="00493D30" w:rsidRDefault="00E65CA4" w:rsidP="00E65CA4">
      <w:pPr>
        <w:jc w:val="both"/>
        <w:rPr>
          <w:color w:val="000000"/>
          <w:sz w:val="22"/>
          <w:szCs w:val="22"/>
          <w:lang w:eastAsia="pt-BR"/>
        </w:rPr>
      </w:pPr>
      <w:r w:rsidRPr="00493D30">
        <w:rPr>
          <w:rFonts w:cs="Times New Roman Bold"/>
          <w:bCs/>
          <w:color w:val="000000"/>
          <w:sz w:val="22"/>
          <w:szCs w:val="22"/>
          <w:lang w:eastAsia="pt-BR"/>
        </w:rPr>
        <w:t>Artigo 19.</w:t>
      </w:r>
      <w:r w:rsidRPr="00493D30">
        <w:rPr>
          <w:rFonts w:ascii="Times New Roman Bold" w:hAnsi="Times New Roman Bold" w:cs="Times New Roman Bold"/>
          <w:bCs/>
          <w:color w:val="000000"/>
          <w:sz w:val="22"/>
          <w:szCs w:val="22"/>
          <w:lang w:eastAsia="pt-BR"/>
        </w:rPr>
        <w:tab/>
      </w:r>
      <w:r w:rsidRPr="00493D30">
        <w:rPr>
          <w:color w:val="000000"/>
          <w:sz w:val="22"/>
          <w:szCs w:val="22"/>
          <w:lang w:eastAsia="pt-BR"/>
        </w:rPr>
        <w:t>A Programação Integral de atividades de cooperação solidária aprovada pela Junta Diretora da AICD se ajustará ao montante dos recursos arrecadados na data de encerramento do período de pagamento de contribuição fixado no Calendário anual mais os saldos de recursos aprovados, mas não obrigados, da programação anterior.</w:t>
      </w:r>
    </w:p>
    <w:p w14:paraId="43839057" w14:textId="77777777" w:rsidR="00E65CA4" w:rsidRPr="00493D30" w:rsidRDefault="00E65CA4" w:rsidP="00E65CA4">
      <w:pPr>
        <w:jc w:val="both"/>
        <w:rPr>
          <w:bCs/>
          <w:sz w:val="22"/>
          <w:szCs w:val="22"/>
          <w:lang w:eastAsia="pt-BR"/>
        </w:rPr>
      </w:pPr>
    </w:p>
    <w:p w14:paraId="29453E89" w14:textId="77777777" w:rsidR="00E65CA4" w:rsidRPr="00493D30" w:rsidRDefault="00E65CA4" w:rsidP="00E65CA4">
      <w:pPr>
        <w:jc w:val="both"/>
        <w:rPr>
          <w:bCs/>
          <w:i/>
          <w:iCs/>
          <w:sz w:val="22"/>
          <w:szCs w:val="22"/>
          <w:lang w:eastAsia="pt-BR"/>
        </w:rPr>
      </w:pPr>
      <w:r w:rsidRPr="00493D30">
        <w:rPr>
          <w:bCs/>
          <w:sz w:val="22"/>
          <w:szCs w:val="22"/>
          <w:lang w:eastAsia="pt-BR"/>
        </w:rPr>
        <w:lastRenderedPageBreak/>
        <w:t>Artigo 20.</w:t>
      </w:r>
      <w:r w:rsidRPr="00493D30">
        <w:rPr>
          <w:bCs/>
          <w:sz w:val="22"/>
          <w:szCs w:val="22"/>
          <w:lang w:eastAsia="pt-BR"/>
        </w:rPr>
        <w:tab/>
      </w:r>
      <w:r w:rsidRPr="00493D30">
        <w:rPr>
          <w:sz w:val="22"/>
          <w:szCs w:val="22"/>
          <w:lang w:eastAsia="pt-BR"/>
        </w:rPr>
        <w:t xml:space="preserve">A Junta Diretora da AICD aprovará cada Período de Programação, o qual deverá refletir um adequado equilíbrio na alocação dos recursos disponíveis, orientando sua utilização para atender às necessidades mais urgentes dos Estados membros, em particular daqueles de economias menores e de menor desenvolvimento relativo. </w:t>
      </w:r>
    </w:p>
    <w:p w14:paraId="607CDAF2" w14:textId="77777777" w:rsidR="00E65CA4" w:rsidRPr="00493D30" w:rsidRDefault="00E65CA4" w:rsidP="00E65CA4">
      <w:pPr>
        <w:jc w:val="both"/>
        <w:rPr>
          <w:bCs/>
          <w:color w:val="000000"/>
          <w:sz w:val="22"/>
          <w:szCs w:val="22"/>
          <w:lang w:eastAsia="pt-BR"/>
        </w:rPr>
      </w:pPr>
    </w:p>
    <w:p w14:paraId="30E85333" w14:textId="77777777" w:rsidR="00E65CA4" w:rsidRPr="00493D30" w:rsidRDefault="00E65CA4" w:rsidP="00E65CA4">
      <w:pPr>
        <w:jc w:val="both"/>
        <w:rPr>
          <w:bCs/>
          <w:color w:val="000000"/>
          <w:sz w:val="22"/>
          <w:szCs w:val="22"/>
          <w:lang w:eastAsia="pt-BR"/>
        </w:rPr>
      </w:pPr>
      <w:r w:rsidRPr="00493D30">
        <w:rPr>
          <w:bCs/>
          <w:color w:val="000000"/>
          <w:sz w:val="22"/>
          <w:szCs w:val="22"/>
          <w:lang w:eastAsia="pt-BR"/>
        </w:rPr>
        <w:t>Artigo 21.</w:t>
      </w:r>
    </w:p>
    <w:p w14:paraId="5BCCAAD6" w14:textId="77777777" w:rsidR="00E65CA4" w:rsidRPr="00493D30" w:rsidRDefault="00E65CA4" w:rsidP="00E65CA4">
      <w:pPr>
        <w:jc w:val="both"/>
        <w:rPr>
          <w:bCs/>
          <w:color w:val="000000"/>
          <w:sz w:val="22"/>
          <w:szCs w:val="22"/>
          <w:lang w:eastAsia="pt-BR"/>
        </w:rPr>
      </w:pPr>
    </w:p>
    <w:p w14:paraId="55C2AF61" w14:textId="77777777" w:rsidR="00E65CA4" w:rsidRPr="00493D30" w:rsidRDefault="00E65CA4" w:rsidP="00033F0A">
      <w:pPr>
        <w:numPr>
          <w:ilvl w:val="0"/>
          <w:numId w:val="6"/>
        </w:numPr>
        <w:tabs>
          <w:tab w:val="left" w:pos="720"/>
        </w:tabs>
        <w:ind w:left="720" w:hanging="720"/>
        <w:jc w:val="both"/>
        <w:rPr>
          <w:color w:val="000000"/>
          <w:sz w:val="22"/>
          <w:szCs w:val="22"/>
          <w:lang w:eastAsia="pt-BR"/>
        </w:rPr>
      </w:pPr>
      <w:r w:rsidRPr="00493D30">
        <w:rPr>
          <w:color w:val="000000"/>
          <w:sz w:val="22"/>
          <w:szCs w:val="22"/>
          <w:lang w:eastAsia="pt-BR"/>
        </w:rPr>
        <w:t>A Junta Diretora da AICD aprovará os programas para o respectivo ciclo de programação</w:t>
      </w:r>
      <w:r w:rsidRPr="00493D30">
        <w:rPr>
          <w:color w:val="0000FF"/>
          <w:sz w:val="22"/>
          <w:szCs w:val="22"/>
          <w:lang w:eastAsia="pt-BR"/>
        </w:rPr>
        <w:t>.</w:t>
      </w:r>
    </w:p>
    <w:p w14:paraId="28CEFBB3" w14:textId="77777777" w:rsidR="00E65CA4" w:rsidRPr="00493D30" w:rsidRDefault="00E65CA4" w:rsidP="00033F0A">
      <w:pPr>
        <w:tabs>
          <w:tab w:val="left" w:pos="720"/>
        </w:tabs>
        <w:ind w:left="720" w:hanging="720"/>
        <w:jc w:val="both"/>
        <w:rPr>
          <w:color w:val="000000"/>
          <w:sz w:val="22"/>
          <w:szCs w:val="22"/>
          <w:lang w:eastAsia="pt-BR"/>
        </w:rPr>
      </w:pPr>
      <w:r w:rsidRPr="00493D30">
        <w:rPr>
          <w:color w:val="0000FF"/>
          <w:sz w:val="22"/>
          <w:szCs w:val="22"/>
          <w:lang w:eastAsia="pt-BR"/>
        </w:rPr>
        <w:t xml:space="preserve"> </w:t>
      </w:r>
    </w:p>
    <w:p w14:paraId="279AC53D" w14:textId="77777777" w:rsidR="00E65CA4" w:rsidRPr="00493D30" w:rsidRDefault="00E65CA4" w:rsidP="00033F0A">
      <w:pPr>
        <w:numPr>
          <w:ilvl w:val="0"/>
          <w:numId w:val="6"/>
        </w:numPr>
        <w:tabs>
          <w:tab w:val="left" w:pos="720"/>
          <w:tab w:val="left" w:pos="1440"/>
        </w:tabs>
        <w:ind w:left="720" w:hanging="720"/>
        <w:jc w:val="both"/>
        <w:rPr>
          <w:color w:val="000000"/>
          <w:sz w:val="22"/>
          <w:szCs w:val="22"/>
          <w:lang w:eastAsia="pt-BR"/>
        </w:rPr>
      </w:pPr>
      <w:r w:rsidRPr="00493D30">
        <w:rPr>
          <w:color w:val="000000"/>
          <w:sz w:val="22"/>
          <w:szCs w:val="22"/>
          <w:lang w:eastAsia="pt-BR"/>
        </w:rPr>
        <w:t xml:space="preserve">Os programas não poderão ser renovados depois que os objetivos originais forem cumpridos. </w:t>
      </w:r>
    </w:p>
    <w:p w14:paraId="778D8C60" w14:textId="77777777" w:rsidR="00E65CA4" w:rsidRPr="00493D30" w:rsidRDefault="00E65CA4" w:rsidP="00033F0A">
      <w:pPr>
        <w:tabs>
          <w:tab w:val="left" w:pos="720"/>
          <w:tab w:val="left" w:pos="1440"/>
        </w:tabs>
        <w:ind w:left="720" w:hanging="720"/>
        <w:jc w:val="both"/>
        <w:rPr>
          <w:color w:val="000000"/>
          <w:sz w:val="22"/>
          <w:szCs w:val="22"/>
          <w:lang w:eastAsia="pt-BR"/>
        </w:rPr>
      </w:pPr>
    </w:p>
    <w:p w14:paraId="0C4F2934" w14:textId="77777777" w:rsidR="00E65CA4" w:rsidRPr="00493D30" w:rsidRDefault="00E65CA4" w:rsidP="00033F0A">
      <w:pPr>
        <w:numPr>
          <w:ilvl w:val="0"/>
          <w:numId w:val="6"/>
        </w:numPr>
        <w:tabs>
          <w:tab w:val="left" w:pos="720"/>
          <w:tab w:val="left" w:pos="1440"/>
        </w:tabs>
        <w:ind w:left="720" w:hanging="720"/>
        <w:jc w:val="both"/>
        <w:rPr>
          <w:color w:val="000000"/>
          <w:sz w:val="22"/>
          <w:szCs w:val="22"/>
          <w:lang w:eastAsia="pt-BR"/>
        </w:rPr>
      </w:pPr>
      <w:r w:rsidRPr="00493D30">
        <w:rPr>
          <w:color w:val="000000"/>
          <w:sz w:val="22"/>
          <w:szCs w:val="22"/>
          <w:lang w:eastAsia="pt-BR"/>
        </w:rPr>
        <w:t xml:space="preserve">A Junta Diretora da AICD </w:t>
      </w:r>
      <w:r w:rsidRPr="00493D30">
        <w:rPr>
          <w:sz w:val="22"/>
          <w:szCs w:val="22"/>
          <w:lang w:eastAsia="pt-BR"/>
        </w:rPr>
        <w:t>poderá</w:t>
      </w:r>
      <w:r w:rsidRPr="00493D30">
        <w:rPr>
          <w:color w:val="000000"/>
          <w:sz w:val="22"/>
          <w:szCs w:val="22"/>
          <w:lang w:eastAsia="pt-BR"/>
        </w:rPr>
        <w:t xml:space="preserve"> prorrogar</w:t>
      </w:r>
      <w:r w:rsidRPr="00493D30">
        <w:rPr>
          <w:sz w:val="22"/>
          <w:szCs w:val="22"/>
          <w:lang w:eastAsia="pt-BR"/>
        </w:rPr>
        <w:t xml:space="preserve"> </w:t>
      </w:r>
      <w:r w:rsidRPr="00493D30">
        <w:rPr>
          <w:color w:val="000000"/>
          <w:sz w:val="22"/>
          <w:szCs w:val="22"/>
          <w:lang w:eastAsia="pt-BR"/>
        </w:rPr>
        <w:t>excepcionalmente o prazo de execução de um programa que não tiver podido cumprir seus objetivos a tempo devido a causas imprevistas</w:t>
      </w:r>
      <w:r w:rsidRPr="00493D30">
        <w:rPr>
          <w:i/>
          <w:iCs/>
          <w:color w:val="000000"/>
          <w:sz w:val="22"/>
          <w:szCs w:val="22"/>
          <w:lang w:eastAsia="pt-BR"/>
        </w:rPr>
        <w:t xml:space="preserve">. </w:t>
      </w:r>
    </w:p>
    <w:p w14:paraId="53EC59C6" w14:textId="77777777" w:rsidR="00E65CA4" w:rsidRPr="00493D30" w:rsidRDefault="00E65CA4" w:rsidP="00033F0A">
      <w:pPr>
        <w:tabs>
          <w:tab w:val="left" w:pos="720"/>
        </w:tabs>
        <w:jc w:val="both"/>
        <w:rPr>
          <w:color w:val="000000"/>
          <w:sz w:val="22"/>
          <w:szCs w:val="22"/>
          <w:lang w:eastAsia="pt-BR"/>
        </w:rPr>
      </w:pPr>
    </w:p>
    <w:p w14:paraId="2D3CEF60" w14:textId="77777777" w:rsidR="00E65CA4" w:rsidRPr="00493D30" w:rsidRDefault="00E65CA4" w:rsidP="00033F0A">
      <w:pPr>
        <w:tabs>
          <w:tab w:val="left" w:pos="720"/>
        </w:tabs>
        <w:jc w:val="both"/>
        <w:rPr>
          <w:color w:val="000000"/>
          <w:sz w:val="22"/>
          <w:szCs w:val="22"/>
          <w:lang w:eastAsia="pt-BR"/>
        </w:rPr>
      </w:pPr>
      <w:r w:rsidRPr="00493D30">
        <w:rPr>
          <w:bCs/>
          <w:color w:val="000000"/>
          <w:sz w:val="22"/>
          <w:szCs w:val="22"/>
          <w:lang w:eastAsia="pt-BR"/>
        </w:rPr>
        <w:t>Artigo 22.</w:t>
      </w:r>
    </w:p>
    <w:p w14:paraId="15B805AD" w14:textId="77777777" w:rsidR="00E65CA4" w:rsidRPr="00493D30" w:rsidRDefault="00E65CA4" w:rsidP="00033F0A">
      <w:pPr>
        <w:tabs>
          <w:tab w:val="left" w:pos="720"/>
        </w:tabs>
        <w:jc w:val="both"/>
        <w:rPr>
          <w:color w:val="000000"/>
          <w:sz w:val="22"/>
          <w:szCs w:val="22"/>
          <w:u w:val="thick"/>
          <w:lang w:eastAsia="pt-BR"/>
        </w:rPr>
      </w:pPr>
    </w:p>
    <w:p w14:paraId="4FBE827B" w14:textId="77777777" w:rsidR="00E65CA4" w:rsidRPr="00493D30" w:rsidRDefault="00E65CA4" w:rsidP="00E65CA4">
      <w:pPr>
        <w:numPr>
          <w:ilvl w:val="0"/>
          <w:numId w:val="16"/>
        </w:numPr>
        <w:tabs>
          <w:tab w:val="left" w:pos="720"/>
          <w:tab w:val="left" w:pos="1440"/>
        </w:tabs>
        <w:jc w:val="both"/>
        <w:rPr>
          <w:color w:val="000000"/>
          <w:sz w:val="22"/>
          <w:szCs w:val="22"/>
          <w:lang w:eastAsia="pt-BR"/>
        </w:rPr>
      </w:pPr>
      <w:r w:rsidRPr="00493D30">
        <w:rPr>
          <w:color w:val="000000"/>
          <w:sz w:val="22"/>
          <w:szCs w:val="22"/>
          <w:lang w:eastAsia="pt-BR"/>
        </w:rPr>
        <w:t>Apropriações e obrigações</w:t>
      </w:r>
    </w:p>
    <w:p w14:paraId="5AA09135" w14:textId="77777777" w:rsidR="00E65CA4" w:rsidRPr="00493D30" w:rsidRDefault="00E65CA4" w:rsidP="00E65CA4">
      <w:pPr>
        <w:tabs>
          <w:tab w:val="left" w:pos="720"/>
          <w:tab w:val="left" w:pos="1440"/>
        </w:tabs>
        <w:jc w:val="both"/>
        <w:rPr>
          <w:color w:val="000000"/>
          <w:sz w:val="22"/>
          <w:szCs w:val="22"/>
          <w:lang w:eastAsia="pt-BR"/>
        </w:rPr>
      </w:pPr>
    </w:p>
    <w:p w14:paraId="5CEF8701" w14:textId="77777777" w:rsidR="00E65CA4" w:rsidRPr="00493D30" w:rsidRDefault="00E65CA4" w:rsidP="00E65CA4">
      <w:pPr>
        <w:tabs>
          <w:tab w:val="left" w:pos="720"/>
          <w:tab w:val="left" w:pos="1440"/>
        </w:tabs>
        <w:jc w:val="both"/>
        <w:rPr>
          <w:color w:val="0000FF"/>
          <w:spacing w:val="-3"/>
          <w:sz w:val="22"/>
          <w:szCs w:val="22"/>
          <w:u w:val="thick"/>
          <w:lang w:eastAsia="pt-BR"/>
        </w:rPr>
      </w:pPr>
      <w:r w:rsidRPr="00493D30">
        <w:rPr>
          <w:color w:val="000000"/>
          <w:sz w:val="22"/>
          <w:szCs w:val="22"/>
          <w:lang w:eastAsia="pt-BR"/>
        </w:rPr>
        <w:tab/>
        <w:t xml:space="preserve">As apropriações para financiar os programas de cooperação solidária estarão disponíveis para financiar as obrigações contraídas no prazo previsto no Artigo 17, inciso </w:t>
      </w:r>
      <w:r w:rsidRPr="00493D30">
        <w:rPr>
          <w:color w:val="000000"/>
          <w:sz w:val="22"/>
          <w:szCs w:val="22"/>
          <w:u w:val="single"/>
          <w:lang w:eastAsia="pt-BR"/>
        </w:rPr>
        <w:t>k</w:t>
      </w:r>
      <w:r w:rsidRPr="00493D30">
        <w:rPr>
          <w:color w:val="000000"/>
          <w:sz w:val="22"/>
          <w:szCs w:val="22"/>
          <w:lang w:eastAsia="pt-BR"/>
        </w:rPr>
        <w:t xml:space="preserve">, deste Estatuto, e serão desembolsadas conforme o previsto no inciso </w:t>
      </w:r>
      <w:r w:rsidRPr="00493D30">
        <w:rPr>
          <w:color w:val="000000"/>
          <w:sz w:val="22"/>
          <w:szCs w:val="22"/>
          <w:u w:val="single"/>
          <w:lang w:eastAsia="pt-BR"/>
        </w:rPr>
        <w:t>p</w:t>
      </w:r>
      <w:r w:rsidRPr="00493D30">
        <w:rPr>
          <w:color w:val="000000"/>
          <w:sz w:val="22"/>
          <w:szCs w:val="22"/>
          <w:lang w:eastAsia="pt-BR"/>
        </w:rPr>
        <w:t xml:space="preserve"> do Artigo 17. Não obstante, e somente na medida em que isso seja necessário para a liquidação de obrigações que tiverem ficado pendentes no encerramento do terceiro ano de implementação para o qual foram aprovadas, as apropriações mencionadas poderão ser prorrogadas, mas nunca além de seis meses, prazo em que caducarão irrevogavelmente</w:t>
      </w:r>
      <w:r w:rsidRPr="00493D30">
        <w:rPr>
          <w:color w:val="000000"/>
          <w:spacing w:val="-3"/>
          <w:sz w:val="22"/>
          <w:szCs w:val="22"/>
          <w:lang w:eastAsia="pt-BR"/>
        </w:rPr>
        <w:t>. Vencido esse prazo, o financiamento das atividades cuja continuação tiver sido autorizada pela Junta Diretora de acordo com o previsto no Artigo 21, deverá ser objeto de novas apropriações e estará sujeito à disponibilidade de recursos na conta correspondente.</w:t>
      </w:r>
      <w:r w:rsidRPr="00493D30">
        <w:rPr>
          <w:bCs/>
          <w:i/>
          <w:iCs/>
          <w:spacing w:val="-3"/>
          <w:sz w:val="22"/>
          <w:szCs w:val="22"/>
          <w:lang w:eastAsia="pt-BR"/>
        </w:rPr>
        <w:t xml:space="preserve"> </w:t>
      </w:r>
    </w:p>
    <w:p w14:paraId="6C1B08A7" w14:textId="77777777" w:rsidR="00E65CA4" w:rsidRPr="00493D30" w:rsidRDefault="00E65CA4" w:rsidP="00E65CA4">
      <w:pPr>
        <w:numPr>
          <w:ilvl w:val="12"/>
          <w:numId w:val="0"/>
        </w:numPr>
        <w:jc w:val="both"/>
        <w:rPr>
          <w:color w:val="000000"/>
          <w:spacing w:val="-3"/>
          <w:sz w:val="22"/>
          <w:szCs w:val="22"/>
          <w:lang w:eastAsia="pt-BR"/>
        </w:rPr>
      </w:pPr>
    </w:p>
    <w:p w14:paraId="6427DFF5" w14:textId="77777777" w:rsidR="00E65CA4" w:rsidRPr="00493D30" w:rsidRDefault="00E65CA4" w:rsidP="00E65CA4">
      <w:pPr>
        <w:numPr>
          <w:ilvl w:val="12"/>
          <w:numId w:val="0"/>
        </w:numPr>
        <w:ind w:firstLine="720"/>
        <w:jc w:val="both"/>
        <w:rPr>
          <w:color w:val="000000"/>
          <w:sz w:val="22"/>
          <w:szCs w:val="22"/>
          <w:lang w:eastAsia="pt-BR"/>
        </w:rPr>
      </w:pPr>
      <w:r w:rsidRPr="00493D30">
        <w:rPr>
          <w:color w:val="000000"/>
          <w:sz w:val="22"/>
          <w:szCs w:val="22"/>
          <w:lang w:eastAsia="pt-BR"/>
        </w:rPr>
        <w:t>Os recursos não gastos na conclusão do período de execução retornarão à conta de onde provieram e estarão disponíveis para reprogramação.</w:t>
      </w:r>
    </w:p>
    <w:p w14:paraId="68C7AC6B" w14:textId="77777777" w:rsidR="00E65CA4" w:rsidRPr="00493D30" w:rsidRDefault="00E65CA4" w:rsidP="00E65CA4">
      <w:pPr>
        <w:numPr>
          <w:ilvl w:val="12"/>
          <w:numId w:val="0"/>
        </w:numPr>
        <w:tabs>
          <w:tab w:val="left" w:pos="1440"/>
          <w:tab w:val="left" w:pos="2160"/>
        </w:tabs>
        <w:jc w:val="both"/>
        <w:rPr>
          <w:color w:val="000000"/>
          <w:sz w:val="22"/>
          <w:szCs w:val="22"/>
          <w:lang w:eastAsia="pt-BR"/>
        </w:rPr>
      </w:pPr>
    </w:p>
    <w:p w14:paraId="4F2E6CB9" w14:textId="77777777" w:rsidR="00E65CA4" w:rsidRPr="00493D30" w:rsidRDefault="00E65CA4" w:rsidP="00E65CA4">
      <w:pPr>
        <w:numPr>
          <w:ilvl w:val="0"/>
          <w:numId w:val="16"/>
        </w:numPr>
        <w:tabs>
          <w:tab w:val="left" w:pos="720"/>
          <w:tab w:val="left" w:pos="1440"/>
          <w:tab w:val="left" w:pos="2160"/>
        </w:tabs>
        <w:jc w:val="both"/>
        <w:rPr>
          <w:color w:val="000000"/>
          <w:sz w:val="22"/>
          <w:szCs w:val="22"/>
          <w:lang w:eastAsia="pt-BR"/>
        </w:rPr>
      </w:pPr>
      <w:r w:rsidRPr="00493D30">
        <w:rPr>
          <w:color w:val="000000"/>
          <w:sz w:val="22"/>
          <w:szCs w:val="22"/>
          <w:lang w:eastAsia="pt-BR"/>
        </w:rPr>
        <w:t>Apropriações extraordinárias</w:t>
      </w:r>
    </w:p>
    <w:p w14:paraId="430DC59B" w14:textId="77777777" w:rsidR="00E65CA4" w:rsidRPr="00493D30" w:rsidRDefault="00E65CA4" w:rsidP="00E65CA4">
      <w:pPr>
        <w:tabs>
          <w:tab w:val="left" w:pos="720"/>
          <w:tab w:val="left" w:pos="1440"/>
          <w:tab w:val="left" w:pos="2160"/>
        </w:tabs>
        <w:jc w:val="both"/>
        <w:rPr>
          <w:color w:val="000000"/>
          <w:sz w:val="22"/>
          <w:szCs w:val="22"/>
          <w:lang w:eastAsia="pt-BR"/>
        </w:rPr>
      </w:pPr>
    </w:p>
    <w:p w14:paraId="0262A155" w14:textId="77777777" w:rsidR="00E65CA4" w:rsidRPr="00493D30" w:rsidRDefault="00E65CA4" w:rsidP="00E65CA4">
      <w:pPr>
        <w:tabs>
          <w:tab w:val="left" w:pos="720"/>
          <w:tab w:val="left" w:pos="1440"/>
          <w:tab w:val="left" w:pos="2160"/>
        </w:tabs>
        <w:jc w:val="both"/>
        <w:rPr>
          <w:color w:val="000000"/>
          <w:sz w:val="22"/>
          <w:szCs w:val="22"/>
          <w:lang w:eastAsia="pt-BR"/>
        </w:rPr>
      </w:pPr>
      <w:r w:rsidRPr="00493D30">
        <w:rPr>
          <w:color w:val="000000"/>
          <w:sz w:val="22"/>
          <w:szCs w:val="22"/>
          <w:lang w:eastAsia="pt-BR"/>
        </w:rPr>
        <w:tab/>
        <w:t xml:space="preserve">Caso seja necessária uma apropriação orçamentária extraordinária contra o FCD/OEA para o financiamento de atividades não previstas na programação aprovada de atividades de cooperação solidária para o desenvolvimento, a Junta Diretora </w:t>
      </w:r>
      <w:r w:rsidRPr="00493D30">
        <w:rPr>
          <w:iCs/>
          <w:color w:val="000000"/>
          <w:sz w:val="22"/>
          <w:szCs w:val="22"/>
          <w:lang w:eastAsia="pt-BR"/>
        </w:rPr>
        <w:t>da AICD</w:t>
      </w:r>
      <w:r w:rsidRPr="00493D30">
        <w:rPr>
          <w:color w:val="000000"/>
          <w:sz w:val="22"/>
          <w:szCs w:val="22"/>
          <w:lang w:eastAsia="pt-BR"/>
        </w:rPr>
        <w:t xml:space="preserve"> decidirá sobre essa apropriação de acordo com a recomendação do Secretário Executivo de Desenvolvimento Integral, na qualidade de Diretor-Geral da AICD. Essa recomendação será acompanhada de um relatório identificando a fonte dos recursos disponíveis para programar. </w:t>
      </w:r>
    </w:p>
    <w:p w14:paraId="1CD3DB13" w14:textId="77777777" w:rsidR="00E65CA4" w:rsidRPr="00493D30" w:rsidRDefault="00E65CA4" w:rsidP="00E65CA4">
      <w:pPr>
        <w:jc w:val="both"/>
        <w:rPr>
          <w:bCs/>
          <w:sz w:val="22"/>
          <w:szCs w:val="22"/>
          <w:lang w:eastAsia="pt-BR"/>
        </w:rPr>
      </w:pPr>
    </w:p>
    <w:p w14:paraId="06882D4B" w14:textId="77777777" w:rsidR="00E65CA4" w:rsidRPr="00493D30" w:rsidRDefault="00E65CA4" w:rsidP="00E65CA4">
      <w:pPr>
        <w:jc w:val="both"/>
        <w:rPr>
          <w:bCs/>
          <w:sz w:val="22"/>
          <w:szCs w:val="22"/>
          <w:lang w:eastAsia="pt-BR"/>
        </w:rPr>
      </w:pPr>
    </w:p>
    <w:p w14:paraId="313E4201" w14:textId="36996FB7" w:rsidR="00E65CA4" w:rsidRPr="00493D30" w:rsidRDefault="00E65CA4" w:rsidP="00E65CA4">
      <w:pPr>
        <w:keepNext/>
        <w:jc w:val="center"/>
        <w:outlineLvl w:val="0"/>
        <w:rPr>
          <w:bCs/>
          <w:sz w:val="22"/>
          <w:szCs w:val="22"/>
          <w:lang w:eastAsia="pt-BR"/>
        </w:rPr>
      </w:pPr>
      <w:bookmarkStart w:id="0" w:name="_Toc390879828"/>
      <w:r w:rsidRPr="00493D30">
        <w:rPr>
          <w:bCs/>
          <w:sz w:val="22"/>
          <w:szCs w:val="22"/>
          <w:lang w:eastAsia="pt-BR"/>
        </w:rPr>
        <w:t>CAPÍTULO III</w:t>
      </w:r>
      <w:bookmarkEnd w:id="0"/>
    </w:p>
    <w:p w14:paraId="3C76FD33" w14:textId="77777777" w:rsidR="00E65CA4" w:rsidRPr="00493D30" w:rsidRDefault="00E65CA4" w:rsidP="00E65CA4">
      <w:pPr>
        <w:jc w:val="center"/>
        <w:rPr>
          <w:bCs/>
          <w:sz w:val="22"/>
          <w:szCs w:val="22"/>
          <w:lang w:eastAsia="pt-BR"/>
        </w:rPr>
      </w:pPr>
      <w:r w:rsidRPr="00493D30">
        <w:rPr>
          <w:bCs/>
          <w:sz w:val="22"/>
          <w:szCs w:val="22"/>
          <w:lang w:eastAsia="pt-BR"/>
        </w:rPr>
        <w:t>FINANCIAMENTO COM FUNDOS ESPECÍFICOS</w:t>
      </w:r>
    </w:p>
    <w:p w14:paraId="3BDC6964" w14:textId="77777777" w:rsidR="00E65CA4" w:rsidRPr="00493D30" w:rsidRDefault="00E65CA4" w:rsidP="00E65CA4">
      <w:pPr>
        <w:jc w:val="both"/>
        <w:rPr>
          <w:bCs/>
          <w:sz w:val="22"/>
          <w:szCs w:val="22"/>
          <w:lang w:eastAsia="pt-BR"/>
        </w:rPr>
      </w:pPr>
    </w:p>
    <w:p w14:paraId="11C3EF55" w14:textId="77777777" w:rsidR="00E65CA4" w:rsidRPr="00493D30" w:rsidRDefault="00E65CA4" w:rsidP="00E65CA4">
      <w:pPr>
        <w:jc w:val="both"/>
        <w:rPr>
          <w:sz w:val="22"/>
          <w:szCs w:val="22"/>
          <w:lang w:eastAsia="pt-BR"/>
        </w:rPr>
      </w:pPr>
      <w:r w:rsidRPr="00493D30">
        <w:rPr>
          <w:bCs/>
          <w:sz w:val="22"/>
          <w:szCs w:val="22"/>
          <w:lang w:eastAsia="pt-BR"/>
        </w:rPr>
        <w:t>Artigo 23</w:t>
      </w:r>
      <w:r w:rsidRPr="00493D30">
        <w:rPr>
          <w:sz w:val="22"/>
          <w:szCs w:val="22"/>
          <w:lang w:eastAsia="pt-BR"/>
        </w:rPr>
        <w:t>.</w:t>
      </w:r>
      <w:r w:rsidRPr="00493D30">
        <w:rPr>
          <w:sz w:val="22"/>
          <w:szCs w:val="22"/>
          <w:lang w:eastAsia="pt-BR"/>
        </w:rPr>
        <w:tab/>
        <w:t>No uso das faculdades que lhe outorga o Artigo 74 das Normas Gerais, o Secretário-Geral poderá estabelecer fundos específicos com contabilidade separada para atender a interesses específicos dos Estados membros e de outros doadores em matéria de cooperação solidária para o desenvolvimento, no âmbito do Plano Estratégico.</w:t>
      </w:r>
      <w:r w:rsidRPr="00493D30">
        <w:rPr>
          <w:bCs/>
          <w:i/>
          <w:iCs/>
          <w:color w:val="000000"/>
          <w:sz w:val="22"/>
          <w:szCs w:val="22"/>
          <w:lang w:eastAsia="pt-BR"/>
        </w:rPr>
        <w:t xml:space="preserve"> </w:t>
      </w:r>
    </w:p>
    <w:p w14:paraId="24C146BA" w14:textId="77777777" w:rsidR="00E65CA4" w:rsidRPr="00493D30" w:rsidRDefault="00E65CA4" w:rsidP="00E65CA4">
      <w:pPr>
        <w:jc w:val="both"/>
        <w:rPr>
          <w:sz w:val="22"/>
          <w:szCs w:val="22"/>
          <w:lang w:eastAsia="pt-BR"/>
        </w:rPr>
      </w:pPr>
    </w:p>
    <w:p w14:paraId="25C325EA" w14:textId="77777777" w:rsidR="00E65CA4" w:rsidRPr="00493D30" w:rsidRDefault="00E65CA4" w:rsidP="00E65CA4">
      <w:pPr>
        <w:ind w:firstLine="720"/>
        <w:jc w:val="both"/>
        <w:rPr>
          <w:sz w:val="22"/>
          <w:szCs w:val="22"/>
          <w:lang w:eastAsia="pt-BR"/>
        </w:rPr>
      </w:pPr>
      <w:r w:rsidRPr="00493D30">
        <w:rPr>
          <w:sz w:val="22"/>
          <w:szCs w:val="22"/>
          <w:lang w:eastAsia="pt-BR"/>
        </w:rPr>
        <w:t>Os fins e as limitações desses fundos serão definidos em termos precisos, de acordo com os respectivos atos constitutivos, e a CIDI e a Junta Diretora da AICD deverão ser informadas a respeito.</w:t>
      </w:r>
    </w:p>
    <w:p w14:paraId="4A923B67" w14:textId="77777777" w:rsidR="00E65CA4" w:rsidRPr="00493D30" w:rsidRDefault="00E65CA4" w:rsidP="00E65CA4">
      <w:pPr>
        <w:jc w:val="both"/>
        <w:rPr>
          <w:sz w:val="22"/>
          <w:szCs w:val="22"/>
          <w:lang w:eastAsia="pt-BR"/>
        </w:rPr>
      </w:pPr>
    </w:p>
    <w:p w14:paraId="66FDBD80" w14:textId="77777777" w:rsidR="00E65CA4" w:rsidRPr="00493D30" w:rsidRDefault="00E65CA4" w:rsidP="00E65CA4">
      <w:pPr>
        <w:ind w:firstLine="720"/>
        <w:jc w:val="both"/>
        <w:rPr>
          <w:bCs/>
          <w:i/>
          <w:iCs/>
          <w:sz w:val="22"/>
          <w:szCs w:val="22"/>
          <w:lang w:eastAsia="pt-BR"/>
        </w:rPr>
      </w:pPr>
      <w:r w:rsidRPr="00493D30">
        <w:rPr>
          <w:sz w:val="22"/>
          <w:szCs w:val="22"/>
          <w:lang w:eastAsia="pt-BR"/>
        </w:rPr>
        <w:t xml:space="preserve">Os fundos específicos são constituídos por contribuições dos doadores identificados nos Artigos 3º e 4º deste Estatuto, segundo os acordos ou contratos realizados pela Secretaria-Geral no exercício das atribuições que lhe são conferidas pela Carta da Organização dos Estados Americanos. </w:t>
      </w:r>
    </w:p>
    <w:p w14:paraId="2F5BC499" w14:textId="77777777" w:rsidR="00E65CA4" w:rsidRPr="00493D30" w:rsidRDefault="00E65CA4" w:rsidP="00E65CA4">
      <w:pPr>
        <w:jc w:val="both"/>
        <w:rPr>
          <w:bCs/>
          <w:sz w:val="22"/>
          <w:szCs w:val="22"/>
          <w:lang w:eastAsia="pt-BR"/>
        </w:rPr>
      </w:pPr>
    </w:p>
    <w:p w14:paraId="6E91E70A" w14:textId="77777777" w:rsidR="00E65CA4" w:rsidRPr="00493D30" w:rsidRDefault="00E65CA4" w:rsidP="00E65CA4">
      <w:pPr>
        <w:jc w:val="both"/>
        <w:rPr>
          <w:sz w:val="22"/>
          <w:szCs w:val="22"/>
          <w:lang w:eastAsia="pt-BR"/>
        </w:rPr>
      </w:pPr>
      <w:r w:rsidRPr="00493D30">
        <w:rPr>
          <w:bCs/>
          <w:sz w:val="22"/>
          <w:szCs w:val="22"/>
          <w:lang w:eastAsia="pt-BR"/>
        </w:rPr>
        <w:t>Artigo 24.</w:t>
      </w:r>
      <w:r w:rsidRPr="00493D30">
        <w:rPr>
          <w:bCs/>
          <w:sz w:val="22"/>
          <w:szCs w:val="22"/>
          <w:lang w:eastAsia="pt-BR"/>
        </w:rPr>
        <w:tab/>
        <w:t xml:space="preserve">O </w:t>
      </w:r>
      <w:r w:rsidRPr="00493D30">
        <w:rPr>
          <w:sz w:val="22"/>
          <w:szCs w:val="22"/>
          <w:lang w:eastAsia="pt-BR"/>
        </w:rPr>
        <w:t xml:space="preserve">Fundo de Capitalização é um fundo específico para o qual poderão contribuir os doadores identificados nos Artigos 3 e 4 com o objetivo de formar um capital que renda juros que serão utilizados para: </w:t>
      </w:r>
    </w:p>
    <w:p w14:paraId="6E595315" w14:textId="77777777" w:rsidR="00E65CA4" w:rsidRPr="00493D30" w:rsidRDefault="00E65CA4" w:rsidP="00E65CA4">
      <w:pPr>
        <w:jc w:val="both"/>
        <w:rPr>
          <w:sz w:val="22"/>
          <w:szCs w:val="22"/>
          <w:lang w:eastAsia="pt-BR"/>
        </w:rPr>
      </w:pPr>
    </w:p>
    <w:p w14:paraId="73D52E8F" w14:textId="77777777" w:rsidR="00E65CA4" w:rsidRPr="00493D30" w:rsidRDefault="00E65CA4" w:rsidP="00E65CA4">
      <w:pPr>
        <w:numPr>
          <w:ilvl w:val="0"/>
          <w:numId w:val="3"/>
        </w:numPr>
        <w:tabs>
          <w:tab w:val="clear" w:pos="720"/>
          <w:tab w:val="num" w:pos="1440"/>
        </w:tabs>
        <w:ind w:left="1440" w:hanging="720"/>
        <w:jc w:val="both"/>
        <w:rPr>
          <w:sz w:val="22"/>
          <w:szCs w:val="22"/>
          <w:lang w:eastAsia="pt-BR"/>
        </w:rPr>
      </w:pPr>
      <w:r w:rsidRPr="00493D30">
        <w:rPr>
          <w:sz w:val="22"/>
          <w:szCs w:val="22"/>
          <w:lang w:eastAsia="pt-BR"/>
        </w:rPr>
        <w:t xml:space="preserve">o financiamento reembolsável de atividades de cooperação solidária para o desenvolvimento levadas a cabo por entidades dos Estados membros; </w:t>
      </w:r>
    </w:p>
    <w:p w14:paraId="54680D5F" w14:textId="77777777" w:rsidR="00E65CA4" w:rsidRPr="00493D30" w:rsidRDefault="00E65CA4" w:rsidP="00E65CA4">
      <w:pPr>
        <w:numPr>
          <w:ilvl w:val="0"/>
          <w:numId w:val="3"/>
        </w:numPr>
        <w:tabs>
          <w:tab w:val="clear" w:pos="720"/>
          <w:tab w:val="num" w:pos="1440"/>
        </w:tabs>
        <w:ind w:left="1440" w:hanging="720"/>
        <w:jc w:val="both"/>
        <w:rPr>
          <w:sz w:val="22"/>
          <w:szCs w:val="22"/>
          <w:lang w:eastAsia="pt-BR"/>
        </w:rPr>
      </w:pPr>
      <w:r w:rsidRPr="00493D30">
        <w:rPr>
          <w:sz w:val="22"/>
          <w:szCs w:val="22"/>
          <w:lang w:eastAsia="pt-BR"/>
        </w:rPr>
        <w:t>o cofinanciamento reembolsável de atividades de cooperação solidária para o desenvolvimento levadas a cabo com entidades dos Estados membros;</w:t>
      </w:r>
      <w:r w:rsidRPr="00493D30">
        <w:rPr>
          <w:bCs/>
          <w:i/>
          <w:iCs/>
          <w:color w:val="000000"/>
          <w:sz w:val="22"/>
          <w:szCs w:val="22"/>
          <w:lang w:eastAsia="pt-BR"/>
        </w:rPr>
        <w:t xml:space="preserve"> </w:t>
      </w:r>
    </w:p>
    <w:p w14:paraId="36D5E53B" w14:textId="77777777" w:rsidR="00E65CA4" w:rsidRPr="00493D30" w:rsidRDefault="00E65CA4" w:rsidP="00E65CA4">
      <w:pPr>
        <w:numPr>
          <w:ilvl w:val="0"/>
          <w:numId w:val="3"/>
        </w:numPr>
        <w:tabs>
          <w:tab w:val="clear" w:pos="720"/>
          <w:tab w:val="num" w:pos="1440"/>
        </w:tabs>
        <w:ind w:left="1440" w:hanging="720"/>
        <w:jc w:val="both"/>
        <w:rPr>
          <w:sz w:val="22"/>
          <w:szCs w:val="22"/>
          <w:lang w:eastAsia="pt-BR"/>
        </w:rPr>
      </w:pPr>
      <w:r w:rsidRPr="00493D30">
        <w:rPr>
          <w:sz w:val="22"/>
          <w:szCs w:val="22"/>
          <w:lang w:eastAsia="pt-BR"/>
        </w:rPr>
        <w:t xml:space="preserve">servir como contribuição de contrapartida para o cofinanciamento de atividades conjuntas e complementares realizadas com outras organizações governamentais e não governamentais internacionais e regionais; e </w:t>
      </w:r>
    </w:p>
    <w:p w14:paraId="46C7DB9B" w14:textId="77777777" w:rsidR="00E65CA4" w:rsidRPr="00493D30" w:rsidRDefault="00E65CA4" w:rsidP="00E65CA4">
      <w:pPr>
        <w:numPr>
          <w:ilvl w:val="0"/>
          <w:numId w:val="3"/>
        </w:numPr>
        <w:tabs>
          <w:tab w:val="clear" w:pos="720"/>
          <w:tab w:val="num" w:pos="1440"/>
        </w:tabs>
        <w:ind w:left="1440" w:hanging="720"/>
        <w:jc w:val="both"/>
        <w:rPr>
          <w:sz w:val="22"/>
          <w:szCs w:val="22"/>
          <w:lang w:eastAsia="pt-BR"/>
        </w:rPr>
      </w:pPr>
      <w:r w:rsidRPr="00493D30">
        <w:rPr>
          <w:sz w:val="22"/>
          <w:szCs w:val="22"/>
          <w:lang w:eastAsia="pt-BR"/>
        </w:rPr>
        <w:t>bolsas de estudo e capacitação.</w:t>
      </w:r>
      <w:r w:rsidRPr="00493D30">
        <w:rPr>
          <w:bCs/>
          <w:i/>
          <w:iCs/>
          <w:color w:val="000000"/>
          <w:sz w:val="22"/>
          <w:szCs w:val="22"/>
          <w:lang w:eastAsia="pt-BR"/>
        </w:rPr>
        <w:t xml:space="preserve"> </w:t>
      </w:r>
    </w:p>
    <w:p w14:paraId="7C40949C" w14:textId="77777777" w:rsidR="00E65CA4" w:rsidRPr="00493D30" w:rsidRDefault="00E65CA4" w:rsidP="00E65CA4">
      <w:pPr>
        <w:jc w:val="both"/>
        <w:rPr>
          <w:sz w:val="22"/>
          <w:szCs w:val="22"/>
          <w:lang w:eastAsia="pt-BR"/>
        </w:rPr>
      </w:pPr>
    </w:p>
    <w:p w14:paraId="54921391" w14:textId="77777777" w:rsidR="00E65CA4" w:rsidRPr="00493D30" w:rsidRDefault="00E65CA4" w:rsidP="00E65CA4">
      <w:pPr>
        <w:ind w:firstLine="720"/>
        <w:jc w:val="both"/>
        <w:rPr>
          <w:sz w:val="22"/>
          <w:szCs w:val="22"/>
          <w:lang w:eastAsia="pt-BR"/>
        </w:rPr>
      </w:pPr>
      <w:r w:rsidRPr="00493D30">
        <w:rPr>
          <w:sz w:val="22"/>
          <w:szCs w:val="22"/>
          <w:lang w:eastAsia="pt-BR"/>
        </w:rPr>
        <w:t>As modalidades de operação do Fundo de Capitalização serão devidamente regulamentadas.</w:t>
      </w:r>
    </w:p>
    <w:p w14:paraId="030574ED" w14:textId="77777777" w:rsidR="00E65CA4" w:rsidRPr="00493D30" w:rsidRDefault="00E65CA4" w:rsidP="00E65CA4">
      <w:pPr>
        <w:rPr>
          <w:bCs/>
          <w:sz w:val="22"/>
          <w:szCs w:val="22"/>
          <w:lang w:eastAsia="pt-BR"/>
        </w:rPr>
      </w:pPr>
    </w:p>
    <w:p w14:paraId="03635402" w14:textId="77777777" w:rsidR="00E65CA4" w:rsidRPr="00493D30" w:rsidRDefault="00E65CA4" w:rsidP="00E65CA4">
      <w:pPr>
        <w:rPr>
          <w:bCs/>
          <w:sz w:val="22"/>
          <w:szCs w:val="22"/>
          <w:lang w:eastAsia="pt-BR"/>
        </w:rPr>
      </w:pPr>
    </w:p>
    <w:p w14:paraId="149A9524" w14:textId="77777777" w:rsidR="00E65CA4" w:rsidRPr="00493D30" w:rsidRDefault="00E65CA4" w:rsidP="00E65CA4">
      <w:pPr>
        <w:jc w:val="center"/>
        <w:rPr>
          <w:sz w:val="22"/>
          <w:szCs w:val="22"/>
          <w:lang w:eastAsia="pt-BR"/>
        </w:rPr>
      </w:pPr>
      <w:r w:rsidRPr="00493D30">
        <w:rPr>
          <w:bCs/>
          <w:sz w:val="22"/>
          <w:szCs w:val="22"/>
          <w:lang w:eastAsia="pt-BR"/>
        </w:rPr>
        <w:t>CAPÍTULO IV</w:t>
      </w:r>
    </w:p>
    <w:p w14:paraId="09584A55" w14:textId="77777777" w:rsidR="00E65CA4" w:rsidRPr="00493D30" w:rsidRDefault="00E65CA4" w:rsidP="00E65CA4">
      <w:pPr>
        <w:jc w:val="center"/>
        <w:rPr>
          <w:sz w:val="22"/>
          <w:szCs w:val="22"/>
          <w:lang w:eastAsia="pt-BR"/>
        </w:rPr>
      </w:pPr>
      <w:r w:rsidRPr="00493D30">
        <w:rPr>
          <w:bCs/>
          <w:sz w:val="22"/>
          <w:szCs w:val="22"/>
          <w:lang w:eastAsia="pt-BR"/>
        </w:rPr>
        <w:t>FINANCIAMENTO COM FUNDOS FIDUCIÁRIOS</w:t>
      </w:r>
    </w:p>
    <w:p w14:paraId="1B285551" w14:textId="77777777" w:rsidR="00E65CA4" w:rsidRPr="00493D30" w:rsidRDefault="00E65CA4" w:rsidP="00E65CA4">
      <w:pPr>
        <w:jc w:val="both"/>
        <w:rPr>
          <w:bCs/>
          <w:sz w:val="22"/>
          <w:szCs w:val="22"/>
          <w:lang w:eastAsia="pt-BR"/>
        </w:rPr>
      </w:pPr>
    </w:p>
    <w:p w14:paraId="755DC99E" w14:textId="77777777" w:rsidR="00E65CA4" w:rsidRPr="00493D30" w:rsidRDefault="00E65CA4" w:rsidP="00E65CA4">
      <w:pPr>
        <w:jc w:val="both"/>
        <w:rPr>
          <w:sz w:val="22"/>
          <w:szCs w:val="22"/>
          <w:lang w:eastAsia="pt-BR"/>
        </w:rPr>
      </w:pPr>
      <w:r w:rsidRPr="00493D30">
        <w:rPr>
          <w:bCs/>
          <w:sz w:val="22"/>
          <w:szCs w:val="22"/>
          <w:lang w:eastAsia="pt-BR"/>
        </w:rPr>
        <w:t>Artigo 25.</w:t>
      </w:r>
      <w:r w:rsidRPr="00493D30">
        <w:rPr>
          <w:bCs/>
          <w:sz w:val="22"/>
          <w:szCs w:val="22"/>
          <w:lang w:eastAsia="pt-BR"/>
        </w:rPr>
        <w:tab/>
      </w:r>
      <w:r w:rsidRPr="00493D30">
        <w:rPr>
          <w:sz w:val="22"/>
          <w:szCs w:val="22"/>
          <w:lang w:eastAsia="pt-BR"/>
        </w:rPr>
        <w:t>No uso das faculdades que lhe outorga o Artigo 75 das Normas Gerais, o Secretário-Geral poderá estabelecer fundos fiduciários com contabilidade separada, destinados a realizar ou reforçar atividades de cooperação solidária para o desenvolvimento.</w:t>
      </w:r>
    </w:p>
    <w:p w14:paraId="2A0CBC02" w14:textId="77777777" w:rsidR="00E65CA4" w:rsidRPr="00493D30" w:rsidRDefault="00E65CA4" w:rsidP="00E65CA4">
      <w:pPr>
        <w:jc w:val="both"/>
        <w:rPr>
          <w:bCs/>
          <w:i/>
          <w:iCs/>
          <w:sz w:val="22"/>
          <w:szCs w:val="22"/>
          <w:lang w:eastAsia="pt-BR"/>
        </w:rPr>
      </w:pPr>
    </w:p>
    <w:p w14:paraId="45954F80" w14:textId="77777777" w:rsidR="00E65CA4" w:rsidRPr="00493D30" w:rsidRDefault="00E65CA4" w:rsidP="00E65CA4">
      <w:pPr>
        <w:ind w:firstLine="720"/>
        <w:jc w:val="both"/>
        <w:rPr>
          <w:sz w:val="22"/>
          <w:szCs w:val="22"/>
          <w:lang w:eastAsia="pt-BR"/>
        </w:rPr>
      </w:pPr>
      <w:r w:rsidRPr="00493D30">
        <w:rPr>
          <w:sz w:val="22"/>
          <w:szCs w:val="22"/>
          <w:lang w:eastAsia="pt-BR"/>
        </w:rPr>
        <w:t>Os fins e as limitações desses fundos serão definidos em termos precisos de acordo com os respectivos atos constitutivos, e a CIDI e a Junta Diretora da AICD deverão ser informadas a respeito.</w:t>
      </w:r>
    </w:p>
    <w:p w14:paraId="0C17B2E0" w14:textId="77777777" w:rsidR="00E65CA4" w:rsidRPr="00493D30" w:rsidRDefault="00E65CA4" w:rsidP="00E65CA4">
      <w:pPr>
        <w:jc w:val="both"/>
        <w:rPr>
          <w:sz w:val="22"/>
          <w:szCs w:val="22"/>
          <w:lang w:eastAsia="pt-BR"/>
        </w:rPr>
      </w:pPr>
    </w:p>
    <w:p w14:paraId="0435F8E5" w14:textId="77777777" w:rsidR="00E65CA4" w:rsidRPr="00493D30" w:rsidRDefault="00E65CA4" w:rsidP="00E65CA4">
      <w:pPr>
        <w:ind w:firstLine="720"/>
        <w:jc w:val="both"/>
        <w:rPr>
          <w:sz w:val="22"/>
          <w:szCs w:val="22"/>
          <w:lang w:eastAsia="pt-BR"/>
        </w:rPr>
      </w:pPr>
      <w:r w:rsidRPr="00493D30">
        <w:rPr>
          <w:sz w:val="22"/>
          <w:szCs w:val="22"/>
          <w:lang w:eastAsia="pt-BR"/>
        </w:rPr>
        <w:t xml:space="preserve">Os fundos fiduciários serão constituídos em virtude de legados, disposição testamentária ou doação para financiar os propósitos especificados pelo doador ou testador, mantidos em fideicomisso e utilizados em conformidade com as respectivas disposições. </w:t>
      </w:r>
    </w:p>
    <w:p w14:paraId="259A218A" w14:textId="77777777" w:rsidR="00E65CA4" w:rsidRDefault="00E65CA4" w:rsidP="00E65CA4">
      <w:pPr>
        <w:rPr>
          <w:bCs/>
          <w:sz w:val="22"/>
          <w:szCs w:val="22"/>
          <w:lang w:eastAsia="pt-BR"/>
        </w:rPr>
      </w:pPr>
    </w:p>
    <w:p w14:paraId="21DBEE7D" w14:textId="77777777" w:rsidR="00316840" w:rsidRDefault="00316840" w:rsidP="00E65CA4">
      <w:pPr>
        <w:rPr>
          <w:bCs/>
          <w:sz w:val="22"/>
          <w:szCs w:val="22"/>
          <w:lang w:eastAsia="pt-BR"/>
        </w:rPr>
      </w:pPr>
    </w:p>
    <w:p w14:paraId="5D753107" w14:textId="77777777" w:rsidR="00E65CA4" w:rsidRPr="00493D30" w:rsidRDefault="00E65CA4" w:rsidP="00E65CA4">
      <w:pPr>
        <w:jc w:val="center"/>
        <w:rPr>
          <w:sz w:val="22"/>
          <w:szCs w:val="22"/>
          <w:lang w:eastAsia="pt-BR"/>
        </w:rPr>
      </w:pPr>
      <w:r w:rsidRPr="00493D30">
        <w:rPr>
          <w:bCs/>
          <w:sz w:val="22"/>
          <w:szCs w:val="22"/>
          <w:lang w:eastAsia="pt-BR"/>
        </w:rPr>
        <w:t>CAPÍTULO V</w:t>
      </w:r>
    </w:p>
    <w:p w14:paraId="73E6C01E" w14:textId="77777777" w:rsidR="00E65CA4" w:rsidRPr="00493D30" w:rsidRDefault="00E65CA4" w:rsidP="00E65CA4">
      <w:pPr>
        <w:jc w:val="center"/>
        <w:rPr>
          <w:sz w:val="22"/>
          <w:szCs w:val="22"/>
          <w:lang w:eastAsia="pt-BR"/>
        </w:rPr>
      </w:pPr>
      <w:r w:rsidRPr="00493D30">
        <w:rPr>
          <w:bCs/>
          <w:sz w:val="22"/>
          <w:szCs w:val="22"/>
          <w:lang w:eastAsia="pt-BR"/>
        </w:rPr>
        <w:t>FINANCIAMENTO COM O FUNDO ORDINÁRIO</w:t>
      </w:r>
    </w:p>
    <w:p w14:paraId="76653249" w14:textId="77777777" w:rsidR="00E65CA4" w:rsidRPr="00493D30" w:rsidRDefault="00E65CA4" w:rsidP="00E65CA4">
      <w:pPr>
        <w:jc w:val="both"/>
        <w:rPr>
          <w:bCs/>
          <w:sz w:val="22"/>
          <w:szCs w:val="22"/>
          <w:lang w:eastAsia="pt-BR"/>
        </w:rPr>
      </w:pPr>
    </w:p>
    <w:p w14:paraId="2347103C" w14:textId="77777777" w:rsidR="00E65CA4" w:rsidRPr="00493D30" w:rsidRDefault="00E65CA4" w:rsidP="00E65CA4">
      <w:pPr>
        <w:jc w:val="both"/>
        <w:rPr>
          <w:sz w:val="22"/>
          <w:szCs w:val="22"/>
          <w:lang w:eastAsia="pt-BR"/>
        </w:rPr>
      </w:pPr>
      <w:r w:rsidRPr="00493D30">
        <w:rPr>
          <w:bCs/>
          <w:sz w:val="22"/>
          <w:szCs w:val="22"/>
          <w:lang w:eastAsia="pt-BR"/>
        </w:rPr>
        <w:t>Artigo 26.</w:t>
      </w:r>
      <w:r w:rsidRPr="00493D30">
        <w:rPr>
          <w:bCs/>
          <w:sz w:val="22"/>
          <w:szCs w:val="22"/>
          <w:lang w:eastAsia="pt-BR"/>
        </w:rPr>
        <w:tab/>
      </w:r>
      <w:r w:rsidRPr="00493D30">
        <w:rPr>
          <w:sz w:val="22"/>
          <w:szCs w:val="22"/>
          <w:lang w:eastAsia="pt-BR"/>
        </w:rPr>
        <w:t xml:space="preserve">As apropriações do Fundo Ordinário aprovadas para o CIDI destinam-se ao financiamento dos serviços ordinários do CIDI, de seus órgãos e organismos subsidiários e da SEDI. </w:t>
      </w:r>
    </w:p>
    <w:p w14:paraId="78468F0E" w14:textId="77777777" w:rsidR="00E65CA4" w:rsidRPr="00493D30" w:rsidRDefault="00E65CA4" w:rsidP="00E65CA4">
      <w:pPr>
        <w:jc w:val="both"/>
        <w:rPr>
          <w:sz w:val="22"/>
          <w:szCs w:val="22"/>
          <w:lang w:eastAsia="pt-BR"/>
        </w:rPr>
      </w:pPr>
    </w:p>
    <w:p w14:paraId="45EB144E" w14:textId="77777777" w:rsidR="00E65CA4" w:rsidRPr="00493D30" w:rsidRDefault="00E65CA4" w:rsidP="00E65CA4">
      <w:pPr>
        <w:jc w:val="both"/>
        <w:rPr>
          <w:sz w:val="22"/>
          <w:szCs w:val="22"/>
          <w:lang w:eastAsia="pt-BR"/>
        </w:rPr>
      </w:pPr>
      <w:r w:rsidRPr="00493D30">
        <w:rPr>
          <w:bCs/>
          <w:sz w:val="22"/>
          <w:szCs w:val="22"/>
          <w:lang w:eastAsia="pt-BR"/>
        </w:rPr>
        <w:t>Artigo 27.</w:t>
      </w:r>
      <w:r w:rsidRPr="00493D30">
        <w:rPr>
          <w:bCs/>
          <w:sz w:val="22"/>
          <w:szCs w:val="22"/>
          <w:lang w:eastAsia="pt-BR"/>
        </w:rPr>
        <w:tab/>
      </w:r>
      <w:r w:rsidRPr="00493D30">
        <w:rPr>
          <w:sz w:val="22"/>
          <w:szCs w:val="22"/>
          <w:lang w:eastAsia="pt-BR"/>
        </w:rPr>
        <w:t xml:space="preserve">Com fundamento no Artigo 72 das Normas Gerais, o Fundo Ordinário financiará, na forma aprovada no Orçamento-Programa da Organização: </w:t>
      </w:r>
    </w:p>
    <w:p w14:paraId="6676D6DD" w14:textId="77777777" w:rsidR="00E65CA4" w:rsidRPr="00493D30" w:rsidRDefault="00E65CA4" w:rsidP="00E65CA4">
      <w:pPr>
        <w:jc w:val="both"/>
        <w:rPr>
          <w:sz w:val="22"/>
          <w:szCs w:val="22"/>
          <w:lang w:eastAsia="pt-BR"/>
        </w:rPr>
      </w:pPr>
    </w:p>
    <w:p w14:paraId="781DD704" w14:textId="77777777" w:rsidR="00E65CA4" w:rsidRPr="00493D30" w:rsidRDefault="00E65CA4" w:rsidP="00E65CA4">
      <w:pPr>
        <w:numPr>
          <w:ilvl w:val="0"/>
          <w:numId w:val="5"/>
        </w:numPr>
        <w:tabs>
          <w:tab w:val="clear" w:pos="2160"/>
          <w:tab w:val="num" w:pos="1440"/>
        </w:tabs>
        <w:ind w:left="1440"/>
        <w:jc w:val="both"/>
        <w:rPr>
          <w:sz w:val="22"/>
          <w:szCs w:val="22"/>
          <w:lang w:eastAsia="pt-BR"/>
        </w:rPr>
      </w:pPr>
      <w:r w:rsidRPr="00493D30">
        <w:rPr>
          <w:sz w:val="22"/>
          <w:szCs w:val="22"/>
          <w:lang w:eastAsia="pt-BR"/>
        </w:rPr>
        <w:lastRenderedPageBreak/>
        <w:t>as reuniões ordinárias, setoriais ou especializadas, e as extraordinárias do CIDI em nível ministerial ou equivalente;</w:t>
      </w:r>
    </w:p>
    <w:p w14:paraId="2BCEA286" w14:textId="77777777" w:rsidR="00E65CA4" w:rsidRPr="00493D30" w:rsidRDefault="00E65CA4" w:rsidP="00E65CA4">
      <w:pPr>
        <w:numPr>
          <w:ilvl w:val="0"/>
          <w:numId w:val="5"/>
        </w:numPr>
        <w:tabs>
          <w:tab w:val="clear" w:pos="2160"/>
          <w:tab w:val="num" w:pos="1440"/>
        </w:tabs>
        <w:ind w:left="1440"/>
        <w:jc w:val="both"/>
        <w:rPr>
          <w:sz w:val="22"/>
          <w:szCs w:val="22"/>
          <w:lang w:eastAsia="pt-BR"/>
        </w:rPr>
      </w:pPr>
      <w:r w:rsidRPr="00493D30">
        <w:rPr>
          <w:sz w:val="22"/>
          <w:szCs w:val="22"/>
          <w:lang w:eastAsia="pt-BR"/>
        </w:rPr>
        <w:t>as reuniões do CIDI e de seus órgãos subsidiários, das comissões especializadas não permanentes e das comissões interamericanas e de outros órgãos e organismos do CIDI, as reuniões da Junta Diretora da AICD e as reuniões de programação;</w:t>
      </w:r>
    </w:p>
    <w:p w14:paraId="313DC213" w14:textId="77777777" w:rsidR="00E65CA4" w:rsidRPr="00493D30" w:rsidRDefault="00E65CA4" w:rsidP="00E65CA4">
      <w:pPr>
        <w:numPr>
          <w:ilvl w:val="0"/>
          <w:numId w:val="5"/>
        </w:numPr>
        <w:tabs>
          <w:tab w:val="clear" w:pos="2160"/>
          <w:tab w:val="num" w:pos="1440"/>
        </w:tabs>
        <w:ind w:left="1440"/>
        <w:jc w:val="both"/>
        <w:rPr>
          <w:sz w:val="22"/>
          <w:szCs w:val="22"/>
          <w:lang w:eastAsia="pt-BR"/>
        </w:rPr>
      </w:pPr>
      <w:r w:rsidRPr="00493D30">
        <w:rPr>
          <w:sz w:val="22"/>
          <w:szCs w:val="22"/>
          <w:lang w:eastAsia="pt-BR"/>
        </w:rPr>
        <w:t>uma contribuição para apoiar o funcionamento da SEDI;</w:t>
      </w:r>
    </w:p>
    <w:p w14:paraId="294B331D" w14:textId="77777777" w:rsidR="00E65CA4" w:rsidRPr="00493D30" w:rsidRDefault="00E65CA4" w:rsidP="00E65CA4">
      <w:pPr>
        <w:numPr>
          <w:ilvl w:val="0"/>
          <w:numId w:val="5"/>
        </w:numPr>
        <w:tabs>
          <w:tab w:val="clear" w:pos="2160"/>
          <w:tab w:val="num" w:pos="1440"/>
        </w:tabs>
        <w:ind w:left="1440"/>
        <w:jc w:val="both"/>
        <w:rPr>
          <w:sz w:val="22"/>
          <w:szCs w:val="22"/>
          <w:lang w:eastAsia="pt-BR"/>
        </w:rPr>
      </w:pPr>
      <w:r w:rsidRPr="00493D30">
        <w:rPr>
          <w:sz w:val="22"/>
          <w:szCs w:val="22"/>
          <w:lang w:eastAsia="pt-BR"/>
        </w:rPr>
        <w:t>a direção técnica e o apoio administrativo dos programas;</w:t>
      </w:r>
    </w:p>
    <w:p w14:paraId="44F49BB4" w14:textId="77777777" w:rsidR="00E65CA4" w:rsidRPr="00493D30" w:rsidRDefault="00E65CA4" w:rsidP="00E65CA4">
      <w:pPr>
        <w:numPr>
          <w:ilvl w:val="0"/>
          <w:numId w:val="5"/>
        </w:numPr>
        <w:tabs>
          <w:tab w:val="clear" w:pos="2160"/>
          <w:tab w:val="num" w:pos="1440"/>
        </w:tabs>
        <w:ind w:left="1440"/>
        <w:jc w:val="both"/>
        <w:rPr>
          <w:sz w:val="22"/>
          <w:szCs w:val="22"/>
          <w:lang w:eastAsia="pt-BR"/>
        </w:rPr>
      </w:pPr>
      <w:r w:rsidRPr="00493D30">
        <w:rPr>
          <w:sz w:val="22"/>
          <w:szCs w:val="22"/>
          <w:lang w:eastAsia="pt-BR"/>
        </w:rPr>
        <w:t>programas de desenvolvimento integral de natureza multilateral segundo o disposto no Artigo 31 da Carta da Organização dos Estados Americanos e conforme forem identificados especificamente no orçamento-programa aprovado; e</w:t>
      </w:r>
    </w:p>
    <w:p w14:paraId="77061CC2" w14:textId="77777777" w:rsidR="00E65CA4" w:rsidRPr="00493D30" w:rsidRDefault="00E65CA4" w:rsidP="00E65CA4">
      <w:pPr>
        <w:numPr>
          <w:ilvl w:val="0"/>
          <w:numId w:val="5"/>
        </w:numPr>
        <w:tabs>
          <w:tab w:val="clear" w:pos="2160"/>
          <w:tab w:val="num" w:pos="1440"/>
        </w:tabs>
        <w:ind w:left="1440"/>
        <w:jc w:val="both"/>
        <w:rPr>
          <w:sz w:val="22"/>
          <w:szCs w:val="22"/>
          <w:lang w:eastAsia="pt-BR"/>
        </w:rPr>
      </w:pPr>
      <w:r w:rsidRPr="00493D30">
        <w:rPr>
          <w:sz w:val="22"/>
          <w:szCs w:val="22"/>
          <w:lang w:eastAsia="pt-BR"/>
        </w:rPr>
        <w:t>bolsas de estudo e capacitação.</w:t>
      </w:r>
    </w:p>
    <w:p w14:paraId="408A2C8C" w14:textId="77777777" w:rsidR="00E65CA4" w:rsidRPr="00493D30" w:rsidRDefault="00E65CA4" w:rsidP="00E65CA4">
      <w:pPr>
        <w:jc w:val="both"/>
        <w:rPr>
          <w:bCs/>
          <w:sz w:val="22"/>
          <w:szCs w:val="22"/>
          <w:lang w:eastAsia="pt-BR"/>
        </w:rPr>
      </w:pPr>
    </w:p>
    <w:p w14:paraId="0FDBCA42" w14:textId="77777777" w:rsidR="00E65CA4" w:rsidRPr="00493D30" w:rsidRDefault="00E65CA4" w:rsidP="00E65CA4">
      <w:pPr>
        <w:jc w:val="both"/>
        <w:rPr>
          <w:sz w:val="22"/>
          <w:szCs w:val="22"/>
          <w:lang w:eastAsia="pt-BR"/>
        </w:rPr>
      </w:pPr>
      <w:r w:rsidRPr="00493D30">
        <w:rPr>
          <w:bCs/>
          <w:sz w:val="22"/>
          <w:szCs w:val="22"/>
          <w:lang w:eastAsia="pt-BR"/>
        </w:rPr>
        <w:t>Artigo 28.</w:t>
      </w:r>
      <w:r w:rsidRPr="00493D30">
        <w:rPr>
          <w:bCs/>
          <w:sz w:val="22"/>
          <w:szCs w:val="22"/>
          <w:lang w:eastAsia="pt-BR"/>
        </w:rPr>
        <w:tab/>
      </w:r>
      <w:r w:rsidRPr="00493D30">
        <w:rPr>
          <w:sz w:val="22"/>
          <w:szCs w:val="22"/>
          <w:lang w:eastAsia="pt-BR"/>
        </w:rPr>
        <w:t xml:space="preserve">As contribuições para o Fundo Ordinário e o Fundo de Operações da AICD estabelecidas no Artigo 14 do Estatuto da AICD para supervisão técnica e apoio administrativo serão feitas nos termos estabelecidos nas Normas Gerais. </w:t>
      </w:r>
    </w:p>
    <w:p w14:paraId="7DEAFFD1" w14:textId="77777777" w:rsidR="00E65CA4" w:rsidRPr="00493D30" w:rsidRDefault="00E65CA4" w:rsidP="00E65CA4">
      <w:pPr>
        <w:rPr>
          <w:bCs/>
          <w:sz w:val="22"/>
          <w:szCs w:val="22"/>
          <w:lang w:eastAsia="pt-BR"/>
        </w:rPr>
      </w:pPr>
    </w:p>
    <w:p w14:paraId="3B64FDD2" w14:textId="77777777" w:rsidR="00033F0A" w:rsidRPr="00493D30" w:rsidRDefault="00033F0A" w:rsidP="00E65CA4">
      <w:pPr>
        <w:rPr>
          <w:bCs/>
          <w:sz w:val="22"/>
          <w:szCs w:val="22"/>
          <w:lang w:eastAsia="pt-BR"/>
        </w:rPr>
      </w:pPr>
    </w:p>
    <w:p w14:paraId="2C6A35BC" w14:textId="77777777" w:rsidR="00E65CA4" w:rsidRPr="00493D30" w:rsidRDefault="00E65CA4" w:rsidP="00E65CA4">
      <w:pPr>
        <w:jc w:val="center"/>
        <w:rPr>
          <w:sz w:val="22"/>
          <w:szCs w:val="22"/>
          <w:lang w:eastAsia="pt-BR"/>
        </w:rPr>
      </w:pPr>
      <w:r w:rsidRPr="00493D30">
        <w:rPr>
          <w:bCs/>
          <w:sz w:val="22"/>
          <w:szCs w:val="22"/>
          <w:lang w:eastAsia="pt-BR"/>
        </w:rPr>
        <w:t>CAPÍTULO VI</w:t>
      </w:r>
    </w:p>
    <w:p w14:paraId="019C3BFA" w14:textId="77777777" w:rsidR="00E65CA4" w:rsidRPr="00493D30" w:rsidRDefault="00E65CA4" w:rsidP="00E65CA4">
      <w:pPr>
        <w:jc w:val="center"/>
        <w:rPr>
          <w:sz w:val="22"/>
          <w:szCs w:val="22"/>
          <w:lang w:eastAsia="pt-BR"/>
        </w:rPr>
      </w:pPr>
      <w:r w:rsidRPr="00493D30">
        <w:rPr>
          <w:bCs/>
          <w:sz w:val="22"/>
          <w:szCs w:val="22"/>
          <w:lang w:eastAsia="pt-BR"/>
        </w:rPr>
        <w:t>DISPOSIÇÕES GERAIS</w:t>
      </w:r>
    </w:p>
    <w:p w14:paraId="61B58EA8" w14:textId="77777777" w:rsidR="00E65CA4" w:rsidRPr="00493D30" w:rsidRDefault="00E65CA4" w:rsidP="00E65CA4">
      <w:pPr>
        <w:jc w:val="both"/>
        <w:rPr>
          <w:bCs/>
          <w:sz w:val="22"/>
          <w:szCs w:val="22"/>
          <w:lang w:eastAsia="pt-BR"/>
        </w:rPr>
      </w:pPr>
    </w:p>
    <w:p w14:paraId="0D2E9CA6" w14:textId="77777777" w:rsidR="00E65CA4" w:rsidRPr="00493D30" w:rsidRDefault="00E65CA4" w:rsidP="00E65CA4">
      <w:pPr>
        <w:jc w:val="both"/>
        <w:rPr>
          <w:sz w:val="22"/>
          <w:szCs w:val="22"/>
          <w:lang w:eastAsia="pt-BR"/>
        </w:rPr>
      </w:pPr>
      <w:r w:rsidRPr="00493D30">
        <w:rPr>
          <w:bCs/>
          <w:sz w:val="22"/>
          <w:szCs w:val="22"/>
          <w:lang w:eastAsia="pt-BR"/>
        </w:rPr>
        <w:t>Artigo 29.</w:t>
      </w:r>
      <w:r w:rsidRPr="00493D30">
        <w:rPr>
          <w:bCs/>
          <w:sz w:val="22"/>
          <w:szCs w:val="22"/>
          <w:lang w:eastAsia="pt-BR"/>
        </w:rPr>
        <w:tab/>
      </w:r>
      <w:r w:rsidRPr="00493D30">
        <w:rPr>
          <w:sz w:val="22"/>
          <w:szCs w:val="22"/>
          <w:lang w:eastAsia="pt-BR"/>
        </w:rPr>
        <w:t xml:space="preserve">A SEDI é responsável junto ao CIDI, à Junta Diretora da AICD e ao Secretário-Geral pela implementação deste Estatuto com base nas funções e responsabilidades que lhe atribuem os Estatutos do CIDI e da AICD. </w:t>
      </w:r>
    </w:p>
    <w:p w14:paraId="503C5489" w14:textId="77777777" w:rsidR="00E65CA4" w:rsidRPr="00493D30" w:rsidRDefault="00E65CA4" w:rsidP="00E65CA4">
      <w:pPr>
        <w:jc w:val="both"/>
        <w:rPr>
          <w:bCs/>
          <w:sz w:val="22"/>
          <w:szCs w:val="22"/>
          <w:lang w:eastAsia="pt-BR"/>
        </w:rPr>
      </w:pPr>
    </w:p>
    <w:p w14:paraId="3583E981" w14:textId="77777777" w:rsidR="00E65CA4" w:rsidRPr="00493D30" w:rsidRDefault="00E65CA4" w:rsidP="00E65CA4">
      <w:pPr>
        <w:jc w:val="both"/>
        <w:rPr>
          <w:sz w:val="22"/>
          <w:szCs w:val="22"/>
          <w:lang w:eastAsia="pt-BR"/>
        </w:rPr>
      </w:pPr>
      <w:r w:rsidRPr="00493D30">
        <w:rPr>
          <w:bCs/>
          <w:sz w:val="22"/>
          <w:szCs w:val="22"/>
          <w:lang w:eastAsia="pt-BR"/>
        </w:rPr>
        <w:t>Artigo 30.</w:t>
      </w:r>
      <w:r w:rsidRPr="00493D30">
        <w:rPr>
          <w:bCs/>
          <w:sz w:val="22"/>
          <w:szCs w:val="22"/>
          <w:lang w:eastAsia="pt-BR"/>
        </w:rPr>
        <w:tab/>
      </w:r>
      <w:r w:rsidRPr="00493D30">
        <w:rPr>
          <w:sz w:val="22"/>
          <w:szCs w:val="22"/>
          <w:lang w:eastAsia="pt-BR"/>
        </w:rPr>
        <w:t>Este Estatuto entrará em vigor no momento de sua aprovação pelo CIDI.</w:t>
      </w:r>
    </w:p>
    <w:p w14:paraId="20A1DC9F" w14:textId="77777777" w:rsidR="00E65CA4" w:rsidRPr="00493D30" w:rsidRDefault="00E65CA4" w:rsidP="00E65CA4">
      <w:pPr>
        <w:jc w:val="both"/>
        <w:rPr>
          <w:bCs/>
          <w:sz w:val="22"/>
          <w:szCs w:val="22"/>
          <w:lang w:eastAsia="pt-BR"/>
        </w:rPr>
      </w:pPr>
    </w:p>
    <w:p w14:paraId="7C9982AB" w14:textId="77777777" w:rsidR="00E65CA4" w:rsidRPr="00493D30" w:rsidRDefault="00E65CA4" w:rsidP="00E65CA4">
      <w:pPr>
        <w:jc w:val="both"/>
        <w:rPr>
          <w:sz w:val="22"/>
          <w:szCs w:val="22"/>
          <w:lang w:eastAsia="pt-BR"/>
        </w:rPr>
      </w:pPr>
      <w:r w:rsidRPr="00493D30">
        <w:rPr>
          <w:bCs/>
          <w:sz w:val="22"/>
          <w:szCs w:val="22"/>
          <w:lang w:eastAsia="pt-BR"/>
        </w:rPr>
        <w:t>Artigo 31.</w:t>
      </w:r>
      <w:r w:rsidRPr="00493D30">
        <w:rPr>
          <w:bCs/>
          <w:sz w:val="22"/>
          <w:szCs w:val="22"/>
          <w:lang w:eastAsia="pt-BR"/>
        </w:rPr>
        <w:tab/>
      </w:r>
      <w:r w:rsidRPr="00493D30">
        <w:rPr>
          <w:sz w:val="22"/>
          <w:szCs w:val="22"/>
          <w:lang w:eastAsia="pt-BR"/>
        </w:rPr>
        <w:t>Este Estatuto poderá ser modificado pelo CIDI em suas reuniões ordinárias, mantendo a devida concordância com as Normas Gerais, o Estatuto do CIDI e o Estatuto da AICD. A Junta Diretora da AICD poderá modificar o Calendário das atividades de cooperação solidária para o desenvolvimento na forma disposta no Artigo 17.</w:t>
      </w:r>
    </w:p>
    <w:p w14:paraId="2836E231" w14:textId="77777777" w:rsidR="00E65CA4" w:rsidRPr="00493D30" w:rsidRDefault="00E65CA4" w:rsidP="00E65CA4">
      <w:pPr>
        <w:jc w:val="both"/>
        <w:rPr>
          <w:sz w:val="22"/>
          <w:szCs w:val="22"/>
          <w:lang w:eastAsia="pt-BR"/>
        </w:rPr>
      </w:pPr>
    </w:p>
    <w:p w14:paraId="5C90463E" w14:textId="77777777" w:rsidR="00E65CA4" w:rsidRPr="00493D30" w:rsidRDefault="00E65CA4" w:rsidP="00E65CA4">
      <w:pPr>
        <w:ind w:firstLine="720"/>
        <w:jc w:val="both"/>
        <w:rPr>
          <w:sz w:val="22"/>
          <w:szCs w:val="22"/>
          <w:lang w:eastAsia="pt-BR"/>
        </w:rPr>
      </w:pPr>
      <w:r w:rsidRPr="00493D30">
        <w:rPr>
          <w:sz w:val="22"/>
          <w:szCs w:val="22"/>
          <w:lang w:eastAsia="pt-BR"/>
        </w:rPr>
        <w:t xml:space="preserve">As modificações ao Estatuto poderão ser propostas pela CIDI, pela Junta Diretora da AICD, pelo Secretário-Geral ou pelo Secretário Executivo de Desenvolvimento Integral. </w:t>
      </w:r>
    </w:p>
    <w:p w14:paraId="25E3AD90" w14:textId="77777777" w:rsidR="00E65CA4" w:rsidRPr="00493D30" w:rsidRDefault="00E65CA4" w:rsidP="00E65CA4">
      <w:pPr>
        <w:jc w:val="both"/>
        <w:rPr>
          <w:bCs/>
          <w:sz w:val="22"/>
          <w:szCs w:val="22"/>
          <w:lang w:eastAsia="pt-BR"/>
        </w:rPr>
      </w:pPr>
    </w:p>
    <w:p w14:paraId="2A863C83" w14:textId="77777777" w:rsidR="00E65CA4" w:rsidRPr="00493D30" w:rsidRDefault="00E65CA4" w:rsidP="00E65CA4">
      <w:pPr>
        <w:jc w:val="both"/>
        <w:rPr>
          <w:bCs/>
          <w:i/>
          <w:iCs/>
          <w:sz w:val="22"/>
          <w:szCs w:val="22"/>
          <w:lang w:eastAsia="pt-BR"/>
        </w:rPr>
      </w:pPr>
      <w:r w:rsidRPr="00493D30">
        <w:rPr>
          <w:bCs/>
          <w:sz w:val="22"/>
          <w:szCs w:val="22"/>
          <w:lang w:eastAsia="pt-BR"/>
        </w:rPr>
        <w:t>Artigo 32.</w:t>
      </w:r>
      <w:r w:rsidRPr="00493D30">
        <w:rPr>
          <w:bCs/>
          <w:sz w:val="22"/>
          <w:szCs w:val="22"/>
          <w:lang w:eastAsia="pt-BR"/>
        </w:rPr>
        <w:tab/>
      </w:r>
      <w:r w:rsidRPr="00493D30">
        <w:rPr>
          <w:sz w:val="22"/>
          <w:szCs w:val="22"/>
          <w:lang w:eastAsia="pt-BR"/>
        </w:rPr>
        <w:t xml:space="preserve">O FCD/OEA é regido pelas disposições deste Estatuto e pelas resoluções da Assembleia Geral e do CIDI a ele aplicáveis. </w:t>
      </w:r>
    </w:p>
    <w:p w14:paraId="7ACC4733" w14:textId="77777777" w:rsidR="00E65CA4" w:rsidRPr="00493D30" w:rsidRDefault="00E65CA4" w:rsidP="00E65CA4">
      <w:pPr>
        <w:jc w:val="both"/>
        <w:rPr>
          <w:bCs/>
          <w:sz w:val="22"/>
          <w:szCs w:val="22"/>
          <w:lang w:eastAsia="pt-BR"/>
        </w:rPr>
      </w:pPr>
    </w:p>
    <w:p w14:paraId="09D47906" w14:textId="77777777" w:rsidR="00E65CA4" w:rsidRPr="00493D30" w:rsidRDefault="00E65CA4" w:rsidP="00E65CA4">
      <w:pPr>
        <w:jc w:val="both"/>
        <w:rPr>
          <w:i/>
          <w:iCs/>
          <w:sz w:val="22"/>
          <w:szCs w:val="22"/>
          <w:u w:val="single"/>
          <w:lang w:eastAsia="pt-BR"/>
        </w:rPr>
      </w:pPr>
      <w:r w:rsidRPr="00493D30">
        <w:rPr>
          <w:bCs/>
          <w:sz w:val="22"/>
          <w:szCs w:val="22"/>
          <w:lang w:eastAsia="pt-BR"/>
        </w:rPr>
        <w:t>Artigo 33.</w:t>
      </w:r>
      <w:r w:rsidRPr="00493D30">
        <w:rPr>
          <w:bCs/>
          <w:sz w:val="22"/>
          <w:szCs w:val="22"/>
          <w:lang w:eastAsia="pt-BR"/>
        </w:rPr>
        <w:tab/>
      </w:r>
      <w:r w:rsidRPr="00493D30">
        <w:rPr>
          <w:sz w:val="22"/>
          <w:szCs w:val="22"/>
          <w:lang w:eastAsia="pt-BR"/>
        </w:rPr>
        <w:t>Os fundos FCD/OEA deverão ser usados exclusivamente para os propósitos dos programas aprovados pela JD/AICD no âmbito do Enfoque Programático de cada Ciclo de Programação.</w:t>
      </w:r>
    </w:p>
    <w:p w14:paraId="37339AA5" w14:textId="77777777" w:rsidR="00E65CA4" w:rsidRDefault="00E65CA4" w:rsidP="00E65CA4">
      <w:pPr>
        <w:jc w:val="both"/>
        <w:rPr>
          <w:bCs/>
          <w:sz w:val="22"/>
          <w:szCs w:val="22"/>
          <w:lang w:eastAsia="pt-BR"/>
        </w:rPr>
      </w:pPr>
    </w:p>
    <w:p w14:paraId="566EAD46" w14:textId="77777777" w:rsidR="00316840" w:rsidRPr="00493D30" w:rsidRDefault="00316840" w:rsidP="00E65CA4">
      <w:pPr>
        <w:jc w:val="both"/>
        <w:rPr>
          <w:bCs/>
          <w:sz w:val="22"/>
          <w:szCs w:val="22"/>
          <w:lang w:eastAsia="pt-BR"/>
        </w:rPr>
      </w:pPr>
    </w:p>
    <w:p w14:paraId="60FBC549" w14:textId="4A845511" w:rsidR="00E65CA4" w:rsidRPr="00493D30" w:rsidRDefault="00E65CA4" w:rsidP="00E65CA4">
      <w:pPr>
        <w:jc w:val="center"/>
        <w:rPr>
          <w:sz w:val="22"/>
          <w:szCs w:val="22"/>
          <w:lang w:eastAsia="pt-BR"/>
        </w:rPr>
      </w:pPr>
      <w:r w:rsidRPr="00493D30">
        <w:rPr>
          <w:bCs/>
          <w:sz w:val="22"/>
          <w:szCs w:val="22"/>
          <w:lang w:eastAsia="pt-BR"/>
        </w:rPr>
        <w:t>CAPÍTULO VII</w:t>
      </w:r>
    </w:p>
    <w:p w14:paraId="35CC6553" w14:textId="77777777" w:rsidR="00E65CA4" w:rsidRPr="00493D30" w:rsidRDefault="00E65CA4" w:rsidP="00E65CA4">
      <w:pPr>
        <w:jc w:val="center"/>
        <w:rPr>
          <w:sz w:val="22"/>
          <w:szCs w:val="22"/>
          <w:lang w:eastAsia="pt-BR"/>
        </w:rPr>
      </w:pPr>
      <w:r w:rsidRPr="00493D30">
        <w:rPr>
          <w:bCs/>
          <w:sz w:val="22"/>
          <w:szCs w:val="22"/>
          <w:lang w:eastAsia="pt-BR"/>
        </w:rPr>
        <w:t>DISPOSIÇÕES TRANSITÓRIAS</w:t>
      </w:r>
    </w:p>
    <w:p w14:paraId="7D57F8E4" w14:textId="77777777" w:rsidR="00E65CA4" w:rsidRPr="00493D30" w:rsidRDefault="00E65CA4" w:rsidP="00E65CA4">
      <w:pPr>
        <w:jc w:val="both"/>
        <w:rPr>
          <w:bCs/>
          <w:sz w:val="22"/>
          <w:szCs w:val="22"/>
          <w:lang w:eastAsia="pt-BR"/>
        </w:rPr>
      </w:pPr>
    </w:p>
    <w:p w14:paraId="32F43791" w14:textId="77777777" w:rsidR="00E65CA4" w:rsidRPr="00493D30" w:rsidRDefault="00E65CA4" w:rsidP="00E65CA4">
      <w:pPr>
        <w:jc w:val="both"/>
        <w:rPr>
          <w:sz w:val="22"/>
          <w:szCs w:val="22"/>
          <w:lang w:eastAsia="pt-BR"/>
        </w:rPr>
      </w:pPr>
      <w:r w:rsidRPr="00493D30">
        <w:rPr>
          <w:bCs/>
          <w:sz w:val="22"/>
          <w:szCs w:val="22"/>
          <w:lang w:eastAsia="pt-BR"/>
        </w:rPr>
        <w:t xml:space="preserve">Primeira.   </w:t>
      </w:r>
      <w:r w:rsidRPr="00493D30">
        <w:rPr>
          <w:sz w:val="22"/>
          <w:szCs w:val="22"/>
          <w:lang w:eastAsia="pt-BR"/>
        </w:rPr>
        <w:t xml:space="preserve">O formato das pesquisas mencionadas no Artigo 17, inciso </w:t>
      </w:r>
      <w:r w:rsidRPr="00493D30">
        <w:rPr>
          <w:sz w:val="22"/>
          <w:szCs w:val="22"/>
          <w:u w:val="single"/>
          <w:lang w:eastAsia="pt-BR"/>
        </w:rPr>
        <w:t>e</w:t>
      </w:r>
      <w:r w:rsidRPr="00493D30">
        <w:rPr>
          <w:sz w:val="22"/>
          <w:szCs w:val="22"/>
          <w:lang w:eastAsia="pt-BR"/>
        </w:rPr>
        <w:t xml:space="preserve">, deverá ser previamente acordado pelos Estados membros no âmbito do CIDI. </w:t>
      </w:r>
    </w:p>
    <w:p w14:paraId="5E048F83" w14:textId="77777777" w:rsidR="00E65CA4" w:rsidRPr="00493D30" w:rsidRDefault="00E65CA4" w:rsidP="00E65CA4">
      <w:pPr>
        <w:jc w:val="both"/>
        <w:rPr>
          <w:sz w:val="22"/>
          <w:szCs w:val="22"/>
          <w:lang w:eastAsia="pt-BR"/>
        </w:rPr>
      </w:pPr>
    </w:p>
    <w:p w14:paraId="70028C9F" w14:textId="77777777" w:rsidR="00E65CA4" w:rsidRPr="00493D30" w:rsidRDefault="00E65CA4" w:rsidP="00E65CA4">
      <w:pPr>
        <w:jc w:val="both"/>
        <w:rPr>
          <w:sz w:val="22"/>
          <w:szCs w:val="22"/>
          <w:lang w:eastAsia="pt-BR"/>
        </w:rPr>
      </w:pPr>
      <w:r w:rsidRPr="00493D30">
        <w:rPr>
          <w:bCs/>
          <w:sz w:val="22"/>
          <w:szCs w:val="22"/>
          <w:lang w:eastAsia="pt-BR"/>
        </w:rPr>
        <w:lastRenderedPageBreak/>
        <w:t xml:space="preserve">Segunda.   </w:t>
      </w:r>
      <w:r w:rsidRPr="00493D30">
        <w:rPr>
          <w:sz w:val="22"/>
          <w:szCs w:val="22"/>
          <w:lang w:eastAsia="pt-BR"/>
        </w:rPr>
        <w:t xml:space="preserve">A partir do segundo ciclo de programação e dos subsequentes, os trabalhos de formulação conceitual do objetivo e programática, bem como a gestão de recursos externos, terão início coincidindo com o terceiro ano de implementação do ciclo de programação anterior, a fim de se assegurar que as atividades do FCD/OEA sejam permanentes e progressivas. </w:t>
      </w:r>
    </w:p>
    <w:p w14:paraId="2CD9AF84" w14:textId="77777777" w:rsidR="00E65CA4" w:rsidRPr="00493D30" w:rsidRDefault="00E65CA4" w:rsidP="00E65CA4">
      <w:pPr>
        <w:jc w:val="both"/>
        <w:rPr>
          <w:bCs/>
          <w:i/>
          <w:iCs/>
          <w:sz w:val="22"/>
          <w:szCs w:val="22"/>
          <w:lang w:eastAsia="pt-BR"/>
        </w:rPr>
      </w:pPr>
    </w:p>
    <w:p w14:paraId="362F2941" w14:textId="554BC6E3" w:rsidR="00021F17" w:rsidRPr="00493D30" w:rsidRDefault="000963DE" w:rsidP="00E65CA4">
      <w:pPr>
        <w:jc w:val="both"/>
        <w:rPr>
          <w:i/>
          <w:sz w:val="22"/>
          <w:szCs w:val="22"/>
        </w:rPr>
      </w:pPr>
      <w:r w:rsidRPr="00493D30">
        <w:rPr>
          <w:bCs/>
          <w:noProof/>
          <w:sz w:val="22"/>
          <w:szCs w:val="22"/>
          <w:lang w:val="en-US"/>
        </w:rPr>
        <mc:AlternateContent>
          <mc:Choice Requires="wps">
            <w:drawing>
              <wp:anchor distT="0" distB="0" distL="114300" distR="114300" simplePos="0" relativeHeight="251659264" behindDoc="0" locked="1" layoutInCell="1" allowOverlap="1" wp14:anchorId="653A869A" wp14:editId="6F1D622A">
                <wp:simplePos x="0" y="0"/>
                <wp:positionH relativeFrom="column">
                  <wp:posOffset>-91440</wp:posOffset>
                </wp:positionH>
                <wp:positionV relativeFrom="page">
                  <wp:posOffset>9144000</wp:posOffset>
                </wp:positionV>
                <wp:extent cx="3383280" cy="228600"/>
                <wp:effectExtent l="0" t="0" r="635" b="0"/>
                <wp:wrapNone/>
                <wp:docPr id="7520197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3F3D8" w14:textId="07530380" w:rsidR="00033F0A" w:rsidRPr="00033F0A" w:rsidRDefault="00033F0A">
                            <w:pPr>
                              <w:rPr>
                                <w:sz w:val="18"/>
                              </w:rPr>
                            </w:pPr>
                            <w:r>
                              <w:rPr>
                                <w:sz w:val="18"/>
                              </w:rPr>
                              <w:fldChar w:fldCharType="begin"/>
                            </w:r>
                            <w:r>
                              <w:rPr>
                                <w:sz w:val="18"/>
                              </w:rPr>
                              <w:instrText xml:space="preserve"> FILENAME  \* MERGEFORMAT </w:instrText>
                            </w:r>
                            <w:r>
                              <w:rPr>
                                <w:sz w:val="18"/>
                              </w:rPr>
                              <w:fldChar w:fldCharType="separate"/>
                            </w:r>
                            <w:r w:rsidR="00316840">
                              <w:rPr>
                                <w:noProof/>
                                <w:sz w:val="18"/>
                              </w:rPr>
                              <w:t>CIDRP03916P01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869A" id="Text Box 2" o:spid="_x0000_s1028"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hb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" filled="f" stroked="f">
                <v:textbox>
                  <w:txbxContent>
                    <w:p w14:paraId="5DC3F3D8" w14:textId="07530380" w:rsidR="00033F0A" w:rsidRPr="00033F0A" w:rsidRDefault="00033F0A">
                      <w:pPr>
                        <w:rPr>
                          <w:sz w:val="18"/>
                        </w:rPr>
                      </w:pPr>
                      <w:r>
                        <w:rPr>
                          <w:sz w:val="18"/>
                        </w:rPr>
                        <w:fldChar w:fldCharType="begin"/>
                      </w:r>
                      <w:r>
                        <w:rPr>
                          <w:sz w:val="18"/>
                        </w:rPr>
                        <w:instrText xml:space="preserve"> FILENAME  \* MERGEFORMAT </w:instrText>
                      </w:r>
                      <w:r>
                        <w:rPr>
                          <w:sz w:val="18"/>
                        </w:rPr>
                        <w:fldChar w:fldCharType="separate"/>
                      </w:r>
                      <w:r w:rsidR="00316840">
                        <w:rPr>
                          <w:noProof/>
                          <w:sz w:val="18"/>
                        </w:rPr>
                        <w:t>CIDRP03916P01</w:t>
                      </w:r>
                      <w:r>
                        <w:rPr>
                          <w:sz w:val="18"/>
                        </w:rPr>
                        <w:fldChar w:fldCharType="end"/>
                      </w:r>
                    </w:p>
                  </w:txbxContent>
                </v:textbox>
                <w10:wrap anchory="page"/>
                <w10:anchorlock/>
              </v:shape>
            </w:pict>
          </mc:Fallback>
        </mc:AlternateContent>
      </w:r>
      <w:r w:rsidR="00E65CA4" w:rsidRPr="00493D30">
        <w:rPr>
          <w:bCs/>
          <w:sz w:val="22"/>
          <w:szCs w:val="22"/>
          <w:lang w:eastAsia="pt-BR"/>
        </w:rPr>
        <w:t xml:space="preserve">Terceira.  </w:t>
      </w:r>
      <w:r w:rsidR="00E65CA4" w:rsidRPr="00493D30">
        <w:rPr>
          <w:sz w:val="22"/>
          <w:szCs w:val="22"/>
          <w:lang w:eastAsia="pt-BR"/>
        </w:rPr>
        <w:t>Ao se concluir o primeiro ciclo de programação, mediante relatório prévio da SEDI, os Estados membros avaliarão a provisoriedade dos ciclos de programação.</w:t>
      </w:r>
      <w:r w:rsidR="00752642" w:rsidRPr="00493D30">
        <w:rPr>
          <w:sz w:val="22"/>
          <w:szCs w:val="22"/>
        </w:rPr>
        <w:t xml:space="preserve">  </w:t>
      </w:r>
    </w:p>
    <w:sectPr w:rsidR="00021F17" w:rsidRPr="00493D30" w:rsidSect="008848C1">
      <w:headerReference w:type="default" r:id="rId11"/>
      <w:pgSz w:w="12240" w:h="15840"/>
      <w:pgMar w:top="2160" w:right="1570" w:bottom="1440" w:left="167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6254" w14:textId="77777777" w:rsidR="00697397" w:rsidRDefault="00697397">
      <w:r>
        <w:separator/>
      </w:r>
    </w:p>
  </w:endnote>
  <w:endnote w:type="continuationSeparator" w:id="0">
    <w:p w14:paraId="22610B3D" w14:textId="77777777" w:rsidR="00697397" w:rsidRDefault="0069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A959" w14:textId="77777777" w:rsidR="00697397" w:rsidRDefault="00697397">
      <w:r>
        <w:separator/>
      </w:r>
    </w:p>
  </w:footnote>
  <w:footnote w:type="continuationSeparator" w:id="0">
    <w:p w14:paraId="1E2C20E7" w14:textId="77777777" w:rsidR="00697397" w:rsidRDefault="00697397">
      <w:r>
        <w:continuationSeparator/>
      </w:r>
    </w:p>
  </w:footnote>
  <w:footnote w:id="1">
    <w:p w14:paraId="3E004B13" w14:textId="0920E84D" w:rsidR="00493D30" w:rsidRDefault="00493D30">
      <w:pPr>
        <w:pStyle w:val="FootnoteText"/>
      </w:pPr>
      <w:r>
        <w:rPr>
          <w:rStyle w:val="FootnoteReference"/>
        </w:rPr>
        <w:footnoteRef/>
      </w:r>
      <w:r>
        <w:t xml:space="preserve"> </w:t>
      </w:r>
      <w:r w:rsidRPr="00493D30">
        <w:t>A versão anterior a este estatuto é o documento: CIDI/doc. 99/14 rev. 1 aprovado pelo CIDI el 22 de maio de 2014 (</w:t>
      </w:r>
      <w:hyperlink r:id="rId1" w:history="1">
        <w:r w:rsidR="00E764E5" w:rsidRPr="00E764E5">
          <w:rPr>
            <w:rStyle w:val="Hyperlink"/>
          </w:rPr>
          <w:t>Español</w:t>
        </w:r>
      </w:hyperlink>
      <w:r w:rsidR="00E764E5" w:rsidRPr="00E764E5">
        <w:t> - </w:t>
      </w:r>
      <w:hyperlink r:id="rId2" w:history="1">
        <w:r w:rsidR="00E764E5" w:rsidRPr="00E764E5">
          <w:rPr>
            <w:rStyle w:val="Hyperlink"/>
          </w:rPr>
          <w:t>English</w:t>
        </w:r>
      </w:hyperlink>
      <w:r w:rsidR="00E764E5" w:rsidRPr="00E764E5">
        <w:t>- </w:t>
      </w:r>
      <w:hyperlink r:id="rId3" w:history="1">
        <w:r w:rsidR="00E764E5" w:rsidRPr="00E764E5">
          <w:rPr>
            <w:rStyle w:val="Hyperlink"/>
          </w:rPr>
          <w:t>Français</w:t>
        </w:r>
      </w:hyperlink>
      <w:r w:rsidR="00E764E5" w:rsidRPr="00E764E5">
        <w:t> - </w:t>
      </w:r>
      <w:hyperlink r:id="rId4" w:history="1">
        <w:r w:rsidR="00E764E5" w:rsidRPr="00E764E5">
          <w:rPr>
            <w:rStyle w:val="Hyperlink"/>
          </w:rPr>
          <w:t>Português</w:t>
        </w:r>
      </w:hyperlink>
      <w:r w:rsidRPr="00493D30">
        <w:t>).</w:t>
      </w:r>
    </w:p>
    <w:p w14:paraId="6E00B136" w14:textId="77777777" w:rsidR="00E764E5" w:rsidRPr="00493D30" w:rsidRDefault="00E764E5">
      <w:pPr>
        <w:pStyle w:val="FootnoteText"/>
      </w:pPr>
    </w:p>
  </w:footnote>
  <w:footnote w:id="2">
    <w:p w14:paraId="603AF538" w14:textId="4A0D546C" w:rsidR="00E764E5" w:rsidRPr="00E764E5" w:rsidRDefault="00E764E5" w:rsidP="00316840">
      <w:pPr>
        <w:pStyle w:val="FootnoteText"/>
        <w:jc w:val="both"/>
      </w:pPr>
      <w:r>
        <w:rPr>
          <w:rStyle w:val="FootnoteReference"/>
        </w:rPr>
        <w:footnoteRef/>
      </w:r>
      <w:r>
        <w:t xml:space="preserve"> </w:t>
      </w:r>
      <w:r w:rsidRPr="00E764E5">
        <w:t xml:space="preserve">Ajustado </w:t>
      </w:r>
      <w:r w:rsidR="00965966" w:rsidRPr="00965966">
        <w:t>em conformidade</w:t>
      </w:r>
      <w:r w:rsidRPr="00E764E5">
        <w:t xml:space="preserve"> </w:t>
      </w:r>
      <w:r w:rsidR="00965966" w:rsidRPr="00965966">
        <w:t>à</w:t>
      </w:r>
      <w:r w:rsidRPr="00E764E5">
        <w:t xml:space="preserve"> resolução (AG/RES. 2985 (LII-O-22) – (</w:t>
      </w:r>
      <w:hyperlink r:id="rId5" w:history="1">
        <w:r w:rsidRPr="00E764E5">
          <w:rPr>
            <w:rStyle w:val="Hyperlink"/>
            <w:color w:val="4472C4"/>
          </w:rPr>
          <w:t>Español</w:t>
        </w:r>
      </w:hyperlink>
      <w:r w:rsidRPr="00E764E5">
        <w:rPr>
          <w:color w:val="4472C4"/>
        </w:rPr>
        <w:t xml:space="preserve"> - </w:t>
      </w:r>
      <w:hyperlink r:id="rId6" w:history="1">
        <w:r w:rsidRPr="00E764E5">
          <w:rPr>
            <w:rStyle w:val="Hyperlink"/>
            <w:color w:val="4472C4"/>
          </w:rPr>
          <w:t>English</w:t>
        </w:r>
      </w:hyperlink>
      <w:r w:rsidRPr="00E764E5">
        <w:t>) para refletir a obrigação na seção de recuperação de custos diretos e indiretos (III.3.d) para eliminar o requisito de que o FCD contribui para o Fundo Regular para cobrir custos de supervisão técnica e apoiar administrativo aos programas que gerenciam o FCD.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50F" w14:textId="77777777" w:rsidR="00A12AB5" w:rsidRPr="008848C1" w:rsidRDefault="00A12AB5" w:rsidP="00171D81">
    <w:pPr>
      <w:pStyle w:val="Header"/>
      <w:framePr w:wrap="around" w:vAnchor="text" w:hAnchor="margin" w:xAlign="center" w:y="1"/>
      <w:rPr>
        <w:rStyle w:val="PageNumber"/>
        <w:rFonts w:ascii="Times New Roman" w:hAnsi="Times New Roman"/>
      </w:rPr>
    </w:pPr>
    <w:r w:rsidRPr="008848C1">
      <w:rPr>
        <w:rStyle w:val="PageNumber"/>
        <w:rFonts w:ascii="Times New Roman" w:hAnsi="Times New Roman"/>
      </w:rPr>
      <w:fldChar w:fldCharType="begin"/>
    </w:r>
    <w:r w:rsidRPr="008848C1">
      <w:rPr>
        <w:rStyle w:val="PageNumber"/>
        <w:rFonts w:ascii="Times New Roman" w:hAnsi="Times New Roman"/>
      </w:rPr>
      <w:instrText xml:space="preserve">PAGE  </w:instrText>
    </w:r>
    <w:r w:rsidRPr="008848C1">
      <w:rPr>
        <w:rStyle w:val="PageNumber"/>
        <w:rFonts w:ascii="Times New Roman" w:hAnsi="Times New Roman"/>
      </w:rPr>
      <w:fldChar w:fldCharType="separate"/>
    </w:r>
    <w:r w:rsidR="00616F9E">
      <w:rPr>
        <w:rStyle w:val="PageNumber"/>
        <w:rFonts w:ascii="Times New Roman" w:hAnsi="Times New Roman"/>
        <w:noProof/>
      </w:rPr>
      <w:t>- 1 -</w:t>
    </w:r>
    <w:r w:rsidRPr="008848C1">
      <w:rPr>
        <w:rStyle w:val="PageNumber"/>
        <w:rFonts w:ascii="Times New Roman" w:hAnsi="Times New Roman"/>
      </w:rPr>
      <w:fldChar w:fldCharType="end"/>
    </w:r>
  </w:p>
  <w:p w14:paraId="05FFD055" w14:textId="77777777" w:rsidR="00A12AB5" w:rsidRDefault="00A12AB5" w:rsidP="008848C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F3"/>
    <w:multiLevelType w:val="singleLevel"/>
    <w:tmpl w:val="11DEC4E6"/>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5D61228"/>
    <w:multiLevelType w:val="hybridMultilevel"/>
    <w:tmpl w:val="0E8E9DAA"/>
    <w:lvl w:ilvl="0" w:tplc="1D84B8D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4A0F"/>
    <w:multiLevelType w:val="singleLevel"/>
    <w:tmpl w:val="B83C79FC"/>
    <w:lvl w:ilvl="0">
      <w:start w:val="1"/>
      <w:numFmt w:val="decimal"/>
      <w:lvlText w:val="%1."/>
      <w:legacy w:legacy="1" w:legacySpace="0" w:legacyIndent="360"/>
      <w:lvlJc w:val="left"/>
      <w:pPr>
        <w:ind w:left="360" w:hanging="360"/>
      </w:pPr>
    </w:lvl>
  </w:abstractNum>
  <w:abstractNum w:abstractNumId="3" w15:restartNumberingAfterBreak="0">
    <w:nsid w:val="1C6D4B46"/>
    <w:multiLevelType w:val="singleLevel"/>
    <w:tmpl w:val="FA76482A"/>
    <w:lvl w:ilvl="0">
      <w:start w:val="1"/>
      <w:numFmt w:val="lowerLetter"/>
      <w:lvlText w:val="%1."/>
      <w:lvlJc w:val="left"/>
      <w:pPr>
        <w:tabs>
          <w:tab w:val="num" w:pos="1080"/>
        </w:tabs>
        <w:ind w:left="1080" w:hanging="360"/>
      </w:pPr>
      <w:rPr>
        <w:rFonts w:hint="default"/>
        <w:b w:val="0"/>
        <w:i w:val="0"/>
        <w:color w:val="auto"/>
      </w:rPr>
    </w:lvl>
  </w:abstractNum>
  <w:abstractNum w:abstractNumId="4" w15:restartNumberingAfterBreak="0">
    <w:nsid w:val="1FCD3E7B"/>
    <w:multiLevelType w:val="singleLevel"/>
    <w:tmpl w:val="F14C708A"/>
    <w:lvl w:ilvl="0">
      <w:start w:val="1"/>
      <w:numFmt w:val="decimal"/>
      <w:lvlText w:val="%1."/>
      <w:legacy w:legacy="1" w:legacySpace="0" w:legacyIndent="360"/>
      <w:lvlJc w:val="left"/>
      <w:pPr>
        <w:ind w:left="720" w:hanging="360"/>
      </w:pPr>
      <w:rPr>
        <w:color w:val="auto"/>
      </w:rPr>
    </w:lvl>
  </w:abstractNum>
  <w:abstractNum w:abstractNumId="5" w15:restartNumberingAfterBreak="0">
    <w:nsid w:val="20F4581B"/>
    <w:multiLevelType w:val="singleLevel"/>
    <w:tmpl w:val="170C74F2"/>
    <w:lvl w:ilvl="0">
      <w:start w:val="1"/>
      <w:numFmt w:val="lowerLetter"/>
      <w:lvlText w:val="%1)"/>
      <w:lvlJc w:val="left"/>
      <w:pPr>
        <w:tabs>
          <w:tab w:val="num" w:pos="2160"/>
        </w:tabs>
        <w:ind w:left="2160" w:hanging="720"/>
      </w:pPr>
      <w:rPr>
        <w:rFonts w:hint="default"/>
        <w:b w:val="0"/>
      </w:rPr>
    </w:lvl>
  </w:abstractNum>
  <w:abstractNum w:abstractNumId="6" w15:restartNumberingAfterBreak="0">
    <w:nsid w:val="231B7572"/>
    <w:multiLevelType w:val="hybridMultilevel"/>
    <w:tmpl w:val="DB0848D8"/>
    <w:lvl w:ilvl="0" w:tplc="C53C07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EE06EE"/>
    <w:multiLevelType w:val="hybridMultilevel"/>
    <w:tmpl w:val="EC088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35B33"/>
    <w:multiLevelType w:val="hybridMultilevel"/>
    <w:tmpl w:val="7D6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23411"/>
    <w:multiLevelType w:val="singleLevel"/>
    <w:tmpl w:val="B43C0C64"/>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0" w15:restartNumberingAfterBreak="0">
    <w:nsid w:val="3FF1541F"/>
    <w:multiLevelType w:val="hybridMultilevel"/>
    <w:tmpl w:val="78C46B3A"/>
    <w:lvl w:ilvl="0" w:tplc="0CB620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46851819"/>
    <w:multiLevelType w:val="hybridMultilevel"/>
    <w:tmpl w:val="5EFEA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3437C"/>
    <w:multiLevelType w:val="singleLevel"/>
    <w:tmpl w:val="170C74F2"/>
    <w:lvl w:ilvl="0">
      <w:start w:val="1"/>
      <w:numFmt w:val="lowerLetter"/>
      <w:lvlText w:val="%1)"/>
      <w:lvlJc w:val="left"/>
      <w:pPr>
        <w:tabs>
          <w:tab w:val="num" w:pos="2160"/>
        </w:tabs>
        <w:ind w:left="2160" w:hanging="720"/>
      </w:pPr>
      <w:rPr>
        <w:rFonts w:hint="default"/>
        <w:b w:val="0"/>
      </w:rPr>
    </w:lvl>
  </w:abstractNum>
  <w:abstractNum w:abstractNumId="13" w15:restartNumberingAfterBreak="0">
    <w:nsid w:val="5DE43920"/>
    <w:multiLevelType w:val="hybridMultilevel"/>
    <w:tmpl w:val="68A880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5437642"/>
    <w:multiLevelType w:val="singleLevel"/>
    <w:tmpl w:val="826E5140"/>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15" w15:restartNumberingAfterBreak="0">
    <w:nsid w:val="75B14646"/>
    <w:multiLevelType w:val="hybridMultilevel"/>
    <w:tmpl w:val="39AA9CCE"/>
    <w:lvl w:ilvl="0" w:tplc="68BC8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7495478">
    <w:abstractNumId w:val="9"/>
  </w:num>
  <w:num w:numId="2" w16cid:durableId="896162651">
    <w:abstractNumId w:val="0"/>
  </w:num>
  <w:num w:numId="3" w16cid:durableId="1776947332">
    <w:abstractNumId w:val="14"/>
  </w:num>
  <w:num w:numId="4" w16cid:durableId="1350109971">
    <w:abstractNumId w:val="5"/>
  </w:num>
  <w:num w:numId="5" w16cid:durableId="2032611307">
    <w:abstractNumId w:val="12"/>
  </w:num>
  <w:num w:numId="6" w16cid:durableId="347217318">
    <w:abstractNumId w:val="2"/>
  </w:num>
  <w:num w:numId="7" w16cid:durableId="273051265">
    <w:abstractNumId w:val="4"/>
  </w:num>
  <w:num w:numId="8" w16cid:durableId="579212371">
    <w:abstractNumId w:val="3"/>
  </w:num>
  <w:num w:numId="9" w16cid:durableId="1710492246">
    <w:abstractNumId w:val="11"/>
  </w:num>
  <w:num w:numId="10" w16cid:durableId="855536310">
    <w:abstractNumId w:val="6"/>
  </w:num>
  <w:num w:numId="11" w16cid:durableId="288783950">
    <w:abstractNumId w:val="15"/>
  </w:num>
  <w:num w:numId="12" w16cid:durableId="959653885">
    <w:abstractNumId w:val="7"/>
  </w:num>
  <w:num w:numId="13" w16cid:durableId="1500385128">
    <w:abstractNumId w:val="1"/>
  </w:num>
  <w:num w:numId="14" w16cid:durableId="909466593">
    <w:abstractNumId w:val="8"/>
  </w:num>
  <w:num w:numId="15" w16cid:durableId="571352505">
    <w:abstractNumId w:val="13"/>
  </w:num>
  <w:num w:numId="16" w16cid:durableId="15491468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4"/>
    <w:rsid w:val="000001C3"/>
    <w:rsid w:val="00000ED5"/>
    <w:rsid w:val="0000238E"/>
    <w:rsid w:val="000026F4"/>
    <w:rsid w:val="00005D01"/>
    <w:rsid w:val="0000679F"/>
    <w:rsid w:val="000118F1"/>
    <w:rsid w:val="00021F17"/>
    <w:rsid w:val="00022398"/>
    <w:rsid w:val="00022EF0"/>
    <w:rsid w:val="00023597"/>
    <w:rsid w:val="000247A3"/>
    <w:rsid w:val="000248C9"/>
    <w:rsid w:val="00030362"/>
    <w:rsid w:val="00033403"/>
    <w:rsid w:val="00033F0A"/>
    <w:rsid w:val="00037C80"/>
    <w:rsid w:val="000409C0"/>
    <w:rsid w:val="00042CAB"/>
    <w:rsid w:val="0004429F"/>
    <w:rsid w:val="00045F6A"/>
    <w:rsid w:val="00052B91"/>
    <w:rsid w:val="000573F7"/>
    <w:rsid w:val="000613F3"/>
    <w:rsid w:val="00061819"/>
    <w:rsid w:val="00062C12"/>
    <w:rsid w:val="00064443"/>
    <w:rsid w:val="0007142C"/>
    <w:rsid w:val="000747E7"/>
    <w:rsid w:val="000765E6"/>
    <w:rsid w:val="00080F5C"/>
    <w:rsid w:val="00082ADD"/>
    <w:rsid w:val="00084DAD"/>
    <w:rsid w:val="000917C6"/>
    <w:rsid w:val="00091DEA"/>
    <w:rsid w:val="00095E8E"/>
    <w:rsid w:val="000963DE"/>
    <w:rsid w:val="000A0F1F"/>
    <w:rsid w:val="000B6F49"/>
    <w:rsid w:val="000B7F1C"/>
    <w:rsid w:val="000C191B"/>
    <w:rsid w:val="000C3C36"/>
    <w:rsid w:val="000C67D2"/>
    <w:rsid w:val="000D0FA3"/>
    <w:rsid w:val="000D53EC"/>
    <w:rsid w:val="000E0EF7"/>
    <w:rsid w:val="000E3703"/>
    <w:rsid w:val="000E3D2E"/>
    <w:rsid w:val="000E6634"/>
    <w:rsid w:val="000F0107"/>
    <w:rsid w:val="000F2754"/>
    <w:rsid w:val="000F4EA6"/>
    <w:rsid w:val="0010678B"/>
    <w:rsid w:val="00110777"/>
    <w:rsid w:val="001206A6"/>
    <w:rsid w:val="00131955"/>
    <w:rsid w:val="00136828"/>
    <w:rsid w:val="0014112E"/>
    <w:rsid w:val="00144E0E"/>
    <w:rsid w:val="0014698A"/>
    <w:rsid w:val="001524BE"/>
    <w:rsid w:val="00152F05"/>
    <w:rsid w:val="00154749"/>
    <w:rsid w:val="00157F4D"/>
    <w:rsid w:val="001609BA"/>
    <w:rsid w:val="0016290D"/>
    <w:rsid w:val="001672B3"/>
    <w:rsid w:val="0016731D"/>
    <w:rsid w:val="00171D81"/>
    <w:rsid w:val="0017462D"/>
    <w:rsid w:val="00174938"/>
    <w:rsid w:val="0017655E"/>
    <w:rsid w:val="00187C6D"/>
    <w:rsid w:val="00192F39"/>
    <w:rsid w:val="0019720D"/>
    <w:rsid w:val="001A13DB"/>
    <w:rsid w:val="001A213D"/>
    <w:rsid w:val="001B68DE"/>
    <w:rsid w:val="001C1948"/>
    <w:rsid w:val="001C1D14"/>
    <w:rsid w:val="001E1B92"/>
    <w:rsid w:val="001F1F72"/>
    <w:rsid w:val="001F257F"/>
    <w:rsid w:val="001F3593"/>
    <w:rsid w:val="00200124"/>
    <w:rsid w:val="0020064F"/>
    <w:rsid w:val="00201896"/>
    <w:rsid w:val="00206F78"/>
    <w:rsid w:val="0021525F"/>
    <w:rsid w:val="00215C23"/>
    <w:rsid w:val="00225E80"/>
    <w:rsid w:val="0022661C"/>
    <w:rsid w:val="002335CD"/>
    <w:rsid w:val="002351DA"/>
    <w:rsid w:val="00235282"/>
    <w:rsid w:val="00236C73"/>
    <w:rsid w:val="00243199"/>
    <w:rsid w:val="00245BF3"/>
    <w:rsid w:val="00247535"/>
    <w:rsid w:val="00253180"/>
    <w:rsid w:val="00254B49"/>
    <w:rsid w:val="00267382"/>
    <w:rsid w:val="00270B44"/>
    <w:rsid w:val="00271FE4"/>
    <w:rsid w:val="002759CE"/>
    <w:rsid w:val="0027649B"/>
    <w:rsid w:val="002775BD"/>
    <w:rsid w:val="00286DBF"/>
    <w:rsid w:val="00287447"/>
    <w:rsid w:val="002947A7"/>
    <w:rsid w:val="002B45CD"/>
    <w:rsid w:val="002C2264"/>
    <w:rsid w:val="002C4341"/>
    <w:rsid w:val="002C7D1D"/>
    <w:rsid w:val="002D5C22"/>
    <w:rsid w:val="002D5DD4"/>
    <w:rsid w:val="002D7549"/>
    <w:rsid w:val="002F0FB2"/>
    <w:rsid w:val="002F3E10"/>
    <w:rsid w:val="002F552B"/>
    <w:rsid w:val="00300C08"/>
    <w:rsid w:val="00301AA0"/>
    <w:rsid w:val="003064F9"/>
    <w:rsid w:val="00310A49"/>
    <w:rsid w:val="0031276E"/>
    <w:rsid w:val="00316840"/>
    <w:rsid w:val="00317FAA"/>
    <w:rsid w:val="00324DC8"/>
    <w:rsid w:val="003253F7"/>
    <w:rsid w:val="0032547A"/>
    <w:rsid w:val="0034577B"/>
    <w:rsid w:val="00351320"/>
    <w:rsid w:val="003523DD"/>
    <w:rsid w:val="00352938"/>
    <w:rsid w:val="00352FC8"/>
    <w:rsid w:val="00354B5F"/>
    <w:rsid w:val="0036165D"/>
    <w:rsid w:val="003646DA"/>
    <w:rsid w:val="00366B1B"/>
    <w:rsid w:val="00375217"/>
    <w:rsid w:val="003856EC"/>
    <w:rsid w:val="003879CA"/>
    <w:rsid w:val="00391A8F"/>
    <w:rsid w:val="00392521"/>
    <w:rsid w:val="00394C05"/>
    <w:rsid w:val="00396332"/>
    <w:rsid w:val="003A3346"/>
    <w:rsid w:val="003A4223"/>
    <w:rsid w:val="003A610B"/>
    <w:rsid w:val="003B7154"/>
    <w:rsid w:val="003C3D4B"/>
    <w:rsid w:val="003D05A3"/>
    <w:rsid w:val="003D0B89"/>
    <w:rsid w:val="003D22AF"/>
    <w:rsid w:val="003E0D82"/>
    <w:rsid w:val="003E2E86"/>
    <w:rsid w:val="003F3843"/>
    <w:rsid w:val="003F3F17"/>
    <w:rsid w:val="003F5934"/>
    <w:rsid w:val="003F6084"/>
    <w:rsid w:val="003F6332"/>
    <w:rsid w:val="003F6B8E"/>
    <w:rsid w:val="00403CDF"/>
    <w:rsid w:val="004045D7"/>
    <w:rsid w:val="00404EFD"/>
    <w:rsid w:val="00412AF1"/>
    <w:rsid w:val="004225A3"/>
    <w:rsid w:val="00426930"/>
    <w:rsid w:val="004323D8"/>
    <w:rsid w:val="00435026"/>
    <w:rsid w:val="0043555C"/>
    <w:rsid w:val="00443FA9"/>
    <w:rsid w:val="00445BE9"/>
    <w:rsid w:val="00450452"/>
    <w:rsid w:val="00450E36"/>
    <w:rsid w:val="004538BB"/>
    <w:rsid w:val="00460031"/>
    <w:rsid w:val="00467FEA"/>
    <w:rsid w:val="004765EC"/>
    <w:rsid w:val="00493D30"/>
    <w:rsid w:val="004941BF"/>
    <w:rsid w:val="00495B89"/>
    <w:rsid w:val="004A029D"/>
    <w:rsid w:val="004A0888"/>
    <w:rsid w:val="004B379E"/>
    <w:rsid w:val="004B70D2"/>
    <w:rsid w:val="004C09CA"/>
    <w:rsid w:val="004C3FFF"/>
    <w:rsid w:val="004D0A41"/>
    <w:rsid w:val="004D7705"/>
    <w:rsid w:val="004E4D8E"/>
    <w:rsid w:val="004E4E31"/>
    <w:rsid w:val="004E71CD"/>
    <w:rsid w:val="004F18BC"/>
    <w:rsid w:val="004F3254"/>
    <w:rsid w:val="004F596C"/>
    <w:rsid w:val="005036AE"/>
    <w:rsid w:val="00506A53"/>
    <w:rsid w:val="0050754C"/>
    <w:rsid w:val="005107F3"/>
    <w:rsid w:val="00516D7D"/>
    <w:rsid w:val="00517C6F"/>
    <w:rsid w:val="00526CF7"/>
    <w:rsid w:val="005272CC"/>
    <w:rsid w:val="00531B98"/>
    <w:rsid w:val="00536775"/>
    <w:rsid w:val="00536D32"/>
    <w:rsid w:val="005411D3"/>
    <w:rsid w:val="005460A7"/>
    <w:rsid w:val="00551D1D"/>
    <w:rsid w:val="00561027"/>
    <w:rsid w:val="005627EF"/>
    <w:rsid w:val="0056409A"/>
    <w:rsid w:val="00574DAD"/>
    <w:rsid w:val="00575BDD"/>
    <w:rsid w:val="00576516"/>
    <w:rsid w:val="00577222"/>
    <w:rsid w:val="00581532"/>
    <w:rsid w:val="005820C6"/>
    <w:rsid w:val="00582C42"/>
    <w:rsid w:val="00591587"/>
    <w:rsid w:val="00591C42"/>
    <w:rsid w:val="00593653"/>
    <w:rsid w:val="005966D8"/>
    <w:rsid w:val="00597955"/>
    <w:rsid w:val="005A0291"/>
    <w:rsid w:val="005A09E3"/>
    <w:rsid w:val="005B0951"/>
    <w:rsid w:val="005B1620"/>
    <w:rsid w:val="005B2319"/>
    <w:rsid w:val="005C0E11"/>
    <w:rsid w:val="005C2566"/>
    <w:rsid w:val="005C41DC"/>
    <w:rsid w:val="005C7095"/>
    <w:rsid w:val="005E0E6D"/>
    <w:rsid w:val="005F76C4"/>
    <w:rsid w:val="005F7ACF"/>
    <w:rsid w:val="00603E45"/>
    <w:rsid w:val="0061068F"/>
    <w:rsid w:val="00610945"/>
    <w:rsid w:val="00611CA2"/>
    <w:rsid w:val="00613D69"/>
    <w:rsid w:val="0061539A"/>
    <w:rsid w:val="00616F9E"/>
    <w:rsid w:val="00627A7B"/>
    <w:rsid w:val="00630DFB"/>
    <w:rsid w:val="006340AD"/>
    <w:rsid w:val="00640E32"/>
    <w:rsid w:val="006430DC"/>
    <w:rsid w:val="00661D23"/>
    <w:rsid w:val="006626DE"/>
    <w:rsid w:val="00664BD7"/>
    <w:rsid w:val="0067503D"/>
    <w:rsid w:val="006823DF"/>
    <w:rsid w:val="00682929"/>
    <w:rsid w:val="00685AEB"/>
    <w:rsid w:val="00685D0A"/>
    <w:rsid w:val="00691264"/>
    <w:rsid w:val="0069269C"/>
    <w:rsid w:val="006928EE"/>
    <w:rsid w:val="00692F18"/>
    <w:rsid w:val="00693519"/>
    <w:rsid w:val="00695094"/>
    <w:rsid w:val="00697397"/>
    <w:rsid w:val="006A2384"/>
    <w:rsid w:val="006A2869"/>
    <w:rsid w:val="006B046B"/>
    <w:rsid w:val="006B5563"/>
    <w:rsid w:val="006B5C6C"/>
    <w:rsid w:val="006C161F"/>
    <w:rsid w:val="006C330F"/>
    <w:rsid w:val="006C4576"/>
    <w:rsid w:val="006C6396"/>
    <w:rsid w:val="006C7124"/>
    <w:rsid w:val="006D131F"/>
    <w:rsid w:val="006D61FF"/>
    <w:rsid w:val="006E32B6"/>
    <w:rsid w:val="006E58F4"/>
    <w:rsid w:val="00702E4B"/>
    <w:rsid w:val="007040EE"/>
    <w:rsid w:val="00705D8A"/>
    <w:rsid w:val="00711AAD"/>
    <w:rsid w:val="00711FB2"/>
    <w:rsid w:val="00712851"/>
    <w:rsid w:val="00715867"/>
    <w:rsid w:val="00715B8C"/>
    <w:rsid w:val="0072110D"/>
    <w:rsid w:val="00722DF8"/>
    <w:rsid w:val="007245EA"/>
    <w:rsid w:val="00726A18"/>
    <w:rsid w:val="00727930"/>
    <w:rsid w:val="00730E42"/>
    <w:rsid w:val="007339CC"/>
    <w:rsid w:val="00736CE8"/>
    <w:rsid w:val="00747121"/>
    <w:rsid w:val="007475D4"/>
    <w:rsid w:val="00747917"/>
    <w:rsid w:val="00747A14"/>
    <w:rsid w:val="00747F99"/>
    <w:rsid w:val="00752642"/>
    <w:rsid w:val="00752984"/>
    <w:rsid w:val="0075377B"/>
    <w:rsid w:val="00756628"/>
    <w:rsid w:val="00762B51"/>
    <w:rsid w:val="00765B2B"/>
    <w:rsid w:val="0077183B"/>
    <w:rsid w:val="00774112"/>
    <w:rsid w:val="00777701"/>
    <w:rsid w:val="007804A6"/>
    <w:rsid w:val="00782588"/>
    <w:rsid w:val="0078463B"/>
    <w:rsid w:val="007903CE"/>
    <w:rsid w:val="007945E1"/>
    <w:rsid w:val="007968A9"/>
    <w:rsid w:val="00797233"/>
    <w:rsid w:val="007A2E0E"/>
    <w:rsid w:val="007A5475"/>
    <w:rsid w:val="007D1FF0"/>
    <w:rsid w:val="007D5F3D"/>
    <w:rsid w:val="007D7CD8"/>
    <w:rsid w:val="007E3D5B"/>
    <w:rsid w:val="007F2B4F"/>
    <w:rsid w:val="007F6B66"/>
    <w:rsid w:val="00801108"/>
    <w:rsid w:val="00811FFE"/>
    <w:rsid w:val="00812C1B"/>
    <w:rsid w:val="0081417C"/>
    <w:rsid w:val="00814E44"/>
    <w:rsid w:val="008225D0"/>
    <w:rsid w:val="008244F6"/>
    <w:rsid w:val="00836003"/>
    <w:rsid w:val="0084139D"/>
    <w:rsid w:val="008448C1"/>
    <w:rsid w:val="0084665E"/>
    <w:rsid w:val="008503C3"/>
    <w:rsid w:val="00862A8F"/>
    <w:rsid w:val="00871AF9"/>
    <w:rsid w:val="00880148"/>
    <w:rsid w:val="00880395"/>
    <w:rsid w:val="00882EF7"/>
    <w:rsid w:val="008848C1"/>
    <w:rsid w:val="0088495D"/>
    <w:rsid w:val="00896CF3"/>
    <w:rsid w:val="008A2A12"/>
    <w:rsid w:val="008A4161"/>
    <w:rsid w:val="008A61D6"/>
    <w:rsid w:val="008B40B3"/>
    <w:rsid w:val="008B57F5"/>
    <w:rsid w:val="008B6860"/>
    <w:rsid w:val="008B7709"/>
    <w:rsid w:val="008C6079"/>
    <w:rsid w:val="008C74C6"/>
    <w:rsid w:val="008D1406"/>
    <w:rsid w:val="008D1984"/>
    <w:rsid w:val="008D3493"/>
    <w:rsid w:val="008D60DA"/>
    <w:rsid w:val="008D61B5"/>
    <w:rsid w:val="008E3410"/>
    <w:rsid w:val="008E5927"/>
    <w:rsid w:val="008F2D58"/>
    <w:rsid w:val="008F3475"/>
    <w:rsid w:val="008F714C"/>
    <w:rsid w:val="00901A6B"/>
    <w:rsid w:val="00903F76"/>
    <w:rsid w:val="0090551B"/>
    <w:rsid w:val="00921789"/>
    <w:rsid w:val="00923CFD"/>
    <w:rsid w:val="0093170E"/>
    <w:rsid w:val="00934E30"/>
    <w:rsid w:val="00936D83"/>
    <w:rsid w:val="00944809"/>
    <w:rsid w:val="00947FFA"/>
    <w:rsid w:val="009533C4"/>
    <w:rsid w:val="00953A8C"/>
    <w:rsid w:val="00953B9F"/>
    <w:rsid w:val="00956023"/>
    <w:rsid w:val="00960767"/>
    <w:rsid w:val="00965966"/>
    <w:rsid w:val="0096641E"/>
    <w:rsid w:val="00971955"/>
    <w:rsid w:val="00973EC0"/>
    <w:rsid w:val="00974830"/>
    <w:rsid w:val="00975846"/>
    <w:rsid w:val="009767D3"/>
    <w:rsid w:val="0098081F"/>
    <w:rsid w:val="0098318F"/>
    <w:rsid w:val="009862F0"/>
    <w:rsid w:val="00992304"/>
    <w:rsid w:val="0099271A"/>
    <w:rsid w:val="00992768"/>
    <w:rsid w:val="0099310C"/>
    <w:rsid w:val="00993FE0"/>
    <w:rsid w:val="009A0551"/>
    <w:rsid w:val="009A3CD6"/>
    <w:rsid w:val="009B3214"/>
    <w:rsid w:val="009B6130"/>
    <w:rsid w:val="009B6246"/>
    <w:rsid w:val="009B6A76"/>
    <w:rsid w:val="009B6A9C"/>
    <w:rsid w:val="009B6D10"/>
    <w:rsid w:val="009B7C1D"/>
    <w:rsid w:val="009C15E7"/>
    <w:rsid w:val="009C1F1D"/>
    <w:rsid w:val="009C25F6"/>
    <w:rsid w:val="009D2F14"/>
    <w:rsid w:val="009F150B"/>
    <w:rsid w:val="009F2B26"/>
    <w:rsid w:val="009F3734"/>
    <w:rsid w:val="009F50DE"/>
    <w:rsid w:val="009F53FB"/>
    <w:rsid w:val="009F761E"/>
    <w:rsid w:val="00A0131B"/>
    <w:rsid w:val="00A0398F"/>
    <w:rsid w:val="00A07269"/>
    <w:rsid w:val="00A12AB5"/>
    <w:rsid w:val="00A1699D"/>
    <w:rsid w:val="00A21B67"/>
    <w:rsid w:val="00A23BAE"/>
    <w:rsid w:val="00A30CF6"/>
    <w:rsid w:val="00A36BE6"/>
    <w:rsid w:val="00A40183"/>
    <w:rsid w:val="00A405AE"/>
    <w:rsid w:val="00A40FB7"/>
    <w:rsid w:val="00A41471"/>
    <w:rsid w:val="00A513B7"/>
    <w:rsid w:val="00A55487"/>
    <w:rsid w:val="00A561E0"/>
    <w:rsid w:val="00A56D0D"/>
    <w:rsid w:val="00A609C8"/>
    <w:rsid w:val="00A60B8F"/>
    <w:rsid w:val="00A82AC0"/>
    <w:rsid w:val="00A933D7"/>
    <w:rsid w:val="00A94C0B"/>
    <w:rsid w:val="00A9630A"/>
    <w:rsid w:val="00A9722F"/>
    <w:rsid w:val="00AA1E29"/>
    <w:rsid w:val="00AA61D5"/>
    <w:rsid w:val="00AB0990"/>
    <w:rsid w:val="00AB24D6"/>
    <w:rsid w:val="00AB4FD3"/>
    <w:rsid w:val="00AC0FB8"/>
    <w:rsid w:val="00AC17B4"/>
    <w:rsid w:val="00AC1866"/>
    <w:rsid w:val="00AC4E61"/>
    <w:rsid w:val="00AC5895"/>
    <w:rsid w:val="00AC6C04"/>
    <w:rsid w:val="00AD7141"/>
    <w:rsid w:val="00AE04BF"/>
    <w:rsid w:val="00AE42A6"/>
    <w:rsid w:val="00AE661F"/>
    <w:rsid w:val="00AE79C1"/>
    <w:rsid w:val="00B04743"/>
    <w:rsid w:val="00B07804"/>
    <w:rsid w:val="00B129E8"/>
    <w:rsid w:val="00B132C0"/>
    <w:rsid w:val="00B15986"/>
    <w:rsid w:val="00B16364"/>
    <w:rsid w:val="00B17336"/>
    <w:rsid w:val="00B267D4"/>
    <w:rsid w:val="00B26F57"/>
    <w:rsid w:val="00B34AEC"/>
    <w:rsid w:val="00B37FA8"/>
    <w:rsid w:val="00B5420F"/>
    <w:rsid w:val="00B5511F"/>
    <w:rsid w:val="00B553DB"/>
    <w:rsid w:val="00B61D01"/>
    <w:rsid w:val="00B62193"/>
    <w:rsid w:val="00B714F5"/>
    <w:rsid w:val="00B72049"/>
    <w:rsid w:val="00B83D3E"/>
    <w:rsid w:val="00B856F3"/>
    <w:rsid w:val="00B871D2"/>
    <w:rsid w:val="00BB32BC"/>
    <w:rsid w:val="00BB5923"/>
    <w:rsid w:val="00BB679F"/>
    <w:rsid w:val="00BC0246"/>
    <w:rsid w:val="00BC110A"/>
    <w:rsid w:val="00BC2948"/>
    <w:rsid w:val="00BC6022"/>
    <w:rsid w:val="00BC6BA5"/>
    <w:rsid w:val="00BD0BD3"/>
    <w:rsid w:val="00BD4296"/>
    <w:rsid w:val="00BD4CCE"/>
    <w:rsid w:val="00BE084B"/>
    <w:rsid w:val="00BE23C4"/>
    <w:rsid w:val="00BE58D1"/>
    <w:rsid w:val="00BF3C37"/>
    <w:rsid w:val="00BF519E"/>
    <w:rsid w:val="00C0240E"/>
    <w:rsid w:val="00C02AC9"/>
    <w:rsid w:val="00C0531B"/>
    <w:rsid w:val="00C131F6"/>
    <w:rsid w:val="00C2126D"/>
    <w:rsid w:val="00C220A9"/>
    <w:rsid w:val="00C22556"/>
    <w:rsid w:val="00C2439B"/>
    <w:rsid w:val="00C27C44"/>
    <w:rsid w:val="00C30255"/>
    <w:rsid w:val="00C36263"/>
    <w:rsid w:val="00C36552"/>
    <w:rsid w:val="00C41335"/>
    <w:rsid w:val="00C42023"/>
    <w:rsid w:val="00C421FC"/>
    <w:rsid w:val="00C45F23"/>
    <w:rsid w:val="00C50DDF"/>
    <w:rsid w:val="00C50EA4"/>
    <w:rsid w:val="00C53174"/>
    <w:rsid w:val="00C5396E"/>
    <w:rsid w:val="00C55AAD"/>
    <w:rsid w:val="00C576F8"/>
    <w:rsid w:val="00C652BD"/>
    <w:rsid w:val="00C653DA"/>
    <w:rsid w:val="00C77BB4"/>
    <w:rsid w:val="00C77E5F"/>
    <w:rsid w:val="00C77FAE"/>
    <w:rsid w:val="00C81574"/>
    <w:rsid w:val="00C92B34"/>
    <w:rsid w:val="00C936E1"/>
    <w:rsid w:val="00C960E0"/>
    <w:rsid w:val="00C97BF9"/>
    <w:rsid w:val="00CA1763"/>
    <w:rsid w:val="00CA1DA8"/>
    <w:rsid w:val="00CA4CC0"/>
    <w:rsid w:val="00CA5ECA"/>
    <w:rsid w:val="00CB05D0"/>
    <w:rsid w:val="00CB0D73"/>
    <w:rsid w:val="00CB2132"/>
    <w:rsid w:val="00CB683B"/>
    <w:rsid w:val="00CB7835"/>
    <w:rsid w:val="00CC3229"/>
    <w:rsid w:val="00CC37B1"/>
    <w:rsid w:val="00CC42A9"/>
    <w:rsid w:val="00CC534A"/>
    <w:rsid w:val="00CD0C3D"/>
    <w:rsid w:val="00CD56E7"/>
    <w:rsid w:val="00CD5C33"/>
    <w:rsid w:val="00CE3C29"/>
    <w:rsid w:val="00CE6FAA"/>
    <w:rsid w:val="00CF0C24"/>
    <w:rsid w:val="00CF4EA6"/>
    <w:rsid w:val="00CF6DD1"/>
    <w:rsid w:val="00D036A9"/>
    <w:rsid w:val="00D10620"/>
    <w:rsid w:val="00D1267B"/>
    <w:rsid w:val="00D147C5"/>
    <w:rsid w:val="00D203AB"/>
    <w:rsid w:val="00D21CBC"/>
    <w:rsid w:val="00D3117A"/>
    <w:rsid w:val="00D3445D"/>
    <w:rsid w:val="00D35D07"/>
    <w:rsid w:val="00D35DAC"/>
    <w:rsid w:val="00D4120D"/>
    <w:rsid w:val="00D4383C"/>
    <w:rsid w:val="00D47928"/>
    <w:rsid w:val="00D5032B"/>
    <w:rsid w:val="00D5041C"/>
    <w:rsid w:val="00D54212"/>
    <w:rsid w:val="00D5613D"/>
    <w:rsid w:val="00D57A9E"/>
    <w:rsid w:val="00D63244"/>
    <w:rsid w:val="00D67FA2"/>
    <w:rsid w:val="00D70C53"/>
    <w:rsid w:val="00D75E77"/>
    <w:rsid w:val="00D7792F"/>
    <w:rsid w:val="00D80117"/>
    <w:rsid w:val="00D828EE"/>
    <w:rsid w:val="00D84B34"/>
    <w:rsid w:val="00D869F1"/>
    <w:rsid w:val="00D94E24"/>
    <w:rsid w:val="00DA7057"/>
    <w:rsid w:val="00DC1D2D"/>
    <w:rsid w:val="00DC5DF3"/>
    <w:rsid w:val="00DD15A8"/>
    <w:rsid w:val="00DD19CA"/>
    <w:rsid w:val="00DD536E"/>
    <w:rsid w:val="00DD595E"/>
    <w:rsid w:val="00DE7A80"/>
    <w:rsid w:val="00DE7EDB"/>
    <w:rsid w:val="00DF25D1"/>
    <w:rsid w:val="00DF6AA6"/>
    <w:rsid w:val="00DF721C"/>
    <w:rsid w:val="00E0153E"/>
    <w:rsid w:val="00E02BF2"/>
    <w:rsid w:val="00E048A2"/>
    <w:rsid w:val="00E1333B"/>
    <w:rsid w:val="00E149D6"/>
    <w:rsid w:val="00E14E75"/>
    <w:rsid w:val="00E1501F"/>
    <w:rsid w:val="00E239D4"/>
    <w:rsid w:val="00E2703B"/>
    <w:rsid w:val="00E334AD"/>
    <w:rsid w:val="00E34214"/>
    <w:rsid w:val="00E36A1E"/>
    <w:rsid w:val="00E36CB5"/>
    <w:rsid w:val="00E47E65"/>
    <w:rsid w:val="00E52CE4"/>
    <w:rsid w:val="00E54B67"/>
    <w:rsid w:val="00E56210"/>
    <w:rsid w:val="00E56E5D"/>
    <w:rsid w:val="00E57C79"/>
    <w:rsid w:val="00E65CA4"/>
    <w:rsid w:val="00E66C3C"/>
    <w:rsid w:val="00E764E5"/>
    <w:rsid w:val="00E76AC4"/>
    <w:rsid w:val="00E76DA2"/>
    <w:rsid w:val="00E775DB"/>
    <w:rsid w:val="00E8657C"/>
    <w:rsid w:val="00E94D09"/>
    <w:rsid w:val="00E96113"/>
    <w:rsid w:val="00EA0813"/>
    <w:rsid w:val="00EB068F"/>
    <w:rsid w:val="00EB113C"/>
    <w:rsid w:val="00EB4F7E"/>
    <w:rsid w:val="00EB7288"/>
    <w:rsid w:val="00EC5BE4"/>
    <w:rsid w:val="00EC5EB0"/>
    <w:rsid w:val="00EC6504"/>
    <w:rsid w:val="00EC7865"/>
    <w:rsid w:val="00ED038A"/>
    <w:rsid w:val="00ED0F93"/>
    <w:rsid w:val="00ED7478"/>
    <w:rsid w:val="00EE0BDC"/>
    <w:rsid w:val="00EE357C"/>
    <w:rsid w:val="00EE4785"/>
    <w:rsid w:val="00EE6103"/>
    <w:rsid w:val="00F00AC6"/>
    <w:rsid w:val="00F03EA7"/>
    <w:rsid w:val="00F04AFE"/>
    <w:rsid w:val="00F123B0"/>
    <w:rsid w:val="00F14389"/>
    <w:rsid w:val="00F14634"/>
    <w:rsid w:val="00F153A3"/>
    <w:rsid w:val="00F226D5"/>
    <w:rsid w:val="00F238CE"/>
    <w:rsid w:val="00F35770"/>
    <w:rsid w:val="00F40BD8"/>
    <w:rsid w:val="00F456A7"/>
    <w:rsid w:val="00F50609"/>
    <w:rsid w:val="00F56E17"/>
    <w:rsid w:val="00F5779D"/>
    <w:rsid w:val="00F6553B"/>
    <w:rsid w:val="00F662F9"/>
    <w:rsid w:val="00F75AA3"/>
    <w:rsid w:val="00F81BF0"/>
    <w:rsid w:val="00F82CBC"/>
    <w:rsid w:val="00F86F1D"/>
    <w:rsid w:val="00F9117E"/>
    <w:rsid w:val="00F912E6"/>
    <w:rsid w:val="00F91B21"/>
    <w:rsid w:val="00F924AE"/>
    <w:rsid w:val="00F951E1"/>
    <w:rsid w:val="00FA5AF4"/>
    <w:rsid w:val="00FB2942"/>
    <w:rsid w:val="00FB34D7"/>
    <w:rsid w:val="00FB78A2"/>
    <w:rsid w:val="00FC7BCE"/>
    <w:rsid w:val="00FD66CD"/>
    <w:rsid w:val="00FE0F4A"/>
    <w:rsid w:val="00FE3577"/>
    <w:rsid w:val="00FE4E5C"/>
    <w:rsid w:val="00FE5B10"/>
    <w:rsid w:val="00FE734A"/>
    <w:rsid w:val="00FE7FAA"/>
    <w:rsid w:val="00FF0914"/>
    <w:rsid w:val="00FF109A"/>
    <w:rsid w:val="00FF231C"/>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86C24"/>
  <w15:chartTrackingRefBased/>
  <w15:docId w15:val="{6C073AB6-682A-4BEC-8F03-E151B65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341"/>
    <w:rPr>
      <w:lang w:val="pt-BR"/>
    </w:rPr>
  </w:style>
  <w:style w:type="paragraph" w:styleId="Heading1">
    <w:name w:val="heading 1"/>
    <w:basedOn w:val="Normal"/>
    <w:next w:val="Normal"/>
    <w:qFormat/>
    <w:rsid w:val="00E34214"/>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34214"/>
    <w:rPr>
      <w:b/>
    </w:rPr>
  </w:style>
  <w:style w:type="paragraph" w:customStyle="1" w:styleId="Blockquote">
    <w:name w:val="Blockquote"/>
    <w:basedOn w:val="Normal"/>
    <w:rsid w:val="00E34214"/>
    <w:pPr>
      <w:spacing w:before="100" w:after="100"/>
      <w:ind w:left="360" w:right="360"/>
    </w:pPr>
    <w:rPr>
      <w:snapToGrid w:val="0"/>
      <w:sz w:val="24"/>
    </w:rPr>
  </w:style>
  <w:style w:type="paragraph" w:styleId="BodyText">
    <w:name w:val="Body Text"/>
    <w:basedOn w:val="Normal"/>
    <w:rsid w:val="00E34214"/>
    <w:pPr>
      <w:jc w:val="both"/>
    </w:pPr>
    <w:rPr>
      <w:rFonts w:ascii="Arial" w:hAnsi="Arial"/>
    </w:rPr>
  </w:style>
  <w:style w:type="paragraph" w:styleId="BodyTextIndent">
    <w:name w:val="Body Text Indent"/>
    <w:basedOn w:val="Normal"/>
    <w:link w:val="BodyTextIndentChar"/>
    <w:rsid w:val="00E34214"/>
    <w:pPr>
      <w:ind w:left="720" w:hanging="720"/>
    </w:pPr>
    <w:rPr>
      <w:rFonts w:ascii="Arial" w:hAnsi="Arial"/>
    </w:rPr>
  </w:style>
  <w:style w:type="paragraph" w:styleId="BodyTextIndent2">
    <w:name w:val="Body Text Indent 2"/>
    <w:basedOn w:val="Normal"/>
    <w:rsid w:val="00E34214"/>
    <w:pPr>
      <w:ind w:left="90"/>
      <w:jc w:val="both"/>
    </w:pPr>
    <w:rPr>
      <w:rFonts w:ascii="Arial" w:hAnsi="Arial"/>
    </w:rPr>
  </w:style>
  <w:style w:type="paragraph" w:styleId="Header">
    <w:name w:val="header"/>
    <w:basedOn w:val="Normal"/>
    <w:link w:val="HeaderChar"/>
    <w:rsid w:val="00E34214"/>
    <w:pPr>
      <w:widowControl w:val="0"/>
      <w:tabs>
        <w:tab w:val="center" w:pos="4320"/>
        <w:tab w:val="right" w:pos="8640"/>
      </w:tabs>
      <w:jc w:val="both"/>
    </w:pPr>
    <w:rPr>
      <w:rFonts w:ascii="CG Times" w:hAnsi="CG Times"/>
      <w:sz w:val="22"/>
      <w:lang w:val="es-ES"/>
    </w:rPr>
  </w:style>
  <w:style w:type="character" w:styleId="PageNumber">
    <w:name w:val="page number"/>
    <w:basedOn w:val="DefaultParagraphFont"/>
    <w:rsid w:val="00E34214"/>
  </w:style>
  <w:style w:type="paragraph" w:styleId="Footer">
    <w:name w:val="footer"/>
    <w:basedOn w:val="Normal"/>
    <w:rsid w:val="00E34214"/>
    <w:pPr>
      <w:tabs>
        <w:tab w:val="center" w:pos="4320"/>
        <w:tab w:val="right" w:pos="8640"/>
      </w:tabs>
    </w:pPr>
  </w:style>
  <w:style w:type="paragraph" w:styleId="Title">
    <w:name w:val="Title"/>
    <w:basedOn w:val="Normal"/>
    <w:link w:val="TitleChar"/>
    <w:qFormat/>
    <w:rsid w:val="00E34214"/>
    <w:pPr>
      <w:jc w:val="center"/>
    </w:pPr>
    <w:rPr>
      <w:rFonts w:ascii="Univers" w:hAnsi="Univers"/>
      <w:b/>
      <w:sz w:val="22"/>
      <w:lang w:val="es-CL"/>
    </w:rPr>
  </w:style>
  <w:style w:type="paragraph" w:styleId="BodyText2">
    <w:name w:val="Body Text 2"/>
    <w:basedOn w:val="Normal"/>
    <w:rsid w:val="00E34214"/>
    <w:pPr>
      <w:jc w:val="both"/>
    </w:pPr>
    <w:rPr>
      <w:rFonts w:ascii="Univers" w:hAnsi="Univers"/>
      <w:sz w:val="22"/>
      <w:lang w:val="es-C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E34214"/>
  </w:style>
  <w:style w:type="character" w:styleId="FootnoteReference">
    <w:name w:val="footnote reference"/>
    <w:rsid w:val="00E34214"/>
    <w:rPr>
      <w:vertAlign w:val="superscript"/>
    </w:rPr>
  </w:style>
  <w:style w:type="paragraph" w:styleId="BodyText3">
    <w:name w:val="Body Text 3"/>
    <w:basedOn w:val="Normal"/>
    <w:rsid w:val="00E34214"/>
    <w:pPr>
      <w:jc w:val="both"/>
    </w:pPr>
    <w:rPr>
      <w:rFonts w:ascii="Arial" w:hAnsi="Arial"/>
      <w:i/>
      <w:sz w:val="22"/>
    </w:rPr>
  </w:style>
  <w:style w:type="paragraph" w:styleId="BodyTextIndent3">
    <w:name w:val="Body Text Indent 3"/>
    <w:basedOn w:val="Normal"/>
    <w:rsid w:val="00E34214"/>
    <w:pPr>
      <w:ind w:left="720"/>
      <w:jc w:val="both"/>
    </w:pPr>
    <w:rPr>
      <w:rFonts w:ascii="Arial" w:hAnsi="Arial"/>
      <w:i/>
      <w:sz w:val="22"/>
    </w:rPr>
  </w:style>
  <w:style w:type="paragraph" w:styleId="BalloonText">
    <w:name w:val="Balloon Text"/>
    <w:basedOn w:val="Normal"/>
    <w:link w:val="BalloonTextChar"/>
    <w:rsid w:val="00E47E65"/>
    <w:rPr>
      <w:rFonts w:ascii="Tahoma" w:hAnsi="Tahoma" w:cs="Tahoma"/>
      <w:sz w:val="16"/>
      <w:szCs w:val="16"/>
    </w:rPr>
  </w:style>
  <w:style w:type="character" w:customStyle="1" w:styleId="BalloonTextChar">
    <w:name w:val="Balloon Text Char"/>
    <w:link w:val="BalloonText"/>
    <w:rsid w:val="00E47E65"/>
    <w:rPr>
      <w:rFonts w:ascii="Tahoma" w:hAnsi="Tahoma" w:cs="Tahoma"/>
      <w:sz w:val="16"/>
      <w:szCs w:val="16"/>
    </w:rPr>
  </w:style>
  <w:style w:type="character" w:styleId="CommentReference">
    <w:name w:val="annotation reference"/>
    <w:rsid w:val="00722DF8"/>
    <w:rPr>
      <w:sz w:val="16"/>
      <w:szCs w:val="16"/>
    </w:rPr>
  </w:style>
  <w:style w:type="paragraph" w:styleId="CommentText">
    <w:name w:val="annotation text"/>
    <w:basedOn w:val="Normal"/>
    <w:link w:val="CommentTextChar"/>
    <w:rsid w:val="00722DF8"/>
  </w:style>
  <w:style w:type="character" w:customStyle="1" w:styleId="CommentTextChar">
    <w:name w:val="Comment Text Char"/>
    <w:basedOn w:val="DefaultParagraphFont"/>
    <w:link w:val="CommentText"/>
    <w:rsid w:val="00722DF8"/>
  </w:style>
  <w:style w:type="paragraph" w:styleId="CommentSubject">
    <w:name w:val="annotation subject"/>
    <w:basedOn w:val="CommentText"/>
    <w:next w:val="CommentText"/>
    <w:link w:val="CommentSubjectChar"/>
    <w:rsid w:val="00722DF8"/>
    <w:rPr>
      <w:b/>
      <w:bCs/>
    </w:rPr>
  </w:style>
  <w:style w:type="character" w:customStyle="1" w:styleId="CommentSubjectChar">
    <w:name w:val="Comment Subject Char"/>
    <w:link w:val="CommentSubject"/>
    <w:rsid w:val="00722DF8"/>
    <w:rPr>
      <w:b/>
      <w:bCs/>
    </w:rPr>
  </w:style>
  <w:style w:type="paragraph" w:styleId="ListParagraph">
    <w:name w:val="List Paragraph"/>
    <w:basedOn w:val="Normal"/>
    <w:uiPriority w:val="34"/>
    <w:qFormat/>
    <w:rsid w:val="009F2B26"/>
    <w:pPr>
      <w:ind w:left="720"/>
    </w:pPr>
  </w:style>
  <w:style w:type="character" w:customStyle="1" w:styleId="HeaderChar">
    <w:name w:val="Header Char"/>
    <w:link w:val="Header"/>
    <w:rsid w:val="00136828"/>
    <w:rPr>
      <w:rFonts w:ascii="CG Times" w:hAnsi="CG Times"/>
      <w:sz w:val="22"/>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CA4CC0"/>
  </w:style>
  <w:style w:type="character" w:customStyle="1" w:styleId="BodyTextIndentChar">
    <w:name w:val="Body Text Indent Char"/>
    <w:link w:val="BodyTextIndent"/>
    <w:rsid w:val="00D4383C"/>
    <w:rPr>
      <w:rFonts w:ascii="Arial" w:hAnsi="Arial"/>
    </w:rPr>
  </w:style>
  <w:style w:type="character" w:customStyle="1" w:styleId="TitleChar">
    <w:name w:val="Title Char"/>
    <w:link w:val="Title"/>
    <w:rsid w:val="00E65CA4"/>
    <w:rPr>
      <w:rFonts w:ascii="Univers" w:hAnsi="Univers"/>
      <w:b/>
      <w:sz w:val="22"/>
      <w:lang w:val="es-CL" w:eastAsia="en-US"/>
    </w:rPr>
  </w:style>
  <w:style w:type="character" w:styleId="Hyperlink">
    <w:name w:val="Hyperlink"/>
    <w:uiPriority w:val="99"/>
    <w:unhideWhenUsed/>
    <w:rsid w:val="00E76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1397">
      <w:bodyDiv w:val="1"/>
      <w:marLeft w:val="0"/>
      <w:marRight w:val="0"/>
      <w:marTop w:val="0"/>
      <w:marBottom w:val="0"/>
      <w:divBdr>
        <w:top w:val="none" w:sz="0" w:space="0" w:color="auto"/>
        <w:left w:val="none" w:sz="0" w:space="0" w:color="auto"/>
        <w:bottom w:val="none" w:sz="0" w:space="0" w:color="auto"/>
        <w:right w:val="none" w:sz="0" w:space="0" w:color="auto"/>
      </w:divBdr>
    </w:div>
    <w:div w:id="15614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scm.oas.org/IDMS/Redirectpage.aspx?class=cidi/doc.&amp;classNum=99&amp;lang=f" TargetMode="External"/><Relationship Id="rId2" Type="http://schemas.openxmlformats.org/officeDocument/2006/relationships/hyperlink" Target="https://scm.oas.org/IDMS/Redirectpage.aspx?class=cidi/doc.&amp;classNum=99&amp;lang=e" TargetMode="External"/><Relationship Id="rId1" Type="http://schemas.openxmlformats.org/officeDocument/2006/relationships/hyperlink" Target="https://scm.oas.org/IDMS/Redirectpage.aspx?class=cidi/doc.&amp;classNum=99&amp;lang=s" TargetMode="External"/><Relationship Id="rId6" Type="http://schemas.openxmlformats.org/officeDocument/2006/relationships/hyperlink" Target="http://scm.oas.org/doc_public/ENGLISH/HIST_23/CIDSC00209E02.docx" TargetMode="External"/><Relationship Id="rId5" Type="http://schemas.openxmlformats.org/officeDocument/2006/relationships/hyperlink" Target="http://scm.oas.org/doc_public/SPANISH/HIST_23/CIDSC00209S02.docx" TargetMode="External"/><Relationship Id="rId4" Type="http://schemas.openxmlformats.org/officeDocument/2006/relationships/hyperlink" Target="https://scm.oas.org/IDMS/Redirectpage.aspx?class=cidi/doc.&amp;classNum=99&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AD94-7E9E-452C-BEDA-6AC09A50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3208</Words>
  <Characters>18615</Characters>
  <Application>Microsoft Office Word</Application>
  <DocSecurity>4</DocSecurity>
  <Lines>413</Lines>
  <Paragraphs>145</Paragraphs>
  <ScaleCrop>false</ScaleCrop>
  <HeadingPairs>
    <vt:vector size="2" baseType="variant">
      <vt:variant>
        <vt:lpstr>Title</vt:lpstr>
      </vt:variant>
      <vt:variant>
        <vt:i4>1</vt:i4>
      </vt:variant>
    </vt:vector>
  </HeadingPairs>
  <TitlesOfParts>
    <vt:vector size="1" baseType="lpstr">
      <vt:lpstr>ESTATUTO DEL FONDO ESPECIAL MULTILATERAL DEL</vt:lpstr>
    </vt:vector>
  </TitlesOfParts>
  <Company>OAS</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DEL FONDO ESPECIAL MULTILATERAL DEL</dc:title>
  <dc:subject/>
  <dc:creator>%username%</dc:creator>
  <cp:keywords/>
  <cp:lastModifiedBy>Burns, Sandra</cp:lastModifiedBy>
  <cp:revision>2</cp:revision>
  <cp:lastPrinted>2014-05-12T18:26:00Z</cp:lastPrinted>
  <dcterms:created xsi:type="dcterms:W3CDTF">2023-07-12T15:54:00Z</dcterms:created>
  <dcterms:modified xsi:type="dcterms:W3CDTF">2023-07-12T15:54:00Z</dcterms:modified>
</cp:coreProperties>
</file>