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8FF0" w14:textId="77777777" w:rsidR="0064043D" w:rsidRPr="0064043D" w:rsidRDefault="0064043D" w:rsidP="00825D4F">
      <w:pPr>
        <w:tabs>
          <w:tab w:val="left" w:pos="621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smallCaps/>
          <w:lang w:val="es-ES"/>
        </w:rPr>
        <w:t>COMISIÓN DE ASUNTOS MIGRATORIOS</w:t>
      </w:r>
      <w:r w:rsidRPr="0064043D">
        <w:rPr>
          <w:rFonts w:ascii="Times New Roman" w:eastAsia="Times New Roman" w:hAnsi="Times New Roman"/>
          <w:lang w:val="es-ES"/>
        </w:rPr>
        <w:tab/>
      </w:r>
      <w:r w:rsidRPr="0064043D">
        <w:rPr>
          <w:rFonts w:ascii="Times New Roman" w:eastAsia="Times New Roman" w:hAnsi="Times New Roman"/>
          <w:lang w:val="es-ES"/>
        </w:rPr>
        <w:tab/>
        <w:t>OEA/</w:t>
      </w:r>
      <w:proofErr w:type="spellStart"/>
      <w:r w:rsidRPr="0064043D">
        <w:rPr>
          <w:rFonts w:ascii="Times New Roman" w:eastAsia="Times New Roman" w:hAnsi="Times New Roman"/>
          <w:lang w:val="es-ES"/>
        </w:rPr>
        <w:t>Ser.W</w:t>
      </w:r>
      <w:proofErr w:type="spellEnd"/>
    </w:p>
    <w:p w14:paraId="2090A6CF" w14:textId="5F8654F6" w:rsidR="0064043D" w:rsidRPr="0064043D" w:rsidRDefault="0064043D" w:rsidP="00825D4F">
      <w:pPr>
        <w:tabs>
          <w:tab w:val="left" w:pos="6300"/>
          <w:tab w:val="left" w:pos="6660"/>
          <w:tab w:val="left" w:pos="7020"/>
        </w:tabs>
        <w:spacing w:after="0" w:line="240" w:lineRule="auto"/>
        <w:jc w:val="both"/>
        <w:rPr>
          <w:rFonts w:ascii="Times New Roman" w:eastAsia="Times New Roman" w:hAnsi="Times New Roman"/>
          <w:lang w:val="es-US"/>
        </w:rPr>
      </w:pPr>
      <w:r w:rsidRPr="0064043D">
        <w:rPr>
          <w:rFonts w:ascii="Times New Roman" w:eastAsia="Times New Roman" w:hAnsi="Times New Roman"/>
          <w:lang w:val="es-ES"/>
        </w:rPr>
        <w:tab/>
      </w:r>
      <w:r w:rsidRPr="0064043D">
        <w:rPr>
          <w:rFonts w:ascii="Times New Roman" w:eastAsia="Times New Roman" w:hAnsi="Times New Roman"/>
          <w:lang w:val="es-US"/>
        </w:rPr>
        <w:t>CIDI/CAM/doc.8</w:t>
      </w:r>
      <w:r>
        <w:rPr>
          <w:rFonts w:ascii="Times New Roman" w:eastAsia="Times New Roman" w:hAnsi="Times New Roman"/>
          <w:lang w:val="es-US"/>
        </w:rPr>
        <w:t>6</w:t>
      </w:r>
      <w:r w:rsidRPr="0064043D">
        <w:rPr>
          <w:rFonts w:ascii="Times New Roman" w:eastAsia="Times New Roman" w:hAnsi="Times New Roman"/>
          <w:lang w:val="es-US"/>
        </w:rPr>
        <w:t>/20 rev.</w:t>
      </w:r>
      <w:r>
        <w:rPr>
          <w:rFonts w:ascii="Times New Roman" w:eastAsia="Times New Roman" w:hAnsi="Times New Roman"/>
          <w:lang w:val="es-US"/>
        </w:rPr>
        <w:t>1</w:t>
      </w:r>
    </w:p>
    <w:p w14:paraId="685C04A6" w14:textId="606143CC" w:rsidR="0064043D" w:rsidRPr="0064043D" w:rsidRDefault="0064043D" w:rsidP="00825D4F">
      <w:pPr>
        <w:tabs>
          <w:tab w:val="left" w:pos="6210"/>
          <w:tab w:val="left" w:pos="6300"/>
          <w:tab w:val="left" w:pos="6390"/>
          <w:tab w:val="left" w:pos="6480"/>
          <w:tab w:val="left" w:pos="6660"/>
          <w:tab w:val="left" w:pos="7020"/>
        </w:tabs>
        <w:spacing w:after="0" w:line="240" w:lineRule="auto"/>
        <w:jc w:val="both"/>
        <w:rPr>
          <w:rFonts w:ascii="Times New Roman" w:eastAsia="Times New Roman" w:hAnsi="Times New Roman"/>
          <w:lang w:val="es-US"/>
        </w:rPr>
      </w:pPr>
      <w:r w:rsidRPr="0064043D">
        <w:rPr>
          <w:rFonts w:ascii="Times New Roman" w:eastAsia="Times New Roman" w:hAnsi="Times New Roman"/>
          <w:smallCaps/>
          <w:lang w:val="es-US"/>
        </w:rPr>
        <w:tab/>
      </w:r>
      <w:r w:rsidRPr="0064043D">
        <w:rPr>
          <w:rFonts w:ascii="Times New Roman" w:eastAsia="Times New Roman" w:hAnsi="Times New Roman"/>
          <w:smallCaps/>
          <w:lang w:val="es-US"/>
        </w:rPr>
        <w:tab/>
      </w:r>
      <w:r>
        <w:rPr>
          <w:rFonts w:ascii="Times New Roman" w:eastAsia="Times New Roman" w:hAnsi="Times New Roman"/>
          <w:lang w:val="es-US"/>
        </w:rPr>
        <w:t>5</w:t>
      </w:r>
      <w:r w:rsidRPr="0064043D">
        <w:rPr>
          <w:rFonts w:ascii="Times New Roman" w:eastAsia="Times New Roman" w:hAnsi="Times New Roman"/>
          <w:lang w:val="es-US"/>
        </w:rPr>
        <w:t xml:space="preserve"> </w:t>
      </w:r>
      <w:r>
        <w:rPr>
          <w:rFonts w:ascii="Times New Roman" w:eastAsia="Times New Roman" w:hAnsi="Times New Roman"/>
          <w:lang w:val="es-US"/>
        </w:rPr>
        <w:t>febrero</w:t>
      </w:r>
      <w:r w:rsidRPr="0064043D">
        <w:rPr>
          <w:rFonts w:ascii="Times New Roman" w:eastAsia="Times New Roman" w:hAnsi="Times New Roman"/>
          <w:lang w:val="es-US"/>
        </w:rPr>
        <w:t xml:space="preserve"> 202</w:t>
      </w:r>
      <w:r>
        <w:rPr>
          <w:rFonts w:ascii="Times New Roman" w:eastAsia="Times New Roman" w:hAnsi="Times New Roman"/>
          <w:lang w:val="es-US"/>
        </w:rPr>
        <w:t>1</w:t>
      </w:r>
    </w:p>
    <w:p w14:paraId="2D2B5003" w14:textId="77777777" w:rsidR="0064043D" w:rsidRPr="0064043D" w:rsidRDefault="0064043D" w:rsidP="00825D4F">
      <w:pPr>
        <w:tabs>
          <w:tab w:val="left" w:pos="6120"/>
          <w:tab w:val="left" w:pos="6300"/>
          <w:tab w:val="left" w:pos="6660"/>
          <w:tab w:val="left" w:pos="7020"/>
        </w:tabs>
        <w:spacing w:after="0" w:line="240" w:lineRule="auto"/>
        <w:jc w:val="both"/>
        <w:rPr>
          <w:rFonts w:ascii="Times New Roman" w:eastAsia="Times New Roman" w:hAnsi="Times New Roman"/>
          <w:lang w:val="es-ES"/>
        </w:rPr>
      </w:pPr>
      <w:r w:rsidRPr="0064043D">
        <w:rPr>
          <w:rFonts w:ascii="Times New Roman" w:eastAsia="Times New Roman" w:hAnsi="Times New Roman"/>
          <w:lang w:val="es-US"/>
        </w:rPr>
        <w:tab/>
      </w:r>
      <w:r w:rsidRPr="0064043D">
        <w:rPr>
          <w:rFonts w:ascii="Times New Roman" w:eastAsia="Times New Roman" w:hAnsi="Times New Roman"/>
          <w:lang w:val="es-US"/>
        </w:rPr>
        <w:tab/>
      </w:r>
      <w:r w:rsidRPr="0064043D">
        <w:rPr>
          <w:rFonts w:ascii="Times New Roman" w:eastAsia="Times New Roman" w:hAnsi="Times New Roman"/>
          <w:lang w:val="es-ES"/>
        </w:rPr>
        <w:t>Original: español</w:t>
      </w:r>
    </w:p>
    <w:p w14:paraId="1641EE65" w14:textId="77777777" w:rsidR="004E14E8" w:rsidRPr="0064043D" w:rsidRDefault="004E14E8" w:rsidP="00825D4F">
      <w:pPr>
        <w:pBdr>
          <w:bottom w:val="single" w:sz="12" w:space="1" w:color="auto"/>
        </w:pBdr>
        <w:tabs>
          <w:tab w:val="left" w:pos="6750"/>
        </w:tabs>
        <w:spacing w:after="0" w:line="240" w:lineRule="auto"/>
        <w:jc w:val="both"/>
        <w:rPr>
          <w:rFonts w:ascii="Times New Roman" w:hAnsi="Times New Roman"/>
          <w:b/>
          <w:bCs/>
          <w:lang w:val="es-ES"/>
        </w:rPr>
      </w:pPr>
    </w:p>
    <w:p w14:paraId="7A635096" w14:textId="04AEAD2D" w:rsidR="004E14E8" w:rsidRPr="0064043D" w:rsidRDefault="004E14E8" w:rsidP="00825D4F">
      <w:pPr>
        <w:pStyle w:val="MediumShading1-Accent11"/>
        <w:jc w:val="both"/>
        <w:rPr>
          <w:rFonts w:ascii="Times New Roman" w:hAnsi="Times New Roman"/>
        </w:rPr>
      </w:pPr>
    </w:p>
    <w:p w14:paraId="44E27E07" w14:textId="77777777" w:rsidR="0064043D" w:rsidRDefault="0064043D" w:rsidP="00825D4F">
      <w:pPr>
        <w:pStyle w:val="MediumShading1-Accent11"/>
        <w:jc w:val="both"/>
        <w:rPr>
          <w:rFonts w:ascii="Times New Roman" w:hAnsi="Times New Roman"/>
        </w:rPr>
      </w:pPr>
    </w:p>
    <w:p w14:paraId="4F1777AA" w14:textId="24F0CC83" w:rsidR="004E14E8" w:rsidRPr="0064043D" w:rsidRDefault="004E14E8" w:rsidP="00825D4F">
      <w:pPr>
        <w:pStyle w:val="MediumShading1-Accent11"/>
        <w:jc w:val="center"/>
        <w:rPr>
          <w:rFonts w:ascii="Times New Roman" w:hAnsi="Times New Roman"/>
          <w:noProof/>
        </w:rPr>
      </w:pPr>
      <w:r w:rsidRPr="0064043D">
        <w:rPr>
          <w:rFonts w:ascii="Times New Roman" w:hAnsi="Times New Roman"/>
        </w:rPr>
        <w:t>NOTA CONCEPTUAL</w:t>
      </w:r>
    </w:p>
    <w:p w14:paraId="52568142" w14:textId="77777777" w:rsidR="004E14E8" w:rsidRPr="0064043D" w:rsidRDefault="004E14E8" w:rsidP="00825D4F">
      <w:pPr>
        <w:pStyle w:val="MediumShading1-Accent11"/>
        <w:jc w:val="center"/>
        <w:rPr>
          <w:rFonts w:ascii="Times New Roman" w:hAnsi="Times New Roman"/>
          <w:noProof/>
        </w:rPr>
      </w:pPr>
    </w:p>
    <w:p w14:paraId="5BA9AC46" w14:textId="06BEEFD4" w:rsidR="004E14E8" w:rsidRPr="0064043D" w:rsidRDefault="00624A51" w:rsidP="00825D4F">
      <w:pPr>
        <w:pStyle w:val="MediumShading1-Accent11"/>
        <w:jc w:val="center"/>
        <w:rPr>
          <w:rFonts w:ascii="Times New Roman" w:hAnsi="Times New Roman"/>
        </w:rPr>
      </w:pPr>
      <w:r w:rsidRPr="0064043D">
        <w:rPr>
          <w:rFonts w:ascii="Times New Roman" w:hAnsi="Times New Roman"/>
        </w:rPr>
        <w:t>SESION TEMATICA</w:t>
      </w:r>
      <w:r w:rsidR="00DC56B8" w:rsidRPr="0064043D">
        <w:rPr>
          <w:rFonts w:ascii="Times New Roman" w:hAnsi="Times New Roman"/>
        </w:rPr>
        <w:t>:</w:t>
      </w:r>
      <w:r w:rsidR="00BD2DE7" w:rsidRPr="0064043D">
        <w:rPr>
          <w:rFonts w:ascii="Times New Roman" w:hAnsi="Times New Roman"/>
        </w:rPr>
        <w:t xml:space="preserve"> “</w:t>
      </w:r>
      <w:r w:rsidR="00B9264E" w:rsidRPr="0064043D">
        <w:rPr>
          <w:rFonts w:ascii="Times New Roman" w:hAnsi="Times New Roman"/>
        </w:rPr>
        <w:t xml:space="preserve">ACCESO A BENEFICIOS SOCIALES, </w:t>
      </w:r>
      <w:r w:rsidR="00BD2DE7" w:rsidRPr="0064043D">
        <w:rPr>
          <w:rFonts w:ascii="Times New Roman" w:hAnsi="Times New Roman"/>
        </w:rPr>
        <w:t>PENSIONES Y AC</w:t>
      </w:r>
      <w:r w:rsidR="00B9264E" w:rsidRPr="0064043D">
        <w:rPr>
          <w:rFonts w:ascii="Times New Roman" w:hAnsi="Times New Roman"/>
        </w:rPr>
        <w:t>UERDOS ENTRE PAÍSES PARA TRANSF</w:t>
      </w:r>
      <w:r w:rsidR="00BD2DE7" w:rsidRPr="0064043D">
        <w:rPr>
          <w:rFonts w:ascii="Times New Roman" w:hAnsi="Times New Roman"/>
        </w:rPr>
        <w:t>E</w:t>
      </w:r>
      <w:r w:rsidR="00B9264E" w:rsidRPr="0064043D">
        <w:rPr>
          <w:rFonts w:ascii="Times New Roman" w:hAnsi="Times New Roman"/>
        </w:rPr>
        <w:t>RE</w:t>
      </w:r>
      <w:r w:rsidR="00BD2DE7" w:rsidRPr="0064043D">
        <w:rPr>
          <w:rFonts w:ascii="Times New Roman" w:hAnsi="Times New Roman"/>
        </w:rPr>
        <w:t xml:space="preserve">NCIA DE PENSIONES A SERVICIOS SOCIALES Y </w:t>
      </w:r>
      <w:r w:rsidR="00B9264E" w:rsidRPr="0064043D">
        <w:rPr>
          <w:rFonts w:ascii="Times New Roman" w:hAnsi="Times New Roman"/>
        </w:rPr>
        <w:t xml:space="preserve">DE SALUD PARA </w:t>
      </w:r>
      <w:r w:rsidR="0064043D" w:rsidRPr="006B0005">
        <w:rPr>
          <w:rFonts w:ascii="Times New Roman" w:hAnsi="Times New Roman"/>
        </w:rPr>
        <w:t>LA</w:t>
      </w:r>
      <w:r w:rsidR="0064043D">
        <w:rPr>
          <w:rFonts w:ascii="Times New Roman" w:hAnsi="Times New Roman"/>
        </w:rPr>
        <w:t xml:space="preserve"> </w:t>
      </w:r>
      <w:r w:rsidR="0026210A" w:rsidRPr="0064043D">
        <w:rPr>
          <w:rFonts w:ascii="Times New Roman" w:hAnsi="Times New Roman"/>
        </w:rPr>
        <w:t xml:space="preserve">POBLACIÓN MIGRANTE </w:t>
      </w:r>
      <w:r w:rsidR="00BD2DE7" w:rsidRPr="0064043D">
        <w:rPr>
          <w:rFonts w:ascii="Times New Roman" w:hAnsi="Times New Roman"/>
        </w:rPr>
        <w:t>EN PAÍSES DE ACOGIDA”</w:t>
      </w:r>
    </w:p>
    <w:p w14:paraId="61DFB127" w14:textId="77777777" w:rsidR="0011108F" w:rsidRPr="0064043D" w:rsidRDefault="0011108F" w:rsidP="00825D4F">
      <w:pPr>
        <w:pStyle w:val="MediumShading1-Accent11"/>
        <w:jc w:val="center"/>
        <w:rPr>
          <w:rFonts w:ascii="Times New Roman" w:hAnsi="Times New Roman"/>
        </w:rPr>
      </w:pPr>
    </w:p>
    <w:p w14:paraId="36104431" w14:textId="2A6DE98B" w:rsidR="0011108F" w:rsidRPr="0064043D" w:rsidRDefault="0011108F" w:rsidP="00825D4F">
      <w:pPr>
        <w:pStyle w:val="MediumShading1-Accent11"/>
        <w:jc w:val="center"/>
        <w:rPr>
          <w:rFonts w:ascii="Times New Roman" w:hAnsi="Times New Roman"/>
        </w:rPr>
      </w:pPr>
      <w:r w:rsidRPr="0064043D">
        <w:rPr>
          <w:rFonts w:ascii="Times New Roman" w:hAnsi="Times New Roman"/>
        </w:rPr>
        <w:t>(</w:t>
      </w:r>
      <w:r w:rsidR="00A55AB8" w:rsidRPr="0064043D">
        <w:rPr>
          <w:rFonts w:ascii="Times New Roman" w:hAnsi="Times New Roman"/>
        </w:rPr>
        <w:t xml:space="preserve">febrero </w:t>
      </w:r>
      <w:r w:rsidRPr="0064043D">
        <w:rPr>
          <w:rFonts w:ascii="Times New Roman" w:hAnsi="Times New Roman"/>
        </w:rPr>
        <w:t>de 2021)</w:t>
      </w:r>
    </w:p>
    <w:p w14:paraId="1742D778" w14:textId="77777777" w:rsidR="004E14E8" w:rsidRPr="0064043D" w:rsidRDefault="004E14E8" w:rsidP="00825D4F">
      <w:pPr>
        <w:pStyle w:val="MediumShading1-Accent11"/>
        <w:jc w:val="center"/>
        <w:rPr>
          <w:rFonts w:ascii="Times New Roman" w:hAnsi="Times New Roman"/>
        </w:rPr>
      </w:pPr>
    </w:p>
    <w:p w14:paraId="7A50C87E" w14:textId="51AD2C18" w:rsidR="004E14E8" w:rsidRPr="0064043D" w:rsidRDefault="004E14E8" w:rsidP="00825D4F">
      <w:pPr>
        <w:pStyle w:val="MediumShading1-Accent11"/>
        <w:jc w:val="center"/>
        <w:rPr>
          <w:rFonts w:ascii="Times New Roman" w:hAnsi="Times New Roman"/>
        </w:rPr>
      </w:pPr>
      <w:r w:rsidRPr="0064043D">
        <w:rPr>
          <w:rFonts w:ascii="Times New Roman" w:hAnsi="Times New Roman"/>
        </w:rPr>
        <w:t>(Preparada por la Presidencia de la CAM con el apoyo de la Secretaría Técnica)</w:t>
      </w:r>
    </w:p>
    <w:p w14:paraId="082888EE" w14:textId="77777777" w:rsidR="004E14E8" w:rsidRPr="0064043D" w:rsidRDefault="004E14E8" w:rsidP="00825D4F">
      <w:pPr>
        <w:pStyle w:val="MediumShading1-Accent11"/>
        <w:jc w:val="both"/>
        <w:rPr>
          <w:rFonts w:ascii="Times New Roman" w:hAnsi="Times New Roman"/>
        </w:rPr>
      </w:pPr>
    </w:p>
    <w:p w14:paraId="1619CF61" w14:textId="77777777" w:rsidR="00A74A27" w:rsidRPr="0064043D" w:rsidRDefault="00A74A27" w:rsidP="00825D4F">
      <w:pPr>
        <w:pStyle w:val="MediumShading1-Accent11"/>
        <w:jc w:val="both"/>
        <w:rPr>
          <w:rFonts w:ascii="Times New Roman" w:hAnsi="Times New Roman"/>
        </w:rPr>
      </w:pPr>
    </w:p>
    <w:p w14:paraId="5BEB4489" w14:textId="07B5F3CD" w:rsidR="009C2526" w:rsidRPr="0064043D" w:rsidRDefault="00EA0AC2" w:rsidP="00825D4F">
      <w:pPr>
        <w:spacing w:after="0" w:line="240" w:lineRule="auto"/>
        <w:jc w:val="both"/>
        <w:rPr>
          <w:rFonts w:ascii="Times New Roman" w:hAnsi="Times New Roman"/>
        </w:rPr>
      </w:pPr>
      <w:r w:rsidRPr="0064043D">
        <w:rPr>
          <w:rFonts w:ascii="Times New Roman" w:hAnsi="Times New Roman"/>
        </w:rPr>
        <w:tab/>
        <w:t xml:space="preserve">En </w:t>
      </w:r>
      <w:r w:rsidR="0059466A" w:rsidRPr="0064043D">
        <w:rPr>
          <w:rFonts w:ascii="Times New Roman" w:hAnsi="Times New Roman"/>
        </w:rPr>
        <w:t>el</w:t>
      </w:r>
      <w:r w:rsidR="00C91BE2" w:rsidRPr="0064043D">
        <w:rPr>
          <w:rFonts w:ascii="Times New Roman" w:hAnsi="Times New Roman"/>
        </w:rPr>
        <w:t xml:space="preserve"> contexto </w:t>
      </w:r>
      <w:r w:rsidR="0059466A" w:rsidRPr="0064043D">
        <w:rPr>
          <w:rFonts w:ascii="Times New Roman" w:hAnsi="Times New Roman"/>
        </w:rPr>
        <w:t xml:space="preserve">actual de </w:t>
      </w:r>
      <w:r w:rsidR="000A09F7" w:rsidRPr="0064043D">
        <w:rPr>
          <w:rFonts w:ascii="Times New Roman" w:hAnsi="Times New Roman"/>
        </w:rPr>
        <w:t>la movilid</w:t>
      </w:r>
      <w:r w:rsidR="00C91BE2" w:rsidRPr="0064043D">
        <w:rPr>
          <w:rFonts w:ascii="Times New Roman" w:hAnsi="Times New Roman"/>
        </w:rPr>
        <w:t xml:space="preserve">ad humana </w:t>
      </w:r>
      <w:r w:rsidR="002D27D0" w:rsidRPr="0064043D">
        <w:rPr>
          <w:rFonts w:ascii="Times New Roman" w:hAnsi="Times New Roman"/>
        </w:rPr>
        <w:t>en las Américas</w:t>
      </w:r>
      <w:r w:rsidR="00BC69D8" w:rsidRPr="0064043D">
        <w:rPr>
          <w:rFonts w:ascii="Times New Roman" w:hAnsi="Times New Roman"/>
        </w:rPr>
        <w:t xml:space="preserve"> </w:t>
      </w:r>
      <w:r w:rsidR="0059466A" w:rsidRPr="0064043D">
        <w:rPr>
          <w:rFonts w:ascii="Times New Roman" w:hAnsi="Times New Roman"/>
        </w:rPr>
        <w:t>es</w:t>
      </w:r>
      <w:r w:rsidR="00BC69D8" w:rsidRPr="0064043D">
        <w:rPr>
          <w:rFonts w:ascii="Times New Roman" w:hAnsi="Times New Roman"/>
        </w:rPr>
        <w:t xml:space="preserve"> importante</w:t>
      </w:r>
      <w:r w:rsidR="00E8073F" w:rsidRPr="0064043D">
        <w:rPr>
          <w:rFonts w:ascii="Times New Roman" w:hAnsi="Times New Roman"/>
        </w:rPr>
        <w:t xml:space="preserve"> </w:t>
      </w:r>
      <w:r w:rsidR="00E70229" w:rsidRPr="0064043D">
        <w:rPr>
          <w:rFonts w:ascii="Times New Roman" w:hAnsi="Times New Roman"/>
        </w:rPr>
        <w:t>conocer</w:t>
      </w:r>
      <w:r w:rsidR="0059466A" w:rsidRPr="0064043D">
        <w:rPr>
          <w:rFonts w:ascii="Times New Roman" w:hAnsi="Times New Roman"/>
        </w:rPr>
        <w:t xml:space="preserve"> </w:t>
      </w:r>
      <w:r w:rsidR="00E8073F" w:rsidRPr="0064043D">
        <w:rPr>
          <w:rFonts w:ascii="Times New Roman" w:hAnsi="Times New Roman"/>
        </w:rPr>
        <w:t>las po</w:t>
      </w:r>
      <w:r w:rsidR="00D547F7" w:rsidRPr="0064043D">
        <w:rPr>
          <w:rFonts w:ascii="Times New Roman" w:hAnsi="Times New Roman"/>
        </w:rPr>
        <w:t>líticas sociale</w:t>
      </w:r>
      <w:r w:rsidR="00C32E7E" w:rsidRPr="0064043D">
        <w:rPr>
          <w:rFonts w:ascii="Times New Roman" w:hAnsi="Times New Roman"/>
        </w:rPr>
        <w:t xml:space="preserve">s </w:t>
      </w:r>
      <w:r w:rsidR="00675EEB" w:rsidRPr="0064043D">
        <w:rPr>
          <w:rFonts w:ascii="Times New Roman" w:hAnsi="Times New Roman"/>
        </w:rPr>
        <w:t xml:space="preserve">que </w:t>
      </w:r>
      <w:r w:rsidR="0059466A" w:rsidRPr="0064043D">
        <w:rPr>
          <w:rFonts w:ascii="Times New Roman" w:hAnsi="Times New Roman"/>
        </w:rPr>
        <w:t xml:space="preserve">han </w:t>
      </w:r>
      <w:r w:rsidR="00675EEB" w:rsidRPr="0064043D">
        <w:rPr>
          <w:rFonts w:ascii="Times New Roman" w:hAnsi="Times New Roman"/>
        </w:rPr>
        <w:t>desarrolla</w:t>
      </w:r>
      <w:r w:rsidR="0059466A" w:rsidRPr="0064043D">
        <w:rPr>
          <w:rFonts w:ascii="Times New Roman" w:hAnsi="Times New Roman"/>
        </w:rPr>
        <w:t>do</w:t>
      </w:r>
      <w:r w:rsidR="00675EEB" w:rsidRPr="0064043D">
        <w:rPr>
          <w:rFonts w:ascii="Times New Roman" w:hAnsi="Times New Roman"/>
        </w:rPr>
        <w:t xml:space="preserve"> los Estados </w:t>
      </w:r>
      <w:r w:rsidR="0059466A" w:rsidRPr="0064043D">
        <w:rPr>
          <w:rFonts w:ascii="Times New Roman" w:hAnsi="Times New Roman"/>
        </w:rPr>
        <w:t xml:space="preserve">de la región </w:t>
      </w:r>
      <w:r w:rsidR="002D27D0" w:rsidRPr="0064043D">
        <w:rPr>
          <w:rFonts w:ascii="Times New Roman" w:hAnsi="Times New Roman"/>
        </w:rPr>
        <w:t>para responder a los retos y oportunidades que presenta este fenómeno</w:t>
      </w:r>
      <w:r w:rsidR="0059466A" w:rsidRPr="0064043D">
        <w:rPr>
          <w:rFonts w:ascii="Times New Roman" w:hAnsi="Times New Roman"/>
        </w:rPr>
        <w:t xml:space="preserve">. Para efectos de los trabajos de la Comisión de Asuntos Migratorios hemos priorizado </w:t>
      </w:r>
      <w:r w:rsidR="008625F6" w:rsidRPr="0064043D">
        <w:rPr>
          <w:rFonts w:ascii="Times New Roman" w:hAnsi="Times New Roman"/>
        </w:rPr>
        <w:t xml:space="preserve">aquellos </w:t>
      </w:r>
      <w:r w:rsidR="00E278B7" w:rsidRPr="0064043D">
        <w:rPr>
          <w:rFonts w:ascii="Times New Roman" w:hAnsi="Times New Roman"/>
        </w:rPr>
        <w:t>que</w:t>
      </w:r>
      <w:r w:rsidR="00BB5E9F" w:rsidRPr="0064043D">
        <w:rPr>
          <w:rFonts w:ascii="Times New Roman" w:hAnsi="Times New Roman"/>
        </w:rPr>
        <w:t xml:space="preserve"> </w:t>
      </w:r>
      <w:r w:rsidR="008462EC" w:rsidRPr="0064043D">
        <w:rPr>
          <w:rFonts w:ascii="Times New Roman" w:hAnsi="Times New Roman"/>
        </w:rPr>
        <w:t xml:space="preserve">requieren </w:t>
      </w:r>
      <w:r w:rsidR="0059466A" w:rsidRPr="0064043D">
        <w:rPr>
          <w:rFonts w:ascii="Times New Roman" w:hAnsi="Times New Roman"/>
        </w:rPr>
        <w:t xml:space="preserve">una respuesta articulada de los Estados de la región. </w:t>
      </w:r>
      <w:r w:rsidR="00B57F66" w:rsidRPr="0064043D">
        <w:rPr>
          <w:rFonts w:ascii="Times New Roman" w:hAnsi="Times New Roman"/>
        </w:rPr>
        <w:t>En esta Sesión, abordaremos la protección social de las personas migrantes</w:t>
      </w:r>
      <w:r w:rsidR="00C34ECA" w:rsidRPr="0064043D">
        <w:rPr>
          <w:rFonts w:ascii="Times New Roman" w:hAnsi="Times New Roman"/>
        </w:rPr>
        <w:t xml:space="preserve"> y el</w:t>
      </w:r>
      <w:r w:rsidR="00C34ECA" w:rsidRPr="0064043D">
        <w:t xml:space="preserve"> </w:t>
      </w:r>
      <w:r w:rsidR="00C34ECA" w:rsidRPr="0064043D">
        <w:rPr>
          <w:rFonts w:ascii="Times New Roman" w:hAnsi="Times New Roman"/>
        </w:rPr>
        <w:t xml:space="preserve">acceso a políticas de protección social adecuadas, </w:t>
      </w:r>
      <w:r w:rsidR="00B57F66" w:rsidRPr="0064043D">
        <w:rPr>
          <w:rFonts w:ascii="Times New Roman" w:hAnsi="Times New Roman"/>
        </w:rPr>
        <w:t>con el fin de disminuir sus niveles de vulnerabilidad</w:t>
      </w:r>
      <w:r w:rsidR="00C34ECA" w:rsidRPr="0064043D">
        <w:rPr>
          <w:rFonts w:ascii="Times New Roman" w:hAnsi="Times New Roman"/>
        </w:rPr>
        <w:t>.</w:t>
      </w:r>
    </w:p>
    <w:p w14:paraId="555C4749" w14:textId="77777777" w:rsidR="00C34ECA" w:rsidRPr="0064043D" w:rsidRDefault="0014324D" w:rsidP="00825D4F">
      <w:pPr>
        <w:spacing w:after="0" w:line="240" w:lineRule="auto"/>
        <w:jc w:val="both"/>
        <w:rPr>
          <w:rFonts w:ascii="Times New Roman" w:hAnsi="Times New Roman"/>
        </w:rPr>
      </w:pPr>
      <w:r w:rsidRPr="0064043D">
        <w:rPr>
          <w:rFonts w:ascii="Times New Roman" w:hAnsi="Times New Roman"/>
        </w:rPr>
        <w:tab/>
      </w:r>
    </w:p>
    <w:p w14:paraId="43DD367F" w14:textId="77777777" w:rsidR="00AC05F3" w:rsidRPr="0064043D" w:rsidRDefault="00986424" w:rsidP="00825D4F">
      <w:pPr>
        <w:spacing w:after="0" w:line="240" w:lineRule="auto"/>
        <w:jc w:val="both"/>
        <w:rPr>
          <w:rFonts w:ascii="Times New Roman" w:hAnsi="Times New Roman"/>
        </w:rPr>
      </w:pPr>
      <w:r w:rsidRPr="0064043D">
        <w:rPr>
          <w:rFonts w:ascii="Times New Roman" w:hAnsi="Times New Roman"/>
        </w:rPr>
        <w:tab/>
      </w:r>
      <w:r w:rsidR="00F0732D" w:rsidRPr="0064043D">
        <w:rPr>
          <w:rFonts w:ascii="Times New Roman" w:hAnsi="Times New Roman"/>
        </w:rPr>
        <w:t xml:space="preserve">Las políticas de protección social </w:t>
      </w:r>
      <w:r w:rsidR="00E70229" w:rsidRPr="0064043D">
        <w:rPr>
          <w:rFonts w:ascii="Times New Roman" w:hAnsi="Times New Roman"/>
        </w:rPr>
        <w:t xml:space="preserve">facilitan </w:t>
      </w:r>
      <w:r w:rsidR="00857FF0" w:rsidRPr="0064043D">
        <w:rPr>
          <w:rFonts w:ascii="Times New Roman" w:hAnsi="Times New Roman"/>
        </w:rPr>
        <w:t>una efectiva</w:t>
      </w:r>
      <w:r w:rsidR="004B31A7" w:rsidRPr="0064043D">
        <w:rPr>
          <w:rFonts w:ascii="Times New Roman" w:hAnsi="Times New Roman"/>
        </w:rPr>
        <w:t xml:space="preserve"> integración socioeconómica </w:t>
      </w:r>
      <w:r w:rsidR="00857FF0" w:rsidRPr="0064043D">
        <w:rPr>
          <w:rFonts w:ascii="Times New Roman" w:hAnsi="Times New Roman"/>
        </w:rPr>
        <w:t>de las poblaciones de migrantes en los países de acogida</w:t>
      </w:r>
      <w:r w:rsidR="00F0732D" w:rsidRPr="0064043D">
        <w:rPr>
          <w:rFonts w:ascii="Times New Roman" w:hAnsi="Times New Roman"/>
        </w:rPr>
        <w:t xml:space="preserve"> y son </w:t>
      </w:r>
      <w:r w:rsidR="00E70229" w:rsidRPr="0064043D">
        <w:rPr>
          <w:rFonts w:ascii="Times New Roman" w:hAnsi="Times New Roman"/>
        </w:rPr>
        <w:t>importantes</w:t>
      </w:r>
      <w:r w:rsidR="00B72EC1" w:rsidRPr="0064043D">
        <w:rPr>
          <w:rFonts w:ascii="Times New Roman" w:hAnsi="Times New Roman"/>
        </w:rPr>
        <w:t xml:space="preserve"> no </w:t>
      </w:r>
      <w:r w:rsidR="00F0732D" w:rsidRPr="0064043D">
        <w:rPr>
          <w:rFonts w:ascii="Times New Roman" w:hAnsi="Times New Roman"/>
        </w:rPr>
        <w:t xml:space="preserve">sólo para disminuir las condiciones inherentes de vulnerabilidad que los migrantes suelen enfrentar, sino que también permiten </w:t>
      </w:r>
      <w:r w:rsidR="00857FF0" w:rsidRPr="0064043D">
        <w:rPr>
          <w:rFonts w:ascii="Times New Roman" w:hAnsi="Times New Roman"/>
        </w:rPr>
        <w:t>maximizar su</w:t>
      </w:r>
      <w:r w:rsidR="00DC3796" w:rsidRPr="0064043D">
        <w:rPr>
          <w:rFonts w:ascii="Times New Roman" w:hAnsi="Times New Roman"/>
        </w:rPr>
        <w:t xml:space="preserve">s potenciales </w:t>
      </w:r>
      <w:r w:rsidR="00857FF0" w:rsidRPr="0064043D">
        <w:rPr>
          <w:rFonts w:ascii="Times New Roman" w:hAnsi="Times New Roman"/>
        </w:rPr>
        <w:t>contribuciones</w:t>
      </w:r>
      <w:r w:rsidR="00F0732D" w:rsidRPr="0064043D">
        <w:rPr>
          <w:rFonts w:ascii="Times New Roman" w:hAnsi="Times New Roman"/>
        </w:rPr>
        <w:t xml:space="preserve"> al desarrollo integral de sus comunidades y países de acogida</w:t>
      </w:r>
      <w:r w:rsidR="00857FF0" w:rsidRPr="0064043D">
        <w:rPr>
          <w:rFonts w:ascii="Times New Roman" w:hAnsi="Times New Roman"/>
        </w:rPr>
        <w:t>.</w:t>
      </w:r>
    </w:p>
    <w:p w14:paraId="18808A18" w14:textId="77777777" w:rsidR="009C2526" w:rsidRPr="0064043D" w:rsidRDefault="009C2526" w:rsidP="00825D4F">
      <w:pPr>
        <w:spacing w:after="0" w:line="240" w:lineRule="auto"/>
        <w:jc w:val="both"/>
        <w:rPr>
          <w:rFonts w:ascii="Times New Roman" w:hAnsi="Times New Roman"/>
        </w:rPr>
      </w:pPr>
    </w:p>
    <w:p w14:paraId="163E7A09" w14:textId="77777777" w:rsidR="0068660B" w:rsidRPr="0064043D" w:rsidRDefault="00DC6C5D" w:rsidP="00825D4F">
      <w:pPr>
        <w:spacing w:after="0" w:line="240" w:lineRule="auto"/>
        <w:jc w:val="both"/>
        <w:rPr>
          <w:rFonts w:ascii="Times New Roman" w:hAnsi="Times New Roman"/>
        </w:rPr>
      </w:pPr>
      <w:r w:rsidRPr="0064043D">
        <w:rPr>
          <w:rFonts w:ascii="Times New Roman" w:hAnsi="Times New Roman"/>
        </w:rPr>
        <w:tab/>
        <w:t>La migración internacional</w:t>
      </w:r>
      <w:r w:rsidR="00F0732D" w:rsidRPr="0064043D">
        <w:rPr>
          <w:rFonts w:ascii="Times New Roman" w:hAnsi="Times New Roman"/>
        </w:rPr>
        <w:t xml:space="preserve"> </w:t>
      </w:r>
      <w:r w:rsidR="00E70229" w:rsidRPr="0064043D">
        <w:rPr>
          <w:rFonts w:ascii="Times New Roman" w:hAnsi="Times New Roman"/>
        </w:rPr>
        <w:t xml:space="preserve">segura, ordenada y regular, </w:t>
      </w:r>
      <w:r w:rsidR="00F0732D" w:rsidRPr="0064043D">
        <w:rPr>
          <w:rFonts w:ascii="Times New Roman" w:hAnsi="Times New Roman"/>
        </w:rPr>
        <w:t>puede representar un factor importante de desarrollo para</w:t>
      </w:r>
      <w:r w:rsidR="00DC3796" w:rsidRPr="0064043D">
        <w:rPr>
          <w:rFonts w:ascii="Times New Roman" w:hAnsi="Times New Roman"/>
        </w:rPr>
        <w:t xml:space="preserve"> estos países </w:t>
      </w:r>
      <w:r w:rsidR="00F0732D" w:rsidRPr="0064043D">
        <w:rPr>
          <w:rFonts w:ascii="Times New Roman" w:hAnsi="Times New Roman"/>
        </w:rPr>
        <w:t>ya que</w:t>
      </w:r>
      <w:r w:rsidRPr="0064043D">
        <w:rPr>
          <w:rFonts w:ascii="Times New Roman" w:hAnsi="Times New Roman"/>
        </w:rPr>
        <w:t xml:space="preserve"> e</w:t>
      </w:r>
      <w:r w:rsidR="00DC3796" w:rsidRPr="0064043D">
        <w:rPr>
          <w:rFonts w:ascii="Times New Roman" w:hAnsi="Times New Roman"/>
        </w:rPr>
        <w:t xml:space="preserve">stá íntimamente vinculada a sus </w:t>
      </w:r>
      <w:r w:rsidRPr="0064043D">
        <w:rPr>
          <w:rFonts w:ascii="Times New Roman" w:hAnsi="Times New Roman"/>
        </w:rPr>
        <w:t>procesos de reproducción demográfic</w:t>
      </w:r>
      <w:r w:rsidR="00F0732D" w:rsidRPr="0064043D">
        <w:rPr>
          <w:rFonts w:ascii="Times New Roman" w:hAnsi="Times New Roman"/>
        </w:rPr>
        <w:t xml:space="preserve">a y </w:t>
      </w:r>
      <w:r w:rsidR="00DC3796" w:rsidRPr="0064043D">
        <w:rPr>
          <w:rFonts w:ascii="Times New Roman" w:hAnsi="Times New Roman"/>
        </w:rPr>
        <w:t>de desarrollo económico</w:t>
      </w:r>
      <w:r w:rsidRPr="0064043D">
        <w:rPr>
          <w:rFonts w:ascii="Times New Roman" w:hAnsi="Times New Roman"/>
        </w:rPr>
        <w:t>.</w:t>
      </w:r>
      <w:r w:rsidR="00F0732D" w:rsidRPr="0064043D">
        <w:rPr>
          <w:rFonts w:ascii="Times New Roman" w:hAnsi="Times New Roman"/>
        </w:rPr>
        <w:t xml:space="preserve"> </w:t>
      </w:r>
      <w:r w:rsidR="00EB2BF2" w:rsidRPr="0064043D">
        <w:rPr>
          <w:rFonts w:ascii="Times New Roman" w:hAnsi="Times New Roman"/>
        </w:rPr>
        <w:t>Para poder</w:t>
      </w:r>
      <w:r w:rsidR="00F47BD2" w:rsidRPr="0064043D">
        <w:rPr>
          <w:rFonts w:ascii="Times New Roman" w:hAnsi="Times New Roman"/>
        </w:rPr>
        <w:t xml:space="preserve"> capitalizar esta oportunidad</w:t>
      </w:r>
      <w:r w:rsidR="00F050B1" w:rsidRPr="0064043D">
        <w:rPr>
          <w:rFonts w:ascii="Times New Roman" w:hAnsi="Times New Roman"/>
        </w:rPr>
        <w:t>,</w:t>
      </w:r>
      <w:r w:rsidR="0068660B" w:rsidRPr="0064043D">
        <w:rPr>
          <w:rFonts w:ascii="Times New Roman" w:hAnsi="Times New Roman"/>
        </w:rPr>
        <w:t xml:space="preserve"> y otras que la </w:t>
      </w:r>
      <w:r w:rsidR="00A823A5" w:rsidRPr="0064043D">
        <w:rPr>
          <w:rFonts w:ascii="Times New Roman" w:hAnsi="Times New Roman"/>
        </w:rPr>
        <w:t>migración internacional</w:t>
      </w:r>
      <w:r w:rsidR="0068660B" w:rsidRPr="0064043D">
        <w:rPr>
          <w:rFonts w:ascii="Times New Roman" w:hAnsi="Times New Roman"/>
        </w:rPr>
        <w:t xml:space="preserve"> representa</w:t>
      </w:r>
      <w:r w:rsidR="00626735" w:rsidRPr="0064043D">
        <w:rPr>
          <w:rFonts w:ascii="Times New Roman" w:hAnsi="Times New Roman"/>
        </w:rPr>
        <w:t xml:space="preserve"> se</w:t>
      </w:r>
      <w:r w:rsidR="00EB2BF2" w:rsidRPr="0064043D">
        <w:rPr>
          <w:rFonts w:ascii="Times New Roman" w:hAnsi="Times New Roman"/>
        </w:rPr>
        <w:t xml:space="preserve"> </w:t>
      </w:r>
      <w:r w:rsidR="001164A9" w:rsidRPr="0064043D">
        <w:rPr>
          <w:rFonts w:ascii="Times New Roman" w:hAnsi="Times New Roman"/>
        </w:rPr>
        <w:t>requiere</w:t>
      </w:r>
      <w:r w:rsidR="00EB2BF2" w:rsidRPr="0064043D">
        <w:rPr>
          <w:rFonts w:ascii="Times New Roman" w:hAnsi="Times New Roman"/>
        </w:rPr>
        <w:t xml:space="preserve"> tener políticas </w:t>
      </w:r>
      <w:r w:rsidR="00E70229" w:rsidRPr="0064043D">
        <w:rPr>
          <w:rFonts w:ascii="Times New Roman" w:hAnsi="Times New Roman"/>
        </w:rPr>
        <w:t>sociales</w:t>
      </w:r>
      <w:r w:rsidR="00EB2BF2" w:rsidRPr="0064043D">
        <w:rPr>
          <w:rFonts w:ascii="Times New Roman" w:hAnsi="Times New Roman"/>
        </w:rPr>
        <w:t xml:space="preserve"> </w:t>
      </w:r>
      <w:r w:rsidR="007259F0" w:rsidRPr="0064043D">
        <w:rPr>
          <w:rFonts w:ascii="Times New Roman" w:hAnsi="Times New Roman"/>
        </w:rPr>
        <w:t xml:space="preserve">y de acceso al mercado laboral </w:t>
      </w:r>
      <w:r w:rsidR="00EB2BF2" w:rsidRPr="0064043D">
        <w:rPr>
          <w:rFonts w:ascii="Times New Roman" w:hAnsi="Times New Roman"/>
        </w:rPr>
        <w:t>que garanticen la inclusi</w:t>
      </w:r>
      <w:r w:rsidR="001164A9" w:rsidRPr="0064043D">
        <w:rPr>
          <w:rFonts w:ascii="Times New Roman" w:hAnsi="Times New Roman"/>
        </w:rPr>
        <w:t>ón social de las poblaciones de m</w:t>
      </w:r>
      <w:r w:rsidR="00A823A5" w:rsidRPr="0064043D">
        <w:rPr>
          <w:rFonts w:ascii="Times New Roman" w:hAnsi="Times New Roman"/>
        </w:rPr>
        <w:t>igrantes que se asientan</w:t>
      </w:r>
      <w:r w:rsidR="00C96C5F" w:rsidRPr="0064043D">
        <w:rPr>
          <w:rFonts w:ascii="Times New Roman" w:hAnsi="Times New Roman"/>
        </w:rPr>
        <w:t xml:space="preserve"> en su territorio</w:t>
      </w:r>
      <w:r w:rsidR="007259F0" w:rsidRPr="0064043D">
        <w:rPr>
          <w:rFonts w:ascii="Times New Roman" w:hAnsi="Times New Roman"/>
        </w:rPr>
        <w:t xml:space="preserve">.  </w:t>
      </w:r>
    </w:p>
    <w:p w14:paraId="75DC7166" w14:textId="77777777" w:rsidR="009C2526" w:rsidRPr="0064043D" w:rsidRDefault="009C2526" w:rsidP="00825D4F">
      <w:pPr>
        <w:spacing w:after="0" w:line="240" w:lineRule="auto"/>
        <w:jc w:val="both"/>
        <w:rPr>
          <w:rFonts w:ascii="Times New Roman" w:hAnsi="Times New Roman"/>
        </w:rPr>
      </w:pPr>
    </w:p>
    <w:p w14:paraId="24F756DC" w14:textId="77777777" w:rsidR="00967618" w:rsidRPr="0064043D" w:rsidRDefault="0068660B" w:rsidP="00825D4F">
      <w:pPr>
        <w:spacing w:after="0" w:line="240" w:lineRule="auto"/>
        <w:jc w:val="both"/>
        <w:rPr>
          <w:rFonts w:ascii="Times New Roman" w:hAnsi="Times New Roman"/>
        </w:rPr>
      </w:pPr>
      <w:r w:rsidRPr="0064043D">
        <w:rPr>
          <w:rFonts w:ascii="Times New Roman" w:hAnsi="Times New Roman"/>
        </w:rPr>
        <w:tab/>
      </w:r>
      <w:r w:rsidR="007259F0" w:rsidRPr="0064043D">
        <w:rPr>
          <w:rFonts w:ascii="Times New Roman" w:hAnsi="Times New Roman"/>
        </w:rPr>
        <w:t>Muchos</w:t>
      </w:r>
      <w:r w:rsidR="00C96C5F" w:rsidRPr="0064043D">
        <w:rPr>
          <w:rFonts w:ascii="Times New Roman" w:hAnsi="Times New Roman"/>
        </w:rPr>
        <w:t xml:space="preserve"> países de las Am</w:t>
      </w:r>
      <w:r w:rsidR="007259F0" w:rsidRPr="0064043D">
        <w:rPr>
          <w:rFonts w:ascii="Times New Roman" w:hAnsi="Times New Roman"/>
        </w:rPr>
        <w:t>éricas ya han dado pasos</w:t>
      </w:r>
      <w:r w:rsidR="00C96C5F" w:rsidRPr="0064043D">
        <w:rPr>
          <w:rFonts w:ascii="Times New Roman" w:hAnsi="Times New Roman"/>
        </w:rPr>
        <w:t xml:space="preserve"> </w:t>
      </w:r>
      <w:r w:rsidR="007259F0" w:rsidRPr="0064043D">
        <w:rPr>
          <w:rFonts w:ascii="Times New Roman" w:hAnsi="Times New Roman"/>
        </w:rPr>
        <w:t>importantes</w:t>
      </w:r>
      <w:r w:rsidR="00C96C5F" w:rsidRPr="0064043D">
        <w:rPr>
          <w:rFonts w:ascii="Times New Roman" w:hAnsi="Times New Roman"/>
        </w:rPr>
        <w:t xml:space="preserve"> en esta materia </w:t>
      </w:r>
      <w:r w:rsidR="00967618" w:rsidRPr="0064043D">
        <w:rPr>
          <w:rFonts w:ascii="Times New Roman" w:hAnsi="Times New Roman"/>
        </w:rPr>
        <w:t xml:space="preserve">conforme han ido </w:t>
      </w:r>
      <w:r w:rsidR="007259F0" w:rsidRPr="0064043D">
        <w:rPr>
          <w:rFonts w:ascii="Times New Roman" w:hAnsi="Times New Roman"/>
        </w:rPr>
        <w:t>adoptado</w:t>
      </w:r>
      <w:r w:rsidR="00967618" w:rsidRPr="0064043D">
        <w:rPr>
          <w:rFonts w:ascii="Times New Roman" w:hAnsi="Times New Roman"/>
        </w:rPr>
        <w:t>,</w:t>
      </w:r>
      <w:r w:rsidR="007259F0" w:rsidRPr="0064043D">
        <w:rPr>
          <w:rFonts w:ascii="Times New Roman" w:hAnsi="Times New Roman"/>
        </w:rPr>
        <w:t xml:space="preserve"> en décadas recientes</w:t>
      </w:r>
      <w:r w:rsidR="00967618" w:rsidRPr="0064043D">
        <w:rPr>
          <w:rFonts w:ascii="Times New Roman" w:hAnsi="Times New Roman"/>
        </w:rPr>
        <w:t>,</w:t>
      </w:r>
      <w:r w:rsidR="007259F0" w:rsidRPr="0064043D">
        <w:rPr>
          <w:rFonts w:ascii="Times New Roman" w:hAnsi="Times New Roman"/>
        </w:rPr>
        <w:t xml:space="preserve"> un </w:t>
      </w:r>
      <w:r w:rsidR="00C96C5F" w:rsidRPr="0064043D">
        <w:rPr>
          <w:rFonts w:ascii="Times New Roman" w:hAnsi="Times New Roman"/>
        </w:rPr>
        <w:t xml:space="preserve">enfoque de derechos </w:t>
      </w:r>
      <w:r w:rsidR="007259F0" w:rsidRPr="0064043D">
        <w:rPr>
          <w:rFonts w:ascii="Times New Roman" w:hAnsi="Times New Roman"/>
        </w:rPr>
        <w:t xml:space="preserve">en su normativa y políticas </w:t>
      </w:r>
      <w:r w:rsidR="00760568" w:rsidRPr="0064043D">
        <w:rPr>
          <w:rFonts w:ascii="Times New Roman" w:hAnsi="Times New Roman"/>
        </w:rPr>
        <w:t xml:space="preserve">públicas </w:t>
      </w:r>
      <w:r w:rsidR="007259F0" w:rsidRPr="0064043D">
        <w:rPr>
          <w:rFonts w:ascii="Times New Roman" w:hAnsi="Times New Roman"/>
        </w:rPr>
        <w:t xml:space="preserve">hacia las </w:t>
      </w:r>
      <w:r w:rsidR="00C96C5F" w:rsidRPr="0064043D">
        <w:rPr>
          <w:rFonts w:ascii="Times New Roman" w:hAnsi="Times New Roman"/>
        </w:rPr>
        <w:t>poblaciones de migrantes y r</w:t>
      </w:r>
      <w:r w:rsidR="007259F0" w:rsidRPr="0064043D">
        <w:rPr>
          <w:rFonts w:ascii="Times New Roman" w:hAnsi="Times New Roman"/>
        </w:rPr>
        <w:t>efugiados</w:t>
      </w:r>
      <w:r w:rsidR="00F050B1" w:rsidRPr="0064043D">
        <w:rPr>
          <w:rFonts w:ascii="Times New Roman" w:hAnsi="Times New Roman"/>
        </w:rPr>
        <w:t xml:space="preserve"> lo que</w:t>
      </w:r>
      <w:r w:rsidR="00967618" w:rsidRPr="0064043D">
        <w:rPr>
          <w:rFonts w:ascii="Times New Roman" w:hAnsi="Times New Roman"/>
        </w:rPr>
        <w:t xml:space="preserve"> ha </w:t>
      </w:r>
      <w:r w:rsidR="00A05FFF" w:rsidRPr="0064043D">
        <w:rPr>
          <w:rFonts w:ascii="Times New Roman" w:hAnsi="Times New Roman"/>
        </w:rPr>
        <w:t xml:space="preserve">garantizado </w:t>
      </w:r>
      <w:r w:rsidR="00760568" w:rsidRPr="0064043D">
        <w:rPr>
          <w:rFonts w:ascii="Times New Roman" w:hAnsi="Times New Roman"/>
        </w:rPr>
        <w:t>el acceso</w:t>
      </w:r>
      <w:r w:rsidR="00A05FFF" w:rsidRPr="0064043D">
        <w:rPr>
          <w:rFonts w:ascii="Times New Roman" w:hAnsi="Times New Roman"/>
        </w:rPr>
        <w:t xml:space="preserve"> de</w:t>
      </w:r>
      <w:r w:rsidR="00760568" w:rsidRPr="0064043D">
        <w:rPr>
          <w:rFonts w:ascii="Times New Roman" w:hAnsi="Times New Roman"/>
        </w:rPr>
        <w:t xml:space="preserve"> estas poblaciones </w:t>
      </w:r>
      <w:r w:rsidR="00967618" w:rsidRPr="0064043D">
        <w:rPr>
          <w:rFonts w:ascii="Times New Roman" w:hAnsi="Times New Roman"/>
        </w:rPr>
        <w:t xml:space="preserve">a </w:t>
      </w:r>
      <w:r w:rsidR="00A05FFF" w:rsidRPr="0064043D">
        <w:rPr>
          <w:rFonts w:ascii="Times New Roman" w:hAnsi="Times New Roman"/>
        </w:rPr>
        <w:t>sus servicios públicos incluidos los</w:t>
      </w:r>
      <w:r w:rsidR="00CC4145" w:rsidRPr="0064043D">
        <w:rPr>
          <w:rFonts w:ascii="Times New Roman" w:hAnsi="Times New Roman"/>
        </w:rPr>
        <w:t xml:space="preserve"> educativos</w:t>
      </w:r>
      <w:r w:rsidR="00760568" w:rsidRPr="0064043D">
        <w:rPr>
          <w:rFonts w:ascii="Times New Roman" w:hAnsi="Times New Roman"/>
        </w:rPr>
        <w:t xml:space="preserve"> y de salud.</w:t>
      </w:r>
      <w:r w:rsidR="00A05FFF" w:rsidRPr="0064043D">
        <w:rPr>
          <w:rStyle w:val="FootnoteReference"/>
          <w:rFonts w:ascii="Times New Roman" w:hAnsi="Times New Roman"/>
        </w:rPr>
        <w:footnoteReference w:id="1"/>
      </w:r>
      <w:r w:rsidR="00A05FFF" w:rsidRPr="0064043D">
        <w:rPr>
          <w:rFonts w:ascii="Times New Roman" w:hAnsi="Times New Roman"/>
        </w:rPr>
        <w:t xml:space="preserve"> </w:t>
      </w:r>
    </w:p>
    <w:p w14:paraId="03746668" w14:textId="77777777" w:rsidR="009C2526" w:rsidRPr="0064043D" w:rsidRDefault="009C2526" w:rsidP="00825D4F">
      <w:pPr>
        <w:spacing w:after="0" w:line="240" w:lineRule="auto"/>
        <w:jc w:val="both"/>
        <w:rPr>
          <w:rFonts w:ascii="Times New Roman" w:hAnsi="Times New Roman"/>
        </w:rPr>
      </w:pPr>
    </w:p>
    <w:p w14:paraId="238953BD" w14:textId="77777777" w:rsidR="00967618" w:rsidRPr="0064043D" w:rsidRDefault="00967618" w:rsidP="00825D4F">
      <w:pPr>
        <w:spacing w:after="0" w:line="240" w:lineRule="auto"/>
        <w:jc w:val="both"/>
        <w:rPr>
          <w:rFonts w:ascii="Times New Roman" w:hAnsi="Times New Roman"/>
        </w:rPr>
      </w:pPr>
      <w:r w:rsidRPr="0064043D">
        <w:rPr>
          <w:rFonts w:ascii="Times New Roman" w:hAnsi="Times New Roman"/>
        </w:rPr>
        <w:tab/>
      </w:r>
      <w:r w:rsidR="00F050B1" w:rsidRPr="0064043D">
        <w:rPr>
          <w:rFonts w:ascii="Times New Roman" w:hAnsi="Times New Roman"/>
        </w:rPr>
        <w:t xml:space="preserve"> </w:t>
      </w:r>
      <w:r w:rsidRPr="0064043D">
        <w:rPr>
          <w:rFonts w:ascii="Times New Roman" w:hAnsi="Times New Roman"/>
        </w:rPr>
        <w:t xml:space="preserve">Asimismo, un tema </w:t>
      </w:r>
      <w:r w:rsidR="00E70229" w:rsidRPr="0064043D">
        <w:rPr>
          <w:rFonts w:ascii="Times New Roman" w:hAnsi="Times New Roman"/>
        </w:rPr>
        <w:t>vigente</w:t>
      </w:r>
      <w:r w:rsidRPr="0064043D">
        <w:rPr>
          <w:rFonts w:ascii="Times New Roman" w:hAnsi="Times New Roman"/>
        </w:rPr>
        <w:t xml:space="preserve"> en la agenda</w:t>
      </w:r>
      <w:r w:rsidR="009B096A" w:rsidRPr="0064043D">
        <w:rPr>
          <w:rFonts w:ascii="Times New Roman" w:hAnsi="Times New Roman"/>
        </w:rPr>
        <w:t xml:space="preserve"> de la región</w:t>
      </w:r>
      <w:r w:rsidRPr="0064043D">
        <w:rPr>
          <w:rFonts w:ascii="Times New Roman" w:hAnsi="Times New Roman"/>
        </w:rPr>
        <w:t xml:space="preserve"> es cómo garantizar el acceso a los sistemas </w:t>
      </w:r>
      <w:r w:rsidR="00E11D8A" w:rsidRPr="0064043D">
        <w:rPr>
          <w:rFonts w:ascii="Times New Roman" w:hAnsi="Times New Roman"/>
        </w:rPr>
        <w:t>de pensiones no sólo para que los migrant</w:t>
      </w:r>
      <w:r w:rsidR="009B096A" w:rsidRPr="0064043D">
        <w:rPr>
          <w:rFonts w:ascii="Times New Roman" w:hAnsi="Times New Roman"/>
        </w:rPr>
        <w:t>es puedan contribuir vía sus contribuciones</w:t>
      </w:r>
      <w:r w:rsidR="00E11D8A" w:rsidRPr="0064043D">
        <w:rPr>
          <w:rFonts w:ascii="Times New Roman" w:hAnsi="Times New Roman"/>
        </w:rPr>
        <w:t xml:space="preserve"> a la </w:t>
      </w:r>
      <w:r w:rsidR="00E11D8A" w:rsidRPr="0064043D">
        <w:rPr>
          <w:rFonts w:ascii="Times New Roman" w:hAnsi="Times New Roman"/>
        </w:rPr>
        <w:lastRenderedPageBreak/>
        <w:t>sostenibilidad de estos sistemas, sino también para evitar que éstos enfrenten condi</w:t>
      </w:r>
      <w:r w:rsidR="00CC4145" w:rsidRPr="0064043D">
        <w:rPr>
          <w:rFonts w:ascii="Times New Roman" w:hAnsi="Times New Roman"/>
        </w:rPr>
        <w:t xml:space="preserve">ciones de indigencia </w:t>
      </w:r>
      <w:r w:rsidR="009B096A" w:rsidRPr="0064043D">
        <w:rPr>
          <w:rFonts w:ascii="Times New Roman" w:hAnsi="Times New Roman"/>
        </w:rPr>
        <w:t xml:space="preserve">por situaciones de invalidez, accidentes laborales, </w:t>
      </w:r>
      <w:r w:rsidR="001959A4" w:rsidRPr="0064043D">
        <w:rPr>
          <w:rFonts w:ascii="Times New Roman" w:hAnsi="Times New Roman"/>
        </w:rPr>
        <w:t xml:space="preserve">o cuando se retiran. </w:t>
      </w:r>
      <w:r w:rsidR="00E11D8A" w:rsidRPr="0064043D">
        <w:rPr>
          <w:rFonts w:ascii="Times New Roman" w:hAnsi="Times New Roman"/>
        </w:rPr>
        <w:t xml:space="preserve"> </w:t>
      </w:r>
    </w:p>
    <w:p w14:paraId="665E36BA" w14:textId="77777777" w:rsidR="009C2526" w:rsidRPr="0064043D" w:rsidRDefault="009C2526" w:rsidP="00825D4F">
      <w:pPr>
        <w:spacing w:after="0" w:line="240" w:lineRule="auto"/>
        <w:jc w:val="both"/>
        <w:rPr>
          <w:rFonts w:ascii="Times New Roman" w:hAnsi="Times New Roman"/>
        </w:rPr>
      </w:pPr>
    </w:p>
    <w:p w14:paraId="476658D5" w14:textId="09C4941E" w:rsidR="00E11D8A" w:rsidRPr="0064043D" w:rsidRDefault="00E11D8A" w:rsidP="00825D4F">
      <w:pPr>
        <w:spacing w:after="0" w:line="240" w:lineRule="auto"/>
        <w:jc w:val="both"/>
        <w:rPr>
          <w:rFonts w:ascii="Times New Roman" w:hAnsi="Times New Roman"/>
        </w:rPr>
      </w:pPr>
      <w:r w:rsidRPr="0064043D">
        <w:rPr>
          <w:rFonts w:ascii="Times New Roman" w:hAnsi="Times New Roman"/>
        </w:rPr>
        <w:tab/>
      </w:r>
      <w:r w:rsidR="00E41CF2" w:rsidRPr="0064043D">
        <w:rPr>
          <w:rFonts w:ascii="Times New Roman" w:hAnsi="Times New Roman"/>
        </w:rPr>
        <w:t>Este es un reto particular para los países de destino de la regi</w:t>
      </w:r>
      <w:r w:rsidR="001D5428" w:rsidRPr="0064043D">
        <w:rPr>
          <w:rFonts w:ascii="Times New Roman" w:hAnsi="Times New Roman"/>
        </w:rPr>
        <w:t xml:space="preserve">ón en </w:t>
      </w:r>
      <w:r w:rsidR="00632813" w:rsidRPr="0064043D">
        <w:rPr>
          <w:rFonts w:ascii="Times New Roman" w:hAnsi="Times New Roman"/>
        </w:rPr>
        <w:t xml:space="preserve">los </w:t>
      </w:r>
      <w:r w:rsidR="001D5428" w:rsidRPr="0064043D">
        <w:rPr>
          <w:rFonts w:ascii="Times New Roman" w:hAnsi="Times New Roman"/>
        </w:rPr>
        <w:t>que las tasas de empleo en la economía informal son altas para la poblaci</w:t>
      </w:r>
      <w:r w:rsidR="001959A4" w:rsidRPr="0064043D">
        <w:rPr>
          <w:rFonts w:ascii="Times New Roman" w:hAnsi="Times New Roman"/>
        </w:rPr>
        <w:t xml:space="preserve">ón en su conjunto, </w:t>
      </w:r>
      <w:r w:rsidR="00632813" w:rsidRPr="0064043D">
        <w:rPr>
          <w:rFonts w:ascii="Times New Roman" w:hAnsi="Times New Roman"/>
        </w:rPr>
        <w:t xml:space="preserve">hecho que se acentúa en el caso </w:t>
      </w:r>
      <w:r w:rsidR="001D5428" w:rsidRPr="0064043D">
        <w:rPr>
          <w:rFonts w:ascii="Times New Roman" w:hAnsi="Times New Roman"/>
        </w:rPr>
        <w:t xml:space="preserve">de las </w:t>
      </w:r>
      <w:r w:rsidR="00632813" w:rsidRPr="0064043D">
        <w:rPr>
          <w:rFonts w:ascii="Times New Roman" w:hAnsi="Times New Roman"/>
        </w:rPr>
        <w:t>personas</w:t>
      </w:r>
      <w:r w:rsidR="001D5428" w:rsidRPr="0064043D">
        <w:rPr>
          <w:rFonts w:ascii="Times New Roman" w:hAnsi="Times New Roman"/>
        </w:rPr>
        <w:t xml:space="preserve"> migrantes</w:t>
      </w:r>
      <w:r w:rsidR="009B096A" w:rsidRPr="0064043D">
        <w:rPr>
          <w:rFonts w:ascii="Times New Roman" w:hAnsi="Times New Roman"/>
        </w:rPr>
        <w:t>,</w:t>
      </w:r>
      <w:r w:rsidR="001D5428" w:rsidRPr="0064043D">
        <w:rPr>
          <w:rFonts w:ascii="Times New Roman" w:hAnsi="Times New Roman"/>
        </w:rPr>
        <w:t xml:space="preserve"> </w:t>
      </w:r>
      <w:r w:rsidR="002C2A99" w:rsidRPr="0064043D">
        <w:rPr>
          <w:rFonts w:ascii="Times New Roman" w:hAnsi="Times New Roman"/>
        </w:rPr>
        <w:t xml:space="preserve">especialmente cuando </w:t>
      </w:r>
      <w:r w:rsidR="001D5428" w:rsidRPr="0064043D">
        <w:rPr>
          <w:rFonts w:ascii="Times New Roman" w:hAnsi="Times New Roman"/>
        </w:rPr>
        <w:t>se encuentran empleados en la economía informal</w:t>
      </w:r>
      <w:r w:rsidR="001D5428" w:rsidRPr="0064043D">
        <w:rPr>
          <w:rStyle w:val="FootnoteReference"/>
          <w:rFonts w:ascii="Times New Roman" w:hAnsi="Times New Roman"/>
        </w:rPr>
        <w:footnoteReference w:id="2"/>
      </w:r>
      <w:r w:rsidR="001D5428" w:rsidRPr="0064043D">
        <w:rPr>
          <w:rFonts w:ascii="Times New Roman" w:hAnsi="Times New Roman"/>
        </w:rPr>
        <w:t xml:space="preserve">. </w:t>
      </w:r>
    </w:p>
    <w:p w14:paraId="67488F3C" w14:textId="77777777" w:rsidR="009C2526" w:rsidRPr="0064043D" w:rsidRDefault="009C2526" w:rsidP="00825D4F">
      <w:pPr>
        <w:spacing w:after="0" w:line="240" w:lineRule="auto"/>
        <w:jc w:val="both"/>
        <w:rPr>
          <w:rFonts w:ascii="Times New Roman" w:hAnsi="Times New Roman"/>
        </w:rPr>
      </w:pPr>
    </w:p>
    <w:p w14:paraId="65ABEC80" w14:textId="2E1C9326" w:rsidR="00301481" w:rsidRPr="0064043D" w:rsidRDefault="00301481" w:rsidP="00825D4F">
      <w:pPr>
        <w:spacing w:after="0" w:line="240" w:lineRule="auto"/>
        <w:jc w:val="both"/>
        <w:rPr>
          <w:rFonts w:ascii="Times New Roman" w:hAnsi="Times New Roman"/>
        </w:rPr>
      </w:pPr>
      <w:r w:rsidRPr="0064043D">
        <w:rPr>
          <w:rFonts w:ascii="Times New Roman" w:hAnsi="Times New Roman"/>
          <w:i/>
        </w:rPr>
        <w:t xml:space="preserve">Acceso a los sistemas de pensiones y </w:t>
      </w:r>
      <w:r w:rsidR="00D30F7A" w:rsidRPr="0064043D">
        <w:rPr>
          <w:rFonts w:ascii="Times New Roman" w:hAnsi="Times New Roman"/>
          <w:i/>
        </w:rPr>
        <w:t xml:space="preserve">mecanismos </w:t>
      </w:r>
      <w:r w:rsidRPr="0064043D">
        <w:rPr>
          <w:rFonts w:ascii="Times New Roman" w:hAnsi="Times New Roman"/>
          <w:i/>
        </w:rPr>
        <w:t>de transferencia de beneficios</w:t>
      </w:r>
      <w:r w:rsidR="00D30F7A" w:rsidRPr="0064043D">
        <w:rPr>
          <w:rFonts w:ascii="Times New Roman" w:hAnsi="Times New Roman"/>
          <w:i/>
        </w:rPr>
        <w:t xml:space="preserve"> </w:t>
      </w:r>
      <w:r w:rsidR="002C2A99" w:rsidRPr="0064043D">
        <w:rPr>
          <w:rFonts w:ascii="Times New Roman" w:hAnsi="Times New Roman"/>
          <w:i/>
        </w:rPr>
        <w:t xml:space="preserve">de </w:t>
      </w:r>
      <w:r w:rsidR="00D30F7A" w:rsidRPr="0064043D">
        <w:rPr>
          <w:rFonts w:ascii="Times New Roman" w:hAnsi="Times New Roman"/>
          <w:i/>
        </w:rPr>
        <w:t>seguridad social</w:t>
      </w:r>
      <w:r w:rsidR="001959A4" w:rsidRPr="0064043D">
        <w:rPr>
          <w:rFonts w:ascii="Times New Roman" w:hAnsi="Times New Roman"/>
        </w:rPr>
        <w:tab/>
      </w:r>
    </w:p>
    <w:p w14:paraId="1140F470" w14:textId="77777777" w:rsidR="009E751A" w:rsidRPr="0064043D" w:rsidRDefault="0081075C" w:rsidP="00825D4F">
      <w:pPr>
        <w:spacing w:after="0" w:line="240" w:lineRule="auto"/>
        <w:jc w:val="both"/>
        <w:rPr>
          <w:rFonts w:ascii="Times New Roman" w:hAnsi="Times New Roman"/>
        </w:rPr>
      </w:pPr>
      <w:r w:rsidRPr="0064043D">
        <w:rPr>
          <w:rFonts w:ascii="Times New Roman" w:hAnsi="Times New Roman"/>
        </w:rPr>
        <w:tab/>
      </w:r>
      <w:r w:rsidR="00E70229" w:rsidRPr="0064043D">
        <w:rPr>
          <w:rFonts w:ascii="Times New Roman" w:hAnsi="Times New Roman"/>
        </w:rPr>
        <w:t xml:space="preserve">Es importante también </w:t>
      </w:r>
      <w:r w:rsidR="00A33370" w:rsidRPr="0064043D">
        <w:rPr>
          <w:rFonts w:ascii="Times New Roman" w:hAnsi="Times New Roman"/>
        </w:rPr>
        <w:t>conocer qué</w:t>
      </w:r>
      <w:r w:rsidR="008C7E53" w:rsidRPr="0064043D">
        <w:rPr>
          <w:rFonts w:ascii="Times New Roman" w:hAnsi="Times New Roman"/>
        </w:rPr>
        <w:t xml:space="preserve"> pasa con </w:t>
      </w:r>
      <w:r w:rsidR="00632813" w:rsidRPr="0064043D">
        <w:rPr>
          <w:rFonts w:ascii="Times New Roman" w:hAnsi="Times New Roman"/>
        </w:rPr>
        <w:t>los</w:t>
      </w:r>
      <w:r w:rsidR="007B2252" w:rsidRPr="0064043D">
        <w:rPr>
          <w:rFonts w:ascii="Times New Roman" w:hAnsi="Times New Roman"/>
        </w:rPr>
        <w:t xml:space="preserve"> migrantes una vez que estén en edad de retiro</w:t>
      </w:r>
      <w:r w:rsidR="00632813" w:rsidRPr="0064043D">
        <w:rPr>
          <w:rFonts w:ascii="Times New Roman" w:hAnsi="Times New Roman"/>
        </w:rPr>
        <w:t xml:space="preserve"> y que deseen regresar a su país de origen y cobrar su jubilación ahí</w:t>
      </w:r>
      <w:r w:rsidR="007B2252" w:rsidRPr="0064043D">
        <w:rPr>
          <w:rFonts w:ascii="Times New Roman" w:hAnsi="Times New Roman"/>
        </w:rPr>
        <w:t>.</w:t>
      </w:r>
      <w:r w:rsidR="005A6AFD" w:rsidRPr="0064043D">
        <w:rPr>
          <w:rFonts w:ascii="Times New Roman" w:hAnsi="Times New Roman"/>
        </w:rPr>
        <w:t xml:space="preserve"> </w:t>
      </w:r>
      <w:r w:rsidR="00A33370" w:rsidRPr="0064043D">
        <w:rPr>
          <w:rFonts w:ascii="Times New Roman" w:hAnsi="Times New Roman"/>
        </w:rPr>
        <w:t xml:space="preserve">Existen ya acuerdos suscritos por los Estados al respecto. </w:t>
      </w:r>
      <w:r w:rsidR="005A6AFD" w:rsidRPr="0064043D">
        <w:rPr>
          <w:rFonts w:ascii="Times New Roman" w:hAnsi="Times New Roman"/>
        </w:rPr>
        <w:t xml:space="preserve">Por ejemplo, </w:t>
      </w:r>
      <w:r w:rsidR="009E751A" w:rsidRPr="0064043D">
        <w:rPr>
          <w:rFonts w:ascii="Times New Roman" w:hAnsi="Times New Roman"/>
        </w:rPr>
        <w:t xml:space="preserve">México </w:t>
      </w:r>
      <w:r w:rsidR="000B54DE" w:rsidRPr="0064043D">
        <w:rPr>
          <w:rFonts w:ascii="Times New Roman" w:hAnsi="Times New Roman"/>
        </w:rPr>
        <w:t>y Canadá han firmado u</w:t>
      </w:r>
      <w:r w:rsidR="009E751A" w:rsidRPr="0064043D">
        <w:rPr>
          <w:rFonts w:ascii="Times New Roman" w:hAnsi="Times New Roman"/>
        </w:rPr>
        <w:t xml:space="preserve">n acuerdo que beneficia a los trabajadores </w:t>
      </w:r>
      <w:r w:rsidR="000B54DE" w:rsidRPr="0064043D">
        <w:rPr>
          <w:rFonts w:ascii="Times New Roman" w:hAnsi="Times New Roman"/>
        </w:rPr>
        <w:t>de ambos países que</w:t>
      </w:r>
      <w:r w:rsidR="009E751A" w:rsidRPr="0064043D">
        <w:rPr>
          <w:rFonts w:ascii="Times New Roman" w:hAnsi="Times New Roman"/>
        </w:rPr>
        <w:t xml:space="preserve"> hayan trabajado en México o Canadá</w:t>
      </w:r>
      <w:r w:rsidR="000B54DE" w:rsidRPr="0064043D">
        <w:rPr>
          <w:rFonts w:ascii="Times New Roman" w:hAnsi="Times New Roman"/>
        </w:rPr>
        <w:t>, respectivamente,</w:t>
      </w:r>
      <w:r w:rsidR="009E751A" w:rsidRPr="0064043D">
        <w:rPr>
          <w:rFonts w:ascii="Times New Roman" w:hAnsi="Times New Roman"/>
        </w:rPr>
        <w:t xml:space="preserve"> en algún momento de su vida y que hayan cotizado en los sistemas de pensiones de cualquiera de los dos países. E</w:t>
      </w:r>
      <w:r w:rsidR="009C740D" w:rsidRPr="0064043D">
        <w:rPr>
          <w:rFonts w:ascii="Times New Roman" w:hAnsi="Times New Roman"/>
        </w:rPr>
        <w:t>ste</w:t>
      </w:r>
      <w:r w:rsidR="009E751A" w:rsidRPr="0064043D">
        <w:rPr>
          <w:rFonts w:ascii="Times New Roman" w:hAnsi="Times New Roman"/>
        </w:rPr>
        <w:t xml:space="preserve"> acuerdo entró en vigor el 1 de mayo de 1996</w:t>
      </w:r>
      <w:r w:rsidR="009E751A" w:rsidRPr="0064043D">
        <w:rPr>
          <w:rStyle w:val="FootnoteReference"/>
          <w:rFonts w:ascii="Times New Roman" w:hAnsi="Times New Roman"/>
        </w:rPr>
        <w:footnoteReference w:id="3"/>
      </w:r>
      <w:r w:rsidR="009E751A" w:rsidRPr="0064043D">
        <w:rPr>
          <w:rFonts w:ascii="Times New Roman" w:hAnsi="Times New Roman"/>
        </w:rPr>
        <w:t xml:space="preserve">.   </w:t>
      </w:r>
    </w:p>
    <w:p w14:paraId="61F8958E" w14:textId="77777777" w:rsidR="009C2526" w:rsidRPr="0064043D" w:rsidRDefault="009C2526" w:rsidP="00825D4F">
      <w:pPr>
        <w:spacing w:after="0" w:line="240" w:lineRule="auto"/>
        <w:jc w:val="both"/>
        <w:rPr>
          <w:rFonts w:ascii="Times New Roman" w:hAnsi="Times New Roman"/>
        </w:rPr>
      </w:pPr>
    </w:p>
    <w:p w14:paraId="188E639F" w14:textId="77777777" w:rsidR="007C234D" w:rsidRPr="0064043D" w:rsidRDefault="00BC2062" w:rsidP="00825D4F">
      <w:pPr>
        <w:spacing w:after="0" w:line="240" w:lineRule="auto"/>
        <w:jc w:val="both"/>
        <w:rPr>
          <w:rFonts w:ascii="Times New Roman" w:hAnsi="Times New Roman"/>
        </w:rPr>
      </w:pPr>
      <w:r w:rsidRPr="0064043D">
        <w:rPr>
          <w:rFonts w:ascii="Times New Roman" w:hAnsi="Times New Roman"/>
        </w:rPr>
        <w:tab/>
      </w:r>
      <w:r w:rsidR="00A33370" w:rsidRPr="0064043D">
        <w:rPr>
          <w:rFonts w:ascii="Times New Roman" w:hAnsi="Times New Roman"/>
        </w:rPr>
        <w:t xml:space="preserve">Existen también buenas prácticas respecto a la suscripción de </w:t>
      </w:r>
      <w:r w:rsidRPr="0064043D">
        <w:rPr>
          <w:rFonts w:ascii="Times New Roman" w:hAnsi="Times New Roman"/>
        </w:rPr>
        <w:t>acuerdos que permiten el reconocimiento de las pensiones cotizadas en otros pa</w:t>
      </w:r>
      <w:r w:rsidR="009C740D" w:rsidRPr="0064043D">
        <w:rPr>
          <w:rFonts w:ascii="Times New Roman" w:hAnsi="Times New Roman"/>
        </w:rPr>
        <w:t xml:space="preserve">íses </w:t>
      </w:r>
      <w:r w:rsidR="00E43311" w:rsidRPr="0064043D">
        <w:rPr>
          <w:rFonts w:ascii="Times New Roman" w:hAnsi="Times New Roman"/>
        </w:rPr>
        <w:t>vía</w:t>
      </w:r>
      <w:r w:rsidR="005F45F7" w:rsidRPr="0064043D">
        <w:rPr>
          <w:rFonts w:ascii="Times New Roman" w:hAnsi="Times New Roman"/>
        </w:rPr>
        <w:t xml:space="preserve"> sistemas de seguridad social tradicionales o de reparto y </w:t>
      </w:r>
      <w:r w:rsidR="009C740D" w:rsidRPr="0064043D">
        <w:rPr>
          <w:rFonts w:ascii="Times New Roman" w:hAnsi="Times New Roman"/>
        </w:rPr>
        <w:t xml:space="preserve">sistemas de pensiones basados en la capitalización individual. </w:t>
      </w:r>
      <w:r w:rsidR="00D04F36" w:rsidRPr="0064043D">
        <w:rPr>
          <w:rFonts w:ascii="Times New Roman" w:hAnsi="Times New Roman"/>
        </w:rPr>
        <w:t>U</w:t>
      </w:r>
      <w:r w:rsidR="00A82EEC" w:rsidRPr="0064043D">
        <w:rPr>
          <w:rFonts w:ascii="Times New Roman" w:hAnsi="Times New Roman"/>
        </w:rPr>
        <w:t>n ejemplo</w:t>
      </w:r>
      <w:r w:rsidR="00295B56" w:rsidRPr="0064043D">
        <w:rPr>
          <w:rFonts w:ascii="Times New Roman" w:hAnsi="Times New Roman"/>
        </w:rPr>
        <w:t>,</w:t>
      </w:r>
      <w:r w:rsidR="00D04F36" w:rsidRPr="0064043D">
        <w:rPr>
          <w:rFonts w:ascii="Times New Roman" w:hAnsi="Times New Roman"/>
        </w:rPr>
        <w:t xml:space="preserve"> es el caso del convenio entre Perú y Chile, que </w:t>
      </w:r>
      <w:r w:rsidR="00821000" w:rsidRPr="0064043D">
        <w:rPr>
          <w:rFonts w:ascii="Times New Roman" w:hAnsi="Times New Roman"/>
        </w:rPr>
        <w:t xml:space="preserve">destaca por permitir que los trabajadores migrantes </w:t>
      </w:r>
      <w:r w:rsidR="008C7E53" w:rsidRPr="0064043D">
        <w:rPr>
          <w:rFonts w:ascii="Times New Roman" w:hAnsi="Times New Roman"/>
        </w:rPr>
        <w:t xml:space="preserve">que han trabajado en la economía formal </w:t>
      </w:r>
      <w:r w:rsidR="00821000" w:rsidRPr="0064043D">
        <w:rPr>
          <w:rFonts w:ascii="Times New Roman" w:hAnsi="Times New Roman"/>
        </w:rPr>
        <w:t xml:space="preserve">puedan transferir sus cotizaciones provisionales de sus cuentas en el sistema de capitalización individual de un país a otro. </w:t>
      </w:r>
      <w:r w:rsidR="00336005" w:rsidRPr="0064043D">
        <w:rPr>
          <w:rFonts w:ascii="Times New Roman" w:hAnsi="Times New Roman"/>
        </w:rPr>
        <w:t>Para ello la persona requiere tener la residencia permanente en el país de destino y haber acreditado periodos de aportación de al menos 60 meses en el sistema de capitalización del país de destino.</w:t>
      </w:r>
      <w:r w:rsidR="006B675F" w:rsidRPr="0064043D">
        <w:rPr>
          <w:rStyle w:val="FootnoteReference"/>
          <w:rFonts w:ascii="Times New Roman" w:hAnsi="Times New Roman"/>
        </w:rPr>
        <w:footnoteReference w:id="4"/>
      </w:r>
      <w:r w:rsidR="00336005" w:rsidRPr="0064043D">
        <w:rPr>
          <w:rFonts w:ascii="Times New Roman" w:hAnsi="Times New Roman"/>
        </w:rPr>
        <w:t xml:space="preserve"> </w:t>
      </w:r>
      <w:r w:rsidR="006B675F" w:rsidRPr="0064043D">
        <w:rPr>
          <w:rFonts w:ascii="Times New Roman" w:hAnsi="Times New Roman"/>
        </w:rPr>
        <w:t xml:space="preserve">Para finales de 2017 se habían registrado 716 </w:t>
      </w:r>
      <w:r w:rsidR="00E43311" w:rsidRPr="0064043D">
        <w:rPr>
          <w:rFonts w:ascii="Times New Roman" w:hAnsi="Times New Roman"/>
        </w:rPr>
        <w:t>trasferencias</w:t>
      </w:r>
      <w:r w:rsidR="006B675F" w:rsidRPr="0064043D">
        <w:rPr>
          <w:rFonts w:ascii="Times New Roman" w:hAnsi="Times New Roman"/>
        </w:rPr>
        <w:t xml:space="preserve"> de fondos de Perú a Chile y 640 de Chile a Perú.</w:t>
      </w:r>
      <w:r w:rsidR="00114A52" w:rsidRPr="0064043D">
        <w:rPr>
          <w:rStyle w:val="FootnoteReference"/>
          <w:rFonts w:ascii="Times New Roman" w:hAnsi="Times New Roman"/>
        </w:rPr>
        <w:footnoteReference w:id="5"/>
      </w:r>
      <w:r w:rsidR="006B675F" w:rsidRPr="0064043D">
        <w:rPr>
          <w:rFonts w:ascii="Times New Roman" w:hAnsi="Times New Roman"/>
        </w:rPr>
        <w:t xml:space="preserve"> </w:t>
      </w:r>
    </w:p>
    <w:p w14:paraId="05BF798F" w14:textId="77777777" w:rsidR="009C2526" w:rsidRPr="0064043D" w:rsidRDefault="009C2526" w:rsidP="00825D4F">
      <w:pPr>
        <w:spacing w:after="0" w:line="240" w:lineRule="auto"/>
        <w:jc w:val="both"/>
        <w:rPr>
          <w:rFonts w:ascii="Times New Roman" w:hAnsi="Times New Roman"/>
        </w:rPr>
      </w:pPr>
    </w:p>
    <w:p w14:paraId="1DA71527" w14:textId="77777777" w:rsidR="000B54DE" w:rsidRPr="0064043D" w:rsidRDefault="00114A52" w:rsidP="00825D4F">
      <w:pPr>
        <w:spacing w:after="0" w:line="240" w:lineRule="auto"/>
        <w:jc w:val="both"/>
        <w:rPr>
          <w:rFonts w:ascii="Times New Roman" w:hAnsi="Times New Roman"/>
        </w:rPr>
      </w:pPr>
      <w:r w:rsidRPr="0064043D">
        <w:rPr>
          <w:rFonts w:ascii="Times New Roman" w:hAnsi="Times New Roman"/>
        </w:rPr>
        <w:tab/>
        <w:t>En el ámbito regional</w:t>
      </w:r>
      <w:r w:rsidR="007C234D" w:rsidRPr="0064043D">
        <w:rPr>
          <w:rFonts w:ascii="Times New Roman" w:hAnsi="Times New Roman"/>
        </w:rPr>
        <w:t xml:space="preserve"> también </w:t>
      </w:r>
      <w:r w:rsidRPr="0064043D">
        <w:rPr>
          <w:rFonts w:ascii="Times New Roman" w:hAnsi="Times New Roman"/>
        </w:rPr>
        <w:t xml:space="preserve">destaca </w:t>
      </w:r>
      <w:r w:rsidR="007C234D" w:rsidRPr="0064043D">
        <w:rPr>
          <w:rFonts w:ascii="Times New Roman" w:hAnsi="Times New Roman"/>
        </w:rPr>
        <w:t xml:space="preserve">la existencia del Convenio </w:t>
      </w:r>
      <w:r w:rsidR="008B60D0" w:rsidRPr="0064043D">
        <w:rPr>
          <w:rFonts w:ascii="Times New Roman" w:hAnsi="Times New Roman"/>
        </w:rPr>
        <w:t>Multilateral Iberoamericano</w:t>
      </w:r>
      <w:r w:rsidR="007C234D" w:rsidRPr="0064043D">
        <w:rPr>
          <w:rFonts w:ascii="Times New Roman" w:hAnsi="Times New Roman"/>
        </w:rPr>
        <w:t xml:space="preserve"> de Segur</w:t>
      </w:r>
      <w:r w:rsidR="008B60D0" w:rsidRPr="0064043D">
        <w:rPr>
          <w:rFonts w:ascii="Times New Roman" w:hAnsi="Times New Roman"/>
        </w:rPr>
        <w:t>idad Social que es un convenio</w:t>
      </w:r>
      <w:r w:rsidRPr="0064043D">
        <w:rPr>
          <w:rFonts w:ascii="Times New Roman" w:hAnsi="Times New Roman"/>
        </w:rPr>
        <w:t xml:space="preserve"> que ha sido firmado por</w:t>
      </w:r>
      <w:r w:rsidR="007C234D" w:rsidRPr="0064043D">
        <w:rPr>
          <w:rFonts w:ascii="Times New Roman" w:hAnsi="Times New Roman"/>
        </w:rPr>
        <w:t xml:space="preserve"> </w:t>
      </w:r>
      <w:r w:rsidR="00B93FF5" w:rsidRPr="0064043D">
        <w:rPr>
          <w:rFonts w:ascii="Times New Roman" w:hAnsi="Times New Roman"/>
        </w:rPr>
        <w:t xml:space="preserve">Argentina, Bolivia, Brasil, Chile, </w:t>
      </w:r>
      <w:r w:rsidRPr="0064043D">
        <w:rPr>
          <w:rFonts w:ascii="Times New Roman" w:hAnsi="Times New Roman"/>
        </w:rPr>
        <w:t xml:space="preserve">Colombia, Costa Rica, </w:t>
      </w:r>
      <w:r w:rsidR="00B93FF5" w:rsidRPr="0064043D">
        <w:rPr>
          <w:rFonts w:ascii="Times New Roman" w:hAnsi="Times New Roman"/>
        </w:rPr>
        <w:t>Ecuador, El Salvador, Paraguay, Perú, Uruguay,</w:t>
      </w:r>
      <w:r w:rsidRPr="0064043D">
        <w:rPr>
          <w:rFonts w:ascii="Times New Roman" w:hAnsi="Times New Roman"/>
        </w:rPr>
        <w:t xml:space="preserve"> República Dominicana, Venezuela,</w:t>
      </w:r>
      <w:r w:rsidR="00B93FF5" w:rsidRPr="0064043D">
        <w:rPr>
          <w:rFonts w:ascii="Times New Roman" w:hAnsi="Times New Roman"/>
        </w:rPr>
        <w:t xml:space="preserve"> España y Portugal. </w:t>
      </w:r>
      <w:r w:rsidR="006B675F" w:rsidRPr="0064043D">
        <w:rPr>
          <w:rFonts w:ascii="Times New Roman" w:hAnsi="Times New Roman"/>
        </w:rPr>
        <w:t xml:space="preserve">  </w:t>
      </w:r>
      <w:r w:rsidRPr="0064043D">
        <w:rPr>
          <w:rFonts w:ascii="Times New Roman" w:hAnsi="Times New Roman"/>
        </w:rPr>
        <w:t>Este convenio fue desarrollado</w:t>
      </w:r>
      <w:r w:rsidR="0062588F" w:rsidRPr="0064043D">
        <w:rPr>
          <w:rFonts w:ascii="Times New Roman" w:hAnsi="Times New Roman"/>
        </w:rPr>
        <w:t xml:space="preserve"> en 2007</w:t>
      </w:r>
      <w:r w:rsidRPr="0064043D">
        <w:rPr>
          <w:rFonts w:ascii="Times New Roman" w:hAnsi="Times New Roman"/>
        </w:rPr>
        <w:t xml:space="preserve"> bajo </w:t>
      </w:r>
      <w:r w:rsidR="006A6E32" w:rsidRPr="0064043D">
        <w:rPr>
          <w:rFonts w:ascii="Times New Roman" w:hAnsi="Times New Roman"/>
        </w:rPr>
        <w:t>los auspicios de la Organización Iberoamericana de Seguridad Social</w:t>
      </w:r>
      <w:r w:rsidR="0062588F" w:rsidRPr="0064043D">
        <w:rPr>
          <w:rFonts w:ascii="Times New Roman" w:hAnsi="Times New Roman"/>
        </w:rPr>
        <w:t xml:space="preserve"> (OISS)</w:t>
      </w:r>
      <w:r w:rsidR="006A6E32" w:rsidRPr="0064043D">
        <w:rPr>
          <w:rFonts w:ascii="Times New Roman" w:hAnsi="Times New Roman"/>
        </w:rPr>
        <w:t xml:space="preserve">. </w:t>
      </w:r>
    </w:p>
    <w:p w14:paraId="2DE34778" w14:textId="77777777" w:rsidR="009C2526" w:rsidRPr="0064043D" w:rsidRDefault="009C2526" w:rsidP="00825D4F">
      <w:pPr>
        <w:spacing w:after="0" w:line="240" w:lineRule="auto"/>
        <w:jc w:val="both"/>
        <w:rPr>
          <w:rFonts w:ascii="Times New Roman" w:hAnsi="Times New Roman"/>
        </w:rPr>
      </w:pPr>
    </w:p>
    <w:p w14:paraId="03399952" w14:textId="77777777" w:rsidR="00821000" w:rsidRPr="0064043D" w:rsidRDefault="006A6E32" w:rsidP="00825D4F">
      <w:pPr>
        <w:spacing w:after="0" w:line="240" w:lineRule="auto"/>
        <w:jc w:val="both"/>
        <w:rPr>
          <w:rFonts w:ascii="Times New Roman" w:hAnsi="Times New Roman"/>
        </w:rPr>
      </w:pPr>
      <w:r w:rsidRPr="0064043D">
        <w:rPr>
          <w:rFonts w:ascii="Times New Roman" w:hAnsi="Times New Roman"/>
        </w:rPr>
        <w:t xml:space="preserve">El convenio no sustituye ni modifica las legislaciones de </w:t>
      </w:r>
      <w:r w:rsidR="00532450" w:rsidRPr="0064043D">
        <w:rPr>
          <w:rFonts w:ascii="Times New Roman" w:hAnsi="Times New Roman"/>
        </w:rPr>
        <w:t xml:space="preserve">los países </w:t>
      </w:r>
      <w:r w:rsidR="00BF0BDB" w:rsidRPr="0064043D">
        <w:rPr>
          <w:rFonts w:ascii="Times New Roman" w:hAnsi="Times New Roman"/>
        </w:rPr>
        <w:t>participantes,</w:t>
      </w:r>
      <w:r w:rsidR="00532450" w:rsidRPr="0064043D">
        <w:rPr>
          <w:rFonts w:ascii="Times New Roman" w:hAnsi="Times New Roman"/>
        </w:rPr>
        <w:t xml:space="preserve"> sino que ayuda a coordinar las legislaciones para garantizar los derechos de los </w:t>
      </w:r>
      <w:r w:rsidR="00E43311" w:rsidRPr="0064043D">
        <w:rPr>
          <w:rFonts w:ascii="Times New Roman" w:hAnsi="Times New Roman"/>
        </w:rPr>
        <w:t>trabajadores</w:t>
      </w:r>
      <w:r w:rsidR="00532450" w:rsidRPr="0064043D">
        <w:rPr>
          <w:rFonts w:ascii="Times New Roman" w:hAnsi="Times New Roman"/>
        </w:rPr>
        <w:t xml:space="preserve"> migrantes incluyendo el de la igualdad de trat</w:t>
      </w:r>
      <w:r w:rsidR="0062588F" w:rsidRPr="0064043D">
        <w:rPr>
          <w:rFonts w:ascii="Times New Roman" w:hAnsi="Times New Roman"/>
        </w:rPr>
        <w:t>o con independencia de la nacio</w:t>
      </w:r>
      <w:r w:rsidR="00532450" w:rsidRPr="0064043D">
        <w:rPr>
          <w:rFonts w:ascii="Times New Roman" w:hAnsi="Times New Roman"/>
        </w:rPr>
        <w:t>n</w:t>
      </w:r>
      <w:r w:rsidR="0062588F" w:rsidRPr="0064043D">
        <w:rPr>
          <w:rFonts w:ascii="Times New Roman" w:hAnsi="Times New Roman"/>
        </w:rPr>
        <w:t>a</w:t>
      </w:r>
      <w:r w:rsidR="00532450" w:rsidRPr="0064043D">
        <w:rPr>
          <w:rFonts w:ascii="Times New Roman" w:hAnsi="Times New Roman"/>
        </w:rPr>
        <w:t>lidad de la persona. En principio cubre a los trabajadores en la economí</w:t>
      </w:r>
      <w:r w:rsidR="0062588F" w:rsidRPr="0064043D">
        <w:rPr>
          <w:rFonts w:ascii="Times New Roman" w:hAnsi="Times New Roman"/>
        </w:rPr>
        <w:t>a formal y tiene como ámbito</w:t>
      </w:r>
      <w:r w:rsidR="00532450" w:rsidRPr="0064043D">
        <w:rPr>
          <w:rFonts w:ascii="Times New Roman" w:hAnsi="Times New Roman"/>
        </w:rPr>
        <w:t xml:space="preserve"> las prestaciones económicas contributivas por invalidez, vejez, supervivencia, accidentes de trabajo</w:t>
      </w:r>
      <w:r w:rsidR="008C7E53" w:rsidRPr="0064043D">
        <w:rPr>
          <w:rFonts w:ascii="Times New Roman" w:hAnsi="Times New Roman"/>
        </w:rPr>
        <w:t>,</w:t>
      </w:r>
      <w:r w:rsidR="00532450" w:rsidRPr="0064043D">
        <w:rPr>
          <w:rFonts w:ascii="Times New Roman" w:hAnsi="Times New Roman"/>
        </w:rPr>
        <w:t xml:space="preserve"> y enfermedades en el ámbito profesional.</w:t>
      </w:r>
      <w:r w:rsidR="00532450" w:rsidRPr="0064043D">
        <w:rPr>
          <w:rStyle w:val="FootnoteReference"/>
          <w:rFonts w:ascii="Times New Roman" w:hAnsi="Times New Roman"/>
        </w:rPr>
        <w:footnoteReference w:id="6"/>
      </w:r>
      <w:r w:rsidR="00532450" w:rsidRPr="0064043D">
        <w:rPr>
          <w:rFonts w:ascii="Times New Roman" w:hAnsi="Times New Roman"/>
        </w:rPr>
        <w:t xml:space="preserve"> </w:t>
      </w:r>
      <w:r w:rsidR="00A33370" w:rsidRPr="0064043D">
        <w:rPr>
          <w:rFonts w:ascii="Times New Roman" w:hAnsi="Times New Roman"/>
        </w:rPr>
        <w:t>El Convenio ha sido suscrito por 14 Estados de la región y España</w:t>
      </w:r>
      <w:r w:rsidR="005A6AFD" w:rsidRPr="0064043D">
        <w:rPr>
          <w:rFonts w:ascii="Times New Roman" w:hAnsi="Times New Roman"/>
        </w:rPr>
        <w:t>.</w:t>
      </w:r>
      <w:r w:rsidR="00A33370" w:rsidRPr="0064043D">
        <w:rPr>
          <w:rFonts w:ascii="Times New Roman" w:hAnsi="Times New Roman"/>
        </w:rPr>
        <w:t xml:space="preserve"> Sólo dos países aún no lo han ratificado. Asimismo, se suscribió un Acuerdo de Aplicación del Convenio referido, el cual fue suscrito por 12 de los Estados parte del Convenio Multilateral Iberoamericano de Seguridad Social y se encuentra en aplicación efectiva para los 12. </w:t>
      </w:r>
    </w:p>
    <w:p w14:paraId="5B352B6A" w14:textId="77777777" w:rsidR="009C2526" w:rsidRPr="0064043D" w:rsidRDefault="009C2526" w:rsidP="00825D4F">
      <w:pPr>
        <w:spacing w:after="0" w:line="240" w:lineRule="auto"/>
        <w:jc w:val="both"/>
        <w:rPr>
          <w:rFonts w:ascii="Times New Roman" w:hAnsi="Times New Roman"/>
        </w:rPr>
      </w:pPr>
    </w:p>
    <w:p w14:paraId="21CF6983" w14:textId="77777777" w:rsidR="00712AF3" w:rsidRPr="0064043D" w:rsidRDefault="00CB1965" w:rsidP="00825D4F">
      <w:pPr>
        <w:spacing w:after="0" w:line="240" w:lineRule="auto"/>
        <w:jc w:val="both"/>
        <w:rPr>
          <w:rFonts w:ascii="Times New Roman" w:hAnsi="Times New Roman"/>
        </w:rPr>
      </w:pPr>
      <w:r w:rsidRPr="0064043D">
        <w:rPr>
          <w:rFonts w:ascii="Times New Roman" w:hAnsi="Times New Roman"/>
        </w:rPr>
        <w:lastRenderedPageBreak/>
        <w:tab/>
      </w:r>
      <w:r w:rsidR="00712AF3" w:rsidRPr="0064043D">
        <w:rPr>
          <w:rFonts w:ascii="Times New Roman" w:hAnsi="Times New Roman"/>
        </w:rPr>
        <w:t>En el ámbito sudamericano también existe el Acuerdo Multilateral de Seguridad Social del MERCOSUR, que entró en vigor el 1 de junio de 2005</w:t>
      </w:r>
      <w:r w:rsidR="00501C5D" w:rsidRPr="0064043D">
        <w:rPr>
          <w:rFonts w:ascii="Times New Roman" w:hAnsi="Times New Roman"/>
        </w:rPr>
        <w:t xml:space="preserve"> e incluye a Argentina, Brasil, Paraguay y Uruguay</w:t>
      </w:r>
      <w:r w:rsidR="00712AF3" w:rsidRPr="0064043D">
        <w:rPr>
          <w:rFonts w:ascii="Times New Roman" w:hAnsi="Times New Roman"/>
        </w:rPr>
        <w:t xml:space="preserve">. </w:t>
      </w:r>
      <w:r w:rsidR="00F5015E" w:rsidRPr="0064043D">
        <w:rPr>
          <w:rFonts w:ascii="Times New Roman" w:hAnsi="Times New Roman"/>
        </w:rPr>
        <w:t>Este acuerdo permite</w:t>
      </w:r>
      <w:r w:rsidR="00D3700A" w:rsidRPr="0064043D">
        <w:rPr>
          <w:rFonts w:ascii="Times New Roman" w:hAnsi="Times New Roman"/>
        </w:rPr>
        <w:t xml:space="preserve"> garantizar</w:t>
      </w:r>
      <w:r w:rsidR="00F5015E" w:rsidRPr="0064043D">
        <w:rPr>
          <w:rFonts w:ascii="Times New Roman" w:hAnsi="Times New Roman"/>
        </w:rPr>
        <w:t xml:space="preserve"> </w:t>
      </w:r>
      <w:r w:rsidR="00501C5D" w:rsidRPr="0064043D">
        <w:rPr>
          <w:rFonts w:ascii="Times New Roman" w:hAnsi="Times New Roman"/>
        </w:rPr>
        <w:t>la totalización de</w:t>
      </w:r>
      <w:r w:rsidR="00D3700A" w:rsidRPr="0064043D">
        <w:rPr>
          <w:rFonts w:ascii="Times New Roman" w:hAnsi="Times New Roman"/>
        </w:rPr>
        <w:t xml:space="preserve"> los periodos de contribución o seguro cumplidos en cualquiera de los paí</w:t>
      </w:r>
      <w:r w:rsidR="008C7E53" w:rsidRPr="0064043D">
        <w:rPr>
          <w:rFonts w:ascii="Times New Roman" w:hAnsi="Times New Roman"/>
        </w:rPr>
        <w:t>ses parte y con ello</w:t>
      </w:r>
      <w:r w:rsidR="00501C5D" w:rsidRPr="0064043D">
        <w:rPr>
          <w:rFonts w:ascii="Times New Roman" w:hAnsi="Times New Roman"/>
        </w:rPr>
        <w:t xml:space="preserve"> que los trabajadores migrantes </w:t>
      </w:r>
      <w:r w:rsidR="0096135D" w:rsidRPr="0064043D">
        <w:rPr>
          <w:rFonts w:ascii="Times New Roman" w:hAnsi="Times New Roman"/>
        </w:rPr>
        <w:t xml:space="preserve">y sus familiares </w:t>
      </w:r>
      <w:r w:rsidR="000E7767" w:rsidRPr="0064043D">
        <w:rPr>
          <w:rFonts w:ascii="Times New Roman" w:hAnsi="Times New Roman"/>
        </w:rPr>
        <w:t xml:space="preserve">puedan </w:t>
      </w:r>
      <w:r w:rsidR="00FB2DF1" w:rsidRPr="0064043D">
        <w:rPr>
          <w:rFonts w:ascii="Times New Roman" w:hAnsi="Times New Roman"/>
        </w:rPr>
        <w:t xml:space="preserve">recibir </w:t>
      </w:r>
      <w:r w:rsidR="000E7767" w:rsidRPr="0064043D">
        <w:rPr>
          <w:rFonts w:ascii="Times New Roman" w:hAnsi="Times New Roman"/>
        </w:rPr>
        <w:t>pre</w:t>
      </w:r>
      <w:r w:rsidR="00FB2DF1" w:rsidRPr="0064043D">
        <w:rPr>
          <w:rFonts w:ascii="Times New Roman" w:hAnsi="Times New Roman"/>
        </w:rPr>
        <w:t>s</w:t>
      </w:r>
      <w:r w:rsidR="000E7767" w:rsidRPr="0064043D">
        <w:rPr>
          <w:rFonts w:ascii="Times New Roman" w:hAnsi="Times New Roman"/>
        </w:rPr>
        <w:t>taciones que cubren la veje</w:t>
      </w:r>
      <w:r w:rsidR="00501C5D" w:rsidRPr="0064043D">
        <w:rPr>
          <w:rFonts w:ascii="Times New Roman" w:hAnsi="Times New Roman"/>
        </w:rPr>
        <w:t xml:space="preserve">z, </w:t>
      </w:r>
      <w:r w:rsidR="00FB2DF1" w:rsidRPr="0064043D">
        <w:rPr>
          <w:rFonts w:ascii="Times New Roman" w:hAnsi="Times New Roman"/>
        </w:rPr>
        <w:t>la inv</w:t>
      </w:r>
      <w:r w:rsidR="00501C5D" w:rsidRPr="0064043D">
        <w:rPr>
          <w:rFonts w:ascii="Times New Roman" w:hAnsi="Times New Roman"/>
        </w:rPr>
        <w:t>alidez</w:t>
      </w:r>
      <w:r w:rsidR="008C7E53" w:rsidRPr="0064043D">
        <w:rPr>
          <w:rFonts w:ascii="Times New Roman" w:hAnsi="Times New Roman"/>
        </w:rPr>
        <w:t>,</w:t>
      </w:r>
      <w:r w:rsidR="00501C5D" w:rsidRPr="0064043D">
        <w:rPr>
          <w:rFonts w:ascii="Times New Roman" w:hAnsi="Times New Roman"/>
        </w:rPr>
        <w:t xml:space="preserve"> y la muerte. </w:t>
      </w:r>
      <w:r w:rsidR="0096135D" w:rsidRPr="0064043D">
        <w:rPr>
          <w:rFonts w:ascii="Times New Roman" w:hAnsi="Times New Roman"/>
        </w:rPr>
        <w:t>El acuerdo cubre a los trabajadores que hayan tenido una relación de dependencia con un empleador o que se hayan autoempleado y hayan participado en un sistema de contribución voluntaria.</w:t>
      </w:r>
      <w:r w:rsidR="0096135D" w:rsidRPr="0064043D">
        <w:rPr>
          <w:rStyle w:val="FootnoteReference"/>
          <w:rFonts w:ascii="Times New Roman" w:hAnsi="Times New Roman"/>
        </w:rPr>
        <w:footnoteReference w:id="7"/>
      </w:r>
      <w:r w:rsidR="0096135D" w:rsidRPr="0064043D">
        <w:rPr>
          <w:rFonts w:ascii="Times New Roman" w:hAnsi="Times New Roman"/>
        </w:rPr>
        <w:t xml:space="preserve"> </w:t>
      </w:r>
    </w:p>
    <w:p w14:paraId="46772817" w14:textId="77777777" w:rsidR="009C2526" w:rsidRPr="0064043D" w:rsidRDefault="009C2526" w:rsidP="00825D4F">
      <w:pPr>
        <w:spacing w:after="0" w:line="240" w:lineRule="auto"/>
        <w:jc w:val="both"/>
        <w:rPr>
          <w:rFonts w:ascii="Times New Roman" w:hAnsi="Times New Roman"/>
        </w:rPr>
      </w:pPr>
    </w:p>
    <w:p w14:paraId="146647B8" w14:textId="0934374E" w:rsidR="00664143" w:rsidRPr="0064043D" w:rsidRDefault="00712AF3" w:rsidP="00825D4F">
      <w:pPr>
        <w:spacing w:after="0" w:line="240" w:lineRule="auto"/>
        <w:jc w:val="both"/>
        <w:rPr>
          <w:rFonts w:ascii="Times New Roman" w:hAnsi="Times New Roman"/>
        </w:rPr>
      </w:pPr>
      <w:r w:rsidRPr="0064043D">
        <w:rPr>
          <w:rFonts w:ascii="Times New Roman" w:hAnsi="Times New Roman"/>
        </w:rPr>
        <w:tab/>
      </w:r>
      <w:r w:rsidR="00D30F7A" w:rsidRPr="0064043D">
        <w:rPr>
          <w:rFonts w:ascii="Times New Roman" w:hAnsi="Times New Roman"/>
        </w:rPr>
        <w:t>En su conjunto, todos los acuerdos de seguridad social que se han generado en la región re</w:t>
      </w:r>
      <w:r w:rsidR="008C7E53" w:rsidRPr="0064043D">
        <w:rPr>
          <w:rFonts w:ascii="Times New Roman" w:hAnsi="Times New Roman"/>
        </w:rPr>
        <w:t>presentan pasos muy importantes</w:t>
      </w:r>
      <w:r w:rsidR="00D30F7A" w:rsidRPr="0064043D">
        <w:rPr>
          <w:rFonts w:ascii="Times New Roman" w:hAnsi="Times New Roman"/>
        </w:rPr>
        <w:t xml:space="preserve"> para garantizar no sólo el bienestar de los trabajadores </w:t>
      </w:r>
      <w:r w:rsidR="008B60D0" w:rsidRPr="0064043D">
        <w:rPr>
          <w:rFonts w:ascii="Times New Roman" w:hAnsi="Times New Roman"/>
        </w:rPr>
        <w:t xml:space="preserve">migrantes y sus familias, </w:t>
      </w:r>
      <w:r w:rsidR="00B72EC1" w:rsidRPr="0064043D">
        <w:rPr>
          <w:rFonts w:ascii="Times New Roman" w:hAnsi="Times New Roman"/>
        </w:rPr>
        <w:t>sino t</w:t>
      </w:r>
      <w:r w:rsidR="00D30F7A" w:rsidRPr="0064043D">
        <w:rPr>
          <w:rFonts w:ascii="Times New Roman" w:hAnsi="Times New Roman"/>
        </w:rPr>
        <w:t>a</w:t>
      </w:r>
      <w:r w:rsidR="00B72EC1" w:rsidRPr="0064043D">
        <w:rPr>
          <w:rFonts w:ascii="Times New Roman" w:hAnsi="Times New Roman"/>
        </w:rPr>
        <w:t>m</w:t>
      </w:r>
      <w:r w:rsidR="00D30F7A" w:rsidRPr="0064043D">
        <w:rPr>
          <w:rFonts w:ascii="Times New Roman" w:hAnsi="Times New Roman"/>
        </w:rPr>
        <w:t xml:space="preserve">bién </w:t>
      </w:r>
      <w:r w:rsidR="008C7E53" w:rsidRPr="0064043D">
        <w:rPr>
          <w:rFonts w:ascii="Times New Roman" w:hAnsi="Times New Roman"/>
        </w:rPr>
        <w:t xml:space="preserve">para </w:t>
      </w:r>
      <w:r w:rsidR="00D30F7A" w:rsidRPr="0064043D">
        <w:rPr>
          <w:rFonts w:ascii="Times New Roman" w:hAnsi="Times New Roman"/>
        </w:rPr>
        <w:t>que éstos puedan con</w:t>
      </w:r>
      <w:r w:rsidR="008C7E53" w:rsidRPr="0064043D">
        <w:rPr>
          <w:rFonts w:ascii="Times New Roman" w:hAnsi="Times New Roman"/>
        </w:rPr>
        <w:t>tribuir</w:t>
      </w:r>
      <w:r w:rsidR="00D30F7A" w:rsidRPr="0064043D">
        <w:rPr>
          <w:rFonts w:ascii="Times New Roman" w:hAnsi="Times New Roman"/>
        </w:rPr>
        <w:t xml:space="preserve"> al</w:t>
      </w:r>
      <w:r w:rsidR="008C7E53" w:rsidRPr="0064043D">
        <w:rPr>
          <w:rFonts w:ascii="Times New Roman" w:hAnsi="Times New Roman"/>
        </w:rPr>
        <w:t xml:space="preserve"> desarrollo i</w:t>
      </w:r>
      <w:r w:rsidR="00D30F7A" w:rsidRPr="0064043D">
        <w:rPr>
          <w:rFonts w:ascii="Times New Roman" w:hAnsi="Times New Roman"/>
        </w:rPr>
        <w:t>n</w:t>
      </w:r>
      <w:r w:rsidR="008C7E53" w:rsidRPr="0064043D">
        <w:rPr>
          <w:rFonts w:ascii="Times New Roman" w:hAnsi="Times New Roman"/>
        </w:rPr>
        <w:t>tegral de</w:t>
      </w:r>
      <w:r w:rsidR="00D30F7A" w:rsidRPr="0064043D">
        <w:rPr>
          <w:rFonts w:ascii="Times New Roman" w:hAnsi="Times New Roman"/>
        </w:rPr>
        <w:t xml:space="preserve"> países de origen y acogida.   </w:t>
      </w:r>
      <w:r w:rsidR="008C7E53" w:rsidRPr="0064043D">
        <w:rPr>
          <w:rFonts w:ascii="Times New Roman" w:hAnsi="Times New Roman"/>
        </w:rPr>
        <w:t xml:space="preserve">Un reto </w:t>
      </w:r>
      <w:r w:rsidR="00334203" w:rsidRPr="0064043D">
        <w:rPr>
          <w:rFonts w:ascii="Times New Roman" w:hAnsi="Times New Roman"/>
        </w:rPr>
        <w:t>crucial, sin embargo,</w:t>
      </w:r>
      <w:r w:rsidR="00D30F7A" w:rsidRPr="0064043D">
        <w:rPr>
          <w:rFonts w:ascii="Times New Roman" w:hAnsi="Times New Roman"/>
        </w:rPr>
        <w:t xml:space="preserve"> es cómo extender la cobertura de</w:t>
      </w:r>
      <w:r w:rsidR="00334203" w:rsidRPr="0064043D">
        <w:rPr>
          <w:rFonts w:ascii="Times New Roman" w:hAnsi="Times New Roman"/>
        </w:rPr>
        <w:t xml:space="preserve"> estos acuerdos de todas</w:t>
      </w:r>
      <w:r w:rsidR="00D30F7A" w:rsidRPr="0064043D">
        <w:rPr>
          <w:rFonts w:ascii="Times New Roman" w:hAnsi="Times New Roman"/>
        </w:rPr>
        <w:t xml:space="preserve"> las poblaciones </w:t>
      </w:r>
      <w:r w:rsidR="00334203" w:rsidRPr="0064043D">
        <w:rPr>
          <w:rFonts w:ascii="Times New Roman" w:hAnsi="Times New Roman"/>
        </w:rPr>
        <w:t xml:space="preserve">de </w:t>
      </w:r>
      <w:r w:rsidR="00D30F7A" w:rsidRPr="0064043D">
        <w:rPr>
          <w:rFonts w:ascii="Times New Roman" w:hAnsi="Times New Roman"/>
        </w:rPr>
        <w:t>migrantes</w:t>
      </w:r>
      <w:r w:rsidR="00334203" w:rsidRPr="0064043D">
        <w:rPr>
          <w:rFonts w:ascii="Times New Roman" w:hAnsi="Times New Roman"/>
        </w:rPr>
        <w:t xml:space="preserve"> y refugiados incluyendo a los que están en </w:t>
      </w:r>
      <w:r w:rsidR="002C2A99" w:rsidRPr="0064043D">
        <w:rPr>
          <w:rFonts w:ascii="Times New Roman" w:hAnsi="Times New Roman"/>
        </w:rPr>
        <w:t xml:space="preserve">la </w:t>
      </w:r>
      <w:r w:rsidR="00D30F7A" w:rsidRPr="0064043D">
        <w:rPr>
          <w:rFonts w:ascii="Times New Roman" w:hAnsi="Times New Roman"/>
        </w:rPr>
        <w:t>economía informal</w:t>
      </w:r>
      <w:r w:rsidR="0056697C" w:rsidRPr="0064043D">
        <w:rPr>
          <w:rFonts w:ascii="Times New Roman" w:hAnsi="Times New Roman"/>
        </w:rPr>
        <w:t xml:space="preserve">. </w:t>
      </w:r>
    </w:p>
    <w:p w14:paraId="32DA2135" w14:textId="77777777" w:rsidR="009C2526" w:rsidRPr="0064043D" w:rsidRDefault="009C2526" w:rsidP="00825D4F">
      <w:pPr>
        <w:spacing w:after="0" w:line="240" w:lineRule="auto"/>
        <w:jc w:val="both"/>
        <w:rPr>
          <w:rFonts w:ascii="Times New Roman" w:hAnsi="Times New Roman"/>
        </w:rPr>
      </w:pPr>
    </w:p>
    <w:p w14:paraId="1CF94BD1" w14:textId="4FE5765A" w:rsidR="00562781" w:rsidRPr="0064043D" w:rsidRDefault="00B9264E" w:rsidP="00825D4F">
      <w:pPr>
        <w:spacing w:after="0" w:line="240" w:lineRule="auto"/>
        <w:jc w:val="both"/>
        <w:rPr>
          <w:rFonts w:ascii="Times New Roman" w:hAnsi="Times New Roman"/>
        </w:rPr>
      </w:pPr>
      <w:r w:rsidRPr="0064043D">
        <w:rPr>
          <w:rFonts w:ascii="Times New Roman" w:hAnsi="Times New Roman"/>
        </w:rPr>
        <w:tab/>
      </w:r>
      <w:r w:rsidR="00117533" w:rsidRPr="0064043D">
        <w:rPr>
          <w:rFonts w:ascii="Times New Roman" w:hAnsi="Times New Roman"/>
        </w:rPr>
        <w:t xml:space="preserve">En </w:t>
      </w:r>
      <w:r w:rsidR="000E7E40" w:rsidRPr="0064043D">
        <w:rPr>
          <w:rFonts w:ascii="Times New Roman" w:hAnsi="Times New Roman"/>
        </w:rPr>
        <w:t xml:space="preserve">esta sesión </w:t>
      </w:r>
      <w:r w:rsidR="001A56A3" w:rsidRPr="0064043D">
        <w:rPr>
          <w:rFonts w:ascii="Times New Roman" w:hAnsi="Times New Roman"/>
        </w:rPr>
        <w:t xml:space="preserve">se </w:t>
      </w:r>
      <w:r w:rsidR="00E70229" w:rsidRPr="0064043D">
        <w:rPr>
          <w:rFonts w:ascii="Times New Roman" w:hAnsi="Times New Roman"/>
        </w:rPr>
        <w:t xml:space="preserve">espera discutir </w:t>
      </w:r>
      <w:r w:rsidR="00EA7FEA" w:rsidRPr="0064043D">
        <w:rPr>
          <w:rFonts w:ascii="Times New Roman" w:hAnsi="Times New Roman"/>
        </w:rPr>
        <w:t>distintos aspectos de las políticas sociales de los países de la región en referencia a las personas en procesos de movilidad humana</w:t>
      </w:r>
      <w:r w:rsidR="00E70229" w:rsidRPr="0064043D">
        <w:rPr>
          <w:rFonts w:ascii="Times New Roman" w:hAnsi="Times New Roman"/>
        </w:rPr>
        <w:t xml:space="preserve"> y </w:t>
      </w:r>
      <w:r w:rsidR="00334203" w:rsidRPr="0064043D">
        <w:rPr>
          <w:rFonts w:ascii="Times New Roman" w:hAnsi="Times New Roman"/>
        </w:rPr>
        <w:t xml:space="preserve">sobre cómo se puede </w:t>
      </w:r>
      <w:r w:rsidR="001A56A3" w:rsidRPr="0064043D">
        <w:rPr>
          <w:rFonts w:ascii="Times New Roman" w:hAnsi="Times New Roman"/>
        </w:rPr>
        <w:t>facilitar el cuidado y la protección social d</w:t>
      </w:r>
      <w:r w:rsidR="009E260F" w:rsidRPr="0064043D">
        <w:rPr>
          <w:rFonts w:ascii="Times New Roman" w:hAnsi="Times New Roman"/>
        </w:rPr>
        <w:t>e las personas migrantes y sus familiares durante distintas etapas d</w:t>
      </w:r>
      <w:r w:rsidR="001A56A3" w:rsidRPr="0064043D">
        <w:rPr>
          <w:rFonts w:ascii="Times New Roman" w:hAnsi="Times New Roman"/>
        </w:rPr>
        <w:t>el ciclo migratorio</w:t>
      </w:r>
      <w:r w:rsidR="0075246A" w:rsidRPr="0064043D">
        <w:rPr>
          <w:rFonts w:ascii="Times New Roman" w:hAnsi="Times New Roman"/>
        </w:rPr>
        <w:t>.</w:t>
      </w:r>
      <w:r w:rsidR="001A56A3" w:rsidRPr="0064043D">
        <w:rPr>
          <w:rFonts w:ascii="Times New Roman" w:hAnsi="Times New Roman"/>
        </w:rPr>
        <w:t xml:space="preserve">  </w:t>
      </w:r>
    </w:p>
    <w:p w14:paraId="22DE61B3" w14:textId="77777777" w:rsidR="00A74A27" w:rsidRPr="0064043D" w:rsidRDefault="00A74A27" w:rsidP="00825D4F">
      <w:pPr>
        <w:spacing w:after="0" w:line="240" w:lineRule="auto"/>
        <w:jc w:val="both"/>
        <w:rPr>
          <w:rFonts w:ascii="Times New Roman" w:hAnsi="Times New Roman"/>
          <w:u w:val="single"/>
        </w:rPr>
      </w:pPr>
    </w:p>
    <w:p w14:paraId="4856E286" w14:textId="1933C883" w:rsidR="00562781" w:rsidRPr="0064043D" w:rsidRDefault="00562781" w:rsidP="00825D4F">
      <w:pPr>
        <w:spacing w:after="0" w:line="240" w:lineRule="auto"/>
        <w:jc w:val="both"/>
        <w:rPr>
          <w:rFonts w:ascii="Times New Roman" w:hAnsi="Times New Roman"/>
          <w:lang w:val="es-ES"/>
        </w:rPr>
      </w:pPr>
      <w:r w:rsidRPr="0064043D">
        <w:rPr>
          <w:rFonts w:ascii="Times New Roman" w:hAnsi="Times New Roman"/>
          <w:lang w:val="es-ES"/>
        </w:rPr>
        <w:tab/>
      </w:r>
      <w:r w:rsidR="00707BD1" w:rsidRPr="0064043D">
        <w:rPr>
          <w:rFonts w:ascii="Times New Roman" w:hAnsi="Times New Roman"/>
          <w:lang w:val="es-ES"/>
        </w:rPr>
        <w:t>Luego de las exposiciones de los especialistas invitados, s</w:t>
      </w:r>
      <w:r w:rsidRPr="0064043D">
        <w:rPr>
          <w:rFonts w:ascii="Times New Roman" w:hAnsi="Times New Roman"/>
          <w:lang w:val="es-ES"/>
        </w:rPr>
        <w:t>e abrirá espacio para interven</w:t>
      </w:r>
      <w:r w:rsidR="009E260F" w:rsidRPr="0064043D">
        <w:rPr>
          <w:rFonts w:ascii="Times New Roman" w:hAnsi="Times New Roman"/>
          <w:lang w:val="es-ES"/>
        </w:rPr>
        <w:t xml:space="preserve">ciones de los Estados </w:t>
      </w:r>
      <w:r w:rsidR="006B0005">
        <w:rPr>
          <w:rFonts w:ascii="Times New Roman" w:hAnsi="Times New Roman"/>
          <w:lang w:val="es-ES"/>
        </w:rPr>
        <w:t>M</w:t>
      </w:r>
      <w:r w:rsidR="009E260F" w:rsidRPr="0064043D">
        <w:rPr>
          <w:rFonts w:ascii="Times New Roman" w:hAnsi="Times New Roman"/>
          <w:lang w:val="es-ES"/>
        </w:rPr>
        <w:t>iembros re</w:t>
      </w:r>
      <w:r w:rsidR="00334203" w:rsidRPr="0064043D">
        <w:rPr>
          <w:rFonts w:ascii="Times New Roman" w:hAnsi="Times New Roman"/>
          <w:lang w:val="es-ES"/>
        </w:rPr>
        <w:t>ferentes a los temas anteriormente mencionados</w:t>
      </w:r>
      <w:r w:rsidR="009E260F" w:rsidRPr="0064043D">
        <w:rPr>
          <w:rFonts w:ascii="Times New Roman" w:hAnsi="Times New Roman"/>
          <w:lang w:val="es-ES"/>
        </w:rPr>
        <w:t>.</w:t>
      </w:r>
      <w:r w:rsidR="00E70229" w:rsidRPr="0064043D">
        <w:rPr>
          <w:rFonts w:ascii="Times New Roman" w:hAnsi="Times New Roman"/>
          <w:lang w:val="es-ES"/>
        </w:rPr>
        <w:t xml:space="preserve"> Se solicita especialmente que los Estados compartan </w:t>
      </w:r>
      <w:r w:rsidR="00A74A27" w:rsidRPr="0064043D">
        <w:rPr>
          <w:rFonts w:ascii="Times New Roman" w:hAnsi="Times New Roman"/>
          <w:lang w:val="es-ES"/>
        </w:rPr>
        <w:t>sus buenas</w:t>
      </w:r>
      <w:r w:rsidR="00E70229" w:rsidRPr="0064043D">
        <w:rPr>
          <w:rFonts w:ascii="Times New Roman" w:hAnsi="Times New Roman"/>
          <w:lang w:val="es-ES"/>
        </w:rPr>
        <w:t xml:space="preserve"> prácticas respecto a políticas de seguridad social de las personas migrantes a fin de consolidar la información y ponerla a disposición de los Estados </w:t>
      </w:r>
      <w:r w:rsidR="006B0005">
        <w:rPr>
          <w:rFonts w:ascii="Times New Roman" w:hAnsi="Times New Roman"/>
          <w:lang w:val="es-ES"/>
        </w:rPr>
        <w:t>M</w:t>
      </w:r>
      <w:r w:rsidR="00E70229" w:rsidRPr="0064043D">
        <w:rPr>
          <w:rFonts w:ascii="Times New Roman" w:hAnsi="Times New Roman"/>
          <w:lang w:val="es-ES"/>
        </w:rPr>
        <w:t xml:space="preserve">iembros. </w:t>
      </w:r>
    </w:p>
    <w:p w14:paraId="483D07FE" w14:textId="77777777" w:rsidR="004E14E8" w:rsidRPr="0064043D" w:rsidRDefault="004E14E8" w:rsidP="00825D4F">
      <w:pPr>
        <w:spacing w:after="0" w:line="240" w:lineRule="auto"/>
        <w:jc w:val="both"/>
        <w:rPr>
          <w:rFonts w:ascii="Times New Roman" w:hAnsi="Times New Roman"/>
          <w:lang w:val="es-ES"/>
        </w:rPr>
      </w:pPr>
    </w:p>
    <w:p w14:paraId="686888E4" w14:textId="77777777" w:rsidR="00435F03" w:rsidRPr="006B0005" w:rsidRDefault="00435F03" w:rsidP="00825D4F">
      <w:pPr>
        <w:spacing w:after="0" w:line="240" w:lineRule="auto"/>
        <w:jc w:val="both"/>
        <w:rPr>
          <w:rFonts w:ascii="Times New Roman" w:hAnsi="Times New Roman"/>
          <w:lang w:val="es-ES"/>
        </w:rPr>
      </w:pPr>
    </w:p>
    <w:p w14:paraId="0D588912" w14:textId="77777777" w:rsidR="00477535" w:rsidRPr="0064043D" w:rsidRDefault="00A504FE" w:rsidP="00825D4F">
      <w:pPr>
        <w:spacing w:after="0" w:line="240" w:lineRule="auto"/>
        <w:jc w:val="both"/>
        <w:rPr>
          <w:rFonts w:ascii="Times New Roman" w:hAnsi="Times New Roman"/>
          <w:lang w:val="es-419"/>
        </w:rPr>
      </w:pPr>
      <w:bookmarkStart w:id="0" w:name="_GoBack"/>
      <w:bookmarkEnd w:id="0"/>
      <w:r w:rsidRPr="0064043D">
        <w:rPr>
          <w:rFonts w:ascii="Times New Roman" w:hAnsi="Times New Roman"/>
          <w:noProof/>
          <w:lang w:val="en-US"/>
        </w:rPr>
        <mc:AlternateContent>
          <mc:Choice Requires="wps">
            <w:drawing>
              <wp:anchor distT="0" distB="0" distL="114300" distR="114300" simplePos="0" relativeHeight="251659264" behindDoc="0" locked="1" layoutInCell="1" allowOverlap="1" wp14:anchorId="2B176F9A" wp14:editId="75251039">
                <wp:simplePos x="0" y="0"/>
                <wp:positionH relativeFrom="column">
                  <wp:posOffset>-88265</wp:posOffset>
                </wp:positionH>
                <wp:positionV relativeFrom="page">
                  <wp:posOffset>9372600</wp:posOffset>
                </wp:positionV>
                <wp:extent cx="338328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7175"/>
                        </a:xfrm>
                        <a:prstGeom prst="rect">
                          <a:avLst/>
                        </a:prstGeom>
                        <a:noFill/>
                        <a:ln w="9525" cap="flat" cmpd="sng" algn="ctr">
                          <a:noFill/>
                          <a:prstDash val="solid"/>
                          <a:round/>
                          <a:headEnd type="none" w="med" len="med"/>
                          <a:tailEnd type="none" w="med" len="med"/>
                        </a:ln>
                      </wps:spPr>
                      <wps:txbx>
                        <w:txbxContent>
                          <w:p w14:paraId="5C3CAC27" w14:textId="47C93539"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A41F2">
                              <w:rPr>
                                <w:rFonts w:ascii="Times New Roman" w:hAnsi="Times New Roman"/>
                                <w:noProof/>
                                <w:sz w:val="18"/>
                              </w:rPr>
                              <w:t>CIDRP03082S01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176F9A" id="_x0000_t202" coordsize="21600,21600" o:spt="202" path="m,l,21600r21600,l21600,xe">
                <v:stroke joinstyle="miter"/>
                <v:path gradientshapeok="t" o:connecttype="rect"/>
              </v:shapetype>
              <v:shape id="Text Box 1" o:spid="_x0000_s1026" type="#_x0000_t202" style="position:absolute;left:0;text-align:left;margin-left:-6.95pt;margin-top:738pt;width:266.4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" filled="f" stroked="f">
                <v:stroke joinstyle="round"/>
                <v:path arrowok="t"/>
                <v:textbox>
                  <w:txbxContent>
                    <w:p w14:paraId="5C3CAC27" w14:textId="47C93539" w:rsidR="00A504FE" w:rsidRPr="00A504FE" w:rsidRDefault="00A504F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A41F2">
                        <w:rPr>
                          <w:rFonts w:ascii="Times New Roman" w:hAnsi="Times New Roman"/>
                          <w:noProof/>
                          <w:sz w:val="18"/>
                        </w:rPr>
                        <w:t>CIDRP03082S01</w:t>
                      </w:r>
                      <w:r>
                        <w:rPr>
                          <w:rFonts w:ascii="Times New Roman" w:hAnsi="Times New Roman"/>
                          <w:sz w:val="18"/>
                        </w:rPr>
                        <w:fldChar w:fldCharType="end"/>
                      </w:r>
                    </w:p>
                  </w:txbxContent>
                </v:textbox>
                <w10:wrap anchory="page"/>
                <w10:anchorlock/>
              </v:shape>
            </w:pict>
          </mc:Fallback>
        </mc:AlternateContent>
      </w:r>
    </w:p>
    <w:sectPr w:rsidR="00477535" w:rsidRPr="0064043D" w:rsidSect="0064043D">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32B92" w14:textId="77777777" w:rsidR="00535812" w:rsidRDefault="00535812" w:rsidP="004E14E8">
      <w:pPr>
        <w:spacing w:after="0" w:line="240" w:lineRule="auto"/>
      </w:pPr>
      <w:r>
        <w:separator/>
      </w:r>
    </w:p>
  </w:endnote>
  <w:endnote w:type="continuationSeparator" w:id="0">
    <w:p w14:paraId="720677D0" w14:textId="77777777" w:rsidR="00535812" w:rsidRDefault="00535812"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F5D1C" w14:textId="77777777" w:rsidR="00535812" w:rsidRDefault="00535812" w:rsidP="004E14E8">
      <w:pPr>
        <w:spacing w:after="0" w:line="240" w:lineRule="auto"/>
      </w:pPr>
      <w:r>
        <w:separator/>
      </w:r>
    </w:p>
  </w:footnote>
  <w:footnote w:type="continuationSeparator" w:id="0">
    <w:p w14:paraId="2254EF47" w14:textId="77777777" w:rsidR="00535812" w:rsidRDefault="00535812" w:rsidP="004E14E8">
      <w:pPr>
        <w:spacing w:after="0" w:line="240" w:lineRule="auto"/>
      </w:pPr>
      <w:r>
        <w:continuationSeparator/>
      </w:r>
    </w:p>
  </w:footnote>
  <w:footnote w:id="1">
    <w:p w14:paraId="497B93BB" w14:textId="77777777" w:rsidR="001D5428" w:rsidRPr="00E70229" w:rsidRDefault="001D5428" w:rsidP="00E70229">
      <w:pPr>
        <w:pStyle w:val="MediumShading1-Accent11"/>
        <w:rPr>
          <w:i/>
          <w:sz w:val="16"/>
          <w:szCs w:val="16"/>
          <w:lang w:val="en-US"/>
        </w:rPr>
      </w:pPr>
      <w:r w:rsidRPr="00760568">
        <w:rPr>
          <w:rStyle w:val="FootnoteReference"/>
          <w:rFonts w:ascii="Times New Roman" w:hAnsi="Times New Roman"/>
        </w:rPr>
        <w:footnoteRef/>
      </w:r>
      <w:r w:rsidRPr="0059466A">
        <w:rPr>
          <w:lang w:val="es-419"/>
        </w:rPr>
        <w:t xml:space="preserve"> </w:t>
      </w:r>
      <w:r w:rsidRPr="00E70229">
        <w:rPr>
          <w:sz w:val="16"/>
          <w:szCs w:val="16"/>
          <w:lang w:val="es-419"/>
        </w:rPr>
        <w:t xml:space="preserve">Al respecto ver: </w:t>
      </w:r>
      <w:proofErr w:type="spellStart"/>
      <w:r w:rsidRPr="00E70229">
        <w:rPr>
          <w:sz w:val="16"/>
          <w:szCs w:val="16"/>
          <w:lang w:val="es-419"/>
        </w:rPr>
        <w:t>Selee</w:t>
      </w:r>
      <w:proofErr w:type="spellEnd"/>
      <w:r w:rsidRPr="00E70229">
        <w:rPr>
          <w:sz w:val="16"/>
          <w:szCs w:val="16"/>
          <w:lang w:val="es-419"/>
        </w:rPr>
        <w:t xml:space="preserve">, Andrew y </w:t>
      </w:r>
      <w:proofErr w:type="spellStart"/>
      <w:r w:rsidRPr="00E70229">
        <w:rPr>
          <w:sz w:val="16"/>
          <w:szCs w:val="16"/>
          <w:lang w:val="es-419"/>
        </w:rPr>
        <w:t>Bolter</w:t>
      </w:r>
      <w:proofErr w:type="spellEnd"/>
      <w:r w:rsidRPr="00E70229">
        <w:rPr>
          <w:sz w:val="16"/>
          <w:szCs w:val="16"/>
          <w:lang w:val="es-419"/>
        </w:rPr>
        <w:t xml:space="preserve">, Jessica. </w:t>
      </w:r>
      <w:r w:rsidRPr="00E70229">
        <w:rPr>
          <w:i/>
          <w:sz w:val="16"/>
          <w:szCs w:val="16"/>
          <w:lang w:val="en-US"/>
        </w:rPr>
        <w:t xml:space="preserve">An Uneven Welcome, Latin American and Caribbean responses to Venezuelan and Nicaraguan Migration. </w:t>
      </w:r>
      <w:r w:rsidRPr="00E70229">
        <w:rPr>
          <w:sz w:val="16"/>
          <w:szCs w:val="16"/>
          <w:lang w:val="en-US"/>
        </w:rPr>
        <w:t xml:space="preserve">Washington D.C. Migration Policy Institute, February 2020. </w:t>
      </w:r>
      <w:r w:rsidRPr="00E70229">
        <w:rPr>
          <w:i/>
          <w:sz w:val="16"/>
          <w:szCs w:val="16"/>
          <w:lang w:val="en-US"/>
        </w:rPr>
        <w:t xml:space="preserve"> </w:t>
      </w:r>
    </w:p>
  </w:footnote>
  <w:footnote w:id="2">
    <w:p w14:paraId="24DF364A" w14:textId="77777777" w:rsidR="001D5428" w:rsidRPr="007F5530" w:rsidRDefault="001D5428" w:rsidP="00E70229">
      <w:pPr>
        <w:pStyle w:val="MediumShading1-Accent11"/>
        <w:rPr>
          <w:i/>
          <w:sz w:val="16"/>
          <w:szCs w:val="16"/>
          <w:lang w:val="en-US"/>
        </w:rPr>
      </w:pPr>
      <w:r w:rsidRPr="00E70229">
        <w:rPr>
          <w:rStyle w:val="FootnoteReference"/>
          <w:sz w:val="16"/>
          <w:szCs w:val="16"/>
        </w:rPr>
        <w:footnoteRef/>
      </w:r>
      <w:r w:rsidRPr="00E70229">
        <w:rPr>
          <w:sz w:val="16"/>
          <w:szCs w:val="16"/>
          <w:lang w:val="en-US"/>
        </w:rPr>
        <w:t xml:space="preserve"> </w:t>
      </w:r>
      <w:proofErr w:type="spellStart"/>
      <w:r w:rsidRPr="00E70229">
        <w:rPr>
          <w:sz w:val="16"/>
          <w:szCs w:val="16"/>
          <w:lang w:val="en-US"/>
        </w:rPr>
        <w:t>Selee</w:t>
      </w:r>
      <w:proofErr w:type="spellEnd"/>
      <w:r w:rsidRPr="00E70229">
        <w:rPr>
          <w:sz w:val="16"/>
          <w:szCs w:val="16"/>
          <w:lang w:val="en-US"/>
        </w:rPr>
        <w:t xml:space="preserve">, Andrew y Bolter, Jessica. </w:t>
      </w:r>
      <w:r w:rsidRPr="00E70229">
        <w:rPr>
          <w:i/>
          <w:sz w:val="16"/>
          <w:szCs w:val="16"/>
          <w:lang w:val="en-US"/>
        </w:rPr>
        <w:t xml:space="preserve">An Uneven Welcome, Latin American and Caribbean responses to Venezuelan and Nicaraguan Migration. </w:t>
      </w:r>
      <w:r w:rsidRPr="007F5530">
        <w:rPr>
          <w:sz w:val="16"/>
          <w:szCs w:val="16"/>
          <w:lang w:val="en-US"/>
        </w:rPr>
        <w:t>Washington D.C. Migration Policy Institute, February 2020. P. 43.</w:t>
      </w:r>
      <w:r w:rsidRPr="007F5530">
        <w:rPr>
          <w:i/>
          <w:sz w:val="16"/>
          <w:szCs w:val="16"/>
          <w:lang w:val="en-US"/>
        </w:rPr>
        <w:t xml:space="preserve"> </w:t>
      </w:r>
    </w:p>
  </w:footnote>
  <w:footnote w:id="3">
    <w:p w14:paraId="2232880E" w14:textId="77777777" w:rsidR="009E751A" w:rsidRPr="00E70229" w:rsidRDefault="009E751A" w:rsidP="00E70229">
      <w:pPr>
        <w:pStyle w:val="MediumShading1-Accent11"/>
        <w:rPr>
          <w:sz w:val="16"/>
          <w:szCs w:val="16"/>
          <w:lang w:val="es-419"/>
        </w:rPr>
      </w:pPr>
      <w:r w:rsidRPr="00E70229">
        <w:rPr>
          <w:rStyle w:val="FootnoteReference"/>
          <w:sz w:val="16"/>
          <w:szCs w:val="16"/>
        </w:rPr>
        <w:footnoteRef/>
      </w:r>
      <w:r w:rsidRPr="00E70229">
        <w:rPr>
          <w:sz w:val="16"/>
          <w:szCs w:val="16"/>
          <w:lang w:val="en-US"/>
        </w:rPr>
        <w:t xml:space="preserve"> Government of Canad</w:t>
      </w:r>
      <w:r w:rsidR="00BC2062" w:rsidRPr="00E70229">
        <w:rPr>
          <w:sz w:val="16"/>
          <w:szCs w:val="16"/>
          <w:lang w:val="en-US"/>
        </w:rPr>
        <w:t>a</w:t>
      </w:r>
      <w:r w:rsidRPr="00E70229">
        <w:rPr>
          <w:sz w:val="16"/>
          <w:szCs w:val="16"/>
          <w:lang w:val="en-US"/>
        </w:rPr>
        <w:t xml:space="preserve">. </w:t>
      </w:r>
      <w:r w:rsidRPr="007F5530">
        <w:rPr>
          <w:i/>
          <w:sz w:val="16"/>
          <w:szCs w:val="16"/>
          <w:lang w:val="es-US"/>
        </w:rPr>
        <w:t>Mexico-</w:t>
      </w:r>
      <w:proofErr w:type="spellStart"/>
      <w:r w:rsidRPr="007F5530">
        <w:rPr>
          <w:i/>
          <w:sz w:val="16"/>
          <w:szCs w:val="16"/>
          <w:lang w:val="es-US"/>
        </w:rPr>
        <w:t>Pensions</w:t>
      </w:r>
      <w:proofErr w:type="spellEnd"/>
      <w:r w:rsidRPr="007F5530">
        <w:rPr>
          <w:i/>
          <w:sz w:val="16"/>
          <w:szCs w:val="16"/>
          <w:lang w:val="es-US"/>
        </w:rPr>
        <w:t xml:space="preserve"> and </w:t>
      </w:r>
      <w:proofErr w:type="spellStart"/>
      <w:r w:rsidRPr="007F5530">
        <w:rPr>
          <w:i/>
          <w:sz w:val="16"/>
          <w:szCs w:val="16"/>
          <w:lang w:val="es-US"/>
        </w:rPr>
        <w:t>benefits</w:t>
      </w:r>
      <w:proofErr w:type="spellEnd"/>
      <w:r w:rsidRPr="007F5530">
        <w:rPr>
          <w:i/>
          <w:sz w:val="16"/>
          <w:szCs w:val="16"/>
          <w:lang w:val="es-US"/>
        </w:rPr>
        <w:t>.</w:t>
      </w:r>
      <w:r w:rsidRPr="007F5530">
        <w:rPr>
          <w:sz w:val="16"/>
          <w:szCs w:val="16"/>
          <w:lang w:val="es-US"/>
        </w:rPr>
        <w:t xml:space="preserve"> </w:t>
      </w:r>
      <w:r w:rsidR="00BC2062" w:rsidRPr="00E70229">
        <w:rPr>
          <w:sz w:val="16"/>
          <w:szCs w:val="16"/>
          <w:lang w:val="es-419"/>
        </w:rPr>
        <w:t xml:space="preserve">Disponible en: </w:t>
      </w:r>
    </w:p>
  </w:footnote>
  <w:footnote w:id="4">
    <w:p w14:paraId="079A4C65" w14:textId="77777777" w:rsidR="006B675F" w:rsidRPr="00E70229" w:rsidRDefault="006B675F" w:rsidP="00E70229">
      <w:pPr>
        <w:pStyle w:val="MediumShading1-Accent11"/>
        <w:rPr>
          <w:sz w:val="16"/>
          <w:szCs w:val="16"/>
          <w:lang w:val="es-419"/>
        </w:rPr>
      </w:pPr>
      <w:r w:rsidRPr="00E70229">
        <w:rPr>
          <w:rStyle w:val="FootnoteReference"/>
          <w:sz w:val="16"/>
          <w:szCs w:val="16"/>
        </w:rPr>
        <w:footnoteRef/>
      </w:r>
      <w:r w:rsidRPr="00E70229">
        <w:rPr>
          <w:sz w:val="16"/>
          <w:szCs w:val="16"/>
        </w:rPr>
        <w:t xml:space="preserve"> </w:t>
      </w:r>
      <w:r w:rsidRPr="00E70229">
        <w:rPr>
          <w:sz w:val="16"/>
          <w:szCs w:val="16"/>
          <w:lang w:val="es-419"/>
        </w:rPr>
        <w:t xml:space="preserve">Macías, Osvaldo. </w:t>
      </w:r>
      <w:r w:rsidRPr="00E70229">
        <w:rPr>
          <w:i/>
          <w:sz w:val="16"/>
          <w:szCs w:val="16"/>
          <w:lang w:val="es-419"/>
        </w:rPr>
        <w:t xml:space="preserve">Migrantes y el Sistema de Pensiones Chileno. </w:t>
      </w:r>
      <w:r w:rsidRPr="00E70229">
        <w:rPr>
          <w:sz w:val="16"/>
          <w:szCs w:val="16"/>
          <w:lang w:val="es-419"/>
        </w:rPr>
        <w:t xml:space="preserve">Superintendencia de Pensiones. </w:t>
      </w:r>
      <w:r w:rsidR="007C234D" w:rsidRPr="00E70229">
        <w:rPr>
          <w:sz w:val="16"/>
          <w:szCs w:val="16"/>
          <w:lang w:val="es-419"/>
        </w:rPr>
        <w:t xml:space="preserve">2016. </w:t>
      </w:r>
    </w:p>
  </w:footnote>
  <w:footnote w:id="5">
    <w:p w14:paraId="457160DC" w14:textId="77777777" w:rsidR="00114A52" w:rsidRPr="0059466A" w:rsidRDefault="00114A52" w:rsidP="00E70229">
      <w:pPr>
        <w:pStyle w:val="MediumShading1-Accent11"/>
        <w:rPr>
          <w:lang w:val="es-419"/>
        </w:rPr>
      </w:pPr>
      <w:r w:rsidRPr="00E70229">
        <w:rPr>
          <w:rStyle w:val="FootnoteReference"/>
          <w:sz w:val="16"/>
          <w:szCs w:val="16"/>
        </w:rPr>
        <w:footnoteRef/>
      </w:r>
      <w:r w:rsidRPr="00E70229">
        <w:rPr>
          <w:sz w:val="16"/>
          <w:szCs w:val="16"/>
        </w:rPr>
        <w:t xml:space="preserve"> </w:t>
      </w:r>
      <w:r w:rsidRPr="00E70229">
        <w:rPr>
          <w:i/>
          <w:sz w:val="16"/>
          <w:szCs w:val="16"/>
          <w:lang w:val="es-419"/>
        </w:rPr>
        <w:t xml:space="preserve">FIAP. Migraciones y portabilidad de los ahorros pensionales. Notas de Pensiones, NRO. 28- </w:t>
      </w:r>
      <w:r w:rsidR="00A74A27" w:rsidRPr="00E70229">
        <w:rPr>
          <w:i/>
          <w:sz w:val="16"/>
          <w:szCs w:val="16"/>
          <w:lang w:val="es-419"/>
        </w:rPr>
        <w:t>agosto</w:t>
      </w:r>
      <w:r w:rsidRPr="00E70229">
        <w:rPr>
          <w:i/>
          <w:sz w:val="16"/>
          <w:szCs w:val="16"/>
          <w:lang w:val="es-419"/>
        </w:rPr>
        <w:t xml:space="preserve"> de 2018.</w:t>
      </w:r>
      <w:r w:rsidRPr="0059466A">
        <w:rPr>
          <w:lang w:val="es-419"/>
        </w:rPr>
        <w:t xml:space="preserve"> </w:t>
      </w:r>
    </w:p>
  </w:footnote>
  <w:footnote w:id="6">
    <w:p w14:paraId="299DAB2B" w14:textId="77777777" w:rsidR="00532450" w:rsidRPr="00E70229" w:rsidRDefault="00532450" w:rsidP="00E70229">
      <w:pPr>
        <w:pStyle w:val="MediumShading1-Accent11"/>
        <w:rPr>
          <w:sz w:val="16"/>
          <w:szCs w:val="16"/>
          <w:lang w:val="es-419"/>
        </w:rPr>
      </w:pPr>
      <w:r w:rsidRPr="00E70229">
        <w:rPr>
          <w:rStyle w:val="FootnoteReference"/>
          <w:sz w:val="16"/>
          <w:szCs w:val="16"/>
        </w:rPr>
        <w:footnoteRef/>
      </w:r>
      <w:r w:rsidRPr="00E70229">
        <w:rPr>
          <w:sz w:val="16"/>
          <w:szCs w:val="16"/>
        </w:rPr>
        <w:t xml:space="preserve"> </w:t>
      </w:r>
      <w:r w:rsidRPr="00E70229">
        <w:rPr>
          <w:sz w:val="16"/>
          <w:szCs w:val="16"/>
          <w:lang w:val="es-419"/>
        </w:rPr>
        <w:t xml:space="preserve">FIAP. Migraciones y portabilidad de los ahorros pensionales. Notas de Pensiones, NRO. 28- </w:t>
      </w:r>
      <w:r w:rsidR="00A74A27" w:rsidRPr="00E70229">
        <w:rPr>
          <w:sz w:val="16"/>
          <w:szCs w:val="16"/>
          <w:lang w:val="es-419"/>
        </w:rPr>
        <w:t>agosto</w:t>
      </w:r>
      <w:r w:rsidRPr="00E70229">
        <w:rPr>
          <w:sz w:val="16"/>
          <w:szCs w:val="16"/>
          <w:lang w:val="es-419"/>
        </w:rPr>
        <w:t xml:space="preserve"> de 2018.</w:t>
      </w:r>
    </w:p>
  </w:footnote>
  <w:footnote w:id="7">
    <w:p w14:paraId="20BC62E5" w14:textId="77777777" w:rsidR="0096135D" w:rsidRPr="00E70229" w:rsidRDefault="0096135D" w:rsidP="00E70229">
      <w:pPr>
        <w:pStyle w:val="MediumShading1-Accent11"/>
        <w:rPr>
          <w:sz w:val="16"/>
          <w:szCs w:val="16"/>
          <w:lang w:val="es-419"/>
        </w:rPr>
      </w:pPr>
      <w:r w:rsidRPr="00E70229">
        <w:rPr>
          <w:rStyle w:val="FootnoteReference"/>
          <w:sz w:val="16"/>
          <w:szCs w:val="16"/>
        </w:rPr>
        <w:footnoteRef/>
      </w:r>
      <w:r w:rsidRPr="00E70229">
        <w:rPr>
          <w:sz w:val="16"/>
          <w:szCs w:val="16"/>
        </w:rPr>
        <w:t xml:space="preserve"> </w:t>
      </w:r>
      <w:r w:rsidR="00A27251" w:rsidRPr="00E70229">
        <w:rPr>
          <w:sz w:val="16"/>
          <w:szCs w:val="16"/>
        </w:rPr>
        <w:t xml:space="preserve">MERCOSUL. Previsión Social en el MERCOSUR. Subgrupo de Trabajo No. 10 –SGT 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03853"/>
      <w:docPartObj>
        <w:docPartGallery w:val="Page Numbers (Top of Page)"/>
        <w:docPartUnique/>
      </w:docPartObj>
    </w:sdtPr>
    <w:sdtEndPr>
      <w:rPr>
        <w:noProof/>
      </w:rPr>
    </w:sdtEndPr>
    <w:sdtContent>
      <w:p w14:paraId="7C529957" w14:textId="0B942EDC" w:rsidR="00A74A27" w:rsidRDefault="00A74A27">
        <w:pPr>
          <w:pStyle w:val="Header"/>
          <w:jc w:val="center"/>
        </w:pPr>
        <w:r>
          <w:fldChar w:fldCharType="begin"/>
        </w:r>
        <w:r>
          <w:instrText xml:space="preserve"> PAGE   \* MERGEFORMAT </w:instrText>
        </w:r>
        <w:r>
          <w:fldChar w:fldCharType="separate"/>
        </w:r>
        <w:r w:rsidR="006A41F2">
          <w:rPr>
            <w:noProof/>
          </w:rPr>
          <w:t>- 3 -</w:t>
        </w:r>
        <w:r>
          <w:rPr>
            <w:noProof/>
          </w:rPr>
          <w:fldChar w:fldCharType="end"/>
        </w:r>
      </w:p>
    </w:sdtContent>
  </w:sdt>
  <w:p w14:paraId="07D1A45B" w14:textId="77777777" w:rsidR="00A74A27" w:rsidRDefault="00A74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6"/>
  </w:num>
  <w:num w:numId="4">
    <w:abstractNumId w:val="25"/>
  </w:num>
  <w:num w:numId="5">
    <w:abstractNumId w:val="16"/>
  </w:num>
  <w:num w:numId="6">
    <w:abstractNumId w:val="1"/>
  </w:num>
  <w:num w:numId="7">
    <w:abstractNumId w:val="15"/>
  </w:num>
  <w:num w:numId="8">
    <w:abstractNumId w:val="24"/>
  </w:num>
  <w:num w:numId="9">
    <w:abstractNumId w:val="3"/>
  </w:num>
  <w:num w:numId="10">
    <w:abstractNumId w:val="13"/>
  </w:num>
  <w:num w:numId="11">
    <w:abstractNumId w:val="19"/>
  </w:num>
  <w:num w:numId="12">
    <w:abstractNumId w:val="9"/>
  </w:num>
  <w:num w:numId="13">
    <w:abstractNumId w:val="2"/>
  </w:num>
  <w:num w:numId="14">
    <w:abstractNumId w:val="20"/>
  </w:num>
  <w:num w:numId="15">
    <w:abstractNumId w:val="23"/>
  </w:num>
  <w:num w:numId="16">
    <w:abstractNumId w:val="17"/>
  </w:num>
  <w:num w:numId="17">
    <w:abstractNumId w:val="5"/>
  </w:num>
  <w:num w:numId="18">
    <w:abstractNumId w:val="6"/>
  </w:num>
  <w:num w:numId="19">
    <w:abstractNumId w:val="21"/>
  </w:num>
  <w:num w:numId="20">
    <w:abstractNumId w:val="12"/>
  </w:num>
  <w:num w:numId="21">
    <w:abstractNumId w:val="11"/>
  </w:num>
  <w:num w:numId="22">
    <w:abstractNumId w:val="7"/>
  </w:num>
  <w:num w:numId="23">
    <w:abstractNumId w:val="10"/>
  </w:num>
  <w:num w:numId="24">
    <w:abstractNumId w:val="8"/>
  </w:num>
  <w:num w:numId="25">
    <w:abstractNumId w:val="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E8"/>
    <w:rsid w:val="00000FA5"/>
    <w:rsid w:val="00002D73"/>
    <w:rsid w:val="00003741"/>
    <w:rsid w:val="00011663"/>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2255"/>
    <w:rsid w:val="00554FCE"/>
    <w:rsid w:val="00562781"/>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3F15"/>
    <w:rsid w:val="005E3F8B"/>
    <w:rsid w:val="005E65D4"/>
    <w:rsid w:val="005E7784"/>
    <w:rsid w:val="005F45F7"/>
    <w:rsid w:val="005F5437"/>
    <w:rsid w:val="005F6E84"/>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660B"/>
    <w:rsid w:val="006910D0"/>
    <w:rsid w:val="0069314E"/>
    <w:rsid w:val="00693F8B"/>
    <w:rsid w:val="00695679"/>
    <w:rsid w:val="00697331"/>
    <w:rsid w:val="006A231C"/>
    <w:rsid w:val="006A41F2"/>
    <w:rsid w:val="006A6065"/>
    <w:rsid w:val="006A6E32"/>
    <w:rsid w:val="006A7ABA"/>
    <w:rsid w:val="006B0005"/>
    <w:rsid w:val="006B0F17"/>
    <w:rsid w:val="006B51FC"/>
    <w:rsid w:val="006B675F"/>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75C"/>
    <w:rsid w:val="008108CE"/>
    <w:rsid w:val="0081161D"/>
    <w:rsid w:val="00812F07"/>
    <w:rsid w:val="008134D5"/>
    <w:rsid w:val="00816146"/>
    <w:rsid w:val="008202A0"/>
    <w:rsid w:val="00820A42"/>
    <w:rsid w:val="00821000"/>
    <w:rsid w:val="008252F4"/>
    <w:rsid w:val="00825D4F"/>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7618"/>
    <w:rsid w:val="009727F2"/>
    <w:rsid w:val="00975451"/>
    <w:rsid w:val="00984F93"/>
    <w:rsid w:val="00985516"/>
    <w:rsid w:val="00985580"/>
    <w:rsid w:val="00986424"/>
    <w:rsid w:val="00987640"/>
    <w:rsid w:val="00993A60"/>
    <w:rsid w:val="009A197E"/>
    <w:rsid w:val="009B096A"/>
    <w:rsid w:val="009B7338"/>
    <w:rsid w:val="009C2526"/>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6B31"/>
    <w:rsid w:val="00D82B8B"/>
    <w:rsid w:val="00D83AA2"/>
    <w:rsid w:val="00D90233"/>
    <w:rsid w:val="00D9248D"/>
    <w:rsid w:val="00D92B47"/>
    <w:rsid w:val="00D93AB7"/>
    <w:rsid w:val="00D942E7"/>
    <w:rsid w:val="00D9459D"/>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6685"/>
    <w:rsid w:val="00FC6A48"/>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05AF"/>
  <w15:chartTrackingRefBased/>
  <w15:docId w15:val="{ACF0C442-50A7-4702-95F3-A6B955B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200" w:line="276"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paragraph" w:customStyle="1" w:styleId="MediumGrid1-Accent21">
    <w:name w:val="Medium Grid 1 - Accent 21"/>
    <w:basedOn w:val="Normal"/>
    <w:uiPriority w:val="34"/>
    <w:qFormat/>
    <w:rsid w:val="00B41CF3"/>
    <w:pPr>
      <w:spacing w:after="160" w:line="259" w:lineRule="auto"/>
      <w:ind w:left="720"/>
      <w:contextualSpacing/>
    </w:pPr>
    <w:rPr>
      <w:lang w:val="en-US"/>
    </w:r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92F-B3EE-4497-805A-A1F7E3F1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3</cp:revision>
  <cp:lastPrinted>2020-03-05T23:34:00Z</cp:lastPrinted>
  <dcterms:created xsi:type="dcterms:W3CDTF">2021-02-05T19:29:00Z</dcterms:created>
  <dcterms:modified xsi:type="dcterms:W3CDTF">2021-02-05T19:29:00Z</dcterms:modified>
</cp:coreProperties>
</file>