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693" w:rsidRPr="00BE35BC" w:rsidRDefault="00AB7175" w:rsidP="001D767D">
      <w:pPr>
        <w:tabs>
          <w:tab w:val="left" w:pos="7200"/>
        </w:tabs>
        <w:ind w:right="-1080"/>
        <w:jc w:val="both"/>
        <w:rPr>
          <w:sz w:val="22"/>
          <w:szCs w:val="22"/>
          <w:lang w:val="pt-BR"/>
        </w:rPr>
      </w:pPr>
      <w:bookmarkStart w:id="0" w:name="_top"/>
      <w:bookmarkEnd w:id="0"/>
      <w:r w:rsidRPr="00432281">
        <w:rPr>
          <w:sz w:val="22"/>
          <w:szCs w:val="22"/>
          <w:lang w:val="es-ES"/>
        </w:rPr>
        <w:tab/>
      </w:r>
      <w:r w:rsidR="00722693" w:rsidRPr="00BE35BC">
        <w:rPr>
          <w:sz w:val="22"/>
          <w:szCs w:val="22"/>
          <w:lang w:val="pt-BR"/>
        </w:rPr>
        <w:t>OEA/Ser.W</w:t>
      </w:r>
    </w:p>
    <w:p w:rsidR="00722693" w:rsidRPr="00BE35BC" w:rsidRDefault="00722693" w:rsidP="001D767D">
      <w:pPr>
        <w:tabs>
          <w:tab w:val="left" w:pos="7200"/>
        </w:tabs>
        <w:ind w:right="-1080"/>
        <w:jc w:val="both"/>
        <w:rPr>
          <w:sz w:val="22"/>
          <w:szCs w:val="22"/>
          <w:lang w:val="pt-BR"/>
        </w:rPr>
      </w:pPr>
      <w:r w:rsidRPr="00BE35BC">
        <w:rPr>
          <w:sz w:val="22"/>
          <w:szCs w:val="22"/>
          <w:lang w:val="pt-BR"/>
        </w:rPr>
        <w:tab/>
        <w:t>CIDI/INF.</w:t>
      </w:r>
      <w:bookmarkStart w:id="1" w:name="_GoBack"/>
      <w:bookmarkEnd w:id="1"/>
      <w:r w:rsidR="004E4825" w:rsidRPr="00BE35BC">
        <w:rPr>
          <w:sz w:val="22"/>
          <w:szCs w:val="22"/>
          <w:lang w:val="pt-BR"/>
        </w:rPr>
        <w:t>365</w:t>
      </w:r>
      <w:r w:rsidR="007E6D06" w:rsidRPr="00BE35BC">
        <w:rPr>
          <w:sz w:val="22"/>
          <w:szCs w:val="22"/>
          <w:lang w:val="pt-BR"/>
        </w:rPr>
        <w:t>/</w:t>
      </w:r>
      <w:r w:rsidR="00E12CCC" w:rsidRPr="00BE35BC">
        <w:rPr>
          <w:sz w:val="22"/>
          <w:szCs w:val="22"/>
          <w:lang w:val="pt-BR"/>
        </w:rPr>
        <w:t>20</w:t>
      </w:r>
      <w:r w:rsidR="001D767D">
        <w:rPr>
          <w:sz w:val="22"/>
          <w:szCs w:val="22"/>
          <w:lang w:val="pt-BR"/>
        </w:rPr>
        <w:t xml:space="preserve"> add.2</w:t>
      </w:r>
    </w:p>
    <w:p w:rsidR="00921E9E" w:rsidRPr="00432281" w:rsidRDefault="00722693" w:rsidP="001D767D">
      <w:pPr>
        <w:tabs>
          <w:tab w:val="left" w:pos="7200"/>
        </w:tabs>
        <w:ind w:right="-1080"/>
        <w:jc w:val="both"/>
        <w:rPr>
          <w:sz w:val="22"/>
          <w:szCs w:val="22"/>
          <w:lang w:val="es-ES"/>
        </w:rPr>
      </w:pPr>
      <w:r w:rsidRPr="00BE35BC">
        <w:rPr>
          <w:sz w:val="22"/>
          <w:szCs w:val="22"/>
          <w:lang w:val="pt-BR"/>
        </w:rPr>
        <w:tab/>
      </w:r>
      <w:r w:rsidR="001D767D" w:rsidRPr="000C1981">
        <w:rPr>
          <w:sz w:val="22"/>
          <w:szCs w:val="22"/>
          <w:lang w:val="es-US"/>
        </w:rPr>
        <w:t>18</w:t>
      </w:r>
      <w:r w:rsidR="001A1B48">
        <w:rPr>
          <w:sz w:val="22"/>
          <w:szCs w:val="22"/>
          <w:lang w:val="es-US"/>
        </w:rPr>
        <w:t xml:space="preserve"> mayo</w:t>
      </w:r>
      <w:r w:rsidR="00921E9E" w:rsidRPr="00432281">
        <w:rPr>
          <w:sz w:val="22"/>
          <w:szCs w:val="22"/>
          <w:lang w:val="es-ES"/>
        </w:rPr>
        <w:t xml:space="preserve"> 20</w:t>
      </w:r>
      <w:r w:rsidR="00E12CCC">
        <w:rPr>
          <w:sz w:val="22"/>
          <w:szCs w:val="22"/>
          <w:lang w:val="es-ES"/>
        </w:rPr>
        <w:t>20</w:t>
      </w:r>
      <w:r w:rsidR="00921E9E" w:rsidRPr="00432281">
        <w:rPr>
          <w:sz w:val="22"/>
          <w:szCs w:val="22"/>
          <w:lang w:val="es-ES"/>
        </w:rPr>
        <w:t xml:space="preserve"> </w:t>
      </w:r>
    </w:p>
    <w:p w:rsidR="00921E9E" w:rsidRPr="00432281" w:rsidRDefault="00164D27" w:rsidP="001D767D">
      <w:pPr>
        <w:pBdr>
          <w:bottom w:val="single" w:sz="12" w:space="1" w:color="auto"/>
        </w:pBdr>
        <w:tabs>
          <w:tab w:val="left" w:pos="7200"/>
        </w:tabs>
        <w:ind w:right="-389"/>
        <w:jc w:val="both"/>
        <w:rPr>
          <w:sz w:val="22"/>
          <w:szCs w:val="22"/>
          <w:lang w:val="es-ES"/>
        </w:rPr>
      </w:pPr>
      <w:r w:rsidRPr="00432281">
        <w:rPr>
          <w:sz w:val="22"/>
          <w:szCs w:val="22"/>
          <w:lang w:val="es-ES"/>
        </w:rPr>
        <w:tab/>
      </w:r>
      <w:r w:rsidR="001A1B48">
        <w:rPr>
          <w:sz w:val="22"/>
          <w:szCs w:val="22"/>
          <w:lang w:val="es-ES"/>
        </w:rPr>
        <w:t>TEXTUAL</w:t>
      </w:r>
    </w:p>
    <w:p w:rsidR="00921E9E" w:rsidRPr="00432281" w:rsidRDefault="00921E9E" w:rsidP="001D767D">
      <w:pPr>
        <w:pBdr>
          <w:bottom w:val="single" w:sz="12" w:space="1" w:color="auto"/>
        </w:pBdr>
        <w:tabs>
          <w:tab w:val="left" w:pos="7200"/>
        </w:tabs>
        <w:ind w:right="-389"/>
        <w:jc w:val="both"/>
        <w:rPr>
          <w:sz w:val="22"/>
          <w:szCs w:val="22"/>
          <w:lang w:val="es-ES"/>
        </w:rPr>
      </w:pPr>
    </w:p>
    <w:p w:rsidR="00722693" w:rsidRPr="00432281" w:rsidRDefault="00722693" w:rsidP="001D767D">
      <w:pPr>
        <w:tabs>
          <w:tab w:val="left" w:pos="7200"/>
        </w:tabs>
        <w:ind w:right="-1080"/>
        <w:jc w:val="both"/>
        <w:rPr>
          <w:sz w:val="22"/>
          <w:szCs w:val="22"/>
          <w:lang w:val="es-ES"/>
        </w:rPr>
      </w:pPr>
    </w:p>
    <w:p w:rsidR="00AB7175" w:rsidRPr="00432281" w:rsidRDefault="00AB7175" w:rsidP="001D767D">
      <w:pPr>
        <w:jc w:val="both"/>
        <w:outlineLvl w:val="0"/>
        <w:rPr>
          <w:sz w:val="22"/>
          <w:szCs w:val="22"/>
          <w:lang w:val="es-ES"/>
        </w:rPr>
      </w:pPr>
    </w:p>
    <w:p w:rsidR="00723DE2" w:rsidRPr="00432281" w:rsidRDefault="00723DE2" w:rsidP="001D767D">
      <w:pPr>
        <w:jc w:val="both"/>
        <w:rPr>
          <w:rFonts w:eastAsia="Calibri"/>
          <w:sz w:val="22"/>
          <w:szCs w:val="22"/>
          <w:lang w:val="es-ES"/>
        </w:rPr>
      </w:pPr>
    </w:p>
    <w:p w:rsidR="00EC26FB" w:rsidRPr="00432281" w:rsidRDefault="00EC26FB" w:rsidP="001D767D">
      <w:pPr>
        <w:jc w:val="both"/>
        <w:rPr>
          <w:rFonts w:eastAsia="Calibri"/>
          <w:caps/>
          <w:sz w:val="22"/>
          <w:szCs w:val="22"/>
          <w:lang w:val="es-ES"/>
        </w:rPr>
      </w:pPr>
    </w:p>
    <w:p w:rsidR="00EC26FB" w:rsidRPr="00432281" w:rsidRDefault="00EC26FB" w:rsidP="001D767D">
      <w:pPr>
        <w:jc w:val="both"/>
        <w:rPr>
          <w:rFonts w:eastAsia="Calibri"/>
          <w:caps/>
          <w:sz w:val="22"/>
          <w:szCs w:val="22"/>
          <w:lang w:val="es-ES"/>
        </w:rPr>
      </w:pPr>
    </w:p>
    <w:p w:rsidR="00EC26FB" w:rsidRPr="00432281" w:rsidRDefault="00EC26FB" w:rsidP="001D767D">
      <w:pPr>
        <w:jc w:val="both"/>
        <w:rPr>
          <w:rFonts w:eastAsia="Calibri"/>
          <w:caps/>
          <w:sz w:val="22"/>
          <w:szCs w:val="22"/>
          <w:lang w:val="es-ES"/>
        </w:rPr>
      </w:pPr>
    </w:p>
    <w:p w:rsidR="00EC26FB" w:rsidRPr="00432281" w:rsidRDefault="00EC26FB" w:rsidP="001D767D">
      <w:pPr>
        <w:jc w:val="both"/>
        <w:rPr>
          <w:rFonts w:eastAsia="Calibri"/>
          <w:caps/>
          <w:sz w:val="22"/>
          <w:szCs w:val="22"/>
          <w:lang w:val="es-ES"/>
        </w:rPr>
      </w:pPr>
    </w:p>
    <w:p w:rsidR="00EC26FB" w:rsidRPr="00432281" w:rsidRDefault="00EC26FB" w:rsidP="001D767D">
      <w:pPr>
        <w:jc w:val="both"/>
        <w:rPr>
          <w:rFonts w:eastAsia="Calibri"/>
          <w:caps/>
          <w:sz w:val="22"/>
          <w:szCs w:val="22"/>
          <w:lang w:val="es-ES"/>
        </w:rPr>
      </w:pPr>
    </w:p>
    <w:p w:rsidR="000026CF" w:rsidRDefault="000026CF" w:rsidP="001D767D">
      <w:pPr>
        <w:jc w:val="both"/>
        <w:rPr>
          <w:rFonts w:eastAsia="Calibri"/>
          <w:caps/>
          <w:sz w:val="22"/>
          <w:szCs w:val="22"/>
          <w:lang w:val="es-ES"/>
        </w:rPr>
      </w:pPr>
    </w:p>
    <w:p w:rsidR="006C0F45" w:rsidRPr="00432281" w:rsidRDefault="006C0F45" w:rsidP="001D767D">
      <w:pPr>
        <w:jc w:val="both"/>
        <w:rPr>
          <w:rFonts w:eastAsia="Calibri"/>
          <w:caps/>
          <w:sz w:val="22"/>
          <w:szCs w:val="22"/>
          <w:lang w:val="es-ES"/>
        </w:rPr>
      </w:pPr>
    </w:p>
    <w:p w:rsidR="00B37CDE" w:rsidRPr="00432281" w:rsidRDefault="00B37CDE" w:rsidP="001D767D">
      <w:pPr>
        <w:jc w:val="both"/>
        <w:rPr>
          <w:rFonts w:eastAsia="Calibri"/>
          <w:caps/>
          <w:sz w:val="22"/>
          <w:szCs w:val="22"/>
          <w:lang w:val="es-ES"/>
        </w:rPr>
      </w:pPr>
    </w:p>
    <w:p w:rsidR="000026CF" w:rsidRDefault="000026CF" w:rsidP="001D767D">
      <w:pPr>
        <w:jc w:val="both"/>
        <w:rPr>
          <w:rFonts w:eastAsia="Calibri"/>
          <w:caps/>
          <w:sz w:val="22"/>
          <w:szCs w:val="22"/>
          <w:lang w:val="es-ES"/>
        </w:rPr>
      </w:pPr>
    </w:p>
    <w:p w:rsidR="001A1B48" w:rsidRPr="00432281" w:rsidRDefault="001A1B48" w:rsidP="001D767D">
      <w:pPr>
        <w:jc w:val="both"/>
        <w:rPr>
          <w:rFonts w:eastAsia="Calibri"/>
          <w:caps/>
          <w:sz w:val="22"/>
          <w:szCs w:val="22"/>
          <w:lang w:val="es-ES"/>
        </w:rPr>
      </w:pPr>
    </w:p>
    <w:p w:rsidR="00EC26FB" w:rsidRPr="00432281" w:rsidRDefault="00EC26FB" w:rsidP="001D767D">
      <w:pPr>
        <w:jc w:val="both"/>
        <w:rPr>
          <w:rFonts w:eastAsia="Calibri"/>
          <w:caps/>
          <w:sz w:val="22"/>
          <w:szCs w:val="22"/>
          <w:lang w:val="es-ES"/>
        </w:rPr>
      </w:pPr>
    </w:p>
    <w:p w:rsidR="004E4825" w:rsidRDefault="001A1B48" w:rsidP="001D767D">
      <w:pPr>
        <w:jc w:val="center"/>
        <w:rPr>
          <w:rFonts w:eastAsia="Calibri"/>
          <w:caps/>
          <w:sz w:val="22"/>
          <w:szCs w:val="22"/>
          <w:lang w:val="es-ES"/>
        </w:rPr>
      </w:pPr>
      <w:r>
        <w:rPr>
          <w:rFonts w:eastAsia="Calibri"/>
          <w:caps/>
          <w:sz w:val="22"/>
          <w:szCs w:val="22"/>
          <w:lang w:val="es-ES"/>
        </w:rPr>
        <w:t xml:space="preserve">nota de la </w:t>
      </w:r>
      <w:r w:rsidR="006B1277">
        <w:rPr>
          <w:rFonts w:eastAsia="Calibri"/>
          <w:caps/>
          <w:sz w:val="22"/>
          <w:szCs w:val="22"/>
          <w:lang w:val="es-ES"/>
        </w:rPr>
        <w:t xml:space="preserve">ministra de cultura y juventud de costa rica, sylvie durán salvatierra, en </w:t>
      </w:r>
      <w:r w:rsidR="001D767D">
        <w:rPr>
          <w:rFonts w:eastAsia="Calibri"/>
          <w:caps/>
          <w:sz w:val="22"/>
          <w:szCs w:val="22"/>
          <w:lang w:val="es-ES"/>
        </w:rPr>
        <w:t xml:space="preserve">RESPUESTA </w:t>
      </w:r>
      <w:r>
        <w:rPr>
          <w:rFonts w:eastAsia="Calibri"/>
          <w:caps/>
          <w:sz w:val="22"/>
          <w:szCs w:val="22"/>
          <w:lang w:val="es-ES"/>
        </w:rPr>
        <w:t xml:space="preserve">a la solicitud de la </w:t>
      </w:r>
      <w:r w:rsidR="00E27230">
        <w:rPr>
          <w:rFonts w:eastAsia="Calibri"/>
          <w:caps/>
          <w:sz w:val="22"/>
          <w:szCs w:val="22"/>
          <w:lang w:val="es-ES"/>
        </w:rPr>
        <w:t>PRESIDENTA DE LA COMISIóN INTERAMERICANA DE CULTURA,</w:t>
      </w:r>
      <w:r w:rsidR="006B1277">
        <w:rPr>
          <w:rFonts w:eastAsia="Calibri"/>
          <w:caps/>
          <w:sz w:val="22"/>
          <w:szCs w:val="22"/>
          <w:lang w:val="es-ES"/>
        </w:rPr>
        <w:t xml:space="preserve"> </w:t>
      </w:r>
      <w:r w:rsidR="00E27230">
        <w:rPr>
          <w:rFonts w:eastAsia="Calibri"/>
          <w:caps/>
          <w:sz w:val="22"/>
          <w:szCs w:val="22"/>
          <w:lang w:val="es-ES"/>
        </w:rPr>
        <w:t>CARMEN INéS VáSQUEZ CAMACHO, MINISTRA DE CULTURA DE COLOMBIA,</w:t>
      </w:r>
      <w:r w:rsidR="00FB2EEF">
        <w:rPr>
          <w:rFonts w:eastAsia="Calibri"/>
          <w:caps/>
          <w:sz w:val="22"/>
          <w:szCs w:val="22"/>
          <w:lang w:val="es-ES"/>
        </w:rPr>
        <w:t xml:space="preserve"> sobre </w:t>
      </w:r>
      <w:r w:rsidR="00E27230">
        <w:rPr>
          <w:rFonts w:eastAsia="Calibri"/>
          <w:caps/>
          <w:sz w:val="22"/>
          <w:szCs w:val="22"/>
          <w:lang w:val="es-ES"/>
        </w:rPr>
        <w:t xml:space="preserve">ACCIONES ADOPTADAS PARA MITIGAR LOS DAÑOS OCASIONADOS POR LA PANDEMIA DEL COVID-19 </w:t>
      </w:r>
      <w:r>
        <w:rPr>
          <w:rFonts w:eastAsia="Calibri"/>
          <w:caps/>
          <w:sz w:val="22"/>
          <w:szCs w:val="22"/>
          <w:lang w:val="es-ES"/>
        </w:rPr>
        <w:t>en el</w:t>
      </w:r>
      <w:r w:rsidR="00E27230">
        <w:rPr>
          <w:rFonts w:eastAsia="Calibri"/>
          <w:caps/>
          <w:sz w:val="22"/>
          <w:szCs w:val="22"/>
          <w:lang w:val="es-ES"/>
        </w:rPr>
        <w:t xml:space="preserve"> SECTOR CULTURAL</w:t>
      </w:r>
    </w:p>
    <w:p w:rsidR="004E4825" w:rsidRDefault="004E4825" w:rsidP="001D767D">
      <w:pPr>
        <w:jc w:val="both"/>
        <w:rPr>
          <w:rFonts w:eastAsia="Calibri"/>
          <w:caps/>
          <w:sz w:val="22"/>
          <w:szCs w:val="22"/>
          <w:lang w:val="es-ES"/>
        </w:rPr>
      </w:pPr>
    </w:p>
    <w:p w:rsidR="002C5890" w:rsidRDefault="00EC26FB" w:rsidP="001D767D">
      <w:pPr>
        <w:jc w:val="both"/>
        <w:rPr>
          <w:rFonts w:eastAsia="Calibri"/>
          <w:caps/>
          <w:sz w:val="22"/>
          <w:szCs w:val="22"/>
          <w:lang w:val="es-ES"/>
        </w:rPr>
      </w:pPr>
      <w:r w:rsidRPr="00432281">
        <w:rPr>
          <w:rFonts w:eastAsia="Calibri"/>
          <w:caps/>
          <w:sz w:val="22"/>
          <w:szCs w:val="22"/>
          <w:lang w:val="es-ES"/>
        </w:rPr>
        <w:br w:type="page"/>
      </w:r>
    </w:p>
    <w:p w:rsidR="001D767D" w:rsidRPr="001D767D" w:rsidRDefault="001D767D" w:rsidP="001D767D">
      <w:pPr>
        <w:spacing w:line="259" w:lineRule="auto"/>
        <w:ind w:right="592"/>
        <w:jc w:val="both"/>
        <w:rPr>
          <w:lang w:val="es-US"/>
        </w:rPr>
      </w:pPr>
      <w:r>
        <w:rPr>
          <w:noProof/>
        </w:rPr>
        <w:lastRenderedPageBreak/>
        <w:drawing>
          <wp:inline distT="0" distB="0" distL="0" distR="0" wp14:anchorId="6B8D5EE0" wp14:editId="297DB2A2">
            <wp:extent cx="3950335" cy="92392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3950335" cy="923925"/>
                    </a:xfrm>
                    <a:prstGeom prst="rect">
                      <a:avLst/>
                    </a:prstGeom>
                  </pic:spPr>
                </pic:pic>
              </a:graphicData>
            </a:graphic>
          </wp:inline>
        </w:drawing>
      </w:r>
      <w:r w:rsidRPr="001D767D">
        <w:rPr>
          <w:rFonts w:ascii="Calibri" w:eastAsia="Calibri" w:hAnsi="Calibri" w:cs="Calibri"/>
          <w:lang w:val="es-US"/>
        </w:rPr>
        <w:t xml:space="preserve"> </w:t>
      </w:r>
    </w:p>
    <w:p w:rsidR="001D767D" w:rsidRPr="001D767D" w:rsidRDefault="001D767D" w:rsidP="001D767D">
      <w:pPr>
        <w:ind w:left="-5"/>
        <w:jc w:val="both"/>
        <w:rPr>
          <w:rFonts w:asciiTheme="minorHAnsi" w:hAnsiTheme="minorHAnsi"/>
          <w:sz w:val="22"/>
          <w:szCs w:val="22"/>
          <w:lang w:val="es-US"/>
        </w:rPr>
      </w:pPr>
      <w:r w:rsidRPr="001D767D">
        <w:rPr>
          <w:rFonts w:asciiTheme="minorHAnsi" w:hAnsiTheme="minorHAnsi"/>
          <w:sz w:val="22"/>
          <w:szCs w:val="22"/>
          <w:lang w:val="es-US"/>
        </w:rPr>
        <w:t xml:space="preserve">27 de abril de 2020 </w:t>
      </w:r>
    </w:p>
    <w:p w:rsidR="001D767D" w:rsidRPr="001D767D" w:rsidRDefault="001D767D" w:rsidP="001D767D">
      <w:pPr>
        <w:ind w:left="-5"/>
        <w:jc w:val="both"/>
        <w:rPr>
          <w:rFonts w:asciiTheme="minorHAnsi" w:hAnsiTheme="minorHAnsi"/>
          <w:sz w:val="22"/>
          <w:szCs w:val="22"/>
          <w:lang w:val="es-US"/>
        </w:rPr>
      </w:pPr>
      <w:r w:rsidRPr="001D767D">
        <w:rPr>
          <w:rFonts w:asciiTheme="minorHAnsi" w:hAnsiTheme="minorHAnsi"/>
          <w:sz w:val="22"/>
          <w:szCs w:val="22"/>
          <w:lang w:val="es-US"/>
        </w:rPr>
        <w:t xml:space="preserve">DM-0423-2020 </w:t>
      </w:r>
    </w:p>
    <w:p w:rsidR="001D767D" w:rsidRPr="001D767D" w:rsidRDefault="001D767D" w:rsidP="001D767D">
      <w:pPr>
        <w:ind w:left="-5"/>
        <w:jc w:val="both"/>
        <w:rPr>
          <w:rFonts w:asciiTheme="minorHAnsi" w:hAnsiTheme="minorHAnsi"/>
          <w:sz w:val="22"/>
          <w:szCs w:val="22"/>
          <w:lang w:val="es-US"/>
        </w:rPr>
      </w:pPr>
      <w:r w:rsidRPr="001D767D">
        <w:rPr>
          <w:rFonts w:asciiTheme="minorHAnsi" w:hAnsiTheme="minorHAnsi"/>
          <w:sz w:val="22"/>
          <w:szCs w:val="22"/>
          <w:lang w:val="es-US"/>
        </w:rPr>
        <w:t xml:space="preserve">DMVC-0043-2020 </w:t>
      </w:r>
    </w:p>
    <w:p w:rsidR="001D767D" w:rsidRPr="001D767D" w:rsidRDefault="001D767D" w:rsidP="001D767D">
      <w:pPr>
        <w:spacing w:after="19" w:line="259" w:lineRule="auto"/>
        <w:jc w:val="both"/>
        <w:rPr>
          <w:rFonts w:asciiTheme="minorHAnsi" w:hAnsiTheme="minorHAnsi"/>
          <w:sz w:val="22"/>
          <w:szCs w:val="22"/>
          <w:lang w:val="es-US"/>
        </w:rPr>
      </w:pPr>
      <w:r w:rsidRPr="001D767D">
        <w:rPr>
          <w:rFonts w:asciiTheme="minorHAnsi" w:hAnsiTheme="minorHAnsi"/>
          <w:sz w:val="22"/>
          <w:szCs w:val="22"/>
          <w:lang w:val="es-US"/>
        </w:rPr>
        <w:t xml:space="preserve"> </w:t>
      </w:r>
    </w:p>
    <w:p w:rsidR="001D767D" w:rsidRPr="001D767D" w:rsidRDefault="001D767D" w:rsidP="001D767D">
      <w:pPr>
        <w:ind w:left="-5"/>
        <w:jc w:val="both"/>
        <w:rPr>
          <w:rFonts w:asciiTheme="minorHAnsi" w:hAnsiTheme="minorHAnsi"/>
          <w:sz w:val="22"/>
          <w:szCs w:val="22"/>
          <w:lang w:val="es-US"/>
        </w:rPr>
      </w:pPr>
      <w:r w:rsidRPr="001D767D">
        <w:rPr>
          <w:rFonts w:asciiTheme="minorHAnsi" w:hAnsiTheme="minorHAnsi"/>
          <w:sz w:val="22"/>
          <w:szCs w:val="22"/>
          <w:lang w:val="es-US"/>
        </w:rPr>
        <w:t xml:space="preserve">Señora </w:t>
      </w:r>
    </w:p>
    <w:p w:rsidR="001D767D" w:rsidRPr="001D767D" w:rsidRDefault="001D767D" w:rsidP="001D767D">
      <w:pPr>
        <w:ind w:left="-5"/>
        <w:jc w:val="both"/>
        <w:rPr>
          <w:rFonts w:asciiTheme="minorHAnsi" w:hAnsiTheme="minorHAnsi"/>
          <w:sz w:val="22"/>
          <w:szCs w:val="22"/>
          <w:lang w:val="es-US"/>
        </w:rPr>
      </w:pPr>
      <w:r w:rsidRPr="001D767D">
        <w:rPr>
          <w:rFonts w:asciiTheme="minorHAnsi" w:hAnsiTheme="minorHAnsi"/>
          <w:sz w:val="22"/>
          <w:szCs w:val="22"/>
          <w:lang w:val="es-US"/>
        </w:rPr>
        <w:t xml:space="preserve">Carmen Inés Vásquez Camacho </w:t>
      </w:r>
    </w:p>
    <w:p w:rsidR="001D767D" w:rsidRPr="001D767D" w:rsidRDefault="001D767D" w:rsidP="001D767D">
      <w:pPr>
        <w:ind w:left="-5"/>
        <w:jc w:val="both"/>
        <w:rPr>
          <w:rFonts w:asciiTheme="minorHAnsi" w:hAnsiTheme="minorHAnsi"/>
          <w:sz w:val="22"/>
          <w:szCs w:val="22"/>
          <w:lang w:val="es-US"/>
        </w:rPr>
      </w:pPr>
      <w:r w:rsidRPr="001D767D">
        <w:rPr>
          <w:rFonts w:asciiTheme="minorHAnsi" w:hAnsiTheme="minorHAnsi"/>
          <w:sz w:val="22"/>
          <w:szCs w:val="22"/>
          <w:lang w:val="es-US"/>
        </w:rPr>
        <w:t xml:space="preserve">Ministra de Cultura de Colombia </w:t>
      </w:r>
    </w:p>
    <w:p w:rsidR="001D767D" w:rsidRPr="001D767D" w:rsidRDefault="001D767D" w:rsidP="001D767D">
      <w:pPr>
        <w:spacing w:after="19" w:line="259" w:lineRule="auto"/>
        <w:jc w:val="both"/>
        <w:rPr>
          <w:rFonts w:asciiTheme="minorHAnsi" w:hAnsiTheme="minorHAnsi"/>
          <w:sz w:val="22"/>
          <w:szCs w:val="22"/>
          <w:lang w:val="es-US"/>
        </w:rPr>
      </w:pPr>
      <w:r w:rsidRPr="001D767D">
        <w:rPr>
          <w:rFonts w:asciiTheme="minorHAnsi" w:hAnsiTheme="minorHAnsi"/>
          <w:sz w:val="22"/>
          <w:szCs w:val="22"/>
          <w:lang w:val="es-US"/>
        </w:rPr>
        <w:t xml:space="preserve"> </w:t>
      </w:r>
    </w:p>
    <w:p w:rsidR="001D767D" w:rsidRPr="001D767D" w:rsidRDefault="001D767D" w:rsidP="001D767D">
      <w:pPr>
        <w:ind w:left="-5"/>
        <w:jc w:val="both"/>
        <w:rPr>
          <w:rFonts w:asciiTheme="minorHAnsi" w:hAnsiTheme="minorHAnsi"/>
          <w:sz w:val="22"/>
          <w:szCs w:val="22"/>
          <w:lang w:val="es-US"/>
        </w:rPr>
      </w:pPr>
      <w:r w:rsidRPr="001D767D">
        <w:rPr>
          <w:rFonts w:asciiTheme="minorHAnsi" w:hAnsiTheme="minorHAnsi"/>
          <w:sz w:val="22"/>
          <w:szCs w:val="22"/>
          <w:lang w:val="es-US"/>
        </w:rPr>
        <w:t xml:space="preserve">Estimada señora: </w:t>
      </w:r>
    </w:p>
    <w:p w:rsidR="001D767D" w:rsidRPr="001D767D" w:rsidRDefault="001D767D" w:rsidP="001D767D">
      <w:pPr>
        <w:spacing w:after="19" w:line="259" w:lineRule="auto"/>
        <w:jc w:val="both"/>
        <w:rPr>
          <w:rFonts w:asciiTheme="minorHAnsi" w:hAnsiTheme="minorHAnsi"/>
          <w:sz w:val="22"/>
          <w:szCs w:val="22"/>
          <w:lang w:val="es-US"/>
        </w:rPr>
      </w:pPr>
      <w:r w:rsidRPr="001D767D">
        <w:rPr>
          <w:rFonts w:asciiTheme="minorHAnsi" w:hAnsiTheme="minorHAnsi"/>
          <w:sz w:val="22"/>
          <w:szCs w:val="22"/>
          <w:lang w:val="es-US"/>
        </w:rPr>
        <w:t xml:space="preserve"> </w:t>
      </w:r>
    </w:p>
    <w:p w:rsidR="001D767D" w:rsidRPr="001D767D" w:rsidRDefault="001D767D" w:rsidP="001D767D">
      <w:pPr>
        <w:ind w:left="-5"/>
        <w:jc w:val="both"/>
        <w:rPr>
          <w:rFonts w:asciiTheme="minorHAnsi" w:hAnsiTheme="minorHAnsi"/>
          <w:sz w:val="22"/>
          <w:szCs w:val="22"/>
          <w:lang w:val="es-US"/>
        </w:rPr>
      </w:pPr>
      <w:r w:rsidRPr="001D767D">
        <w:rPr>
          <w:rFonts w:asciiTheme="minorHAnsi" w:hAnsiTheme="minorHAnsi"/>
          <w:sz w:val="22"/>
          <w:szCs w:val="22"/>
          <w:lang w:val="es-US"/>
        </w:rPr>
        <w:t xml:space="preserve">Reciba un cordial saludo, en atención a la nota que ha sido extendida desde la Presidencia </w:t>
      </w:r>
      <w:proofErr w:type="spellStart"/>
      <w:r w:rsidRPr="001D767D">
        <w:rPr>
          <w:rFonts w:asciiTheme="minorHAnsi" w:hAnsiTheme="minorHAnsi"/>
          <w:sz w:val="22"/>
          <w:szCs w:val="22"/>
          <w:lang w:val="es-US"/>
        </w:rPr>
        <w:t>Pretempore</w:t>
      </w:r>
      <w:proofErr w:type="spellEnd"/>
      <w:r w:rsidRPr="001D767D">
        <w:rPr>
          <w:rFonts w:asciiTheme="minorHAnsi" w:hAnsiTheme="minorHAnsi"/>
          <w:sz w:val="22"/>
          <w:szCs w:val="22"/>
          <w:lang w:val="es-US"/>
        </w:rPr>
        <w:t xml:space="preserve"> de la Comisión Interamericana de Cultura a sus países miembros, agradecemos el material compartido, el cual sin duda permitirá robustecer las medidas adoptadas al sector cultura en el marco de la emergencia del COVID-19, tomando como referencia la experiencia de Colombia. </w:t>
      </w:r>
    </w:p>
    <w:p w:rsidR="001D767D" w:rsidRPr="001D767D" w:rsidRDefault="001D767D" w:rsidP="001D767D">
      <w:pPr>
        <w:spacing w:after="16" w:line="259" w:lineRule="auto"/>
        <w:jc w:val="both"/>
        <w:rPr>
          <w:rFonts w:asciiTheme="minorHAnsi" w:hAnsiTheme="minorHAnsi"/>
          <w:sz w:val="22"/>
          <w:szCs w:val="22"/>
          <w:lang w:val="es-US"/>
        </w:rPr>
      </w:pPr>
      <w:r w:rsidRPr="001D767D">
        <w:rPr>
          <w:rFonts w:asciiTheme="minorHAnsi" w:hAnsiTheme="minorHAnsi"/>
          <w:sz w:val="22"/>
          <w:szCs w:val="22"/>
          <w:lang w:val="es-US"/>
        </w:rPr>
        <w:t xml:space="preserve"> </w:t>
      </w:r>
    </w:p>
    <w:p w:rsidR="001D767D" w:rsidRPr="001D767D" w:rsidRDefault="001D767D" w:rsidP="001D767D">
      <w:pPr>
        <w:ind w:left="-5"/>
        <w:jc w:val="both"/>
        <w:rPr>
          <w:rFonts w:asciiTheme="minorHAnsi" w:hAnsiTheme="minorHAnsi"/>
          <w:sz w:val="22"/>
          <w:szCs w:val="22"/>
          <w:lang w:val="es-US"/>
        </w:rPr>
      </w:pPr>
      <w:r w:rsidRPr="001D767D">
        <w:rPr>
          <w:rFonts w:asciiTheme="minorHAnsi" w:hAnsiTheme="minorHAnsi"/>
          <w:sz w:val="22"/>
          <w:szCs w:val="22"/>
          <w:lang w:val="es-US"/>
        </w:rPr>
        <w:t xml:space="preserve">Ocupando Costa Rica la Vicepresidencia de la Comisión Interamericana de Cultura (OEA) en seguimiento a la declaración de Bridgetown 2019 “Fortalecimiento de la economía creativa y del sector cultural: Reposicionamiento del sector de la cultura para garantizar el desarrollo sostenible” y en nuestra condición de Ministerio rector de la cultura en Costa Rica, compartimos las acciones adoptadas para mitigar los efectos de la pandemia en el sector que nos ocupa. </w:t>
      </w:r>
    </w:p>
    <w:p w:rsidR="001D767D" w:rsidRPr="001D767D" w:rsidRDefault="001D767D" w:rsidP="001D767D">
      <w:pPr>
        <w:spacing w:after="60" w:line="259" w:lineRule="auto"/>
        <w:jc w:val="both"/>
        <w:rPr>
          <w:rFonts w:asciiTheme="minorHAnsi" w:hAnsiTheme="minorHAnsi"/>
          <w:sz w:val="22"/>
          <w:szCs w:val="22"/>
          <w:lang w:val="es-US"/>
        </w:rPr>
      </w:pPr>
      <w:r w:rsidRPr="001D767D">
        <w:rPr>
          <w:rFonts w:asciiTheme="minorHAnsi" w:hAnsiTheme="minorHAnsi"/>
          <w:sz w:val="22"/>
          <w:szCs w:val="22"/>
          <w:lang w:val="es-US"/>
        </w:rPr>
        <w:t xml:space="preserve"> </w:t>
      </w:r>
    </w:p>
    <w:p w:rsidR="001D767D" w:rsidRPr="001D767D" w:rsidRDefault="001D767D" w:rsidP="001D767D">
      <w:pPr>
        <w:tabs>
          <w:tab w:val="center" w:pos="775"/>
          <w:tab w:val="center" w:pos="2276"/>
        </w:tabs>
        <w:spacing w:after="27" w:line="259" w:lineRule="auto"/>
        <w:jc w:val="both"/>
        <w:rPr>
          <w:rFonts w:asciiTheme="minorHAnsi" w:hAnsiTheme="minorHAnsi"/>
          <w:sz w:val="22"/>
          <w:szCs w:val="22"/>
          <w:lang w:val="es-US"/>
        </w:rPr>
      </w:pPr>
      <w:r w:rsidRPr="001D767D">
        <w:rPr>
          <w:rFonts w:asciiTheme="minorHAnsi" w:eastAsia="Calibri" w:hAnsiTheme="minorHAnsi" w:cs="Calibri"/>
          <w:sz w:val="22"/>
          <w:szCs w:val="22"/>
          <w:lang w:val="es-US"/>
        </w:rPr>
        <w:tab/>
      </w:r>
      <w:r w:rsidRPr="001D767D">
        <w:rPr>
          <w:rFonts w:asciiTheme="minorHAnsi" w:eastAsia="Arial" w:hAnsiTheme="minorHAnsi" w:cs="Arial"/>
          <w:b/>
          <w:sz w:val="22"/>
          <w:szCs w:val="22"/>
          <w:lang w:val="es-US"/>
        </w:rPr>
        <w:t xml:space="preserve">I. </w:t>
      </w:r>
      <w:r w:rsidRPr="001D767D">
        <w:rPr>
          <w:rFonts w:asciiTheme="minorHAnsi" w:eastAsia="Arial" w:hAnsiTheme="minorHAnsi" w:cs="Arial"/>
          <w:b/>
          <w:sz w:val="22"/>
          <w:szCs w:val="22"/>
          <w:lang w:val="es-US"/>
        </w:rPr>
        <w:tab/>
        <w:t xml:space="preserve">Primera respuesta </w:t>
      </w:r>
    </w:p>
    <w:p w:rsidR="001D767D" w:rsidRPr="001D767D" w:rsidRDefault="001D767D" w:rsidP="001D767D">
      <w:pPr>
        <w:spacing w:after="19" w:line="259" w:lineRule="auto"/>
        <w:jc w:val="both"/>
        <w:rPr>
          <w:rFonts w:asciiTheme="minorHAnsi" w:hAnsiTheme="minorHAnsi"/>
          <w:sz w:val="22"/>
          <w:szCs w:val="22"/>
          <w:lang w:val="es-US"/>
        </w:rPr>
      </w:pPr>
      <w:r w:rsidRPr="001D767D">
        <w:rPr>
          <w:rFonts w:asciiTheme="minorHAnsi" w:hAnsiTheme="minorHAnsi"/>
          <w:sz w:val="22"/>
          <w:szCs w:val="22"/>
          <w:lang w:val="es-US"/>
        </w:rPr>
        <w:t xml:space="preserve"> </w:t>
      </w:r>
    </w:p>
    <w:p w:rsidR="001D767D" w:rsidRPr="001D767D" w:rsidRDefault="001D767D" w:rsidP="001D767D">
      <w:pPr>
        <w:ind w:left="-5"/>
        <w:jc w:val="both"/>
        <w:rPr>
          <w:rFonts w:asciiTheme="minorHAnsi" w:hAnsiTheme="minorHAnsi"/>
          <w:sz w:val="22"/>
          <w:szCs w:val="22"/>
          <w:lang w:val="es-US"/>
        </w:rPr>
      </w:pPr>
      <w:r w:rsidRPr="001D767D">
        <w:rPr>
          <w:rFonts w:asciiTheme="minorHAnsi" w:hAnsiTheme="minorHAnsi"/>
          <w:sz w:val="22"/>
          <w:szCs w:val="22"/>
          <w:lang w:val="es-US"/>
        </w:rPr>
        <w:t xml:space="preserve">En el devenir de la declaratoria de alerta y posterior emergencia, congruente con la declaratoria de pandemia declarada por la Organización Mundial de la Salud, el Gobierno de la República atendió la emergencia sanitaria y acciones ante las necesidades alimentarias que pudieran derivarse en lo inmediato mediante la instalación del Centro de Operaciones de Emergencia (COE), órgano operativo de la Comisión Nacional de Emergencias, responsable de promover y mantener la coordinación y la operación conjunta entre los diferentes niveles, jurisdicciones y funciones de las instituciones involucradas en el manejo y atención de emergencias y desastres en el país. </w:t>
      </w:r>
    </w:p>
    <w:p w:rsidR="001D767D" w:rsidRPr="001D767D" w:rsidRDefault="001D767D" w:rsidP="001D767D">
      <w:pPr>
        <w:spacing w:after="19" w:line="259" w:lineRule="auto"/>
        <w:jc w:val="both"/>
        <w:rPr>
          <w:rFonts w:asciiTheme="minorHAnsi" w:hAnsiTheme="minorHAnsi"/>
          <w:sz w:val="22"/>
          <w:szCs w:val="22"/>
          <w:lang w:val="es-US"/>
        </w:rPr>
      </w:pPr>
      <w:r w:rsidRPr="001D767D">
        <w:rPr>
          <w:rFonts w:asciiTheme="minorHAnsi" w:hAnsiTheme="minorHAnsi"/>
          <w:sz w:val="22"/>
          <w:szCs w:val="22"/>
          <w:lang w:val="es-US"/>
        </w:rPr>
        <w:t xml:space="preserve"> </w:t>
      </w:r>
    </w:p>
    <w:p w:rsidR="001D767D" w:rsidRPr="001D767D" w:rsidRDefault="001D767D" w:rsidP="001D767D">
      <w:pPr>
        <w:spacing w:after="116"/>
        <w:ind w:left="-5"/>
        <w:jc w:val="both"/>
        <w:rPr>
          <w:rFonts w:asciiTheme="minorHAnsi" w:hAnsiTheme="minorHAnsi"/>
          <w:sz w:val="22"/>
          <w:szCs w:val="22"/>
          <w:lang w:val="es-US"/>
        </w:rPr>
      </w:pPr>
      <w:r w:rsidRPr="001D767D">
        <w:rPr>
          <w:rFonts w:asciiTheme="minorHAnsi" w:hAnsiTheme="minorHAnsi"/>
          <w:sz w:val="22"/>
          <w:szCs w:val="22"/>
          <w:lang w:val="es-US"/>
        </w:rPr>
        <w:t xml:space="preserve">Desde dicha estructura formal, el Ministerio de Cultura y Juventud (MCJ) trabaja en la consolidación de diferentes mecanismos de atención a los efectos de la emergencia sanitaria para las personas trabajadoras de la cultura. Su actividad productiva, fue de las primeras afectadas por </w:t>
      </w:r>
    </w:p>
    <w:p w:rsidR="001D767D" w:rsidRPr="001D767D" w:rsidRDefault="001D767D" w:rsidP="001D767D">
      <w:pPr>
        <w:spacing w:line="259" w:lineRule="auto"/>
        <w:ind w:left="-661" w:right="-1981"/>
        <w:jc w:val="both"/>
        <w:rPr>
          <w:rFonts w:asciiTheme="minorHAnsi" w:hAnsiTheme="minorHAnsi"/>
          <w:sz w:val="22"/>
          <w:szCs w:val="22"/>
          <w:lang w:val="es-US"/>
        </w:rPr>
      </w:pPr>
      <w:r w:rsidRPr="001D767D">
        <w:rPr>
          <w:rFonts w:asciiTheme="minorHAnsi" w:eastAsia="Calibri" w:hAnsiTheme="minorHAnsi" w:cs="Calibri"/>
          <w:noProof/>
          <w:sz w:val="22"/>
          <w:szCs w:val="22"/>
        </w:rPr>
        <mc:AlternateContent>
          <mc:Choice Requires="wpg">
            <w:drawing>
              <wp:inline distT="0" distB="0" distL="0" distR="0" wp14:anchorId="563AC30C" wp14:editId="2759872A">
                <wp:extent cx="7162800" cy="28575"/>
                <wp:effectExtent l="0" t="0" r="0" b="0"/>
                <wp:docPr id="5318" name="Group 5318"/>
                <wp:cNvGraphicFramePr/>
                <a:graphic xmlns:a="http://schemas.openxmlformats.org/drawingml/2006/main">
                  <a:graphicData uri="http://schemas.microsoft.com/office/word/2010/wordprocessingGroup">
                    <wpg:wgp>
                      <wpg:cNvGrpSpPr/>
                      <wpg:grpSpPr>
                        <a:xfrm>
                          <a:off x="0" y="0"/>
                          <a:ext cx="7162800" cy="28575"/>
                          <a:chOff x="0" y="0"/>
                          <a:chExt cx="7162800" cy="28575"/>
                        </a:xfrm>
                      </wpg:grpSpPr>
                      <wps:wsp>
                        <wps:cNvPr id="42" name="Shape 42"/>
                        <wps:cNvSpPr/>
                        <wps:spPr>
                          <a:xfrm>
                            <a:off x="0" y="0"/>
                            <a:ext cx="7162800" cy="0"/>
                          </a:xfrm>
                          <a:custGeom>
                            <a:avLst/>
                            <a:gdLst/>
                            <a:ahLst/>
                            <a:cxnLst/>
                            <a:rect l="0" t="0" r="0" b="0"/>
                            <a:pathLst>
                              <a:path w="7162800">
                                <a:moveTo>
                                  <a:pt x="0" y="0"/>
                                </a:moveTo>
                                <a:lnTo>
                                  <a:pt x="7162800" y="0"/>
                                </a:lnTo>
                              </a:path>
                            </a:pathLst>
                          </a:custGeom>
                          <a:ln w="28575" cap="flat">
                            <a:round/>
                          </a:ln>
                        </wps:spPr>
                        <wps:style>
                          <a:lnRef idx="1">
                            <a:srgbClr val="FFC000"/>
                          </a:lnRef>
                          <a:fillRef idx="0">
                            <a:srgbClr val="000000">
                              <a:alpha val="0"/>
                            </a:srgbClr>
                          </a:fillRef>
                          <a:effectRef idx="0">
                            <a:scrgbClr r="0" g="0" b="0"/>
                          </a:effectRef>
                          <a:fontRef idx="none"/>
                        </wps:style>
                        <wps:bodyPr/>
                      </wps:wsp>
                    </wpg:wgp>
                  </a:graphicData>
                </a:graphic>
              </wp:inline>
            </w:drawing>
          </mc:Choice>
          <mc:Fallback>
            <w:pict>
              <v:group w14:anchorId="0CA35A89" id="Group 5318" o:spid="_x0000_s1026" style="width:564pt;height:2.25pt;mso-position-horizontal-relative:char;mso-position-vertical-relative:line" coordsize="71628,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">
                <v:shape id="Shape 42" o:spid="_x0000_s1027" style="position:absolute;width:71628;height:0;visibility:visible;mso-wrap-style:square;v-text-anchor:top" coordsize="716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" path="m,l7162800,e" filled="f" strokecolor="#ffc000" strokeweight="2.25pt">
                  <v:path arrowok="t" textboxrect="0,0,7162800,0"/>
                </v:shape>
                <w10:anchorlock/>
              </v:group>
            </w:pict>
          </mc:Fallback>
        </mc:AlternateContent>
      </w:r>
      <w:r w:rsidRPr="001D767D">
        <w:rPr>
          <w:rFonts w:asciiTheme="minorHAnsi" w:eastAsia="Arial" w:hAnsiTheme="minorHAnsi" w:cs="Arial"/>
          <w:b/>
          <w:i/>
          <w:color w:val="595959"/>
          <w:sz w:val="22"/>
          <w:szCs w:val="22"/>
          <w:lang w:val="es-US"/>
        </w:rPr>
        <w:t xml:space="preserve"> </w:t>
      </w:r>
    </w:p>
    <w:p w:rsidR="001D767D" w:rsidRPr="001D767D" w:rsidRDefault="001D767D" w:rsidP="001D767D">
      <w:pPr>
        <w:spacing w:line="259" w:lineRule="auto"/>
        <w:ind w:left="1145"/>
        <w:jc w:val="both"/>
        <w:rPr>
          <w:rFonts w:asciiTheme="minorHAnsi" w:hAnsiTheme="minorHAnsi"/>
          <w:sz w:val="22"/>
          <w:szCs w:val="22"/>
          <w:lang w:val="es-US"/>
        </w:rPr>
      </w:pPr>
      <w:r w:rsidRPr="001D767D">
        <w:rPr>
          <w:rFonts w:asciiTheme="minorHAnsi" w:eastAsia="Arial" w:hAnsiTheme="minorHAnsi" w:cs="Arial"/>
          <w:b/>
          <w:color w:val="595959"/>
          <w:sz w:val="22"/>
          <w:szCs w:val="22"/>
          <w:lang w:val="es-US"/>
        </w:rPr>
        <w:t>Costa Rica - Ministerio de Cultura y Juventud</w:t>
      </w:r>
      <w:r w:rsidRPr="001D767D">
        <w:rPr>
          <w:rFonts w:asciiTheme="minorHAnsi" w:hAnsiTheme="minorHAnsi"/>
          <w:color w:val="595959"/>
          <w:sz w:val="22"/>
          <w:szCs w:val="22"/>
          <w:lang w:val="es-US"/>
        </w:rPr>
        <w:t xml:space="preserve"> </w:t>
      </w:r>
    </w:p>
    <w:p w:rsidR="001D767D" w:rsidRPr="001D767D" w:rsidRDefault="001D767D" w:rsidP="001D767D">
      <w:pPr>
        <w:spacing w:line="259" w:lineRule="auto"/>
        <w:ind w:left="1140"/>
        <w:jc w:val="both"/>
        <w:rPr>
          <w:rFonts w:asciiTheme="minorHAnsi" w:hAnsiTheme="minorHAnsi"/>
          <w:sz w:val="22"/>
          <w:szCs w:val="22"/>
          <w:lang w:val="es-US"/>
        </w:rPr>
      </w:pPr>
      <w:r w:rsidRPr="001D767D">
        <w:rPr>
          <w:rFonts w:asciiTheme="minorHAnsi" w:hAnsiTheme="minorHAnsi"/>
          <w:color w:val="595959"/>
          <w:sz w:val="22"/>
          <w:szCs w:val="22"/>
          <w:lang w:val="es-US"/>
        </w:rPr>
        <w:t xml:space="preserve"> Despacho Ministra de Cultura y Juventud </w:t>
      </w:r>
    </w:p>
    <w:p w:rsidR="001D767D" w:rsidRPr="001D767D" w:rsidRDefault="001D767D" w:rsidP="001D767D">
      <w:pPr>
        <w:spacing w:line="259" w:lineRule="auto"/>
        <w:ind w:left="2451"/>
        <w:jc w:val="both"/>
        <w:rPr>
          <w:rFonts w:asciiTheme="minorHAnsi" w:hAnsiTheme="minorHAnsi"/>
          <w:sz w:val="22"/>
          <w:szCs w:val="22"/>
        </w:rPr>
      </w:pPr>
      <w:r w:rsidRPr="001D767D">
        <w:rPr>
          <w:rFonts w:asciiTheme="minorHAnsi" w:hAnsiTheme="minorHAnsi"/>
          <w:color w:val="595959"/>
          <w:sz w:val="22"/>
          <w:szCs w:val="22"/>
        </w:rPr>
        <w:t xml:space="preserve">Tel. (506) 2222-5003   Fax. (506) 2221-1759   Web: www.mcj.go.cr   </w:t>
      </w:r>
    </w:p>
    <w:p w:rsidR="001D767D" w:rsidRPr="000C1981" w:rsidRDefault="001D767D" w:rsidP="001D767D">
      <w:pPr>
        <w:spacing w:line="259" w:lineRule="auto"/>
        <w:ind w:left="1187"/>
        <w:jc w:val="both"/>
        <w:rPr>
          <w:rFonts w:asciiTheme="minorHAnsi" w:hAnsiTheme="minorHAnsi"/>
          <w:sz w:val="22"/>
          <w:szCs w:val="22"/>
          <w:lang w:val="es-US"/>
        </w:rPr>
      </w:pPr>
      <w:r w:rsidRPr="001D767D">
        <w:rPr>
          <w:rFonts w:asciiTheme="minorHAnsi" w:eastAsia="Arial" w:hAnsiTheme="minorHAnsi" w:cs="Arial"/>
          <w:i/>
          <w:color w:val="595959"/>
          <w:sz w:val="22"/>
          <w:szCs w:val="22"/>
        </w:rPr>
        <w:lastRenderedPageBreak/>
        <w:t xml:space="preserve"> </w:t>
      </w:r>
      <w:r w:rsidRPr="001D767D">
        <w:rPr>
          <w:rFonts w:asciiTheme="minorHAnsi" w:hAnsiTheme="minorHAnsi"/>
          <w:sz w:val="22"/>
          <w:szCs w:val="22"/>
          <w:lang w:val="es-US"/>
        </w:rPr>
        <w:t xml:space="preserve">la emergencia sanitaria COVID-19. En relación con la atención inmediata en esta fase de crisis, el MCJ: </w:t>
      </w:r>
    </w:p>
    <w:p w:rsidR="001D767D" w:rsidRPr="001D767D" w:rsidRDefault="001D767D" w:rsidP="001D767D">
      <w:pPr>
        <w:numPr>
          <w:ilvl w:val="0"/>
          <w:numId w:val="7"/>
        </w:numPr>
        <w:spacing w:after="50" w:line="267" w:lineRule="auto"/>
        <w:ind w:hanging="348"/>
        <w:jc w:val="both"/>
        <w:rPr>
          <w:rFonts w:asciiTheme="minorHAnsi" w:hAnsiTheme="minorHAnsi"/>
          <w:sz w:val="22"/>
          <w:szCs w:val="22"/>
          <w:lang w:val="es-US"/>
        </w:rPr>
      </w:pPr>
      <w:r w:rsidRPr="001D767D">
        <w:rPr>
          <w:rFonts w:asciiTheme="minorHAnsi" w:hAnsiTheme="minorHAnsi"/>
          <w:sz w:val="22"/>
          <w:szCs w:val="22"/>
          <w:lang w:val="es-US"/>
        </w:rPr>
        <w:t xml:space="preserve">Hemos sido un facilitador de soluciones a necesidades puntuales presentadas por diferentes miembros del sector que, de acuerdo con lo que manda la Ley y el Sistema Nacional de gestión de Crisis liderado por la Comisión Nacional de Emergencia y el Ministerio de Salud, se elevan las Mesas y los equipos técnicos del Comité de Operaciones de Emergencia (instancia que coordina la atención de la crisis).  </w:t>
      </w:r>
    </w:p>
    <w:p w:rsidR="001D767D" w:rsidRPr="001D767D" w:rsidRDefault="001D767D" w:rsidP="001D767D">
      <w:pPr>
        <w:numPr>
          <w:ilvl w:val="0"/>
          <w:numId w:val="7"/>
        </w:numPr>
        <w:spacing w:after="51" w:line="267" w:lineRule="auto"/>
        <w:ind w:hanging="348"/>
        <w:jc w:val="both"/>
        <w:rPr>
          <w:rFonts w:asciiTheme="minorHAnsi" w:hAnsiTheme="minorHAnsi"/>
          <w:sz w:val="22"/>
          <w:szCs w:val="22"/>
          <w:lang w:val="es-US"/>
        </w:rPr>
      </w:pPr>
      <w:r w:rsidRPr="001D767D">
        <w:rPr>
          <w:rFonts w:asciiTheme="minorHAnsi" w:hAnsiTheme="minorHAnsi"/>
          <w:sz w:val="22"/>
          <w:szCs w:val="22"/>
          <w:lang w:val="es-US"/>
        </w:rPr>
        <w:t>Orientó los esfuerzos hacia la caracterización y estimación del potencial sector beneficiario del Bono Proteger, a cargo del Ministerio de Trabajo y Seguridad Social y el Instituto Mixto de Ayuda Social, plan al cual también sumamos recursos mediante la modificación de presupuesto extraordinario que lidera el Ministerio de Hacienda. Este bono está dirigido a las personas trabajadores del país, cuyos ingresos se vieron reducidos como efecto de la pandemia, incluidas las personas despedidas o afectadas por suspensión temporal de contrato, por reducción de jornadas laborales o parálisis de su actividad como trabajador independiente formal, informal o temporal.</w:t>
      </w:r>
      <w:r w:rsidRPr="001D767D">
        <w:rPr>
          <w:rFonts w:asciiTheme="minorHAnsi" w:eastAsia="Arial" w:hAnsiTheme="minorHAnsi" w:cs="Arial"/>
          <w:sz w:val="22"/>
          <w:szCs w:val="22"/>
          <w:lang w:val="es-US"/>
        </w:rPr>
        <w:t> </w:t>
      </w:r>
      <w:r w:rsidRPr="001D767D">
        <w:rPr>
          <w:rFonts w:asciiTheme="minorHAnsi" w:hAnsiTheme="minorHAnsi"/>
          <w:sz w:val="22"/>
          <w:szCs w:val="22"/>
          <w:lang w:val="es-US"/>
        </w:rPr>
        <w:t xml:space="preserve">Como se ha socializado ampliamente con el sector cultural y artístico, los trabajadores de la cultura se incorporan dentro de esos perfiles al beneficio.  </w:t>
      </w:r>
    </w:p>
    <w:p w:rsidR="001D767D" w:rsidRPr="001D767D" w:rsidRDefault="001D767D" w:rsidP="001D767D">
      <w:pPr>
        <w:numPr>
          <w:ilvl w:val="0"/>
          <w:numId w:val="7"/>
        </w:numPr>
        <w:spacing w:after="50" w:line="267" w:lineRule="auto"/>
        <w:ind w:hanging="348"/>
        <w:jc w:val="both"/>
        <w:rPr>
          <w:rFonts w:asciiTheme="minorHAnsi" w:hAnsiTheme="minorHAnsi"/>
          <w:sz w:val="22"/>
          <w:szCs w:val="22"/>
          <w:lang w:val="es-US"/>
        </w:rPr>
      </w:pPr>
      <w:r w:rsidRPr="001D767D">
        <w:rPr>
          <w:rFonts w:asciiTheme="minorHAnsi" w:hAnsiTheme="minorHAnsi"/>
          <w:sz w:val="22"/>
          <w:szCs w:val="22"/>
          <w:lang w:val="es-US"/>
        </w:rPr>
        <w:t xml:space="preserve">Coordinamos con los temas que trata el Consejo Económico y que se encuentran en trámite en la Asamblea Legislativa, a saber, gestión de moratorias, dispensas, amnistías, de cargas tributarias, no tributarias, servicios públicos, arrendamientos y otros. Estos son temas comunes al conjunto del tejido productivo del país y de los distintos sectores que imponen una atención transversal.  </w:t>
      </w:r>
    </w:p>
    <w:p w:rsidR="001D767D" w:rsidRPr="001D767D" w:rsidRDefault="001D767D" w:rsidP="001D767D">
      <w:pPr>
        <w:numPr>
          <w:ilvl w:val="0"/>
          <w:numId w:val="7"/>
        </w:numPr>
        <w:spacing w:after="11" w:line="267" w:lineRule="auto"/>
        <w:ind w:hanging="348"/>
        <w:jc w:val="both"/>
        <w:rPr>
          <w:rFonts w:asciiTheme="minorHAnsi" w:hAnsiTheme="minorHAnsi"/>
          <w:sz w:val="22"/>
          <w:szCs w:val="22"/>
          <w:lang w:val="es-US"/>
        </w:rPr>
      </w:pPr>
      <w:r w:rsidRPr="001D767D">
        <w:rPr>
          <w:rFonts w:asciiTheme="minorHAnsi" w:hAnsiTheme="minorHAnsi"/>
          <w:sz w:val="22"/>
          <w:szCs w:val="22"/>
          <w:lang w:val="es-US"/>
        </w:rPr>
        <w:t xml:space="preserve">Lideró el diálogo con el sector, a través de censos, formularios virtuales y espacios interactivos de reunión, para documentar el impacto inmediato de la emergencia y generar los espacios de diálogo y sinergia para orientar la cultura como instrumento de resiliencia social en medio de las medidas de distanciamiento social dictadas por el Ministerio de Salud. </w:t>
      </w:r>
    </w:p>
    <w:p w:rsidR="001D767D" w:rsidRPr="001D767D" w:rsidRDefault="001D767D" w:rsidP="001D767D">
      <w:pPr>
        <w:spacing w:after="19" w:line="259" w:lineRule="auto"/>
        <w:jc w:val="both"/>
        <w:rPr>
          <w:rFonts w:asciiTheme="minorHAnsi" w:hAnsiTheme="minorHAnsi"/>
          <w:sz w:val="22"/>
          <w:szCs w:val="22"/>
          <w:lang w:val="es-US"/>
        </w:rPr>
      </w:pPr>
      <w:r w:rsidRPr="001D767D">
        <w:rPr>
          <w:rFonts w:asciiTheme="minorHAnsi" w:hAnsiTheme="minorHAnsi"/>
          <w:sz w:val="22"/>
          <w:szCs w:val="22"/>
          <w:lang w:val="es-US"/>
        </w:rPr>
        <w:t xml:space="preserve"> </w:t>
      </w:r>
    </w:p>
    <w:p w:rsidR="001D767D" w:rsidRPr="001D767D" w:rsidRDefault="001D767D" w:rsidP="001D767D">
      <w:pPr>
        <w:spacing w:after="50"/>
        <w:ind w:left="-5"/>
        <w:jc w:val="both"/>
        <w:rPr>
          <w:rFonts w:asciiTheme="minorHAnsi" w:hAnsiTheme="minorHAnsi"/>
          <w:sz w:val="22"/>
          <w:szCs w:val="22"/>
          <w:lang w:val="es-US"/>
        </w:rPr>
      </w:pPr>
      <w:r w:rsidRPr="001D767D">
        <w:rPr>
          <w:rFonts w:asciiTheme="minorHAnsi" w:hAnsiTheme="minorHAnsi"/>
          <w:sz w:val="22"/>
          <w:szCs w:val="22"/>
          <w:lang w:val="es-US"/>
        </w:rPr>
        <w:t xml:space="preserve">En el trabajo con nuestra Cuenta Satélite y el diálogo con el sector, determinamos como implicaciones de la emergencia sanitaria:  </w:t>
      </w:r>
    </w:p>
    <w:p w:rsidR="001D767D" w:rsidRPr="001D767D" w:rsidRDefault="001D767D" w:rsidP="001D767D">
      <w:pPr>
        <w:numPr>
          <w:ilvl w:val="0"/>
          <w:numId w:val="8"/>
        </w:numPr>
        <w:spacing w:after="45" w:line="267" w:lineRule="auto"/>
        <w:ind w:hanging="348"/>
        <w:jc w:val="both"/>
        <w:rPr>
          <w:rFonts w:asciiTheme="minorHAnsi" w:hAnsiTheme="minorHAnsi"/>
          <w:sz w:val="22"/>
          <w:szCs w:val="22"/>
          <w:lang w:val="es-US"/>
        </w:rPr>
      </w:pPr>
      <w:r w:rsidRPr="001D767D">
        <w:rPr>
          <w:rFonts w:asciiTheme="minorHAnsi" w:hAnsiTheme="minorHAnsi"/>
          <w:sz w:val="22"/>
          <w:szCs w:val="22"/>
          <w:lang w:val="es-US"/>
        </w:rPr>
        <w:t>Las afectaciones de tipo económico, como impacto inmediato, con ocasión de la reducción de ingresos derivada de cancelaciones de actividades, suspensión de contratos, pérdida de empleo, cierres de locales y otras restricciones sanitarias dictadas en resguardo de la vida y la salud de toda la población. Otras afectaciones están relacionadas con la capacidad disminuida de cumplir con las obligaciones con el Estado (impuestos, seguros), los servicios públicos, la imposibilidad de hacer frente a deudas y créditos.</w:t>
      </w:r>
      <w:r w:rsidRPr="001D767D">
        <w:rPr>
          <w:rFonts w:asciiTheme="minorHAnsi" w:eastAsia="Arial" w:hAnsiTheme="minorHAnsi" w:cs="Arial"/>
          <w:sz w:val="22"/>
          <w:szCs w:val="22"/>
          <w:lang w:val="es-US"/>
        </w:rPr>
        <w:t> </w:t>
      </w:r>
      <w:r w:rsidRPr="001D767D">
        <w:rPr>
          <w:rFonts w:asciiTheme="minorHAnsi" w:hAnsiTheme="minorHAnsi"/>
          <w:sz w:val="22"/>
          <w:szCs w:val="22"/>
          <w:lang w:val="es-US"/>
        </w:rPr>
        <w:t xml:space="preserve">   </w:t>
      </w:r>
    </w:p>
    <w:p w:rsidR="001D767D" w:rsidRPr="001D767D" w:rsidRDefault="001D767D" w:rsidP="001D767D">
      <w:pPr>
        <w:numPr>
          <w:ilvl w:val="0"/>
          <w:numId w:val="8"/>
        </w:numPr>
        <w:spacing w:after="50" w:line="267" w:lineRule="auto"/>
        <w:ind w:hanging="348"/>
        <w:jc w:val="both"/>
        <w:rPr>
          <w:rFonts w:asciiTheme="minorHAnsi" w:hAnsiTheme="minorHAnsi"/>
          <w:sz w:val="22"/>
          <w:szCs w:val="22"/>
          <w:lang w:val="es-US"/>
        </w:rPr>
      </w:pPr>
      <w:r w:rsidRPr="001D767D">
        <w:rPr>
          <w:rFonts w:asciiTheme="minorHAnsi" w:hAnsiTheme="minorHAnsi"/>
          <w:sz w:val="22"/>
          <w:szCs w:val="22"/>
          <w:lang w:val="es-US"/>
        </w:rPr>
        <w:t xml:space="preserve">En términos laborales, tomando en consideración tanto a personas trabajadoras de la cultura (trabajadores independientes, temporales, formales e informales), así como aquellas personas que se encuentran en condición de pobreza (4.000 aprox.), se estima una potencial afectación de manera directa e indirecta sobre 10.000 personas del sector.   </w:t>
      </w:r>
    </w:p>
    <w:p w:rsidR="001D767D" w:rsidRPr="001D767D" w:rsidRDefault="001D767D" w:rsidP="001D767D">
      <w:pPr>
        <w:numPr>
          <w:ilvl w:val="0"/>
          <w:numId w:val="8"/>
        </w:numPr>
        <w:spacing w:after="11" w:line="267" w:lineRule="auto"/>
        <w:ind w:hanging="348"/>
        <w:jc w:val="both"/>
        <w:rPr>
          <w:rFonts w:asciiTheme="minorHAnsi" w:hAnsiTheme="minorHAnsi"/>
          <w:sz w:val="22"/>
          <w:szCs w:val="22"/>
          <w:lang w:val="es-US"/>
        </w:rPr>
      </w:pPr>
      <w:r w:rsidRPr="001D767D">
        <w:rPr>
          <w:rFonts w:asciiTheme="minorHAnsi" w:hAnsiTheme="minorHAnsi"/>
          <w:sz w:val="22"/>
          <w:szCs w:val="22"/>
          <w:lang w:val="es-US"/>
        </w:rPr>
        <w:lastRenderedPageBreak/>
        <w:t>Si la parálisis del sector se prolonga por tres meses, el impacto económico directo para la cultura en Costa Rica sería de 0,1 por ciento del Producto Interno Bruto, es decir, aproximadamente US$70 millones.</w:t>
      </w:r>
      <w:r w:rsidRPr="001D767D">
        <w:rPr>
          <w:rFonts w:asciiTheme="minorHAnsi" w:eastAsia="Arial" w:hAnsiTheme="minorHAnsi" w:cs="Arial"/>
          <w:sz w:val="22"/>
          <w:szCs w:val="22"/>
          <w:lang w:val="es-US"/>
        </w:rPr>
        <w:t>  </w:t>
      </w:r>
      <w:r w:rsidRPr="001D767D">
        <w:rPr>
          <w:rFonts w:asciiTheme="minorHAnsi" w:hAnsiTheme="minorHAnsi"/>
          <w:sz w:val="22"/>
          <w:szCs w:val="22"/>
          <w:lang w:val="es-US"/>
        </w:rPr>
        <w:t xml:space="preserve">  </w:t>
      </w:r>
    </w:p>
    <w:p w:rsidR="001D767D" w:rsidRPr="001D767D" w:rsidRDefault="001D767D" w:rsidP="006B1277">
      <w:pPr>
        <w:spacing w:after="19" w:line="259" w:lineRule="auto"/>
        <w:jc w:val="both"/>
        <w:rPr>
          <w:rFonts w:asciiTheme="minorHAnsi" w:hAnsiTheme="minorHAnsi"/>
          <w:sz w:val="22"/>
          <w:szCs w:val="22"/>
          <w:lang w:val="es-US"/>
        </w:rPr>
      </w:pPr>
      <w:r w:rsidRPr="001D767D">
        <w:rPr>
          <w:rFonts w:asciiTheme="minorHAnsi" w:hAnsiTheme="minorHAnsi"/>
          <w:sz w:val="22"/>
          <w:szCs w:val="22"/>
          <w:lang w:val="es-US"/>
        </w:rPr>
        <w:t xml:space="preserve"> </w:t>
      </w:r>
    </w:p>
    <w:p w:rsidR="001D767D" w:rsidRPr="001D767D" w:rsidRDefault="001D767D" w:rsidP="001D767D">
      <w:pPr>
        <w:tabs>
          <w:tab w:val="center" w:pos="803"/>
          <w:tab w:val="center" w:pos="4704"/>
        </w:tabs>
        <w:spacing w:after="27" w:line="259" w:lineRule="auto"/>
        <w:jc w:val="both"/>
        <w:rPr>
          <w:rFonts w:asciiTheme="minorHAnsi" w:hAnsiTheme="minorHAnsi"/>
          <w:sz w:val="22"/>
          <w:szCs w:val="22"/>
          <w:lang w:val="es-US"/>
        </w:rPr>
      </w:pPr>
      <w:r w:rsidRPr="001D767D">
        <w:rPr>
          <w:rFonts w:asciiTheme="minorHAnsi" w:eastAsia="Calibri" w:hAnsiTheme="minorHAnsi" w:cs="Calibri"/>
          <w:sz w:val="22"/>
          <w:szCs w:val="22"/>
          <w:lang w:val="es-US"/>
        </w:rPr>
        <w:tab/>
      </w:r>
      <w:r w:rsidRPr="001D767D">
        <w:rPr>
          <w:rFonts w:asciiTheme="minorHAnsi" w:eastAsia="Arial" w:hAnsiTheme="minorHAnsi" w:cs="Arial"/>
          <w:b/>
          <w:sz w:val="22"/>
          <w:szCs w:val="22"/>
          <w:lang w:val="es-US"/>
        </w:rPr>
        <w:t xml:space="preserve">II. </w:t>
      </w:r>
      <w:r w:rsidRPr="001D767D">
        <w:rPr>
          <w:rFonts w:asciiTheme="minorHAnsi" w:eastAsia="Arial" w:hAnsiTheme="minorHAnsi" w:cs="Arial"/>
          <w:b/>
          <w:sz w:val="22"/>
          <w:szCs w:val="22"/>
          <w:lang w:val="es-US"/>
        </w:rPr>
        <w:tab/>
        <w:t xml:space="preserve">Preparación para la fase de transición y recuperación (post COVID-19)  </w:t>
      </w:r>
    </w:p>
    <w:p w:rsidR="001D767D" w:rsidRPr="001D767D" w:rsidRDefault="001D767D" w:rsidP="001D767D">
      <w:pPr>
        <w:spacing w:after="19" w:line="259" w:lineRule="auto"/>
        <w:jc w:val="both"/>
        <w:rPr>
          <w:rFonts w:asciiTheme="minorHAnsi" w:hAnsiTheme="minorHAnsi"/>
          <w:sz w:val="22"/>
          <w:szCs w:val="22"/>
          <w:lang w:val="es-US"/>
        </w:rPr>
      </w:pPr>
      <w:r w:rsidRPr="001D767D">
        <w:rPr>
          <w:rFonts w:asciiTheme="minorHAnsi" w:hAnsiTheme="minorHAnsi"/>
          <w:sz w:val="22"/>
          <w:szCs w:val="22"/>
          <w:lang w:val="es-US"/>
        </w:rPr>
        <w:t xml:space="preserve"> </w:t>
      </w:r>
    </w:p>
    <w:p w:rsidR="001D767D" w:rsidRPr="001D767D" w:rsidRDefault="001D767D" w:rsidP="001D767D">
      <w:pPr>
        <w:spacing w:after="51"/>
        <w:ind w:left="-5"/>
        <w:jc w:val="both"/>
        <w:rPr>
          <w:rFonts w:asciiTheme="minorHAnsi" w:hAnsiTheme="minorHAnsi"/>
          <w:sz w:val="22"/>
          <w:szCs w:val="22"/>
          <w:lang w:val="es-US"/>
        </w:rPr>
      </w:pPr>
      <w:r w:rsidRPr="001D767D">
        <w:rPr>
          <w:rFonts w:asciiTheme="minorHAnsi" w:hAnsiTheme="minorHAnsi"/>
          <w:sz w:val="22"/>
          <w:szCs w:val="22"/>
          <w:lang w:val="es-US"/>
        </w:rPr>
        <w:t xml:space="preserve">Con base en los datos anteriores, nos encontramos habilitando mecanismos de apoyo al sector y a los procesos de virtualización de sus contenidos, mediante la definición de alianzas público </w:t>
      </w:r>
      <w:proofErr w:type="spellStart"/>
      <w:r w:rsidRPr="001D767D">
        <w:rPr>
          <w:rFonts w:asciiTheme="minorHAnsi" w:hAnsiTheme="minorHAnsi"/>
          <w:sz w:val="22"/>
          <w:szCs w:val="22"/>
          <w:lang w:val="es-US"/>
        </w:rPr>
        <w:t>público</w:t>
      </w:r>
      <w:proofErr w:type="spellEnd"/>
      <w:r w:rsidRPr="001D767D">
        <w:rPr>
          <w:rFonts w:asciiTheme="minorHAnsi" w:hAnsiTheme="minorHAnsi"/>
          <w:sz w:val="22"/>
          <w:szCs w:val="22"/>
          <w:lang w:val="es-US"/>
        </w:rPr>
        <w:t xml:space="preserve"> y público – privado, que aseguren elementos de: </w:t>
      </w:r>
    </w:p>
    <w:p w:rsidR="001D767D" w:rsidRPr="001D767D" w:rsidRDefault="001D767D" w:rsidP="001D767D">
      <w:pPr>
        <w:numPr>
          <w:ilvl w:val="0"/>
          <w:numId w:val="9"/>
        </w:numPr>
        <w:spacing w:after="50" w:line="267" w:lineRule="auto"/>
        <w:ind w:hanging="348"/>
        <w:jc w:val="both"/>
        <w:rPr>
          <w:rFonts w:asciiTheme="minorHAnsi" w:hAnsiTheme="minorHAnsi"/>
          <w:sz w:val="22"/>
          <w:szCs w:val="22"/>
          <w:lang w:val="es-US"/>
        </w:rPr>
      </w:pPr>
      <w:r w:rsidRPr="001D767D">
        <w:rPr>
          <w:rFonts w:asciiTheme="minorHAnsi" w:hAnsiTheme="minorHAnsi"/>
          <w:sz w:val="22"/>
          <w:szCs w:val="22"/>
          <w:lang w:val="es-US"/>
        </w:rPr>
        <w:t xml:space="preserve">Fomento y producción de actividades, bienes y servicios culturales, a través de la reconversión solidaria de algunos fondos de fomento y estímulo que tenemos presupuestados para el 2020 y, dada la coyuntura de restricciones sanitarias y el llamado solidario de atender los efectos de la emergencia por COVID-19, nuestros equipos técnicos trabajan en los mecanismos e instrumentos temporales y de orden excepcional (a propósito de COVID-19) para minimizar la pérdida de la capacidad productiva del sector y propiciar condiciones de encadenamiento, gestión cultural y la apuesta de la cultura al servicio de la resiliencia social en el marco del distanciamiento social que nos protege de contagios masivos y consecuencias mayores.  </w:t>
      </w:r>
    </w:p>
    <w:p w:rsidR="001D767D" w:rsidRPr="001D767D" w:rsidRDefault="001D767D" w:rsidP="001D767D">
      <w:pPr>
        <w:numPr>
          <w:ilvl w:val="0"/>
          <w:numId w:val="9"/>
        </w:numPr>
        <w:spacing w:after="50" w:line="267" w:lineRule="auto"/>
        <w:ind w:hanging="348"/>
        <w:jc w:val="both"/>
        <w:rPr>
          <w:rFonts w:asciiTheme="minorHAnsi" w:hAnsiTheme="minorHAnsi"/>
          <w:sz w:val="22"/>
          <w:szCs w:val="22"/>
          <w:lang w:val="es-US"/>
        </w:rPr>
      </w:pPr>
      <w:r w:rsidRPr="001D767D">
        <w:rPr>
          <w:rFonts w:asciiTheme="minorHAnsi" w:hAnsiTheme="minorHAnsi"/>
          <w:sz w:val="22"/>
          <w:szCs w:val="22"/>
          <w:lang w:val="es-US"/>
        </w:rPr>
        <w:t xml:space="preserve">Capacitación para la activación productiva en coordinación con instituciones rectoras y competentes en su campo de acción, como el Instituto Nacional de Aprendizaje, el Sistema de Banca para el Desarrollo, el Ministerio de Economía, Industria y Comercio, entre otros. </w:t>
      </w:r>
    </w:p>
    <w:p w:rsidR="001D767D" w:rsidRPr="006B1277" w:rsidRDefault="001D767D" w:rsidP="006B1277">
      <w:pPr>
        <w:numPr>
          <w:ilvl w:val="0"/>
          <w:numId w:val="9"/>
        </w:numPr>
        <w:spacing w:after="48" w:line="216" w:lineRule="auto"/>
        <w:ind w:left="730" w:hanging="348"/>
        <w:jc w:val="both"/>
        <w:rPr>
          <w:rFonts w:asciiTheme="minorHAnsi" w:hAnsiTheme="minorHAnsi"/>
          <w:sz w:val="22"/>
          <w:szCs w:val="22"/>
          <w:lang w:val="es-US"/>
        </w:rPr>
      </w:pPr>
      <w:r w:rsidRPr="006B1277">
        <w:rPr>
          <w:rFonts w:asciiTheme="minorHAnsi" w:hAnsiTheme="minorHAnsi"/>
          <w:sz w:val="22"/>
          <w:szCs w:val="22"/>
          <w:lang w:val="es-US"/>
        </w:rPr>
        <w:t xml:space="preserve">Diseño de una agenda de reprogramación de la mayor cantidad de actividades de concentración masiva que han sido suspendidas hasta setiembre (por disposición sanitaria vigente a la fecha de este oficio), de modo que contribuyamos a la dinamización de la escena tras la restricción sanitaria impuesta sobre los eventos masivos, para lo cual se realizan mesas de trabajo y protocolos de confianza para la recuperación de espacios presenciales. </w:t>
      </w:r>
    </w:p>
    <w:p w:rsidR="001D767D" w:rsidRPr="001D767D" w:rsidRDefault="001D767D" w:rsidP="001D767D">
      <w:pPr>
        <w:numPr>
          <w:ilvl w:val="0"/>
          <w:numId w:val="9"/>
        </w:numPr>
        <w:spacing w:after="51" w:line="267" w:lineRule="auto"/>
        <w:ind w:hanging="348"/>
        <w:jc w:val="both"/>
        <w:rPr>
          <w:rFonts w:asciiTheme="minorHAnsi" w:hAnsiTheme="minorHAnsi"/>
          <w:sz w:val="22"/>
          <w:szCs w:val="22"/>
          <w:lang w:val="es-US"/>
        </w:rPr>
      </w:pPr>
      <w:r w:rsidRPr="001D767D">
        <w:rPr>
          <w:rFonts w:asciiTheme="minorHAnsi" w:hAnsiTheme="minorHAnsi"/>
          <w:sz w:val="22"/>
          <w:szCs w:val="22"/>
          <w:lang w:val="es-US"/>
        </w:rPr>
        <w:t xml:space="preserve">Acompañamiento a micro y pequeñas empresas para la resiliencia. Se exploran opciones de acompañamiento interinstitucional a las micro y pequeñas empresas culturales con operaciones afectadas por el efecto COVID19, en atención a su fragilidad y joven desarrollo formal, en coordinación con instancias rectoras y facilitadoras de la materia.  </w:t>
      </w:r>
    </w:p>
    <w:p w:rsidR="001D767D" w:rsidRPr="001D767D" w:rsidRDefault="001D767D" w:rsidP="001D767D">
      <w:pPr>
        <w:numPr>
          <w:ilvl w:val="0"/>
          <w:numId w:val="9"/>
        </w:numPr>
        <w:spacing w:after="50" w:line="267" w:lineRule="auto"/>
        <w:ind w:hanging="348"/>
        <w:jc w:val="both"/>
        <w:rPr>
          <w:rFonts w:asciiTheme="minorHAnsi" w:hAnsiTheme="minorHAnsi"/>
          <w:sz w:val="22"/>
          <w:szCs w:val="22"/>
          <w:lang w:val="es-US"/>
        </w:rPr>
      </w:pPr>
      <w:r w:rsidRPr="001D767D">
        <w:rPr>
          <w:rFonts w:asciiTheme="minorHAnsi" w:hAnsiTheme="minorHAnsi"/>
          <w:sz w:val="22"/>
          <w:szCs w:val="22"/>
          <w:lang w:val="es-US"/>
        </w:rPr>
        <w:t xml:space="preserve">Estrategias de comercialización virtual para artesanía, diseño, artes visuales y sector editorial. Valoración por parte de un grupo de expertos, de alternativas para la comercialización virtual para estos sectores y acercamientos con Ministerio de Economía, Industria y Comercio y Correos de Costa Rica (tarifa </w:t>
      </w:r>
      <w:proofErr w:type="spellStart"/>
      <w:r w:rsidRPr="001D767D">
        <w:rPr>
          <w:rFonts w:asciiTheme="minorHAnsi" w:hAnsiTheme="minorHAnsi"/>
          <w:sz w:val="22"/>
          <w:szCs w:val="22"/>
          <w:lang w:val="es-US"/>
        </w:rPr>
        <w:t>PyMES</w:t>
      </w:r>
      <w:proofErr w:type="spellEnd"/>
      <w:r w:rsidRPr="001D767D">
        <w:rPr>
          <w:rFonts w:asciiTheme="minorHAnsi" w:hAnsiTheme="minorHAnsi"/>
          <w:sz w:val="22"/>
          <w:szCs w:val="22"/>
          <w:lang w:val="es-US"/>
        </w:rPr>
        <w:t xml:space="preserve"> para la distribución) para esta tarea, así como la gestión inicial ante patrocinadores.  </w:t>
      </w:r>
    </w:p>
    <w:p w:rsidR="001D767D" w:rsidRPr="001D767D" w:rsidRDefault="001D767D" w:rsidP="001D767D">
      <w:pPr>
        <w:numPr>
          <w:ilvl w:val="0"/>
          <w:numId w:val="9"/>
        </w:numPr>
        <w:spacing w:after="50" w:line="267" w:lineRule="auto"/>
        <w:ind w:hanging="348"/>
        <w:jc w:val="both"/>
        <w:rPr>
          <w:rFonts w:asciiTheme="minorHAnsi" w:hAnsiTheme="minorHAnsi"/>
          <w:sz w:val="22"/>
          <w:szCs w:val="22"/>
          <w:lang w:val="es-US"/>
        </w:rPr>
      </w:pPr>
      <w:r w:rsidRPr="001D767D">
        <w:rPr>
          <w:rFonts w:asciiTheme="minorHAnsi" w:hAnsiTheme="minorHAnsi"/>
          <w:sz w:val="22"/>
          <w:szCs w:val="22"/>
          <w:lang w:val="es-US"/>
        </w:rPr>
        <w:t xml:space="preserve">Alineamiento de la implementación de la Estrategia Nacional “Costa Rica Creativa y Cultural 2030” y las mesas sectoriales previstas en el Decreto Ejecutivo N°42148, en el marco de la situación COVID-19: a) Escénicas (artes vivas: danza, música, teatro); b) Audiovisual (cine, documental, animación digital, videojuego, nuevos formatos); c) Visual (artes visuales, diseño, y editorial) y d) Territorio (desarrollo local a partir de identidades, prácticas y productos locales distintivos), como espacio de trabajo en coordinación con el Ministerio de Economía Industria y Comercio, Ministerio de Ciencia, Tecnología y Telecomunicaciones, la Promotora </w:t>
      </w:r>
      <w:r w:rsidRPr="001D767D">
        <w:rPr>
          <w:rFonts w:asciiTheme="minorHAnsi" w:hAnsiTheme="minorHAnsi"/>
          <w:sz w:val="22"/>
          <w:szCs w:val="22"/>
          <w:lang w:val="es-US"/>
        </w:rPr>
        <w:lastRenderedPageBreak/>
        <w:t xml:space="preserve">de Comercio Exterior y el Sistema de Banca para el Desarrollo e Instituto Nacional de Aprendizaje.  </w:t>
      </w:r>
    </w:p>
    <w:p w:rsidR="001D767D" w:rsidRPr="001D767D" w:rsidRDefault="001D767D" w:rsidP="001D767D">
      <w:pPr>
        <w:numPr>
          <w:ilvl w:val="0"/>
          <w:numId w:val="9"/>
        </w:numPr>
        <w:spacing w:after="51" w:line="267" w:lineRule="auto"/>
        <w:ind w:hanging="348"/>
        <w:jc w:val="both"/>
        <w:rPr>
          <w:rFonts w:asciiTheme="minorHAnsi" w:hAnsiTheme="minorHAnsi"/>
          <w:sz w:val="22"/>
          <w:szCs w:val="22"/>
          <w:lang w:val="es-US"/>
        </w:rPr>
      </w:pPr>
      <w:r w:rsidRPr="001D767D">
        <w:rPr>
          <w:rFonts w:asciiTheme="minorHAnsi" w:hAnsiTheme="minorHAnsi"/>
          <w:sz w:val="22"/>
          <w:szCs w:val="22"/>
          <w:lang w:val="es-US"/>
        </w:rPr>
        <w:t xml:space="preserve">Creación de espacios de colaboración con el sector cultura y sus representantes, así como la academia. Muestra de ello es el proceso colaborativo en que han participado la Asociación de Compositores y Autores Musicales de Costa Rica, Asociación de Grupos Independientes de Teatro Profesional, Asociación de Intérpretes y Ejecutantes Musicales de Costa Rica, Arte Escénico Costa Rica, Circuito de Teatros, Consorcio Audiovisual, Consorcio de Animación Digital, </w:t>
      </w:r>
      <w:proofErr w:type="spellStart"/>
      <w:r w:rsidRPr="001D767D">
        <w:rPr>
          <w:rFonts w:asciiTheme="minorHAnsi" w:hAnsiTheme="minorHAnsi"/>
          <w:sz w:val="22"/>
          <w:szCs w:val="22"/>
          <w:lang w:val="es-US"/>
        </w:rPr>
        <w:t>Fundakur</w:t>
      </w:r>
      <w:proofErr w:type="spellEnd"/>
      <w:r w:rsidRPr="001D767D">
        <w:rPr>
          <w:rFonts w:asciiTheme="minorHAnsi" w:hAnsiTheme="minorHAnsi"/>
          <w:sz w:val="22"/>
          <w:szCs w:val="22"/>
          <w:lang w:val="es-US"/>
        </w:rPr>
        <w:t xml:space="preserve">, Grupos independientes de Bandas Musicales, Plataforma del Sector Cultura, Red de Cultura Inter Municipal Costa Rica (RECIM), y la Unión de Trabajadores de la Música.  </w:t>
      </w:r>
    </w:p>
    <w:p w:rsidR="001D767D" w:rsidRPr="001D767D" w:rsidRDefault="001D767D" w:rsidP="001D767D">
      <w:pPr>
        <w:numPr>
          <w:ilvl w:val="0"/>
          <w:numId w:val="9"/>
        </w:numPr>
        <w:spacing w:after="50" w:line="267" w:lineRule="auto"/>
        <w:ind w:hanging="348"/>
        <w:jc w:val="both"/>
        <w:rPr>
          <w:rFonts w:asciiTheme="minorHAnsi" w:hAnsiTheme="minorHAnsi"/>
          <w:sz w:val="22"/>
          <w:szCs w:val="22"/>
          <w:lang w:val="es-US"/>
        </w:rPr>
      </w:pPr>
      <w:r w:rsidRPr="001D767D">
        <w:rPr>
          <w:rFonts w:asciiTheme="minorHAnsi" w:hAnsiTheme="minorHAnsi"/>
          <w:sz w:val="22"/>
          <w:szCs w:val="22"/>
          <w:lang w:val="es-US"/>
        </w:rPr>
        <w:t xml:space="preserve">Apoyo del sector académico, se invitó a las instancias de la Escuela de Cultura y Deportes y la Casa Cultural Amón del Instituto Tecnológico de Costa Rica; la Escuela de Artes Dramáticas y la Facultad de Artes de la Universidad de Costa Rica; y a la Escuela de Música y la Escuela de Arte Escénico de la Universidad Nacional.  </w:t>
      </w:r>
    </w:p>
    <w:p w:rsidR="001D767D" w:rsidRPr="001D767D" w:rsidRDefault="001D767D" w:rsidP="001D767D">
      <w:pPr>
        <w:numPr>
          <w:ilvl w:val="0"/>
          <w:numId w:val="9"/>
        </w:numPr>
        <w:spacing w:after="11" w:line="267" w:lineRule="auto"/>
        <w:ind w:hanging="348"/>
        <w:jc w:val="both"/>
        <w:rPr>
          <w:rFonts w:asciiTheme="minorHAnsi" w:hAnsiTheme="minorHAnsi"/>
          <w:sz w:val="22"/>
          <w:szCs w:val="22"/>
          <w:lang w:val="es-US"/>
        </w:rPr>
      </w:pPr>
      <w:r w:rsidRPr="001D767D">
        <w:rPr>
          <w:rFonts w:asciiTheme="minorHAnsi" w:hAnsiTheme="minorHAnsi"/>
          <w:sz w:val="22"/>
          <w:szCs w:val="22"/>
          <w:lang w:val="es-US"/>
        </w:rPr>
        <w:t xml:space="preserve">Recuperación de las iniciativas a cargo de sociedad civil cuyas preocupaciones, soluciones posibles y colaboraciones de diferente orden, en espacios constructivos, han permitido reuniones virtual con más de 200 miembros del sector que acudieron al llamado y que además sumaron iniciativas mediante dos formularios habilitados para ello (“Buenas prácticas del Sector cultural” y “Acciones y estrategias de mitigación de impacto articuladas entre Sociedad Civil y MCJD-COVID-19”, como mecanismos facilitadores para identificar soluciones oportunas y pertinentes requeridas por el sector ante la coyuntura actual. sumadas todas al proceso de diseño creativo y solidario que nos convoca para atender las necesidades urgentes, la activación económica posible y la posterior fase de rehabilitación.  </w:t>
      </w:r>
    </w:p>
    <w:p w:rsidR="006B1277" w:rsidRDefault="006B1277" w:rsidP="006B1277">
      <w:pPr>
        <w:spacing w:after="19" w:line="259" w:lineRule="auto"/>
        <w:jc w:val="both"/>
        <w:rPr>
          <w:rFonts w:asciiTheme="minorHAnsi" w:hAnsiTheme="minorHAnsi"/>
          <w:sz w:val="22"/>
          <w:szCs w:val="22"/>
          <w:lang w:val="es-US"/>
        </w:rPr>
      </w:pPr>
    </w:p>
    <w:p w:rsidR="006B1277" w:rsidRDefault="001D767D" w:rsidP="006B1277">
      <w:pPr>
        <w:spacing w:after="19" w:line="259" w:lineRule="auto"/>
        <w:jc w:val="both"/>
        <w:rPr>
          <w:rFonts w:asciiTheme="minorHAnsi" w:hAnsiTheme="minorHAnsi"/>
          <w:sz w:val="22"/>
          <w:szCs w:val="22"/>
          <w:lang w:val="es-US"/>
        </w:rPr>
      </w:pPr>
      <w:r w:rsidRPr="001D767D">
        <w:rPr>
          <w:rFonts w:asciiTheme="minorHAnsi" w:hAnsiTheme="minorHAnsi"/>
          <w:sz w:val="22"/>
          <w:szCs w:val="22"/>
          <w:lang w:val="es-US"/>
        </w:rPr>
        <w:t>En complemento de lo indicado, sírvase a encontrar adjunto el material que ha elaborado la institución como parte de los insumos de acción y decisión para atender los efectos de la emergencia sanitaria. Dicho material consta de un Resumen Ejecutivo y dos cuadernillos que relatan las principales medidas adoptadas desde nuestra instancia para atender al sector cultura y juventud ante la emergencia sanitaria.</w:t>
      </w:r>
    </w:p>
    <w:p w:rsidR="006B1277" w:rsidRDefault="006B1277" w:rsidP="006B1277">
      <w:pPr>
        <w:spacing w:after="19" w:line="259" w:lineRule="auto"/>
        <w:jc w:val="both"/>
        <w:rPr>
          <w:rFonts w:asciiTheme="minorHAnsi" w:hAnsiTheme="minorHAnsi"/>
          <w:sz w:val="22"/>
          <w:szCs w:val="22"/>
          <w:lang w:val="es-US"/>
        </w:rPr>
      </w:pPr>
    </w:p>
    <w:p w:rsidR="001D767D" w:rsidRPr="001D767D" w:rsidRDefault="001D767D" w:rsidP="001D767D">
      <w:pPr>
        <w:ind w:left="-5"/>
        <w:jc w:val="both"/>
        <w:rPr>
          <w:rFonts w:asciiTheme="minorHAnsi" w:hAnsiTheme="minorHAnsi"/>
          <w:sz w:val="22"/>
          <w:szCs w:val="22"/>
          <w:lang w:val="es-US"/>
        </w:rPr>
      </w:pPr>
      <w:r w:rsidRPr="001D767D">
        <w:rPr>
          <w:rFonts w:asciiTheme="minorHAnsi" w:hAnsiTheme="minorHAnsi"/>
          <w:sz w:val="22"/>
          <w:szCs w:val="22"/>
          <w:lang w:val="es-US"/>
        </w:rPr>
        <w:t xml:space="preserve">Agradeciendo la atención a la presente. </w:t>
      </w:r>
    </w:p>
    <w:p w:rsidR="006B1277" w:rsidRDefault="006B1277" w:rsidP="006B1277">
      <w:pPr>
        <w:spacing w:after="19" w:line="259" w:lineRule="auto"/>
        <w:jc w:val="both"/>
        <w:rPr>
          <w:rFonts w:asciiTheme="minorHAnsi" w:hAnsiTheme="minorHAnsi"/>
          <w:sz w:val="22"/>
          <w:szCs w:val="22"/>
          <w:lang w:val="es-US"/>
        </w:rPr>
      </w:pPr>
    </w:p>
    <w:p w:rsidR="001D767D" w:rsidRPr="001D767D" w:rsidRDefault="001D767D" w:rsidP="006B1277">
      <w:pPr>
        <w:spacing w:after="19" w:line="259" w:lineRule="auto"/>
        <w:jc w:val="both"/>
        <w:rPr>
          <w:rFonts w:asciiTheme="minorHAnsi" w:hAnsiTheme="minorHAnsi"/>
          <w:sz w:val="22"/>
          <w:szCs w:val="22"/>
          <w:lang w:val="es-US"/>
        </w:rPr>
      </w:pPr>
      <w:r w:rsidRPr="001D767D">
        <w:rPr>
          <w:rFonts w:asciiTheme="minorHAnsi" w:hAnsiTheme="minorHAnsi"/>
          <w:sz w:val="22"/>
          <w:szCs w:val="22"/>
          <w:lang w:val="es-US"/>
        </w:rPr>
        <w:t xml:space="preserve">Cordialmente, </w:t>
      </w:r>
    </w:p>
    <w:p w:rsidR="001D767D" w:rsidRPr="001D767D" w:rsidRDefault="001D767D" w:rsidP="006B1277">
      <w:pPr>
        <w:spacing w:after="19" w:line="259" w:lineRule="auto"/>
        <w:jc w:val="both"/>
        <w:rPr>
          <w:rFonts w:asciiTheme="minorHAnsi" w:hAnsiTheme="minorHAnsi"/>
          <w:sz w:val="22"/>
          <w:szCs w:val="22"/>
          <w:lang w:val="es-US"/>
        </w:rPr>
      </w:pPr>
    </w:p>
    <w:p w:rsidR="001D767D" w:rsidRPr="001D767D" w:rsidRDefault="001D767D" w:rsidP="001D767D">
      <w:pPr>
        <w:tabs>
          <w:tab w:val="center" w:pos="2833"/>
          <w:tab w:val="center" w:pos="3541"/>
          <w:tab w:val="center" w:pos="4249"/>
          <w:tab w:val="center" w:pos="5954"/>
        </w:tabs>
        <w:spacing w:after="39"/>
        <w:ind w:left="-15"/>
        <w:jc w:val="both"/>
        <w:rPr>
          <w:rFonts w:asciiTheme="minorHAnsi" w:hAnsiTheme="minorHAnsi"/>
          <w:sz w:val="22"/>
          <w:szCs w:val="22"/>
          <w:lang w:val="es-US"/>
        </w:rPr>
      </w:pPr>
      <w:proofErr w:type="spellStart"/>
      <w:r w:rsidRPr="001D767D">
        <w:rPr>
          <w:rFonts w:asciiTheme="minorHAnsi" w:hAnsiTheme="minorHAnsi"/>
          <w:sz w:val="22"/>
          <w:szCs w:val="22"/>
          <w:lang w:val="es-US"/>
        </w:rPr>
        <w:t>Sylvie</w:t>
      </w:r>
      <w:proofErr w:type="spellEnd"/>
      <w:r w:rsidRPr="001D767D">
        <w:rPr>
          <w:rFonts w:asciiTheme="minorHAnsi" w:hAnsiTheme="minorHAnsi"/>
          <w:sz w:val="22"/>
          <w:szCs w:val="22"/>
          <w:lang w:val="es-US"/>
        </w:rPr>
        <w:t xml:space="preserve"> Durán Salvatierra </w:t>
      </w:r>
      <w:r w:rsidRPr="001D767D">
        <w:rPr>
          <w:rFonts w:asciiTheme="minorHAnsi" w:hAnsiTheme="minorHAnsi"/>
          <w:sz w:val="22"/>
          <w:szCs w:val="22"/>
          <w:lang w:val="es-US"/>
        </w:rPr>
        <w:tab/>
        <w:t xml:space="preserve"> </w:t>
      </w:r>
      <w:r w:rsidRPr="001D767D">
        <w:rPr>
          <w:rFonts w:asciiTheme="minorHAnsi" w:hAnsiTheme="minorHAnsi"/>
          <w:sz w:val="22"/>
          <w:szCs w:val="22"/>
          <w:lang w:val="es-US"/>
        </w:rPr>
        <w:tab/>
        <w:t xml:space="preserve"> </w:t>
      </w:r>
      <w:r w:rsidRPr="001D767D">
        <w:rPr>
          <w:rFonts w:asciiTheme="minorHAnsi" w:hAnsiTheme="minorHAnsi"/>
          <w:sz w:val="22"/>
          <w:szCs w:val="22"/>
          <w:lang w:val="es-US"/>
        </w:rPr>
        <w:tab/>
        <w:t xml:space="preserve"> </w:t>
      </w:r>
      <w:r w:rsidRPr="001D767D">
        <w:rPr>
          <w:rFonts w:asciiTheme="minorHAnsi" w:hAnsiTheme="minorHAnsi"/>
          <w:sz w:val="22"/>
          <w:szCs w:val="22"/>
          <w:lang w:val="es-US"/>
        </w:rPr>
        <w:tab/>
      </w:r>
      <w:proofErr w:type="spellStart"/>
      <w:r w:rsidRPr="001D767D">
        <w:rPr>
          <w:rFonts w:asciiTheme="minorHAnsi" w:hAnsiTheme="minorHAnsi"/>
          <w:sz w:val="22"/>
          <w:szCs w:val="22"/>
          <w:lang w:val="es-US"/>
        </w:rPr>
        <w:t>Loida</w:t>
      </w:r>
      <w:proofErr w:type="spellEnd"/>
      <w:r w:rsidRPr="001D767D">
        <w:rPr>
          <w:rFonts w:asciiTheme="minorHAnsi" w:hAnsiTheme="minorHAnsi"/>
          <w:sz w:val="22"/>
          <w:szCs w:val="22"/>
          <w:lang w:val="es-US"/>
        </w:rPr>
        <w:t xml:space="preserve"> </w:t>
      </w:r>
      <w:proofErr w:type="spellStart"/>
      <w:r w:rsidRPr="001D767D">
        <w:rPr>
          <w:rFonts w:asciiTheme="minorHAnsi" w:hAnsiTheme="minorHAnsi"/>
          <w:sz w:val="22"/>
          <w:szCs w:val="22"/>
          <w:lang w:val="es-US"/>
        </w:rPr>
        <w:t>Pretiz</w:t>
      </w:r>
      <w:proofErr w:type="spellEnd"/>
      <w:r w:rsidRPr="001D767D">
        <w:rPr>
          <w:rFonts w:asciiTheme="minorHAnsi" w:hAnsiTheme="minorHAnsi"/>
          <w:sz w:val="22"/>
          <w:szCs w:val="22"/>
          <w:lang w:val="es-US"/>
        </w:rPr>
        <w:t xml:space="preserve"> Beaumont </w:t>
      </w:r>
    </w:p>
    <w:p w:rsidR="001D767D" w:rsidRPr="001D767D" w:rsidRDefault="001D767D" w:rsidP="001D767D">
      <w:pPr>
        <w:tabs>
          <w:tab w:val="center" w:pos="3541"/>
          <w:tab w:val="center" w:pos="4249"/>
          <w:tab w:val="center" w:pos="5976"/>
        </w:tabs>
        <w:ind w:left="-15"/>
        <w:jc w:val="both"/>
        <w:rPr>
          <w:rFonts w:asciiTheme="minorHAnsi" w:hAnsiTheme="minorHAnsi"/>
          <w:sz w:val="22"/>
          <w:szCs w:val="22"/>
          <w:lang w:val="es-US"/>
        </w:rPr>
      </w:pPr>
      <w:r w:rsidRPr="001D767D">
        <w:rPr>
          <w:rFonts w:asciiTheme="minorHAnsi" w:hAnsiTheme="minorHAnsi"/>
          <w:sz w:val="22"/>
          <w:szCs w:val="22"/>
          <w:lang w:val="es-US"/>
        </w:rPr>
        <w:t xml:space="preserve">Ministra de Cultura y </w:t>
      </w:r>
      <w:proofErr w:type="gramStart"/>
      <w:r w:rsidRPr="001D767D">
        <w:rPr>
          <w:rFonts w:asciiTheme="minorHAnsi" w:hAnsiTheme="minorHAnsi"/>
          <w:sz w:val="22"/>
          <w:szCs w:val="22"/>
          <w:lang w:val="es-US"/>
        </w:rPr>
        <w:t xml:space="preserve">Juventud  </w:t>
      </w:r>
      <w:r w:rsidRPr="001D767D">
        <w:rPr>
          <w:rFonts w:asciiTheme="minorHAnsi" w:hAnsiTheme="minorHAnsi"/>
          <w:sz w:val="22"/>
          <w:szCs w:val="22"/>
          <w:lang w:val="es-US"/>
        </w:rPr>
        <w:tab/>
      </w:r>
      <w:proofErr w:type="gramEnd"/>
      <w:r w:rsidRPr="001D767D">
        <w:rPr>
          <w:rFonts w:asciiTheme="minorHAnsi" w:hAnsiTheme="minorHAnsi"/>
          <w:sz w:val="22"/>
          <w:szCs w:val="22"/>
          <w:lang w:val="es-US"/>
        </w:rPr>
        <w:t xml:space="preserve"> </w:t>
      </w:r>
      <w:r w:rsidRPr="001D767D">
        <w:rPr>
          <w:rFonts w:asciiTheme="minorHAnsi" w:hAnsiTheme="minorHAnsi"/>
          <w:sz w:val="22"/>
          <w:szCs w:val="22"/>
          <w:lang w:val="es-US"/>
        </w:rPr>
        <w:tab/>
        <w:t xml:space="preserve"> </w:t>
      </w:r>
      <w:r w:rsidRPr="001D767D">
        <w:rPr>
          <w:rFonts w:asciiTheme="minorHAnsi" w:hAnsiTheme="minorHAnsi"/>
          <w:sz w:val="22"/>
          <w:szCs w:val="22"/>
          <w:lang w:val="es-US"/>
        </w:rPr>
        <w:tab/>
        <w:t xml:space="preserve">Viceministra de Cultura  </w:t>
      </w:r>
    </w:p>
    <w:p w:rsidR="001D767D" w:rsidRPr="001D767D" w:rsidRDefault="001D767D" w:rsidP="001D767D">
      <w:pPr>
        <w:spacing w:line="259" w:lineRule="auto"/>
        <w:jc w:val="both"/>
        <w:rPr>
          <w:rFonts w:asciiTheme="minorHAnsi" w:hAnsiTheme="minorHAnsi"/>
          <w:sz w:val="22"/>
          <w:szCs w:val="22"/>
          <w:lang w:val="es-US"/>
        </w:rPr>
      </w:pPr>
    </w:p>
    <w:p w:rsidR="001D767D" w:rsidRPr="001D767D" w:rsidRDefault="001D767D" w:rsidP="001D767D">
      <w:pPr>
        <w:spacing w:line="248" w:lineRule="auto"/>
        <w:ind w:left="-5" w:right="71"/>
        <w:jc w:val="both"/>
        <w:rPr>
          <w:rFonts w:asciiTheme="minorHAnsi" w:hAnsiTheme="minorHAnsi"/>
          <w:sz w:val="22"/>
          <w:szCs w:val="22"/>
          <w:lang w:val="es-US"/>
        </w:rPr>
      </w:pPr>
      <w:r w:rsidRPr="001D767D">
        <w:rPr>
          <w:rFonts w:asciiTheme="minorHAnsi" w:hAnsiTheme="minorHAnsi"/>
          <w:sz w:val="22"/>
          <w:szCs w:val="22"/>
          <w:lang w:val="es-US"/>
        </w:rPr>
        <w:t xml:space="preserve">c.c. Carol Viviana Arce Echeverría, Departamento de Organismos Internacionales. Ministerio de Relaciones Exteriores y Culto de Costa Rica         Laura Pizarro-Viales, Ministra Consejera. Misión Permanente de CR ante la OEA </w:t>
      </w:r>
    </w:p>
    <w:p w:rsidR="001D767D" w:rsidRDefault="001D767D" w:rsidP="001D767D">
      <w:pPr>
        <w:tabs>
          <w:tab w:val="center" w:pos="1758"/>
        </w:tabs>
        <w:spacing w:line="248" w:lineRule="auto"/>
        <w:ind w:left="-15"/>
        <w:jc w:val="both"/>
        <w:rPr>
          <w:rFonts w:asciiTheme="minorHAnsi" w:hAnsiTheme="minorHAnsi"/>
          <w:sz w:val="22"/>
          <w:szCs w:val="22"/>
          <w:lang w:val="es-US"/>
        </w:rPr>
      </w:pPr>
      <w:r w:rsidRPr="001D767D">
        <w:rPr>
          <w:rFonts w:asciiTheme="minorHAnsi" w:hAnsiTheme="minorHAnsi"/>
          <w:sz w:val="22"/>
          <w:szCs w:val="22"/>
          <w:lang w:val="es-US"/>
        </w:rPr>
        <w:t xml:space="preserve"> </w:t>
      </w:r>
      <w:r w:rsidRPr="001D767D">
        <w:rPr>
          <w:rFonts w:asciiTheme="minorHAnsi" w:hAnsiTheme="minorHAnsi"/>
          <w:sz w:val="22"/>
          <w:szCs w:val="22"/>
          <w:lang w:val="es-US"/>
        </w:rPr>
        <w:tab/>
        <w:t xml:space="preserve">Karina Castro, Unidad de Economía y Cultura </w:t>
      </w:r>
    </w:p>
    <w:p w:rsidR="00910B21" w:rsidRPr="00910B21" w:rsidRDefault="001D767D" w:rsidP="00910B21">
      <w:pPr>
        <w:rPr>
          <w:color w:val="1F497D"/>
          <w:lang w:val="es-US"/>
        </w:rPr>
      </w:pPr>
      <w:r>
        <w:rPr>
          <w:rFonts w:asciiTheme="minorHAnsi" w:hAnsiTheme="minorHAnsi"/>
          <w:sz w:val="22"/>
          <w:szCs w:val="22"/>
          <w:lang w:val="es-US"/>
        </w:rPr>
        <w:br w:type="page"/>
      </w:r>
      <w:r w:rsidR="006B1277">
        <w:rPr>
          <w:rFonts w:asciiTheme="minorHAnsi" w:hAnsiTheme="minorHAnsi"/>
          <w:sz w:val="22"/>
          <w:szCs w:val="22"/>
          <w:lang w:val="es-US"/>
        </w:rPr>
        <w:lastRenderedPageBreak/>
        <w:t>R</w:t>
      </w:r>
      <w:r>
        <w:rPr>
          <w:rFonts w:asciiTheme="minorHAnsi" w:eastAsia="Calibri" w:hAnsiTheme="minorHAnsi"/>
          <w:caps/>
          <w:sz w:val="22"/>
          <w:szCs w:val="22"/>
          <w:lang w:val="es-US"/>
        </w:rPr>
        <w:t>ESUMEN EJECUTIVO:</w:t>
      </w:r>
      <w:r w:rsidR="00910B21" w:rsidRPr="00910B21">
        <w:rPr>
          <w:lang w:val="es-US"/>
        </w:rPr>
        <w:t xml:space="preserve"> </w:t>
      </w:r>
      <w:hyperlink r:id="rId9" w:history="1">
        <w:r w:rsidR="00910B21" w:rsidRPr="00910B21">
          <w:rPr>
            <w:rStyle w:val="Hyperlink"/>
            <w:lang w:val="es-US"/>
          </w:rPr>
          <w:t>http://scm.oas.org/pdfs/2020/CRRESUMENEJECUTIVO.pdf</w:t>
        </w:r>
      </w:hyperlink>
      <w:r w:rsidR="00910B21" w:rsidRPr="00910B21">
        <w:rPr>
          <w:color w:val="1F497D"/>
          <w:lang w:val="es-US"/>
        </w:rPr>
        <w:t xml:space="preserve"> </w:t>
      </w:r>
    </w:p>
    <w:p w:rsidR="001D767D" w:rsidRDefault="001D767D" w:rsidP="001D767D">
      <w:pPr>
        <w:tabs>
          <w:tab w:val="center" w:pos="1758"/>
        </w:tabs>
        <w:spacing w:line="248" w:lineRule="auto"/>
        <w:ind w:left="-15"/>
        <w:jc w:val="both"/>
        <w:rPr>
          <w:rFonts w:asciiTheme="minorHAnsi" w:eastAsia="Calibri" w:hAnsiTheme="minorHAnsi"/>
          <w:caps/>
          <w:sz w:val="22"/>
          <w:szCs w:val="22"/>
          <w:lang w:val="es-US"/>
        </w:rPr>
      </w:pPr>
    </w:p>
    <w:p w:rsidR="001D767D" w:rsidRDefault="001D767D" w:rsidP="001D767D">
      <w:pPr>
        <w:tabs>
          <w:tab w:val="center" w:pos="1758"/>
        </w:tabs>
        <w:spacing w:line="248" w:lineRule="auto"/>
        <w:ind w:left="-15"/>
        <w:jc w:val="both"/>
        <w:rPr>
          <w:rFonts w:asciiTheme="minorHAnsi" w:eastAsia="Calibri" w:hAnsiTheme="minorHAnsi"/>
          <w:caps/>
          <w:sz w:val="22"/>
          <w:szCs w:val="22"/>
          <w:lang w:val="es-US"/>
        </w:rPr>
      </w:pPr>
    </w:p>
    <w:p w:rsidR="00910B21" w:rsidRPr="00910B21" w:rsidRDefault="001D767D" w:rsidP="00910B21">
      <w:pPr>
        <w:rPr>
          <w:color w:val="1F497D"/>
          <w:lang w:val="es-US"/>
        </w:rPr>
      </w:pPr>
      <w:r>
        <w:rPr>
          <w:rFonts w:asciiTheme="minorHAnsi" w:eastAsia="Calibri" w:hAnsiTheme="minorHAnsi"/>
          <w:caps/>
          <w:sz w:val="22"/>
          <w:szCs w:val="22"/>
          <w:lang w:val="es-US"/>
        </w:rPr>
        <w:t>CUADERNILLO 1:</w:t>
      </w:r>
      <w:r w:rsidR="00910B21" w:rsidRPr="00910B21">
        <w:rPr>
          <w:lang w:val="es-US"/>
        </w:rPr>
        <w:t xml:space="preserve"> </w:t>
      </w:r>
      <w:hyperlink r:id="rId10" w:history="1">
        <w:r w:rsidR="00910B21" w:rsidRPr="00910B21">
          <w:rPr>
            <w:rStyle w:val="Hyperlink"/>
            <w:lang w:val="es-US"/>
          </w:rPr>
          <w:t>http://scm.oas.org/pdfs/2020/CRCUADERNILLO1.pdf</w:t>
        </w:r>
      </w:hyperlink>
      <w:r w:rsidR="00910B21" w:rsidRPr="00910B21">
        <w:rPr>
          <w:color w:val="1F497D"/>
          <w:lang w:val="es-US"/>
        </w:rPr>
        <w:t xml:space="preserve"> </w:t>
      </w:r>
    </w:p>
    <w:p w:rsidR="001D767D" w:rsidRDefault="001D767D" w:rsidP="001D767D">
      <w:pPr>
        <w:tabs>
          <w:tab w:val="center" w:pos="1758"/>
        </w:tabs>
        <w:spacing w:line="248" w:lineRule="auto"/>
        <w:ind w:left="-15"/>
        <w:jc w:val="both"/>
        <w:rPr>
          <w:rFonts w:asciiTheme="minorHAnsi" w:eastAsia="Calibri" w:hAnsiTheme="minorHAnsi"/>
          <w:caps/>
          <w:sz w:val="22"/>
          <w:szCs w:val="22"/>
          <w:lang w:val="es-US"/>
        </w:rPr>
      </w:pPr>
    </w:p>
    <w:p w:rsidR="001D767D" w:rsidRDefault="001D767D" w:rsidP="001D767D">
      <w:pPr>
        <w:tabs>
          <w:tab w:val="center" w:pos="1758"/>
        </w:tabs>
        <w:spacing w:line="248" w:lineRule="auto"/>
        <w:ind w:left="-15"/>
        <w:jc w:val="both"/>
        <w:rPr>
          <w:rFonts w:asciiTheme="minorHAnsi" w:eastAsia="Calibri" w:hAnsiTheme="minorHAnsi"/>
          <w:caps/>
          <w:sz w:val="22"/>
          <w:szCs w:val="22"/>
          <w:lang w:val="es-US"/>
        </w:rPr>
      </w:pPr>
    </w:p>
    <w:p w:rsidR="00910B21" w:rsidRPr="00910B21" w:rsidRDefault="001D767D" w:rsidP="00910B21">
      <w:pPr>
        <w:rPr>
          <w:color w:val="1F497D"/>
          <w:lang w:val="es-US"/>
        </w:rPr>
      </w:pPr>
      <w:r>
        <w:rPr>
          <w:rFonts w:asciiTheme="minorHAnsi" w:eastAsia="Calibri" w:hAnsiTheme="minorHAnsi"/>
          <w:caps/>
          <w:sz w:val="22"/>
          <w:szCs w:val="22"/>
          <w:lang w:val="es-US"/>
        </w:rPr>
        <w:t xml:space="preserve">CUADERNILLO 2: </w:t>
      </w:r>
      <w:hyperlink r:id="rId11" w:history="1">
        <w:r w:rsidR="00910B21" w:rsidRPr="00910B21">
          <w:rPr>
            <w:rStyle w:val="Hyperlink"/>
            <w:lang w:val="es-US"/>
          </w:rPr>
          <w:t>http://scm.oas.org/pdfs/2020/CRCUADERNILLO2.pdf</w:t>
        </w:r>
      </w:hyperlink>
      <w:r w:rsidR="00910B21" w:rsidRPr="00910B21">
        <w:rPr>
          <w:color w:val="1F497D"/>
          <w:lang w:val="es-US"/>
        </w:rPr>
        <w:t xml:space="preserve"> </w:t>
      </w:r>
    </w:p>
    <w:p w:rsidR="001D767D" w:rsidRPr="001D767D" w:rsidRDefault="0091303E" w:rsidP="001D767D">
      <w:pPr>
        <w:tabs>
          <w:tab w:val="center" w:pos="1758"/>
        </w:tabs>
        <w:spacing w:line="248" w:lineRule="auto"/>
        <w:ind w:left="-15"/>
        <w:jc w:val="both"/>
        <w:rPr>
          <w:rFonts w:asciiTheme="minorHAnsi" w:eastAsia="Calibri" w:hAnsiTheme="minorHAnsi"/>
          <w:caps/>
          <w:sz w:val="22"/>
          <w:szCs w:val="22"/>
          <w:lang w:val="es-US"/>
        </w:rPr>
      </w:pPr>
      <w:r>
        <w:rPr>
          <w:rFonts w:asciiTheme="minorHAnsi" w:eastAsia="Calibri" w:hAnsiTheme="minorHAnsi"/>
          <w:caps/>
          <w:noProof/>
          <w:sz w:val="22"/>
          <w:szCs w:val="22"/>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91303E" w:rsidRPr="0091303E" w:rsidRDefault="0091303E">
                            <w:pPr>
                              <w:rPr>
                                <w:sz w:val="18"/>
                              </w:rPr>
                            </w:pPr>
                            <w:r>
                              <w:rPr>
                                <w:sz w:val="18"/>
                              </w:rPr>
                              <w:fldChar w:fldCharType="begin"/>
                            </w:r>
                            <w:r>
                              <w:rPr>
                                <w:sz w:val="18"/>
                              </w:rPr>
                              <w:instrText xml:space="preserve"> FILENAME  \* MERGEFORMAT </w:instrText>
                            </w:r>
                            <w:r>
                              <w:rPr>
                                <w:sz w:val="18"/>
                              </w:rPr>
                              <w:fldChar w:fldCharType="separate"/>
                            </w:r>
                            <w:r>
                              <w:rPr>
                                <w:noProof/>
                                <w:sz w:val="18"/>
                              </w:rPr>
                              <w:t>CIDRP02864T01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ofgIAAAI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nnofgIA&#10;AAIFAAAOAAAAAAAAAAAAAAAAAC4CAABkcnMvZTJvRG9jLnhtbFBLAQItABQABgAIAAAAIQC/IMDX&#10;3wAAAA0BAAAPAAAAAAAAAAAAAAAAANgEAABkcnMvZG93bnJldi54bWxQSwUGAAAAAAQABADzAAAA&#10;5AUAAAAA&#10;" filled="f" stroked="f">
                <v:stroke joinstyle="round"/>
                <v:path arrowok="t"/>
                <v:textbox>
                  <w:txbxContent>
                    <w:p w:rsidR="0091303E" w:rsidRPr="0091303E" w:rsidRDefault="0091303E">
                      <w:pPr>
                        <w:rPr>
                          <w:sz w:val="18"/>
                        </w:rPr>
                      </w:pPr>
                      <w:r>
                        <w:rPr>
                          <w:sz w:val="18"/>
                        </w:rPr>
                        <w:fldChar w:fldCharType="begin"/>
                      </w:r>
                      <w:r>
                        <w:rPr>
                          <w:sz w:val="18"/>
                        </w:rPr>
                        <w:instrText xml:space="preserve"> FILENAME  \* MERGEFORMAT </w:instrText>
                      </w:r>
                      <w:r>
                        <w:rPr>
                          <w:sz w:val="18"/>
                        </w:rPr>
                        <w:fldChar w:fldCharType="separate"/>
                      </w:r>
                      <w:r>
                        <w:rPr>
                          <w:noProof/>
                          <w:sz w:val="18"/>
                        </w:rPr>
                        <w:t>CIDRP02864T01</w:t>
                      </w:r>
                      <w:r>
                        <w:rPr>
                          <w:sz w:val="18"/>
                        </w:rPr>
                        <w:fldChar w:fldCharType="end"/>
                      </w:r>
                    </w:p>
                  </w:txbxContent>
                </v:textbox>
                <w10:wrap anchory="page"/>
                <w10:anchorlock/>
              </v:shape>
            </w:pict>
          </mc:Fallback>
        </mc:AlternateContent>
      </w:r>
    </w:p>
    <w:sectPr w:rsidR="001D767D" w:rsidRPr="001D767D" w:rsidSect="00A870BA">
      <w:headerReference w:type="default" r:id="rId12"/>
      <w:headerReference w:type="first" r:id="rId13"/>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086" w:rsidRDefault="00395086">
      <w:r>
        <w:separator/>
      </w:r>
    </w:p>
  </w:endnote>
  <w:endnote w:type="continuationSeparator" w:id="0">
    <w:p w:rsidR="00395086" w:rsidRDefault="0039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086" w:rsidRDefault="00395086">
      <w:r>
        <w:separator/>
      </w:r>
    </w:p>
  </w:footnote>
  <w:footnote w:type="continuationSeparator" w:id="0">
    <w:p w:rsidR="00395086" w:rsidRDefault="00395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0E" w:rsidRDefault="0073480E">
    <w:pPr>
      <w:pStyle w:val="Header"/>
      <w:jc w:val="center"/>
    </w:pPr>
    <w:r>
      <w:fldChar w:fldCharType="begin"/>
    </w:r>
    <w:r>
      <w:instrText xml:space="preserve"> PAGE   \* MERGEFORMAT </w:instrText>
    </w:r>
    <w:r>
      <w:fldChar w:fldCharType="separate"/>
    </w:r>
    <w:r w:rsidR="0017420C">
      <w:rPr>
        <w:noProof/>
      </w:rPr>
      <w:t>- 6 -</w:t>
    </w:r>
    <w:r>
      <w:rPr>
        <w:noProof/>
      </w:rPr>
      <w:fldChar w:fldCharType="end"/>
    </w:r>
  </w:p>
  <w:p w:rsidR="0073480E" w:rsidRDefault="0073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0E" w:rsidRDefault="002F5285">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440690</wp:posOffset>
              </wp:positionH>
              <wp:positionV relativeFrom="paragraph">
                <wp:posOffset>-501650</wp:posOffset>
              </wp:positionV>
              <wp:extent cx="4728845" cy="84328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1E9E" w:rsidRPr="00133A15" w:rsidRDefault="00921E9E" w:rsidP="00921E9E">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rsidR="00921E9E" w:rsidRPr="00133A15" w:rsidRDefault="00921E9E" w:rsidP="00921E9E">
                          <w:pPr>
                            <w:pStyle w:val="Header"/>
                            <w:tabs>
                              <w:tab w:val="left" w:pos="900"/>
                            </w:tabs>
                            <w:spacing w:line="0" w:lineRule="atLeast"/>
                            <w:jc w:val="center"/>
                            <w:rPr>
                              <w:rFonts w:ascii="Garamond" w:hAnsi="Garamond"/>
                              <w:b/>
                              <w:szCs w:val="22"/>
                              <w:lang w:val="es-CO"/>
                            </w:rPr>
                          </w:pPr>
                          <w:r w:rsidRPr="00133A15">
                            <w:rPr>
                              <w:rFonts w:ascii="Garamond" w:hAnsi="Garamond"/>
                              <w:b/>
                              <w:szCs w:val="22"/>
                              <w:lang w:val="es-CO"/>
                            </w:rPr>
                            <w:t xml:space="preserve">Consejo Interamericano para el Desarrollo Integral </w:t>
                          </w:r>
                        </w:p>
                        <w:p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" stroked="f">
              <v:textbox>
                <w:txbxContent>
                  <w:p w:rsidR="00921E9E" w:rsidRPr="00133A15" w:rsidRDefault="00921E9E" w:rsidP="00921E9E">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rsidR="00921E9E" w:rsidRPr="00133A15" w:rsidRDefault="00921E9E" w:rsidP="00921E9E">
                    <w:pPr>
                      <w:pStyle w:val="Header"/>
                      <w:tabs>
                        <w:tab w:val="left" w:pos="900"/>
                      </w:tabs>
                      <w:spacing w:line="0" w:lineRule="atLeast"/>
                      <w:jc w:val="center"/>
                      <w:rPr>
                        <w:rFonts w:ascii="Garamond" w:hAnsi="Garamond"/>
                        <w:b/>
                        <w:szCs w:val="22"/>
                        <w:lang w:val="es-CO"/>
                      </w:rPr>
                    </w:pPr>
                    <w:r w:rsidRPr="00133A15">
                      <w:rPr>
                        <w:rFonts w:ascii="Garamond" w:hAnsi="Garamond"/>
                        <w:b/>
                        <w:szCs w:val="22"/>
                        <w:lang w:val="es-CO"/>
                      </w:rPr>
                      <w:t xml:space="preserve">Consejo Interamericano para el Desarrollo Integral </w:t>
                    </w:r>
                  </w:p>
                  <w:p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80E" w:rsidRDefault="002F5285" w:rsidP="00AB7175">
                          <w:pPr>
                            <w:ind w:right="-130"/>
                          </w:pPr>
                          <w:r>
                            <w:rPr>
                              <w:rFonts w:ascii="News Gothic MT" w:hAnsi="News Gothic MT"/>
                              <w:noProof/>
                              <w:color w:val="000000"/>
                            </w:rPr>
                            <w:drawing>
                              <wp:inline distT="0" distB="0" distL="0" distR="0">
                                <wp:extent cx="1104900" cy="771525"/>
                                <wp:effectExtent l="0" t="0" r="0" b="9525"/>
                                <wp:docPr id="6" name="Picture 6"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CUD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Dm4JQOGAgAAFgUAAA4AAAAAAAAAAAAAAAAALgIAAGRycy9lMm9Eb2MueG1sUEsBAi0AFAAGAAgA&#10;AAAhAMT58IffAAAACwEAAA8AAAAAAAAAAAAAAAAA4AQAAGRycy9kb3ducmV2LnhtbFBLBQYAAAAA&#10;BAAEAPMAAADsBQAAAAA=&#10;" stroked="f">
              <v:textbox>
                <w:txbxContent>
                  <w:p w:rsidR="0073480E" w:rsidRDefault="002F5285" w:rsidP="00AB7175">
                    <w:pPr>
                      <w:ind w:right="-130"/>
                    </w:pPr>
                    <w:r>
                      <w:rPr>
                        <w:rFonts w:ascii="News Gothic MT" w:hAnsi="News Gothic MT"/>
                        <w:noProof/>
                        <w:color w:val="000000"/>
                      </w:rPr>
                      <w:drawing>
                        <wp:inline distT="0" distB="0" distL="0" distR="0">
                          <wp:extent cx="1104900" cy="771525"/>
                          <wp:effectExtent l="0" t="0" r="0" b="9525"/>
                          <wp:docPr id="6" name="Picture 6"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-483235</wp:posOffset>
          </wp:positionV>
          <wp:extent cx="822960" cy="824865"/>
          <wp:effectExtent l="0" t="0" r="0" b="0"/>
          <wp:wrapNone/>
          <wp:docPr id="3" name="Picture 3"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994D36"/>
    <w:multiLevelType w:val="hybridMultilevel"/>
    <w:tmpl w:val="9B046246"/>
    <w:lvl w:ilvl="0" w:tplc="9D78752A">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703EC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1C902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7083A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CE2BF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CE8B2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3454E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78C2A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FE2D9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12D3699"/>
    <w:multiLevelType w:val="hybridMultilevel"/>
    <w:tmpl w:val="3D289D5C"/>
    <w:lvl w:ilvl="0" w:tplc="585E7408">
      <w:start w:val="1"/>
      <w:numFmt w:val="decimal"/>
      <w:lvlText w:val="%1."/>
      <w:lvlJc w:val="left"/>
      <w:pPr>
        <w:ind w:left="708"/>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D910E97C">
      <w:start w:val="1"/>
      <w:numFmt w:val="lowerLetter"/>
      <w:lvlText w:val="%2"/>
      <w:lvlJc w:val="left"/>
      <w:pPr>
        <w:ind w:left="1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586124">
      <w:start w:val="1"/>
      <w:numFmt w:val="lowerRoman"/>
      <w:lvlText w:val="%3"/>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CA2080">
      <w:start w:val="1"/>
      <w:numFmt w:val="decimal"/>
      <w:lvlText w:val="%4"/>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985E06">
      <w:start w:val="1"/>
      <w:numFmt w:val="lowerLetter"/>
      <w:lvlText w:val="%5"/>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5C3246">
      <w:start w:val="1"/>
      <w:numFmt w:val="lowerRoman"/>
      <w:lvlText w:val="%6"/>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6E519A">
      <w:start w:val="1"/>
      <w:numFmt w:val="decimal"/>
      <w:lvlText w:val="%7"/>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D8E008">
      <w:start w:val="1"/>
      <w:numFmt w:val="lowerLetter"/>
      <w:lvlText w:val="%8"/>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AE532A">
      <w:start w:val="1"/>
      <w:numFmt w:val="lowerRoman"/>
      <w:lvlText w:val="%9"/>
      <w:lvlJc w:val="left"/>
      <w:pPr>
        <w:ind w:left="6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9E744F"/>
    <w:multiLevelType w:val="hybridMultilevel"/>
    <w:tmpl w:val="8A7418B2"/>
    <w:lvl w:ilvl="0" w:tplc="AD46D292">
      <w:start w:val="1"/>
      <w:numFmt w:val="lowerLetter"/>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A2A7C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B8510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70589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4C484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2276B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E424E6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9673C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F04D9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D82F86"/>
    <w:multiLevelType w:val="hybridMultilevel"/>
    <w:tmpl w:val="96BC4278"/>
    <w:lvl w:ilvl="0" w:tplc="B4FCB802">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2"/>
  </w:num>
  <w:num w:numId="6">
    <w:abstractNumId w:val="8"/>
  </w:num>
  <w:num w:numId="7">
    <w:abstractNumId w:val="3"/>
  </w:num>
  <w:num w:numId="8">
    <w:abstractNumId w:val="6"/>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737D5B-8688-4836-905C-7B9ECD5EB404}"/>
    <w:docVar w:name="dgnword-eventsink" w:val="100576536"/>
  </w:docVars>
  <w:rsids>
    <w:rsidRoot w:val="007F2774"/>
    <w:rsid w:val="000026CF"/>
    <w:rsid w:val="00002C98"/>
    <w:rsid w:val="00011272"/>
    <w:rsid w:val="000129E8"/>
    <w:rsid w:val="000205EC"/>
    <w:rsid w:val="000427B5"/>
    <w:rsid w:val="00050886"/>
    <w:rsid w:val="00064A6B"/>
    <w:rsid w:val="00064DCC"/>
    <w:rsid w:val="000661F4"/>
    <w:rsid w:val="000736AA"/>
    <w:rsid w:val="00073CCC"/>
    <w:rsid w:val="00074325"/>
    <w:rsid w:val="00074E66"/>
    <w:rsid w:val="000969F9"/>
    <w:rsid w:val="00097899"/>
    <w:rsid w:val="000A72E3"/>
    <w:rsid w:val="000B43F5"/>
    <w:rsid w:val="000C1981"/>
    <w:rsid w:val="000C3438"/>
    <w:rsid w:val="000C344F"/>
    <w:rsid w:val="000D4368"/>
    <w:rsid w:val="000D540D"/>
    <w:rsid w:val="000D6070"/>
    <w:rsid w:val="000E313E"/>
    <w:rsid w:val="000E439E"/>
    <w:rsid w:val="001069A4"/>
    <w:rsid w:val="00106D57"/>
    <w:rsid w:val="001259E2"/>
    <w:rsid w:val="0012611C"/>
    <w:rsid w:val="001346FF"/>
    <w:rsid w:val="001405C9"/>
    <w:rsid w:val="00142D34"/>
    <w:rsid w:val="00150AE4"/>
    <w:rsid w:val="00152D2E"/>
    <w:rsid w:val="00153DD8"/>
    <w:rsid w:val="00164D27"/>
    <w:rsid w:val="0016660D"/>
    <w:rsid w:val="00166C73"/>
    <w:rsid w:val="00171B89"/>
    <w:rsid w:val="0017420C"/>
    <w:rsid w:val="00180858"/>
    <w:rsid w:val="00183C2C"/>
    <w:rsid w:val="001842C2"/>
    <w:rsid w:val="00187D59"/>
    <w:rsid w:val="001A1B48"/>
    <w:rsid w:val="001B0828"/>
    <w:rsid w:val="001B0AB0"/>
    <w:rsid w:val="001C6DC5"/>
    <w:rsid w:val="001D738C"/>
    <w:rsid w:val="001D767D"/>
    <w:rsid w:val="001E3150"/>
    <w:rsid w:val="001E3C78"/>
    <w:rsid w:val="001F2739"/>
    <w:rsid w:val="002024FE"/>
    <w:rsid w:val="00203839"/>
    <w:rsid w:val="002050F0"/>
    <w:rsid w:val="00222AFE"/>
    <w:rsid w:val="0022466E"/>
    <w:rsid w:val="00224C3F"/>
    <w:rsid w:val="00225597"/>
    <w:rsid w:val="00234996"/>
    <w:rsid w:val="00235CB9"/>
    <w:rsid w:val="0027412E"/>
    <w:rsid w:val="00277682"/>
    <w:rsid w:val="00282ED9"/>
    <w:rsid w:val="0028696A"/>
    <w:rsid w:val="00286D8C"/>
    <w:rsid w:val="002A03E9"/>
    <w:rsid w:val="002A1985"/>
    <w:rsid w:val="002A1CB2"/>
    <w:rsid w:val="002A3CB5"/>
    <w:rsid w:val="002B2DE0"/>
    <w:rsid w:val="002B6846"/>
    <w:rsid w:val="002C5890"/>
    <w:rsid w:val="002C6B0D"/>
    <w:rsid w:val="002E2CC7"/>
    <w:rsid w:val="002E609F"/>
    <w:rsid w:val="002E6F50"/>
    <w:rsid w:val="002F0A27"/>
    <w:rsid w:val="002F5285"/>
    <w:rsid w:val="002F5352"/>
    <w:rsid w:val="00305E93"/>
    <w:rsid w:val="003116AC"/>
    <w:rsid w:val="0032713A"/>
    <w:rsid w:val="003302CF"/>
    <w:rsid w:val="003366D5"/>
    <w:rsid w:val="00345C27"/>
    <w:rsid w:val="00345DCF"/>
    <w:rsid w:val="00350910"/>
    <w:rsid w:val="003529F3"/>
    <w:rsid w:val="00352BB7"/>
    <w:rsid w:val="00353D7A"/>
    <w:rsid w:val="00357684"/>
    <w:rsid w:val="00362D68"/>
    <w:rsid w:val="0037599C"/>
    <w:rsid w:val="003775B4"/>
    <w:rsid w:val="003805E5"/>
    <w:rsid w:val="003836D2"/>
    <w:rsid w:val="00390D0F"/>
    <w:rsid w:val="003923A6"/>
    <w:rsid w:val="00395086"/>
    <w:rsid w:val="003A5B70"/>
    <w:rsid w:val="003B40C4"/>
    <w:rsid w:val="003C332F"/>
    <w:rsid w:val="003D0721"/>
    <w:rsid w:val="003D13AD"/>
    <w:rsid w:val="003D4305"/>
    <w:rsid w:val="003D5E2D"/>
    <w:rsid w:val="003E687F"/>
    <w:rsid w:val="003F023D"/>
    <w:rsid w:val="003F4FA0"/>
    <w:rsid w:val="003F6FF7"/>
    <w:rsid w:val="004001C4"/>
    <w:rsid w:val="00413FE5"/>
    <w:rsid w:val="00414A9D"/>
    <w:rsid w:val="00421AA1"/>
    <w:rsid w:val="004279F5"/>
    <w:rsid w:val="00432281"/>
    <w:rsid w:val="00457B19"/>
    <w:rsid w:val="00461F49"/>
    <w:rsid w:val="0046301C"/>
    <w:rsid w:val="00463A6B"/>
    <w:rsid w:val="0046512F"/>
    <w:rsid w:val="00467A8F"/>
    <w:rsid w:val="00476255"/>
    <w:rsid w:val="004901F7"/>
    <w:rsid w:val="00490731"/>
    <w:rsid w:val="00493B12"/>
    <w:rsid w:val="00496643"/>
    <w:rsid w:val="004A1D26"/>
    <w:rsid w:val="004A6065"/>
    <w:rsid w:val="004B2B39"/>
    <w:rsid w:val="004B387B"/>
    <w:rsid w:val="004B5C41"/>
    <w:rsid w:val="004D2279"/>
    <w:rsid w:val="004D44C9"/>
    <w:rsid w:val="004E4825"/>
    <w:rsid w:val="004F4571"/>
    <w:rsid w:val="004F6805"/>
    <w:rsid w:val="00502854"/>
    <w:rsid w:val="0050667F"/>
    <w:rsid w:val="005112C3"/>
    <w:rsid w:val="00513B4E"/>
    <w:rsid w:val="005336D0"/>
    <w:rsid w:val="0053678B"/>
    <w:rsid w:val="00540938"/>
    <w:rsid w:val="005462E3"/>
    <w:rsid w:val="0055186F"/>
    <w:rsid w:val="00564C90"/>
    <w:rsid w:val="00564FA3"/>
    <w:rsid w:val="00577517"/>
    <w:rsid w:val="0058420A"/>
    <w:rsid w:val="005A5372"/>
    <w:rsid w:val="005B5F61"/>
    <w:rsid w:val="005B7D03"/>
    <w:rsid w:val="005C20AF"/>
    <w:rsid w:val="005D1365"/>
    <w:rsid w:val="005D44CE"/>
    <w:rsid w:val="005D74F2"/>
    <w:rsid w:val="005E085B"/>
    <w:rsid w:val="005F29C1"/>
    <w:rsid w:val="005F78BB"/>
    <w:rsid w:val="00602980"/>
    <w:rsid w:val="006123C5"/>
    <w:rsid w:val="00612E0C"/>
    <w:rsid w:val="00622F41"/>
    <w:rsid w:val="00624A6C"/>
    <w:rsid w:val="006374D0"/>
    <w:rsid w:val="00642E66"/>
    <w:rsid w:val="0064648A"/>
    <w:rsid w:val="00655B90"/>
    <w:rsid w:val="00663D49"/>
    <w:rsid w:val="00666B25"/>
    <w:rsid w:val="00670E8A"/>
    <w:rsid w:val="00674DFB"/>
    <w:rsid w:val="00680EA5"/>
    <w:rsid w:val="006839FF"/>
    <w:rsid w:val="00686FEA"/>
    <w:rsid w:val="00691B9D"/>
    <w:rsid w:val="006A1A6B"/>
    <w:rsid w:val="006A483E"/>
    <w:rsid w:val="006A545B"/>
    <w:rsid w:val="006A6025"/>
    <w:rsid w:val="006A67F9"/>
    <w:rsid w:val="006B1277"/>
    <w:rsid w:val="006B1C6A"/>
    <w:rsid w:val="006B21AD"/>
    <w:rsid w:val="006B710A"/>
    <w:rsid w:val="006C0F45"/>
    <w:rsid w:val="006C6F0E"/>
    <w:rsid w:val="006D11BB"/>
    <w:rsid w:val="006D7239"/>
    <w:rsid w:val="006F0712"/>
    <w:rsid w:val="006F1050"/>
    <w:rsid w:val="00721843"/>
    <w:rsid w:val="00722693"/>
    <w:rsid w:val="00723DE2"/>
    <w:rsid w:val="0072562F"/>
    <w:rsid w:val="00730E0A"/>
    <w:rsid w:val="007325A6"/>
    <w:rsid w:val="0073480E"/>
    <w:rsid w:val="00743DD7"/>
    <w:rsid w:val="007443E9"/>
    <w:rsid w:val="0074604B"/>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764A"/>
    <w:rsid w:val="008023AC"/>
    <w:rsid w:val="008026FE"/>
    <w:rsid w:val="00815A1F"/>
    <w:rsid w:val="00821E7C"/>
    <w:rsid w:val="00827358"/>
    <w:rsid w:val="0084046A"/>
    <w:rsid w:val="00860083"/>
    <w:rsid w:val="00860DE1"/>
    <w:rsid w:val="00865686"/>
    <w:rsid w:val="00865B5C"/>
    <w:rsid w:val="008814B8"/>
    <w:rsid w:val="008819DA"/>
    <w:rsid w:val="00887A65"/>
    <w:rsid w:val="0089063B"/>
    <w:rsid w:val="00890C34"/>
    <w:rsid w:val="008917B9"/>
    <w:rsid w:val="008A2F14"/>
    <w:rsid w:val="008B5AF8"/>
    <w:rsid w:val="008C254E"/>
    <w:rsid w:val="008C369B"/>
    <w:rsid w:val="008F747C"/>
    <w:rsid w:val="0090209F"/>
    <w:rsid w:val="00910645"/>
    <w:rsid w:val="00910B21"/>
    <w:rsid w:val="0091303E"/>
    <w:rsid w:val="00920867"/>
    <w:rsid w:val="00921B83"/>
    <w:rsid w:val="00921E9E"/>
    <w:rsid w:val="009304AE"/>
    <w:rsid w:val="00934888"/>
    <w:rsid w:val="0093527F"/>
    <w:rsid w:val="00942059"/>
    <w:rsid w:val="00945D81"/>
    <w:rsid w:val="009571C8"/>
    <w:rsid w:val="0096142F"/>
    <w:rsid w:val="00962EF0"/>
    <w:rsid w:val="0097131C"/>
    <w:rsid w:val="00986E8C"/>
    <w:rsid w:val="009979A7"/>
    <w:rsid w:val="009A194A"/>
    <w:rsid w:val="009B2AE9"/>
    <w:rsid w:val="009B2F59"/>
    <w:rsid w:val="009B307F"/>
    <w:rsid w:val="009C3EA4"/>
    <w:rsid w:val="009C6F26"/>
    <w:rsid w:val="009C7AAB"/>
    <w:rsid w:val="009E628C"/>
    <w:rsid w:val="009F0791"/>
    <w:rsid w:val="00A06AF5"/>
    <w:rsid w:val="00A06FE9"/>
    <w:rsid w:val="00A115F5"/>
    <w:rsid w:val="00A12EA0"/>
    <w:rsid w:val="00A13E2C"/>
    <w:rsid w:val="00A232CD"/>
    <w:rsid w:val="00A256AB"/>
    <w:rsid w:val="00A323C5"/>
    <w:rsid w:val="00A34777"/>
    <w:rsid w:val="00A36552"/>
    <w:rsid w:val="00A52CAE"/>
    <w:rsid w:val="00A61635"/>
    <w:rsid w:val="00A673F4"/>
    <w:rsid w:val="00A67CD8"/>
    <w:rsid w:val="00A74B2B"/>
    <w:rsid w:val="00A851C2"/>
    <w:rsid w:val="00A86D6C"/>
    <w:rsid w:val="00A870BA"/>
    <w:rsid w:val="00A9203C"/>
    <w:rsid w:val="00A946F7"/>
    <w:rsid w:val="00A96D30"/>
    <w:rsid w:val="00A97B79"/>
    <w:rsid w:val="00AA2AE0"/>
    <w:rsid w:val="00AA5439"/>
    <w:rsid w:val="00AA7CBB"/>
    <w:rsid w:val="00AB7175"/>
    <w:rsid w:val="00AC3A0C"/>
    <w:rsid w:val="00AC4232"/>
    <w:rsid w:val="00AC7FA2"/>
    <w:rsid w:val="00AD6394"/>
    <w:rsid w:val="00AE13AF"/>
    <w:rsid w:val="00AF06BC"/>
    <w:rsid w:val="00AF0C03"/>
    <w:rsid w:val="00B16016"/>
    <w:rsid w:val="00B234AF"/>
    <w:rsid w:val="00B27F1B"/>
    <w:rsid w:val="00B37CDE"/>
    <w:rsid w:val="00B43107"/>
    <w:rsid w:val="00B439EC"/>
    <w:rsid w:val="00B47109"/>
    <w:rsid w:val="00B50945"/>
    <w:rsid w:val="00B53242"/>
    <w:rsid w:val="00B5382C"/>
    <w:rsid w:val="00B5781C"/>
    <w:rsid w:val="00B624CF"/>
    <w:rsid w:val="00B63B4B"/>
    <w:rsid w:val="00B6694A"/>
    <w:rsid w:val="00B847B7"/>
    <w:rsid w:val="00B90CD0"/>
    <w:rsid w:val="00B930C9"/>
    <w:rsid w:val="00B94C7D"/>
    <w:rsid w:val="00B97D8D"/>
    <w:rsid w:val="00BA3604"/>
    <w:rsid w:val="00BB4A78"/>
    <w:rsid w:val="00BB7135"/>
    <w:rsid w:val="00BC3FDE"/>
    <w:rsid w:val="00BC5445"/>
    <w:rsid w:val="00BC7B0E"/>
    <w:rsid w:val="00BD2433"/>
    <w:rsid w:val="00BD4B3F"/>
    <w:rsid w:val="00BD6CF4"/>
    <w:rsid w:val="00BE3015"/>
    <w:rsid w:val="00BE35BC"/>
    <w:rsid w:val="00BF1293"/>
    <w:rsid w:val="00C02DB7"/>
    <w:rsid w:val="00C02DEE"/>
    <w:rsid w:val="00C05556"/>
    <w:rsid w:val="00C223D4"/>
    <w:rsid w:val="00C41591"/>
    <w:rsid w:val="00C45F98"/>
    <w:rsid w:val="00C46BCF"/>
    <w:rsid w:val="00C51DDA"/>
    <w:rsid w:val="00C52216"/>
    <w:rsid w:val="00C607E3"/>
    <w:rsid w:val="00C61825"/>
    <w:rsid w:val="00C6456D"/>
    <w:rsid w:val="00C81A83"/>
    <w:rsid w:val="00C8384A"/>
    <w:rsid w:val="00C878A5"/>
    <w:rsid w:val="00C90BA2"/>
    <w:rsid w:val="00C92818"/>
    <w:rsid w:val="00CA12D4"/>
    <w:rsid w:val="00CA2349"/>
    <w:rsid w:val="00CB2F2F"/>
    <w:rsid w:val="00CC49AE"/>
    <w:rsid w:val="00CC550E"/>
    <w:rsid w:val="00CC7FAC"/>
    <w:rsid w:val="00CD3A0E"/>
    <w:rsid w:val="00CD3B89"/>
    <w:rsid w:val="00CD472D"/>
    <w:rsid w:val="00CD76EE"/>
    <w:rsid w:val="00CE52EB"/>
    <w:rsid w:val="00CF2678"/>
    <w:rsid w:val="00CF4554"/>
    <w:rsid w:val="00CF629A"/>
    <w:rsid w:val="00CF6FDB"/>
    <w:rsid w:val="00D07BD9"/>
    <w:rsid w:val="00D12A50"/>
    <w:rsid w:val="00D307BF"/>
    <w:rsid w:val="00D31989"/>
    <w:rsid w:val="00D324C0"/>
    <w:rsid w:val="00D32A6A"/>
    <w:rsid w:val="00D50AD3"/>
    <w:rsid w:val="00D57730"/>
    <w:rsid w:val="00D643E9"/>
    <w:rsid w:val="00D64EA6"/>
    <w:rsid w:val="00D676CC"/>
    <w:rsid w:val="00D71369"/>
    <w:rsid w:val="00D80335"/>
    <w:rsid w:val="00DA67FE"/>
    <w:rsid w:val="00DB360D"/>
    <w:rsid w:val="00DB36EA"/>
    <w:rsid w:val="00DB3B6E"/>
    <w:rsid w:val="00DB5D3D"/>
    <w:rsid w:val="00DC24A9"/>
    <w:rsid w:val="00DC4BF4"/>
    <w:rsid w:val="00DC520A"/>
    <w:rsid w:val="00DD0139"/>
    <w:rsid w:val="00DD0DD6"/>
    <w:rsid w:val="00E0149A"/>
    <w:rsid w:val="00E0378E"/>
    <w:rsid w:val="00E0439B"/>
    <w:rsid w:val="00E0528B"/>
    <w:rsid w:val="00E06590"/>
    <w:rsid w:val="00E072BE"/>
    <w:rsid w:val="00E12CCC"/>
    <w:rsid w:val="00E16177"/>
    <w:rsid w:val="00E209E8"/>
    <w:rsid w:val="00E23168"/>
    <w:rsid w:val="00E27230"/>
    <w:rsid w:val="00E3284A"/>
    <w:rsid w:val="00E40079"/>
    <w:rsid w:val="00E50C47"/>
    <w:rsid w:val="00E51CC2"/>
    <w:rsid w:val="00E55047"/>
    <w:rsid w:val="00E61585"/>
    <w:rsid w:val="00E90F30"/>
    <w:rsid w:val="00E946CB"/>
    <w:rsid w:val="00EB09BC"/>
    <w:rsid w:val="00EB402E"/>
    <w:rsid w:val="00EB69E3"/>
    <w:rsid w:val="00EC00D8"/>
    <w:rsid w:val="00EC26FB"/>
    <w:rsid w:val="00EC7711"/>
    <w:rsid w:val="00ED2AF4"/>
    <w:rsid w:val="00ED2DE0"/>
    <w:rsid w:val="00EE29AE"/>
    <w:rsid w:val="00EE51B7"/>
    <w:rsid w:val="00EE7D67"/>
    <w:rsid w:val="00EF5709"/>
    <w:rsid w:val="00F013AE"/>
    <w:rsid w:val="00F0479A"/>
    <w:rsid w:val="00F213D6"/>
    <w:rsid w:val="00F256C7"/>
    <w:rsid w:val="00F31B9A"/>
    <w:rsid w:val="00F4735E"/>
    <w:rsid w:val="00F5197F"/>
    <w:rsid w:val="00F524DB"/>
    <w:rsid w:val="00F530B2"/>
    <w:rsid w:val="00F53223"/>
    <w:rsid w:val="00F663E8"/>
    <w:rsid w:val="00F76DC9"/>
    <w:rsid w:val="00F773E4"/>
    <w:rsid w:val="00F8041D"/>
    <w:rsid w:val="00F8105E"/>
    <w:rsid w:val="00F87541"/>
    <w:rsid w:val="00FA61C9"/>
    <w:rsid w:val="00FA6A04"/>
    <w:rsid w:val="00FB0853"/>
    <w:rsid w:val="00FB2EEF"/>
    <w:rsid w:val="00FB6445"/>
    <w:rsid w:val="00FC16EC"/>
    <w:rsid w:val="00FC73C7"/>
    <w:rsid w:val="00FD4F65"/>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4B021CC-CFB4-4891-A3BB-3DE21426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5">
    <w:name w:val="heading 5"/>
    <w:basedOn w:val="Normal"/>
    <w:next w:val="Normal"/>
    <w:link w:val="Heading5Char"/>
    <w:semiHidden/>
    <w:unhideWhenUsed/>
    <w:qFormat/>
    <w:rsid w:val="0043228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Default">
    <w:name w:val="Default"/>
    <w:rsid w:val="00EC26FB"/>
    <w:pPr>
      <w:autoSpaceDE w:val="0"/>
      <w:autoSpaceDN w:val="0"/>
      <w:adjustRightInd w:val="0"/>
    </w:pPr>
    <w:rPr>
      <w:rFonts w:ascii="Calibri" w:hAnsi="Calibri" w:cs="Calibri"/>
      <w:color w:val="000000"/>
      <w:sz w:val="24"/>
      <w:szCs w:val="24"/>
    </w:rPr>
  </w:style>
  <w:style w:type="character" w:customStyle="1" w:styleId="Heading5Char">
    <w:name w:val="Heading 5 Char"/>
    <w:link w:val="Heading5"/>
    <w:semiHidden/>
    <w:rsid w:val="00432281"/>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pdfs/2020/CRCUADERNILLO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m.oas.org/pdfs/2020/CRCUADERNILLO1.pdf" TargetMode="External"/><Relationship Id="rId4" Type="http://schemas.openxmlformats.org/officeDocument/2006/relationships/settings" Target="settings.xml"/><Relationship Id="rId9" Type="http://schemas.openxmlformats.org/officeDocument/2006/relationships/hyperlink" Target="http://scm.oas.org/pdfs/2020/CRRESUMENEJECUTIVO.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07BD6-5E15-44A7-94DB-9742C9F5C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6</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2</cp:revision>
  <cp:lastPrinted>2018-08-24T15:52:00Z</cp:lastPrinted>
  <dcterms:created xsi:type="dcterms:W3CDTF">2020-05-18T17:02:00Z</dcterms:created>
  <dcterms:modified xsi:type="dcterms:W3CDTF">2020-05-18T17:02:00Z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