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62E3"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noProof/>
          <w:szCs w:val="22"/>
          <w:lang w:val="pt-BR"/>
        </w:rPr>
      </w:pPr>
      <w:r w:rsidRPr="008E02F0">
        <w:rPr>
          <w:rFonts w:ascii="Times New Roman" w:hAnsi="Times New Roman"/>
          <w:szCs w:val="22"/>
          <w:lang w:val="pt-BR"/>
        </w:rPr>
        <w:t>COMISSÃO DE POLÍTICAS DE COOPERAÇÃO</w:t>
      </w:r>
      <w:r w:rsidRPr="008E02F0">
        <w:rPr>
          <w:rFonts w:ascii="Times New Roman" w:hAnsi="Times New Roman"/>
          <w:szCs w:val="22"/>
          <w:lang w:val="pt-BR"/>
        </w:rPr>
        <w:tab/>
        <w:t>OEA/Ser.W</w:t>
      </w:r>
    </w:p>
    <w:p w14:paraId="72CA5097" w14:textId="426EE23C"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noProof/>
          <w:szCs w:val="22"/>
          <w:lang w:val="pt-BR"/>
        </w:rPr>
      </w:pPr>
      <w:r w:rsidRPr="008E02F0">
        <w:rPr>
          <w:rFonts w:ascii="Times New Roman" w:hAnsi="Times New Roman"/>
          <w:szCs w:val="22"/>
          <w:lang w:val="pt-BR"/>
        </w:rPr>
        <w:t>SOLIDÁRIA PARA O DESENVOLVIMENTO</w:t>
      </w:r>
      <w:r w:rsidRPr="008E02F0">
        <w:rPr>
          <w:rFonts w:ascii="Times New Roman" w:hAnsi="Times New Roman"/>
          <w:szCs w:val="22"/>
          <w:lang w:val="pt-BR"/>
        </w:rPr>
        <w:tab/>
      </w:r>
      <w:r w:rsidRPr="001A77A8">
        <w:rPr>
          <w:rFonts w:ascii="Times New Roman" w:hAnsi="Times New Roman"/>
          <w:szCs w:val="22"/>
          <w:lang w:val="pt-BR"/>
        </w:rPr>
        <w:t xml:space="preserve">CIDI/CPD/doc.192/20 rev. </w:t>
      </w:r>
      <w:r w:rsidR="003F4C4F">
        <w:rPr>
          <w:rFonts w:ascii="Times New Roman" w:hAnsi="Times New Roman"/>
          <w:szCs w:val="22"/>
          <w:lang w:val="pt-BR"/>
        </w:rPr>
        <w:t>3</w:t>
      </w:r>
    </w:p>
    <w:p w14:paraId="56829E8D" w14:textId="42EAD1D9"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noProof/>
          <w:szCs w:val="22"/>
          <w:lang w:val="pt-BR"/>
        </w:rPr>
      </w:pPr>
      <w:r w:rsidRPr="008E02F0">
        <w:rPr>
          <w:rFonts w:ascii="Times New Roman" w:hAnsi="Times New Roman"/>
          <w:szCs w:val="22"/>
          <w:lang w:val="pt-BR"/>
        </w:rPr>
        <w:tab/>
      </w:r>
      <w:r w:rsidR="003F4C4F">
        <w:rPr>
          <w:rFonts w:ascii="Times New Roman" w:hAnsi="Times New Roman"/>
          <w:szCs w:val="22"/>
          <w:lang w:val="pt-BR"/>
        </w:rPr>
        <w:t>1</w:t>
      </w:r>
      <w:r w:rsidR="00123710">
        <w:rPr>
          <w:rFonts w:ascii="Times New Roman" w:hAnsi="Times New Roman"/>
          <w:szCs w:val="22"/>
          <w:lang w:val="pt-BR"/>
        </w:rPr>
        <w:t>7</w:t>
      </w:r>
      <w:r w:rsidRPr="008E02F0">
        <w:rPr>
          <w:rFonts w:ascii="Times New Roman" w:hAnsi="Times New Roman"/>
          <w:szCs w:val="22"/>
          <w:lang w:val="pt-BR"/>
        </w:rPr>
        <w:t xml:space="preserve"> </w:t>
      </w:r>
      <w:r w:rsidR="003F4C4F">
        <w:rPr>
          <w:rFonts w:ascii="Times New Roman" w:hAnsi="Times New Roman"/>
          <w:szCs w:val="22"/>
          <w:lang w:val="pt-BR"/>
        </w:rPr>
        <w:t>agosto</w:t>
      </w:r>
      <w:r w:rsidRPr="008E02F0">
        <w:rPr>
          <w:rFonts w:ascii="Times New Roman" w:hAnsi="Times New Roman"/>
          <w:szCs w:val="22"/>
          <w:lang w:val="pt-BR"/>
        </w:rPr>
        <w:t xml:space="preserve"> 2020</w:t>
      </w:r>
    </w:p>
    <w:p w14:paraId="6C095E10"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920"/>
        </w:tabs>
        <w:ind w:right="-569"/>
        <w:rPr>
          <w:rFonts w:ascii="Times New Roman" w:hAnsi="Times New Roman"/>
          <w:noProof/>
          <w:szCs w:val="22"/>
          <w:lang w:val="pt-BR"/>
        </w:rPr>
      </w:pPr>
      <w:r w:rsidRPr="008E02F0">
        <w:rPr>
          <w:rFonts w:ascii="Times New Roman" w:hAnsi="Times New Roman"/>
          <w:szCs w:val="22"/>
          <w:lang w:val="pt-BR"/>
        </w:rPr>
        <w:tab/>
        <w:t>Original: espanhol</w:t>
      </w:r>
    </w:p>
    <w:p w14:paraId="3E6A79A8" w14:textId="77777777" w:rsidR="00476A46" w:rsidRPr="008E02F0" w:rsidRDefault="00476A46" w:rsidP="00476A46">
      <w:pPr>
        <w:pBdr>
          <w:bottom w:val="single" w:sz="12" w:space="1" w:color="auto"/>
        </w:pBdr>
        <w:tabs>
          <w:tab w:val="left" w:pos="5940"/>
        </w:tabs>
        <w:ind w:right="-569"/>
        <w:rPr>
          <w:rFonts w:ascii="Times New Roman" w:hAnsi="Times New Roman"/>
          <w:noProof/>
          <w:szCs w:val="22"/>
          <w:lang w:val="pt-BR"/>
        </w:rPr>
      </w:pPr>
    </w:p>
    <w:p w14:paraId="15CA06D0" w14:textId="77777777" w:rsidR="00476A46" w:rsidRPr="008E02F0" w:rsidRDefault="00476A46" w:rsidP="00476A46">
      <w:pPr>
        <w:tabs>
          <w:tab w:val="left" w:pos="6840"/>
        </w:tabs>
        <w:ind w:right="-569"/>
        <w:rPr>
          <w:noProof/>
          <w:szCs w:val="22"/>
          <w:lang w:val="pt-BR"/>
        </w:rPr>
      </w:pPr>
    </w:p>
    <w:p w14:paraId="027418CE" w14:textId="77777777" w:rsidR="00476A46" w:rsidRPr="008E02F0" w:rsidRDefault="00476A46" w:rsidP="00476A46">
      <w:pPr>
        <w:tabs>
          <w:tab w:val="left" w:pos="6840"/>
        </w:tabs>
        <w:ind w:right="-569"/>
        <w:rPr>
          <w:noProof/>
          <w:szCs w:val="22"/>
          <w:lang w:val="pt-BR"/>
        </w:rPr>
      </w:pPr>
    </w:p>
    <w:p w14:paraId="3AE85600"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8E02F0">
        <w:rPr>
          <w:rFonts w:ascii="Times New Roman" w:hAnsi="Times New Roman"/>
          <w:szCs w:val="22"/>
          <w:lang w:val="pt-BR"/>
        </w:rPr>
        <w:t xml:space="preserve">METODOLOGIA PARA A APRESENTAÇÃO E NEGOCIAÇÃO DO(S) PROJETO(S) DE RESOLUÇÃO QUE O CONSELHO INTERAMERICANO DE DESENVOLVIMENTO INTEGRAL PODERIA APRESENTAR AO </w:t>
      </w:r>
    </w:p>
    <w:p w14:paraId="7E381C8F"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noProof/>
          <w:szCs w:val="22"/>
          <w:lang w:val="pt-BR"/>
        </w:rPr>
      </w:pPr>
      <w:r w:rsidRPr="008E02F0">
        <w:rPr>
          <w:rFonts w:ascii="Times New Roman" w:hAnsi="Times New Roman"/>
          <w:szCs w:val="22"/>
          <w:lang w:val="pt-BR"/>
        </w:rPr>
        <w:t>QUINQUAGÉSIMO PERÍODO ORDINÁRIO DE SESSÕES DA ASSEMBLEIA GERAL</w:t>
      </w:r>
    </w:p>
    <w:p w14:paraId="49AC93A2"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7CA88716" w14:textId="45BFD623"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pt-BR"/>
        </w:rPr>
      </w:pPr>
      <w:r w:rsidRPr="008E02F0">
        <w:rPr>
          <w:rFonts w:ascii="Times New Roman" w:hAnsi="Times New Roman"/>
          <w:szCs w:val="22"/>
          <w:lang w:val="pt-BR"/>
        </w:rPr>
        <w:t>(</w:t>
      </w:r>
      <w:r w:rsidRPr="00AB6DD1">
        <w:rPr>
          <w:rFonts w:ascii="Times New Roman" w:hAnsi="Times New Roman"/>
          <w:szCs w:val="22"/>
          <w:lang w:val="pt-BR"/>
        </w:rPr>
        <w:t>Aprovada pela Comissão em 3 de março de 2020</w:t>
      </w:r>
      <w:r w:rsidR="003F4C4F">
        <w:rPr>
          <w:rFonts w:ascii="Times New Roman" w:hAnsi="Times New Roman"/>
          <w:szCs w:val="22"/>
          <w:lang w:val="pt-BR"/>
        </w:rPr>
        <w:t xml:space="preserve"> e revisada em 1</w:t>
      </w:r>
      <w:r w:rsidR="00123710">
        <w:rPr>
          <w:rFonts w:ascii="Times New Roman" w:hAnsi="Times New Roman"/>
          <w:szCs w:val="22"/>
          <w:lang w:val="pt-BR"/>
        </w:rPr>
        <w:t>7</w:t>
      </w:r>
      <w:r w:rsidR="003F4C4F">
        <w:rPr>
          <w:rFonts w:ascii="Times New Roman" w:hAnsi="Times New Roman"/>
          <w:szCs w:val="22"/>
          <w:lang w:val="pt-BR"/>
        </w:rPr>
        <w:t xml:space="preserve"> de agosto de 2020</w:t>
      </w:r>
      <w:r w:rsidRPr="00AB6DD1">
        <w:rPr>
          <w:rFonts w:ascii="Times New Roman" w:hAnsi="Times New Roman"/>
          <w:szCs w:val="22"/>
          <w:lang w:val="pt-BR"/>
        </w:rPr>
        <w:t>)</w:t>
      </w:r>
    </w:p>
    <w:p w14:paraId="68536401"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623074B8"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77FAA86F" w14:textId="77777777" w:rsidR="00476A46" w:rsidRPr="008E02F0" w:rsidRDefault="00476A46" w:rsidP="00476A46">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jc w:val="left"/>
        <w:rPr>
          <w:rFonts w:ascii="Times New Roman" w:hAnsi="Times New Roman"/>
          <w:b/>
          <w:noProof/>
          <w:szCs w:val="22"/>
          <w:lang w:val="pt-BR"/>
        </w:rPr>
      </w:pPr>
      <w:r w:rsidRPr="008E02F0">
        <w:rPr>
          <w:rFonts w:ascii="Times New Roman" w:hAnsi="Times New Roman"/>
          <w:b/>
          <w:szCs w:val="22"/>
          <w:lang w:val="pt-BR"/>
        </w:rPr>
        <w:t>INTRODUÇÃO</w:t>
      </w:r>
    </w:p>
    <w:p w14:paraId="661C923F" w14:textId="77777777" w:rsidR="00476A46" w:rsidRPr="008E02F0"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noProof/>
          <w:szCs w:val="22"/>
          <w:lang w:val="pt-BR"/>
        </w:rPr>
      </w:pPr>
    </w:p>
    <w:p w14:paraId="712378B0"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pt-BR"/>
        </w:rPr>
      </w:pPr>
      <w:r w:rsidRPr="008E02F0">
        <w:rPr>
          <w:rFonts w:ascii="Times New Roman" w:hAnsi="Times New Roman"/>
          <w:color w:val="000000"/>
          <w:szCs w:val="22"/>
          <w:lang w:val="pt-BR"/>
        </w:rPr>
        <w:t xml:space="preserve">A Presidência </w:t>
      </w:r>
      <w:r w:rsidRPr="008E02F0">
        <w:rPr>
          <w:rFonts w:ascii="Times New Roman" w:hAnsi="Times New Roman"/>
          <w:szCs w:val="22"/>
          <w:lang w:val="pt-BR"/>
        </w:rPr>
        <w:t xml:space="preserve">da </w:t>
      </w:r>
      <w:r w:rsidRPr="008E02F0">
        <w:rPr>
          <w:rFonts w:ascii="Times New Roman" w:hAnsi="Times New Roman"/>
          <w:color w:val="000000"/>
          <w:szCs w:val="22"/>
          <w:lang w:val="pt-BR"/>
        </w:rPr>
        <w:t xml:space="preserve">Comissão de Politicas de Cooperação Solidária para o Desenvolvimento do Conselho Interamericano de Desenvolvimento Integral, </w:t>
      </w:r>
      <w:r w:rsidRPr="008E02F0">
        <w:rPr>
          <w:rFonts w:ascii="Times New Roman" w:hAnsi="Times New Roman"/>
          <w:szCs w:val="22"/>
          <w:lang w:val="pt-BR"/>
        </w:rPr>
        <w:t xml:space="preserve">com base nas </w:t>
      </w:r>
      <w:r w:rsidRPr="008E02F0">
        <w:rPr>
          <w:rFonts w:ascii="Times New Roman" w:hAnsi="Times New Roman"/>
          <w:color w:val="000000"/>
          <w:szCs w:val="22"/>
          <w:lang w:val="pt-BR"/>
        </w:rPr>
        <w:t>práticas acordadas em anos anteriores, submete</w:t>
      </w:r>
      <w:r>
        <w:rPr>
          <w:rFonts w:ascii="Times New Roman" w:hAnsi="Times New Roman"/>
          <w:color w:val="000000"/>
          <w:szCs w:val="22"/>
          <w:lang w:val="pt-BR"/>
        </w:rPr>
        <w:t>u</w:t>
      </w:r>
      <w:r w:rsidRPr="008E02F0">
        <w:rPr>
          <w:rFonts w:ascii="Times New Roman" w:hAnsi="Times New Roman"/>
          <w:color w:val="000000"/>
          <w:szCs w:val="22"/>
          <w:lang w:val="pt-BR"/>
        </w:rPr>
        <w:t xml:space="preserve"> à consideração da Comissão </w:t>
      </w:r>
      <w:r>
        <w:rPr>
          <w:rFonts w:ascii="Times New Roman" w:hAnsi="Times New Roman"/>
          <w:color w:val="000000"/>
          <w:szCs w:val="22"/>
          <w:lang w:val="pt-BR"/>
        </w:rPr>
        <w:t>uma</w:t>
      </w:r>
      <w:r w:rsidRPr="008E02F0">
        <w:rPr>
          <w:rFonts w:ascii="Times New Roman" w:hAnsi="Times New Roman"/>
          <w:color w:val="000000"/>
          <w:szCs w:val="22"/>
          <w:lang w:val="pt-BR"/>
        </w:rPr>
        <w:t xml:space="preserve"> proposta de metodologia, com o objetivo de buscar um processo </w:t>
      </w:r>
      <w:r w:rsidRPr="008E02F0">
        <w:rPr>
          <w:rFonts w:ascii="Times New Roman" w:hAnsi="Times New Roman"/>
          <w:szCs w:val="22"/>
          <w:lang w:val="pt-BR"/>
        </w:rPr>
        <w:t>de negociação que facilite a formação de consensos e permita fazer o melhor uso possível dos recursos a ela destinados.</w:t>
      </w:r>
      <w:r>
        <w:rPr>
          <w:rFonts w:ascii="Times New Roman" w:hAnsi="Times New Roman"/>
          <w:szCs w:val="22"/>
          <w:lang w:val="pt-BR"/>
        </w:rPr>
        <w:t xml:space="preserve"> A proposta apresentada foi aprovada em 3 de março de 2020.</w:t>
      </w:r>
    </w:p>
    <w:p w14:paraId="78D9F72A"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pt-BR"/>
        </w:rPr>
      </w:pPr>
    </w:p>
    <w:p w14:paraId="5CEBF06E" w14:textId="77777777" w:rsidR="00476A46" w:rsidRDefault="00476A46" w:rsidP="00476A46">
      <w:pPr>
        <w:shd w:val="clear" w:color="auto" w:fill="FFFFFF"/>
        <w:ind w:firstLine="720"/>
        <w:rPr>
          <w:rFonts w:ascii="Times New Roman" w:hAnsi="Times New Roman"/>
          <w:szCs w:val="22"/>
          <w:lang w:val="pt-BR"/>
        </w:rPr>
      </w:pPr>
      <w:r w:rsidRPr="008E02F0">
        <w:rPr>
          <w:rFonts w:ascii="Times New Roman" w:hAnsi="Times New Roman"/>
          <w:szCs w:val="22"/>
          <w:lang w:val="pt-BR"/>
        </w:rPr>
        <w:t xml:space="preserve">A base das negociações será um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a partir da resolução da Assembleia Geral AG/RES. 2939 (XLIX-O/19), </w:t>
      </w:r>
      <w:r w:rsidRPr="008E02F0">
        <w:rPr>
          <w:rFonts w:ascii="Times New Roman" w:hAnsi="Times New Roman"/>
          <w:i/>
          <w:szCs w:val="22"/>
          <w:lang w:val="pt-BR"/>
        </w:rPr>
        <w:t>“</w:t>
      </w:r>
      <w:r w:rsidRPr="008E02F0">
        <w:rPr>
          <w:rFonts w:ascii="Times New Roman" w:hAnsi="Times New Roman"/>
          <w:szCs w:val="22"/>
          <w:lang w:val="pt-BR"/>
        </w:rPr>
        <w:t xml:space="preserve">Promovendo iniciativas hemisféricas em matéria de desenvolvimento integral”. Caso se apresentem outros projetos de resolução ou de declaração individuais, a mesma metodologia será usada para considerá-los. </w:t>
      </w:r>
    </w:p>
    <w:p w14:paraId="40B65933" w14:textId="77777777" w:rsidR="003F4C4F" w:rsidRDefault="003F4C4F" w:rsidP="00752359">
      <w:pPr>
        <w:shd w:val="clear" w:color="auto" w:fill="FFFFFF"/>
        <w:rPr>
          <w:rFonts w:ascii="Times New Roman" w:hAnsi="Times New Roman"/>
          <w:szCs w:val="22"/>
          <w:lang w:val="pt-BR"/>
        </w:rPr>
      </w:pPr>
    </w:p>
    <w:p w14:paraId="50FC5C03" w14:textId="67985D15" w:rsidR="003F4C4F" w:rsidRPr="003F4C4F" w:rsidRDefault="003F4C4F" w:rsidP="003F4C4F">
      <w:pPr>
        <w:shd w:val="clear" w:color="auto" w:fill="FFFFFF"/>
        <w:ind w:firstLine="720"/>
        <w:rPr>
          <w:rFonts w:ascii="Times New Roman" w:hAnsi="Times New Roman"/>
          <w:szCs w:val="22"/>
          <w:lang w:val="pt-BR"/>
        </w:rPr>
      </w:pPr>
      <w:r w:rsidRPr="007F35F9">
        <w:rPr>
          <w:rFonts w:ascii="Times New Roman" w:hAnsi="Times New Roman"/>
          <w:szCs w:val="22"/>
          <w:lang w:val="pt-BR"/>
        </w:rPr>
        <w:t>As modificações propostas destinam-se a ajustar a metodologia acordada em março pa</w:t>
      </w:r>
      <w:r w:rsidR="002558BC" w:rsidRPr="007F35F9">
        <w:rPr>
          <w:rFonts w:ascii="Times New Roman" w:hAnsi="Times New Roman"/>
          <w:szCs w:val="22"/>
          <w:lang w:val="pt-BR"/>
        </w:rPr>
        <w:t>s</w:t>
      </w:r>
      <w:r w:rsidRPr="007F35F9">
        <w:rPr>
          <w:rFonts w:ascii="Times New Roman" w:hAnsi="Times New Roman"/>
          <w:szCs w:val="22"/>
          <w:lang w:val="pt-BR"/>
        </w:rPr>
        <w:t xml:space="preserve">sado às circunstâncias </w:t>
      </w:r>
      <w:r w:rsidR="00B520F3" w:rsidRPr="007F35F9">
        <w:rPr>
          <w:rFonts w:ascii="Times New Roman" w:hAnsi="Times New Roman"/>
          <w:szCs w:val="22"/>
          <w:lang w:val="pt-BR"/>
        </w:rPr>
        <w:t>dos trabalhos</w:t>
      </w:r>
      <w:r w:rsidRPr="007F35F9">
        <w:rPr>
          <w:rFonts w:ascii="Times New Roman" w:hAnsi="Times New Roman"/>
          <w:szCs w:val="22"/>
          <w:lang w:val="pt-BR"/>
        </w:rPr>
        <w:t xml:space="preserve"> atuais, bem como à situação financeira que a Organização dos Estados Americanos atravessa </w:t>
      </w:r>
      <w:r w:rsidR="00B520F3" w:rsidRPr="007F35F9">
        <w:rPr>
          <w:rFonts w:ascii="Times New Roman" w:hAnsi="Times New Roman"/>
          <w:szCs w:val="22"/>
          <w:lang w:val="pt-BR"/>
        </w:rPr>
        <w:t xml:space="preserve">e ao prazo disponível para concluir os trabalhos antes do início do Quinquagésimo Período Ordinário de Sessões da Assembleia Geral, a realizar-se em 20 e 21 de outubro </w:t>
      </w:r>
      <w:r w:rsidRPr="007F35F9">
        <w:rPr>
          <w:rFonts w:ascii="Times New Roman" w:hAnsi="Times New Roman"/>
          <w:szCs w:val="22"/>
          <w:lang w:val="pt-BR"/>
        </w:rPr>
        <w:t>de 2020.</w:t>
      </w:r>
      <w:r w:rsidRPr="003F4C4F">
        <w:rPr>
          <w:rFonts w:ascii="Times New Roman" w:hAnsi="Times New Roman"/>
          <w:szCs w:val="22"/>
          <w:lang w:val="pt-BR"/>
        </w:rPr>
        <w:t xml:space="preserve"> </w:t>
      </w:r>
    </w:p>
    <w:p w14:paraId="627394A2" w14:textId="77777777" w:rsidR="00476A46" w:rsidRPr="003F4C4F"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071A018B" w14:textId="77777777" w:rsidR="00476A46" w:rsidRPr="003F4C4F"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0BB9DA30" w14:textId="77777777" w:rsidR="00476A46" w:rsidRPr="008E02F0" w:rsidRDefault="00476A46" w:rsidP="00476A46">
      <w:pPr>
        <w:widowControl/>
        <w:numPr>
          <w:ilvl w:val="0"/>
          <w:numId w:val="1"/>
        </w:numPr>
        <w:tabs>
          <w:tab w:val="clear" w:pos="720"/>
          <w:tab w:val="clear" w:pos="1080"/>
          <w:tab w:val="clear" w:pos="1440"/>
          <w:tab w:val="clear" w:pos="2160"/>
          <w:tab w:val="clear" w:pos="2880"/>
          <w:tab w:val="clear" w:pos="3600"/>
          <w:tab w:val="clear" w:pos="4320"/>
          <w:tab w:val="clear" w:pos="5760"/>
          <w:tab w:val="clear" w:pos="6480"/>
          <w:tab w:val="clear" w:pos="7200"/>
          <w:tab w:val="clear" w:pos="7920"/>
        </w:tabs>
        <w:ind w:left="0" w:firstLine="0"/>
        <w:rPr>
          <w:rFonts w:ascii="Times New Roman" w:hAnsi="Times New Roman"/>
          <w:b/>
          <w:noProof/>
          <w:szCs w:val="22"/>
          <w:lang w:val="pt-BR"/>
        </w:rPr>
      </w:pPr>
      <w:r w:rsidRPr="008E02F0">
        <w:rPr>
          <w:rFonts w:ascii="Times New Roman" w:hAnsi="Times New Roman"/>
          <w:b/>
          <w:szCs w:val="22"/>
          <w:lang w:val="pt-BR"/>
        </w:rPr>
        <w:t>METODOLOGIA</w:t>
      </w:r>
    </w:p>
    <w:p w14:paraId="73F408C0" w14:textId="77777777" w:rsidR="00476A46" w:rsidRPr="008E02F0"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lang w:val="pt-BR"/>
        </w:rPr>
      </w:pPr>
    </w:p>
    <w:p w14:paraId="7400991F"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ind w:firstLine="684"/>
        <w:rPr>
          <w:rFonts w:ascii="Times New Roman" w:hAnsi="Times New Roman"/>
          <w:noProof/>
          <w:szCs w:val="22"/>
          <w:lang w:val="pt-BR"/>
        </w:rPr>
      </w:pPr>
      <w:r w:rsidRPr="008E02F0">
        <w:rPr>
          <w:rFonts w:ascii="Times New Roman" w:hAnsi="Times New Roman"/>
          <w:szCs w:val="22"/>
          <w:lang w:val="pt-BR"/>
        </w:rPr>
        <w:t xml:space="preserve">A seguir, </w:t>
      </w:r>
      <w:r>
        <w:rPr>
          <w:rFonts w:ascii="Times New Roman" w:hAnsi="Times New Roman"/>
          <w:szCs w:val="22"/>
          <w:lang w:val="pt-BR"/>
        </w:rPr>
        <w:t>descrevem</w:t>
      </w:r>
      <w:r w:rsidRPr="008E02F0">
        <w:rPr>
          <w:rFonts w:ascii="Times New Roman" w:hAnsi="Times New Roman"/>
          <w:szCs w:val="22"/>
          <w:lang w:val="pt-BR"/>
        </w:rPr>
        <w:t xml:space="preserve">-se as seguintes diretrizes para a apresentação e negociação do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e, se for o caso, de outros projetos de resolução ou declaração sobre temas da competência do CIDI e coerentes com as linhas estratégicas do pilar de desenvolvimento do Plano Estratégico Integral.</w:t>
      </w:r>
    </w:p>
    <w:p w14:paraId="55FF1F57"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376227CB"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 xml:space="preserve">A Presidência e a Vice-Presidência, com o apoio da Secretaria, apresentarão um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baseado na resolução aprovada em 2019 e em consonância com as áreas temáticas do Plano Estratégico para as quais se registrem resultados concretos ou para os quais a Secretaria necessite diretrizes adicionais dos Estados membros. Esse projeto de resolução será distribuído em março de 2020.</w:t>
      </w:r>
    </w:p>
    <w:p w14:paraId="4B9D72C2"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72485869"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lastRenderedPageBreak/>
        <w:t xml:space="preserve">O projeto de resolução </w:t>
      </w:r>
      <w:r w:rsidRPr="008E02F0">
        <w:rPr>
          <w:rFonts w:ascii="Times New Roman" w:hAnsi="Times New Roman"/>
          <w:i/>
          <w:szCs w:val="22"/>
          <w:lang w:val="pt-BR"/>
        </w:rPr>
        <w:t xml:space="preserve">omnibus </w:t>
      </w:r>
      <w:r w:rsidRPr="008E02F0">
        <w:rPr>
          <w:rFonts w:ascii="Times New Roman" w:hAnsi="Times New Roman"/>
          <w:szCs w:val="22"/>
          <w:lang w:val="pt-BR"/>
        </w:rPr>
        <w:t xml:space="preserve">levará em consideração que os mandatos anteriores aprovados pela Assembleia Geral da OEA continuam vigentes até que a Assembleia Geral decida atualizá-los ou dá-los por cancelados e, por conseguinte, não será necessário repetir ou reiterar esses mandatos. Também levará em conta a disponibilidade de recursos financeiros e humanos para a implementação dos mandatos. </w:t>
      </w:r>
    </w:p>
    <w:p w14:paraId="5C74AF7A" w14:textId="77777777" w:rsidR="00476A46" w:rsidRPr="008E02F0" w:rsidRDefault="00476A46" w:rsidP="00476A46">
      <w:pPr>
        <w:pStyle w:val="ListParagraph"/>
        <w:ind w:left="0"/>
        <w:rPr>
          <w:noProof/>
          <w:sz w:val="22"/>
          <w:szCs w:val="22"/>
          <w:lang w:val="pt-BR"/>
        </w:rPr>
      </w:pPr>
    </w:p>
    <w:p w14:paraId="037CB46A"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 xml:space="preserve">No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serão identificadas as datas de encerramento dos mandatos e se admitirá a possibilidade de estabelecer mandatos bienais ou trienais quando seja conveniente. </w:t>
      </w:r>
    </w:p>
    <w:p w14:paraId="6221F8DC" w14:textId="77777777" w:rsidR="00476A46" w:rsidRPr="008E02F0" w:rsidRDefault="00476A46" w:rsidP="00476A46">
      <w:pPr>
        <w:pStyle w:val="ListParagraph"/>
        <w:ind w:left="0"/>
        <w:rPr>
          <w:noProof/>
          <w:sz w:val="22"/>
          <w:szCs w:val="22"/>
          <w:lang w:val="pt-BR"/>
        </w:rPr>
      </w:pPr>
    </w:p>
    <w:p w14:paraId="4C54EC28"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 xml:space="preserve">Uma vez iniciadas as negociações, se solicitará às delegações que apresentem suas propostas de texto em reuniões formais. É necessário que essas propostas de texto sejam enviadas por escrito à Secretaria, pelo menos </w:t>
      </w:r>
      <w:r w:rsidRPr="008E02F0">
        <w:rPr>
          <w:rFonts w:ascii="Times New Roman" w:hAnsi="Times New Roman"/>
          <w:b/>
          <w:szCs w:val="22"/>
          <w:u w:val="single"/>
          <w:lang w:val="pt-BR"/>
        </w:rPr>
        <w:t>48 horas</w:t>
      </w:r>
      <w:r w:rsidRPr="008E02F0">
        <w:rPr>
          <w:rFonts w:ascii="Times New Roman" w:hAnsi="Times New Roman"/>
          <w:szCs w:val="22"/>
          <w:lang w:val="pt-BR"/>
        </w:rPr>
        <w:t xml:space="preserve"> antes da reunião formal na qual serão apresentadas. Isso permitirá a oportuna tradução e distribuição. </w:t>
      </w:r>
    </w:p>
    <w:p w14:paraId="70F4AB5F" w14:textId="77777777" w:rsidR="00476A46" w:rsidRPr="008E02F0" w:rsidRDefault="00476A46" w:rsidP="00476A46">
      <w:pPr>
        <w:pStyle w:val="ListParagraph"/>
        <w:ind w:left="0"/>
        <w:rPr>
          <w:noProof/>
          <w:sz w:val="22"/>
          <w:szCs w:val="22"/>
          <w:lang w:val="pt-BR"/>
        </w:rPr>
      </w:pPr>
    </w:p>
    <w:p w14:paraId="755F4A7A" w14:textId="64871180"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7F35F9">
        <w:rPr>
          <w:rFonts w:ascii="Times New Roman" w:hAnsi="Times New Roman"/>
          <w:szCs w:val="22"/>
          <w:lang w:val="pt-BR"/>
        </w:rPr>
        <w:t xml:space="preserve">A data limite para a apresentação de propostas de texto novo para inclusão no projeto de resolução </w:t>
      </w:r>
      <w:r w:rsidRPr="007F35F9">
        <w:rPr>
          <w:rFonts w:ascii="Times New Roman" w:hAnsi="Times New Roman"/>
          <w:i/>
          <w:szCs w:val="22"/>
          <w:lang w:val="pt-BR"/>
        </w:rPr>
        <w:t>omnibus</w:t>
      </w:r>
      <w:r w:rsidRPr="007F35F9">
        <w:rPr>
          <w:rFonts w:ascii="Times New Roman" w:hAnsi="Times New Roman"/>
          <w:szCs w:val="22"/>
          <w:lang w:val="pt-BR"/>
        </w:rPr>
        <w:t xml:space="preserve"> ou de projetos de resolução individuais, se for esse o caso, é </w:t>
      </w:r>
      <w:r w:rsidRPr="007F35F9">
        <w:rPr>
          <w:rFonts w:ascii="Times New Roman" w:hAnsi="Times New Roman"/>
          <w:b/>
          <w:bCs/>
          <w:szCs w:val="22"/>
          <w:u w:val="single"/>
          <w:lang w:val="pt-BR"/>
        </w:rPr>
        <w:t>2</w:t>
      </w:r>
      <w:r w:rsidR="00B520F3" w:rsidRPr="007F35F9">
        <w:rPr>
          <w:rFonts w:ascii="Times New Roman" w:hAnsi="Times New Roman"/>
          <w:b/>
          <w:bCs/>
          <w:szCs w:val="22"/>
          <w:u w:val="single"/>
          <w:lang w:val="pt-BR"/>
        </w:rPr>
        <w:t>0</w:t>
      </w:r>
      <w:r w:rsidRPr="007F35F9">
        <w:rPr>
          <w:rFonts w:ascii="Times New Roman" w:hAnsi="Times New Roman"/>
          <w:b/>
          <w:bCs/>
          <w:szCs w:val="22"/>
          <w:u w:val="single"/>
          <w:lang w:val="pt-BR"/>
        </w:rPr>
        <w:t xml:space="preserve"> de </w:t>
      </w:r>
      <w:r w:rsidR="00B520F3" w:rsidRPr="007F35F9">
        <w:rPr>
          <w:rFonts w:ascii="Times New Roman" w:hAnsi="Times New Roman"/>
          <w:b/>
          <w:bCs/>
          <w:szCs w:val="22"/>
          <w:u w:val="single"/>
          <w:lang w:val="pt-BR"/>
        </w:rPr>
        <w:t>agosto</w:t>
      </w:r>
      <w:r w:rsidRPr="007F35F9">
        <w:rPr>
          <w:rFonts w:ascii="Times New Roman" w:hAnsi="Times New Roman"/>
          <w:b/>
          <w:bCs/>
          <w:szCs w:val="22"/>
          <w:u w:val="single"/>
          <w:lang w:val="pt-BR"/>
        </w:rPr>
        <w:t xml:space="preserve"> de 2020</w:t>
      </w:r>
      <w:r w:rsidRPr="007F35F9">
        <w:rPr>
          <w:rFonts w:ascii="Times New Roman" w:hAnsi="Times New Roman"/>
          <w:szCs w:val="22"/>
          <w:lang w:val="pt-BR"/>
        </w:rPr>
        <w:t>. Faz-se um apelo especial para que as delegações apresentem suas propostas dentro do prazo acordado</w:t>
      </w:r>
      <w:r w:rsidRPr="008E02F0">
        <w:rPr>
          <w:rFonts w:ascii="Times New Roman" w:hAnsi="Times New Roman"/>
          <w:szCs w:val="22"/>
          <w:lang w:val="pt-BR"/>
        </w:rPr>
        <w:t>, tanto por disciplina da Comissão como em consideração às delegações que tenham apresentado suas propostas no prazo fixado.</w:t>
      </w:r>
    </w:p>
    <w:p w14:paraId="63B92AF8" w14:textId="77777777" w:rsidR="00476A46" w:rsidRPr="008E02F0" w:rsidRDefault="00476A46" w:rsidP="00476A46">
      <w:pPr>
        <w:pStyle w:val="ListParagraph"/>
        <w:ind w:left="0"/>
        <w:rPr>
          <w:noProof/>
          <w:sz w:val="22"/>
          <w:szCs w:val="22"/>
          <w:lang w:val="pt-BR"/>
        </w:rPr>
      </w:pPr>
    </w:p>
    <w:p w14:paraId="51B267A6"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 xml:space="preserve">Instam-se as delegações a que apresentem textos tão concisos quanto seja possível, em conformidade com o Plano Estratégico da Organização, nas áreas de competência do CIDI e claros com relação à orientação de política ou mandato que se tenta transmitir. </w:t>
      </w:r>
    </w:p>
    <w:p w14:paraId="443F394D" w14:textId="77777777" w:rsidR="00476A46" w:rsidRPr="008E02F0"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noProof/>
          <w:szCs w:val="22"/>
          <w:lang w:val="pt-BR"/>
        </w:rPr>
      </w:pPr>
    </w:p>
    <w:p w14:paraId="48860B53" w14:textId="77777777" w:rsidR="00476A46"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As delegações que apresentem propostas de texto deverão realizar consultas informais com as delegações interessadas, a fim de facilitar um consenso antes da negociação formal na Comissão.</w:t>
      </w:r>
    </w:p>
    <w:p w14:paraId="0BBCB9D3" w14:textId="77777777" w:rsidR="00B520F3" w:rsidRPr="00752359" w:rsidRDefault="00B520F3" w:rsidP="00B520F3">
      <w:pPr>
        <w:rPr>
          <w:noProof/>
          <w:szCs w:val="22"/>
          <w:lang w:val="pt-BR"/>
        </w:rPr>
      </w:pPr>
    </w:p>
    <w:p w14:paraId="2CB736C4" w14:textId="4224AEBC" w:rsidR="00B520F3" w:rsidRPr="007F35F9" w:rsidRDefault="00B520F3" w:rsidP="00B520F3">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7F35F9">
        <w:rPr>
          <w:rFonts w:ascii="Times New Roman" w:hAnsi="Times New Roman"/>
          <w:szCs w:val="22"/>
          <w:lang w:val="pt-BR"/>
        </w:rPr>
        <w:t>A Presidência instruirá as delegações que tenham apresentado propostas de emendas a textos a que realizem negociações informais, a fim de apresentar uma proposta de consenso, que será o texto sobre o qual se deliberará em sessão formal. Isso permitirá o uso eficiente dos recursos disponíveis para sessões formais.</w:t>
      </w:r>
    </w:p>
    <w:p w14:paraId="596D4C83" w14:textId="77777777" w:rsidR="00476A46" w:rsidRPr="00B520F3" w:rsidRDefault="00476A46" w:rsidP="00476A46">
      <w:pPr>
        <w:pStyle w:val="ListParagraph"/>
        <w:ind w:left="0"/>
        <w:rPr>
          <w:noProof/>
          <w:sz w:val="22"/>
          <w:szCs w:val="22"/>
          <w:lang w:val="pt-BR"/>
        </w:rPr>
      </w:pPr>
    </w:p>
    <w:p w14:paraId="511D23DE"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 xml:space="preserve">Os textos para o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que tenham sido negociados, e que tenham obtido consenso nas comissões permanentes do CIDI, serão incorporados tal como sejam recebidos desses órgãos. O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poderá incorporar textos enviados pelo Conselho Permanente ao CIDI, caso se considere que se inserem no pilar de desenvolvimento da OEA; esses textos também serão incorporados como sejam recebidos, uma vez que se presume que tenham sido acordados pelas delegações.</w:t>
      </w:r>
    </w:p>
    <w:p w14:paraId="65F5D32A" w14:textId="77777777" w:rsidR="00476A46" w:rsidRPr="008E02F0" w:rsidRDefault="00476A46" w:rsidP="00476A46">
      <w:pPr>
        <w:pStyle w:val="ListParagraph"/>
        <w:ind w:left="0"/>
        <w:rPr>
          <w:noProof/>
          <w:sz w:val="22"/>
          <w:szCs w:val="22"/>
          <w:lang w:val="pt-BR"/>
        </w:rPr>
      </w:pPr>
    </w:p>
    <w:p w14:paraId="22B2D218"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A negociação dos parágrafos deverá centrar-se na substância de seu conteúdo e não no estilo da redação. Quando se apresentem dificuldades para alcançar o consenso sobre uma proposta concreta, a Presidência solicitará à delegação proponente que mantenha negociações informais com as delegações interessadas para superar os obstáculos existentes.</w:t>
      </w:r>
    </w:p>
    <w:p w14:paraId="4132A268" w14:textId="77777777" w:rsidR="00476A46" w:rsidRPr="008E02F0" w:rsidRDefault="00476A46" w:rsidP="00476A46">
      <w:pPr>
        <w:pStyle w:val="ListParagraph"/>
        <w:ind w:left="0"/>
        <w:rPr>
          <w:noProof/>
          <w:sz w:val="22"/>
          <w:szCs w:val="22"/>
          <w:lang w:val="pt-BR"/>
        </w:rPr>
      </w:pPr>
    </w:p>
    <w:p w14:paraId="4E8D58C1" w14:textId="28D778FC"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7F35F9">
        <w:rPr>
          <w:rFonts w:ascii="Times New Roman" w:hAnsi="Times New Roman"/>
          <w:szCs w:val="22"/>
          <w:lang w:val="pt-BR"/>
        </w:rPr>
        <w:t xml:space="preserve">A última reunião da CPD para a negociação da resolução </w:t>
      </w:r>
      <w:r w:rsidRPr="007F35F9">
        <w:rPr>
          <w:rFonts w:ascii="Times New Roman" w:hAnsi="Times New Roman"/>
          <w:i/>
          <w:szCs w:val="22"/>
          <w:lang w:val="pt-BR"/>
        </w:rPr>
        <w:t>omnibus</w:t>
      </w:r>
      <w:r w:rsidRPr="007F35F9">
        <w:rPr>
          <w:rFonts w:ascii="Times New Roman" w:hAnsi="Times New Roman"/>
          <w:szCs w:val="22"/>
          <w:lang w:val="pt-BR"/>
        </w:rPr>
        <w:t xml:space="preserve"> será realizada em </w:t>
      </w:r>
      <w:r w:rsidR="00B520F3" w:rsidRPr="007F35F9">
        <w:rPr>
          <w:rFonts w:ascii="Times New Roman" w:hAnsi="Times New Roman"/>
          <w:b/>
          <w:bCs/>
          <w:szCs w:val="22"/>
          <w:u w:val="single"/>
          <w:lang w:val="pt-BR"/>
        </w:rPr>
        <w:t>6</w:t>
      </w:r>
      <w:r w:rsidRPr="007F35F9">
        <w:rPr>
          <w:rFonts w:ascii="Times New Roman" w:hAnsi="Times New Roman"/>
          <w:b/>
          <w:bCs/>
          <w:szCs w:val="22"/>
          <w:u w:val="single"/>
          <w:lang w:val="pt-BR"/>
        </w:rPr>
        <w:t xml:space="preserve"> de </w:t>
      </w:r>
      <w:r w:rsidR="00B520F3" w:rsidRPr="007F35F9">
        <w:rPr>
          <w:rFonts w:ascii="Times New Roman" w:hAnsi="Times New Roman"/>
          <w:b/>
          <w:bCs/>
          <w:szCs w:val="22"/>
          <w:u w:val="single"/>
          <w:lang w:val="pt-BR"/>
        </w:rPr>
        <w:t>outubro</w:t>
      </w:r>
      <w:r w:rsidRPr="007F35F9">
        <w:rPr>
          <w:rFonts w:ascii="Times New Roman" w:hAnsi="Times New Roman"/>
          <w:b/>
          <w:bCs/>
          <w:szCs w:val="22"/>
          <w:u w:val="single"/>
          <w:lang w:val="pt-BR"/>
        </w:rPr>
        <w:t xml:space="preserve"> de 2020</w:t>
      </w:r>
      <w:r w:rsidRPr="007F35F9">
        <w:rPr>
          <w:rFonts w:ascii="Times New Roman" w:hAnsi="Times New Roman"/>
          <w:szCs w:val="22"/>
          <w:lang w:val="pt-BR"/>
        </w:rPr>
        <w:t>, para que</w:t>
      </w:r>
      <w:r w:rsidRPr="008E02F0">
        <w:rPr>
          <w:rFonts w:ascii="Times New Roman" w:hAnsi="Times New Roman"/>
          <w:szCs w:val="22"/>
          <w:lang w:val="pt-BR"/>
        </w:rPr>
        <w:t xml:space="preserve"> a Comissão a submeta à consideração e concordância do CIDI para </w:t>
      </w:r>
      <w:r w:rsidRPr="008E02F0">
        <w:rPr>
          <w:rFonts w:ascii="Times New Roman" w:hAnsi="Times New Roman"/>
          <w:szCs w:val="22"/>
          <w:lang w:val="pt-BR"/>
        </w:rPr>
        <w:lastRenderedPageBreak/>
        <w:t xml:space="preserve">posterior encaminhamento à Assembleia Geral. Caso, no último dia das negociações, ainda haja parágrafos não acordados, a CPD enviará o projeto de resolução ao CIDI no estado em que se encontre. </w:t>
      </w:r>
    </w:p>
    <w:p w14:paraId="1F92D050"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5E4E4BA0"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A Secretaria manterá um registro das negociações, levando em conta a redação das propostas originais. Para facilitar as negociações, a Secretaria preservará a numeração dos parágrafos preambulares e dispositivos ao longo do processo de negociação e a numeração será ajustada, conforme seja necessário, uma vez que a Comissão tenha acordado a versão final.</w:t>
      </w:r>
    </w:p>
    <w:p w14:paraId="7CB82CA9" w14:textId="77777777" w:rsidR="00476A46" w:rsidRPr="008E02F0" w:rsidRDefault="00476A46" w:rsidP="00476A46">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pt-BR"/>
        </w:rPr>
      </w:pPr>
    </w:p>
    <w:p w14:paraId="4096530B" w14:textId="77777777" w:rsidR="00476A46" w:rsidRPr="008E02F0" w:rsidRDefault="00476A46" w:rsidP="00476A46">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hanging="720"/>
        <w:contextualSpacing/>
        <w:rPr>
          <w:rFonts w:ascii="Times New Roman" w:hAnsi="Times New Roman"/>
          <w:noProof/>
          <w:szCs w:val="22"/>
          <w:lang w:val="pt-BR"/>
        </w:rPr>
      </w:pPr>
      <w:r w:rsidRPr="008E02F0">
        <w:rPr>
          <w:rFonts w:ascii="Times New Roman" w:hAnsi="Times New Roman"/>
          <w:szCs w:val="22"/>
          <w:lang w:val="pt-BR"/>
        </w:rPr>
        <w:t xml:space="preserve">De acordo com a resolução CP/RES. 983 (1797/11), “Atualização da resolução CP/RES. 965 (1733/09) no que se refere à estimativa de custos de resoluções a serem submetidas à consideração da Assembleia General”, os projetos de resolução que contenham mandatos com implicações orçamentárias deverão ater-se ao procedimento contemplado no anexo I do documento </w:t>
      </w:r>
      <w:hyperlink r:id="rId8" w:history="1">
        <w:r w:rsidRPr="008E02F0">
          <w:rPr>
            <w:rStyle w:val="Hyperlink"/>
            <w:rFonts w:ascii="Times New Roman" w:hAnsi="Times New Roman"/>
            <w:color w:val="auto"/>
            <w:szCs w:val="22"/>
            <w:lang w:val="pt-BR"/>
          </w:rPr>
          <w:t>CP/CAAP-3</w:t>
        </w:r>
        <w:bookmarkStart w:id="0" w:name="_Hlt1132180"/>
        <w:bookmarkStart w:id="1" w:name="_Hlt1132181"/>
        <w:r w:rsidRPr="008E02F0">
          <w:rPr>
            <w:rStyle w:val="Hyperlink"/>
            <w:rFonts w:ascii="Times New Roman" w:hAnsi="Times New Roman"/>
            <w:color w:val="auto"/>
            <w:szCs w:val="22"/>
            <w:lang w:val="pt-BR"/>
          </w:rPr>
          <w:t>0</w:t>
        </w:r>
        <w:bookmarkEnd w:id="0"/>
        <w:bookmarkEnd w:id="1"/>
        <w:r w:rsidRPr="008E02F0">
          <w:rPr>
            <w:rStyle w:val="Hyperlink"/>
            <w:rFonts w:ascii="Times New Roman" w:hAnsi="Times New Roman"/>
            <w:color w:val="auto"/>
            <w:szCs w:val="22"/>
            <w:lang w:val="pt-BR"/>
          </w:rPr>
          <w:t>98/11</w:t>
        </w:r>
      </w:hyperlink>
      <w:r w:rsidRPr="008E02F0">
        <w:rPr>
          <w:rFonts w:ascii="Times New Roman" w:hAnsi="Times New Roman"/>
          <w:szCs w:val="22"/>
          <w:lang w:val="pt-BR"/>
        </w:rPr>
        <w:t xml:space="preserve"> rev. 3, “Processo de estimativa de custos de resoluções”.</w:t>
      </w:r>
    </w:p>
    <w:p w14:paraId="61FCAC61" w14:textId="77777777" w:rsidR="00476A46" w:rsidRPr="008E02F0" w:rsidRDefault="00476A46" w:rsidP="00476A46">
      <w:pPr>
        <w:rPr>
          <w:rFonts w:ascii="Times New Roman" w:hAnsi="Times New Roman"/>
          <w:b/>
          <w:szCs w:val="22"/>
          <w:u w:val="single"/>
          <w:lang w:val="pt-BR"/>
        </w:rPr>
      </w:pPr>
    </w:p>
    <w:p w14:paraId="356DE7D8" w14:textId="77777777" w:rsidR="00476A46" w:rsidRPr="008E02F0" w:rsidRDefault="00476A46" w:rsidP="00476A46">
      <w:pPr>
        <w:rPr>
          <w:rFonts w:ascii="Times New Roman" w:hAnsi="Times New Roman"/>
          <w:b/>
          <w:szCs w:val="22"/>
          <w:u w:val="single"/>
          <w:lang w:val="pt-BR"/>
        </w:rPr>
      </w:pPr>
    </w:p>
    <w:p w14:paraId="546424CE" w14:textId="77777777" w:rsidR="00476A46" w:rsidRPr="008E02F0" w:rsidRDefault="00476A46" w:rsidP="00476A46">
      <w:pPr>
        <w:jc w:val="center"/>
        <w:rPr>
          <w:rFonts w:ascii="Times New Roman" w:hAnsi="Times New Roman"/>
          <w:b/>
          <w:szCs w:val="22"/>
          <w:u w:val="single"/>
          <w:lang w:val="pt-BR"/>
        </w:rPr>
      </w:pPr>
      <w:r w:rsidRPr="008E02F0">
        <w:rPr>
          <w:rFonts w:ascii="Times New Roman" w:hAnsi="Times New Roman"/>
          <w:b/>
          <w:szCs w:val="22"/>
          <w:u w:val="single"/>
          <w:lang w:val="pt-BR"/>
        </w:rPr>
        <w:t>Datas do processo de negociação na CPD de projeto(s) de resolução do CIDI</w:t>
      </w:r>
    </w:p>
    <w:p w14:paraId="20E4DCC9" w14:textId="77777777" w:rsidR="00476A46" w:rsidRPr="008E02F0" w:rsidRDefault="00476A46" w:rsidP="00476A46">
      <w:pPr>
        <w:jc w:val="center"/>
        <w:rPr>
          <w:rFonts w:ascii="Times New Roman" w:hAnsi="Times New Roman"/>
          <w:b/>
          <w:noProof/>
          <w:szCs w:val="22"/>
          <w:u w:val="single"/>
          <w:lang w:val="pt-BR"/>
        </w:rPr>
      </w:pPr>
      <w:r w:rsidRPr="008E02F0">
        <w:rPr>
          <w:rFonts w:ascii="Times New Roman" w:hAnsi="Times New Roman"/>
          <w:b/>
          <w:szCs w:val="22"/>
          <w:u w:val="single"/>
          <w:lang w:val="pt-BR"/>
        </w:rPr>
        <w:t>para a Assembleia Geral - 2020</w:t>
      </w:r>
    </w:p>
    <w:p w14:paraId="06F6DEB8" w14:textId="77777777" w:rsidR="00476A46" w:rsidRPr="008E02F0" w:rsidRDefault="00476A46" w:rsidP="00476A46">
      <w:pPr>
        <w:tabs>
          <w:tab w:val="left" w:pos="1710"/>
        </w:tabs>
        <w:rPr>
          <w:rFonts w:ascii="Times New Roman" w:hAnsi="Times New Roman"/>
          <w:noProof/>
          <w:szCs w:val="22"/>
          <w:lang w:val="pt-BR"/>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63"/>
        <w:gridCol w:w="3079"/>
        <w:gridCol w:w="3079"/>
      </w:tblGrid>
      <w:tr w:rsidR="00476A46" w:rsidRPr="00123710" w14:paraId="2FF4AE0D" w14:textId="77777777" w:rsidTr="00AA63AE">
        <w:trPr>
          <w:trHeight w:val="403"/>
        </w:trPr>
        <w:tc>
          <w:tcPr>
            <w:tcW w:w="3015" w:type="dxa"/>
            <w:tcBorders>
              <w:top w:val="single" w:sz="4" w:space="0" w:color="auto"/>
              <w:left w:val="single" w:sz="4" w:space="0" w:color="auto"/>
              <w:bottom w:val="single" w:sz="4" w:space="0" w:color="auto"/>
              <w:right w:val="single" w:sz="4" w:space="0" w:color="auto"/>
            </w:tcBorders>
            <w:vAlign w:val="center"/>
          </w:tcPr>
          <w:p w14:paraId="47CAE833" w14:textId="77777777" w:rsidR="00476A46" w:rsidRPr="008E02F0" w:rsidRDefault="00476A46" w:rsidP="00AA63AE">
            <w:pPr>
              <w:tabs>
                <w:tab w:val="center" w:pos="6480"/>
              </w:tabs>
              <w:snapToGrid w:val="0"/>
              <w:jc w:val="center"/>
              <w:rPr>
                <w:rFonts w:ascii="Times New Roman" w:hAnsi="Times New Roman"/>
                <w:szCs w:val="22"/>
                <w:lang w:val="pt-BR"/>
              </w:rPr>
            </w:pPr>
            <w:r w:rsidRPr="008E02F0">
              <w:rPr>
                <w:rFonts w:ascii="Times New Roman" w:hAnsi="Times New Roman"/>
                <w:szCs w:val="22"/>
                <w:lang w:val="pt-BR"/>
              </w:rPr>
              <w:t>18 de fevereiro de 2020</w:t>
            </w:r>
          </w:p>
        </w:tc>
        <w:tc>
          <w:tcPr>
            <w:tcW w:w="6221" w:type="dxa"/>
            <w:gridSpan w:val="3"/>
            <w:tcBorders>
              <w:top w:val="single" w:sz="4" w:space="0" w:color="auto"/>
              <w:left w:val="single" w:sz="4" w:space="0" w:color="auto"/>
              <w:bottom w:val="single" w:sz="4" w:space="0" w:color="auto"/>
              <w:right w:val="single" w:sz="4" w:space="0" w:color="auto"/>
            </w:tcBorders>
            <w:vAlign w:val="center"/>
          </w:tcPr>
          <w:p w14:paraId="4E3ABE93" w14:textId="77777777" w:rsidR="00476A46" w:rsidRPr="008E02F0" w:rsidRDefault="00476A46" w:rsidP="00476A46">
            <w:pPr>
              <w:numPr>
                <w:ilvl w:val="0"/>
                <w:numId w:val="10"/>
              </w:numPr>
              <w:tabs>
                <w:tab w:val="clear" w:pos="720"/>
                <w:tab w:val="left" w:pos="403"/>
              </w:tabs>
              <w:ind w:left="403" w:hanging="180"/>
              <w:jc w:val="left"/>
              <w:rPr>
                <w:rFonts w:ascii="Times New Roman" w:hAnsi="Times New Roman"/>
                <w:szCs w:val="22"/>
                <w:lang w:val="pt-BR"/>
              </w:rPr>
            </w:pPr>
            <w:r w:rsidRPr="008E02F0">
              <w:rPr>
                <w:rFonts w:ascii="Times New Roman" w:hAnsi="Times New Roman"/>
                <w:szCs w:val="22"/>
                <w:lang w:val="pt-BR"/>
              </w:rPr>
              <w:t>Consideração e aprovação da proposta de metodologia para a negociação de projeto(s) de resolução</w:t>
            </w:r>
          </w:p>
          <w:p w14:paraId="3EADE345" w14:textId="77777777" w:rsidR="00476A46" w:rsidRPr="008E02F0" w:rsidRDefault="00476A46" w:rsidP="00AA63AE">
            <w:pPr>
              <w:tabs>
                <w:tab w:val="clear" w:pos="720"/>
                <w:tab w:val="left" w:pos="403"/>
              </w:tabs>
              <w:ind w:left="403"/>
              <w:jc w:val="left"/>
              <w:rPr>
                <w:rFonts w:ascii="Times New Roman" w:hAnsi="Times New Roman"/>
                <w:szCs w:val="22"/>
                <w:lang w:val="pt-BR"/>
              </w:rPr>
            </w:pPr>
          </w:p>
        </w:tc>
      </w:tr>
      <w:tr w:rsidR="00476A46" w:rsidRPr="00123710" w14:paraId="3BCB73C2" w14:textId="77777777" w:rsidTr="002558BC">
        <w:trPr>
          <w:trHeight w:val="403"/>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58C5F659" w14:textId="77777777" w:rsidR="00476A46" w:rsidRPr="002558BC" w:rsidRDefault="00476A46" w:rsidP="00AA63AE">
            <w:pPr>
              <w:tabs>
                <w:tab w:val="center" w:pos="6480"/>
              </w:tabs>
              <w:snapToGrid w:val="0"/>
              <w:jc w:val="center"/>
              <w:rPr>
                <w:rFonts w:ascii="Times New Roman" w:hAnsi="Times New Roman"/>
                <w:bCs/>
                <w:szCs w:val="22"/>
                <w:lang w:val="pt-BR"/>
              </w:rPr>
            </w:pPr>
            <w:r w:rsidRPr="002558BC">
              <w:rPr>
                <w:rFonts w:ascii="Times New Roman" w:hAnsi="Times New Roman"/>
                <w:bCs/>
                <w:szCs w:val="22"/>
                <w:lang w:val="pt-BR"/>
              </w:rPr>
              <w:t>13 de março de 2020</w:t>
            </w:r>
          </w:p>
        </w:tc>
        <w:tc>
          <w:tcPr>
            <w:tcW w:w="6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889511" w14:textId="77777777" w:rsidR="00476A46" w:rsidRPr="002558BC" w:rsidRDefault="00476A46" w:rsidP="00476A46">
            <w:pPr>
              <w:numPr>
                <w:ilvl w:val="0"/>
                <w:numId w:val="10"/>
              </w:numPr>
              <w:tabs>
                <w:tab w:val="clear" w:pos="720"/>
                <w:tab w:val="left" w:pos="403"/>
              </w:tabs>
              <w:ind w:left="403" w:hanging="180"/>
              <w:jc w:val="left"/>
              <w:rPr>
                <w:rFonts w:ascii="Times New Roman" w:hAnsi="Times New Roman"/>
                <w:bCs/>
                <w:szCs w:val="22"/>
                <w:lang w:val="pt-BR"/>
              </w:rPr>
            </w:pPr>
            <w:r w:rsidRPr="002558BC">
              <w:rPr>
                <w:rFonts w:ascii="Times New Roman" w:hAnsi="Times New Roman"/>
                <w:bCs/>
                <w:szCs w:val="22"/>
                <w:lang w:val="pt-BR"/>
              </w:rPr>
              <w:t xml:space="preserve">Prazo para a distribuição da versão preliminar do projeto de resolução </w:t>
            </w:r>
            <w:r w:rsidRPr="002558BC">
              <w:rPr>
                <w:rFonts w:ascii="Times New Roman" w:hAnsi="Times New Roman"/>
                <w:bCs/>
                <w:i/>
                <w:iCs/>
                <w:szCs w:val="22"/>
                <w:lang w:val="pt-BR"/>
              </w:rPr>
              <w:t>omnibus</w:t>
            </w:r>
            <w:r w:rsidRPr="002558BC">
              <w:rPr>
                <w:rFonts w:ascii="Times New Roman" w:hAnsi="Times New Roman"/>
                <w:bCs/>
                <w:szCs w:val="22"/>
                <w:lang w:val="pt-BR"/>
              </w:rPr>
              <w:t xml:space="preserve"> a ser elaborada pela Secretaria</w:t>
            </w:r>
          </w:p>
        </w:tc>
      </w:tr>
      <w:tr w:rsidR="00476A46" w:rsidRPr="00123710" w14:paraId="49FDB8C1" w14:textId="77777777" w:rsidTr="002558BC">
        <w:trPr>
          <w:trHeight w:val="403"/>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4B75E" w14:textId="77777777" w:rsidR="00476A46" w:rsidRPr="008E02F0" w:rsidRDefault="00476A46" w:rsidP="00AA63AE">
            <w:pPr>
              <w:tabs>
                <w:tab w:val="center" w:pos="6480"/>
              </w:tabs>
              <w:snapToGrid w:val="0"/>
              <w:jc w:val="center"/>
              <w:rPr>
                <w:rFonts w:ascii="Times New Roman" w:hAnsi="Times New Roman"/>
                <w:noProof/>
                <w:szCs w:val="22"/>
                <w:lang w:val="pt-BR"/>
              </w:rPr>
            </w:pPr>
            <w:r>
              <w:rPr>
                <w:rFonts w:ascii="Times New Roman" w:hAnsi="Times New Roman"/>
                <w:szCs w:val="22"/>
                <w:lang w:val="pt-BR"/>
              </w:rPr>
              <w:t>18</w:t>
            </w:r>
            <w:r w:rsidRPr="008E02F0">
              <w:rPr>
                <w:rFonts w:ascii="Times New Roman" w:hAnsi="Times New Roman"/>
                <w:szCs w:val="22"/>
                <w:lang w:val="pt-BR"/>
              </w:rPr>
              <w:t xml:space="preserve"> de março de 2020</w:t>
            </w:r>
          </w:p>
        </w:tc>
        <w:tc>
          <w:tcPr>
            <w:tcW w:w="6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9B351E" w14:textId="77777777" w:rsidR="00476A46" w:rsidRPr="008E02F0" w:rsidRDefault="00476A46" w:rsidP="00476A46">
            <w:pPr>
              <w:numPr>
                <w:ilvl w:val="0"/>
                <w:numId w:val="10"/>
              </w:numPr>
              <w:tabs>
                <w:tab w:val="clear" w:pos="720"/>
                <w:tab w:val="left" w:pos="403"/>
              </w:tabs>
              <w:ind w:left="403" w:hanging="180"/>
              <w:jc w:val="left"/>
              <w:rPr>
                <w:rFonts w:ascii="Times New Roman" w:hAnsi="Times New Roman"/>
                <w:szCs w:val="22"/>
                <w:lang w:val="pt-BR"/>
              </w:rPr>
            </w:pPr>
            <w:r w:rsidRPr="008E02F0">
              <w:rPr>
                <w:rFonts w:ascii="Times New Roman" w:hAnsi="Times New Roman"/>
                <w:szCs w:val="22"/>
                <w:lang w:val="pt-BR"/>
              </w:rPr>
              <w:t xml:space="preserve">Apresentação da versão preliminar do projeto de resolução </w:t>
            </w:r>
            <w:r w:rsidRPr="008E02F0">
              <w:rPr>
                <w:rFonts w:ascii="Times New Roman" w:hAnsi="Times New Roman"/>
                <w:i/>
                <w:szCs w:val="22"/>
                <w:lang w:val="pt-BR"/>
              </w:rPr>
              <w:t>omnibus</w:t>
            </w:r>
            <w:r w:rsidRPr="008E02F0">
              <w:rPr>
                <w:rFonts w:ascii="Times New Roman" w:hAnsi="Times New Roman"/>
                <w:szCs w:val="22"/>
                <w:lang w:val="pt-BR"/>
              </w:rPr>
              <w:t xml:space="preserve"> </w:t>
            </w:r>
          </w:p>
          <w:p w14:paraId="2B517A92" w14:textId="77777777" w:rsidR="00476A46" w:rsidRPr="008E02F0" w:rsidRDefault="00476A46" w:rsidP="00AA63AE">
            <w:pPr>
              <w:tabs>
                <w:tab w:val="clear" w:pos="720"/>
                <w:tab w:val="left" w:pos="403"/>
              </w:tabs>
              <w:ind w:hanging="497"/>
              <w:jc w:val="left"/>
              <w:rPr>
                <w:rFonts w:ascii="Times New Roman" w:hAnsi="Times New Roman"/>
                <w:szCs w:val="22"/>
                <w:lang w:val="pt-BR"/>
              </w:rPr>
            </w:pPr>
          </w:p>
          <w:p w14:paraId="6FD7EF21" w14:textId="77777777" w:rsidR="00476A46" w:rsidRPr="008E02F0" w:rsidRDefault="00476A46" w:rsidP="00476A46">
            <w:pPr>
              <w:numPr>
                <w:ilvl w:val="0"/>
                <w:numId w:val="10"/>
              </w:numPr>
              <w:tabs>
                <w:tab w:val="clear" w:pos="720"/>
                <w:tab w:val="left" w:pos="403"/>
              </w:tabs>
              <w:ind w:hanging="497"/>
              <w:jc w:val="left"/>
              <w:rPr>
                <w:rFonts w:ascii="Times New Roman" w:hAnsi="Times New Roman"/>
                <w:noProof/>
                <w:szCs w:val="22"/>
                <w:lang w:val="pt-BR"/>
              </w:rPr>
            </w:pPr>
            <w:r w:rsidRPr="008E02F0">
              <w:rPr>
                <w:rFonts w:ascii="Times New Roman" w:hAnsi="Times New Roman"/>
                <w:szCs w:val="22"/>
                <w:lang w:val="pt-BR"/>
              </w:rPr>
              <w:t>Apresentação de propostas de textos dos Estados membros</w:t>
            </w:r>
          </w:p>
        </w:tc>
      </w:tr>
      <w:tr w:rsidR="00476A46" w:rsidRPr="00123710" w14:paraId="285DC5CA" w14:textId="77777777" w:rsidTr="002558BC">
        <w:trPr>
          <w:trHeight w:val="403"/>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25A59004" w14:textId="2C35ECC7" w:rsidR="00476A46" w:rsidRPr="007F35F9" w:rsidRDefault="00B520F3" w:rsidP="00AA63AE">
            <w:pPr>
              <w:tabs>
                <w:tab w:val="center" w:pos="6480"/>
              </w:tabs>
              <w:snapToGrid w:val="0"/>
              <w:jc w:val="center"/>
              <w:rPr>
                <w:rFonts w:ascii="Times New Roman" w:hAnsi="Times New Roman"/>
                <w:szCs w:val="22"/>
                <w:lang w:val="pt-BR"/>
              </w:rPr>
            </w:pPr>
            <w:r w:rsidRPr="007F35F9">
              <w:rPr>
                <w:rFonts w:ascii="Times New Roman" w:hAnsi="Times New Roman"/>
                <w:szCs w:val="22"/>
                <w:lang w:val="pt-BR"/>
              </w:rPr>
              <w:t>9 de junho</w:t>
            </w:r>
            <w:r w:rsidR="00476A46" w:rsidRPr="007F35F9">
              <w:rPr>
                <w:rFonts w:ascii="Times New Roman" w:hAnsi="Times New Roman"/>
                <w:szCs w:val="22"/>
                <w:lang w:val="pt-BR"/>
              </w:rPr>
              <w:t xml:space="preserve"> de 2020</w:t>
            </w:r>
          </w:p>
        </w:tc>
        <w:tc>
          <w:tcPr>
            <w:tcW w:w="6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2C35E" w14:textId="2CD8B8A7" w:rsidR="00476A46" w:rsidRPr="007F35F9" w:rsidRDefault="00B520F3" w:rsidP="00476A46">
            <w:pPr>
              <w:numPr>
                <w:ilvl w:val="0"/>
                <w:numId w:val="10"/>
              </w:numPr>
              <w:tabs>
                <w:tab w:val="clear" w:pos="720"/>
                <w:tab w:val="left" w:pos="403"/>
              </w:tabs>
              <w:ind w:left="403" w:hanging="180"/>
              <w:jc w:val="left"/>
              <w:rPr>
                <w:rFonts w:ascii="Times New Roman" w:hAnsi="Times New Roman"/>
                <w:szCs w:val="22"/>
                <w:lang w:val="pt-BR"/>
              </w:rPr>
            </w:pPr>
            <w:r w:rsidRPr="007F35F9">
              <w:rPr>
                <w:rFonts w:ascii="Times New Roman" w:hAnsi="Times New Roman"/>
                <w:szCs w:val="22"/>
                <w:lang w:val="pt-BR"/>
              </w:rPr>
              <w:t>Acordo sobre nova data limite para a apresentação de propostas</w:t>
            </w:r>
          </w:p>
        </w:tc>
      </w:tr>
      <w:tr w:rsidR="00476A46" w:rsidRPr="00123710" w14:paraId="10E0CABA" w14:textId="77777777" w:rsidTr="002558BC">
        <w:trPr>
          <w:trHeight w:val="403"/>
        </w:trPr>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14:paraId="3079ABA7" w14:textId="1F8C39A5" w:rsidR="00476A46" w:rsidRPr="007F35F9" w:rsidRDefault="007D33F9" w:rsidP="007D33F9">
            <w:pPr>
              <w:tabs>
                <w:tab w:val="center" w:pos="6480"/>
              </w:tabs>
              <w:snapToGrid w:val="0"/>
              <w:jc w:val="center"/>
              <w:rPr>
                <w:rFonts w:ascii="Times New Roman" w:hAnsi="Times New Roman"/>
                <w:szCs w:val="22"/>
                <w:lang w:val="pt-BR"/>
              </w:rPr>
            </w:pPr>
            <w:r w:rsidRPr="007F35F9">
              <w:rPr>
                <w:rFonts w:ascii="Times New Roman" w:hAnsi="Times New Roman"/>
                <w:szCs w:val="22"/>
                <w:lang w:val="pt-BR"/>
              </w:rPr>
              <w:t>10</w:t>
            </w:r>
            <w:r w:rsidR="00476A46" w:rsidRPr="007F35F9">
              <w:rPr>
                <w:rFonts w:ascii="Times New Roman" w:hAnsi="Times New Roman"/>
                <w:szCs w:val="22"/>
                <w:lang w:val="pt-BR"/>
              </w:rPr>
              <w:t xml:space="preserve"> de </w:t>
            </w:r>
            <w:r w:rsidRPr="007F35F9">
              <w:rPr>
                <w:rFonts w:ascii="Times New Roman" w:hAnsi="Times New Roman"/>
                <w:szCs w:val="22"/>
                <w:lang w:val="pt-BR"/>
              </w:rPr>
              <w:t>julho</w:t>
            </w:r>
            <w:r w:rsidR="00476A46" w:rsidRPr="007F35F9">
              <w:rPr>
                <w:rFonts w:ascii="Times New Roman" w:hAnsi="Times New Roman"/>
                <w:szCs w:val="22"/>
                <w:lang w:val="pt-BR"/>
              </w:rPr>
              <w:t xml:space="preserve"> de 2020</w:t>
            </w:r>
          </w:p>
        </w:tc>
        <w:tc>
          <w:tcPr>
            <w:tcW w:w="62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AF445" w14:textId="77777777" w:rsidR="00476A46" w:rsidRPr="007F35F9" w:rsidRDefault="00476A46" w:rsidP="00AA63AE">
            <w:pPr>
              <w:tabs>
                <w:tab w:val="left" w:pos="405"/>
              </w:tabs>
              <w:snapToGrid w:val="0"/>
              <w:jc w:val="left"/>
              <w:rPr>
                <w:rFonts w:ascii="Times New Roman" w:hAnsi="Times New Roman"/>
                <w:szCs w:val="22"/>
                <w:lang w:val="pt-BR"/>
              </w:rPr>
            </w:pPr>
          </w:p>
          <w:p w14:paraId="0D39C34D" w14:textId="665DC6CF" w:rsidR="00476A46" w:rsidRPr="007F35F9" w:rsidRDefault="007D33F9" w:rsidP="00476A46">
            <w:pPr>
              <w:numPr>
                <w:ilvl w:val="0"/>
                <w:numId w:val="10"/>
              </w:numPr>
              <w:tabs>
                <w:tab w:val="left" w:pos="405"/>
              </w:tabs>
              <w:snapToGrid w:val="0"/>
              <w:ind w:hanging="497"/>
              <w:jc w:val="left"/>
              <w:rPr>
                <w:rFonts w:ascii="Times New Roman" w:hAnsi="Times New Roman"/>
                <w:szCs w:val="22"/>
                <w:lang w:val="pt-BR"/>
              </w:rPr>
            </w:pPr>
            <w:r w:rsidRPr="007F35F9">
              <w:rPr>
                <w:rFonts w:ascii="Times New Roman" w:hAnsi="Times New Roman"/>
                <w:szCs w:val="22"/>
                <w:lang w:val="pt-BR"/>
              </w:rPr>
              <w:t xml:space="preserve">Início da leitura do projeto de resolução </w:t>
            </w:r>
            <w:r w:rsidRPr="007F35F9">
              <w:rPr>
                <w:rFonts w:ascii="Times New Roman" w:hAnsi="Times New Roman"/>
                <w:i/>
                <w:szCs w:val="22"/>
                <w:lang w:val="pt-BR"/>
              </w:rPr>
              <w:t>omnibus</w:t>
            </w:r>
          </w:p>
          <w:p w14:paraId="7C061857" w14:textId="77777777" w:rsidR="00476A46" w:rsidRPr="007F35F9" w:rsidRDefault="00476A46" w:rsidP="00AA63AE">
            <w:pPr>
              <w:tabs>
                <w:tab w:val="left" w:pos="405"/>
              </w:tabs>
              <w:snapToGrid w:val="0"/>
              <w:jc w:val="left"/>
              <w:rPr>
                <w:rFonts w:ascii="Times New Roman" w:hAnsi="Times New Roman"/>
                <w:szCs w:val="22"/>
                <w:lang w:val="pt-BR"/>
              </w:rPr>
            </w:pPr>
          </w:p>
        </w:tc>
      </w:tr>
      <w:tr w:rsidR="007D33F9" w:rsidRPr="00123710" w14:paraId="38B4E1BB" w14:textId="77777777" w:rsidTr="002558BC">
        <w:trPr>
          <w:trHeight w:val="580"/>
        </w:trPr>
        <w:tc>
          <w:tcPr>
            <w:tcW w:w="923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36DFA9A" w14:textId="3126E3AC" w:rsidR="007D33F9" w:rsidRPr="00752359" w:rsidRDefault="007D33F9" w:rsidP="007D33F9">
            <w:pPr>
              <w:jc w:val="center"/>
              <w:rPr>
                <w:b/>
                <w:szCs w:val="22"/>
                <w:lang w:val="pt-BR"/>
              </w:rPr>
            </w:pPr>
            <w:r w:rsidRPr="00752359">
              <w:rPr>
                <w:b/>
                <w:szCs w:val="22"/>
                <w:lang w:val="pt-BR"/>
              </w:rPr>
              <w:t xml:space="preserve">20 DE AGOSTO 20  </w:t>
            </w:r>
          </w:p>
          <w:p w14:paraId="2D33A3FD" w14:textId="5529354B" w:rsidR="007D33F9" w:rsidRPr="00752359" w:rsidRDefault="007D33F9" w:rsidP="007D33F9">
            <w:pPr>
              <w:rPr>
                <w:szCs w:val="22"/>
                <w:lang w:val="pt-BR"/>
              </w:rPr>
            </w:pPr>
            <w:r w:rsidRPr="00752359">
              <w:rPr>
                <w:szCs w:val="22"/>
                <w:lang w:val="pt-BR"/>
              </w:rPr>
              <w:t>DATA LIMITE PARA A APRESENTAÇÃO DE NOVAS PROPOSTAS PARA O PROJETO DE RESOLUÇÃO OMNIBUS OU NOVOS PROJETOS DE RESOLUÇÃO</w:t>
            </w:r>
          </w:p>
          <w:p w14:paraId="7D015F60" w14:textId="77777777" w:rsidR="007D33F9" w:rsidRPr="00752359" w:rsidRDefault="007D33F9" w:rsidP="00AA63AE">
            <w:pPr>
              <w:tabs>
                <w:tab w:val="left" w:pos="405"/>
              </w:tabs>
              <w:snapToGrid w:val="0"/>
              <w:rPr>
                <w:rFonts w:ascii="Times New Roman" w:hAnsi="Times New Roman"/>
                <w:noProof/>
                <w:szCs w:val="22"/>
                <w:lang w:val="pt-BR"/>
              </w:rPr>
            </w:pPr>
          </w:p>
        </w:tc>
      </w:tr>
      <w:tr w:rsidR="007D33F9" w:rsidRPr="00123710" w14:paraId="3D0D3240" w14:textId="77777777" w:rsidTr="00727E2A">
        <w:trPr>
          <w:trHeight w:val="587"/>
        </w:trPr>
        <w:tc>
          <w:tcPr>
            <w:tcW w:w="3078" w:type="dxa"/>
            <w:gridSpan w:val="2"/>
            <w:tcBorders>
              <w:top w:val="single" w:sz="4" w:space="0" w:color="auto"/>
              <w:left w:val="single" w:sz="4" w:space="0" w:color="auto"/>
              <w:bottom w:val="single" w:sz="4" w:space="0" w:color="auto"/>
              <w:right w:val="single" w:sz="4" w:space="0" w:color="auto"/>
            </w:tcBorders>
          </w:tcPr>
          <w:p w14:paraId="524586FB" w14:textId="725322D3" w:rsidR="007D33F9" w:rsidRPr="00CC29D8" w:rsidRDefault="002200A4" w:rsidP="00AA63AE">
            <w:pPr>
              <w:rPr>
                <w:szCs w:val="22"/>
              </w:rPr>
            </w:pPr>
            <w:r>
              <w:rPr>
                <w:szCs w:val="22"/>
              </w:rPr>
              <w:t>Reunião</w:t>
            </w:r>
            <w:r w:rsidR="007D33F9" w:rsidRPr="00CC29D8">
              <w:rPr>
                <w:szCs w:val="22"/>
              </w:rPr>
              <w:t xml:space="preserve"> formal</w:t>
            </w:r>
          </w:p>
          <w:p w14:paraId="1AA18D2F" w14:textId="50581F54" w:rsidR="007D33F9" w:rsidRDefault="007D33F9" w:rsidP="007D33F9">
            <w:pPr>
              <w:jc w:val="center"/>
              <w:rPr>
                <w:b/>
                <w:szCs w:val="22"/>
              </w:rPr>
            </w:pPr>
            <w:r w:rsidRPr="00CC29D8">
              <w:rPr>
                <w:szCs w:val="22"/>
              </w:rPr>
              <w:t>Virtual</w:t>
            </w:r>
          </w:p>
        </w:tc>
        <w:tc>
          <w:tcPr>
            <w:tcW w:w="3079" w:type="dxa"/>
            <w:tcBorders>
              <w:top w:val="single" w:sz="4" w:space="0" w:color="auto"/>
              <w:left w:val="single" w:sz="4" w:space="0" w:color="auto"/>
              <w:bottom w:val="single" w:sz="4" w:space="0" w:color="auto"/>
              <w:right w:val="single" w:sz="4" w:space="0" w:color="auto"/>
            </w:tcBorders>
          </w:tcPr>
          <w:p w14:paraId="5FB6B2AE" w14:textId="0775028B" w:rsidR="007D33F9" w:rsidRPr="00CC29D8" w:rsidRDefault="002200A4" w:rsidP="00AA63AE">
            <w:pPr>
              <w:rPr>
                <w:szCs w:val="22"/>
              </w:rPr>
            </w:pPr>
            <w:r>
              <w:rPr>
                <w:szCs w:val="22"/>
              </w:rPr>
              <w:t>25 de a</w:t>
            </w:r>
            <w:r w:rsidR="002558BC">
              <w:rPr>
                <w:szCs w:val="22"/>
              </w:rPr>
              <w:t>gosto</w:t>
            </w:r>
          </w:p>
          <w:p w14:paraId="42B1FDC5" w14:textId="0DE18201" w:rsidR="007D33F9" w:rsidRDefault="002200A4" w:rsidP="002558BC">
            <w:pPr>
              <w:rPr>
                <w:b/>
                <w:szCs w:val="22"/>
              </w:rPr>
            </w:pPr>
            <w:r>
              <w:rPr>
                <w:szCs w:val="22"/>
              </w:rPr>
              <w:t>14h30</w:t>
            </w:r>
          </w:p>
        </w:tc>
        <w:tc>
          <w:tcPr>
            <w:tcW w:w="3079" w:type="dxa"/>
            <w:tcBorders>
              <w:top w:val="single" w:sz="4" w:space="0" w:color="auto"/>
              <w:left w:val="single" w:sz="4" w:space="0" w:color="auto"/>
              <w:bottom w:val="single" w:sz="4" w:space="0" w:color="auto"/>
              <w:right w:val="single" w:sz="4" w:space="0" w:color="auto"/>
            </w:tcBorders>
          </w:tcPr>
          <w:p w14:paraId="74500643" w14:textId="30E8003C" w:rsidR="007D33F9" w:rsidRPr="002558BC" w:rsidRDefault="007D33F9" w:rsidP="002558BC">
            <w:pPr>
              <w:pStyle w:val="ListParagraph"/>
              <w:numPr>
                <w:ilvl w:val="0"/>
                <w:numId w:val="10"/>
              </w:numPr>
              <w:ind w:left="165" w:hanging="180"/>
              <w:rPr>
                <w:szCs w:val="22"/>
                <w:lang w:val="pt-BR"/>
              </w:rPr>
            </w:pPr>
            <w:r w:rsidRPr="002558BC">
              <w:rPr>
                <w:szCs w:val="22"/>
                <w:lang w:val="pt-BR"/>
              </w:rPr>
              <w:t xml:space="preserve">  </w:t>
            </w:r>
            <w:r w:rsidR="002200A4" w:rsidRPr="002558BC">
              <w:rPr>
                <w:szCs w:val="22"/>
                <w:lang w:val="pt-BR"/>
              </w:rPr>
              <w:t>Negociação do projeto de resolução</w:t>
            </w:r>
          </w:p>
        </w:tc>
      </w:tr>
      <w:tr w:rsidR="002200A4" w:rsidRPr="007D33F9" w14:paraId="3F91B211" w14:textId="77777777" w:rsidTr="00727E2A">
        <w:trPr>
          <w:trHeight w:val="587"/>
        </w:trPr>
        <w:tc>
          <w:tcPr>
            <w:tcW w:w="3078" w:type="dxa"/>
            <w:gridSpan w:val="2"/>
            <w:tcBorders>
              <w:top w:val="single" w:sz="4" w:space="0" w:color="auto"/>
              <w:left w:val="single" w:sz="4" w:space="0" w:color="auto"/>
              <w:bottom w:val="single" w:sz="4" w:space="0" w:color="auto"/>
              <w:right w:val="single" w:sz="4" w:space="0" w:color="auto"/>
            </w:tcBorders>
          </w:tcPr>
          <w:p w14:paraId="6B30028D" w14:textId="1B8457BE" w:rsidR="002200A4" w:rsidRPr="00CC29D8" w:rsidRDefault="002200A4" w:rsidP="00AA63AE">
            <w:pPr>
              <w:rPr>
                <w:szCs w:val="22"/>
              </w:rPr>
            </w:pPr>
            <w:r>
              <w:rPr>
                <w:szCs w:val="22"/>
              </w:rPr>
              <w:t>Reunião</w:t>
            </w:r>
            <w:r w:rsidRPr="00CC29D8">
              <w:rPr>
                <w:szCs w:val="22"/>
              </w:rPr>
              <w:t xml:space="preserve"> formal</w:t>
            </w:r>
          </w:p>
          <w:p w14:paraId="1543732F" w14:textId="2BDEC6AC" w:rsidR="002200A4" w:rsidRDefault="002200A4" w:rsidP="007D33F9">
            <w:pPr>
              <w:jc w:val="center"/>
              <w:rPr>
                <w:b/>
                <w:szCs w:val="22"/>
              </w:rPr>
            </w:pPr>
            <w:r w:rsidRPr="00CC29D8">
              <w:rPr>
                <w:szCs w:val="22"/>
              </w:rPr>
              <w:t>Virtual</w:t>
            </w:r>
          </w:p>
        </w:tc>
        <w:tc>
          <w:tcPr>
            <w:tcW w:w="3079" w:type="dxa"/>
            <w:tcBorders>
              <w:top w:val="single" w:sz="4" w:space="0" w:color="auto"/>
              <w:left w:val="single" w:sz="4" w:space="0" w:color="auto"/>
              <w:bottom w:val="single" w:sz="4" w:space="0" w:color="auto"/>
              <w:right w:val="single" w:sz="4" w:space="0" w:color="auto"/>
            </w:tcBorders>
          </w:tcPr>
          <w:p w14:paraId="1C787A18" w14:textId="389798CB" w:rsidR="002200A4" w:rsidRPr="00CC29D8" w:rsidRDefault="002200A4" w:rsidP="00AA63AE">
            <w:pPr>
              <w:rPr>
                <w:szCs w:val="22"/>
              </w:rPr>
            </w:pPr>
            <w:r>
              <w:rPr>
                <w:szCs w:val="22"/>
              </w:rPr>
              <w:t>3 de setembro</w:t>
            </w:r>
          </w:p>
          <w:p w14:paraId="54F0BABE" w14:textId="0FE7E8BF" w:rsidR="002200A4" w:rsidRPr="00CC29D8" w:rsidRDefault="002200A4" w:rsidP="00AA63AE">
            <w:pPr>
              <w:rPr>
                <w:szCs w:val="22"/>
              </w:rPr>
            </w:pPr>
            <w:r>
              <w:rPr>
                <w:szCs w:val="22"/>
              </w:rPr>
              <w:t>14h30</w:t>
            </w:r>
          </w:p>
          <w:p w14:paraId="57A690CA" w14:textId="77777777" w:rsidR="002200A4" w:rsidRDefault="002200A4" w:rsidP="007D33F9">
            <w:pPr>
              <w:jc w:val="center"/>
              <w:rPr>
                <w:b/>
                <w:szCs w:val="22"/>
              </w:rPr>
            </w:pPr>
          </w:p>
        </w:tc>
        <w:tc>
          <w:tcPr>
            <w:tcW w:w="3079" w:type="dxa"/>
            <w:tcBorders>
              <w:top w:val="single" w:sz="4" w:space="0" w:color="auto"/>
              <w:left w:val="single" w:sz="4" w:space="0" w:color="auto"/>
              <w:bottom w:val="single" w:sz="4" w:space="0" w:color="auto"/>
              <w:right w:val="single" w:sz="4" w:space="0" w:color="auto"/>
            </w:tcBorders>
          </w:tcPr>
          <w:p w14:paraId="7ABB960E" w14:textId="77777777" w:rsidR="002200A4" w:rsidRPr="002558BC" w:rsidRDefault="002200A4" w:rsidP="002200A4">
            <w:pPr>
              <w:pStyle w:val="ListParagraph"/>
              <w:numPr>
                <w:ilvl w:val="0"/>
                <w:numId w:val="10"/>
              </w:numPr>
              <w:ind w:left="165" w:hanging="180"/>
              <w:rPr>
                <w:lang w:val="pt-BR"/>
              </w:rPr>
            </w:pPr>
            <w:r w:rsidRPr="002558BC">
              <w:rPr>
                <w:szCs w:val="22"/>
                <w:lang w:val="pt-BR"/>
              </w:rPr>
              <w:t xml:space="preserve">  Negociação do projeto de resolução</w:t>
            </w:r>
          </w:p>
          <w:p w14:paraId="09789C63" w14:textId="77777777" w:rsidR="002200A4" w:rsidRPr="002558BC" w:rsidRDefault="002200A4" w:rsidP="00AA63AE">
            <w:pPr>
              <w:rPr>
                <w:szCs w:val="22"/>
                <w:lang w:val="pt-BR"/>
              </w:rPr>
            </w:pPr>
          </w:p>
          <w:p w14:paraId="3E4D891B" w14:textId="26869D0B" w:rsidR="002200A4" w:rsidRPr="002558BC" w:rsidRDefault="002200A4" w:rsidP="007D33F9">
            <w:pPr>
              <w:jc w:val="center"/>
              <w:rPr>
                <w:b/>
                <w:szCs w:val="22"/>
              </w:rPr>
            </w:pPr>
          </w:p>
        </w:tc>
      </w:tr>
      <w:tr w:rsidR="002200A4" w:rsidRPr="002200A4" w14:paraId="7F450A62" w14:textId="77777777" w:rsidTr="00727E2A">
        <w:trPr>
          <w:trHeight w:val="587"/>
        </w:trPr>
        <w:tc>
          <w:tcPr>
            <w:tcW w:w="3078" w:type="dxa"/>
            <w:gridSpan w:val="2"/>
            <w:tcBorders>
              <w:top w:val="single" w:sz="4" w:space="0" w:color="auto"/>
              <w:left w:val="single" w:sz="4" w:space="0" w:color="auto"/>
              <w:bottom w:val="single" w:sz="4" w:space="0" w:color="auto"/>
              <w:right w:val="single" w:sz="4" w:space="0" w:color="auto"/>
            </w:tcBorders>
          </w:tcPr>
          <w:p w14:paraId="4BA54479" w14:textId="4E448539" w:rsidR="002200A4" w:rsidRPr="00CC29D8" w:rsidRDefault="002200A4" w:rsidP="00AA63AE">
            <w:pPr>
              <w:rPr>
                <w:szCs w:val="22"/>
              </w:rPr>
            </w:pPr>
            <w:r>
              <w:rPr>
                <w:szCs w:val="22"/>
              </w:rPr>
              <w:t>Reunião</w:t>
            </w:r>
            <w:r w:rsidRPr="00CC29D8">
              <w:rPr>
                <w:szCs w:val="22"/>
              </w:rPr>
              <w:t xml:space="preserve"> formal</w:t>
            </w:r>
          </w:p>
          <w:p w14:paraId="75294B7F" w14:textId="1E40BFD5" w:rsidR="002200A4" w:rsidRDefault="002200A4" w:rsidP="007D33F9">
            <w:pPr>
              <w:jc w:val="center"/>
              <w:rPr>
                <w:b/>
                <w:szCs w:val="22"/>
              </w:rPr>
            </w:pPr>
            <w:r w:rsidRPr="00CC29D8">
              <w:rPr>
                <w:szCs w:val="22"/>
              </w:rPr>
              <w:t>Virtual</w:t>
            </w:r>
          </w:p>
        </w:tc>
        <w:tc>
          <w:tcPr>
            <w:tcW w:w="3079" w:type="dxa"/>
            <w:tcBorders>
              <w:top w:val="single" w:sz="4" w:space="0" w:color="auto"/>
              <w:left w:val="single" w:sz="4" w:space="0" w:color="auto"/>
              <w:bottom w:val="single" w:sz="4" w:space="0" w:color="auto"/>
              <w:right w:val="single" w:sz="4" w:space="0" w:color="auto"/>
            </w:tcBorders>
          </w:tcPr>
          <w:p w14:paraId="350C1B1B" w14:textId="244FDC53" w:rsidR="002200A4" w:rsidRPr="00CC29D8" w:rsidRDefault="002200A4" w:rsidP="00AA63AE">
            <w:pPr>
              <w:rPr>
                <w:szCs w:val="22"/>
              </w:rPr>
            </w:pPr>
            <w:r>
              <w:rPr>
                <w:szCs w:val="22"/>
              </w:rPr>
              <w:t>11 de setembro</w:t>
            </w:r>
          </w:p>
          <w:p w14:paraId="4BDA56AD" w14:textId="77777777" w:rsidR="002200A4" w:rsidRPr="00CC29D8" w:rsidRDefault="002200A4" w:rsidP="002200A4">
            <w:pPr>
              <w:rPr>
                <w:szCs w:val="22"/>
              </w:rPr>
            </w:pPr>
            <w:r>
              <w:rPr>
                <w:szCs w:val="22"/>
              </w:rPr>
              <w:t>14h30</w:t>
            </w:r>
          </w:p>
          <w:p w14:paraId="4C424CBC" w14:textId="77777777" w:rsidR="002200A4" w:rsidRDefault="002200A4" w:rsidP="007D33F9">
            <w:pPr>
              <w:jc w:val="center"/>
              <w:rPr>
                <w:b/>
                <w:szCs w:val="22"/>
              </w:rPr>
            </w:pPr>
          </w:p>
        </w:tc>
        <w:tc>
          <w:tcPr>
            <w:tcW w:w="3079" w:type="dxa"/>
            <w:tcBorders>
              <w:top w:val="single" w:sz="4" w:space="0" w:color="auto"/>
              <w:left w:val="single" w:sz="4" w:space="0" w:color="auto"/>
              <w:bottom w:val="single" w:sz="4" w:space="0" w:color="auto"/>
              <w:right w:val="single" w:sz="4" w:space="0" w:color="auto"/>
            </w:tcBorders>
          </w:tcPr>
          <w:p w14:paraId="73143AD5" w14:textId="77777777" w:rsidR="002200A4" w:rsidRPr="002558BC" w:rsidRDefault="002200A4" w:rsidP="002200A4">
            <w:pPr>
              <w:pStyle w:val="ListParagraph"/>
              <w:numPr>
                <w:ilvl w:val="0"/>
                <w:numId w:val="10"/>
              </w:numPr>
              <w:ind w:left="165" w:hanging="180"/>
              <w:rPr>
                <w:lang w:val="pt-BR"/>
              </w:rPr>
            </w:pPr>
            <w:r w:rsidRPr="002558BC">
              <w:rPr>
                <w:szCs w:val="22"/>
                <w:lang w:val="pt-BR"/>
              </w:rPr>
              <w:t xml:space="preserve">  Negociação do projeto de resolução</w:t>
            </w:r>
          </w:p>
          <w:p w14:paraId="6A21F869" w14:textId="77777777" w:rsidR="002200A4" w:rsidRPr="002558BC" w:rsidRDefault="002200A4" w:rsidP="00AA63AE">
            <w:pPr>
              <w:rPr>
                <w:szCs w:val="22"/>
                <w:lang w:val="pt-BR"/>
              </w:rPr>
            </w:pPr>
          </w:p>
          <w:p w14:paraId="5369072C" w14:textId="588804B4" w:rsidR="002200A4" w:rsidRPr="002558BC" w:rsidRDefault="002200A4" w:rsidP="007D33F9">
            <w:pPr>
              <w:jc w:val="center"/>
              <w:rPr>
                <w:b/>
                <w:szCs w:val="22"/>
                <w:lang w:val="pt-BR"/>
              </w:rPr>
            </w:pPr>
          </w:p>
        </w:tc>
      </w:tr>
      <w:tr w:rsidR="002200A4" w:rsidRPr="002200A4" w14:paraId="69DCB3D3" w14:textId="77777777" w:rsidTr="00727E2A">
        <w:trPr>
          <w:trHeight w:val="587"/>
        </w:trPr>
        <w:tc>
          <w:tcPr>
            <w:tcW w:w="3078" w:type="dxa"/>
            <w:gridSpan w:val="2"/>
            <w:tcBorders>
              <w:top w:val="single" w:sz="4" w:space="0" w:color="auto"/>
              <w:left w:val="single" w:sz="4" w:space="0" w:color="auto"/>
              <w:bottom w:val="single" w:sz="4" w:space="0" w:color="auto"/>
              <w:right w:val="single" w:sz="4" w:space="0" w:color="auto"/>
            </w:tcBorders>
          </w:tcPr>
          <w:p w14:paraId="63D2F135" w14:textId="64018A6D" w:rsidR="002200A4" w:rsidRPr="00CC29D8" w:rsidRDefault="002200A4" w:rsidP="00AA63AE">
            <w:pPr>
              <w:rPr>
                <w:szCs w:val="22"/>
              </w:rPr>
            </w:pPr>
            <w:r>
              <w:rPr>
                <w:szCs w:val="22"/>
              </w:rPr>
              <w:lastRenderedPageBreak/>
              <w:t>Reunião</w:t>
            </w:r>
            <w:r w:rsidRPr="00CC29D8">
              <w:rPr>
                <w:szCs w:val="22"/>
              </w:rPr>
              <w:t xml:space="preserve"> formal</w:t>
            </w:r>
          </w:p>
          <w:p w14:paraId="6344391D" w14:textId="2E7C72D8" w:rsidR="002200A4" w:rsidRDefault="002200A4" w:rsidP="007D33F9">
            <w:pPr>
              <w:jc w:val="center"/>
              <w:rPr>
                <w:b/>
                <w:szCs w:val="22"/>
              </w:rPr>
            </w:pPr>
            <w:r w:rsidRPr="00CC29D8">
              <w:rPr>
                <w:szCs w:val="22"/>
              </w:rPr>
              <w:t>Virtual</w:t>
            </w:r>
          </w:p>
        </w:tc>
        <w:tc>
          <w:tcPr>
            <w:tcW w:w="3079" w:type="dxa"/>
            <w:tcBorders>
              <w:top w:val="single" w:sz="4" w:space="0" w:color="auto"/>
              <w:left w:val="single" w:sz="4" w:space="0" w:color="auto"/>
              <w:bottom w:val="single" w:sz="4" w:space="0" w:color="auto"/>
              <w:right w:val="single" w:sz="4" w:space="0" w:color="auto"/>
            </w:tcBorders>
          </w:tcPr>
          <w:p w14:paraId="774E9438" w14:textId="128DA715" w:rsidR="002200A4" w:rsidRPr="00CC29D8" w:rsidRDefault="002200A4" w:rsidP="00AA63AE">
            <w:pPr>
              <w:rPr>
                <w:szCs w:val="22"/>
              </w:rPr>
            </w:pPr>
            <w:r>
              <w:rPr>
                <w:szCs w:val="22"/>
              </w:rPr>
              <w:t>22 de setembro</w:t>
            </w:r>
          </w:p>
          <w:p w14:paraId="123C030B" w14:textId="77777777" w:rsidR="002200A4" w:rsidRPr="00CC29D8" w:rsidRDefault="002200A4" w:rsidP="002200A4">
            <w:pPr>
              <w:rPr>
                <w:szCs w:val="22"/>
              </w:rPr>
            </w:pPr>
            <w:r>
              <w:rPr>
                <w:szCs w:val="22"/>
              </w:rPr>
              <w:t>14h30</w:t>
            </w:r>
          </w:p>
          <w:p w14:paraId="4B500977" w14:textId="77777777" w:rsidR="002200A4" w:rsidRDefault="002200A4" w:rsidP="007D33F9">
            <w:pPr>
              <w:jc w:val="center"/>
              <w:rPr>
                <w:b/>
                <w:szCs w:val="22"/>
              </w:rPr>
            </w:pPr>
          </w:p>
        </w:tc>
        <w:tc>
          <w:tcPr>
            <w:tcW w:w="3079" w:type="dxa"/>
            <w:tcBorders>
              <w:top w:val="single" w:sz="4" w:space="0" w:color="auto"/>
              <w:left w:val="single" w:sz="4" w:space="0" w:color="auto"/>
              <w:bottom w:val="single" w:sz="4" w:space="0" w:color="auto"/>
              <w:right w:val="single" w:sz="4" w:space="0" w:color="auto"/>
            </w:tcBorders>
          </w:tcPr>
          <w:p w14:paraId="3443B7BA" w14:textId="77777777" w:rsidR="002200A4" w:rsidRPr="002558BC" w:rsidRDefault="002200A4" w:rsidP="002200A4">
            <w:pPr>
              <w:pStyle w:val="ListParagraph"/>
              <w:numPr>
                <w:ilvl w:val="0"/>
                <w:numId w:val="10"/>
              </w:numPr>
              <w:ind w:left="165" w:hanging="180"/>
              <w:rPr>
                <w:lang w:val="pt-BR"/>
              </w:rPr>
            </w:pPr>
            <w:r w:rsidRPr="002558BC">
              <w:rPr>
                <w:szCs w:val="22"/>
                <w:lang w:val="pt-BR"/>
              </w:rPr>
              <w:t xml:space="preserve">  Negociação do projeto de resolução</w:t>
            </w:r>
          </w:p>
          <w:p w14:paraId="24EC1D69" w14:textId="77777777" w:rsidR="002200A4" w:rsidRPr="002558BC" w:rsidRDefault="002200A4" w:rsidP="00AA63AE">
            <w:pPr>
              <w:rPr>
                <w:szCs w:val="22"/>
                <w:lang w:val="pt-BR"/>
              </w:rPr>
            </w:pPr>
          </w:p>
          <w:p w14:paraId="16AC44EB" w14:textId="512A6A7E" w:rsidR="002200A4" w:rsidRPr="002558BC" w:rsidRDefault="002200A4" w:rsidP="007D33F9">
            <w:pPr>
              <w:jc w:val="center"/>
              <w:rPr>
                <w:b/>
                <w:szCs w:val="22"/>
                <w:lang w:val="pt-BR"/>
              </w:rPr>
            </w:pPr>
          </w:p>
        </w:tc>
      </w:tr>
      <w:tr w:rsidR="002200A4" w:rsidRPr="00123710" w14:paraId="3C8924A8" w14:textId="77777777" w:rsidTr="00727E2A">
        <w:trPr>
          <w:trHeight w:val="587"/>
        </w:trPr>
        <w:tc>
          <w:tcPr>
            <w:tcW w:w="3078" w:type="dxa"/>
            <w:gridSpan w:val="2"/>
            <w:tcBorders>
              <w:top w:val="single" w:sz="4" w:space="0" w:color="auto"/>
              <w:left w:val="single" w:sz="4" w:space="0" w:color="auto"/>
              <w:right w:val="single" w:sz="4" w:space="0" w:color="auto"/>
            </w:tcBorders>
          </w:tcPr>
          <w:p w14:paraId="28963906" w14:textId="6A24AC33" w:rsidR="002200A4" w:rsidRPr="00CC29D8" w:rsidRDefault="002200A4" w:rsidP="00AA63AE">
            <w:pPr>
              <w:rPr>
                <w:szCs w:val="22"/>
              </w:rPr>
            </w:pPr>
            <w:r>
              <w:rPr>
                <w:szCs w:val="22"/>
              </w:rPr>
              <w:t>Reunião</w:t>
            </w:r>
            <w:r w:rsidRPr="00CC29D8">
              <w:rPr>
                <w:szCs w:val="22"/>
              </w:rPr>
              <w:t xml:space="preserve"> formal</w:t>
            </w:r>
          </w:p>
          <w:p w14:paraId="54E0E68E" w14:textId="261670D3" w:rsidR="002200A4" w:rsidRDefault="002200A4" w:rsidP="007D33F9">
            <w:pPr>
              <w:jc w:val="center"/>
              <w:rPr>
                <w:b/>
                <w:szCs w:val="22"/>
              </w:rPr>
            </w:pPr>
            <w:r w:rsidRPr="00CC29D8">
              <w:rPr>
                <w:szCs w:val="22"/>
              </w:rPr>
              <w:t>Virtual</w:t>
            </w:r>
          </w:p>
        </w:tc>
        <w:tc>
          <w:tcPr>
            <w:tcW w:w="3079" w:type="dxa"/>
            <w:tcBorders>
              <w:top w:val="single" w:sz="4" w:space="0" w:color="auto"/>
              <w:left w:val="single" w:sz="4" w:space="0" w:color="auto"/>
              <w:right w:val="single" w:sz="4" w:space="0" w:color="auto"/>
            </w:tcBorders>
          </w:tcPr>
          <w:p w14:paraId="45F319BB" w14:textId="07020334" w:rsidR="002200A4" w:rsidRPr="00CC29D8" w:rsidRDefault="002200A4" w:rsidP="00AA63AE">
            <w:pPr>
              <w:rPr>
                <w:szCs w:val="22"/>
              </w:rPr>
            </w:pPr>
            <w:r w:rsidRPr="00CC29D8">
              <w:rPr>
                <w:szCs w:val="22"/>
              </w:rPr>
              <w:t>29</w:t>
            </w:r>
            <w:r>
              <w:rPr>
                <w:szCs w:val="22"/>
              </w:rPr>
              <w:t xml:space="preserve"> de setembro</w:t>
            </w:r>
          </w:p>
          <w:p w14:paraId="234D6875" w14:textId="77777777" w:rsidR="002200A4" w:rsidRPr="00CC29D8" w:rsidRDefault="002200A4" w:rsidP="002200A4">
            <w:pPr>
              <w:rPr>
                <w:szCs w:val="22"/>
              </w:rPr>
            </w:pPr>
            <w:r>
              <w:rPr>
                <w:szCs w:val="22"/>
              </w:rPr>
              <w:t>14h30</w:t>
            </w:r>
          </w:p>
          <w:p w14:paraId="52F9B891" w14:textId="77777777" w:rsidR="002200A4" w:rsidRDefault="002200A4" w:rsidP="007D33F9">
            <w:pPr>
              <w:jc w:val="center"/>
              <w:rPr>
                <w:b/>
                <w:szCs w:val="22"/>
              </w:rPr>
            </w:pPr>
          </w:p>
        </w:tc>
        <w:tc>
          <w:tcPr>
            <w:tcW w:w="3079" w:type="dxa"/>
            <w:tcBorders>
              <w:top w:val="single" w:sz="4" w:space="0" w:color="auto"/>
              <w:left w:val="single" w:sz="4" w:space="0" w:color="auto"/>
              <w:right w:val="single" w:sz="4" w:space="0" w:color="auto"/>
            </w:tcBorders>
          </w:tcPr>
          <w:p w14:paraId="1130F986" w14:textId="2969FA29" w:rsidR="002200A4" w:rsidRPr="002558BC" w:rsidRDefault="002200A4" w:rsidP="002200A4">
            <w:pPr>
              <w:pStyle w:val="ListParagraph"/>
              <w:numPr>
                <w:ilvl w:val="0"/>
                <w:numId w:val="10"/>
              </w:numPr>
              <w:ind w:left="165" w:hanging="180"/>
              <w:rPr>
                <w:lang w:val="pt-BR"/>
              </w:rPr>
            </w:pPr>
            <w:r w:rsidRPr="002558BC">
              <w:rPr>
                <w:szCs w:val="22"/>
                <w:lang w:val="pt-BR"/>
              </w:rPr>
              <w:t xml:space="preserve">  Negociação </w:t>
            </w:r>
            <w:r w:rsidR="002558BC">
              <w:rPr>
                <w:szCs w:val="22"/>
                <w:lang w:val="pt-BR"/>
              </w:rPr>
              <w:t xml:space="preserve">e acordo sobre </w:t>
            </w:r>
            <w:r w:rsidRPr="002558BC">
              <w:rPr>
                <w:szCs w:val="22"/>
                <w:lang w:val="pt-BR"/>
              </w:rPr>
              <w:t>o projeto de resolução</w:t>
            </w:r>
          </w:p>
          <w:p w14:paraId="1EE13BE2" w14:textId="77777777" w:rsidR="002200A4" w:rsidRPr="002558BC" w:rsidRDefault="002200A4" w:rsidP="00AA63AE">
            <w:pPr>
              <w:rPr>
                <w:szCs w:val="22"/>
                <w:lang w:val="pt-BR"/>
              </w:rPr>
            </w:pPr>
          </w:p>
          <w:p w14:paraId="1008CC0F" w14:textId="23998DC8" w:rsidR="002200A4" w:rsidRPr="002558BC" w:rsidRDefault="002200A4" w:rsidP="007D33F9">
            <w:pPr>
              <w:jc w:val="center"/>
              <w:rPr>
                <w:b/>
                <w:szCs w:val="22"/>
                <w:lang w:val="pt-BR"/>
              </w:rPr>
            </w:pPr>
          </w:p>
        </w:tc>
      </w:tr>
    </w:tbl>
    <w:p w14:paraId="0E44A684" w14:textId="77777777" w:rsidR="00476A46" w:rsidRPr="002200A4" w:rsidRDefault="00476A46" w:rsidP="00476A46">
      <w:pPr>
        <w:rPr>
          <w:rFonts w:ascii="Times New Roman" w:hAnsi="Times New Roman"/>
          <w:noProof/>
          <w:szCs w:val="22"/>
          <w:lang w:val="pt-BR"/>
        </w:rPr>
      </w:pPr>
    </w:p>
    <w:p w14:paraId="7AB4D8C9" w14:textId="77777777" w:rsidR="00476A46" w:rsidRPr="002200A4" w:rsidRDefault="00476A46" w:rsidP="00476A46">
      <w:pPr>
        <w:rPr>
          <w:rFonts w:ascii="Times New Roman" w:hAnsi="Times New Roman"/>
          <w:noProof/>
          <w:szCs w:val="22"/>
          <w:lang w:val="pt-BR"/>
        </w:rPr>
      </w:pPr>
    </w:p>
    <w:p w14:paraId="06ED9820" w14:textId="3459FC59" w:rsidR="00476A46" w:rsidRPr="008E02F0" w:rsidRDefault="00476A46" w:rsidP="00476A46">
      <w:pPr>
        <w:rPr>
          <w:szCs w:val="22"/>
          <w:lang w:val="pt-BR"/>
        </w:rPr>
      </w:pPr>
      <w:r w:rsidRPr="002200A4">
        <w:rPr>
          <w:rFonts w:ascii="Times New Roman" w:hAnsi="Times New Roman"/>
          <w:noProof/>
          <w:szCs w:val="22"/>
          <w:lang w:val="pt-BR"/>
        </w:rPr>
        <w:tab/>
      </w:r>
      <w:r>
        <w:rPr>
          <w:szCs w:val="22"/>
          <w:lang w:val="pt-BR"/>
        </w:rPr>
        <w:t>Encontram-se anexas as diretrizes gerais para os projetos de resolução acordados pela Comissão em anos anteriores.</w:t>
      </w:r>
    </w:p>
    <w:p w14:paraId="63F1B5E6" w14:textId="77777777" w:rsidR="00476A46" w:rsidRPr="008E02F0" w:rsidRDefault="00476A46" w:rsidP="00476A46">
      <w:pPr>
        <w:rPr>
          <w:szCs w:val="22"/>
          <w:lang w:val="pt-BR"/>
        </w:rPr>
      </w:pPr>
    </w:p>
    <w:p w14:paraId="73CD42DE" w14:textId="77777777" w:rsidR="00752359" w:rsidRPr="00B774EB" w:rsidRDefault="00752359" w:rsidP="00476A4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b/>
          <w:bCs/>
          <w:color w:val="000000"/>
          <w:sz w:val="24"/>
          <w:szCs w:val="24"/>
          <w:lang w:val="pt-BR"/>
        </w:rPr>
        <w:sectPr w:rsidR="00752359" w:rsidRPr="00B774EB" w:rsidSect="004546E3">
          <w:headerReference w:type="default" r:id="rId9"/>
          <w:endnotePr>
            <w:numFmt w:val="decimal"/>
          </w:endnotePr>
          <w:pgSz w:w="12240" w:h="15840"/>
          <w:pgMar w:top="2160" w:right="1570" w:bottom="1296" w:left="1699" w:header="1296" w:footer="1296" w:gutter="0"/>
          <w:pgNumType w:start="1"/>
          <w:cols w:space="720"/>
          <w:noEndnote/>
          <w:titlePg/>
          <w:docGrid w:linePitch="299"/>
        </w:sectPr>
      </w:pPr>
    </w:p>
    <w:p w14:paraId="6F88CB05" w14:textId="4BB4D7F2" w:rsidR="00476A46" w:rsidRPr="00F8354F" w:rsidRDefault="00476A46" w:rsidP="00476A4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b/>
          <w:bCs/>
          <w:color w:val="000000"/>
          <w:sz w:val="24"/>
          <w:szCs w:val="24"/>
          <w:lang w:val="es-CO"/>
        </w:rPr>
      </w:pPr>
      <w:r w:rsidRPr="00F8354F">
        <w:rPr>
          <w:rFonts w:ascii="Times New Roman" w:hAnsi="Times New Roman"/>
          <w:b/>
          <w:bCs/>
          <w:color w:val="000000"/>
          <w:sz w:val="24"/>
          <w:szCs w:val="24"/>
          <w:lang w:val="es-CO"/>
        </w:rPr>
        <w:lastRenderedPageBreak/>
        <w:t>ANEXO</w:t>
      </w:r>
    </w:p>
    <w:p w14:paraId="6DE16192" w14:textId="77777777" w:rsidR="00476A46" w:rsidRPr="00F8354F" w:rsidRDefault="00476A46" w:rsidP="00476A4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center"/>
        <w:rPr>
          <w:rFonts w:ascii="Times New Roman" w:hAnsi="Times New Roman"/>
          <w:bCs/>
          <w:color w:val="000000"/>
          <w:sz w:val="24"/>
          <w:szCs w:val="24"/>
          <w:lang w:val="es-CO"/>
        </w:rPr>
      </w:pPr>
      <w:r w:rsidRPr="00F8354F">
        <w:rPr>
          <w:rFonts w:ascii="Times New Roman" w:hAnsi="Times New Roman"/>
          <w:bCs/>
          <w:color w:val="000000"/>
          <w:sz w:val="24"/>
          <w:szCs w:val="24"/>
          <w:lang w:val="es-CO"/>
        </w:rPr>
        <w:t>(inclusión solicitada durante la reunión de la Comisión celebrada el 18 de febrero de 2020)</w:t>
      </w:r>
    </w:p>
    <w:p w14:paraId="7A69074F" w14:textId="77777777" w:rsidR="00476A46" w:rsidRPr="00F8354F" w:rsidRDefault="00476A46" w:rsidP="00476A4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rPr>
          <w:rFonts w:ascii="Times New Roman" w:hAnsi="Times New Roman"/>
          <w:b/>
          <w:bCs/>
          <w:color w:val="000000"/>
          <w:sz w:val="24"/>
          <w:szCs w:val="24"/>
          <w:lang w:val="es-CO"/>
        </w:rPr>
      </w:pPr>
    </w:p>
    <w:p w14:paraId="2A4A69D8" w14:textId="77777777" w:rsidR="00476A46" w:rsidRPr="00F8354F" w:rsidRDefault="00476A46" w:rsidP="00476A4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u w:val="single"/>
          <w:lang w:val="es-AR"/>
        </w:rPr>
      </w:pPr>
      <w:r w:rsidRPr="00F8354F">
        <w:rPr>
          <w:rFonts w:ascii="Times New Roman" w:hAnsi="Times New Roman"/>
          <w:bCs/>
          <w:color w:val="000000"/>
          <w:szCs w:val="22"/>
          <w:u w:val="single"/>
          <w:lang w:val="es-CO"/>
        </w:rPr>
        <w:t>LINEAMIENTOS</w:t>
      </w:r>
      <w:r w:rsidRPr="00F8354F">
        <w:rPr>
          <w:rFonts w:ascii="Times New Roman" w:hAnsi="Times New Roman"/>
          <w:szCs w:val="22"/>
          <w:u w:val="single"/>
          <w:lang w:val="es-AR"/>
        </w:rPr>
        <w:t xml:space="preserve"> GENERALES PARA PROYECTOS DE RESOLUCIÓN</w:t>
      </w:r>
    </w:p>
    <w:p w14:paraId="03CB5EF6"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2C06AE87"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r w:rsidRPr="00F8354F">
        <w:rPr>
          <w:rFonts w:ascii="Times New Roman" w:hAnsi="Times New Roman"/>
          <w:szCs w:val="22"/>
          <w:lang w:val="es-AR"/>
        </w:rPr>
        <w:t xml:space="preserve">Siguiendo lo acordado en 2012, 2013, 2014, 2015, 2016, 2017, 2018 y 2019  por la Comisión de Políticas (CEPCIDI/SCSD/doc.496/12 y CIDI/CPD/doc. 6 Rev. 2, CIDI/CPD/ doc. 49/14 rev. 1, CIDI/CPD/doc.6/13 rev 2, </w:t>
      </w:r>
      <w:r w:rsidRPr="00F8354F">
        <w:rPr>
          <w:rFonts w:ascii="Times New Roman" w:hAnsi="Times New Roman"/>
          <w:szCs w:val="22"/>
        </w:rPr>
        <w:t xml:space="preserve">CIDI/CPD/ doc. 94/16, </w:t>
      </w:r>
      <w:bookmarkStart w:id="2" w:name="_Hlk34059914"/>
      <w:r w:rsidRPr="00F8354F">
        <w:rPr>
          <w:rFonts w:ascii="Times New Roman" w:hAnsi="Times New Roman"/>
          <w:szCs w:val="22"/>
        </w:rPr>
        <w:t>CIDI/CPD/ doc</w:t>
      </w:r>
      <w:bookmarkEnd w:id="2"/>
      <w:r w:rsidRPr="00F8354F">
        <w:rPr>
          <w:rFonts w:ascii="Times New Roman" w:hAnsi="Times New Roman"/>
          <w:szCs w:val="22"/>
        </w:rPr>
        <w:t>. 128/17 rev. 2, CIDI/CPD/ doc.156/18 rev.1 y CIDI/CPD/doc.182/19 rev.2 corr.1</w:t>
      </w:r>
      <w:r w:rsidRPr="00F8354F">
        <w:rPr>
          <w:rFonts w:ascii="Times New Roman" w:hAnsi="Times New Roman"/>
          <w:szCs w:val="22"/>
          <w:lang w:val="es-AR"/>
        </w:rPr>
        <w:t>) así como los últimos acuerdos de la Asamblea General, se sugiere que las delegaciones hagan esfuerzos por sujetarse a las siguientes recomendaciones teniendo en consideración las particularidades de cada proyecto de resolución, caso por caso:</w:t>
      </w:r>
    </w:p>
    <w:p w14:paraId="17623C80"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PE"/>
        </w:rPr>
      </w:pPr>
    </w:p>
    <w:p w14:paraId="2EB7AA9B"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F8354F">
        <w:rPr>
          <w:rFonts w:ascii="Times New Roman" w:eastAsia="Calibri" w:hAnsi="Times New Roman"/>
          <w:szCs w:val="22"/>
          <w:lang w:val="es-PE"/>
        </w:rPr>
        <w:t>Que las propuestas presentadas por los Estados estén alineadas con el Plan Estratégico de la Organización, de manera de que los mandatos cuenten con un marco de referencia ya delimitado y negociado.</w:t>
      </w:r>
    </w:p>
    <w:p w14:paraId="5718C750"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Calibri" w:hAnsi="Times New Roman"/>
          <w:szCs w:val="22"/>
          <w:lang w:val="es-PE"/>
        </w:rPr>
      </w:pPr>
    </w:p>
    <w:p w14:paraId="6CA31B15"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F8354F">
        <w:rPr>
          <w:rFonts w:ascii="Times New Roman" w:eastAsia="Calibri" w:hAnsi="Times New Roman"/>
          <w:szCs w:val="22"/>
          <w:lang w:val="es-PE"/>
        </w:rPr>
        <w:t>Que las delegaciones al presentar proyectos de resolución identifiquen afinidades temáticas, similitudes o complementariedades con otros proyectos de resolución que permitan la agrupación de temas o la fusión de textos;</w:t>
      </w:r>
    </w:p>
    <w:p w14:paraId="4852D85C"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Calibri" w:hAnsi="Times New Roman"/>
          <w:szCs w:val="22"/>
          <w:lang w:val="es-PE"/>
        </w:rPr>
      </w:pPr>
    </w:p>
    <w:p w14:paraId="2D431245"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F8354F">
        <w:rPr>
          <w:rFonts w:ascii="Times New Roman" w:eastAsia="Calibri" w:hAnsi="Times New Roman"/>
          <w:szCs w:val="22"/>
          <w:lang w:val="es-PE"/>
        </w:rPr>
        <w:t xml:space="preserve">Que se presentarán en el marco del CIDI aquellos proyectos de resolución en el área del desarrollo en el que el CIDI tiene competencia.  Otros proyectos de resolución en temas </w:t>
      </w:r>
      <w:r w:rsidRPr="00F8354F">
        <w:rPr>
          <w:rFonts w:ascii="Times New Roman" w:eastAsia="Calibri" w:hAnsi="Times New Roman"/>
          <w:szCs w:val="22"/>
          <w:u w:val="single"/>
          <w:lang w:val="es-PE"/>
        </w:rPr>
        <w:t>no</w:t>
      </w:r>
      <w:r w:rsidRPr="00F8354F">
        <w:rPr>
          <w:rFonts w:ascii="Times New Roman" w:eastAsia="Calibri" w:hAnsi="Times New Roman"/>
          <w:szCs w:val="22"/>
          <w:lang w:val="es-PE"/>
        </w:rPr>
        <w:t xml:space="preserve"> relacionados con el CIDI, deberán presentarse ante los órganos competentes del Consejo Permanente. </w:t>
      </w:r>
      <w:r w:rsidRPr="00F8354F">
        <w:rPr>
          <w:rFonts w:ascii="Times New Roman" w:eastAsia="Calibri" w:hAnsi="Times New Roman"/>
          <w:szCs w:val="22"/>
          <w:u w:val="single"/>
          <w:lang w:val="es-PE"/>
        </w:rPr>
        <w:t>Aunque el CIDI hace un esfuerzo por informar a la Comisión de Temario y Procedimientos de la Asamblea General sobre los proyectos de resolución presentados en el marco del CIDI, se solicita a las delegaciones solicitar la inclusión del tema ante dicha Comisión</w:t>
      </w:r>
      <w:r w:rsidRPr="00F8354F">
        <w:rPr>
          <w:rFonts w:ascii="Times New Roman" w:eastAsia="Calibri" w:hAnsi="Times New Roman"/>
          <w:szCs w:val="22"/>
          <w:lang w:val="es-PE"/>
        </w:rPr>
        <w:t>.</w:t>
      </w:r>
    </w:p>
    <w:p w14:paraId="0120BA89"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hanging="720"/>
        <w:contextualSpacing/>
        <w:rPr>
          <w:rFonts w:ascii="Times New Roman" w:eastAsia="Calibri" w:hAnsi="Times New Roman"/>
          <w:szCs w:val="22"/>
          <w:lang w:val="es-PE"/>
        </w:rPr>
      </w:pPr>
    </w:p>
    <w:p w14:paraId="5FA0C899"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PE"/>
        </w:rPr>
      </w:pPr>
      <w:r w:rsidRPr="00F8354F">
        <w:rPr>
          <w:rFonts w:ascii="Times New Roman" w:eastAsia="Calibri" w:hAnsi="Times New Roman"/>
          <w:szCs w:val="22"/>
          <w:lang w:val="es-PE"/>
        </w:rPr>
        <w:t>Que las delegaciones consideren presentar proyectos de resolución</w:t>
      </w:r>
      <w:r w:rsidRPr="00F8354F">
        <w:rPr>
          <w:rFonts w:ascii="Times New Roman" w:eastAsia="Calibri" w:hAnsi="Times New Roman"/>
          <w:szCs w:val="22"/>
          <w:lang w:val="es-CO"/>
        </w:rPr>
        <w:t xml:space="preserve"> sobre el mismo tema cada dos o tres años o cuando </w:t>
      </w:r>
      <w:r w:rsidRPr="00F8354F">
        <w:rPr>
          <w:rFonts w:ascii="Times New Roman" w:eastAsia="Calibri" w:hAnsi="Times New Roman"/>
          <w:szCs w:val="22"/>
          <w:lang w:val="es-PE"/>
        </w:rPr>
        <w:t xml:space="preserve">la temática que aborda presente un sólido avance en el grado de implementación de los mandatos y sea necesario dar nuevos lineamientos o mandatos a la Secretaría.  Para asegurar un adecuado cumplimento de una resolución que cuente con mandatos de dos o tres años, se recomienda incluir un párrafo resolutivo en la resolución instruyendo la presentación de informes periódicos al CIDI de tal forma que ese órgano puede definir la pertinencia de contar con una nueva resolución en la materia; </w:t>
      </w:r>
    </w:p>
    <w:p w14:paraId="363C8394"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contextualSpacing/>
        <w:rPr>
          <w:rFonts w:ascii="Times New Roman" w:eastAsia="Calibri" w:hAnsi="Times New Roman"/>
          <w:szCs w:val="22"/>
          <w:lang w:val="es-CO"/>
        </w:rPr>
      </w:pPr>
    </w:p>
    <w:p w14:paraId="4A909C95"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F8354F">
        <w:rPr>
          <w:rFonts w:ascii="Times New Roman" w:eastAsia="Calibri" w:hAnsi="Times New Roman"/>
          <w:szCs w:val="22"/>
          <w:lang w:val="es-CO"/>
        </w:rPr>
        <w:t xml:space="preserve">Que las delegaciones consideren presentar textos lo más concisos posibles; evitando la repetición de párrafos que ya estén incorporados en otras resoluciones y haciendo menciones generales a aquellos mandatos que se considere necesario reiterar, sin que ello ocasione generar innecesarias negociaciones de redacción. </w:t>
      </w:r>
    </w:p>
    <w:p w14:paraId="28D3D579"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CO"/>
        </w:rPr>
      </w:pPr>
    </w:p>
    <w:p w14:paraId="61B15886"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F8354F">
        <w:rPr>
          <w:rFonts w:ascii="Times New Roman" w:eastAsia="Calibri" w:hAnsi="Times New Roman"/>
          <w:szCs w:val="22"/>
          <w:lang w:val="es-CO"/>
        </w:rPr>
        <w:t xml:space="preserve">Que las delegaciones incluyan en los proyectos de resolución cláusulas que expresen una temporalidad específica, a fin de abonar en la eficiencia del texto y de las actividades allí establecidas. </w:t>
      </w:r>
    </w:p>
    <w:p w14:paraId="6B9DF727"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hAnsi="Times New Roman"/>
          <w:szCs w:val="22"/>
          <w:lang w:val="es-CO"/>
        </w:rPr>
      </w:pPr>
    </w:p>
    <w:p w14:paraId="261F7148"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F8354F">
        <w:rPr>
          <w:rFonts w:ascii="Times New Roman" w:eastAsia="Calibri" w:hAnsi="Times New Roman"/>
          <w:szCs w:val="22"/>
          <w:lang w:val="es-CO"/>
        </w:rPr>
        <w:lastRenderedPageBreak/>
        <w:t xml:space="preserve">Que la redacción de mandatos se realice conforme a los parámetros acordados por el CIDI </w:t>
      </w:r>
      <w:r w:rsidRPr="00F8354F">
        <w:rPr>
          <w:rFonts w:ascii="Times New Roman" w:eastAsia="Calibri" w:hAnsi="Times New Roman"/>
          <w:b/>
          <w:szCs w:val="22"/>
          <w:lang w:val="es-CO"/>
        </w:rPr>
        <w:t>(</w:t>
      </w:r>
      <w:r w:rsidRPr="00F8354F">
        <w:rPr>
          <w:rFonts w:ascii="Times New Roman" w:eastAsia="Calibri" w:hAnsi="Times New Roman"/>
          <w:bCs/>
          <w:color w:val="333333"/>
          <w:szCs w:val="22"/>
          <w:lang w:val="es-CO"/>
        </w:rPr>
        <w:t>CIDI/doc.42/13</w:t>
      </w:r>
      <w:r w:rsidRPr="00F8354F">
        <w:rPr>
          <w:rFonts w:ascii="Times New Roman" w:eastAsia="Calibri" w:hAnsi="Times New Roman"/>
          <w:color w:val="333333"/>
          <w:szCs w:val="22"/>
          <w:lang w:val="es-CO"/>
        </w:rPr>
        <w:t xml:space="preserve"> </w:t>
      </w:r>
      <w:hyperlink r:id="rId10" w:history="1">
        <w:r w:rsidRPr="00F8354F">
          <w:rPr>
            <w:rFonts w:ascii="Times New Roman" w:eastAsia="Calibri" w:hAnsi="Times New Roman"/>
            <w:color w:val="0000FF"/>
            <w:szCs w:val="22"/>
            <w:u w:val="single"/>
            <w:lang w:val="es-CO"/>
          </w:rPr>
          <w:t>Español</w:t>
        </w:r>
      </w:hyperlink>
      <w:r w:rsidRPr="00F8354F">
        <w:rPr>
          <w:rFonts w:ascii="Times New Roman" w:eastAsia="Calibri" w:hAnsi="Times New Roman"/>
          <w:color w:val="333333"/>
          <w:szCs w:val="22"/>
          <w:lang w:val="es-CO"/>
        </w:rPr>
        <w:t xml:space="preserve"> - </w:t>
      </w:r>
      <w:hyperlink r:id="rId11" w:history="1">
        <w:r w:rsidRPr="00F8354F">
          <w:rPr>
            <w:rFonts w:ascii="Times New Roman" w:eastAsia="Calibri" w:hAnsi="Times New Roman"/>
            <w:color w:val="0000FF"/>
            <w:szCs w:val="22"/>
            <w:u w:val="single"/>
            <w:lang w:val="es-CO"/>
          </w:rPr>
          <w:t>English</w:t>
        </w:r>
      </w:hyperlink>
      <w:r w:rsidRPr="00F8354F">
        <w:rPr>
          <w:rFonts w:ascii="Times New Roman" w:eastAsia="Calibri" w:hAnsi="Times New Roman"/>
          <w:color w:val="333333"/>
          <w:szCs w:val="22"/>
          <w:lang w:val="es-CO"/>
        </w:rPr>
        <w:t xml:space="preserve">- </w:t>
      </w:r>
      <w:hyperlink r:id="rId12" w:history="1">
        <w:r w:rsidRPr="00F8354F">
          <w:rPr>
            <w:rFonts w:ascii="Times New Roman" w:eastAsia="Calibri" w:hAnsi="Times New Roman"/>
            <w:color w:val="0000FF"/>
            <w:szCs w:val="22"/>
            <w:u w:val="single"/>
            <w:lang w:val="es-CO"/>
          </w:rPr>
          <w:t>Français</w:t>
        </w:r>
      </w:hyperlink>
      <w:r w:rsidRPr="00F8354F">
        <w:rPr>
          <w:rFonts w:ascii="Times New Roman" w:eastAsia="Calibri" w:hAnsi="Times New Roman"/>
          <w:color w:val="333333"/>
          <w:szCs w:val="22"/>
          <w:lang w:val="es-CO"/>
        </w:rPr>
        <w:t xml:space="preserve"> </w:t>
      </w:r>
      <w:r w:rsidRPr="00F8354F">
        <w:rPr>
          <w:rFonts w:ascii="Times New Roman" w:eastAsia="Calibri" w:hAnsi="Times New Roman"/>
          <w:i/>
          <w:iCs/>
          <w:color w:val="333333"/>
          <w:szCs w:val="22"/>
          <w:lang w:val="es-CO"/>
        </w:rPr>
        <w:t>-</w:t>
      </w:r>
      <w:r w:rsidRPr="00F8354F">
        <w:rPr>
          <w:rFonts w:ascii="Times New Roman" w:eastAsia="Calibri" w:hAnsi="Times New Roman"/>
          <w:color w:val="333333"/>
          <w:szCs w:val="22"/>
          <w:lang w:val="es-CO"/>
        </w:rPr>
        <w:t xml:space="preserve"> </w:t>
      </w:r>
      <w:hyperlink r:id="rId13" w:history="1">
        <w:r w:rsidRPr="00F8354F">
          <w:rPr>
            <w:rFonts w:ascii="Times New Roman" w:eastAsia="Calibri" w:hAnsi="Times New Roman"/>
            <w:color w:val="0000FF"/>
            <w:szCs w:val="22"/>
            <w:u w:val="single"/>
            <w:lang w:val="es-CO"/>
          </w:rPr>
          <w:t>Português</w:t>
        </w:r>
      </w:hyperlink>
      <w:r w:rsidRPr="00F8354F">
        <w:rPr>
          <w:rFonts w:ascii="Times New Roman" w:eastAsia="Calibri" w:hAnsi="Times New Roman"/>
          <w:color w:val="333333"/>
          <w:szCs w:val="22"/>
          <w:lang w:val="es-CO"/>
        </w:rPr>
        <w:t xml:space="preserve">), los acuerdos alcanzados a partir del Informe de la Presidenta del Grupo de Trabajo Ad hoc para la revisión de mandatos en materia de desarrollo integral </w:t>
      </w:r>
      <w:r w:rsidRPr="00F8354F">
        <w:rPr>
          <w:rFonts w:ascii="Times New Roman" w:eastAsia="Calibri" w:hAnsi="Times New Roman"/>
          <w:b/>
          <w:color w:val="333333"/>
          <w:szCs w:val="22"/>
          <w:lang w:val="es-CO"/>
        </w:rPr>
        <w:t>(</w:t>
      </w:r>
      <w:r w:rsidRPr="00F8354F">
        <w:rPr>
          <w:rFonts w:ascii="Times New Roman" w:eastAsia="Calibri" w:hAnsi="Times New Roman"/>
          <w:bCs/>
          <w:color w:val="333333"/>
          <w:szCs w:val="22"/>
          <w:lang w:val="es-CO"/>
        </w:rPr>
        <w:t>CIDI/doc.83/14 rev. 1</w:t>
      </w:r>
      <w:r w:rsidRPr="00F8354F">
        <w:rPr>
          <w:rFonts w:ascii="Times New Roman" w:eastAsia="Calibri" w:hAnsi="Times New Roman"/>
          <w:b/>
          <w:bCs/>
          <w:color w:val="333333"/>
          <w:szCs w:val="22"/>
          <w:lang w:val="es-CO"/>
        </w:rPr>
        <w:t xml:space="preserve"> - </w:t>
      </w:r>
      <w:hyperlink r:id="rId14" w:history="1">
        <w:r w:rsidRPr="00F8354F">
          <w:rPr>
            <w:rFonts w:ascii="Times New Roman" w:eastAsia="Calibri" w:hAnsi="Times New Roman"/>
            <w:color w:val="0000FF"/>
            <w:szCs w:val="22"/>
            <w:u w:val="single"/>
            <w:lang w:val="es-CO"/>
          </w:rPr>
          <w:t>Español</w:t>
        </w:r>
      </w:hyperlink>
      <w:r w:rsidRPr="00F8354F">
        <w:rPr>
          <w:rFonts w:ascii="Times New Roman" w:eastAsia="Calibri" w:hAnsi="Times New Roman"/>
          <w:color w:val="333333"/>
          <w:szCs w:val="22"/>
          <w:lang w:val="es-CO"/>
        </w:rPr>
        <w:t xml:space="preserve"> - </w:t>
      </w:r>
      <w:hyperlink r:id="rId15" w:history="1">
        <w:r w:rsidRPr="00F8354F">
          <w:rPr>
            <w:rFonts w:ascii="Times New Roman" w:eastAsia="Calibri" w:hAnsi="Times New Roman"/>
            <w:color w:val="0000FF"/>
            <w:szCs w:val="22"/>
            <w:u w:val="single"/>
            <w:lang w:val="es-CO"/>
          </w:rPr>
          <w:t>English</w:t>
        </w:r>
      </w:hyperlink>
      <w:r w:rsidRPr="00F8354F">
        <w:rPr>
          <w:rFonts w:ascii="Times New Roman" w:eastAsia="Calibri" w:hAnsi="Times New Roman"/>
          <w:color w:val="333333"/>
          <w:szCs w:val="22"/>
          <w:lang w:val="es-CO"/>
        </w:rPr>
        <w:t xml:space="preserve"> - </w:t>
      </w:r>
      <w:hyperlink r:id="rId16" w:history="1">
        <w:r w:rsidRPr="00F8354F">
          <w:rPr>
            <w:rFonts w:ascii="Times New Roman" w:eastAsia="Calibri" w:hAnsi="Times New Roman"/>
            <w:color w:val="0000FF"/>
            <w:szCs w:val="22"/>
            <w:u w:val="single"/>
            <w:lang w:val="es-CO"/>
          </w:rPr>
          <w:t>Français</w:t>
        </w:r>
      </w:hyperlink>
      <w:r w:rsidRPr="00F8354F">
        <w:rPr>
          <w:rFonts w:ascii="Times New Roman" w:eastAsia="Calibri" w:hAnsi="Times New Roman"/>
          <w:color w:val="333333"/>
          <w:szCs w:val="22"/>
          <w:lang w:val="es-CO"/>
        </w:rPr>
        <w:t xml:space="preserve"> </w:t>
      </w:r>
      <w:r w:rsidRPr="00F8354F">
        <w:rPr>
          <w:rFonts w:ascii="Times New Roman" w:eastAsia="Calibri" w:hAnsi="Times New Roman"/>
          <w:i/>
          <w:iCs/>
          <w:color w:val="333333"/>
          <w:szCs w:val="22"/>
          <w:lang w:val="es-CO"/>
        </w:rPr>
        <w:t>-</w:t>
      </w:r>
      <w:r w:rsidRPr="00F8354F">
        <w:rPr>
          <w:rFonts w:ascii="Times New Roman" w:eastAsia="Calibri" w:hAnsi="Times New Roman"/>
          <w:color w:val="333333"/>
          <w:szCs w:val="22"/>
          <w:lang w:val="es-CO"/>
        </w:rPr>
        <w:t xml:space="preserve"> </w:t>
      </w:r>
      <w:hyperlink r:id="rId17" w:history="1">
        <w:r w:rsidRPr="00F8354F">
          <w:rPr>
            <w:rFonts w:ascii="Times New Roman" w:eastAsia="Calibri" w:hAnsi="Times New Roman"/>
            <w:color w:val="0000FF"/>
            <w:szCs w:val="22"/>
            <w:u w:val="single"/>
            <w:lang w:val="es-CO"/>
          </w:rPr>
          <w:t>Português</w:t>
        </w:r>
      </w:hyperlink>
      <w:r w:rsidRPr="00F8354F">
        <w:rPr>
          <w:rFonts w:ascii="Times New Roman" w:eastAsia="Calibri" w:hAnsi="Times New Roman"/>
          <w:color w:val="333333"/>
          <w:szCs w:val="22"/>
          <w:lang w:val="es-CO"/>
        </w:rPr>
        <w:t xml:space="preserve">), </w:t>
      </w:r>
      <w:r w:rsidRPr="00F8354F">
        <w:rPr>
          <w:rFonts w:ascii="Times New Roman" w:eastAsia="Calibri" w:hAnsi="Times New Roman"/>
          <w:szCs w:val="22"/>
          <w:lang w:val="es-CO"/>
        </w:rPr>
        <w:t xml:space="preserve">así como el criterio establecido que clasifica los mandatos en tres tipos: </w:t>
      </w:r>
    </w:p>
    <w:p w14:paraId="1F499007"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rPr>
          <w:rFonts w:ascii="Times New Roman" w:hAnsi="Times New Roman"/>
          <w:szCs w:val="22"/>
          <w:lang w:val="es-CO"/>
        </w:rPr>
      </w:pPr>
    </w:p>
    <w:p w14:paraId="64273136" w14:textId="77777777" w:rsidR="00476A46" w:rsidRPr="00F8354F" w:rsidRDefault="00476A46" w:rsidP="00476A4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F8354F">
        <w:rPr>
          <w:rFonts w:ascii="Times New Roman" w:hAnsi="Times New Roman"/>
          <w:bCs/>
          <w:color w:val="000000"/>
          <w:szCs w:val="22"/>
          <w:u w:val="single"/>
          <w:lang w:val="es-AR"/>
        </w:rPr>
        <w:t>MANDATOS DE TIPO A</w:t>
      </w:r>
      <w:r w:rsidRPr="00F8354F">
        <w:rPr>
          <w:rFonts w:ascii="Times New Roman" w:hAnsi="Times New Roman"/>
          <w:bCs/>
          <w:color w:val="000000"/>
          <w:szCs w:val="22"/>
          <w:lang w:val="es-AR"/>
        </w:rPr>
        <w:t>:</w:t>
      </w:r>
      <w:r w:rsidRPr="00F8354F">
        <w:rPr>
          <w:rFonts w:ascii="Times New Roman" w:hAnsi="Times New Roman"/>
          <w:bCs/>
          <w:color w:val="000000"/>
          <w:szCs w:val="22"/>
          <w:lang w:val="es-AR"/>
        </w:rPr>
        <w:tab/>
      </w:r>
      <w:r w:rsidRPr="00F8354F">
        <w:rPr>
          <w:rFonts w:ascii="Times New Roman" w:hAnsi="Times New Roman"/>
          <w:color w:val="000000"/>
          <w:szCs w:val="22"/>
          <w:lang w:val="es-AR"/>
        </w:rPr>
        <w:t>Son políticas o lineamientos generales de política sobre el tema.</w:t>
      </w:r>
    </w:p>
    <w:p w14:paraId="4E97C832" w14:textId="77777777" w:rsidR="00476A46" w:rsidRPr="00F8354F" w:rsidRDefault="00476A46" w:rsidP="00476A4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F8354F">
        <w:rPr>
          <w:rFonts w:ascii="Times New Roman" w:hAnsi="Times New Roman"/>
          <w:bCs/>
          <w:color w:val="000000"/>
          <w:szCs w:val="22"/>
          <w:u w:val="single"/>
          <w:lang w:val="es-AR"/>
        </w:rPr>
        <w:t>MANDATOS DE TIPO B</w:t>
      </w:r>
      <w:r w:rsidRPr="00F8354F">
        <w:rPr>
          <w:rFonts w:ascii="Times New Roman" w:hAnsi="Times New Roman"/>
          <w:bCs/>
          <w:color w:val="000000"/>
          <w:szCs w:val="22"/>
          <w:lang w:val="es-AR"/>
        </w:rPr>
        <w:t>:</w:t>
      </w:r>
      <w:r w:rsidRPr="00F8354F">
        <w:rPr>
          <w:rFonts w:ascii="Times New Roman" w:hAnsi="Times New Roman"/>
          <w:color w:val="000000"/>
          <w:szCs w:val="22"/>
          <w:lang w:val="es-AR"/>
        </w:rPr>
        <w:t xml:space="preserve"> </w:t>
      </w:r>
      <w:r w:rsidRPr="00F8354F">
        <w:rPr>
          <w:rFonts w:ascii="Times New Roman" w:hAnsi="Times New Roman"/>
          <w:color w:val="000000"/>
          <w:szCs w:val="22"/>
          <w:lang w:val="es-AR"/>
        </w:rPr>
        <w:tab/>
        <w:t>Actividades y medidas específicas que apoyan la implementación de los mandatos tipo A.</w:t>
      </w:r>
    </w:p>
    <w:p w14:paraId="2FE80F5D" w14:textId="77777777" w:rsidR="00476A46" w:rsidRPr="00F8354F" w:rsidRDefault="00476A46" w:rsidP="00476A46">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Cs w:val="22"/>
          <w:lang w:val="es-CO"/>
        </w:rPr>
      </w:pPr>
      <w:r w:rsidRPr="00F8354F">
        <w:rPr>
          <w:rFonts w:ascii="Times New Roman" w:hAnsi="Times New Roman"/>
          <w:bCs/>
          <w:color w:val="000000"/>
          <w:szCs w:val="22"/>
          <w:u w:val="single"/>
          <w:lang w:val="es-AR"/>
        </w:rPr>
        <w:t>MANDATOS DE TIPO C</w:t>
      </w:r>
      <w:r w:rsidRPr="00F8354F">
        <w:rPr>
          <w:rFonts w:ascii="Times New Roman" w:hAnsi="Times New Roman"/>
          <w:bCs/>
          <w:color w:val="000000"/>
          <w:szCs w:val="22"/>
          <w:lang w:val="es-AR"/>
        </w:rPr>
        <w:t>:</w:t>
      </w:r>
      <w:r w:rsidRPr="00F8354F">
        <w:rPr>
          <w:rFonts w:ascii="Times New Roman" w:hAnsi="Times New Roman"/>
          <w:color w:val="000000"/>
          <w:szCs w:val="22"/>
          <w:lang w:val="es-AR"/>
        </w:rPr>
        <w:t xml:space="preserve"> </w:t>
      </w:r>
      <w:r w:rsidRPr="00F8354F">
        <w:rPr>
          <w:rFonts w:ascii="Times New Roman" w:hAnsi="Times New Roman"/>
          <w:color w:val="000000"/>
          <w:szCs w:val="22"/>
          <w:lang w:val="es-AR"/>
        </w:rPr>
        <w:tab/>
        <w:t>Mandatos operativos de naturaleza administrativa o financiera.</w:t>
      </w:r>
    </w:p>
    <w:p w14:paraId="74A23D85"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CO"/>
        </w:rPr>
      </w:pPr>
    </w:p>
    <w:p w14:paraId="0F1F1640"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80"/>
        <w:rPr>
          <w:rFonts w:ascii="Times New Roman" w:hAnsi="Times New Roman"/>
          <w:szCs w:val="22"/>
          <w:lang w:val="es-CO"/>
        </w:rPr>
      </w:pPr>
      <w:r w:rsidRPr="00F8354F">
        <w:rPr>
          <w:rFonts w:ascii="Times New Roman" w:hAnsi="Times New Roman"/>
          <w:szCs w:val="22"/>
          <w:lang w:val="es-CO"/>
        </w:rPr>
        <w:t>Esto facilitará la labor de clasificar los mandatos que acuerde la Asamblea General y actualizar de manera inmediata la base de datos de mandatos en materia de desarrollo integral.</w:t>
      </w:r>
    </w:p>
    <w:p w14:paraId="36A53D30"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7C292D28"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r w:rsidRPr="00F8354F">
        <w:rPr>
          <w:rFonts w:ascii="Times New Roman" w:eastAsia="Calibri" w:hAnsi="Times New Roman"/>
          <w:szCs w:val="22"/>
          <w:lang w:val="es-CO"/>
        </w:rPr>
        <w:t xml:space="preserve">Siguiendo a lo acordado por el Consejo Permanente </w:t>
      </w:r>
      <w:r w:rsidRPr="00F8354F">
        <w:rPr>
          <w:rFonts w:ascii="Times New Roman" w:eastAsia="Calibri" w:hAnsi="Times New Roman"/>
          <w:noProof/>
          <w:szCs w:val="22"/>
          <w:lang w:val="es-CO"/>
        </w:rPr>
        <w:t>(</w:t>
      </w:r>
      <w:hyperlink r:id="rId18" w:history="1">
        <w:r w:rsidRPr="00F8354F">
          <w:rPr>
            <w:rFonts w:ascii="Times New Roman" w:eastAsia="Calibri" w:hAnsi="Times New Roman"/>
            <w:noProof/>
            <w:color w:val="0000FF"/>
            <w:szCs w:val="22"/>
            <w:u w:val="single"/>
            <w:lang w:val="es-CO"/>
          </w:rPr>
          <w:t>CP/doc.4556/11</w:t>
        </w:r>
      </w:hyperlink>
      <w:r w:rsidRPr="00F8354F">
        <w:rPr>
          <w:rFonts w:ascii="Times New Roman" w:eastAsia="Calibri" w:hAnsi="Times New Roman"/>
          <w:noProof/>
          <w:szCs w:val="22"/>
          <w:lang w:val="es-CO"/>
        </w:rPr>
        <w:t xml:space="preserve">) </w:t>
      </w:r>
      <w:r w:rsidRPr="00F8354F">
        <w:rPr>
          <w:rFonts w:ascii="Times New Roman" w:eastAsia="Calibri" w:hAnsi="Times New Roman"/>
          <w:szCs w:val="22"/>
          <w:lang w:val="es-CO"/>
        </w:rPr>
        <w:t xml:space="preserve"> y adoptado por la CEPCIDI en el 2011, (i) las notas de pie de página referidas a cualquier parte del proyecto de resolución tendrán un máximo de dos líneas. Cuando el texto exceda de esa extensión, las dos primeras líneas de la nota de pie página iniciarán en la página correspondiente y el resto continuará al final del texto del proyecto de resolución; y (ii) los proyectos de resolución no incluirán anexo alguno, a menos que se trate de documentos que sean presentados a la consideración de la Asamblea General para su adopción o aprobación, tales como convenciones, cartas y estatutos. Toda referencia a documentos en el texto de los proyectos de resolución deberá mencionar el título y la clasificación correspondiente y toda otra identificación disponible, como nombre, lugar y fecha de la reunión en la que se consideró el documento. </w:t>
      </w:r>
    </w:p>
    <w:p w14:paraId="52B645C0" w14:textId="77777777" w:rsidR="00476A46" w:rsidRPr="00F8354F" w:rsidRDefault="00476A46" w:rsidP="00476A46">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CO"/>
        </w:rPr>
      </w:pPr>
    </w:p>
    <w:p w14:paraId="359EB815" w14:textId="77777777" w:rsidR="00476A46" w:rsidRPr="00F8354F" w:rsidRDefault="00476A46" w:rsidP="00476A46">
      <w:pPr>
        <w:widowControl/>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lang w:val="es-EC"/>
        </w:rPr>
      </w:pPr>
      <w:r w:rsidRPr="00F8354F">
        <w:rPr>
          <w:rFonts w:ascii="Times New Roman" w:eastAsia="Calibri" w:hAnsi="Times New Roman"/>
          <w:szCs w:val="22"/>
          <w:lang w:val="es-CO"/>
        </w:rPr>
        <w:t xml:space="preserve">Con referencia a la redacción de los proyectos de resolución, se deberán considerar también los parámetros y procedimientos establecidos por el Consejo Permanente en el documento </w:t>
      </w:r>
      <w:hyperlink r:id="rId19" w:history="1">
        <w:r w:rsidRPr="00F8354F">
          <w:rPr>
            <w:rFonts w:ascii="Times New Roman" w:eastAsia="Calibri" w:hAnsi="Times New Roman"/>
            <w:color w:val="0000FF"/>
            <w:szCs w:val="22"/>
            <w:u w:val="single"/>
            <w:lang w:val="es-CO"/>
          </w:rPr>
          <w:t>CP/RES. 965/09</w:t>
        </w:r>
        <w:r w:rsidRPr="00F8354F" w:rsidDel="00E00EC2">
          <w:rPr>
            <w:rFonts w:ascii="Times New Roman" w:eastAsia="Calibri" w:hAnsi="Times New Roman"/>
            <w:color w:val="0000FF"/>
            <w:szCs w:val="22"/>
            <w:u w:val="single"/>
            <w:lang w:val="es-CO"/>
          </w:rPr>
          <w:t xml:space="preserve"> </w:t>
        </w:r>
        <w:r w:rsidRPr="00F8354F">
          <w:rPr>
            <w:rFonts w:ascii="Times New Roman" w:eastAsia="Calibri" w:hAnsi="Times New Roman"/>
            <w:color w:val="0000FF"/>
            <w:szCs w:val="22"/>
            <w:u w:val="single"/>
            <w:lang w:val="es-CO"/>
          </w:rPr>
          <w:t>(1733/09)</w:t>
        </w:r>
      </w:hyperlink>
      <w:r w:rsidRPr="00F8354F">
        <w:rPr>
          <w:rFonts w:ascii="Times New Roman" w:eastAsia="Calibri" w:hAnsi="Times New Roman"/>
          <w:szCs w:val="22"/>
          <w:lang w:val="es-CO"/>
        </w:rPr>
        <w:t xml:space="preserve"> “Plantillas a ser utilizadas por el Consejo Permanente para aquellas resoluciones a ser elevadas a la consideración de la Asamblea General.”  Para el costeo de los proyectos de resolución, se seguirán los parámetros y procedimientos establecidos por la resolución </w:t>
      </w:r>
      <w:hyperlink r:id="rId20" w:history="1">
        <w:r w:rsidRPr="00F8354F">
          <w:rPr>
            <w:rFonts w:ascii="Times New Roman" w:eastAsia="Calibri" w:hAnsi="Times New Roman"/>
            <w:color w:val="0000FF"/>
            <w:szCs w:val="22"/>
            <w:u w:val="single"/>
            <w:lang w:val="es-CO"/>
          </w:rPr>
          <w:t>CP/RES. 983 (1797/11</w:t>
        </w:r>
      </w:hyperlink>
      <w:r w:rsidRPr="00F8354F">
        <w:rPr>
          <w:rFonts w:ascii="Times New Roman" w:eastAsia="Calibri" w:hAnsi="Times New Roman"/>
          <w:szCs w:val="22"/>
          <w:lang w:val="es-CO"/>
        </w:rPr>
        <w:t>) “Actualización de la resolución CP/RES.965 (1733/09) en relación con el proceso de estimación de costos de resoluciones a ser elevadas por el Consejo Permanente” .</w:t>
      </w:r>
    </w:p>
    <w:p w14:paraId="2508D599" w14:textId="77777777" w:rsidR="00476A46" w:rsidRPr="00503ACB" w:rsidRDefault="00476A46" w:rsidP="00476A46">
      <w:pPr>
        <w:rPr>
          <w:rFonts w:ascii="Times New Roman" w:hAnsi="Times New Roman"/>
          <w:noProof/>
          <w:szCs w:val="22"/>
          <w:lang w:val="es-CO"/>
        </w:rPr>
      </w:pPr>
    </w:p>
    <w:p w14:paraId="5EF70B7F" w14:textId="38DDD146" w:rsidR="00476A46" w:rsidRPr="0018772C" w:rsidRDefault="00476A46" w:rsidP="00476A46">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rPr>
          <w:szCs w:val="22"/>
          <w:lang w:val="es-CO"/>
        </w:rPr>
      </w:pPr>
    </w:p>
    <w:p w14:paraId="26DFE43E" w14:textId="0BC7CE8B" w:rsidR="0026014B" w:rsidRPr="00476A46" w:rsidRDefault="00BA7C3A" w:rsidP="00476A46">
      <w:pPr>
        <w:rPr>
          <w:lang w:val="es-CO"/>
        </w:rPr>
      </w:pPr>
      <w:bookmarkStart w:id="3" w:name="_GoBack"/>
      <w:bookmarkEnd w:id="3"/>
      <w:r>
        <w:rPr>
          <w:noProof/>
          <w:lang w:val="en-US"/>
        </w:rPr>
        <mc:AlternateContent>
          <mc:Choice Requires="wps">
            <w:drawing>
              <wp:anchor distT="0" distB="0" distL="114300" distR="114300" simplePos="0" relativeHeight="251659264" behindDoc="0" locked="1" layoutInCell="1" allowOverlap="1" wp14:anchorId="0B4B5236" wp14:editId="0583CB8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0FA398B" w14:textId="27FB8EEB" w:rsidR="00BA7C3A" w:rsidRPr="00BA7C3A" w:rsidRDefault="00BA7C3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B5236"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30FA398B" w14:textId="27FB8EEB" w:rsidR="00BA7C3A" w:rsidRPr="00BA7C3A" w:rsidRDefault="00BA7C3A">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CIDRP02941P01</w:t>
                      </w:r>
                      <w:r>
                        <w:rPr>
                          <w:rFonts w:ascii="Times New Roman" w:hAnsi="Times New Roman"/>
                          <w:sz w:val="18"/>
                        </w:rPr>
                        <w:fldChar w:fldCharType="end"/>
                      </w:r>
                    </w:p>
                  </w:txbxContent>
                </v:textbox>
                <w10:wrap anchory="page"/>
                <w10:anchorlock/>
              </v:shape>
            </w:pict>
          </mc:Fallback>
        </mc:AlternateContent>
      </w:r>
    </w:p>
    <w:sectPr w:rsidR="0026014B" w:rsidRPr="00476A46" w:rsidSect="00752359">
      <w:headerReference w:type="first" r:id="rId21"/>
      <w:endnotePr>
        <w:numFmt w:val="decimal"/>
      </w:endnotePr>
      <w:type w:val="oddPage"/>
      <w:pgSz w:w="12240" w:h="15840"/>
      <w:pgMar w:top="2160" w:right="1570" w:bottom="1296" w:left="1699" w:header="1296" w:footer="1296"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3AC0" w14:textId="77777777" w:rsidR="005429F8" w:rsidRDefault="005429F8">
      <w:r>
        <w:separator/>
      </w:r>
    </w:p>
  </w:endnote>
  <w:endnote w:type="continuationSeparator" w:id="0">
    <w:p w14:paraId="6D9FE4E2" w14:textId="77777777" w:rsidR="005429F8" w:rsidRDefault="005429F8">
      <w:r>
        <w:continuationSeparator/>
      </w:r>
    </w:p>
  </w:endnote>
  <w:endnote w:type="continuationNotice" w:id="1">
    <w:p w14:paraId="29223565" w14:textId="77777777" w:rsidR="005429F8" w:rsidRDefault="0054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887D" w14:textId="77777777" w:rsidR="005429F8" w:rsidRDefault="005429F8">
      <w:r>
        <w:separator/>
      </w:r>
    </w:p>
  </w:footnote>
  <w:footnote w:type="continuationSeparator" w:id="0">
    <w:p w14:paraId="0C9953FF" w14:textId="77777777" w:rsidR="005429F8" w:rsidRDefault="005429F8">
      <w:r>
        <w:continuationSeparator/>
      </w:r>
    </w:p>
  </w:footnote>
  <w:footnote w:type="continuationNotice" w:id="1">
    <w:p w14:paraId="0D462A9C" w14:textId="77777777" w:rsidR="005429F8" w:rsidRDefault="00542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7222" w14:textId="42FB3319"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BA7C3A">
      <w:rPr>
        <w:rStyle w:val="PageNumber"/>
        <w:rFonts w:ascii="Times New Roman" w:hAnsi="Times New Roman"/>
        <w:noProof/>
      </w:rPr>
      <w:t>3</w:t>
    </w:r>
    <w:r w:rsidRPr="00AB65B4">
      <w:rPr>
        <w:rStyle w:val="PageNumber"/>
        <w:rFonts w:ascii="Times New Roman" w:hAnsi="Times New Roman"/>
      </w:rPr>
      <w:fldChar w:fldCharType="end"/>
    </w:r>
    <w:r>
      <w:rPr>
        <w:rStyle w:val="PageNumber"/>
      </w:rPr>
      <w:t xml:space="preserve"> -</w:t>
    </w:r>
  </w:p>
  <w:p w14:paraId="4D534B8E" w14:textId="77777777" w:rsidR="00A95075" w:rsidRPr="00AB65B4" w:rsidRDefault="00A95075">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03731"/>
      <w:docPartObj>
        <w:docPartGallery w:val="Page Numbers (Top of Page)"/>
        <w:docPartUnique/>
      </w:docPartObj>
    </w:sdtPr>
    <w:sdtEndPr>
      <w:rPr>
        <w:noProof/>
      </w:rPr>
    </w:sdtEndPr>
    <w:sdtContent>
      <w:p w14:paraId="2C5139DC" w14:textId="0011330C" w:rsidR="00752359" w:rsidRDefault="00752359">
        <w:pPr>
          <w:pStyle w:val="Header"/>
          <w:jc w:val="center"/>
        </w:pPr>
        <w:r>
          <w:fldChar w:fldCharType="begin"/>
        </w:r>
        <w:r>
          <w:instrText xml:space="preserve"> PAGE   \* MERGEFORMAT </w:instrText>
        </w:r>
        <w:r>
          <w:fldChar w:fldCharType="separate"/>
        </w:r>
        <w:r w:rsidR="00BA7C3A">
          <w:rPr>
            <w:noProof/>
          </w:rPr>
          <w:t>- 5 -</w:t>
        </w:r>
        <w:r>
          <w:rPr>
            <w:noProof/>
          </w:rPr>
          <w:fldChar w:fldCharType="end"/>
        </w:r>
      </w:p>
    </w:sdtContent>
  </w:sdt>
  <w:p w14:paraId="15EBBD3B" w14:textId="77777777" w:rsidR="00752359" w:rsidRDefault="0075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15:restartNumberingAfterBreak="0">
    <w:nsid w:val="1C7905E3"/>
    <w:multiLevelType w:val="singleLevel"/>
    <w:tmpl w:val="2DDCAB8C"/>
    <w:lvl w:ilvl="0">
      <w:numFmt w:val="decimal"/>
      <w:lvlText w:val="%1"/>
      <w:legacy w:legacy="1" w:legacySpace="0" w:legacyIndent="0"/>
      <w:lvlJc w:val="left"/>
    </w:lvl>
  </w:abstractNum>
  <w:abstractNum w:abstractNumId="2" w15:restartNumberingAfterBreak="0">
    <w:nsid w:val="22375F74"/>
    <w:multiLevelType w:val="singleLevel"/>
    <w:tmpl w:val="2DDCAB8C"/>
    <w:lvl w:ilvl="0">
      <w:numFmt w:val="decimal"/>
      <w:lvlText w:val="%1"/>
      <w:legacy w:legacy="1" w:legacySpace="0" w:legacyIndent="0"/>
      <w:lvlJc w:val="left"/>
    </w:lvl>
  </w:abstractNum>
  <w:abstractNum w:abstractNumId="3" w15:restartNumberingAfterBreak="0">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4" w15:restartNumberingAfterBreak="0">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5" w15:restartNumberingAfterBreak="0">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7" w15:restartNumberingAfterBreak="0">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8" w15:restartNumberingAfterBreak="0">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abstractNum w:abstractNumId="9" w15:restartNumberingAfterBreak="0">
    <w:nsid w:val="7CEA6E34"/>
    <w:multiLevelType w:val="hybridMultilevel"/>
    <w:tmpl w:val="12744CCA"/>
    <w:lvl w:ilvl="0" w:tplc="C706E23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6"/>
  </w:num>
  <w:num w:numId="7">
    <w:abstractNumId w:val="4"/>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ABF184-A1EF-4B33-A78F-521AAF39750F}"/>
    <w:docVar w:name="dgnword-eventsink" w:val="147730448"/>
  </w:docVars>
  <w:rsids>
    <w:rsidRoot w:val="00CD5175"/>
    <w:rsid w:val="00022846"/>
    <w:rsid w:val="00023E54"/>
    <w:rsid w:val="0002799A"/>
    <w:rsid w:val="00034455"/>
    <w:rsid w:val="00035268"/>
    <w:rsid w:val="000423A6"/>
    <w:rsid w:val="00043DE6"/>
    <w:rsid w:val="00046A2B"/>
    <w:rsid w:val="00061755"/>
    <w:rsid w:val="00066A72"/>
    <w:rsid w:val="0008231A"/>
    <w:rsid w:val="00084C56"/>
    <w:rsid w:val="000A718C"/>
    <w:rsid w:val="000C645E"/>
    <w:rsid w:val="000E72FB"/>
    <w:rsid w:val="000F160B"/>
    <w:rsid w:val="000F44CE"/>
    <w:rsid w:val="00123710"/>
    <w:rsid w:val="00133C5D"/>
    <w:rsid w:val="00137A6C"/>
    <w:rsid w:val="00144A71"/>
    <w:rsid w:val="00151EB4"/>
    <w:rsid w:val="001569A2"/>
    <w:rsid w:val="00156A33"/>
    <w:rsid w:val="00171BBA"/>
    <w:rsid w:val="0017319F"/>
    <w:rsid w:val="001A0784"/>
    <w:rsid w:val="001A7E63"/>
    <w:rsid w:val="001B16D1"/>
    <w:rsid w:val="001C0959"/>
    <w:rsid w:val="001D64C8"/>
    <w:rsid w:val="001F32F7"/>
    <w:rsid w:val="0020386B"/>
    <w:rsid w:val="00213779"/>
    <w:rsid w:val="002200A4"/>
    <w:rsid w:val="0022294B"/>
    <w:rsid w:val="00253141"/>
    <w:rsid w:val="002558BC"/>
    <w:rsid w:val="00256A09"/>
    <w:rsid w:val="0026014B"/>
    <w:rsid w:val="002735FD"/>
    <w:rsid w:val="0027470E"/>
    <w:rsid w:val="002768D2"/>
    <w:rsid w:val="00277D08"/>
    <w:rsid w:val="002B401F"/>
    <w:rsid w:val="002C1AA4"/>
    <w:rsid w:val="003041D7"/>
    <w:rsid w:val="0032549B"/>
    <w:rsid w:val="0032709B"/>
    <w:rsid w:val="003358DA"/>
    <w:rsid w:val="00342874"/>
    <w:rsid w:val="00361891"/>
    <w:rsid w:val="00361EA0"/>
    <w:rsid w:val="003658FF"/>
    <w:rsid w:val="00375E9B"/>
    <w:rsid w:val="00395AF6"/>
    <w:rsid w:val="00397653"/>
    <w:rsid w:val="003A4527"/>
    <w:rsid w:val="003B42EC"/>
    <w:rsid w:val="003F3DD1"/>
    <w:rsid w:val="003F4C4F"/>
    <w:rsid w:val="00405D61"/>
    <w:rsid w:val="00442858"/>
    <w:rsid w:val="00452DC8"/>
    <w:rsid w:val="004546E3"/>
    <w:rsid w:val="0045737C"/>
    <w:rsid w:val="004672CA"/>
    <w:rsid w:val="00470BB3"/>
    <w:rsid w:val="00476409"/>
    <w:rsid w:val="00476A46"/>
    <w:rsid w:val="00482604"/>
    <w:rsid w:val="00483633"/>
    <w:rsid w:val="00484D3A"/>
    <w:rsid w:val="00485290"/>
    <w:rsid w:val="00486108"/>
    <w:rsid w:val="004957C8"/>
    <w:rsid w:val="00497CD6"/>
    <w:rsid w:val="004A07FE"/>
    <w:rsid w:val="004A4BE2"/>
    <w:rsid w:val="004B3EB9"/>
    <w:rsid w:val="004C1403"/>
    <w:rsid w:val="004E2FD4"/>
    <w:rsid w:val="004E6739"/>
    <w:rsid w:val="004F2E49"/>
    <w:rsid w:val="0050287C"/>
    <w:rsid w:val="00503ACB"/>
    <w:rsid w:val="0051238C"/>
    <w:rsid w:val="005251BF"/>
    <w:rsid w:val="00525A17"/>
    <w:rsid w:val="00537959"/>
    <w:rsid w:val="00540E53"/>
    <w:rsid w:val="00541476"/>
    <w:rsid w:val="005429F8"/>
    <w:rsid w:val="00583E36"/>
    <w:rsid w:val="005E550C"/>
    <w:rsid w:val="005E702A"/>
    <w:rsid w:val="005F7FD9"/>
    <w:rsid w:val="0062753B"/>
    <w:rsid w:val="00627FFE"/>
    <w:rsid w:val="0063738F"/>
    <w:rsid w:val="006434F9"/>
    <w:rsid w:val="00644781"/>
    <w:rsid w:val="00660C59"/>
    <w:rsid w:val="0068781D"/>
    <w:rsid w:val="00691013"/>
    <w:rsid w:val="00695FDB"/>
    <w:rsid w:val="00697B98"/>
    <w:rsid w:val="006A1568"/>
    <w:rsid w:val="006A5F11"/>
    <w:rsid w:val="006A6CDF"/>
    <w:rsid w:val="006C3456"/>
    <w:rsid w:val="006C4E19"/>
    <w:rsid w:val="006D72DD"/>
    <w:rsid w:val="00703271"/>
    <w:rsid w:val="00704EAE"/>
    <w:rsid w:val="00735CFC"/>
    <w:rsid w:val="00752359"/>
    <w:rsid w:val="00767CE7"/>
    <w:rsid w:val="00791379"/>
    <w:rsid w:val="007D33F9"/>
    <w:rsid w:val="007F35F9"/>
    <w:rsid w:val="00817F47"/>
    <w:rsid w:val="00820B58"/>
    <w:rsid w:val="008366A7"/>
    <w:rsid w:val="00887A70"/>
    <w:rsid w:val="008C34AB"/>
    <w:rsid w:val="008C7069"/>
    <w:rsid w:val="008E6D8F"/>
    <w:rsid w:val="008F049D"/>
    <w:rsid w:val="008F588F"/>
    <w:rsid w:val="00900BE0"/>
    <w:rsid w:val="00905CFD"/>
    <w:rsid w:val="00934AB4"/>
    <w:rsid w:val="00943102"/>
    <w:rsid w:val="00961B8E"/>
    <w:rsid w:val="0096456B"/>
    <w:rsid w:val="00984D07"/>
    <w:rsid w:val="00987533"/>
    <w:rsid w:val="009A2C57"/>
    <w:rsid w:val="009B0309"/>
    <w:rsid w:val="009C6185"/>
    <w:rsid w:val="009E7BC6"/>
    <w:rsid w:val="009F1667"/>
    <w:rsid w:val="009F24DD"/>
    <w:rsid w:val="00A10380"/>
    <w:rsid w:val="00A45533"/>
    <w:rsid w:val="00A51FB2"/>
    <w:rsid w:val="00A5283F"/>
    <w:rsid w:val="00A76D1B"/>
    <w:rsid w:val="00A8615D"/>
    <w:rsid w:val="00A875B0"/>
    <w:rsid w:val="00A95075"/>
    <w:rsid w:val="00A95118"/>
    <w:rsid w:val="00AB65B4"/>
    <w:rsid w:val="00AC25EC"/>
    <w:rsid w:val="00AF1349"/>
    <w:rsid w:val="00B05242"/>
    <w:rsid w:val="00B21B83"/>
    <w:rsid w:val="00B22FD6"/>
    <w:rsid w:val="00B26239"/>
    <w:rsid w:val="00B30DB8"/>
    <w:rsid w:val="00B37EDE"/>
    <w:rsid w:val="00B427A9"/>
    <w:rsid w:val="00B5008E"/>
    <w:rsid w:val="00B520F3"/>
    <w:rsid w:val="00B539C9"/>
    <w:rsid w:val="00B551A1"/>
    <w:rsid w:val="00B74988"/>
    <w:rsid w:val="00B774EB"/>
    <w:rsid w:val="00B8082E"/>
    <w:rsid w:val="00B84736"/>
    <w:rsid w:val="00B858D2"/>
    <w:rsid w:val="00BA0DD1"/>
    <w:rsid w:val="00BA4371"/>
    <w:rsid w:val="00BA7C3A"/>
    <w:rsid w:val="00BC5C37"/>
    <w:rsid w:val="00BE066D"/>
    <w:rsid w:val="00C008FA"/>
    <w:rsid w:val="00C2121F"/>
    <w:rsid w:val="00C2153D"/>
    <w:rsid w:val="00C26086"/>
    <w:rsid w:val="00C3086C"/>
    <w:rsid w:val="00C427E1"/>
    <w:rsid w:val="00C47CDD"/>
    <w:rsid w:val="00C83C1D"/>
    <w:rsid w:val="00C858EC"/>
    <w:rsid w:val="00CA135F"/>
    <w:rsid w:val="00CA1DF0"/>
    <w:rsid w:val="00CA6D45"/>
    <w:rsid w:val="00CB4270"/>
    <w:rsid w:val="00CC00E0"/>
    <w:rsid w:val="00CC400C"/>
    <w:rsid w:val="00CD5175"/>
    <w:rsid w:val="00CD6EDC"/>
    <w:rsid w:val="00CF0A6F"/>
    <w:rsid w:val="00D148EC"/>
    <w:rsid w:val="00D21B80"/>
    <w:rsid w:val="00D231AF"/>
    <w:rsid w:val="00D26151"/>
    <w:rsid w:val="00D72234"/>
    <w:rsid w:val="00DA0B16"/>
    <w:rsid w:val="00DA3F73"/>
    <w:rsid w:val="00DA6F68"/>
    <w:rsid w:val="00DC173D"/>
    <w:rsid w:val="00DC35ED"/>
    <w:rsid w:val="00DD2ED7"/>
    <w:rsid w:val="00DE7372"/>
    <w:rsid w:val="00DE764C"/>
    <w:rsid w:val="00E12BD5"/>
    <w:rsid w:val="00E13A7D"/>
    <w:rsid w:val="00E1614A"/>
    <w:rsid w:val="00E16F0C"/>
    <w:rsid w:val="00E31F69"/>
    <w:rsid w:val="00E37B36"/>
    <w:rsid w:val="00E70EDB"/>
    <w:rsid w:val="00E75F0A"/>
    <w:rsid w:val="00E83B59"/>
    <w:rsid w:val="00EA3C99"/>
    <w:rsid w:val="00EA692C"/>
    <w:rsid w:val="00EC6942"/>
    <w:rsid w:val="00EF43CE"/>
    <w:rsid w:val="00F0264A"/>
    <w:rsid w:val="00F16D41"/>
    <w:rsid w:val="00F2160D"/>
    <w:rsid w:val="00F24172"/>
    <w:rsid w:val="00F255E6"/>
    <w:rsid w:val="00F25D54"/>
    <w:rsid w:val="00F3558B"/>
    <w:rsid w:val="00F40359"/>
    <w:rsid w:val="00F51232"/>
    <w:rsid w:val="00F51285"/>
    <w:rsid w:val="00F74527"/>
    <w:rsid w:val="00F7460A"/>
    <w:rsid w:val="00F92985"/>
    <w:rsid w:val="00F93091"/>
    <w:rsid w:val="00FA4D9F"/>
    <w:rsid w:val="00FC4A6A"/>
    <w:rsid w:val="00FC7128"/>
    <w:rsid w:val="00FE484B"/>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1E792"/>
  <w15:docId w15:val="{067963DC-1351-4E45-B3D4-EA09D994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A4"/>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1">
    <w:name w:val="Párrafo de lista1"/>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396049">
      <w:bodyDiv w:val="1"/>
      <w:marLeft w:val="0"/>
      <w:marRight w:val="0"/>
      <w:marTop w:val="0"/>
      <w:marBottom w:val="0"/>
      <w:divBdr>
        <w:top w:val="none" w:sz="0" w:space="0" w:color="auto"/>
        <w:left w:val="none" w:sz="0" w:space="0" w:color="auto"/>
        <w:bottom w:val="none" w:sz="0" w:space="0" w:color="auto"/>
        <w:right w:val="none" w:sz="0" w:space="0" w:color="auto"/>
      </w:divBdr>
      <w:divsChild>
        <w:div w:id="1321691780">
          <w:marLeft w:val="0"/>
          <w:marRight w:val="0"/>
          <w:marTop w:val="0"/>
          <w:marBottom w:val="0"/>
          <w:divBdr>
            <w:top w:val="none" w:sz="0" w:space="0" w:color="auto"/>
            <w:left w:val="none" w:sz="0" w:space="0" w:color="auto"/>
            <w:bottom w:val="none" w:sz="0" w:space="0" w:color="auto"/>
            <w:right w:val="none" w:sz="0" w:space="0" w:color="auto"/>
          </w:divBdr>
          <w:divsChild>
            <w:div w:id="192769958">
              <w:marLeft w:val="0"/>
              <w:marRight w:val="0"/>
              <w:marTop w:val="0"/>
              <w:marBottom w:val="0"/>
              <w:divBdr>
                <w:top w:val="none" w:sz="0" w:space="0" w:color="auto"/>
                <w:left w:val="none" w:sz="0" w:space="0" w:color="auto"/>
                <w:bottom w:val="none" w:sz="0" w:space="0" w:color="auto"/>
                <w:right w:val="none" w:sz="0" w:space="0" w:color="auto"/>
              </w:divBdr>
              <w:divsChild>
                <w:div w:id="1820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AAP&amp;classNum=3098&amp;lang=e" TargetMode="External"/><Relationship Id="rId13" Type="http://schemas.openxmlformats.org/officeDocument/2006/relationships/hyperlink" Target="http://scm.oas.org/IDMS/Redirectpage.aspx?class=cidi/doc.&amp;classNum=42&amp;lang=p" TargetMode="External"/><Relationship Id="rId18" Type="http://schemas.openxmlformats.org/officeDocument/2006/relationships/hyperlink" Target="http://scm.oas.org.doc_public/ENGLISH/hist_11/CP26202E04.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oas.org/IDMS/Redirectpage.aspx?class=cidi/doc.&amp;classNum=42&amp;lang=f" TargetMode="External"/><Relationship Id="rId17" Type="http://schemas.openxmlformats.org/officeDocument/2006/relationships/hyperlink" Target="http://scm.oas.org/IDMS/Redirectpage.aspx?class=cidi/doc.&amp;classNum=83&amp;lang=p"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83&amp;lang=f" TargetMode="External"/><Relationship Id="rId20" Type="http://schemas.openxmlformats.org/officeDocument/2006/relationships/hyperlink" Target="http://scm.oas.org/doc_public/spanish/hist_11/cp25928s0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doc.&amp;classNum=42&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83&amp;lang=e" TargetMode="External"/><Relationship Id="rId23" Type="http://schemas.openxmlformats.org/officeDocument/2006/relationships/theme" Target="theme/theme1.xml"/><Relationship Id="rId10" Type="http://schemas.openxmlformats.org/officeDocument/2006/relationships/hyperlink" Target="http://scm.oas.org/IDMS/Redirectpage.aspx?class=cidi/doc.&amp;classNum=42&amp;lang=s" TargetMode="External"/><Relationship Id="rId19" Type="http://schemas.openxmlformats.org/officeDocument/2006/relationships/hyperlink" Target="http://scm.oas.org/doc_public/spanish/hist_09/cp23469s04.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m.oas.org/IDMS/Redirectpage.aspx?class=cidi/doc.&amp;classNum=83&amp;lang=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4785E-BF3E-4B2B-A849-AF8A2577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14160</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E. Diaz Avalos</dc:creator>
  <cp:lastModifiedBy>Diaz - Avalos,  Estela</cp:lastModifiedBy>
  <cp:revision>3</cp:revision>
  <cp:lastPrinted>2020-03-02T23:26:00Z</cp:lastPrinted>
  <dcterms:created xsi:type="dcterms:W3CDTF">2020-08-17T22:11:00Z</dcterms:created>
  <dcterms:modified xsi:type="dcterms:W3CDTF">2020-08-17T22:11:00Z</dcterms:modified>
</cp:coreProperties>
</file>