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C139" w14:textId="77777777" w:rsidR="001066D3" w:rsidRPr="00EA2853" w:rsidRDefault="001066D3" w:rsidP="001066D3">
      <w:pPr>
        <w:tabs>
          <w:tab w:val="clear" w:pos="6480"/>
        </w:tabs>
        <w:ind w:right="-569"/>
        <w:rPr>
          <w:rFonts w:ascii="Times New Roman" w:hAnsi="Times New Roman"/>
          <w:noProof/>
          <w:szCs w:val="22"/>
          <w:lang w:val="pt-BR"/>
        </w:rPr>
      </w:pPr>
      <w:r w:rsidRPr="00EA2853">
        <w:rPr>
          <w:rFonts w:ascii="Times New Roman" w:hAnsi="Times New Roman"/>
          <w:szCs w:val="22"/>
          <w:lang w:val="pt-BR"/>
        </w:rPr>
        <w:t>COMISSÃO DE POLÍTICAS DE COOPERAÇÃO</w:t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  <w:t>OEA/Ser.W</w:t>
      </w:r>
    </w:p>
    <w:p w14:paraId="5DA574E2" w14:textId="77777777" w:rsidR="001066D3" w:rsidRPr="00EA2853" w:rsidRDefault="001066D3" w:rsidP="001066D3">
      <w:pPr>
        <w:tabs>
          <w:tab w:val="clear" w:pos="6480"/>
          <w:tab w:val="left" w:pos="7290"/>
        </w:tabs>
        <w:ind w:right="-1109"/>
        <w:rPr>
          <w:rFonts w:ascii="Times New Roman" w:hAnsi="Times New Roman"/>
          <w:noProof/>
          <w:szCs w:val="22"/>
          <w:lang w:val="pt-BR"/>
        </w:rPr>
      </w:pPr>
      <w:r w:rsidRPr="00EA2853">
        <w:rPr>
          <w:rFonts w:ascii="Times New Roman" w:hAnsi="Times New Roman"/>
          <w:szCs w:val="22"/>
          <w:lang w:val="pt-BR"/>
        </w:rPr>
        <w:t>SOLIDÁRIA PARA O DESENVOLVIMENTO</w:t>
      </w:r>
      <w:r w:rsidRPr="00EA2853">
        <w:rPr>
          <w:rFonts w:ascii="Times New Roman" w:hAnsi="Times New Roman"/>
          <w:szCs w:val="22"/>
          <w:lang w:val="pt-BR"/>
        </w:rPr>
        <w:tab/>
        <w:t xml:space="preserve"> </w:t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  <w:t>CIDI/CPD/doc.201/20</w:t>
      </w:r>
      <w:r w:rsidR="005E36D5">
        <w:rPr>
          <w:rFonts w:ascii="Times New Roman" w:hAnsi="Times New Roman"/>
          <w:szCs w:val="22"/>
          <w:lang w:val="pt-BR"/>
        </w:rPr>
        <w:t xml:space="preserve"> rev.</w:t>
      </w:r>
      <w:r w:rsidR="009F636B">
        <w:rPr>
          <w:rFonts w:ascii="Times New Roman" w:hAnsi="Times New Roman"/>
          <w:szCs w:val="22"/>
          <w:lang w:val="pt-BR"/>
        </w:rPr>
        <w:t>2</w:t>
      </w:r>
    </w:p>
    <w:p w14:paraId="2F81DF63" w14:textId="77777777" w:rsidR="001066D3" w:rsidRPr="00D02EC6" w:rsidRDefault="001066D3" w:rsidP="001066D3">
      <w:pPr>
        <w:tabs>
          <w:tab w:val="clear" w:pos="6480"/>
        </w:tabs>
        <w:ind w:right="-569"/>
        <w:rPr>
          <w:rFonts w:ascii="Times New Roman" w:hAnsi="Times New Roman"/>
          <w:noProof/>
          <w:szCs w:val="22"/>
          <w:lang w:val="pt-BR"/>
        </w:rPr>
      </w:pP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Pr="00EA2853">
        <w:rPr>
          <w:rFonts w:ascii="Times New Roman" w:hAnsi="Times New Roman"/>
          <w:szCs w:val="22"/>
          <w:lang w:val="pt-BR"/>
        </w:rPr>
        <w:tab/>
      </w:r>
      <w:r w:rsidR="009F636B">
        <w:rPr>
          <w:rFonts w:ascii="Times New Roman" w:hAnsi="Times New Roman"/>
          <w:szCs w:val="22"/>
          <w:lang w:val="pt-BR"/>
        </w:rPr>
        <w:t>8 outub</w:t>
      </w:r>
      <w:r w:rsidRPr="00D02EC6">
        <w:rPr>
          <w:rFonts w:ascii="Times New Roman" w:hAnsi="Times New Roman"/>
          <w:szCs w:val="22"/>
          <w:lang w:val="pt-BR"/>
        </w:rPr>
        <w:t>ro 2020</w:t>
      </w:r>
    </w:p>
    <w:p w14:paraId="2463B847" w14:textId="77777777" w:rsidR="001066D3" w:rsidRPr="00D02EC6" w:rsidRDefault="001066D3" w:rsidP="001066D3">
      <w:pPr>
        <w:tabs>
          <w:tab w:val="clear" w:pos="6480"/>
        </w:tabs>
        <w:ind w:right="-569"/>
        <w:rPr>
          <w:rFonts w:ascii="Times New Roman" w:hAnsi="Times New Roman"/>
          <w:noProof/>
          <w:szCs w:val="22"/>
          <w:lang w:val="pt-BR"/>
        </w:rPr>
      </w:pP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</w:r>
      <w:r w:rsidRPr="00D02EC6">
        <w:rPr>
          <w:rFonts w:ascii="Times New Roman" w:hAnsi="Times New Roman"/>
          <w:szCs w:val="22"/>
          <w:lang w:val="pt-BR"/>
        </w:rPr>
        <w:tab/>
        <w:t>Original: espanhol</w:t>
      </w:r>
    </w:p>
    <w:p w14:paraId="20A13112" w14:textId="77777777" w:rsidR="00AB65B4" w:rsidRPr="00D02EC6" w:rsidRDefault="00AB65B4" w:rsidP="00AB65B4">
      <w:pPr>
        <w:pBdr>
          <w:bottom w:val="single" w:sz="12" w:space="1" w:color="auto"/>
        </w:pBdr>
        <w:tabs>
          <w:tab w:val="left" w:pos="5940"/>
        </w:tabs>
        <w:ind w:right="-569"/>
        <w:rPr>
          <w:rFonts w:ascii="Times New Roman" w:hAnsi="Times New Roman"/>
          <w:noProof/>
          <w:szCs w:val="22"/>
          <w:lang w:val="pt-BR"/>
        </w:rPr>
      </w:pPr>
    </w:p>
    <w:p w14:paraId="62E438A2" w14:textId="77777777" w:rsidR="00AB65B4" w:rsidRPr="00D02EC6" w:rsidRDefault="00AB65B4" w:rsidP="00AB65B4">
      <w:pPr>
        <w:tabs>
          <w:tab w:val="left" w:pos="6840"/>
        </w:tabs>
        <w:ind w:right="-569"/>
        <w:rPr>
          <w:rFonts w:ascii="Times New Roman" w:hAnsi="Times New Roman"/>
          <w:noProof/>
          <w:szCs w:val="22"/>
          <w:lang w:val="pt-BR"/>
        </w:rPr>
      </w:pPr>
    </w:p>
    <w:p w14:paraId="685D886C" w14:textId="77777777" w:rsidR="00E84B12" w:rsidRPr="00D02EC6" w:rsidRDefault="00E84B12" w:rsidP="00E84B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674794D0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4024D9E3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60C7A9A3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66C3B9B0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7DB78F38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05FE41F8" w14:textId="77777777" w:rsidR="00555423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06358CDB" w14:textId="77777777" w:rsidR="00D02EC6" w:rsidRDefault="00D02EC6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4F696528" w14:textId="77777777" w:rsidR="00D02EC6" w:rsidRDefault="00D02EC6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195A80D5" w14:textId="77777777" w:rsidR="00D02EC6" w:rsidRDefault="00D02EC6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400D21ED" w14:textId="77777777" w:rsidR="00D02EC6" w:rsidRDefault="00D02EC6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52DB63ED" w14:textId="77777777" w:rsidR="00D02EC6" w:rsidRPr="00D02EC6" w:rsidRDefault="00D02EC6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45956B57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1043C632" w14:textId="77777777" w:rsidR="00555423" w:rsidRPr="00D02EC6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13171A9F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color w:val="000000"/>
          <w:szCs w:val="22"/>
          <w:lang w:val="pt-BR"/>
        </w:rPr>
        <w:t xml:space="preserve">PROJETO DE RESOLUÇÃO </w:t>
      </w:r>
      <w:r w:rsidRPr="00EA2853">
        <w:rPr>
          <w:rFonts w:ascii="Times New Roman" w:hAnsi="Times New Roman"/>
          <w:color w:val="000000"/>
          <w:szCs w:val="22"/>
          <w:lang w:val="pt-BR"/>
        </w:rPr>
        <w:t>“</w:t>
      </w:r>
      <w:r w:rsidRPr="001066D3">
        <w:rPr>
          <w:rFonts w:ascii="Times New Roman" w:hAnsi="Times New Roman"/>
          <w:szCs w:val="22"/>
          <w:lang w:val="pt-BR"/>
        </w:rPr>
        <w:t xml:space="preserve">OS DESAFIOS PARA A SEGURANÇA ALIMENTAR E NUTRICIONAL DAS AMÉRICAS FRENTE À PANDEMIA DE COVID-19 NO ÂMBITO DO </w:t>
      </w:r>
      <w:r w:rsidRPr="00EA2853">
        <w:rPr>
          <w:rFonts w:ascii="Times New Roman" w:hAnsi="Times New Roman"/>
          <w:szCs w:val="22"/>
          <w:lang w:val="pt-BR"/>
        </w:rPr>
        <w:t xml:space="preserve">PLANO DE AÇÃO DA GUATEMALA 2019” </w:t>
      </w:r>
      <w:r w:rsidRPr="001066D3">
        <w:rPr>
          <w:rFonts w:ascii="Times New Roman" w:hAnsi="Times New Roman"/>
          <w:color w:val="000000"/>
          <w:szCs w:val="22"/>
          <w:lang w:val="pt-BR"/>
        </w:rPr>
        <w:t>PARA CONSIDERAÇÃO DO QUINQUAGÉSIMO PERÍODO ORDINÁRIO DE SESSÕES DA ASSEMBLEIA GERAL DA OEA</w:t>
      </w:r>
    </w:p>
    <w:p w14:paraId="786510E9" w14:textId="77777777" w:rsidR="00555423" w:rsidRPr="00EA2853" w:rsidRDefault="0055542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5846C1F7" w14:textId="77777777" w:rsidR="00505DA8" w:rsidRPr="00EA2853" w:rsidRDefault="00505DA8" w:rsidP="00442C8B">
      <w:pPr>
        <w:snapToGrid w:val="0"/>
        <w:jc w:val="center"/>
        <w:rPr>
          <w:rFonts w:ascii="Times New Roman" w:eastAsia="Calibri" w:hAnsi="Times New Roman"/>
          <w:szCs w:val="22"/>
          <w:lang w:val="pt-BR"/>
        </w:rPr>
      </w:pPr>
      <w:r w:rsidRPr="00EA2853">
        <w:rPr>
          <w:rFonts w:ascii="Times New Roman" w:eastAsia="Calibri" w:hAnsi="Times New Roman"/>
          <w:szCs w:val="22"/>
          <w:lang w:val="pt-BR"/>
        </w:rPr>
        <w:t>(Acordado p</w:t>
      </w:r>
      <w:r w:rsidR="001066D3" w:rsidRPr="00EA2853">
        <w:rPr>
          <w:rFonts w:ascii="Times New Roman" w:eastAsia="Calibri" w:hAnsi="Times New Roman"/>
          <w:szCs w:val="22"/>
          <w:lang w:val="pt-BR"/>
        </w:rPr>
        <w:t>ela Comiss</w:t>
      </w:r>
      <w:r w:rsidR="001066D3" w:rsidRPr="00EA2853">
        <w:rPr>
          <w:rFonts w:ascii="Times New Roman" w:hAnsi="Times New Roman"/>
          <w:color w:val="000000"/>
          <w:szCs w:val="22"/>
          <w:lang w:val="pt-BR"/>
        </w:rPr>
        <w:t>ão</w:t>
      </w:r>
      <w:r w:rsidR="009F636B">
        <w:rPr>
          <w:rFonts w:ascii="Times New Roman" w:hAnsi="Times New Roman"/>
          <w:color w:val="000000"/>
          <w:szCs w:val="22"/>
          <w:lang w:val="pt-BR"/>
        </w:rPr>
        <w:t xml:space="preserve"> 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durante </w:t>
      </w:r>
      <w:r w:rsidR="001066D3" w:rsidRPr="00EA2853">
        <w:rPr>
          <w:rFonts w:ascii="Times New Roman" w:eastAsia="Calibri" w:hAnsi="Times New Roman"/>
          <w:szCs w:val="22"/>
          <w:lang w:val="pt-BR"/>
        </w:rPr>
        <w:t>a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reuni</w:t>
      </w:r>
      <w:r w:rsidR="001066D3" w:rsidRPr="001066D3">
        <w:rPr>
          <w:rFonts w:ascii="Times New Roman" w:hAnsi="Times New Roman"/>
          <w:color w:val="202124"/>
          <w:szCs w:val="22"/>
          <w:lang w:val="pt-PT"/>
        </w:rPr>
        <w:t>ão</w:t>
      </w:r>
      <w:r w:rsidR="001066D3" w:rsidRPr="00EA2853">
        <w:rPr>
          <w:rFonts w:ascii="Times New Roman" w:hAnsi="Times New Roman"/>
          <w:color w:val="202124"/>
          <w:szCs w:val="22"/>
          <w:lang w:val="pt-PT"/>
        </w:rPr>
        <w:t xml:space="preserve"> realizada em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2</w:t>
      </w:r>
      <w:r w:rsidR="009F636B">
        <w:rPr>
          <w:rFonts w:ascii="Times New Roman" w:eastAsia="Calibri" w:hAnsi="Times New Roman"/>
          <w:szCs w:val="22"/>
          <w:lang w:val="pt-BR"/>
        </w:rPr>
        <w:t>9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de sept</w:t>
      </w:r>
      <w:r w:rsidR="001066D3" w:rsidRPr="00EA2853">
        <w:rPr>
          <w:rFonts w:ascii="Times New Roman" w:eastAsia="Calibri" w:hAnsi="Times New Roman"/>
          <w:szCs w:val="22"/>
          <w:lang w:val="pt-BR"/>
        </w:rPr>
        <w:t>embro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de 2020)</w:t>
      </w:r>
    </w:p>
    <w:p w14:paraId="2D8BFC5F" w14:textId="77777777" w:rsidR="001066D3" w:rsidRPr="00EA2853" w:rsidRDefault="001066D3" w:rsidP="00442C8B">
      <w:pPr>
        <w:snapToGrid w:val="0"/>
        <w:jc w:val="center"/>
        <w:rPr>
          <w:rFonts w:ascii="Times New Roman" w:eastAsia="Calibri" w:hAnsi="Times New Roman"/>
          <w:szCs w:val="22"/>
          <w:lang w:val="pt-BR"/>
        </w:rPr>
      </w:pPr>
    </w:p>
    <w:p w14:paraId="6E5D819B" w14:textId="77777777" w:rsidR="001066D3" w:rsidRPr="00EA2853" w:rsidRDefault="001066D3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  <w:sectPr w:rsidR="001066D3" w:rsidRPr="00EA2853" w:rsidSect="00442C8B">
          <w:headerReference w:type="default" r:id="rId8"/>
          <w:endnotePr>
            <w:numFmt w:val="decimal"/>
          </w:endnotePr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  <w:docGrid w:linePitch="299"/>
        </w:sectPr>
      </w:pPr>
    </w:p>
    <w:p w14:paraId="144200E3" w14:textId="77777777" w:rsidR="00442C8B" w:rsidRPr="00EA2853" w:rsidRDefault="00442C8B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4328B565" w14:textId="77777777" w:rsidR="00442C8B" w:rsidRPr="00EA2853" w:rsidRDefault="00442C8B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  <w:sectPr w:rsidR="00442C8B" w:rsidRPr="00EA2853" w:rsidSect="00442C8B">
          <w:endnotePr>
            <w:numFmt w:val="decimal"/>
          </w:endnotePr>
          <w:pgSz w:w="12240" w:h="15840"/>
          <w:pgMar w:top="576" w:right="1440" w:bottom="1296" w:left="1440" w:header="1296" w:footer="1296" w:gutter="0"/>
          <w:pgNumType w:start="1"/>
          <w:cols w:space="720"/>
          <w:noEndnote/>
          <w:titlePg/>
          <w:docGrid w:linePitch="299"/>
        </w:sectPr>
      </w:pPr>
    </w:p>
    <w:p w14:paraId="0BC3AEA0" w14:textId="77777777" w:rsidR="00442C8B" w:rsidRPr="00EA2853" w:rsidRDefault="00442C8B" w:rsidP="00442C8B">
      <w:pPr>
        <w:snapToGrid w:val="0"/>
        <w:jc w:val="center"/>
        <w:rPr>
          <w:rFonts w:ascii="Times New Roman" w:hAnsi="Times New Roman"/>
          <w:bCs/>
          <w:szCs w:val="22"/>
          <w:lang w:val="pt-BR"/>
        </w:rPr>
      </w:pPr>
    </w:p>
    <w:p w14:paraId="6D0ED5D0" w14:textId="77777777" w:rsidR="00442C8B" w:rsidRPr="00EA2853" w:rsidRDefault="00442C8B" w:rsidP="00442C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Cs w:val="22"/>
          <w:lang w:val="pt-BR"/>
        </w:rPr>
      </w:pPr>
    </w:p>
    <w:p w14:paraId="6D2D7469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color w:val="000000"/>
          <w:szCs w:val="22"/>
          <w:lang w:val="pt-BR"/>
        </w:rPr>
        <w:t xml:space="preserve">PROJETO DE RESOLUÇÃO </w:t>
      </w:r>
    </w:p>
    <w:p w14:paraId="03D7D70F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2"/>
          <w:lang w:val="pt-BR"/>
        </w:rPr>
      </w:pPr>
    </w:p>
    <w:p w14:paraId="0A62181E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 xml:space="preserve">OS DESAFIOS PARA A SEGURANÇA ALIMENTAR E NUTRICIONAL DAS AMÉRICAS FRENTE À PANDEMIA DE COVID-19 NO ÂMBITO DO PLANO DE AÇÃO DA GUATEMALA 2019 </w:t>
      </w:r>
    </w:p>
    <w:p w14:paraId="7043FD2E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Cs w:val="22"/>
          <w:lang w:val="pt-BR"/>
        </w:rPr>
      </w:pPr>
    </w:p>
    <w:p w14:paraId="7B54B615" w14:textId="77777777" w:rsidR="001066D3" w:rsidRPr="00EA2853" w:rsidRDefault="001066D3" w:rsidP="001066D3">
      <w:pPr>
        <w:snapToGrid w:val="0"/>
        <w:jc w:val="center"/>
        <w:rPr>
          <w:rFonts w:ascii="Times New Roman" w:eastAsia="Calibri" w:hAnsi="Times New Roman"/>
          <w:szCs w:val="22"/>
          <w:lang w:val="pt-BR"/>
        </w:rPr>
      </w:pPr>
      <w:r w:rsidRPr="00EA2853">
        <w:rPr>
          <w:rFonts w:ascii="Times New Roman" w:eastAsia="Calibri" w:hAnsi="Times New Roman"/>
          <w:szCs w:val="22"/>
          <w:lang w:val="pt-BR"/>
        </w:rPr>
        <w:t>(Acordado pela Comiss</w:t>
      </w:r>
      <w:r w:rsidRPr="00EA2853">
        <w:rPr>
          <w:rFonts w:ascii="Times New Roman" w:hAnsi="Times New Roman"/>
          <w:color w:val="000000"/>
          <w:szCs w:val="22"/>
          <w:lang w:val="pt-BR"/>
        </w:rPr>
        <w:t>ão</w:t>
      </w:r>
      <w:r w:rsidR="009F636B">
        <w:rPr>
          <w:rFonts w:ascii="Times New Roman" w:hAnsi="Times New Roman"/>
          <w:color w:val="000000"/>
          <w:szCs w:val="22"/>
          <w:lang w:val="pt-BR"/>
        </w:rPr>
        <w:t xml:space="preserve"> </w:t>
      </w:r>
      <w:r w:rsidRPr="00EA2853">
        <w:rPr>
          <w:rFonts w:ascii="Times New Roman" w:eastAsia="Calibri" w:hAnsi="Times New Roman"/>
          <w:szCs w:val="22"/>
          <w:lang w:val="pt-BR"/>
        </w:rPr>
        <w:t>durante a reuni</w:t>
      </w:r>
      <w:r w:rsidRPr="001066D3">
        <w:rPr>
          <w:rFonts w:ascii="Times New Roman" w:hAnsi="Times New Roman"/>
          <w:color w:val="202124"/>
          <w:szCs w:val="22"/>
          <w:lang w:val="pt-PT"/>
        </w:rPr>
        <w:t>ão</w:t>
      </w:r>
      <w:r w:rsidRPr="00EA2853">
        <w:rPr>
          <w:rFonts w:ascii="Times New Roman" w:hAnsi="Times New Roman"/>
          <w:color w:val="202124"/>
          <w:szCs w:val="22"/>
          <w:lang w:val="pt-PT"/>
        </w:rPr>
        <w:t xml:space="preserve"> realizada em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2</w:t>
      </w:r>
      <w:r w:rsidR="009F636B">
        <w:rPr>
          <w:rFonts w:ascii="Times New Roman" w:eastAsia="Calibri" w:hAnsi="Times New Roman"/>
          <w:szCs w:val="22"/>
          <w:lang w:val="pt-BR"/>
        </w:rPr>
        <w:t>9</w:t>
      </w:r>
      <w:r w:rsidRPr="00EA2853">
        <w:rPr>
          <w:rFonts w:ascii="Times New Roman" w:eastAsia="Calibri" w:hAnsi="Times New Roman"/>
          <w:szCs w:val="22"/>
          <w:lang w:val="pt-BR"/>
        </w:rPr>
        <w:t xml:space="preserve"> de septembro de 2020)</w:t>
      </w:r>
    </w:p>
    <w:p w14:paraId="7BDA44E0" w14:textId="77777777" w:rsidR="001066D3" w:rsidRP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Cs w:val="22"/>
          <w:lang w:val="pt-BR"/>
        </w:rPr>
      </w:pPr>
    </w:p>
    <w:p w14:paraId="7F915250" w14:textId="77777777" w:rsidR="001066D3" w:rsidRDefault="001066D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2"/>
          <w:lang w:val="pt-BR"/>
        </w:rPr>
      </w:pPr>
    </w:p>
    <w:p w14:paraId="050FBA88" w14:textId="77777777" w:rsidR="00EA2853" w:rsidRDefault="00EA285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2"/>
          <w:lang w:val="pt-BR"/>
        </w:rPr>
      </w:pPr>
    </w:p>
    <w:p w14:paraId="4773A36F" w14:textId="77777777" w:rsidR="00EA2853" w:rsidRDefault="00EA285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Pr="001066D3">
        <w:rPr>
          <w:rFonts w:ascii="Times New Roman" w:hAnsi="Times New Roman"/>
          <w:szCs w:val="22"/>
          <w:lang w:val="pt-BR"/>
        </w:rPr>
        <w:t>A ASSEMBLEIA GERAL</w:t>
      </w:r>
      <w:r>
        <w:rPr>
          <w:rFonts w:ascii="Times New Roman" w:hAnsi="Times New Roman"/>
          <w:szCs w:val="22"/>
          <w:lang w:val="pt-BR"/>
        </w:rPr>
        <w:t>,</w:t>
      </w:r>
    </w:p>
    <w:p w14:paraId="3A51C3B9" w14:textId="77777777" w:rsidR="00EA2853" w:rsidRPr="001066D3" w:rsidRDefault="00EA2853" w:rsidP="0010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2"/>
          <w:lang w:val="pt-BR"/>
        </w:rPr>
      </w:pPr>
    </w:p>
    <w:p w14:paraId="6DCE6759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EXPRESSANDO sua solidariedade e suas condolências às pessoas das Américas que sofrem as consequências adversas da pandemia de covid-19, especialmente aquelas que contraíram a doença, aquelas cuja subsistência foi afetada pela crise, bem como aquelas que sofreram a perda de membros da família;</w:t>
      </w:r>
    </w:p>
    <w:p w14:paraId="225FA4B0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4A3DC862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EXPRESSANDO também seu sincero agradecimento e apoio pela dedicação, esforços e sacrifícios, para além do dever, dos profissionais e dos trabalhadores da saúde e de outros trabalhadores de linha da frente pertinentes, em sua resposta à pandemia de covid-19;</w:t>
      </w:r>
    </w:p>
    <w:p w14:paraId="3F3D2647" w14:textId="77777777" w:rsidR="001066D3" w:rsidRPr="001066D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27F240FE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mallCaps/>
          <w:szCs w:val="22"/>
          <w:lang w:val="pt-BR"/>
        </w:rPr>
        <w:t xml:space="preserve">PROFUNDAMENTE PREOCUPADOS </w:t>
      </w:r>
      <w:r w:rsidRPr="001066D3">
        <w:rPr>
          <w:rFonts w:ascii="Times New Roman" w:hAnsi="Times New Roman"/>
          <w:szCs w:val="22"/>
          <w:lang w:val="pt-BR"/>
        </w:rPr>
        <w:t xml:space="preserve">com o impacto socioeconômico </w:t>
      </w:r>
      <w:r w:rsidRPr="001066D3">
        <w:rPr>
          <w:rFonts w:ascii="Times New Roman" w:hAnsi="Times New Roman"/>
          <w:szCs w:val="22"/>
          <w:highlight w:val="white"/>
          <w:lang w:val="pt-BR"/>
        </w:rPr>
        <w:t xml:space="preserve">da pandemia de covid-19, que ameaça </w:t>
      </w:r>
      <w:r w:rsidRPr="001066D3">
        <w:rPr>
          <w:rFonts w:ascii="Times New Roman" w:hAnsi="Times New Roman"/>
          <w:szCs w:val="22"/>
          <w:lang w:val="pt-BR"/>
        </w:rPr>
        <w:t xml:space="preserve">a segurança alimentar e nutricional dos </w:t>
      </w:r>
      <w:r w:rsidRPr="001066D3">
        <w:rPr>
          <w:rFonts w:ascii="Times New Roman" w:hAnsi="Times New Roman"/>
          <w:szCs w:val="22"/>
          <w:highlight w:val="white"/>
          <w:lang w:val="pt-BR"/>
        </w:rPr>
        <w:t xml:space="preserve">países das Américas, incluindo seu impacto desproporcional sobre as mulheres e as meninas e seu acesso à atenção à saúde, à educação, aos serviços públicos básicos e aos serviços sociais e financeiros, o que está aprofundando as desigualdades já existentes, bem como </w:t>
      </w:r>
      <w:r w:rsidRPr="001066D3">
        <w:rPr>
          <w:rFonts w:ascii="Times New Roman" w:hAnsi="Times New Roman"/>
          <w:szCs w:val="22"/>
          <w:lang w:val="pt-BR"/>
        </w:rPr>
        <w:t>a pobreza, a pobreza extrema, a má nutrição e a fome, particularmente entre os mais vulneráveis;</w:t>
      </w:r>
    </w:p>
    <w:p w14:paraId="13B429E4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01B7CC99" w14:textId="77777777" w:rsidR="001066D3" w:rsidRPr="00EA285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CONSIDERANDO que a Comissão Econômica para a América Latina e o Caribe (CEPAL), estima que na região um número ainda maior de pessoas cairá na pobreza, que o número de pessoas afetadas pela covid-19 aumentará e que o número de pessoas vivendo em extrema pobreza poderia aumentar, provocando um retrocesso dos avanços alcançados na última década em matéria de crescimento econômico e</w:t>
      </w:r>
      <w:r w:rsidRPr="001066D3">
        <w:rPr>
          <w:rFonts w:ascii="Times New Roman" w:hAnsi="Times New Roman"/>
          <w:szCs w:val="22"/>
          <w:highlight w:val="white"/>
          <w:lang w:val="pt-BR"/>
        </w:rPr>
        <w:t xml:space="preserve"> desenvolvimento sustentável</w:t>
      </w:r>
      <w:r w:rsidRPr="001066D3">
        <w:rPr>
          <w:rFonts w:ascii="Times New Roman" w:hAnsi="Times New Roman"/>
          <w:szCs w:val="22"/>
          <w:lang w:val="pt-BR"/>
        </w:rPr>
        <w:t>, no combate contra a insegurança alimentar e a desigualdade, em acesso à educação e à saúde, entre outros âmbitos; Além disso, consciente de que o</w:t>
      </w:r>
      <w:r w:rsidRPr="001066D3">
        <w:rPr>
          <w:rFonts w:ascii="Times New Roman" w:hAnsi="Times New Roman"/>
          <w:szCs w:val="22"/>
          <w:highlight w:val="white"/>
          <w:lang w:val="pt-BR"/>
        </w:rPr>
        <w:t xml:space="preserve"> Relatório Mundial sobre as Crises Alimentares 2020 estima que a insegurança alimentar aguda e a crise alimentar afetam mais de 18,5 milhões de pessoas nas Américas, e também consciente de que o Programa Mundial de Alimentos (PMA) alertou que, devido aos efeitos da pandemia de covid-19</w:t>
      </w:r>
      <w:r w:rsidRPr="001066D3">
        <w:rPr>
          <w:rFonts w:ascii="Times New Roman" w:hAnsi="Times New Roman"/>
          <w:szCs w:val="22"/>
          <w:lang w:val="pt-BR"/>
        </w:rPr>
        <w:t xml:space="preserve"> e das medidas de contenção, o número de pessoas com insegurança alimentar em todo o mundo poderia duplicar, se não forem tomadas providências;</w:t>
      </w:r>
    </w:p>
    <w:p w14:paraId="0330C8FA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019AC591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RECONHECENDO que a região tem sido caracterizada como a mais desigual do mundo, onde a incidência da pobreza e da pobreza extrema é maior entre mulheres, idosos, jovens e crianças, bem como entre todas as pessoas que vivem em situação de vulnerabilidade e em comunidades marginalizadas, tanto rurais como urbanas, cuja vulnerabilidade é exacerbada pela pandemia de covid-19 e pelos seus efeitos multidimensionais sem precedentes, como a grave disrupção das sociedades, das economias, do mercado de trabalho, do comércio mundial, da educação, e por seu impacto devastador na subsistência e no bem-estar das pessoas;</w:t>
      </w:r>
    </w:p>
    <w:p w14:paraId="2999EC44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highlight w:val="white"/>
          <w:lang w:val="pt-BR"/>
        </w:rPr>
      </w:pPr>
    </w:p>
    <w:p w14:paraId="1109BF71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highlight w:val="white"/>
          <w:lang w:val="pt-BR"/>
        </w:rPr>
        <w:t>PROFUNDAMENTE PREOCUPADOS com o fato de que, embora  representem uma elevada porcentagem na agricultura e na produção de alimentos na região e desempenhem um papel importante na garantia da segurança alimentar e nutricional, as mulheres rurais continuam vivendo em condições de desigualdade social e econômica, com desafios no acesso a títulos de propriedade da terra, ao crédito e à assistência técnica;</w:t>
      </w:r>
    </w:p>
    <w:p w14:paraId="3E0215F0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71106164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TENDO EM CONTA os respectivos compromissos assumidos pelos Estados membros em instrumentos internacionais e interamericanos relevantes de que são parte, como o Protocolo Adicional à Convenção Americana sobre Direitos Humanos em Matéria de Direitos Econômicos, Sociais e Culturais (Protocolo de São Salvador), a Carta Social das Américas e seu Plano de Ação e o Pacto Internacional sobre Direitos Econômicos, Sociais e Culturais das Nações Unidas, bem como os mecanismos e outras instâncias existentes no Sistema Interamericano, como o Grupo de Trabalho Encarregado de Analisar os Relatórios Periódicos dos Estados Partes no Protocolo de São Salvador e a Relatoria sobre Direitos Econômicos, Sociais, Culturais e Ambientais da Comissão Interamericana de Direitos Humanos, que, mediante a elaboração de indicadores de progresso, relatórios e outras atividades, fornecem ferramentas aos Estados para a segurança alimentar e nutricional;</w:t>
      </w:r>
    </w:p>
    <w:p w14:paraId="1C7524ED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mallCaps/>
          <w:szCs w:val="22"/>
          <w:lang w:val="pt-BR"/>
        </w:rPr>
      </w:pPr>
    </w:p>
    <w:p w14:paraId="55166BA4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mallCaps/>
          <w:szCs w:val="22"/>
          <w:lang w:val="pt-BR"/>
        </w:rPr>
        <w:t>RECORDANDO</w:t>
      </w:r>
      <w:r w:rsidRPr="001066D3">
        <w:rPr>
          <w:rFonts w:ascii="Times New Roman" w:hAnsi="Times New Roman"/>
          <w:szCs w:val="22"/>
          <w:lang w:val="pt-BR"/>
        </w:rPr>
        <w:t xml:space="preserve"> os compromissos emanados dos mandatos das Cúpulas das Américas, com vistas a fortalecer o setor agroalimentar de forma sustentável, integral, inclusiva e competitiva, que contribua para alcançar a segurança alimentar e nutricional, combater a má nutrição, em particular a desnutrição crônica, e promover políticas nutricionais baseadas na ciência e culturalmente adequadas para nossos povos;</w:t>
      </w:r>
    </w:p>
    <w:p w14:paraId="582C60B9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3987737F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lastRenderedPageBreak/>
        <w:t>REAFIRMANDO o apoio à cooperação técnica internacional em matéria de agricultura por intermédio do Instituto Interamericano de Cooperação para a Agricultura (IICA), bem como a determinação de complementar nossos esforços de capacitação, inovação, inclusão e sustentabilidade nos setores agrícola e alimentar em todo o Hemisfério;</w:t>
      </w:r>
    </w:p>
    <w:p w14:paraId="1C66A442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28B838A4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REITERANDO a importância da agricultura familiar nos países em desenvolvimento, especialmente das mulheres e da juventude rural, para alcançar a segurança alimentar e nutricional, reduzir a pobreza e mitigar os efeitos ocasionados pela pandemia na alimentação e na agricultura;</w:t>
      </w:r>
    </w:p>
    <w:p w14:paraId="3E61BC0D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46781BB5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RECONHECENDO que a localização geográfica e as condições climáticas em alguns países, incluindo a susceptibilidade a desastres naturais, as áreas limitadas de terras aráveis e o abastecimento deficiente de água natural, entre outros, afetam negativamente qualquer aumento significativo na produção agrícola e o alcance da segurança alimentar e nutricional, particularmente nos pequenos Estados insulares e costeiros de baixa altitude em desenvolvimento. Essa situação pode ser melhorada com medidas que introduzam tecnologias agrícolas novas e emergentes, como a agricultura inteligente em termos climáticos com apoio ao desenvolvimento de capacidades para as reformas e políticas internas que requeiram apoio técnico e financeiro das instituições financeiras e de desenvolvimento internacionais, quando apropriado;</w:t>
      </w:r>
    </w:p>
    <w:p w14:paraId="08CBD88E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0F3F8559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TENDO EM CONTA a necessidade urgente de acelerar a ação em todos os níveis e de todas as partes interessadas com o objetivo final de alcançar a visão e os objetivos da Agenda 2030, em particular o Objetivo de Desenvolvimento Sustentável 2 (ODS 2) — “acabar com a fome, alcançar a segurança alimentar e a melhoria da nutrição, e promover a agricultura sustentável” —,</w:t>
      </w:r>
      <w:r w:rsidRPr="001066D3">
        <w:rPr>
          <w:rFonts w:ascii="Times New Roman" w:hAnsi="Times New Roman"/>
          <w:szCs w:val="22"/>
          <w:highlight w:val="white"/>
          <w:lang w:val="pt-BR"/>
        </w:rPr>
        <w:t xml:space="preserve"> que considera que a fome e a má nutrição representam grandes obstáculos ao desenvolvimento sustentável e que os governos podem conceber políticas públicas para consolidar medidas, estratégias e políticas a fim de eliminar a fome e todas as formas de má nutrição e alcançar a segurança alimentar e nutricional como prioridade, cumprindo o compromisso de não deixar ninguém para trás e chegar primeiro aos mais necessitados;</w:t>
      </w:r>
    </w:p>
    <w:p w14:paraId="12EB5EEF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6AA5A1C1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LEVANDO EM CONTA TAMBÉM que, embora o mundo esteja na segunda metade da Década de Ação das Nações sobre Nutrição (2016–2025), os países ainda enfrentam grandes desafios para alcançar a segurança alimentar e nutricional, especialmente no contexto dos efeitos da pandemia;</w:t>
      </w:r>
    </w:p>
    <w:p w14:paraId="6F3B6C63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55B9F4CB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RECONHECENDO que, no contexto da pandemia de covid-19, a adoção de medidas de proteção social é essencial para enfrentar o duplo desafio de mitigar o impacto econômico imediato da pandemia e reconstruir a subsistência das populações, especialmente dos mais vulneráveis, e que, por meio de parcerias público-privadas e do setor privado, seria possível levar alívio a um grande número de pessoas cuja segurança alimentar e nutricional está em risco;</w:t>
      </w:r>
    </w:p>
    <w:p w14:paraId="59F10010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0D9C4A5F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RECORDANDO que, na Declaração Interamericana de Prioridades em Matéria de Desenvolvimento Social, “Superando a Pobreza Multidimensional e Preenchendo as Lacunas da Equidade Social: Para uma Agenda Interamericana de Desenvolvimento Social”, e no roteiro que constitui o Plano de Ação da Guatemala 2019, “Superando a Pobreza Multidimensional e Preenchendo as Lacunas da Equidade Social: Para uma Agenda Interamericana de Desenvolvimento Social”, os Ministros e as Altas Autoridades de Desenvolvimento Social das Américas reconheceram o valor dos programas de proteção social na erradicação da fome e da desnutrição infantil nas Américas e o compromisso de continuar apoiando esses esforços mediante a cooperação interamericana e o fortalecimento institucional dos órgãos governamentais, organizações da sociedade civil e outros atores sociais, responsáveis pela implementação desses programas;</w:t>
      </w:r>
    </w:p>
    <w:p w14:paraId="3FDDC8D9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3A6EF85C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CONSIDERANDO as iniciativas regionais e sub-regionais recentes,</w:t>
      </w:r>
      <w:r w:rsidR="00EA2853" w:rsidRPr="00EA2853">
        <w:rPr>
          <w:rFonts w:ascii="Times New Roman" w:hAnsi="Times New Roman"/>
          <w:szCs w:val="22"/>
          <w:lang w:val="pt-BR"/>
        </w:rPr>
        <w:t xml:space="preserve"> </w:t>
      </w:r>
      <w:r w:rsidRPr="001066D3">
        <w:rPr>
          <w:rFonts w:ascii="Times New Roman" w:hAnsi="Times New Roman"/>
          <w:szCs w:val="22"/>
          <w:lang w:val="pt-BR"/>
        </w:rPr>
        <w:t>que abordam os problemas da segurança alimentar e nutricional, do desenvolvimento inclusivo e os relacionados com a atenção à pandemia de covid-19, para o fortalecimento da resiliência da segurança alimentar e nutricional por meio de mecanismos de proteção social; o funcionamento ininterrupto da cadeia de valor; a produção e o acesso da população aos alimentos por meio do comércio internacional transparente, de acordo com as regras da Organização Mundial do Comércio (OMC); e a promoção de sistemas agroalimentares sustentáveis na região, que atendam às necessidades da população, protejam o meio ambiente e respeitem os hábitos e as culturas alimentares do Hemisfério;</w:t>
      </w:r>
    </w:p>
    <w:p w14:paraId="4E3ABEDB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3EB8C4CE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 xml:space="preserve">RECONHECENDO os trabalhos sobre segurança alimentar dos Estados membros baseados em provas científicas, com vistas a proteger e preservar a saúde de todas as pessoas ao longo da cadeia de abastecimento e consumo de produtos agrícolas. Além disso, é importante reconhecer o serviço essencial dos trabalhadores da agricultura e das cadeias de abastecimento alimentar, e apoiá-los para que continuem seu trabalho essencial de maneira segura; </w:t>
      </w:r>
    </w:p>
    <w:p w14:paraId="5162E63B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5A2745A4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RECORDANDO que, no Conselho Interamericano de Desenvolvimento Integral (CIDI), em sua reunião de 26 de novembro de 2019 sobre “Desnutrição infantil nas Américas”, foram apresentadas políticas públicas, programas e iniciativas para reduzir a má nutrição, particularmente a desnutrição crônica em diferentes contextos da região, discutindo-se os principais desafios enfrentados pelos países e instituições e identificando-se as linhas de cooperação regional e entre países para facilitar a transmissão de conhecimentos, lições aprendidas e melhores práticas, assim como políticas bem-sucedidas;</w:t>
      </w:r>
    </w:p>
    <w:p w14:paraId="2FA7871C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48F7118A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RECONHECENDO os esforços envidados até a data pelos Estados membros para fazer face à emergência gerada pela covid-19 e para satisfazer as necessidades mais prementes de alimentação e de segurança alimentar e nutricional das populações em situação de vulnerabilidade; e convencidos de que a pandemia de covid-19 oferece aos Estados membros, à sociedade civil, ao setor privado, ao meio acadêmico e a outros atores sociais a oportunidade de colaborarem em políticas, planos e programas de assistência e proteção social, na erradicação da fome e da desnutrição crônica, a fim de preparar melhor as nossas sociedades para enfrentarem futuras crises, e para alcançarem os objetivos estabelecidos nesta resolução;</w:t>
      </w:r>
    </w:p>
    <w:p w14:paraId="4968C934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53FBA336" w14:textId="77777777" w:rsidR="001066D3" w:rsidRPr="001066D3" w:rsidRDefault="00EA285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 xml:space="preserve">TOMANDO NOTA </w:t>
      </w:r>
      <w:r w:rsidR="001066D3" w:rsidRPr="001066D3">
        <w:rPr>
          <w:rFonts w:ascii="Times New Roman" w:hAnsi="Times New Roman"/>
          <w:szCs w:val="22"/>
          <w:lang w:val="pt-BR"/>
        </w:rPr>
        <w:t>que a Organização Mundial da Saúde (OMS) e a Organização das Nações Unidas para a Alimentação e a Agricultura (FAO) declararam conjuntamente que, até a data, não existe comprovação científica de que o vírus da covid-19 possa ser transmitido pelos alimentos ou suas embalagens e que é muito pouco provável que as pessoas possam contrair a covid-19 pelos alimentos ou suas embalagens;</w:t>
      </w:r>
    </w:p>
    <w:p w14:paraId="77B127DB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6252E335" w14:textId="77777777" w:rsidR="001066D3" w:rsidRPr="001066D3" w:rsidRDefault="00EA285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TENDO EM CONTA</w:t>
      </w:r>
      <w:r w:rsidR="001066D3" w:rsidRPr="001066D3">
        <w:rPr>
          <w:rFonts w:ascii="Times New Roman" w:hAnsi="Times New Roman"/>
          <w:color w:val="FF0000"/>
          <w:szCs w:val="22"/>
          <w:lang w:val="pt-BR"/>
        </w:rPr>
        <w:t xml:space="preserve"> </w:t>
      </w:r>
      <w:r w:rsidR="001066D3" w:rsidRPr="001066D3">
        <w:rPr>
          <w:rFonts w:ascii="Times New Roman" w:hAnsi="Times New Roman"/>
          <w:szCs w:val="22"/>
          <w:lang w:val="pt-BR"/>
        </w:rPr>
        <w:t>que, em muitos Estados membros da OEA, particularmente na América Central e no Caribe, mesmo antes da pandemia de covid-19, a produção agrícola já estava afetada negativamente pelos desastres naturais e pela mudança do clima</w:t>
      </w:r>
      <w:r w:rsidR="001066D3" w:rsidRPr="00EA2853">
        <w:rPr>
          <w:rFonts w:ascii="Times New Roman" w:hAnsi="Times New Roman"/>
          <w:szCs w:val="22"/>
          <w:u w:val="single"/>
          <w:vertAlign w:val="superscript"/>
          <w:lang w:val="pt-BR"/>
        </w:rPr>
        <w:footnoteReference w:id="1"/>
      </w:r>
      <w:r w:rsidRPr="00EA2853">
        <w:rPr>
          <w:rFonts w:ascii="Times New Roman" w:hAnsi="Times New Roman"/>
          <w:szCs w:val="22"/>
          <w:vertAlign w:val="superscript"/>
          <w:lang w:val="pt-BR"/>
        </w:rPr>
        <w:t>/</w:t>
      </w:r>
      <w:r w:rsidR="001066D3" w:rsidRPr="001066D3">
        <w:rPr>
          <w:rFonts w:ascii="Times New Roman" w:hAnsi="Times New Roman"/>
          <w:szCs w:val="22"/>
          <w:lang w:val="pt-BR"/>
        </w:rPr>
        <w:t>, reduzindo a segurança alimentar e nutricional, aumentando o desemprego e a pobreza, bem como o deslocamento de pessoas; e que a covid-19 piorou suas condições; e</w:t>
      </w:r>
      <w:r w:rsidR="009F636B">
        <w:rPr>
          <w:rFonts w:ascii="Times New Roman" w:hAnsi="Times New Roman"/>
          <w:szCs w:val="22"/>
          <w:lang w:val="pt-BR"/>
        </w:rPr>
        <w:t xml:space="preserve"> </w:t>
      </w:r>
    </w:p>
    <w:p w14:paraId="20E362C4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4E50AC01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b/>
          <w:bCs/>
          <w:color w:val="538135" w:themeColor="accent6" w:themeShade="BF"/>
          <w:szCs w:val="22"/>
          <w:lang w:val="pt-BR"/>
        </w:rPr>
      </w:pPr>
      <w:r w:rsidRPr="001066D3">
        <w:rPr>
          <w:rFonts w:ascii="Times New Roman" w:hAnsi="Times New Roman"/>
          <w:szCs w:val="22"/>
          <w:highlight w:val="white"/>
          <w:lang w:val="pt-BR"/>
        </w:rPr>
        <w:t>LEVANDO EM CONTA a importância das micro, pequenas e médias empresas (MPMEs), especialmente as pequenas e médias empresas de agricultura familiar, para a segurança alimentar e nutricional e o desenvolvimento econômico,</w:t>
      </w:r>
    </w:p>
    <w:p w14:paraId="07E3820D" w14:textId="77777777" w:rsidR="001066D3" w:rsidRPr="001066D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szCs w:val="22"/>
          <w:lang w:val="pt-BR"/>
        </w:rPr>
      </w:pPr>
    </w:p>
    <w:p w14:paraId="3E00DE7A" w14:textId="77777777" w:rsidR="001066D3" w:rsidRPr="001066D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RESOLVE:</w:t>
      </w:r>
    </w:p>
    <w:p w14:paraId="4263B92D" w14:textId="77777777" w:rsidR="001066D3" w:rsidRPr="001066D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szCs w:val="22"/>
          <w:lang w:val="pt-BR"/>
        </w:rPr>
      </w:pPr>
    </w:p>
    <w:p w14:paraId="06C3B86F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Solicitar à Secretaria de Acesso a Direitos e Equidade (SADE) que, em colaboração com a Secretaria Executiva de Desenvolvimento Integral (SEDI), fazendo uso da Rede Interamericana de Proteção Social (RIPSO), promova a cooperação em prol do fortalecimento das instituições nacionais de desenvolvimento social, em colaboração com organizações internacionais, especialistas em crescimento, desenvolvimento e prosperidade, organizações da sociedade civil, o setor privado e o meio acadêmico, responsáveis pelo combate à pobreza, pela redução das desigualdades com enfoque integral, pela expansão da proteção social e dos programas sociais para a erradicação da fome e da má nutrição, na luta contra a insegurança alimentar nutricional, por meio de ações voltadas para o diálogo, o desenvolvimento de capacidades e a troca de conhecimentos e lições aprendidas, bem como a assistência técnica, e o acompanhamento dos indicadores relacionados com esses temas.</w:t>
      </w:r>
    </w:p>
    <w:p w14:paraId="1D873FEF" w14:textId="77777777" w:rsidR="001066D3" w:rsidRPr="001066D3" w:rsidRDefault="001066D3" w:rsidP="009F63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  <w:lang w:val="pt-BR"/>
        </w:rPr>
      </w:pPr>
    </w:p>
    <w:p w14:paraId="68AC83D8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Incentivar a participação ativa dos Estados membros nos três grupos de trabalho incluídos no Plano de Ação da Guatemala 2019 e nas atividades organizadas pela Secretaria de Acesso a Direitos e Equidade para a implementação do Plano de Ação da Guatemala 2019, priorizando nas agendas dos grupos de trabalho os temas de segurança alimentar e nutricional, redução da pobreza e da desigualdade, entre outros.</w:t>
      </w:r>
    </w:p>
    <w:p w14:paraId="3D4AF55F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7FB419AC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 xml:space="preserve">Incentivar os Estados membros a que mantenham as cadeias de valor abertas e conectadas, a fim de que os mercados internacionais possam permanecer em funcionamento, apoiando o movimento de produtos e insumos agrícolas, que desempenham um papel fundamental para evitar a escassez de alimentos, e assim alcançar a segurança alimentar e nutricional em nível mundial; e a que as medidas de emergência relacionadas com a agricultura e os produtos agroalimentares concebidas para enfrentar a covid-19 sejam específicas, proporcionais, transparentes e temporárias e não criem barreiras desnecessárias ao comércio nem interrompam as cadeias de abastecimento de produtos para </w:t>
      </w:r>
      <w:r w:rsidRPr="001066D3">
        <w:rPr>
          <w:rFonts w:ascii="Times New Roman" w:hAnsi="Times New Roman"/>
          <w:szCs w:val="22"/>
          <w:lang w:val="pt-BR"/>
        </w:rPr>
        <w:lastRenderedPageBreak/>
        <w:t>a agricultura e os produtos agroalimentares. Resolvemos limitar toda medida restritiva injustificada sobre os produtos agrícolas ou o abastecimento de alimentos.</w:t>
      </w:r>
    </w:p>
    <w:p w14:paraId="3B49C55C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1825273A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Convidar os Estados membros, os Observadores Permanentes e outros doadores a que contribuam para o “Fundo para a Implementação do Plano de Ação da Guatemala 2019”, na medida de suas capacidades, com vistas a assegurar recursos a curtíssimo prazo para o financiamento de atividades de cooperação e assistência técnica em apoio aos esforços dos Estados membros para responder às sérias consequências da fome e da má nutrição nas Américas, agora agravadas pela pandemia de covid-19.</w:t>
      </w:r>
    </w:p>
    <w:p w14:paraId="645E9683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1BC11382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Incentivar a Secretaria-Geral a que apoie os esforços dos pequenos Estados insulares e de zonas litorâneas baixas em desenvolvimento, entre outros, para solicitar assistência técnica e, quando apropriado, assistência financeira das instituições financeiras internacionais e das agências de desenvolvimento, combinado com reformas e políticas internas, para tecnologias agrícolas novas e emergentes, incluindo a agricultura inteligente do ponto de vista climático e o apoio ao desenvolvimento de capacidades. Isso leva em conta suas áreas limitadas de terra arável, o  abastecimento deficiente de água em alguns países e à importância de melhorar a segurança alimentar e nutricional das pequenas e médias empresas agrícolas familiares, a agricultura escolar, a agricultura de subsistência e a agricultura praticada por mulheres e jovens nas áreas rurais.</w:t>
      </w:r>
    </w:p>
    <w:p w14:paraId="591615A0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3F488C31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Solicitar à Secretaria de Acesso a Direitos e Equidade (SADE), em coordenação com a Comissão Interamericana de Desenvolvimento Social (CIDES) e em colaboração com a SEDI e outras secretarias relevantes, que implemente esta resolução com o propósito de facilitar e fortalecer o diálogo, a cooperação, a troca de experiências, o desenvolvimento de capacidades e a assistência técnica em prol dos Estados membros no contexto sem precedentes da pandemia de covid-19.</w:t>
      </w:r>
    </w:p>
    <w:p w14:paraId="5D37114F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249FF7EA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 xml:space="preserve">Incentivar a Secretaria-Geral a que, por intermédio da Secretaria de Acesso a Direitos e Equidade (SADE) e em colaboração com a SEDI e outras secretarias relevantes, e em coordenação com o Grupo de Trabalho Conjunto de Cúpulas (GTCC) bem como o Instituto de Pesquisa e Desenvolvimento Agrícola do Caribe (CARDI), o Programa Mundial de Alimentos das Nações Unidas (PMA) e a Organização das Nações Unidas para a Alimentação e a Agricultura (FAO), entre outros, </w:t>
      </w:r>
      <w:r w:rsidRPr="001066D3">
        <w:rPr>
          <w:rFonts w:ascii="Times New Roman" w:hAnsi="Times New Roman"/>
          <w:szCs w:val="22"/>
          <w:lang w:val="pt-BR"/>
        </w:rPr>
        <w:lastRenderedPageBreak/>
        <w:t>desenvolva e fortaleça projetos de cooperação hemisférica para enfrentar os efeitos da pandemia de covid-19 sobre os temas da presente resolução.</w:t>
      </w:r>
    </w:p>
    <w:p w14:paraId="27F69B49" w14:textId="77777777" w:rsidR="001066D3" w:rsidRPr="001066D3" w:rsidRDefault="001066D3" w:rsidP="009F636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jc w:val="left"/>
        <w:rPr>
          <w:rFonts w:ascii="Times New Roman" w:hAnsi="Times New Roman"/>
          <w:szCs w:val="22"/>
          <w:lang w:val="pt-BR"/>
        </w:rPr>
      </w:pPr>
    </w:p>
    <w:p w14:paraId="3AAFF9BD" w14:textId="77777777" w:rsidR="001066D3" w:rsidRPr="001066D3" w:rsidRDefault="001066D3" w:rsidP="009F636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  <w:szCs w:val="22"/>
          <w:lang w:val="pt-BR"/>
        </w:rPr>
      </w:pPr>
      <w:r w:rsidRPr="001066D3">
        <w:rPr>
          <w:rFonts w:ascii="Times New Roman" w:hAnsi="Times New Roman"/>
          <w:szCs w:val="22"/>
          <w:lang w:val="pt-BR"/>
        </w:rPr>
        <w:t>Solicitar à Secretaria-Geral que, por intermédio da Secretaria de Acesso a Direitos e Equidade (SADE) e em colaboração com a SEDI e outras secretarias relevantes, elabore e apresente a uma reunião conjunta do Conselho Interamericano de Desenvolvimento Integral (CIDI) e do Conselho Permanente um relatório de acompanhamento de boas práticas e lições aprendidas pelos Estados membros, bem como  recomende linhas de ação no âmbito da presente resolução.</w:t>
      </w:r>
    </w:p>
    <w:p w14:paraId="0C0CA6AC" w14:textId="77777777" w:rsidR="001066D3" w:rsidRPr="001066D3" w:rsidRDefault="001066D3" w:rsidP="009F636B">
      <w:pPr>
        <w:snapToGrid w:val="0"/>
        <w:spacing w:line="360" w:lineRule="auto"/>
        <w:jc w:val="center"/>
        <w:rPr>
          <w:rFonts w:ascii="Times New Roman" w:hAnsi="Times New Roman"/>
          <w:bCs/>
          <w:szCs w:val="22"/>
          <w:lang w:val="pt-BR"/>
        </w:rPr>
      </w:pPr>
    </w:p>
    <w:p w14:paraId="5C62D43F" w14:textId="77777777" w:rsidR="001066D3" w:rsidRPr="00EA285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color w:val="000000"/>
          <w:szCs w:val="22"/>
          <w:lang w:val="pt-BR"/>
        </w:rPr>
      </w:pPr>
    </w:p>
    <w:p w14:paraId="567564D4" w14:textId="77777777" w:rsidR="001066D3" w:rsidRPr="00EA2853" w:rsidRDefault="001066D3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color w:val="000000"/>
          <w:szCs w:val="22"/>
          <w:lang w:val="pt-BR"/>
        </w:rPr>
      </w:pPr>
    </w:p>
    <w:p w14:paraId="70AA0117" w14:textId="77777777" w:rsidR="001066D3" w:rsidRPr="00EA2853" w:rsidRDefault="00960899" w:rsidP="009F6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color w:val="000000"/>
          <w:szCs w:val="22"/>
          <w:lang w:val="pt-BR"/>
        </w:rPr>
      </w:pPr>
      <w:r>
        <w:rPr>
          <w:rFonts w:ascii="Times New Roman" w:hAnsi="Times New Roman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F8B4A9" wp14:editId="143781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464049" w14:textId="4474DE22" w:rsidR="00960899" w:rsidRPr="00960899" w:rsidRDefault="0096089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A446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CIDRP03205P01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B4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4464049" w14:textId="4474DE22" w:rsidR="00960899" w:rsidRPr="00960899" w:rsidRDefault="0096089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A446B">
                        <w:rPr>
                          <w:rFonts w:ascii="Times New Roman" w:hAnsi="Times New Roman"/>
                          <w:noProof/>
                          <w:sz w:val="18"/>
                        </w:rPr>
                        <w:t>CIDRP03205P01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66D3" w:rsidRPr="00EA2853" w:rsidSect="00442C8B">
      <w:endnotePr>
        <w:numFmt w:val="decimal"/>
      </w:endnotePr>
      <w:type w:val="continuous"/>
      <w:pgSz w:w="12240" w:h="15840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05C3" w14:textId="77777777" w:rsidR="00CC3BF9" w:rsidRDefault="00CC3BF9">
      <w:r>
        <w:separator/>
      </w:r>
    </w:p>
  </w:endnote>
  <w:endnote w:type="continuationSeparator" w:id="0">
    <w:p w14:paraId="0D16B3F1" w14:textId="77777777" w:rsidR="00CC3BF9" w:rsidRDefault="00CC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9868" w14:textId="77777777" w:rsidR="00CC3BF9" w:rsidRDefault="00CC3BF9">
      <w:r>
        <w:separator/>
      </w:r>
    </w:p>
  </w:footnote>
  <w:footnote w:type="continuationSeparator" w:id="0">
    <w:p w14:paraId="60CA45F9" w14:textId="77777777" w:rsidR="00CC3BF9" w:rsidRDefault="00CC3BF9">
      <w:r>
        <w:continuationSeparator/>
      </w:r>
    </w:p>
  </w:footnote>
  <w:footnote w:id="1">
    <w:p w14:paraId="6E13E8FB" w14:textId="77777777" w:rsidR="001066D3" w:rsidRPr="00EA2853" w:rsidRDefault="001066D3" w:rsidP="001066D3">
      <w:pPr>
        <w:pStyle w:val="FootnoteText"/>
        <w:tabs>
          <w:tab w:val="left" w:pos="720"/>
        </w:tabs>
        <w:ind w:left="720"/>
        <w:rPr>
          <w:rFonts w:ascii="Times New Roman" w:hAnsi="Times New Roman"/>
          <w:sz w:val="20"/>
          <w:lang w:val="pt-BR"/>
        </w:rPr>
      </w:pPr>
      <w:r w:rsidRPr="00EA2853">
        <w:rPr>
          <w:rStyle w:val="FootnoteReference"/>
          <w:rFonts w:ascii="Times New Roman" w:hAnsi="Times New Roman"/>
          <w:sz w:val="20"/>
        </w:rPr>
        <w:footnoteRef/>
      </w:r>
      <w:r w:rsidRPr="00EA2853">
        <w:rPr>
          <w:rFonts w:ascii="Times New Roman" w:hAnsi="Times New Roman"/>
          <w:sz w:val="20"/>
          <w:lang w:val="pt-BR"/>
        </w:rPr>
        <w:t>.</w:t>
      </w:r>
      <w:r w:rsidRPr="00EA2853">
        <w:rPr>
          <w:rFonts w:ascii="Times New Roman" w:hAnsi="Times New Roman"/>
          <w:sz w:val="20"/>
          <w:lang w:val="pt-BR"/>
        </w:rPr>
        <w:tab/>
        <w:t>Os Estados Unidos observam que as referências à mudança do clima e/ou ao Acordo de Paris são entendidas sem prejuízo das posições estadunidenses. Os Estados Unidos assinalam que apresentaram uma notificação formal da sua retirada do Acordo de Paris às Nações Unidas em 4 de novembro de 2019. A retirada terá efeito um an</w:t>
      </w:r>
      <w:r w:rsidR="00EA2853" w:rsidRPr="00EA2853">
        <w:rPr>
          <w:rFonts w:ascii="Times New Roman" w:hAnsi="Times New Roman"/>
          <w:sz w:val="20"/>
          <w:lang w:val="pt-BR"/>
        </w:rPr>
        <w:t>o após a entrega da notificação</w:t>
      </w:r>
      <w:r w:rsidRPr="00EA2853">
        <w:rPr>
          <w:rFonts w:ascii="Times New Roman" w:hAnsi="Times New Roman"/>
          <w:sz w:val="2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5849" w14:textId="77777777" w:rsidR="00A95075" w:rsidRPr="00AB65B4" w:rsidRDefault="00A95075">
    <w:pPr>
      <w:pStyle w:val="Header"/>
      <w:framePr w:wrap="auto" w:vAnchor="text" w:hAnchor="margin" w:xAlign="center" w:y="1"/>
      <w:rPr>
        <w:rStyle w:val="PageNumber"/>
        <w:noProof/>
      </w:rPr>
    </w:pPr>
    <w:r>
      <w:rPr>
        <w:rStyle w:val="PageNumber"/>
        <w:rFonts w:ascii="Times New Roman" w:hAnsi="Times New Roman"/>
      </w:rPr>
      <w:t xml:space="preserve">- </w:t>
    </w:r>
    <w:r w:rsidRPr="00AB65B4">
      <w:rPr>
        <w:rStyle w:val="PageNumber"/>
        <w:rFonts w:ascii="Times New Roman" w:hAnsi="Times New Roman"/>
      </w:rPr>
      <w:fldChar w:fldCharType="begin"/>
    </w:r>
    <w:r w:rsidRPr="00AB65B4">
      <w:rPr>
        <w:rStyle w:val="PageNumber"/>
        <w:rFonts w:ascii="Times New Roman" w:hAnsi="Times New Roman"/>
      </w:rPr>
      <w:instrText xml:space="preserve">PAGE  </w:instrText>
    </w:r>
    <w:r w:rsidRPr="00AB65B4">
      <w:rPr>
        <w:rStyle w:val="PageNumber"/>
        <w:rFonts w:ascii="Times New Roman" w:hAnsi="Times New Roman"/>
      </w:rPr>
      <w:fldChar w:fldCharType="separate"/>
    </w:r>
    <w:r w:rsidR="00960899">
      <w:rPr>
        <w:rStyle w:val="PageNumber"/>
        <w:rFonts w:ascii="Times New Roman" w:hAnsi="Times New Roman"/>
        <w:noProof/>
      </w:rPr>
      <w:t>8</w:t>
    </w:r>
    <w:r w:rsidRPr="00AB65B4">
      <w:rPr>
        <w:rStyle w:val="PageNumber"/>
        <w:rFonts w:ascii="Times New Roman" w:hAnsi="Times New Roman"/>
      </w:rPr>
      <w:fldChar w:fldCharType="end"/>
    </w:r>
    <w:r>
      <w:rPr>
        <w:rStyle w:val="PageNumber"/>
      </w:rPr>
      <w:t xml:space="preserve"> -</w:t>
    </w:r>
  </w:p>
  <w:p w14:paraId="7296B71E" w14:textId="77777777" w:rsidR="00A95075" w:rsidRPr="00AB65B4" w:rsidRDefault="00A95075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618"/>
    <w:multiLevelType w:val="hybridMultilevel"/>
    <w:tmpl w:val="90C20364"/>
    <w:lvl w:ilvl="0" w:tplc="DC7E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8F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28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4B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3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C9A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6D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ED3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05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905E3"/>
    <w:multiLevelType w:val="singleLevel"/>
    <w:tmpl w:val="2DDCAB8C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22375F74"/>
    <w:multiLevelType w:val="singleLevel"/>
    <w:tmpl w:val="2DDCAB8C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24D77908"/>
    <w:multiLevelType w:val="hybridMultilevel"/>
    <w:tmpl w:val="0FEC498C"/>
    <w:lvl w:ilvl="0" w:tplc="DE4484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364BC"/>
    <w:multiLevelType w:val="multilevel"/>
    <w:tmpl w:val="1944A3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671D9"/>
    <w:multiLevelType w:val="hybridMultilevel"/>
    <w:tmpl w:val="B9ACA27A"/>
    <w:lvl w:ilvl="0" w:tplc="F4B42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9AAD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B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C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B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93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E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2B4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35EB2"/>
    <w:multiLevelType w:val="hybridMultilevel"/>
    <w:tmpl w:val="2010469C"/>
    <w:lvl w:ilvl="0" w:tplc="7528EE2A">
      <w:start w:val="1"/>
      <w:numFmt w:val="decimal"/>
      <w:lvlText w:val="%1."/>
      <w:lvlJc w:val="left"/>
      <w:pPr>
        <w:ind w:left="1080" w:hanging="360"/>
      </w:pPr>
    </w:lvl>
    <w:lvl w:ilvl="1" w:tplc="83BE94F6" w:tentative="1">
      <w:start w:val="1"/>
      <w:numFmt w:val="lowerLetter"/>
      <w:lvlText w:val="%2."/>
      <w:lvlJc w:val="left"/>
      <w:pPr>
        <w:ind w:left="1800" w:hanging="360"/>
      </w:pPr>
    </w:lvl>
    <w:lvl w:ilvl="2" w:tplc="452875B4" w:tentative="1">
      <w:start w:val="1"/>
      <w:numFmt w:val="lowerRoman"/>
      <w:lvlText w:val="%3."/>
      <w:lvlJc w:val="right"/>
      <w:pPr>
        <w:ind w:left="2520" w:hanging="180"/>
      </w:pPr>
    </w:lvl>
    <w:lvl w:ilvl="3" w:tplc="E4D2FFEC" w:tentative="1">
      <w:start w:val="1"/>
      <w:numFmt w:val="decimal"/>
      <w:lvlText w:val="%4."/>
      <w:lvlJc w:val="left"/>
      <w:pPr>
        <w:ind w:left="3240" w:hanging="360"/>
      </w:pPr>
    </w:lvl>
    <w:lvl w:ilvl="4" w:tplc="CC380016" w:tentative="1">
      <w:start w:val="1"/>
      <w:numFmt w:val="lowerLetter"/>
      <w:lvlText w:val="%5."/>
      <w:lvlJc w:val="left"/>
      <w:pPr>
        <w:ind w:left="3960" w:hanging="360"/>
      </w:pPr>
    </w:lvl>
    <w:lvl w:ilvl="5" w:tplc="B7CC9D30" w:tentative="1">
      <w:start w:val="1"/>
      <w:numFmt w:val="lowerRoman"/>
      <w:lvlText w:val="%6."/>
      <w:lvlJc w:val="right"/>
      <w:pPr>
        <w:ind w:left="4680" w:hanging="180"/>
      </w:pPr>
    </w:lvl>
    <w:lvl w:ilvl="6" w:tplc="A7EC8282" w:tentative="1">
      <w:start w:val="1"/>
      <w:numFmt w:val="decimal"/>
      <w:lvlText w:val="%7."/>
      <w:lvlJc w:val="left"/>
      <w:pPr>
        <w:ind w:left="5400" w:hanging="360"/>
      </w:pPr>
    </w:lvl>
    <w:lvl w:ilvl="7" w:tplc="4260D2E4" w:tentative="1">
      <w:start w:val="1"/>
      <w:numFmt w:val="lowerLetter"/>
      <w:lvlText w:val="%8."/>
      <w:lvlJc w:val="left"/>
      <w:pPr>
        <w:ind w:left="6120" w:hanging="360"/>
      </w:pPr>
    </w:lvl>
    <w:lvl w:ilvl="8" w:tplc="1ECA6C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7BCC"/>
    <w:multiLevelType w:val="hybridMultilevel"/>
    <w:tmpl w:val="987EA0D4"/>
    <w:lvl w:ilvl="0" w:tplc="0B9A4F9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312"/>
    <w:multiLevelType w:val="hybridMultilevel"/>
    <w:tmpl w:val="5A201902"/>
    <w:lvl w:ilvl="0" w:tplc="47C482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2680"/>
    <w:multiLevelType w:val="hybridMultilevel"/>
    <w:tmpl w:val="B47EFA1C"/>
    <w:lvl w:ilvl="0" w:tplc="47D080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972D2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DC3B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E07C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9C8B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6EDF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5CF9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AABA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FAA7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158F5"/>
    <w:multiLevelType w:val="hybridMultilevel"/>
    <w:tmpl w:val="64522D2A"/>
    <w:lvl w:ilvl="0" w:tplc="40C08EF2">
      <w:start w:val="3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52C2A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C665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6CB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42DD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24A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768F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3432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3AD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E52EA"/>
    <w:multiLevelType w:val="hybridMultilevel"/>
    <w:tmpl w:val="DE2CE86A"/>
    <w:lvl w:ilvl="0" w:tplc="C7826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B3B"/>
    <w:multiLevelType w:val="hybridMultilevel"/>
    <w:tmpl w:val="D7A6A41E"/>
    <w:lvl w:ilvl="0" w:tplc="9760D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2D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80F6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DAA0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665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614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3E50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4ED8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203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ABF184-A1EF-4B33-A78F-521AAF39750F}"/>
    <w:docVar w:name="dgnword-eventsink" w:val="147730448"/>
  </w:docVars>
  <w:rsids>
    <w:rsidRoot w:val="00CD5175"/>
    <w:rsid w:val="00023E54"/>
    <w:rsid w:val="00034455"/>
    <w:rsid w:val="00035268"/>
    <w:rsid w:val="00043DE6"/>
    <w:rsid w:val="00046A2B"/>
    <w:rsid w:val="000570FA"/>
    <w:rsid w:val="00061755"/>
    <w:rsid w:val="00066A72"/>
    <w:rsid w:val="00081E4F"/>
    <w:rsid w:val="0008231A"/>
    <w:rsid w:val="00084C56"/>
    <w:rsid w:val="000A718C"/>
    <w:rsid w:val="000C22CD"/>
    <w:rsid w:val="000C645E"/>
    <w:rsid w:val="000E72FB"/>
    <w:rsid w:val="000F160B"/>
    <w:rsid w:val="000F44CE"/>
    <w:rsid w:val="001066D3"/>
    <w:rsid w:val="00133C5D"/>
    <w:rsid w:val="00137A6C"/>
    <w:rsid w:val="00144A71"/>
    <w:rsid w:val="001569A2"/>
    <w:rsid w:val="00156A33"/>
    <w:rsid w:val="001602D1"/>
    <w:rsid w:val="0017319F"/>
    <w:rsid w:val="001A0784"/>
    <w:rsid w:val="001A0CD0"/>
    <w:rsid w:val="001A7E63"/>
    <w:rsid w:val="001B16D1"/>
    <w:rsid w:val="001C0959"/>
    <w:rsid w:val="001D64C8"/>
    <w:rsid w:val="001F32F7"/>
    <w:rsid w:val="00213779"/>
    <w:rsid w:val="0022294B"/>
    <w:rsid w:val="00253141"/>
    <w:rsid w:val="00256A09"/>
    <w:rsid w:val="0026014B"/>
    <w:rsid w:val="002735FD"/>
    <w:rsid w:val="0027470E"/>
    <w:rsid w:val="002768D2"/>
    <w:rsid w:val="002B401F"/>
    <w:rsid w:val="002C1AA4"/>
    <w:rsid w:val="0032709B"/>
    <w:rsid w:val="003358DA"/>
    <w:rsid w:val="00342874"/>
    <w:rsid w:val="00361891"/>
    <w:rsid w:val="00375E9B"/>
    <w:rsid w:val="00395AF6"/>
    <w:rsid w:val="00397653"/>
    <w:rsid w:val="003A4527"/>
    <w:rsid w:val="003B42EC"/>
    <w:rsid w:val="003D148D"/>
    <w:rsid w:val="003F3DD1"/>
    <w:rsid w:val="00405D61"/>
    <w:rsid w:val="00423B80"/>
    <w:rsid w:val="00442858"/>
    <w:rsid w:val="00442C8B"/>
    <w:rsid w:val="00452DC8"/>
    <w:rsid w:val="004546E3"/>
    <w:rsid w:val="0045737C"/>
    <w:rsid w:val="004672CA"/>
    <w:rsid w:val="00470BB3"/>
    <w:rsid w:val="00482604"/>
    <w:rsid w:val="00484D3A"/>
    <w:rsid w:val="00485290"/>
    <w:rsid w:val="00486108"/>
    <w:rsid w:val="00497CD6"/>
    <w:rsid w:val="004A07FE"/>
    <w:rsid w:val="004A4BE2"/>
    <w:rsid w:val="004B3EB9"/>
    <w:rsid w:val="004C1403"/>
    <w:rsid w:val="004E2FD4"/>
    <w:rsid w:val="004E6739"/>
    <w:rsid w:val="0050287C"/>
    <w:rsid w:val="00505DA8"/>
    <w:rsid w:val="0051238C"/>
    <w:rsid w:val="005251BF"/>
    <w:rsid w:val="00537959"/>
    <w:rsid w:val="00540E53"/>
    <w:rsid w:val="00541476"/>
    <w:rsid w:val="00555423"/>
    <w:rsid w:val="00583E36"/>
    <w:rsid w:val="005E36D5"/>
    <w:rsid w:val="005E550C"/>
    <w:rsid w:val="005E702A"/>
    <w:rsid w:val="005F23FA"/>
    <w:rsid w:val="005F7FD9"/>
    <w:rsid w:val="006205EF"/>
    <w:rsid w:val="0062753B"/>
    <w:rsid w:val="00627FFE"/>
    <w:rsid w:val="006434F9"/>
    <w:rsid w:val="00644781"/>
    <w:rsid w:val="00660C59"/>
    <w:rsid w:val="0068781D"/>
    <w:rsid w:val="00691013"/>
    <w:rsid w:val="00695FDB"/>
    <w:rsid w:val="006A446B"/>
    <w:rsid w:val="006A6CDF"/>
    <w:rsid w:val="006C3456"/>
    <w:rsid w:val="006C4E19"/>
    <w:rsid w:val="006D72DD"/>
    <w:rsid w:val="00703271"/>
    <w:rsid w:val="00704EAE"/>
    <w:rsid w:val="00735CFC"/>
    <w:rsid w:val="0075474B"/>
    <w:rsid w:val="00767CE7"/>
    <w:rsid w:val="00791379"/>
    <w:rsid w:val="00802D45"/>
    <w:rsid w:val="00817F47"/>
    <w:rsid w:val="00820B58"/>
    <w:rsid w:val="008366A7"/>
    <w:rsid w:val="00881B32"/>
    <w:rsid w:val="00887A70"/>
    <w:rsid w:val="008C34AB"/>
    <w:rsid w:val="008C7069"/>
    <w:rsid w:val="008E6D8F"/>
    <w:rsid w:val="008F049D"/>
    <w:rsid w:val="008F588F"/>
    <w:rsid w:val="00900BE0"/>
    <w:rsid w:val="00905CFD"/>
    <w:rsid w:val="009167AE"/>
    <w:rsid w:val="00934AB4"/>
    <w:rsid w:val="00943102"/>
    <w:rsid w:val="00960899"/>
    <w:rsid w:val="00961B8E"/>
    <w:rsid w:val="0096456B"/>
    <w:rsid w:val="00984D07"/>
    <w:rsid w:val="00987533"/>
    <w:rsid w:val="009A2C57"/>
    <w:rsid w:val="009B0309"/>
    <w:rsid w:val="009C55F4"/>
    <w:rsid w:val="009C6185"/>
    <w:rsid w:val="009E7BC6"/>
    <w:rsid w:val="009F24DD"/>
    <w:rsid w:val="009F636B"/>
    <w:rsid w:val="00A42956"/>
    <w:rsid w:val="00A45533"/>
    <w:rsid w:val="00A51FB2"/>
    <w:rsid w:val="00A5283F"/>
    <w:rsid w:val="00A73978"/>
    <w:rsid w:val="00A875B0"/>
    <w:rsid w:val="00A95075"/>
    <w:rsid w:val="00A95118"/>
    <w:rsid w:val="00AB65B4"/>
    <w:rsid w:val="00AC25EC"/>
    <w:rsid w:val="00B05242"/>
    <w:rsid w:val="00B21B83"/>
    <w:rsid w:val="00B22FD6"/>
    <w:rsid w:val="00B26239"/>
    <w:rsid w:val="00B30DB8"/>
    <w:rsid w:val="00B427A9"/>
    <w:rsid w:val="00B5008E"/>
    <w:rsid w:val="00B551A1"/>
    <w:rsid w:val="00B74988"/>
    <w:rsid w:val="00B8082E"/>
    <w:rsid w:val="00B84736"/>
    <w:rsid w:val="00B858D2"/>
    <w:rsid w:val="00B946BF"/>
    <w:rsid w:val="00BA0DD1"/>
    <w:rsid w:val="00BA4371"/>
    <w:rsid w:val="00BC5C37"/>
    <w:rsid w:val="00BE066D"/>
    <w:rsid w:val="00C008FA"/>
    <w:rsid w:val="00C2121F"/>
    <w:rsid w:val="00C2153D"/>
    <w:rsid w:val="00C26086"/>
    <w:rsid w:val="00C3086C"/>
    <w:rsid w:val="00C427E1"/>
    <w:rsid w:val="00C43F14"/>
    <w:rsid w:val="00C47CDD"/>
    <w:rsid w:val="00C75F65"/>
    <w:rsid w:val="00CA135F"/>
    <w:rsid w:val="00CA1DF0"/>
    <w:rsid w:val="00CB4270"/>
    <w:rsid w:val="00CB5D32"/>
    <w:rsid w:val="00CC00E0"/>
    <w:rsid w:val="00CC3BF9"/>
    <w:rsid w:val="00CD5175"/>
    <w:rsid w:val="00CF0A6F"/>
    <w:rsid w:val="00D02EC6"/>
    <w:rsid w:val="00D148EC"/>
    <w:rsid w:val="00D21B80"/>
    <w:rsid w:val="00D26151"/>
    <w:rsid w:val="00D55B87"/>
    <w:rsid w:val="00D91E99"/>
    <w:rsid w:val="00DA0B16"/>
    <w:rsid w:val="00DA3F73"/>
    <w:rsid w:val="00DA6F68"/>
    <w:rsid w:val="00DC173D"/>
    <w:rsid w:val="00DC35ED"/>
    <w:rsid w:val="00DD2ED7"/>
    <w:rsid w:val="00DE7372"/>
    <w:rsid w:val="00DE764C"/>
    <w:rsid w:val="00E12BD5"/>
    <w:rsid w:val="00E13A7D"/>
    <w:rsid w:val="00E1614A"/>
    <w:rsid w:val="00E16F0C"/>
    <w:rsid w:val="00E31F69"/>
    <w:rsid w:val="00E37B36"/>
    <w:rsid w:val="00E40BE0"/>
    <w:rsid w:val="00E70EDB"/>
    <w:rsid w:val="00E75F0A"/>
    <w:rsid w:val="00E83B59"/>
    <w:rsid w:val="00E84B12"/>
    <w:rsid w:val="00EA2853"/>
    <w:rsid w:val="00EA3C99"/>
    <w:rsid w:val="00EA692C"/>
    <w:rsid w:val="00EC6942"/>
    <w:rsid w:val="00EF43CE"/>
    <w:rsid w:val="00F0264A"/>
    <w:rsid w:val="00F16D41"/>
    <w:rsid w:val="00F2160D"/>
    <w:rsid w:val="00F24172"/>
    <w:rsid w:val="00F255E6"/>
    <w:rsid w:val="00F25D54"/>
    <w:rsid w:val="00F3558B"/>
    <w:rsid w:val="00F40359"/>
    <w:rsid w:val="00F51285"/>
    <w:rsid w:val="00F74527"/>
    <w:rsid w:val="00F7460A"/>
    <w:rsid w:val="00F92985"/>
    <w:rsid w:val="00FA4D9F"/>
    <w:rsid w:val="00FC4A6A"/>
    <w:rsid w:val="00FC7128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ECE3A8"/>
  <w15:chartTrackingRefBased/>
  <w15:docId w15:val="{85464D0B-7474-42CE-90AC-CF95DB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893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80"/>
      <w:jc w:val="left"/>
      <w:outlineLvl w:val="0"/>
    </w:pPr>
    <w:rPr>
      <w:rFonts w:ascii="Calibri" w:hAnsi="Calibri"/>
      <w:b/>
      <w:bCs/>
      <w:color w:val="404040"/>
      <w:kern w:val="1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4893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00"/>
      <w:jc w:val="left"/>
      <w:outlineLvl w:val="1"/>
    </w:pPr>
    <w:rPr>
      <w:rFonts w:ascii="Calibri" w:hAnsi="Calibri"/>
      <w:b/>
      <w:bCs/>
      <w:color w:val="404040"/>
      <w:kern w:val="1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,Appel note de bas de page,Footnotes refss,f,Footnote number,BVI fnr,4_G,16 Point,Footnote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semiHidden/>
    <w:unhideWhenUsed/>
    <w:rsid w:val="00CD517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Prrafodelista">
    <w:name w:val="Párrafo de lista"/>
    <w:basedOn w:val="Normal"/>
    <w:qFormat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FollowedHyperlink">
    <w:name w:val="FollowedHyperlink"/>
    <w:uiPriority w:val="99"/>
    <w:semiHidden/>
    <w:unhideWhenUsed/>
    <w:rsid w:val="00B7498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E4893"/>
    <w:rPr>
      <w:rFonts w:ascii="Calibri" w:hAnsi="Calibri"/>
      <w:b/>
      <w:bCs/>
      <w:color w:val="404040"/>
      <w:kern w:val="16"/>
      <w:sz w:val="28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semiHidden/>
    <w:rsid w:val="00FE4893"/>
    <w:rPr>
      <w:rFonts w:ascii="Calibri" w:hAnsi="Calibri"/>
      <w:b/>
      <w:bCs/>
      <w:color w:val="404040"/>
      <w:kern w:val="16"/>
      <w:sz w:val="26"/>
      <w:szCs w:val="26"/>
      <w:lang w:val="es-ES" w:eastAsia="en-US"/>
    </w:rPr>
  </w:style>
  <w:style w:type="table" w:styleId="TableGrid">
    <w:name w:val="Table Grid"/>
    <w:basedOn w:val="TableNormal"/>
    <w:uiPriority w:val="59"/>
    <w:rsid w:val="00FE48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 w:after="40"/>
      <w:jc w:val="left"/>
    </w:pPr>
    <w:rPr>
      <w:rFonts w:ascii="Calibri" w:eastAsia="Calibri" w:hAnsi="Calibri"/>
      <w:color w:val="0D0D0D"/>
      <w:kern w:val="16"/>
      <w:sz w:val="18"/>
      <w:szCs w:val="22"/>
    </w:rPr>
  </w:style>
  <w:style w:type="paragraph" w:customStyle="1" w:styleId="Day">
    <w:name w:val="Day"/>
    <w:basedOn w:val="Normal"/>
    <w:qFormat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 w:after="40"/>
      <w:jc w:val="center"/>
    </w:pPr>
    <w:rPr>
      <w:rFonts w:ascii="Calibri" w:eastAsia="Calibri" w:hAnsi="Calibri"/>
      <w:b/>
      <w:caps/>
      <w:color w:val="404040"/>
      <w:spacing w:val="10"/>
      <w:kern w:val="16"/>
      <w:sz w:val="20"/>
    </w:rPr>
  </w:style>
  <w:style w:type="paragraph" w:customStyle="1" w:styleId="MonthYear">
    <w:name w:val="MonthYear"/>
    <w:basedOn w:val="Normal"/>
    <w:qFormat/>
    <w:rsid w:val="00FE4893"/>
    <w:pPr>
      <w:pageBreakBefore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40"/>
      <w:jc w:val="center"/>
    </w:pPr>
    <w:rPr>
      <w:rFonts w:ascii="Calibri" w:eastAsia="Calibri" w:hAnsi="Calibri"/>
      <w:color w:val="0D0D0D"/>
      <w:kern w:val="16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ahoma" w:eastAsia="Calibri" w:hAnsi="Tahoma" w:cs="Tahoma"/>
      <w:color w:val="0D0D0D"/>
      <w:kern w:val="1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E4893"/>
    <w:rPr>
      <w:rFonts w:ascii="Tahoma" w:eastAsia="Calibri" w:hAnsi="Tahoma" w:cs="Tahoma"/>
      <w:color w:val="0D0D0D"/>
      <w:kern w:val="16"/>
      <w:sz w:val="22"/>
      <w:szCs w:val="22"/>
      <w:lang w:val="es-ES" w:eastAsia="en-US"/>
    </w:rPr>
  </w:style>
  <w:style w:type="paragraph" w:styleId="NoSpacing">
    <w:name w:val="No Spacing"/>
    <w:uiPriority w:val="1"/>
    <w:qFormat/>
    <w:rsid w:val="00FE4893"/>
    <w:rPr>
      <w:rFonts w:ascii="Calibri" w:eastAsia="Calibri" w:hAnsi="Calibri"/>
      <w:color w:val="0D0D0D"/>
      <w:kern w:val="16"/>
      <w:sz w:val="22"/>
      <w:szCs w:val="22"/>
      <w:lang w:val="es-ES"/>
    </w:rPr>
  </w:style>
  <w:style w:type="paragraph" w:styleId="Date">
    <w:name w:val="Date"/>
    <w:basedOn w:val="Normal"/>
    <w:next w:val="Normal"/>
    <w:link w:val="DateChar"/>
    <w:unhideWhenUsed/>
    <w:qFormat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/>
      <w:jc w:val="left"/>
    </w:pPr>
    <w:rPr>
      <w:rFonts w:ascii="Calibri" w:eastAsia="Calibri" w:hAnsi="Calibri"/>
      <w:color w:val="0D0D0D"/>
      <w:kern w:val="16"/>
      <w:sz w:val="24"/>
      <w:szCs w:val="30"/>
    </w:rPr>
  </w:style>
  <w:style w:type="character" w:customStyle="1" w:styleId="DateChar">
    <w:name w:val="Date Char"/>
    <w:link w:val="Date"/>
    <w:rsid w:val="00FE4893"/>
    <w:rPr>
      <w:rFonts w:ascii="Calibri" w:eastAsia="Calibri" w:hAnsi="Calibri"/>
      <w:color w:val="0D0D0D"/>
      <w:kern w:val="16"/>
      <w:sz w:val="24"/>
      <w:szCs w:val="30"/>
      <w:lang w:val="es-ES" w:eastAsia="en-US"/>
    </w:rPr>
  </w:style>
  <w:style w:type="character" w:styleId="PlaceholderText">
    <w:name w:val="Placeholder Text"/>
    <w:uiPriority w:val="99"/>
    <w:semiHidden/>
    <w:rsid w:val="00FE4893"/>
    <w:rPr>
      <w:color w:val="808080"/>
    </w:rPr>
  </w:style>
  <w:style w:type="table" w:styleId="LightShading-Accent1">
    <w:name w:val="Light Shading Accent 1"/>
    <w:basedOn w:val="TableNormal"/>
    <w:uiPriority w:val="60"/>
    <w:rsid w:val="00FE4893"/>
    <w:rPr>
      <w:rFonts w:ascii="Calibri" w:eastAsia="Calibri" w:hAnsi="Calibri"/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">
    <w:name w:val="Light Shading"/>
    <w:basedOn w:val="TableNormal"/>
    <w:uiPriority w:val="60"/>
    <w:rsid w:val="00FE4893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  <w:rsid w:val="00FE4893"/>
    <w:rPr>
      <w:rFonts w:ascii="CG Times" w:hAnsi="CG Times"/>
      <w:sz w:val="22"/>
      <w:lang w:val="es-ES" w:eastAsia="en-US"/>
    </w:rPr>
  </w:style>
  <w:style w:type="character" w:customStyle="1" w:styleId="FooterChar">
    <w:name w:val="Footer Char"/>
    <w:link w:val="Footer"/>
    <w:uiPriority w:val="99"/>
    <w:rsid w:val="00FE4893"/>
    <w:rPr>
      <w:rFonts w:ascii="CG Times" w:hAnsi="CG Times"/>
      <w:sz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DC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35ED"/>
    <w:rPr>
      <w:rFonts w:ascii="CG Times" w:hAnsi="CG Times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5ED"/>
    <w:rPr>
      <w:rFonts w:ascii="CG Times" w:hAnsi="CG Times"/>
      <w:b/>
      <w:bCs/>
      <w:lang w:val="es-ES"/>
    </w:rPr>
  </w:style>
  <w:style w:type="character" w:styleId="Strong">
    <w:name w:val="Strong"/>
    <w:uiPriority w:val="22"/>
    <w:qFormat/>
    <w:rsid w:val="00E84B12"/>
    <w:rPr>
      <w:b/>
      <w:bCs w:val="0"/>
    </w:rPr>
  </w:style>
  <w:style w:type="character" w:customStyle="1" w:styleId="FootnoteTextChar">
    <w:name w:val="Footnote Text Char"/>
    <w:basedOn w:val="DefaultParagraphFont"/>
    <w:link w:val="FootnoteText"/>
    <w:rsid w:val="00442C8B"/>
    <w:rPr>
      <w:rFonts w:ascii="CG Times" w:hAnsi="CG Times"/>
      <w:sz w:val="18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85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853"/>
    <w:rPr>
      <w:rFonts w:ascii="Consolas" w:hAnsi="Consola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E8B6-D97D-4F96-B73E-C78774B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17554</CharactersWithSpaces>
  <SharedDoc>false</SharedDoc>
  <HLinks>
    <vt:vector size="6" baseType="variant"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http://scm.oas.org/IDMS/Redirectpage.aspx?class=CP/CAAP&amp;classNum=3098&amp;lang=e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E. Diaz Avalos</dc:creator>
  <cp:keywords/>
  <cp:lastModifiedBy>Burns, Sandra</cp:lastModifiedBy>
  <cp:revision>3</cp:revision>
  <cp:lastPrinted>2020-02-10T17:28:00Z</cp:lastPrinted>
  <dcterms:created xsi:type="dcterms:W3CDTF">2021-06-02T19:29:00Z</dcterms:created>
  <dcterms:modified xsi:type="dcterms:W3CDTF">2021-06-02T19:30:00Z</dcterms:modified>
</cp:coreProperties>
</file>