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FCB97" w14:textId="178D16B1" w:rsidR="00FE18BE" w:rsidRPr="00715BD6" w:rsidRDefault="00FE18BE" w:rsidP="00FE18BE">
      <w:pPr>
        <w:tabs>
          <w:tab w:val="left" w:pos="6700"/>
        </w:tabs>
        <w:ind w:right="-929"/>
        <w:rPr>
          <w:sz w:val="22"/>
          <w:szCs w:val="22"/>
          <w:lang w:val="fr-CA"/>
        </w:rPr>
      </w:pPr>
      <w:r w:rsidRPr="00715BD6">
        <w:rPr>
          <w:caps/>
          <w:sz w:val="22"/>
          <w:szCs w:val="22"/>
          <w:lang w:val="fr-CA"/>
        </w:rPr>
        <w:t>COMMI</w:t>
      </w:r>
      <w:r w:rsidR="00B54FFF" w:rsidRPr="00715BD6">
        <w:rPr>
          <w:caps/>
          <w:sz w:val="22"/>
          <w:szCs w:val="22"/>
          <w:lang w:val="fr-CA"/>
        </w:rPr>
        <w:t>SSION SUR LES POLITIQUES</w:t>
      </w:r>
      <w:r w:rsidRPr="00715BD6">
        <w:rPr>
          <w:sz w:val="22"/>
          <w:szCs w:val="22"/>
          <w:lang w:val="fr-CA"/>
        </w:rPr>
        <w:tab/>
        <w:t>OEA/Ser.W</w:t>
      </w:r>
    </w:p>
    <w:p w14:paraId="731221F0" w14:textId="6BD454D3" w:rsidR="00FE18BE" w:rsidRPr="00715BD6" w:rsidRDefault="00B54FFF" w:rsidP="00FE18BE">
      <w:pPr>
        <w:tabs>
          <w:tab w:val="left" w:pos="6700"/>
        </w:tabs>
        <w:ind w:right="-929"/>
        <w:rPr>
          <w:sz w:val="22"/>
          <w:szCs w:val="22"/>
          <w:lang w:val="fr-CA"/>
        </w:rPr>
      </w:pPr>
      <w:r w:rsidRPr="00715BD6">
        <w:rPr>
          <w:caps/>
          <w:sz w:val="22"/>
          <w:szCs w:val="22"/>
          <w:lang w:val="fr-CA"/>
        </w:rPr>
        <w:t>DE PARTENARIAT POUR LE DÉVELOPPEMENT</w:t>
      </w:r>
      <w:r w:rsidR="00FE18BE" w:rsidRPr="00715BD6">
        <w:rPr>
          <w:caps/>
          <w:sz w:val="22"/>
          <w:szCs w:val="22"/>
          <w:lang w:val="fr-CA"/>
        </w:rPr>
        <w:tab/>
      </w:r>
      <w:r w:rsidR="00FE18BE" w:rsidRPr="00715BD6">
        <w:rPr>
          <w:sz w:val="22"/>
          <w:szCs w:val="22"/>
          <w:lang w:val="fr-CA"/>
        </w:rPr>
        <w:t>CIDI/CPD/doc</w:t>
      </w:r>
      <w:r w:rsidR="004670DE" w:rsidRPr="00715BD6">
        <w:rPr>
          <w:sz w:val="22"/>
          <w:szCs w:val="22"/>
          <w:lang w:val="fr-CA"/>
        </w:rPr>
        <w:t>.203</w:t>
      </w:r>
      <w:r w:rsidR="00FE18BE" w:rsidRPr="00715BD6">
        <w:rPr>
          <w:sz w:val="22"/>
          <w:szCs w:val="22"/>
          <w:lang w:val="fr-CA"/>
        </w:rPr>
        <w:t>/21</w:t>
      </w:r>
      <w:r w:rsidR="00F735A9">
        <w:rPr>
          <w:sz w:val="22"/>
          <w:szCs w:val="22"/>
          <w:lang w:val="fr-CA"/>
        </w:rPr>
        <w:t xml:space="preserve"> rev.2</w:t>
      </w:r>
    </w:p>
    <w:p w14:paraId="19ACFC56" w14:textId="1CC0C7F6" w:rsidR="00FE18BE" w:rsidRPr="00715BD6" w:rsidRDefault="00FE18BE" w:rsidP="00FE18BE">
      <w:pPr>
        <w:tabs>
          <w:tab w:val="left" w:pos="6700"/>
        </w:tabs>
        <w:ind w:right="-929"/>
        <w:rPr>
          <w:sz w:val="22"/>
          <w:szCs w:val="22"/>
          <w:lang w:val="fr-CA"/>
        </w:rPr>
      </w:pPr>
      <w:r w:rsidRPr="00715BD6">
        <w:rPr>
          <w:sz w:val="22"/>
          <w:szCs w:val="22"/>
          <w:lang w:val="fr-CA"/>
        </w:rPr>
        <w:tab/>
      </w:r>
      <w:r w:rsidR="008D0BC1">
        <w:rPr>
          <w:sz w:val="22"/>
          <w:szCs w:val="22"/>
          <w:lang w:val="fr-CA"/>
        </w:rPr>
        <w:t>1</w:t>
      </w:r>
      <w:r w:rsidR="00F735A9">
        <w:rPr>
          <w:sz w:val="22"/>
          <w:szCs w:val="22"/>
          <w:lang w:val="fr-CA"/>
        </w:rPr>
        <w:t>7</w:t>
      </w:r>
      <w:r w:rsidR="008D0BC1">
        <w:rPr>
          <w:sz w:val="22"/>
          <w:szCs w:val="22"/>
          <w:lang w:val="fr-CA"/>
        </w:rPr>
        <w:t xml:space="preserve"> mars </w:t>
      </w:r>
      <w:r w:rsidRPr="00715BD6">
        <w:rPr>
          <w:sz w:val="22"/>
          <w:szCs w:val="22"/>
          <w:lang w:val="fr-CA"/>
        </w:rPr>
        <w:t>2021</w:t>
      </w:r>
    </w:p>
    <w:p w14:paraId="1C59245E" w14:textId="0B5D748F" w:rsidR="00FE18BE" w:rsidRPr="00715BD6" w:rsidRDefault="00FE18BE" w:rsidP="00FE18BE">
      <w:pPr>
        <w:tabs>
          <w:tab w:val="left" w:pos="6700"/>
        </w:tabs>
        <w:ind w:right="-929"/>
        <w:rPr>
          <w:sz w:val="22"/>
          <w:szCs w:val="22"/>
          <w:lang w:val="fr-CA"/>
        </w:rPr>
      </w:pPr>
      <w:r w:rsidRPr="00715BD6">
        <w:rPr>
          <w:sz w:val="22"/>
          <w:szCs w:val="22"/>
          <w:lang w:val="fr-CA"/>
        </w:rPr>
        <w:tab/>
        <w:t xml:space="preserve">Original: </w:t>
      </w:r>
      <w:r w:rsidR="00B54FFF" w:rsidRPr="00715BD6">
        <w:rPr>
          <w:sz w:val="22"/>
          <w:szCs w:val="22"/>
          <w:lang w:val="fr-CA"/>
        </w:rPr>
        <w:t>anglais</w:t>
      </w:r>
    </w:p>
    <w:p w14:paraId="22D4FBAC" w14:textId="77777777" w:rsidR="00FE18BE" w:rsidRPr="00715BD6" w:rsidRDefault="00FE18BE" w:rsidP="00FE18BE">
      <w:pPr>
        <w:pBdr>
          <w:bottom w:val="single" w:sz="12" w:space="1" w:color="auto"/>
        </w:pBdr>
        <w:tabs>
          <w:tab w:val="left" w:pos="6750"/>
        </w:tabs>
        <w:ind w:right="-1080"/>
        <w:rPr>
          <w:bCs/>
          <w:sz w:val="22"/>
          <w:szCs w:val="22"/>
          <w:lang w:val="fr-CA"/>
        </w:rPr>
      </w:pPr>
    </w:p>
    <w:p w14:paraId="5FC7C0F0" w14:textId="77777777" w:rsidR="00FE18BE" w:rsidRPr="00715BD6" w:rsidRDefault="00FE18BE" w:rsidP="00FE18BE">
      <w:pPr>
        <w:rPr>
          <w:sz w:val="22"/>
          <w:szCs w:val="22"/>
          <w:lang w:val="fr-CA"/>
        </w:rPr>
      </w:pPr>
    </w:p>
    <w:p w14:paraId="0D418DA8" w14:textId="77777777" w:rsidR="00FE18BE" w:rsidRPr="00715BD6" w:rsidRDefault="00FE18BE" w:rsidP="00FE18BE">
      <w:pPr>
        <w:rPr>
          <w:sz w:val="22"/>
          <w:szCs w:val="22"/>
          <w:lang w:val="fr-CA"/>
        </w:rPr>
      </w:pPr>
    </w:p>
    <w:p w14:paraId="26E43109" w14:textId="5C0A07F9" w:rsidR="002352C5" w:rsidRPr="00715BD6" w:rsidRDefault="00B54FFF" w:rsidP="00FE18BE">
      <w:pPr>
        <w:suppressAutoHyphens/>
        <w:jc w:val="center"/>
        <w:rPr>
          <w:sz w:val="22"/>
          <w:szCs w:val="22"/>
          <w:lang w:val="fr-CA" w:eastAsia="ar-SA"/>
        </w:rPr>
      </w:pPr>
      <w:r w:rsidRPr="00715BD6">
        <w:rPr>
          <w:sz w:val="22"/>
          <w:szCs w:val="22"/>
          <w:lang w:val="fr-CA" w:eastAsia="ar-SA"/>
        </w:rPr>
        <w:t>PLAN DE TRAVAIL DE LA</w:t>
      </w:r>
    </w:p>
    <w:p w14:paraId="1B39F94B" w14:textId="58E2C8BB" w:rsidR="002352C5" w:rsidRPr="00715BD6" w:rsidRDefault="00FE18BE" w:rsidP="00FE18BE">
      <w:pPr>
        <w:suppressAutoHyphens/>
        <w:jc w:val="center"/>
        <w:rPr>
          <w:sz w:val="22"/>
          <w:szCs w:val="22"/>
          <w:lang w:val="fr-CA" w:eastAsia="ar-SA"/>
        </w:rPr>
      </w:pPr>
      <w:r w:rsidRPr="00715BD6">
        <w:rPr>
          <w:sz w:val="22"/>
          <w:szCs w:val="22"/>
          <w:lang w:val="fr-CA" w:eastAsia="ar-SA"/>
        </w:rPr>
        <w:t>COMMI</w:t>
      </w:r>
      <w:r w:rsidR="00B54FFF" w:rsidRPr="00715BD6">
        <w:rPr>
          <w:sz w:val="22"/>
          <w:szCs w:val="22"/>
          <w:lang w:val="fr-CA" w:eastAsia="ar-SA"/>
        </w:rPr>
        <w:t>SSION SUR LES POLITIQUES DE PARTENARIAT POUR LE DÉVELOPPEMENT</w:t>
      </w:r>
    </w:p>
    <w:p w14:paraId="1A1D6F9D" w14:textId="1EDB6072" w:rsidR="00FE18BE" w:rsidRPr="00715BD6" w:rsidRDefault="00B54FFF" w:rsidP="00FE18BE">
      <w:pPr>
        <w:suppressAutoHyphens/>
        <w:jc w:val="center"/>
        <w:rPr>
          <w:sz w:val="22"/>
          <w:szCs w:val="22"/>
          <w:lang w:val="fr-CA" w:eastAsia="ar-SA"/>
        </w:rPr>
      </w:pPr>
      <w:r w:rsidRPr="00715BD6">
        <w:rPr>
          <w:sz w:val="22"/>
          <w:szCs w:val="22"/>
          <w:lang w:val="fr-CA" w:eastAsia="ar-SA"/>
        </w:rPr>
        <w:t>DU CONSEIL INTERAMÉRICAIN POUR LE DÉVELOPPEMENT INTÉGRÉ</w:t>
      </w:r>
    </w:p>
    <w:p w14:paraId="764FAACE" w14:textId="77777777" w:rsidR="00FE18BE" w:rsidRPr="00715BD6" w:rsidRDefault="00FE18BE" w:rsidP="00E250A4">
      <w:pPr>
        <w:suppressAutoHyphens/>
        <w:rPr>
          <w:sz w:val="22"/>
          <w:szCs w:val="22"/>
          <w:lang w:val="fr-CA" w:eastAsia="ar-SA"/>
        </w:rPr>
      </w:pPr>
    </w:p>
    <w:p w14:paraId="695899B1" w14:textId="7F7D6C9C" w:rsidR="00FE18BE" w:rsidRPr="00715BD6" w:rsidRDefault="009D12D2" w:rsidP="00FE18BE">
      <w:pPr>
        <w:suppressAutoHyphens/>
        <w:jc w:val="center"/>
        <w:rPr>
          <w:sz w:val="22"/>
          <w:szCs w:val="22"/>
          <w:lang w:val="fr-CA" w:eastAsia="ar-SA"/>
        </w:rPr>
      </w:pPr>
      <w:r w:rsidRPr="00715BD6">
        <w:rPr>
          <w:sz w:val="22"/>
          <w:szCs w:val="22"/>
          <w:lang w:val="fr-CA" w:eastAsia="ar-SA"/>
        </w:rPr>
        <w:t>F</w:t>
      </w:r>
      <w:r w:rsidR="00B54FFF" w:rsidRPr="00715BD6">
        <w:rPr>
          <w:sz w:val="22"/>
          <w:szCs w:val="22"/>
          <w:lang w:val="fr-CA" w:eastAsia="ar-SA"/>
        </w:rPr>
        <w:t>ÉVRIER – NOVEMBRE</w:t>
      </w:r>
      <w:r w:rsidRPr="00715BD6">
        <w:rPr>
          <w:sz w:val="22"/>
          <w:szCs w:val="22"/>
          <w:lang w:val="fr-CA" w:eastAsia="ar-SA"/>
        </w:rPr>
        <w:t xml:space="preserve"> 2021</w:t>
      </w:r>
    </w:p>
    <w:p w14:paraId="070D1B0F" w14:textId="77777777" w:rsidR="00FE18BE" w:rsidRPr="00715BD6" w:rsidRDefault="00FE18BE" w:rsidP="00E250A4">
      <w:pPr>
        <w:suppressAutoHyphens/>
        <w:rPr>
          <w:sz w:val="22"/>
          <w:szCs w:val="22"/>
          <w:lang w:val="fr-CA" w:eastAsia="ar-SA"/>
        </w:rPr>
      </w:pPr>
    </w:p>
    <w:p w14:paraId="3F833530" w14:textId="3A0658A8" w:rsidR="00F735A9" w:rsidRPr="00F735A9" w:rsidRDefault="00F735A9" w:rsidP="00F735A9">
      <w:pPr>
        <w:widowControl w:val="0"/>
        <w:jc w:val="center"/>
        <w:rPr>
          <w:rFonts w:eastAsia="SimSun"/>
          <w:sz w:val="22"/>
          <w:szCs w:val="22"/>
          <w:lang w:val="fr-FR"/>
        </w:rPr>
      </w:pPr>
      <w:r w:rsidRPr="00F735A9">
        <w:rPr>
          <w:rFonts w:eastAsia="Calibri"/>
          <w:sz w:val="22"/>
          <w:szCs w:val="22"/>
          <w:lang w:val="fr-CA"/>
        </w:rPr>
        <w:t>(</w:t>
      </w:r>
      <w:r w:rsidRPr="00F735A9">
        <w:rPr>
          <w:rFonts w:eastAsia="Calibri"/>
          <w:color w:val="000000"/>
          <w:sz w:val="22"/>
          <w:szCs w:val="22"/>
          <w:lang w:val="fr-CA"/>
        </w:rPr>
        <w:t>Approuvée à sa s</w:t>
      </w:r>
      <w:r w:rsidRPr="00F735A9">
        <w:rPr>
          <w:rFonts w:eastAsia="Calibri"/>
          <w:sz w:val="22"/>
          <w:szCs w:val="22"/>
          <w:lang w:val="fr-CA"/>
        </w:rPr>
        <w:t xml:space="preserve"> réunion </w:t>
      </w:r>
      <w:r w:rsidRPr="00F735A9">
        <w:rPr>
          <w:rFonts w:eastAsia="Calibri"/>
          <w:color w:val="000000"/>
          <w:sz w:val="22"/>
          <w:szCs w:val="22"/>
          <w:lang w:val="fr-CA"/>
        </w:rPr>
        <w:t xml:space="preserve">ordinaire tenue le </w:t>
      </w:r>
      <w:r>
        <w:rPr>
          <w:rFonts w:eastAsia="Calibri"/>
          <w:color w:val="000000"/>
          <w:sz w:val="22"/>
          <w:szCs w:val="22"/>
          <w:lang w:val="fr-CA"/>
        </w:rPr>
        <w:t>17 mars</w:t>
      </w:r>
      <w:r w:rsidRPr="00F735A9">
        <w:rPr>
          <w:rFonts w:eastAsia="Calibri"/>
          <w:color w:val="000000"/>
          <w:sz w:val="22"/>
          <w:szCs w:val="22"/>
          <w:lang w:val="fr-CA"/>
        </w:rPr>
        <w:t xml:space="preserve"> 2021</w:t>
      </w:r>
      <w:r w:rsidRPr="00F735A9">
        <w:rPr>
          <w:rFonts w:eastAsia="Calibri"/>
          <w:sz w:val="22"/>
          <w:szCs w:val="22"/>
          <w:lang w:val="fr-CA"/>
        </w:rPr>
        <w:t>)</w:t>
      </w:r>
    </w:p>
    <w:p w14:paraId="1CD3B650" w14:textId="04D17090" w:rsidR="00FE18BE" w:rsidRPr="00715BD6" w:rsidRDefault="00FE18BE" w:rsidP="00FE18BE">
      <w:pPr>
        <w:suppressAutoHyphens/>
        <w:jc w:val="center"/>
        <w:rPr>
          <w:sz w:val="22"/>
          <w:szCs w:val="22"/>
          <w:lang w:val="fr-CA" w:eastAsia="ar-SA"/>
        </w:rPr>
      </w:pPr>
    </w:p>
    <w:p w14:paraId="0105E6D2" w14:textId="77777777" w:rsidR="00FE18BE" w:rsidRPr="00715BD6" w:rsidRDefault="00FE18BE" w:rsidP="00FE18BE">
      <w:pPr>
        <w:suppressAutoHyphens/>
        <w:rPr>
          <w:sz w:val="22"/>
          <w:szCs w:val="22"/>
          <w:lang w:val="fr-CA" w:eastAsia="ar-SA"/>
        </w:rPr>
      </w:pPr>
    </w:p>
    <w:p w14:paraId="5A74ABE7" w14:textId="77777777" w:rsidR="00FE18BE" w:rsidRPr="00715BD6" w:rsidRDefault="00FE18BE" w:rsidP="00FE18BE">
      <w:pPr>
        <w:suppressAutoHyphens/>
        <w:rPr>
          <w:sz w:val="22"/>
          <w:szCs w:val="22"/>
          <w:lang w:val="fr-CA" w:eastAsia="ar-SA"/>
        </w:rPr>
      </w:pPr>
    </w:p>
    <w:p w14:paraId="48F39DCD" w14:textId="77777777" w:rsidR="00FE18BE" w:rsidRPr="00715BD6" w:rsidRDefault="00FE18BE" w:rsidP="00FE18BE">
      <w:pPr>
        <w:suppressAutoHyphens/>
        <w:rPr>
          <w:sz w:val="22"/>
          <w:szCs w:val="22"/>
          <w:lang w:val="fr-CA" w:eastAsia="ar-SA"/>
        </w:rPr>
      </w:pPr>
      <w:r w:rsidRPr="00715BD6">
        <w:rPr>
          <w:sz w:val="22"/>
          <w:szCs w:val="22"/>
          <w:lang w:val="fr-CA" w:eastAsia="ar-SA"/>
        </w:rPr>
        <w:t>INTRODUCTION</w:t>
      </w:r>
    </w:p>
    <w:p w14:paraId="44F9A175" w14:textId="77777777" w:rsidR="00FE18BE" w:rsidRPr="00715BD6" w:rsidRDefault="00FE18BE" w:rsidP="00FE18BE">
      <w:pPr>
        <w:suppressAutoHyphens/>
        <w:rPr>
          <w:sz w:val="22"/>
          <w:szCs w:val="22"/>
          <w:lang w:val="fr-CA" w:eastAsia="ar-SA"/>
        </w:rPr>
      </w:pPr>
    </w:p>
    <w:p w14:paraId="37B3D321" w14:textId="0EF0BEAF" w:rsidR="00FE18BE" w:rsidRPr="00715BD6" w:rsidRDefault="00B54FFF" w:rsidP="00FE18BE">
      <w:pPr>
        <w:suppressAutoHyphens/>
        <w:ind w:firstLine="720"/>
        <w:jc w:val="both"/>
        <w:rPr>
          <w:sz w:val="22"/>
          <w:szCs w:val="22"/>
          <w:lang w:val="fr-CA" w:eastAsia="ar-SA"/>
        </w:rPr>
      </w:pPr>
      <w:r w:rsidRPr="00715BD6">
        <w:rPr>
          <w:sz w:val="22"/>
          <w:szCs w:val="22"/>
          <w:lang w:val="fr-CA" w:eastAsia="ar-SA"/>
        </w:rPr>
        <w:t xml:space="preserve">Les activités qui seront réalisées dans le cadre du présent Plan de travail porteront principalement sur le suivi des mandats </w:t>
      </w:r>
      <w:r w:rsidR="00811C4C" w:rsidRPr="00715BD6">
        <w:rPr>
          <w:sz w:val="22"/>
          <w:szCs w:val="22"/>
          <w:lang w:val="fr-CA" w:eastAsia="ar-SA"/>
        </w:rPr>
        <w:t>adoptés dans les résolutions</w:t>
      </w:r>
      <w:r w:rsidRPr="00715BD6">
        <w:rPr>
          <w:sz w:val="22"/>
          <w:szCs w:val="22"/>
          <w:lang w:val="fr-CA" w:eastAsia="ar-SA"/>
        </w:rPr>
        <w:t xml:space="preserve"> </w:t>
      </w:r>
      <w:r w:rsidR="002352C5" w:rsidRPr="00715BD6">
        <w:rPr>
          <w:rStyle w:val="Heading1Char"/>
          <w:rFonts w:eastAsia="Calibri"/>
          <w:szCs w:val="22"/>
          <w:lang w:val="fr-CA"/>
        </w:rPr>
        <w:t xml:space="preserve">AG/RES. 2952 (L-O/20), </w:t>
      </w:r>
      <w:r w:rsidR="00FE18BE" w:rsidRPr="00715BD6">
        <w:rPr>
          <w:bCs/>
          <w:sz w:val="22"/>
          <w:szCs w:val="22"/>
          <w:lang w:val="fr-CA" w:eastAsia="es-ES"/>
        </w:rPr>
        <w:t>AG/RES.</w:t>
      </w:r>
      <w:r w:rsidR="00E250A4">
        <w:rPr>
          <w:bCs/>
          <w:sz w:val="22"/>
          <w:szCs w:val="22"/>
          <w:lang w:val="fr-CA" w:eastAsia="es-ES"/>
        </w:rPr>
        <w:t xml:space="preserve"> </w:t>
      </w:r>
      <w:r w:rsidR="00FE18BE" w:rsidRPr="00715BD6">
        <w:rPr>
          <w:bCs/>
          <w:sz w:val="22"/>
          <w:szCs w:val="22"/>
          <w:lang w:val="fr-CA" w:eastAsia="es-ES"/>
        </w:rPr>
        <w:t>2955 (L-O/20)</w:t>
      </w:r>
      <w:r w:rsidR="00811C4C" w:rsidRPr="00715BD6">
        <w:rPr>
          <w:bCs/>
          <w:sz w:val="22"/>
          <w:szCs w:val="22"/>
          <w:lang w:val="fr-CA" w:eastAsia="es-ES"/>
        </w:rPr>
        <w:t xml:space="preserve"> et</w:t>
      </w:r>
      <w:r w:rsidR="002352C5" w:rsidRPr="00715BD6">
        <w:rPr>
          <w:bCs/>
          <w:sz w:val="22"/>
          <w:szCs w:val="22"/>
          <w:lang w:val="fr-CA" w:eastAsia="es-ES"/>
        </w:rPr>
        <w:t xml:space="preserve"> </w:t>
      </w:r>
      <w:r w:rsidR="002352C5" w:rsidRPr="00715BD6">
        <w:rPr>
          <w:sz w:val="22"/>
          <w:szCs w:val="22"/>
          <w:lang w:val="fr-CA" w:eastAsia="ar-SA"/>
        </w:rPr>
        <w:t>AG/RES.</w:t>
      </w:r>
      <w:r w:rsidR="00E250A4">
        <w:rPr>
          <w:sz w:val="22"/>
          <w:szCs w:val="22"/>
          <w:lang w:val="fr-CA" w:eastAsia="ar-SA"/>
        </w:rPr>
        <w:t xml:space="preserve"> </w:t>
      </w:r>
      <w:r w:rsidR="00FE18BE" w:rsidRPr="00715BD6">
        <w:rPr>
          <w:sz w:val="22"/>
          <w:szCs w:val="22"/>
          <w:lang w:val="fr-CA" w:eastAsia="ar-SA"/>
        </w:rPr>
        <w:t>2956 (L-O/</w:t>
      </w:r>
      <w:r w:rsidR="002352C5" w:rsidRPr="00715BD6">
        <w:rPr>
          <w:sz w:val="22"/>
          <w:szCs w:val="22"/>
          <w:lang w:val="fr-CA" w:eastAsia="ar-SA"/>
        </w:rPr>
        <w:t>20</w:t>
      </w:r>
      <w:r w:rsidR="00FE18BE" w:rsidRPr="00715BD6">
        <w:rPr>
          <w:sz w:val="22"/>
          <w:szCs w:val="22"/>
          <w:lang w:val="fr-CA" w:eastAsia="ar-SA"/>
        </w:rPr>
        <w:t>)</w:t>
      </w:r>
      <w:r w:rsidR="00811C4C" w:rsidRPr="00715BD6">
        <w:rPr>
          <w:sz w:val="22"/>
          <w:szCs w:val="22"/>
          <w:lang w:val="fr-CA" w:eastAsia="ar-SA"/>
        </w:rPr>
        <w:t xml:space="preserve"> de l’Assemblée générale ainsi que dans d’autres résolutions pertinentes au développement intégré, et elles seront exécutées dans le cadre des dispositions de l’article 56 du Règlement pour les réunions ordinaires et extraordinaires du Conseil interaméricain pour le développement intégré </w:t>
      </w:r>
      <w:r w:rsidR="00FE18BE" w:rsidRPr="00715BD6">
        <w:rPr>
          <w:sz w:val="22"/>
          <w:szCs w:val="22"/>
          <w:lang w:val="fr-CA" w:eastAsia="ar-SA"/>
        </w:rPr>
        <w:t>(CIDI),</w:t>
      </w:r>
      <w:r w:rsidR="001B0EC0" w:rsidRPr="00715BD6">
        <w:rPr>
          <w:sz w:val="22"/>
          <w:szCs w:val="22"/>
          <w:lang w:val="fr-CA" w:eastAsia="ar-SA"/>
        </w:rPr>
        <w:t xml:space="preserve"> qui indiquent que la Commission sur les politiques de partenariat pour le développement a les fonctions suivantes :</w:t>
      </w:r>
      <w:r w:rsidR="00FE18BE" w:rsidRPr="00715BD6">
        <w:rPr>
          <w:sz w:val="22"/>
          <w:szCs w:val="22"/>
          <w:lang w:val="fr-CA" w:eastAsia="ar-SA"/>
        </w:rPr>
        <w:t xml:space="preserve"> </w:t>
      </w:r>
    </w:p>
    <w:p w14:paraId="08B779B9" w14:textId="77777777" w:rsidR="00FE18BE" w:rsidRPr="00715BD6" w:rsidRDefault="00FE18BE" w:rsidP="00FE18BE">
      <w:pPr>
        <w:suppressAutoHyphens/>
        <w:jc w:val="both"/>
        <w:rPr>
          <w:sz w:val="22"/>
          <w:szCs w:val="22"/>
          <w:lang w:val="fr-CA" w:eastAsia="ar-SA"/>
        </w:rPr>
      </w:pPr>
    </w:p>
    <w:p w14:paraId="01C574CB" w14:textId="1B52AE5F" w:rsidR="00FE18BE" w:rsidRPr="00715BD6" w:rsidRDefault="00715BD6" w:rsidP="00FE18BE">
      <w:pPr>
        <w:numPr>
          <w:ilvl w:val="0"/>
          <w:numId w:val="3"/>
        </w:numPr>
        <w:suppressAutoHyphens/>
        <w:ind w:hanging="700"/>
        <w:jc w:val="both"/>
        <w:rPr>
          <w:sz w:val="22"/>
          <w:szCs w:val="22"/>
          <w:lang w:val="fr-CA"/>
        </w:rPr>
      </w:pPr>
      <w:r w:rsidRPr="00715BD6">
        <w:rPr>
          <w:color w:val="000000"/>
          <w:sz w:val="22"/>
          <w:szCs w:val="22"/>
          <w:lang w:val="fr-CA"/>
        </w:rPr>
        <w:t>élaborer, à la demande des réunions ordinaires du CIDI, le projet de Plan stratégique et les projets de programmes interaméricains. Elle utilise, le cas échéant, les contributions techniques apportées à l’élaboration de ces projets émanés de réunions spécialisées ou sectorielles consacrées à la question à l’étude</w:t>
      </w:r>
      <w:r w:rsidR="00FE18BE" w:rsidRPr="00715BD6">
        <w:rPr>
          <w:sz w:val="22"/>
          <w:szCs w:val="22"/>
          <w:lang w:val="fr-CA"/>
        </w:rPr>
        <w:t>.</w:t>
      </w:r>
    </w:p>
    <w:p w14:paraId="0F1E4745" w14:textId="77777777" w:rsidR="00FE18BE" w:rsidRPr="00715BD6" w:rsidRDefault="00FE18BE" w:rsidP="00FE18BE">
      <w:pPr>
        <w:jc w:val="both"/>
        <w:rPr>
          <w:sz w:val="22"/>
          <w:szCs w:val="22"/>
          <w:lang w:val="fr-CA"/>
        </w:rPr>
      </w:pPr>
    </w:p>
    <w:p w14:paraId="17A0EC67" w14:textId="75D078C7" w:rsidR="00FE18BE" w:rsidRPr="00715BD6" w:rsidRDefault="00715BD6" w:rsidP="00FE18BE">
      <w:pPr>
        <w:numPr>
          <w:ilvl w:val="0"/>
          <w:numId w:val="3"/>
        </w:numPr>
        <w:suppressAutoHyphens/>
        <w:ind w:hanging="700"/>
        <w:jc w:val="both"/>
        <w:rPr>
          <w:sz w:val="22"/>
          <w:szCs w:val="22"/>
          <w:lang w:val="fr-CA"/>
        </w:rPr>
      </w:pPr>
      <w:r w:rsidRPr="00715BD6">
        <w:rPr>
          <w:color w:val="000000"/>
          <w:sz w:val="22"/>
          <w:szCs w:val="22"/>
          <w:lang w:val="fr-CA"/>
        </w:rPr>
        <w:t>assurer le suivi de la mise en œuvre des volets substantiels des programmes interaméricains et formuler les recommandations nécessaires pour veiller à la cohérence entre les politiques de coopération et les projets et activités du Secrétariat exécutif de l’AICD et les autres services pertinents du Secrétariat général</w:t>
      </w:r>
      <w:r w:rsidR="00FE18BE" w:rsidRPr="00715BD6">
        <w:rPr>
          <w:sz w:val="22"/>
          <w:szCs w:val="22"/>
          <w:lang w:val="fr-CA"/>
        </w:rPr>
        <w:t>.</w:t>
      </w:r>
    </w:p>
    <w:p w14:paraId="1399D6BB" w14:textId="77777777" w:rsidR="00FE18BE" w:rsidRPr="00715BD6" w:rsidRDefault="00FE18BE" w:rsidP="00FE18BE">
      <w:pPr>
        <w:jc w:val="both"/>
        <w:rPr>
          <w:sz w:val="22"/>
          <w:szCs w:val="22"/>
          <w:lang w:val="fr-CA"/>
        </w:rPr>
      </w:pPr>
    </w:p>
    <w:p w14:paraId="0FCF76F7" w14:textId="00BAA117" w:rsidR="00FE18BE" w:rsidRPr="00715BD6" w:rsidRDefault="00715BD6" w:rsidP="00FE18BE">
      <w:pPr>
        <w:numPr>
          <w:ilvl w:val="0"/>
          <w:numId w:val="3"/>
        </w:numPr>
        <w:suppressAutoHyphens/>
        <w:ind w:hanging="700"/>
        <w:jc w:val="both"/>
        <w:rPr>
          <w:sz w:val="22"/>
          <w:szCs w:val="22"/>
          <w:lang w:val="fr-CA"/>
        </w:rPr>
      </w:pPr>
      <w:r w:rsidRPr="00715BD6">
        <w:rPr>
          <w:color w:val="000000"/>
          <w:sz w:val="22"/>
          <w:szCs w:val="22"/>
          <w:lang w:val="fr-CA"/>
        </w:rPr>
        <w:t>établir le projet de calendrier annuel des réunions relevant du CIDI, à savoir les réunions spécialisées ou sectorielles au niveau ministériel ou à un niveau équivalent; les réunions des commissions interaméricaines et autres réunions techniques et politiques de haut niveau</w:t>
      </w:r>
      <w:r w:rsidR="00FE18BE" w:rsidRPr="00715BD6">
        <w:rPr>
          <w:sz w:val="22"/>
          <w:szCs w:val="22"/>
          <w:lang w:val="fr-CA"/>
        </w:rPr>
        <w:t>.</w:t>
      </w:r>
    </w:p>
    <w:p w14:paraId="25138998" w14:textId="77777777" w:rsidR="00FE18BE" w:rsidRPr="00715BD6" w:rsidRDefault="00FE18BE" w:rsidP="00FE18BE">
      <w:pPr>
        <w:jc w:val="both"/>
        <w:rPr>
          <w:sz w:val="22"/>
          <w:szCs w:val="22"/>
          <w:lang w:val="fr-CA"/>
        </w:rPr>
      </w:pPr>
    </w:p>
    <w:p w14:paraId="799257F8" w14:textId="07E8EE98" w:rsidR="00FE18BE" w:rsidRPr="00715BD6" w:rsidRDefault="00715BD6" w:rsidP="00FE18BE">
      <w:pPr>
        <w:numPr>
          <w:ilvl w:val="0"/>
          <w:numId w:val="3"/>
        </w:numPr>
        <w:suppressAutoHyphens/>
        <w:ind w:hanging="700"/>
        <w:jc w:val="both"/>
        <w:rPr>
          <w:sz w:val="22"/>
          <w:szCs w:val="22"/>
          <w:lang w:val="fr-CA"/>
        </w:rPr>
      </w:pPr>
      <w:r w:rsidRPr="00715BD6">
        <w:rPr>
          <w:color w:val="000000"/>
          <w:sz w:val="22"/>
          <w:szCs w:val="22"/>
          <w:lang w:val="fr-CA"/>
        </w:rPr>
        <w:t>analyser les plans de travail annuels et les rapports semestriels d’activité des services pertinents du Secrétariat général, ainsi que les rapports de l’Agence interaméricaine pour la coopération et le développement, et adresser aux réunions ordinaires du CIDI les recommandations qu’elle juge pertinentes</w:t>
      </w:r>
      <w:r w:rsidR="00FE18BE" w:rsidRPr="00715BD6">
        <w:rPr>
          <w:sz w:val="22"/>
          <w:szCs w:val="22"/>
          <w:lang w:val="fr-CA"/>
        </w:rPr>
        <w:t>.</w:t>
      </w:r>
    </w:p>
    <w:p w14:paraId="7E45B76E" w14:textId="77777777" w:rsidR="00FE18BE" w:rsidRPr="00715BD6" w:rsidRDefault="00FE18BE" w:rsidP="00FE18BE">
      <w:pPr>
        <w:jc w:val="both"/>
        <w:rPr>
          <w:sz w:val="22"/>
          <w:szCs w:val="22"/>
          <w:lang w:val="fr-CA"/>
        </w:rPr>
      </w:pPr>
    </w:p>
    <w:p w14:paraId="539AFE5B" w14:textId="186AD0AF" w:rsidR="00FE18BE" w:rsidRPr="00715BD6" w:rsidRDefault="00715BD6" w:rsidP="00FE18BE">
      <w:pPr>
        <w:numPr>
          <w:ilvl w:val="0"/>
          <w:numId w:val="3"/>
        </w:numPr>
        <w:suppressAutoHyphens/>
        <w:ind w:hanging="700"/>
        <w:jc w:val="both"/>
        <w:rPr>
          <w:sz w:val="22"/>
          <w:szCs w:val="22"/>
          <w:lang w:val="fr-CA"/>
        </w:rPr>
      </w:pPr>
      <w:r w:rsidRPr="00715BD6">
        <w:rPr>
          <w:color w:val="000000"/>
          <w:sz w:val="22"/>
          <w:szCs w:val="22"/>
          <w:lang w:val="fr-CA"/>
        </w:rPr>
        <w:lastRenderedPageBreak/>
        <w:t>examiner d’autres questions qui relèvent de sa compétence et que lui attribuent les réunions ordinaires du CIDI</w:t>
      </w:r>
      <w:r w:rsidR="00FE18BE" w:rsidRPr="00715BD6">
        <w:rPr>
          <w:sz w:val="22"/>
          <w:szCs w:val="22"/>
          <w:lang w:val="fr-CA"/>
        </w:rPr>
        <w:t xml:space="preserve">. </w:t>
      </w:r>
    </w:p>
    <w:p w14:paraId="7C1CCB96" w14:textId="77777777" w:rsidR="00FE18BE" w:rsidRPr="00715BD6" w:rsidRDefault="00FE18BE" w:rsidP="00FE18BE">
      <w:pPr>
        <w:jc w:val="both"/>
        <w:rPr>
          <w:sz w:val="22"/>
          <w:szCs w:val="22"/>
          <w:lang w:val="fr-CA"/>
        </w:rPr>
      </w:pPr>
    </w:p>
    <w:p w14:paraId="77BB3439" w14:textId="6E3DF59D" w:rsidR="00FE18BE" w:rsidRPr="00715BD6" w:rsidRDefault="00715BD6" w:rsidP="00FE18BE">
      <w:pPr>
        <w:ind w:firstLine="700"/>
        <w:jc w:val="both"/>
        <w:rPr>
          <w:sz w:val="22"/>
          <w:szCs w:val="22"/>
          <w:lang w:val="fr-CA"/>
        </w:rPr>
      </w:pPr>
      <w:r w:rsidRPr="00715BD6">
        <w:rPr>
          <w:color w:val="000000"/>
          <w:sz w:val="22"/>
          <w:szCs w:val="22"/>
          <w:lang w:val="fr-CA"/>
        </w:rPr>
        <w:t>La Commission bénéficie du soutien technique des services du Secrétariat général chargés du suivi des thèmes respectifs</w:t>
      </w:r>
      <w:r w:rsidR="00FE18BE" w:rsidRPr="00715BD6">
        <w:rPr>
          <w:sz w:val="22"/>
          <w:szCs w:val="22"/>
          <w:lang w:val="fr-CA"/>
        </w:rPr>
        <w:t xml:space="preserve">. </w:t>
      </w:r>
    </w:p>
    <w:p w14:paraId="63CF5CED" w14:textId="77777777" w:rsidR="00FE18BE" w:rsidRPr="00715BD6" w:rsidRDefault="00FE18BE" w:rsidP="00FE18BE">
      <w:pPr>
        <w:jc w:val="both"/>
        <w:rPr>
          <w:sz w:val="22"/>
          <w:szCs w:val="22"/>
          <w:lang w:val="fr-CA"/>
        </w:rPr>
      </w:pPr>
    </w:p>
    <w:p w14:paraId="252CD16E" w14:textId="773FDF59" w:rsidR="00FE18BE" w:rsidRPr="00715BD6" w:rsidRDefault="008D0BC1" w:rsidP="00FE18BE">
      <w:pPr>
        <w:numPr>
          <w:ilvl w:val="0"/>
          <w:numId w:val="5"/>
        </w:numPr>
        <w:suppressAutoHyphens/>
        <w:ind w:left="720"/>
        <w:jc w:val="both"/>
        <w:rPr>
          <w:sz w:val="22"/>
          <w:szCs w:val="22"/>
          <w:lang w:val="fr-CA" w:eastAsia="ar-SA"/>
        </w:rPr>
      </w:pPr>
      <w:bookmarkStart w:id="0" w:name="_Toc209613679"/>
      <w:r>
        <w:rPr>
          <w:sz w:val="22"/>
          <w:szCs w:val="22"/>
          <w:lang w:val="fr-CA" w:eastAsia="ar-SA"/>
        </w:rPr>
        <w:t>BUREAU</w:t>
      </w:r>
    </w:p>
    <w:p w14:paraId="436B40ED" w14:textId="77777777" w:rsidR="00FE18BE" w:rsidRPr="00715BD6" w:rsidRDefault="00FE18BE" w:rsidP="00FE18BE">
      <w:pPr>
        <w:suppressAutoHyphens/>
        <w:jc w:val="both"/>
        <w:rPr>
          <w:sz w:val="22"/>
          <w:szCs w:val="22"/>
          <w:lang w:val="fr-CA" w:eastAsia="ar-SA"/>
        </w:rPr>
      </w:pPr>
    </w:p>
    <w:p w14:paraId="04A6A762" w14:textId="6D132417" w:rsidR="00FE18BE" w:rsidRPr="003228F4" w:rsidRDefault="00715BD6" w:rsidP="00FE18BE">
      <w:pPr>
        <w:suppressAutoHyphens/>
        <w:ind w:firstLine="720"/>
        <w:jc w:val="both"/>
        <w:rPr>
          <w:sz w:val="22"/>
          <w:szCs w:val="22"/>
          <w:lang w:val="fr-FR" w:eastAsia="ar-SA"/>
        </w:rPr>
      </w:pPr>
      <w:r>
        <w:rPr>
          <w:sz w:val="22"/>
          <w:szCs w:val="22"/>
          <w:lang w:val="fr-CA" w:eastAsia="ar-SA"/>
        </w:rPr>
        <w:t>En vertu de son Règlement, à sa réunion ordinaire t</w:t>
      </w:r>
      <w:r w:rsidR="007824FE">
        <w:rPr>
          <w:sz w:val="22"/>
          <w:szCs w:val="22"/>
          <w:lang w:val="fr-CA" w:eastAsia="ar-SA"/>
        </w:rPr>
        <w:t>e</w:t>
      </w:r>
      <w:r>
        <w:rPr>
          <w:sz w:val="22"/>
          <w:szCs w:val="22"/>
          <w:lang w:val="fr-CA" w:eastAsia="ar-SA"/>
        </w:rPr>
        <w:t xml:space="preserve">nue le 8 décembre 2020, le CIDI a élu, par acclamation, </w:t>
      </w:r>
      <w:r w:rsidR="007824FE">
        <w:rPr>
          <w:sz w:val="22"/>
          <w:szCs w:val="22"/>
          <w:lang w:val="fr-CA" w:eastAsia="ar-SA"/>
        </w:rPr>
        <w:t>M.</w:t>
      </w:r>
      <w:r>
        <w:rPr>
          <w:sz w:val="22"/>
          <w:szCs w:val="22"/>
          <w:lang w:val="fr-CA" w:eastAsia="ar-SA"/>
        </w:rPr>
        <w:t xml:space="preserve"> </w:t>
      </w:r>
      <w:r w:rsidR="00FE18BE" w:rsidRPr="00715BD6">
        <w:rPr>
          <w:sz w:val="22"/>
          <w:szCs w:val="22"/>
          <w:lang w:val="fr-CA" w:eastAsia="ar-SA"/>
        </w:rPr>
        <w:t>Jovan</w:t>
      </w:r>
      <w:r w:rsidR="00B56D0F" w:rsidRPr="00715BD6">
        <w:rPr>
          <w:sz w:val="22"/>
          <w:szCs w:val="22"/>
          <w:lang w:val="fr-CA" w:eastAsia="ar-SA"/>
        </w:rPr>
        <w:t xml:space="preserve"> Reid</w:t>
      </w:r>
      <w:r w:rsidR="00FE18BE" w:rsidRPr="00715BD6">
        <w:rPr>
          <w:sz w:val="22"/>
          <w:szCs w:val="22"/>
          <w:lang w:val="fr-CA" w:eastAsia="ar-SA"/>
        </w:rPr>
        <w:t>,</w:t>
      </w:r>
      <w:r w:rsidR="007824FE">
        <w:rPr>
          <w:sz w:val="22"/>
          <w:szCs w:val="22"/>
          <w:lang w:val="fr-CA" w:eastAsia="ar-SA"/>
        </w:rPr>
        <w:t xml:space="preserve"> Représentant suppléant de la Barbade, au poste de Président de la Commission. </w:t>
      </w:r>
      <w:r w:rsidR="008D0BC1">
        <w:rPr>
          <w:sz w:val="22"/>
          <w:szCs w:val="22"/>
          <w:lang w:val="fr-CA" w:eastAsia="ar-SA"/>
        </w:rPr>
        <w:t>Lors de sa réunion tenue le 16 février 2021, la Commission a élu par acclamation M</w:t>
      </w:r>
      <w:r w:rsidR="008D0BC1" w:rsidRPr="008D0BC1">
        <w:rPr>
          <w:sz w:val="22"/>
          <w:szCs w:val="22"/>
          <w:vertAlign w:val="superscript"/>
          <w:lang w:val="fr-CA" w:eastAsia="ar-SA"/>
        </w:rPr>
        <w:t>me</w:t>
      </w:r>
      <w:r w:rsidR="008D0BC1">
        <w:rPr>
          <w:sz w:val="22"/>
          <w:szCs w:val="22"/>
          <w:lang w:val="fr-CA" w:eastAsia="ar-SA"/>
        </w:rPr>
        <w:t xml:space="preserve"> Laura Raquel Pizarro Viales, Représentante suppléante du Costa Rica, au poste de vice-présidente.</w:t>
      </w:r>
    </w:p>
    <w:p w14:paraId="08700191" w14:textId="77777777" w:rsidR="00FE18BE" w:rsidRPr="00715BD6" w:rsidRDefault="00FE18BE" w:rsidP="00FE18BE">
      <w:pPr>
        <w:suppressAutoHyphens/>
        <w:jc w:val="both"/>
        <w:rPr>
          <w:sz w:val="22"/>
          <w:szCs w:val="22"/>
          <w:lang w:val="fr-CA" w:eastAsia="ar-SA"/>
        </w:rPr>
      </w:pPr>
    </w:p>
    <w:bookmarkEnd w:id="0"/>
    <w:p w14:paraId="4BF8DC89" w14:textId="662C4F63" w:rsidR="00FE18BE" w:rsidRPr="00715BD6" w:rsidRDefault="007824FE" w:rsidP="009D12D2">
      <w:pPr>
        <w:numPr>
          <w:ilvl w:val="0"/>
          <w:numId w:val="5"/>
        </w:numPr>
        <w:suppressAutoHyphens/>
        <w:ind w:left="720"/>
        <w:rPr>
          <w:sz w:val="22"/>
          <w:szCs w:val="22"/>
          <w:lang w:val="fr-CA" w:eastAsia="ar-SA"/>
        </w:rPr>
      </w:pPr>
      <w:r>
        <w:rPr>
          <w:sz w:val="22"/>
          <w:szCs w:val="22"/>
          <w:lang w:val="fr-CA" w:eastAsia="ar-SA"/>
        </w:rPr>
        <w:t>MANDATS DE LA COMMISSION</w:t>
      </w:r>
      <w:r w:rsidR="00FE18BE" w:rsidRPr="00715BD6">
        <w:rPr>
          <w:sz w:val="22"/>
          <w:szCs w:val="22"/>
          <w:lang w:val="fr-CA" w:eastAsia="ar-SA"/>
        </w:rPr>
        <w:t xml:space="preserve"> </w:t>
      </w:r>
    </w:p>
    <w:p w14:paraId="25314AD7" w14:textId="77777777" w:rsidR="00FE18BE" w:rsidRPr="00715BD6" w:rsidRDefault="00FE18BE" w:rsidP="00FE18BE">
      <w:pPr>
        <w:suppressAutoHyphens/>
        <w:rPr>
          <w:sz w:val="22"/>
          <w:szCs w:val="22"/>
          <w:lang w:val="fr-CA" w:eastAsia="ar-SA"/>
        </w:rPr>
      </w:pPr>
    </w:p>
    <w:p w14:paraId="6F10D020" w14:textId="68D4924D" w:rsidR="00FE18BE" w:rsidRPr="00715BD6" w:rsidRDefault="007824FE" w:rsidP="00512390">
      <w:pPr>
        <w:suppressAutoHyphens/>
        <w:ind w:firstLine="720"/>
        <w:jc w:val="both"/>
        <w:rPr>
          <w:sz w:val="22"/>
          <w:szCs w:val="22"/>
          <w:lang w:val="fr-CA" w:eastAsia="ar-SA"/>
        </w:rPr>
      </w:pPr>
      <w:r>
        <w:rPr>
          <w:sz w:val="22"/>
          <w:szCs w:val="22"/>
          <w:lang w:val="fr-CA" w:eastAsia="ar-SA"/>
        </w:rPr>
        <w:t xml:space="preserve">Les mandats dont la Commission doit assurer le suivi sont ceux qui ont été adoptés par l’Assemblée générale par le truchement des résolutions </w:t>
      </w:r>
      <w:r w:rsidR="002352C5" w:rsidRPr="00715BD6">
        <w:rPr>
          <w:rStyle w:val="Heading1Char"/>
          <w:rFonts w:eastAsia="Calibri"/>
          <w:szCs w:val="22"/>
          <w:lang w:val="fr-CA"/>
        </w:rPr>
        <w:t>AG/RES. 2952 (L-O/20) “</w:t>
      </w:r>
      <w:r>
        <w:rPr>
          <w:rStyle w:val="Heading1Char"/>
          <w:rFonts w:eastAsia="Calibri"/>
          <w:szCs w:val="22"/>
          <w:lang w:val="fr-CA"/>
        </w:rPr>
        <w:t>Promotion de la riposte continentale au changement climatique dans le contexte de la pandémie de COVID-19</w:t>
      </w:r>
      <w:r w:rsidR="002352C5" w:rsidRPr="00715BD6">
        <w:rPr>
          <w:rStyle w:val="Heading1Char"/>
          <w:rFonts w:eastAsia="Calibri"/>
          <w:szCs w:val="22"/>
          <w:lang w:val="fr-CA"/>
        </w:rPr>
        <w:t>”</w:t>
      </w:r>
      <w:r>
        <w:rPr>
          <w:rStyle w:val="Heading1Char"/>
          <w:rFonts w:eastAsia="Calibri"/>
          <w:szCs w:val="22"/>
          <w:lang w:val="fr-CA"/>
        </w:rPr>
        <w:t>,</w:t>
      </w:r>
      <w:r w:rsidR="00FE18BE" w:rsidRPr="00715BD6">
        <w:rPr>
          <w:sz w:val="22"/>
          <w:szCs w:val="22"/>
          <w:lang w:val="fr-CA" w:eastAsia="ar-SA"/>
        </w:rPr>
        <w:t xml:space="preserve"> AG/RES. 2955 (XLIX-O/19), “</w:t>
      </w:r>
      <w:r>
        <w:rPr>
          <w:sz w:val="22"/>
          <w:szCs w:val="22"/>
          <w:lang w:val="fr-CA" w:eastAsia="ar-SA"/>
        </w:rPr>
        <w:t>Encourager les initiatives continentales en matière de développement intégré : Promotion de la résilience</w:t>
      </w:r>
      <w:r w:rsidR="00FE18BE" w:rsidRPr="00715BD6">
        <w:rPr>
          <w:sz w:val="22"/>
          <w:szCs w:val="22"/>
          <w:lang w:val="fr-CA" w:eastAsia="ar-SA"/>
        </w:rPr>
        <w:t>”</w:t>
      </w:r>
      <w:r>
        <w:rPr>
          <w:sz w:val="22"/>
          <w:szCs w:val="22"/>
          <w:lang w:val="fr-CA" w:eastAsia="ar-SA"/>
        </w:rPr>
        <w:t xml:space="preserve"> et</w:t>
      </w:r>
      <w:r w:rsidR="002352C5" w:rsidRPr="00715BD6">
        <w:rPr>
          <w:sz w:val="22"/>
          <w:szCs w:val="22"/>
          <w:lang w:val="fr-CA" w:eastAsia="ar-SA"/>
        </w:rPr>
        <w:t xml:space="preserve"> AG/RES.</w:t>
      </w:r>
      <w:r>
        <w:rPr>
          <w:sz w:val="22"/>
          <w:szCs w:val="22"/>
          <w:lang w:val="fr-CA" w:eastAsia="ar-SA"/>
        </w:rPr>
        <w:t xml:space="preserve"> </w:t>
      </w:r>
      <w:r w:rsidR="002352C5" w:rsidRPr="00715BD6">
        <w:rPr>
          <w:sz w:val="22"/>
          <w:szCs w:val="22"/>
          <w:lang w:val="fr-CA" w:eastAsia="ar-SA"/>
        </w:rPr>
        <w:t>2956 (L-O/20)</w:t>
      </w:r>
      <w:r w:rsidR="00512390" w:rsidRPr="00715BD6">
        <w:rPr>
          <w:sz w:val="22"/>
          <w:szCs w:val="22"/>
          <w:lang w:val="fr-CA" w:eastAsia="ar-SA"/>
        </w:rPr>
        <w:t xml:space="preserve"> “</w:t>
      </w:r>
      <w:r>
        <w:rPr>
          <w:sz w:val="22"/>
          <w:szCs w:val="22"/>
          <w:lang w:val="fr-CA" w:eastAsia="ar-SA"/>
        </w:rPr>
        <w:t xml:space="preserve">Défis pour la sécurité alimentaire et nutritionnelle dans les Amériques face à la pandémie de </w:t>
      </w:r>
      <w:r w:rsidR="00512390" w:rsidRPr="00715BD6">
        <w:rPr>
          <w:sz w:val="22"/>
          <w:szCs w:val="22"/>
          <w:lang w:val="fr-CA" w:eastAsia="ar-SA"/>
        </w:rPr>
        <w:t>COVID-19</w:t>
      </w:r>
      <w:r>
        <w:rPr>
          <w:sz w:val="22"/>
          <w:szCs w:val="22"/>
          <w:lang w:val="fr-CA" w:eastAsia="ar-SA"/>
        </w:rPr>
        <w:t xml:space="preserve"> dans le cadre du Plan d’action du</w:t>
      </w:r>
      <w:r w:rsidR="00512390" w:rsidRPr="00715BD6">
        <w:rPr>
          <w:sz w:val="22"/>
          <w:szCs w:val="22"/>
          <w:lang w:val="fr-CA" w:eastAsia="ar-SA"/>
        </w:rPr>
        <w:t xml:space="preserve"> Guatemala 2019</w:t>
      </w:r>
      <w:r w:rsidR="000602E7" w:rsidRPr="00715BD6">
        <w:rPr>
          <w:sz w:val="22"/>
          <w:szCs w:val="22"/>
          <w:lang w:val="fr-CA" w:eastAsia="ar-SA"/>
        </w:rPr>
        <w:t>”</w:t>
      </w:r>
      <w:r w:rsidR="000863A1">
        <w:rPr>
          <w:sz w:val="22"/>
          <w:szCs w:val="22"/>
          <w:lang w:val="fr-CA" w:eastAsia="ar-SA"/>
        </w:rPr>
        <w:t xml:space="preserve"> ainsi que ceux qui sont contenus dans des résolutions pertinentes qui traitent du développement intégré. Les mandats contenus dans ces résolutions sont énumérés à l’annexe</w:t>
      </w:r>
      <w:r w:rsidR="00512390" w:rsidRPr="00715BD6">
        <w:rPr>
          <w:sz w:val="22"/>
          <w:szCs w:val="22"/>
          <w:lang w:val="fr-CA" w:eastAsia="ar-SA"/>
        </w:rPr>
        <w:t xml:space="preserve"> </w:t>
      </w:r>
      <w:r w:rsidR="00FE18BE" w:rsidRPr="00715BD6">
        <w:rPr>
          <w:sz w:val="22"/>
          <w:szCs w:val="22"/>
          <w:lang w:val="fr-CA" w:eastAsia="ar-SA"/>
        </w:rPr>
        <w:t>1.</w:t>
      </w:r>
    </w:p>
    <w:p w14:paraId="0523FB49" w14:textId="7922980D" w:rsidR="00BF7D7F" w:rsidRPr="00715BD6" w:rsidRDefault="00BF7D7F" w:rsidP="00E250A4">
      <w:pPr>
        <w:suppressAutoHyphens/>
        <w:jc w:val="both"/>
        <w:rPr>
          <w:sz w:val="22"/>
          <w:szCs w:val="22"/>
          <w:lang w:val="fr-CA" w:eastAsia="ar-SA"/>
        </w:rPr>
      </w:pPr>
    </w:p>
    <w:p w14:paraId="62520825" w14:textId="0ED1BCF2" w:rsidR="00FE18BE" w:rsidRPr="00B06DE0" w:rsidRDefault="00FE18BE" w:rsidP="00FE18BE">
      <w:pPr>
        <w:suppressAutoHyphens/>
        <w:jc w:val="both"/>
        <w:rPr>
          <w:sz w:val="22"/>
          <w:szCs w:val="22"/>
          <w:lang w:val="fr-CA" w:eastAsia="ar-SA"/>
        </w:rPr>
      </w:pPr>
      <w:r w:rsidRPr="00715BD6">
        <w:rPr>
          <w:sz w:val="22"/>
          <w:szCs w:val="22"/>
          <w:lang w:val="fr-CA" w:eastAsia="ar-SA"/>
        </w:rPr>
        <w:tab/>
      </w:r>
      <w:r w:rsidR="006E1D07">
        <w:rPr>
          <w:sz w:val="22"/>
          <w:szCs w:val="22"/>
          <w:lang w:val="fr-CA" w:eastAsia="ar-SA"/>
        </w:rPr>
        <w:t xml:space="preserve">La Commission est également responsable d’assurer le suivi des questions qui lui ont été confiées par le processus sectoriel de niveau ministériel dans le cadre du CIDI, lesquelles sont établies dans le document intitulé </w:t>
      </w:r>
      <w:r w:rsidRPr="00715BD6">
        <w:rPr>
          <w:sz w:val="22"/>
          <w:szCs w:val="22"/>
          <w:lang w:val="fr-CA" w:eastAsia="ar-SA"/>
        </w:rPr>
        <w:t>“</w:t>
      </w:r>
      <w:r w:rsidR="00B06DE0">
        <w:rPr>
          <w:sz w:val="22"/>
          <w:szCs w:val="22"/>
          <w:lang w:val="fr-CA" w:eastAsia="ar-SA"/>
        </w:rPr>
        <w:t>Lignes directrices générales pour les processus sectoriels au niveau ministériel dans le cadre du Conseil interaméricain pour le développement intégré</w:t>
      </w:r>
      <w:r w:rsidRPr="00715BD6">
        <w:rPr>
          <w:sz w:val="22"/>
          <w:szCs w:val="22"/>
          <w:lang w:val="fr-CA" w:eastAsia="ar-SA"/>
        </w:rPr>
        <w:t>” (documents</w:t>
      </w:r>
      <w:r w:rsidR="006E1D07">
        <w:rPr>
          <w:sz w:val="22"/>
          <w:szCs w:val="22"/>
          <w:lang w:val="fr-CA" w:eastAsia="ar-SA"/>
        </w:rPr>
        <w:t xml:space="preserve"> portant les cotes CIDI/doc.228/17 et</w:t>
      </w:r>
      <w:r w:rsidRPr="00715BD6">
        <w:rPr>
          <w:sz w:val="22"/>
          <w:szCs w:val="22"/>
          <w:lang w:val="fr-CA" w:eastAsia="ar-SA"/>
        </w:rPr>
        <w:t xml:space="preserve"> CIDI/doc.228/17 add. 1).</w:t>
      </w:r>
    </w:p>
    <w:p w14:paraId="2B0FAA5B" w14:textId="77777777" w:rsidR="00BF7D7F" w:rsidRPr="00715BD6" w:rsidRDefault="00BF7D7F" w:rsidP="00E250A4">
      <w:pPr>
        <w:suppressAutoHyphens/>
        <w:jc w:val="both"/>
        <w:rPr>
          <w:sz w:val="22"/>
          <w:szCs w:val="22"/>
          <w:lang w:val="fr-CA" w:eastAsia="ar-SA"/>
        </w:rPr>
      </w:pPr>
    </w:p>
    <w:p w14:paraId="09044F6E" w14:textId="2BCEFB04" w:rsidR="00D922A9" w:rsidRPr="00715BD6" w:rsidRDefault="00B06DE0" w:rsidP="00D922A9">
      <w:pPr>
        <w:pStyle w:val="NormalWeb"/>
        <w:spacing w:before="0" w:beforeAutospacing="0" w:after="0" w:afterAutospacing="0"/>
        <w:ind w:firstLine="720"/>
        <w:jc w:val="both"/>
        <w:rPr>
          <w:sz w:val="22"/>
          <w:szCs w:val="22"/>
          <w:lang w:val="fr-CA"/>
        </w:rPr>
      </w:pPr>
      <w:r>
        <w:rPr>
          <w:sz w:val="22"/>
          <w:szCs w:val="22"/>
          <w:lang w:val="fr-CA" w:eastAsia="ar-SA"/>
        </w:rPr>
        <w:t xml:space="preserve">À cet égard, la Présidence désire proposer que la Commission réexamine la question de l’amélioration du processus de réunions ministérielles, étant donné qu’au cours de la présente année </w:t>
      </w:r>
      <w:r w:rsidR="00F65854">
        <w:rPr>
          <w:sz w:val="22"/>
          <w:szCs w:val="22"/>
          <w:lang w:val="fr-CA" w:eastAsia="ar-SA"/>
        </w:rPr>
        <w:t>cinq</w:t>
      </w:r>
      <w:r w:rsidR="00F65DC7" w:rsidRPr="00715BD6">
        <w:rPr>
          <w:sz w:val="22"/>
          <w:szCs w:val="22"/>
          <w:lang w:val="fr-CA" w:eastAsia="ar-SA"/>
        </w:rPr>
        <w:t xml:space="preserve"> (</w:t>
      </w:r>
      <w:r w:rsidR="00F65854">
        <w:rPr>
          <w:sz w:val="22"/>
          <w:szCs w:val="22"/>
          <w:lang w:val="fr-CA" w:eastAsia="ar-SA"/>
        </w:rPr>
        <w:t>5</w:t>
      </w:r>
      <w:r w:rsidR="00F65DC7" w:rsidRPr="00715BD6">
        <w:rPr>
          <w:sz w:val="22"/>
          <w:szCs w:val="22"/>
          <w:lang w:val="fr-CA" w:eastAsia="ar-SA"/>
        </w:rPr>
        <w:t>)</w:t>
      </w:r>
      <w:r w:rsidR="007A1717">
        <w:rPr>
          <w:sz w:val="22"/>
          <w:szCs w:val="22"/>
          <w:lang w:val="fr-CA" w:eastAsia="ar-SA"/>
        </w:rPr>
        <w:t xml:space="preserve"> réunions sectorielles du</w:t>
      </w:r>
      <w:r w:rsidR="00F65DC7" w:rsidRPr="00715BD6">
        <w:rPr>
          <w:sz w:val="22"/>
          <w:szCs w:val="22"/>
          <w:lang w:val="fr-CA" w:eastAsia="ar-SA"/>
        </w:rPr>
        <w:t xml:space="preserve"> CIDI</w:t>
      </w:r>
      <w:r w:rsidR="007A1717">
        <w:rPr>
          <w:sz w:val="22"/>
          <w:szCs w:val="22"/>
          <w:lang w:val="fr-CA" w:eastAsia="ar-SA"/>
        </w:rPr>
        <w:t xml:space="preserve"> sont programmées au niveau ministériel. La Présidence propose également que la Commission examine la réponse institutionnelle à apporter au changement climatique</w:t>
      </w:r>
      <w:r w:rsidR="00961A45">
        <w:rPr>
          <w:sz w:val="22"/>
          <w:szCs w:val="22"/>
          <w:lang w:val="fr-CA" w:eastAsia="ar-SA"/>
        </w:rPr>
        <w:t xml:space="preserve"> et qu’elle élabore des recommandations</w:t>
      </w:r>
      <w:r w:rsidR="00224DB6">
        <w:rPr>
          <w:sz w:val="22"/>
          <w:szCs w:val="22"/>
          <w:lang w:val="fr-CA" w:eastAsia="ar-SA"/>
        </w:rPr>
        <w:t xml:space="preserve"> sur les</w:t>
      </w:r>
      <w:r w:rsidR="00961A45">
        <w:rPr>
          <w:sz w:val="22"/>
          <w:szCs w:val="22"/>
          <w:lang w:val="fr-CA" w:eastAsia="ar-SA"/>
        </w:rPr>
        <w:t xml:space="preserve"> politiques visant à améliorer la capacité du SEDI en matière de coopération</w:t>
      </w:r>
      <w:r w:rsidR="00224DB6">
        <w:rPr>
          <w:sz w:val="22"/>
          <w:szCs w:val="22"/>
          <w:lang w:val="fr-CA" w:eastAsia="ar-SA"/>
        </w:rPr>
        <w:t xml:space="preserve"> dans le domaine du</w:t>
      </w:r>
      <w:r w:rsidR="00961A45">
        <w:rPr>
          <w:sz w:val="22"/>
          <w:szCs w:val="22"/>
          <w:lang w:val="fr-CA" w:eastAsia="ar-SA"/>
        </w:rPr>
        <w:t xml:space="preserve"> climat</w:t>
      </w:r>
      <w:r w:rsidR="00D922A9" w:rsidRPr="00715BD6">
        <w:rPr>
          <w:color w:val="000000"/>
          <w:sz w:val="22"/>
          <w:szCs w:val="22"/>
          <w:lang w:val="fr-CA"/>
        </w:rPr>
        <w:t>.</w:t>
      </w:r>
    </w:p>
    <w:p w14:paraId="6215B6B3" w14:textId="77777777" w:rsidR="00BF7D7F" w:rsidRPr="00715BD6" w:rsidRDefault="00BF7D7F" w:rsidP="00FE18BE">
      <w:pPr>
        <w:jc w:val="both"/>
        <w:rPr>
          <w:sz w:val="22"/>
          <w:szCs w:val="22"/>
          <w:lang w:val="fr-CA" w:eastAsia="ar-SA"/>
        </w:rPr>
      </w:pPr>
    </w:p>
    <w:p w14:paraId="664292C2" w14:textId="3E3366E3" w:rsidR="00FE18BE" w:rsidRPr="00715BD6" w:rsidRDefault="00FE18BE" w:rsidP="009D12D2">
      <w:pPr>
        <w:numPr>
          <w:ilvl w:val="0"/>
          <w:numId w:val="5"/>
        </w:numPr>
        <w:suppressAutoHyphens/>
        <w:autoSpaceDE w:val="0"/>
        <w:autoSpaceDN w:val="0"/>
        <w:adjustRightInd w:val="0"/>
        <w:ind w:left="720"/>
        <w:jc w:val="both"/>
        <w:rPr>
          <w:sz w:val="22"/>
          <w:szCs w:val="22"/>
          <w:lang w:val="fr-CA" w:eastAsia="ar-SA"/>
        </w:rPr>
      </w:pPr>
      <w:r w:rsidRPr="00715BD6">
        <w:rPr>
          <w:sz w:val="22"/>
          <w:szCs w:val="22"/>
          <w:lang w:val="fr-CA" w:eastAsia="ar-SA"/>
        </w:rPr>
        <w:t>M</w:t>
      </w:r>
      <w:r w:rsidR="00224DB6">
        <w:rPr>
          <w:sz w:val="22"/>
          <w:szCs w:val="22"/>
          <w:lang w:val="fr-CA" w:eastAsia="ar-SA"/>
        </w:rPr>
        <w:t>ÉCANISME</w:t>
      </w:r>
    </w:p>
    <w:p w14:paraId="230500A9" w14:textId="77777777" w:rsidR="00FE18BE" w:rsidRPr="00715BD6" w:rsidRDefault="00FE18BE" w:rsidP="00FE18BE">
      <w:pPr>
        <w:autoSpaceDE w:val="0"/>
        <w:autoSpaceDN w:val="0"/>
        <w:adjustRightInd w:val="0"/>
        <w:jc w:val="both"/>
        <w:rPr>
          <w:sz w:val="22"/>
          <w:szCs w:val="22"/>
          <w:lang w:val="fr-CA" w:eastAsia="ar-SA"/>
        </w:rPr>
      </w:pPr>
    </w:p>
    <w:p w14:paraId="11F70EE4" w14:textId="7AA0C182" w:rsidR="00FE18BE" w:rsidRPr="00715BD6" w:rsidRDefault="00224DB6" w:rsidP="00FE18BE">
      <w:pPr>
        <w:suppressAutoHyphens/>
        <w:ind w:firstLine="720"/>
        <w:jc w:val="both"/>
        <w:rPr>
          <w:sz w:val="22"/>
          <w:szCs w:val="22"/>
          <w:lang w:val="fr-CA" w:eastAsia="ar-SA"/>
        </w:rPr>
      </w:pPr>
      <w:r>
        <w:rPr>
          <w:sz w:val="22"/>
          <w:szCs w:val="22"/>
          <w:lang w:val="fr-CA" w:eastAsia="ar-SA"/>
        </w:rPr>
        <w:t xml:space="preserve">Pour s’occuper des responsabilités de la Commission et exécuter les mandats qui lui ont été confiés, des réunions, tant formelles qu’informelles, auront lieu entre les mois de février et de novembre 2021. Lors de ces réunions : </w:t>
      </w:r>
    </w:p>
    <w:p w14:paraId="4E02FCD8" w14:textId="77777777" w:rsidR="00FE18BE" w:rsidRPr="00715BD6" w:rsidRDefault="00FE18BE" w:rsidP="00FE18BE">
      <w:pPr>
        <w:suppressAutoHyphens/>
        <w:jc w:val="both"/>
        <w:rPr>
          <w:sz w:val="22"/>
          <w:szCs w:val="22"/>
          <w:lang w:val="fr-CA" w:eastAsia="ar-SA"/>
        </w:rPr>
      </w:pPr>
    </w:p>
    <w:p w14:paraId="63AAD743" w14:textId="41E58BB0" w:rsidR="00FE18BE" w:rsidRPr="00715BD6" w:rsidRDefault="00224DB6" w:rsidP="00FE18BE">
      <w:pPr>
        <w:numPr>
          <w:ilvl w:val="0"/>
          <w:numId w:val="7"/>
        </w:numPr>
        <w:suppressAutoHyphens/>
        <w:ind w:left="1440" w:hanging="720"/>
        <w:jc w:val="both"/>
        <w:rPr>
          <w:sz w:val="22"/>
          <w:szCs w:val="22"/>
          <w:lang w:val="fr-CA" w:eastAsia="ar-SA"/>
        </w:rPr>
      </w:pPr>
      <w:r>
        <w:rPr>
          <w:sz w:val="22"/>
          <w:szCs w:val="22"/>
          <w:lang w:val="fr-CA" w:eastAsia="ar-SA"/>
        </w:rPr>
        <w:t xml:space="preserve">les secteurs techniques présenteront des rapports sur l’exécution des mandats ainsi que du Plan stratégique de l’Organisation, </w:t>
      </w:r>
      <w:r w:rsidR="00011065">
        <w:rPr>
          <w:sz w:val="22"/>
          <w:szCs w:val="22"/>
          <w:lang w:val="fr-CA" w:eastAsia="ar-SA"/>
        </w:rPr>
        <w:t>des programmes interaméricains et des plans de travail sectoriels.</w:t>
      </w:r>
      <w:r>
        <w:rPr>
          <w:sz w:val="22"/>
          <w:szCs w:val="22"/>
          <w:lang w:val="fr-CA" w:eastAsia="ar-SA"/>
        </w:rPr>
        <w:t xml:space="preserve"> </w:t>
      </w:r>
    </w:p>
    <w:p w14:paraId="2C111BA7" w14:textId="05EDECED" w:rsidR="00FE18BE" w:rsidRPr="00715BD6" w:rsidRDefault="00011065" w:rsidP="00C336A5">
      <w:pPr>
        <w:numPr>
          <w:ilvl w:val="0"/>
          <w:numId w:val="7"/>
        </w:numPr>
        <w:suppressAutoHyphens/>
        <w:ind w:left="1440" w:hanging="720"/>
        <w:jc w:val="both"/>
        <w:rPr>
          <w:sz w:val="22"/>
          <w:szCs w:val="22"/>
          <w:lang w:val="fr-CA" w:eastAsia="ar-SA"/>
        </w:rPr>
      </w:pPr>
      <w:r>
        <w:rPr>
          <w:sz w:val="22"/>
          <w:szCs w:val="22"/>
          <w:lang w:val="fr-CA" w:eastAsia="ar-SA"/>
        </w:rPr>
        <w:t xml:space="preserve">un suivi sera assuré au cycle </w:t>
      </w:r>
      <w:r w:rsidR="00EA6922">
        <w:rPr>
          <w:sz w:val="22"/>
          <w:szCs w:val="22"/>
          <w:lang w:val="fr-CA" w:eastAsia="ar-SA"/>
        </w:rPr>
        <w:t>ministériel de trois ans</w:t>
      </w:r>
      <w:r w:rsidR="00FE18BE" w:rsidRPr="00715BD6">
        <w:rPr>
          <w:sz w:val="22"/>
          <w:szCs w:val="22"/>
          <w:lang w:val="fr-CA" w:eastAsia="ar-SA"/>
        </w:rPr>
        <w:t>.</w:t>
      </w:r>
    </w:p>
    <w:p w14:paraId="275EA83E" w14:textId="4642952E" w:rsidR="00FE18BE" w:rsidRPr="00715BD6" w:rsidRDefault="00EA6922" w:rsidP="00FE18BE">
      <w:pPr>
        <w:numPr>
          <w:ilvl w:val="0"/>
          <w:numId w:val="7"/>
        </w:numPr>
        <w:suppressAutoHyphens/>
        <w:ind w:left="1440" w:hanging="720"/>
        <w:jc w:val="both"/>
        <w:rPr>
          <w:sz w:val="22"/>
          <w:szCs w:val="22"/>
          <w:lang w:val="fr-CA" w:eastAsia="ar-SA"/>
        </w:rPr>
      </w:pPr>
      <w:r>
        <w:rPr>
          <w:sz w:val="22"/>
          <w:szCs w:val="22"/>
          <w:lang w:val="fr-CA" w:eastAsia="ar-SA"/>
        </w:rPr>
        <w:lastRenderedPageBreak/>
        <w:t>des d</w:t>
      </w:r>
      <w:r w:rsidR="00FE18BE" w:rsidRPr="00715BD6">
        <w:rPr>
          <w:sz w:val="22"/>
          <w:szCs w:val="22"/>
          <w:lang w:val="fr-CA" w:eastAsia="ar-SA"/>
        </w:rPr>
        <w:t>iscussions</w:t>
      </w:r>
      <w:r>
        <w:rPr>
          <w:sz w:val="22"/>
          <w:szCs w:val="22"/>
          <w:lang w:val="fr-CA" w:eastAsia="ar-SA"/>
        </w:rPr>
        <w:t xml:space="preserve"> auront lieu dans le but de préparer le projet de résolution que le CIDI présentera pour examen à la cinquante-et-unième session ordinaire de l’Assemblée générale</w:t>
      </w:r>
      <w:r w:rsidR="00FE18BE" w:rsidRPr="00715BD6">
        <w:rPr>
          <w:sz w:val="22"/>
          <w:szCs w:val="22"/>
          <w:lang w:val="fr-CA" w:eastAsia="ar-SA"/>
        </w:rPr>
        <w:t xml:space="preserve">. </w:t>
      </w:r>
    </w:p>
    <w:p w14:paraId="75690C71" w14:textId="77777777" w:rsidR="00FE18BE" w:rsidRPr="00715BD6" w:rsidRDefault="00FE18BE" w:rsidP="00FE18BE">
      <w:pPr>
        <w:suppressAutoHyphens/>
        <w:jc w:val="both"/>
        <w:rPr>
          <w:sz w:val="22"/>
          <w:szCs w:val="22"/>
          <w:lang w:val="fr-CA" w:eastAsia="ar-SA"/>
        </w:rPr>
      </w:pPr>
    </w:p>
    <w:p w14:paraId="5A0F348C" w14:textId="58814824" w:rsidR="00FE18BE" w:rsidRPr="00715BD6" w:rsidRDefault="00FC76C3" w:rsidP="00FE18BE">
      <w:pPr>
        <w:suppressAutoHyphens/>
        <w:ind w:firstLine="720"/>
        <w:jc w:val="both"/>
        <w:rPr>
          <w:rFonts w:eastAsia="SimSun"/>
          <w:sz w:val="22"/>
          <w:szCs w:val="22"/>
          <w:lang w:val="fr-CA" w:eastAsia="zh-CN"/>
        </w:rPr>
      </w:pPr>
      <w:r>
        <w:rPr>
          <w:rFonts w:eastAsia="SimSun"/>
          <w:sz w:val="22"/>
          <w:szCs w:val="22"/>
          <w:lang w:val="fr-CA" w:eastAsia="zh-CN"/>
        </w:rPr>
        <w:t xml:space="preserve">La Commission utilisera les mécanismes de travail suivants : </w:t>
      </w:r>
    </w:p>
    <w:p w14:paraId="145FD579" w14:textId="77777777" w:rsidR="00FE18BE" w:rsidRPr="00715BD6" w:rsidRDefault="00FE18BE" w:rsidP="00FE18BE">
      <w:pPr>
        <w:suppressAutoHyphens/>
        <w:jc w:val="both"/>
        <w:rPr>
          <w:rFonts w:eastAsia="SimSun"/>
          <w:sz w:val="22"/>
          <w:szCs w:val="22"/>
          <w:lang w:val="fr-CA" w:eastAsia="zh-CN"/>
        </w:rPr>
      </w:pPr>
    </w:p>
    <w:p w14:paraId="3B8D4B0A" w14:textId="65C8779F" w:rsidR="00FE18BE" w:rsidRPr="00715BD6" w:rsidRDefault="00FC76C3" w:rsidP="00FE18BE">
      <w:pPr>
        <w:numPr>
          <w:ilvl w:val="0"/>
          <w:numId w:val="8"/>
        </w:numPr>
        <w:suppressAutoHyphens/>
        <w:jc w:val="both"/>
        <w:rPr>
          <w:sz w:val="22"/>
          <w:szCs w:val="22"/>
          <w:lang w:val="fr-CA" w:eastAsia="zh-CN"/>
        </w:rPr>
      </w:pPr>
      <w:r>
        <w:rPr>
          <w:rFonts w:eastAsia="SimSun"/>
          <w:sz w:val="22"/>
          <w:szCs w:val="22"/>
          <w:lang w:val="fr-CA" w:eastAsia="zh-CN"/>
        </w:rPr>
        <w:t>Pour assurer une utilisation efficiente des ressources, autant de réunions informelles que possible seront tenues avec le Secrétariat</w:t>
      </w:r>
      <w:r w:rsidR="007954B7">
        <w:rPr>
          <w:rFonts w:eastAsia="SimSun"/>
          <w:sz w:val="22"/>
          <w:szCs w:val="22"/>
          <w:lang w:val="fr-CA" w:eastAsia="zh-CN"/>
        </w:rPr>
        <w:t xml:space="preserve"> afin que les services techniques puissent présenter des rapports et répondre aux questions des délégations</w:t>
      </w:r>
      <w:r w:rsidR="00FE18BE" w:rsidRPr="00715BD6">
        <w:rPr>
          <w:rFonts w:eastAsia="SimSun"/>
          <w:sz w:val="22"/>
          <w:szCs w:val="22"/>
          <w:lang w:val="fr-CA" w:eastAsia="zh-CN"/>
        </w:rPr>
        <w:t xml:space="preserve">. </w:t>
      </w:r>
    </w:p>
    <w:p w14:paraId="36848E6F" w14:textId="564B9309" w:rsidR="00FE18BE" w:rsidRPr="00715BD6" w:rsidRDefault="007954B7" w:rsidP="00FE18BE">
      <w:pPr>
        <w:numPr>
          <w:ilvl w:val="0"/>
          <w:numId w:val="8"/>
        </w:numPr>
        <w:suppressAutoHyphens/>
        <w:jc w:val="both"/>
        <w:rPr>
          <w:sz w:val="22"/>
          <w:szCs w:val="22"/>
          <w:lang w:val="fr-CA" w:eastAsia="zh-CN"/>
        </w:rPr>
      </w:pPr>
      <w:r>
        <w:rPr>
          <w:rFonts w:eastAsia="SimSun"/>
          <w:sz w:val="22"/>
          <w:szCs w:val="22"/>
          <w:lang w:val="fr-CA" w:eastAsia="zh-CN"/>
        </w:rPr>
        <w:t xml:space="preserve">Des réunions informelles seront inscrites à l’horaire pour réviser les recommandations qui seront présentées au </w:t>
      </w:r>
      <w:r w:rsidR="00FE18BE" w:rsidRPr="00715BD6">
        <w:rPr>
          <w:rFonts w:eastAsia="SimSun"/>
          <w:sz w:val="22"/>
          <w:szCs w:val="22"/>
          <w:lang w:val="fr-CA" w:eastAsia="zh-CN"/>
        </w:rPr>
        <w:t>CIDI.</w:t>
      </w:r>
    </w:p>
    <w:p w14:paraId="1658FCF6" w14:textId="5C062B34" w:rsidR="00FE18BE" w:rsidRPr="00715BD6" w:rsidRDefault="007954B7" w:rsidP="00FE18BE">
      <w:pPr>
        <w:numPr>
          <w:ilvl w:val="0"/>
          <w:numId w:val="8"/>
        </w:numPr>
        <w:suppressAutoHyphens/>
        <w:jc w:val="both"/>
        <w:rPr>
          <w:sz w:val="22"/>
          <w:szCs w:val="22"/>
          <w:lang w:val="fr-CA" w:eastAsia="zh-CN"/>
        </w:rPr>
      </w:pPr>
      <w:r>
        <w:rPr>
          <w:rFonts w:eastAsia="SimSun"/>
          <w:sz w:val="22"/>
          <w:szCs w:val="22"/>
          <w:lang w:val="fr-CA" w:eastAsia="zh-CN"/>
        </w:rPr>
        <w:t>Des réunions formelles se tiendront pour approuver les recommandations</w:t>
      </w:r>
      <w:r w:rsidR="00FE18BE" w:rsidRPr="00715BD6">
        <w:rPr>
          <w:rFonts w:eastAsia="SimSun"/>
          <w:sz w:val="22"/>
          <w:szCs w:val="22"/>
          <w:lang w:val="fr-CA" w:eastAsia="zh-CN"/>
        </w:rPr>
        <w:t>.</w:t>
      </w:r>
    </w:p>
    <w:p w14:paraId="6EED2B87" w14:textId="77777777" w:rsidR="00FE18BE" w:rsidRPr="00715BD6" w:rsidRDefault="00FE18BE" w:rsidP="00FE18BE">
      <w:pPr>
        <w:suppressAutoHyphens/>
        <w:jc w:val="both"/>
        <w:rPr>
          <w:sz w:val="22"/>
          <w:szCs w:val="22"/>
          <w:lang w:val="fr-CA" w:eastAsia="ar-SA"/>
        </w:rPr>
      </w:pPr>
    </w:p>
    <w:p w14:paraId="1BABC2CC" w14:textId="2FBCB233" w:rsidR="00FE18BE" w:rsidRPr="00715BD6" w:rsidRDefault="00FE18BE" w:rsidP="00FE18BE">
      <w:pPr>
        <w:keepLines/>
        <w:widowControl w:val="0"/>
        <w:jc w:val="both"/>
        <w:rPr>
          <w:sz w:val="22"/>
          <w:szCs w:val="22"/>
          <w:lang w:val="fr-CA" w:eastAsia="es-ES"/>
        </w:rPr>
      </w:pPr>
      <w:r w:rsidRPr="00715BD6">
        <w:rPr>
          <w:sz w:val="22"/>
          <w:szCs w:val="22"/>
          <w:lang w:val="fr-CA" w:eastAsia="es-ES"/>
        </w:rPr>
        <w:tab/>
      </w:r>
      <w:r w:rsidR="00284EC5">
        <w:rPr>
          <w:sz w:val="22"/>
          <w:szCs w:val="22"/>
          <w:lang w:val="fr-CA" w:eastAsia="es-ES"/>
        </w:rPr>
        <w:t xml:space="preserve">Le présent Plan de travail servira de cadre général pour les travaux de la Commission au cours de l’année 2021. C’est un document flexible qui incorporera les modifications approuvées par la Commission pour le mettre à jour chaque fois que des propositions spécifiques </w:t>
      </w:r>
      <w:r w:rsidR="00406282">
        <w:rPr>
          <w:sz w:val="22"/>
          <w:szCs w:val="22"/>
          <w:lang w:val="fr-CA" w:eastAsia="es-ES"/>
        </w:rPr>
        <w:t>seront apportées pour s’occuper de toute question urgente, imprévue ou importante qui pourrait se présenter. En particulier, la Commission fera porter ses efforts sur le respect du cycle de trois ans adopté pour le processus des réunions ministérielles du CIDI de même que sur l’examen de la riposte au changement climatique.</w:t>
      </w:r>
      <w:r w:rsidR="00284EC5">
        <w:rPr>
          <w:sz w:val="22"/>
          <w:szCs w:val="22"/>
          <w:lang w:val="fr-CA" w:eastAsia="es-ES"/>
        </w:rPr>
        <w:t xml:space="preserve"> </w:t>
      </w:r>
    </w:p>
    <w:p w14:paraId="275CBD30" w14:textId="77777777" w:rsidR="00FE18BE" w:rsidRPr="00715BD6" w:rsidRDefault="00FE18BE" w:rsidP="00FE18BE">
      <w:pPr>
        <w:widowControl w:val="0"/>
        <w:jc w:val="both"/>
        <w:rPr>
          <w:sz w:val="22"/>
          <w:szCs w:val="22"/>
          <w:lang w:val="fr-CA" w:eastAsia="es-ES"/>
        </w:rPr>
      </w:pPr>
    </w:p>
    <w:p w14:paraId="2BD2B34E" w14:textId="3AF6798F" w:rsidR="00FE18BE" w:rsidRPr="00715BD6" w:rsidRDefault="00FE18BE" w:rsidP="00FE18BE">
      <w:pPr>
        <w:widowControl w:val="0"/>
        <w:jc w:val="both"/>
        <w:rPr>
          <w:sz w:val="22"/>
          <w:szCs w:val="22"/>
          <w:lang w:val="fr-CA" w:eastAsia="es-ES"/>
        </w:rPr>
      </w:pPr>
      <w:r w:rsidRPr="00715BD6">
        <w:rPr>
          <w:sz w:val="22"/>
          <w:szCs w:val="22"/>
          <w:lang w:val="fr-CA" w:eastAsia="es-ES"/>
        </w:rPr>
        <w:tab/>
      </w:r>
      <w:r w:rsidR="00406282">
        <w:rPr>
          <w:sz w:val="22"/>
          <w:szCs w:val="22"/>
          <w:lang w:val="fr-CA" w:eastAsia="es-ES"/>
        </w:rPr>
        <w:t>La Présidence remercie les États membres pour leur</w:t>
      </w:r>
      <w:r w:rsidR="00AE7657">
        <w:rPr>
          <w:sz w:val="22"/>
          <w:szCs w:val="22"/>
          <w:lang w:val="fr-CA" w:eastAsia="es-ES"/>
        </w:rPr>
        <w:t>s</w:t>
      </w:r>
      <w:r w:rsidR="00406282">
        <w:rPr>
          <w:sz w:val="22"/>
          <w:szCs w:val="22"/>
          <w:lang w:val="fr-CA" w:eastAsia="es-ES"/>
        </w:rPr>
        <w:t xml:space="preserve"> suggestions</w:t>
      </w:r>
      <w:r w:rsidR="00503542">
        <w:rPr>
          <w:sz w:val="22"/>
          <w:szCs w:val="22"/>
          <w:lang w:val="fr-CA" w:eastAsia="es-ES"/>
        </w:rPr>
        <w:t xml:space="preserve"> et les délégations pour l’appui qu’elles ont apporté dans l’exécution de ces tâches. </w:t>
      </w:r>
    </w:p>
    <w:p w14:paraId="4D357B25" w14:textId="77777777" w:rsidR="00FE18BE" w:rsidRPr="00715BD6" w:rsidRDefault="00FE18BE" w:rsidP="00FE18BE">
      <w:pPr>
        <w:widowControl w:val="0"/>
        <w:jc w:val="both"/>
        <w:rPr>
          <w:sz w:val="22"/>
          <w:szCs w:val="22"/>
          <w:lang w:val="fr-CA" w:eastAsia="es-ES"/>
        </w:rPr>
      </w:pPr>
    </w:p>
    <w:p w14:paraId="17C2230B" w14:textId="77777777" w:rsidR="00FE18BE" w:rsidRPr="00715BD6" w:rsidRDefault="00FE18BE" w:rsidP="00FE18BE">
      <w:pPr>
        <w:ind w:right="-29"/>
        <w:jc w:val="both"/>
        <w:rPr>
          <w:sz w:val="22"/>
          <w:szCs w:val="22"/>
          <w:lang w:val="fr-CA" w:eastAsia="es-ES"/>
        </w:rPr>
      </w:pPr>
    </w:p>
    <w:p w14:paraId="0DC7265B" w14:textId="77777777" w:rsidR="00FE18BE" w:rsidRPr="00715BD6" w:rsidRDefault="00FE18BE" w:rsidP="00FE18BE">
      <w:pPr>
        <w:ind w:right="-29"/>
        <w:jc w:val="both"/>
        <w:rPr>
          <w:sz w:val="22"/>
          <w:szCs w:val="22"/>
          <w:lang w:val="fr-CA" w:eastAsia="es-ES"/>
        </w:rPr>
      </w:pPr>
    </w:p>
    <w:p w14:paraId="2C171DDE" w14:textId="77777777" w:rsidR="00FE18BE" w:rsidRPr="00715BD6" w:rsidRDefault="00C336A5" w:rsidP="00FE18BE">
      <w:pPr>
        <w:ind w:right="-29"/>
        <w:jc w:val="center"/>
        <w:rPr>
          <w:sz w:val="22"/>
          <w:szCs w:val="22"/>
          <w:lang w:val="fr-CA" w:eastAsia="es-ES"/>
        </w:rPr>
      </w:pPr>
      <w:r w:rsidRPr="00715BD6">
        <w:rPr>
          <w:sz w:val="22"/>
          <w:szCs w:val="22"/>
          <w:lang w:val="fr-CA" w:eastAsia="es-ES"/>
        </w:rPr>
        <w:t>Jovan Reid</w:t>
      </w:r>
    </w:p>
    <w:p w14:paraId="0DE198F4" w14:textId="477973E1" w:rsidR="00FE18BE" w:rsidRPr="00715BD6" w:rsidRDefault="00503542" w:rsidP="00FE18BE">
      <w:pPr>
        <w:ind w:right="-29"/>
        <w:jc w:val="center"/>
        <w:rPr>
          <w:sz w:val="22"/>
          <w:szCs w:val="22"/>
          <w:lang w:val="fr-CA" w:eastAsia="es-ES"/>
        </w:rPr>
      </w:pPr>
      <w:r>
        <w:rPr>
          <w:sz w:val="22"/>
          <w:szCs w:val="22"/>
          <w:lang w:val="fr-CA" w:eastAsia="es-ES"/>
        </w:rPr>
        <w:t>Représentant suppléant de la Barbade près l’OEA</w:t>
      </w:r>
    </w:p>
    <w:p w14:paraId="22B5912C" w14:textId="59618FC8" w:rsidR="00FE18BE" w:rsidRPr="00715BD6" w:rsidRDefault="00503542" w:rsidP="00FE18BE">
      <w:pPr>
        <w:ind w:right="-29"/>
        <w:jc w:val="center"/>
        <w:rPr>
          <w:sz w:val="22"/>
          <w:szCs w:val="22"/>
          <w:lang w:val="fr-CA" w:eastAsia="ar-SA"/>
        </w:rPr>
      </w:pPr>
      <w:r>
        <w:rPr>
          <w:sz w:val="22"/>
          <w:szCs w:val="22"/>
          <w:lang w:val="fr-CA" w:eastAsia="ar-SA"/>
        </w:rPr>
        <w:t xml:space="preserve">Président de la Commission sur </w:t>
      </w:r>
      <w:r w:rsidR="008D0BC1">
        <w:rPr>
          <w:sz w:val="22"/>
          <w:szCs w:val="22"/>
          <w:lang w:val="fr-CA" w:eastAsia="ar-SA"/>
        </w:rPr>
        <w:t xml:space="preserve">les </w:t>
      </w:r>
      <w:r>
        <w:rPr>
          <w:sz w:val="22"/>
          <w:szCs w:val="22"/>
          <w:lang w:val="fr-CA" w:eastAsia="ar-SA"/>
        </w:rPr>
        <w:t xml:space="preserve">politiques </w:t>
      </w:r>
      <w:r w:rsidR="008D0BC1">
        <w:rPr>
          <w:sz w:val="22"/>
          <w:szCs w:val="22"/>
          <w:lang w:val="fr-CA" w:eastAsia="ar-SA"/>
        </w:rPr>
        <w:t xml:space="preserve">de partenariat pour le </w:t>
      </w:r>
      <w:r>
        <w:rPr>
          <w:sz w:val="22"/>
          <w:szCs w:val="22"/>
          <w:lang w:val="fr-CA" w:eastAsia="ar-SA"/>
        </w:rPr>
        <w:t>développement</w:t>
      </w:r>
    </w:p>
    <w:p w14:paraId="2A8F183B" w14:textId="77777777" w:rsidR="00FE18BE" w:rsidRPr="00715BD6" w:rsidRDefault="00FE18BE" w:rsidP="00FE18BE">
      <w:pPr>
        <w:ind w:right="-29"/>
        <w:jc w:val="center"/>
        <w:rPr>
          <w:sz w:val="22"/>
          <w:szCs w:val="22"/>
          <w:lang w:val="fr-CA" w:eastAsia="ar-SA"/>
        </w:rPr>
      </w:pPr>
    </w:p>
    <w:p w14:paraId="4EA161B4" w14:textId="77777777" w:rsidR="00FE18BE" w:rsidRPr="00715BD6" w:rsidRDefault="00FE18BE" w:rsidP="00FE18BE">
      <w:pPr>
        <w:ind w:right="-29"/>
        <w:jc w:val="center"/>
        <w:rPr>
          <w:sz w:val="22"/>
          <w:szCs w:val="22"/>
          <w:lang w:val="fr-CA" w:eastAsia="ar-SA"/>
        </w:rPr>
        <w:sectPr w:rsidR="00FE18BE" w:rsidRPr="00715BD6" w:rsidSect="00FE18BE">
          <w:headerReference w:type="default" r:id="rId7"/>
          <w:footerReference w:type="first" r:id="rId8"/>
          <w:pgSz w:w="12240" w:h="15840" w:code="1"/>
          <w:pgMar w:top="2160" w:right="1570" w:bottom="1296" w:left="1699" w:header="1296" w:footer="1296" w:gutter="0"/>
          <w:pgNumType w:start="1" w:chapSep="emDash"/>
          <w:cols w:space="720"/>
          <w:titlePg/>
        </w:sectPr>
      </w:pPr>
    </w:p>
    <w:p w14:paraId="202E212A" w14:textId="7E798D37" w:rsidR="00FE18BE" w:rsidRPr="00715BD6" w:rsidRDefault="00FE18BE" w:rsidP="00FE18BE">
      <w:pPr>
        <w:suppressAutoHyphens/>
        <w:jc w:val="right"/>
        <w:rPr>
          <w:b/>
          <w:sz w:val="22"/>
          <w:szCs w:val="22"/>
          <w:lang w:val="fr-CA" w:eastAsia="ar-SA"/>
        </w:rPr>
      </w:pPr>
      <w:r w:rsidRPr="00715BD6">
        <w:rPr>
          <w:b/>
          <w:bCs/>
          <w:sz w:val="22"/>
          <w:szCs w:val="22"/>
          <w:lang w:val="fr-CA" w:eastAsia="ar-SA"/>
        </w:rPr>
        <w:lastRenderedPageBreak/>
        <w:t>ANNEX</w:t>
      </w:r>
      <w:r w:rsidR="00503542">
        <w:rPr>
          <w:b/>
          <w:bCs/>
          <w:sz w:val="22"/>
          <w:szCs w:val="22"/>
          <w:lang w:val="fr-CA" w:eastAsia="ar-SA"/>
        </w:rPr>
        <w:t>E</w:t>
      </w:r>
      <w:r w:rsidRPr="00715BD6">
        <w:rPr>
          <w:b/>
          <w:bCs/>
          <w:sz w:val="22"/>
          <w:szCs w:val="22"/>
          <w:lang w:val="fr-CA" w:eastAsia="ar-SA"/>
        </w:rPr>
        <w:t xml:space="preserve"> 1</w:t>
      </w:r>
    </w:p>
    <w:p w14:paraId="24BB1BE1" w14:textId="77777777" w:rsidR="00FE18BE" w:rsidRPr="00715BD6" w:rsidRDefault="00FE18BE" w:rsidP="00FE18BE">
      <w:pPr>
        <w:suppressAutoHyphens/>
        <w:jc w:val="center"/>
        <w:rPr>
          <w:sz w:val="22"/>
          <w:szCs w:val="22"/>
          <w:lang w:val="fr-CA" w:eastAsia="ar-SA"/>
        </w:rPr>
      </w:pPr>
    </w:p>
    <w:p w14:paraId="3929557D" w14:textId="76D744E8" w:rsidR="00FE18BE" w:rsidRPr="00715BD6" w:rsidRDefault="00503542" w:rsidP="00FE18BE">
      <w:pPr>
        <w:suppressAutoHyphens/>
        <w:jc w:val="center"/>
        <w:rPr>
          <w:b/>
          <w:sz w:val="22"/>
          <w:szCs w:val="22"/>
          <w:lang w:val="fr-CA" w:eastAsia="ar-SA"/>
        </w:rPr>
      </w:pPr>
      <w:r>
        <w:rPr>
          <w:b/>
          <w:bCs/>
          <w:sz w:val="22"/>
          <w:szCs w:val="22"/>
          <w:lang w:val="fr-CA" w:eastAsia="ar-SA"/>
        </w:rPr>
        <w:t>MANDAT</w:t>
      </w:r>
      <w:r w:rsidR="00FE18BE" w:rsidRPr="00715BD6">
        <w:rPr>
          <w:b/>
          <w:bCs/>
          <w:sz w:val="22"/>
          <w:szCs w:val="22"/>
          <w:lang w:val="fr-CA" w:eastAsia="ar-SA"/>
        </w:rPr>
        <w:t xml:space="preserve">S </w:t>
      </w:r>
      <w:r>
        <w:rPr>
          <w:b/>
          <w:bCs/>
          <w:sz w:val="22"/>
          <w:szCs w:val="22"/>
          <w:lang w:val="fr-CA" w:eastAsia="ar-SA"/>
        </w:rPr>
        <w:t>ÉMANÉS DE LA</w:t>
      </w:r>
    </w:p>
    <w:p w14:paraId="01C17295" w14:textId="6D8D9576" w:rsidR="00FE18BE" w:rsidRPr="00715BD6" w:rsidRDefault="00503542" w:rsidP="00FE18BE">
      <w:pPr>
        <w:suppressAutoHyphens/>
        <w:jc w:val="center"/>
        <w:rPr>
          <w:b/>
          <w:sz w:val="22"/>
          <w:szCs w:val="22"/>
          <w:lang w:val="fr-CA" w:eastAsia="ar-SA"/>
        </w:rPr>
      </w:pPr>
      <w:r>
        <w:rPr>
          <w:b/>
          <w:bCs/>
          <w:sz w:val="22"/>
          <w:szCs w:val="22"/>
          <w:lang w:val="fr-CA" w:eastAsia="ar-SA"/>
        </w:rPr>
        <w:t>CINQUANTIÈME SESSION ORDINAIRE DE L’ASSEMBLÉE GÉNÉRALE</w:t>
      </w:r>
    </w:p>
    <w:p w14:paraId="75556D42" w14:textId="77777777" w:rsidR="00FE18BE" w:rsidRPr="00715BD6" w:rsidRDefault="00FE18BE" w:rsidP="00FE18BE">
      <w:pPr>
        <w:suppressAutoHyphens/>
        <w:rPr>
          <w:sz w:val="22"/>
          <w:szCs w:val="22"/>
          <w:lang w:val="fr-CA" w:eastAsia="ar-SA"/>
        </w:rPr>
      </w:pPr>
    </w:p>
    <w:p w14:paraId="694D607B" w14:textId="77777777" w:rsidR="00C336A5" w:rsidRPr="00715BD6" w:rsidRDefault="00C336A5" w:rsidP="00FE18BE">
      <w:pPr>
        <w:suppressAutoHyphens/>
        <w:rPr>
          <w:sz w:val="22"/>
          <w:szCs w:val="22"/>
          <w:lang w:val="fr-CA" w:eastAsia="ar-SA"/>
        </w:rPr>
      </w:pPr>
    </w:p>
    <w:p w14:paraId="587B47FE" w14:textId="77777777" w:rsidR="00C336A5" w:rsidRPr="00715BD6" w:rsidRDefault="00C336A5" w:rsidP="00C336A5">
      <w:pPr>
        <w:suppressAutoHyphens/>
        <w:rPr>
          <w:sz w:val="22"/>
          <w:szCs w:val="22"/>
          <w:lang w:val="fr-CA" w:eastAsia="ar-SA"/>
        </w:rPr>
      </w:pPr>
    </w:p>
    <w:p w14:paraId="0C85B80A" w14:textId="473ACB21" w:rsidR="00C336A5" w:rsidRPr="00002FC1" w:rsidRDefault="00002FC1" w:rsidP="00C336A5">
      <w:pPr>
        <w:numPr>
          <w:ilvl w:val="0"/>
          <w:numId w:val="1"/>
        </w:numPr>
        <w:suppressAutoHyphens/>
        <w:ind w:left="720" w:hanging="720"/>
        <w:jc w:val="both"/>
        <w:rPr>
          <w:sz w:val="22"/>
          <w:szCs w:val="22"/>
          <w:u w:val="single"/>
          <w:lang w:val="fr-CA" w:eastAsia="ar-SA"/>
        </w:rPr>
      </w:pPr>
      <w:r w:rsidRPr="00002FC1">
        <w:rPr>
          <w:sz w:val="22"/>
          <w:szCs w:val="22"/>
          <w:u w:val="single"/>
          <w:lang w:val="fr-CA" w:eastAsia="ar-SA"/>
        </w:rPr>
        <w:t>Mandat</w:t>
      </w:r>
      <w:r w:rsidR="00C336A5" w:rsidRPr="00002FC1">
        <w:rPr>
          <w:sz w:val="22"/>
          <w:szCs w:val="22"/>
          <w:u w:val="single"/>
          <w:lang w:val="fr-CA" w:eastAsia="ar-SA"/>
        </w:rPr>
        <w:t>s cont</w:t>
      </w:r>
      <w:r w:rsidRPr="00002FC1">
        <w:rPr>
          <w:sz w:val="22"/>
          <w:szCs w:val="22"/>
          <w:u w:val="single"/>
          <w:lang w:val="fr-CA" w:eastAsia="ar-SA"/>
        </w:rPr>
        <w:t>enus dans la résolution</w:t>
      </w:r>
      <w:r w:rsidR="00C336A5" w:rsidRPr="00002FC1">
        <w:rPr>
          <w:sz w:val="22"/>
          <w:szCs w:val="22"/>
          <w:u w:val="single"/>
          <w:lang w:val="fr-CA" w:eastAsia="ar-SA"/>
        </w:rPr>
        <w:t xml:space="preserve"> AG/RES. 2952 (L-O/20)</w:t>
      </w:r>
      <w:r w:rsidR="00317CE2" w:rsidRPr="00002FC1">
        <w:rPr>
          <w:sz w:val="22"/>
          <w:szCs w:val="22"/>
          <w:u w:val="single"/>
          <w:lang w:val="fr-CA" w:eastAsia="ar-SA"/>
        </w:rPr>
        <w:t>,</w:t>
      </w:r>
      <w:r w:rsidR="00C336A5" w:rsidRPr="00002FC1">
        <w:rPr>
          <w:sz w:val="22"/>
          <w:szCs w:val="22"/>
          <w:u w:val="single"/>
          <w:lang w:val="fr-CA" w:eastAsia="ar-SA"/>
        </w:rPr>
        <w:t xml:space="preserve"> “</w:t>
      </w:r>
      <w:r w:rsidRPr="00002FC1">
        <w:rPr>
          <w:sz w:val="22"/>
          <w:szCs w:val="22"/>
          <w:u w:val="single"/>
          <w:lang w:val="fr-CA" w:eastAsia="ar-SA"/>
        </w:rPr>
        <w:t>Promotion de la riposte continentale au changement climatique dans le contexte de la pandémie de</w:t>
      </w:r>
      <w:r w:rsidR="00C336A5" w:rsidRPr="00002FC1">
        <w:rPr>
          <w:rStyle w:val="Heading1Char"/>
          <w:rFonts w:eastAsia="Calibri"/>
          <w:szCs w:val="22"/>
          <w:u w:val="single"/>
          <w:lang w:val="fr-CA"/>
        </w:rPr>
        <w:t xml:space="preserve"> COVID-19</w:t>
      </w:r>
      <w:r w:rsidR="00C336A5" w:rsidRPr="00002FC1">
        <w:rPr>
          <w:sz w:val="22"/>
          <w:szCs w:val="22"/>
          <w:u w:val="single"/>
          <w:lang w:val="fr-CA" w:eastAsia="ar-SA"/>
        </w:rPr>
        <w:t>”</w:t>
      </w:r>
    </w:p>
    <w:p w14:paraId="00F2062B" w14:textId="77777777" w:rsidR="00C336A5" w:rsidRPr="00002FC1" w:rsidRDefault="00C336A5" w:rsidP="00C336A5">
      <w:pPr>
        <w:suppressAutoHyphens/>
        <w:jc w:val="both"/>
        <w:rPr>
          <w:sz w:val="22"/>
          <w:szCs w:val="22"/>
          <w:lang w:val="fr-CA" w:eastAsia="ar-SA"/>
        </w:rPr>
      </w:pPr>
    </w:p>
    <w:tbl>
      <w:tblPr>
        <w:tblW w:w="13641" w:type="dxa"/>
        <w:jc w:val="center"/>
        <w:tblLayout w:type="fixed"/>
        <w:tblLook w:val="0000" w:firstRow="0" w:lastRow="0" w:firstColumn="0" w:lastColumn="0" w:noHBand="0" w:noVBand="0"/>
      </w:tblPr>
      <w:tblGrid>
        <w:gridCol w:w="3055"/>
        <w:gridCol w:w="8058"/>
        <w:gridCol w:w="2528"/>
      </w:tblGrid>
      <w:tr w:rsidR="00C336A5" w:rsidRPr="00715BD6" w14:paraId="2627EA6B" w14:textId="77777777" w:rsidTr="009D12D2">
        <w:trPr>
          <w:trHeight w:val="611"/>
          <w:jc w:val="center"/>
        </w:trPr>
        <w:tc>
          <w:tcPr>
            <w:tcW w:w="3055" w:type="dxa"/>
            <w:tcBorders>
              <w:top w:val="single" w:sz="4" w:space="0" w:color="000000"/>
              <w:left w:val="single" w:sz="4" w:space="0" w:color="000000"/>
              <w:bottom w:val="single" w:sz="4" w:space="0" w:color="000000"/>
            </w:tcBorders>
            <w:shd w:val="clear" w:color="auto" w:fill="C6D9F1"/>
            <w:vAlign w:val="center"/>
          </w:tcPr>
          <w:p w14:paraId="5FE34B61" w14:textId="288370A2" w:rsidR="00C336A5" w:rsidRPr="00002FC1" w:rsidRDefault="009D12D2" w:rsidP="009D12D2">
            <w:pPr>
              <w:suppressAutoHyphens/>
              <w:jc w:val="center"/>
              <w:rPr>
                <w:b/>
                <w:sz w:val="22"/>
                <w:szCs w:val="22"/>
                <w:lang w:val="fr-CA" w:eastAsia="ar-SA"/>
              </w:rPr>
            </w:pPr>
            <w:r w:rsidRPr="00002FC1">
              <w:rPr>
                <w:b/>
                <w:bCs/>
                <w:sz w:val="22"/>
                <w:szCs w:val="22"/>
                <w:lang w:val="fr-CA" w:eastAsia="ar-SA"/>
              </w:rPr>
              <w:t>AG/RES. 2952 (L</w:t>
            </w:r>
            <w:r w:rsidR="00C336A5" w:rsidRPr="00002FC1">
              <w:rPr>
                <w:b/>
                <w:bCs/>
                <w:sz w:val="22"/>
                <w:szCs w:val="22"/>
                <w:lang w:val="fr-CA" w:eastAsia="ar-SA"/>
              </w:rPr>
              <w:t>-O/</w:t>
            </w:r>
            <w:r w:rsidRPr="00002FC1">
              <w:rPr>
                <w:b/>
                <w:bCs/>
                <w:sz w:val="22"/>
                <w:szCs w:val="22"/>
                <w:lang w:val="fr-CA" w:eastAsia="ar-SA"/>
              </w:rPr>
              <w:t>20</w:t>
            </w:r>
            <w:r w:rsidR="00C336A5" w:rsidRPr="00002FC1">
              <w:rPr>
                <w:b/>
                <w:bCs/>
                <w:sz w:val="22"/>
                <w:szCs w:val="22"/>
                <w:lang w:val="fr-CA" w:eastAsia="ar-SA"/>
              </w:rPr>
              <w:t>)</w:t>
            </w:r>
          </w:p>
        </w:tc>
        <w:tc>
          <w:tcPr>
            <w:tcW w:w="8058" w:type="dxa"/>
            <w:tcBorders>
              <w:top w:val="single" w:sz="4" w:space="0" w:color="000000"/>
              <w:left w:val="single" w:sz="4" w:space="0" w:color="000000"/>
              <w:bottom w:val="single" w:sz="4" w:space="0" w:color="000000"/>
            </w:tcBorders>
            <w:shd w:val="clear" w:color="auto" w:fill="C6D9F1"/>
            <w:vAlign w:val="center"/>
          </w:tcPr>
          <w:p w14:paraId="2DCFA514" w14:textId="15E7C45F" w:rsidR="00C336A5" w:rsidRPr="00002FC1" w:rsidRDefault="00503542" w:rsidP="008214B6">
            <w:pPr>
              <w:ind w:left="20"/>
              <w:jc w:val="center"/>
              <w:rPr>
                <w:b/>
                <w:sz w:val="22"/>
                <w:szCs w:val="22"/>
                <w:lang w:val="fr-CA" w:eastAsia="ar-SA"/>
              </w:rPr>
            </w:pPr>
            <w:r w:rsidRPr="00002FC1">
              <w:rPr>
                <w:b/>
                <w:bCs/>
                <w:sz w:val="22"/>
                <w:szCs w:val="22"/>
                <w:lang w:val="fr-CA" w:eastAsia="ar-SA"/>
              </w:rPr>
              <w:t>MANDAT</w:t>
            </w:r>
            <w:r w:rsidR="00C336A5" w:rsidRPr="00002FC1">
              <w:rPr>
                <w:b/>
                <w:bCs/>
                <w:sz w:val="22"/>
                <w:szCs w:val="22"/>
                <w:lang w:val="fr-CA" w:eastAsia="ar-SA"/>
              </w:rPr>
              <w:t>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FCB13B" w14:textId="28FA595D" w:rsidR="00C336A5" w:rsidRPr="00715BD6" w:rsidRDefault="00C336A5" w:rsidP="00503542">
            <w:pPr>
              <w:suppressAutoHyphens/>
              <w:jc w:val="center"/>
              <w:rPr>
                <w:b/>
                <w:bCs/>
                <w:sz w:val="22"/>
                <w:szCs w:val="22"/>
                <w:lang w:val="fr-CA" w:eastAsia="ar-SA"/>
              </w:rPr>
            </w:pPr>
            <w:r w:rsidRPr="00002FC1">
              <w:rPr>
                <w:b/>
                <w:bCs/>
                <w:sz w:val="22"/>
                <w:szCs w:val="22"/>
                <w:lang w:val="fr-CA" w:eastAsia="ar-SA"/>
              </w:rPr>
              <w:t>RESPONS</w:t>
            </w:r>
            <w:r w:rsidR="00503542" w:rsidRPr="00002FC1">
              <w:rPr>
                <w:b/>
                <w:bCs/>
                <w:sz w:val="22"/>
                <w:szCs w:val="22"/>
                <w:lang w:val="fr-CA" w:eastAsia="ar-SA"/>
              </w:rPr>
              <w:t>ABILITÉ</w:t>
            </w:r>
          </w:p>
        </w:tc>
      </w:tr>
      <w:tr w:rsidR="00C336A5" w:rsidRPr="00715BD6" w14:paraId="36D6819A" w14:textId="77777777" w:rsidTr="009D12D2">
        <w:trPr>
          <w:trHeight w:val="1378"/>
          <w:jc w:val="center"/>
        </w:trPr>
        <w:tc>
          <w:tcPr>
            <w:tcW w:w="3055" w:type="dxa"/>
            <w:tcBorders>
              <w:top w:val="single" w:sz="4" w:space="0" w:color="000000"/>
              <w:left w:val="single" w:sz="4" w:space="0" w:color="000000"/>
              <w:bottom w:val="single" w:sz="4" w:space="0" w:color="000000"/>
            </w:tcBorders>
            <w:shd w:val="clear" w:color="auto" w:fill="auto"/>
          </w:tcPr>
          <w:p w14:paraId="6458D75F" w14:textId="2F0DA5A0" w:rsidR="00C336A5" w:rsidRPr="00715BD6" w:rsidRDefault="00503542" w:rsidP="00503542">
            <w:pPr>
              <w:suppressAutoHyphens/>
              <w:rPr>
                <w:b/>
                <w:sz w:val="22"/>
                <w:szCs w:val="22"/>
                <w:lang w:val="fr-CA" w:eastAsia="ar-SA"/>
              </w:rPr>
            </w:pPr>
            <w:r>
              <w:rPr>
                <w:b/>
                <w:sz w:val="22"/>
                <w:szCs w:val="22"/>
                <w:lang w:val="fr-CA" w:eastAsia="ar-SA"/>
              </w:rPr>
              <w:t>Paragraphe 1 du dispositif</w:t>
            </w:r>
          </w:p>
        </w:tc>
        <w:tc>
          <w:tcPr>
            <w:tcW w:w="8058" w:type="dxa"/>
            <w:tcBorders>
              <w:top w:val="single" w:sz="4" w:space="0" w:color="000000"/>
              <w:left w:val="single" w:sz="4" w:space="0" w:color="000000"/>
              <w:bottom w:val="single" w:sz="4" w:space="0" w:color="000000"/>
            </w:tcBorders>
            <w:shd w:val="clear" w:color="auto" w:fill="auto"/>
          </w:tcPr>
          <w:p w14:paraId="3F4B42CF" w14:textId="40A6BC56" w:rsidR="00317CE2" w:rsidRPr="00E77877" w:rsidRDefault="00503542" w:rsidP="00317CE2">
            <w:pPr>
              <w:jc w:val="both"/>
              <w:rPr>
                <w:sz w:val="22"/>
                <w:szCs w:val="22"/>
                <w:lang w:val="fr-CA"/>
              </w:rPr>
            </w:pPr>
            <w:r w:rsidRPr="00E77877">
              <w:rPr>
                <w:sz w:val="22"/>
                <w:szCs w:val="22"/>
                <w:lang w:val="fr-CA"/>
              </w:rPr>
              <w:t>D’appeler tous les États membres à prendre des mesures énergiques et intégrées pour prévenir et traiter les effets négatifs de la pandémie de COVID-19, stimuler la croissance et renforcer la résilience de leur réponse économique à la pandémie, tout en veillant à ce que les flux financiers soient compatibles avec un développement à faibles émissions de gaz à effet de serre et à l’épreuve du climat, et en respectant les droits fondamentaux des personnes en situation de vulnérabilité</w:t>
            </w:r>
            <w:r w:rsidR="00317CE2" w:rsidRPr="00E77877">
              <w:rPr>
                <w:sz w:val="22"/>
                <w:szCs w:val="22"/>
                <w:lang w:val="fr-CA"/>
              </w:rPr>
              <w:t>.</w:t>
            </w:r>
          </w:p>
          <w:p w14:paraId="454EDD3C" w14:textId="77777777" w:rsidR="00C336A5" w:rsidRPr="00E77877" w:rsidRDefault="00C336A5" w:rsidP="008214B6">
            <w:pPr>
              <w:tabs>
                <w:tab w:val="left" w:pos="346"/>
              </w:tabs>
              <w:jc w:val="both"/>
              <w:rPr>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D8A1F0F" w14:textId="2FBF57CE" w:rsidR="00503542" w:rsidRDefault="00503542" w:rsidP="00503542">
            <w:pPr>
              <w:suppressAutoHyphens/>
              <w:rPr>
                <w:sz w:val="22"/>
                <w:szCs w:val="22"/>
                <w:lang w:val="fr-CA" w:eastAsia="ar-SA"/>
              </w:rPr>
            </w:pPr>
            <w:r>
              <w:rPr>
                <w:sz w:val="22"/>
                <w:szCs w:val="22"/>
                <w:lang w:val="fr-CA" w:eastAsia="ar-SA"/>
              </w:rPr>
              <w:t>États membres</w:t>
            </w:r>
          </w:p>
          <w:p w14:paraId="40EF8C95" w14:textId="77777777" w:rsidR="00503542" w:rsidRPr="00503542" w:rsidRDefault="00503542" w:rsidP="00503542">
            <w:pPr>
              <w:rPr>
                <w:sz w:val="22"/>
                <w:szCs w:val="22"/>
                <w:lang w:val="fr-CA" w:eastAsia="ar-SA"/>
              </w:rPr>
            </w:pPr>
          </w:p>
          <w:p w14:paraId="79D9039C" w14:textId="77777777" w:rsidR="00503542" w:rsidRPr="00503542" w:rsidRDefault="00503542" w:rsidP="00503542">
            <w:pPr>
              <w:rPr>
                <w:sz w:val="22"/>
                <w:szCs w:val="22"/>
                <w:lang w:val="fr-CA" w:eastAsia="ar-SA"/>
              </w:rPr>
            </w:pPr>
          </w:p>
          <w:p w14:paraId="5A9836FA" w14:textId="18D80E03" w:rsidR="00503542" w:rsidRDefault="00503542" w:rsidP="00503542">
            <w:pPr>
              <w:rPr>
                <w:sz w:val="22"/>
                <w:szCs w:val="22"/>
                <w:lang w:val="fr-CA" w:eastAsia="ar-SA"/>
              </w:rPr>
            </w:pPr>
          </w:p>
          <w:p w14:paraId="339E55BE" w14:textId="4FDFC246" w:rsidR="00C336A5" w:rsidRPr="00503542" w:rsidRDefault="00C336A5" w:rsidP="00503542">
            <w:pPr>
              <w:rPr>
                <w:sz w:val="22"/>
                <w:szCs w:val="22"/>
                <w:lang w:val="fr-CA" w:eastAsia="ar-SA"/>
              </w:rPr>
            </w:pPr>
          </w:p>
        </w:tc>
      </w:tr>
      <w:tr w:rsidR="00503542" w:rsidRPr="00715BD6" w14:paraId="413AA530" w14:textId="77777777" w:rsidTr="009D12D2">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5E36D439" w14:textId="6CB03B88" w:rsidR="00503542" w:rsidRPr="00715BD6" w:rsidRDefault="00503542" w:rsidP="00503542">
            <w:pPr>
              <w:suppressAutoHyphens/>
              <w:rPr>
                <w:b/>
                <w:sz w:val="22"/>
                <w:szCs w:val="22"/>
                <w:lang w:val="fr-CA" w:eastAsia="ar-SA"/>
              </w:rPr>
            </w:pPr>
            <w:r>
              <w:rPr>
                <w:b/>
                <w:sz w:val="22"/>
                <w:szCs w:val="22"/>
                <w:lang w:val="fr-CA" w:eastAsia="ar-SA"/>
              </w:rPr>
              <w:t>Paragraphe 2 du dispositif</w:t>
            </w:r>
          </w:p>
        </w:tc>
        <w:tc>
          <w:tcPr>
            <w:tcW w:w="8058" w:type="dxa"/>
            <w:tcBorders>
              <w:top w:val="single" w:sz="4" w:space="0" w:color="000000"/>
              <w:left w:val="single" w:sz="4" w:space="0" w:color="000000"/>
              <w:bottom w:val="single" w:sz="4" w:space="0" w:color="000000"/>
            </w:tcBorders>
            <w:shd w:val="clear" w:color="auto" w:fill="auto"/>
          </w:tcPr>
          <w:p w14:paraId="78788265" w14:textId="2D796F75" w:rsidR="00503542" w:rsidRPr="00E77877" w:rsidRDefault="00503542" w:rsidP="00503542">
            <w:pPr>
              <w:rPr>
                <w:sz w:val="22"/>
                <w:szCs w:val="22"/>
                <w:lang w:val="fr-CA"/>
              </w:rPr>
            </w:pPr>
            <w:r w:rsidRPr="00E77877">
              <w:rPr>
                <w:color w:val="000000"/>
                <w:sz w:val="22"/>
                <w:szCs w:val="22"/>
                <w:lang w:val="fr-CA"/>
              </w:rPr>
              <w:t>D’appeler les États membres de l’OEA qui</w:t>
            </w:r>
            <w:r w:rsidRPr="00E77877">
              <w:rPr>
                <w:b/>
                <w:color w:val="000000"/>
                <w:sz w:val="22"/>
                <w:szCs w:val="22"/>
                <w:lang w:val="fr-CA"/>
              </w:rPr>
              <w:t xml:space="preserve"> </w:t>
            </w:r>
            <w:r w:rsidRPr="00E77877">
              <w:rPr>
                <w:color w:val="000000"/>
                <w:sz w:val="22"/>
                <w:szCs w:val="22"/>
                <w:lang w:val="fr-CA"/>
              </w:rPr>
              <w:t>sont parties à l’Accord de Paris sur le changement climatique à poursuivre la dynamique de l’action climatique dans les Amériques.</w:t>
            </w:r>
          </w:p>
          <w:p w14:paraId="422F47EA" w14:textId="77777777" w:rsidR="00503542" w:rsidRPr="00E77877" w:rsidRDefault="00503542" w:rsidP="00503542">
            <w:pPr>
              <w:tabs>
                <w:tab w:val="left" w:pos="563"/>
              </w:tabs>
              <w:ind w:firstLine="23"/>
              <w:jc w:val="both"/>
              <w:rPr>
                <w:rFonts w:eastAsia="Calibri"/>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AE6B327" w14:textId="455DA1BA" w:rsidR="00503542" w:rsidRPr="00715BD6" w:rsidRDefault="00503542" w:rsidP="00503542">
            <w:pPr>
              <w:suppressAutoHyphens/>
              <w:rPr>
                <w:sz w:val="22"/>
                <w:szCs w:val="22"/>
                <w:lang w:val="fr-CA" w:eastAsia="ar-SA"/>
              </w:rPr>
            </w:pPr>
            <w:r>
              <w:rPr>
                <w:sz w:val="22"/>
                <w:szCs w:val="22"/>
                <w:lang w:val="fr-CA" w:eastAsia="ar-SA"/>
              </w:rPr>
              <w:t>États membres</w:t>
            </w:r>
          </w:p>
          <w:p w14:paraId="6F739C28" w14:textId="77777777" w:rsidR="00503542" w:rsidRPr="00715BD6" w:rsidRDefault="00503542" w:rsidP="00503542">
            <w:pPr>
              <w:suppressAutoHyphens/>
              <w:rPr>
                <w:sz w:val="22"/>
                <w:szCs w:val="22"/>
                <w:lang w:val="fr-CA" w:eastAsia="ar-SA"/>
              </w:rPr>
            </w:pPr>
          </w:p>
        </w:tc>
      </w:tr>
      <w:tr w:rsidR="00503542" w:rsidRPr="00947B8B" w14:paraId="297BA72E" w14:textId="77777777" w:rsidTr="009D12D2">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2B86C16F" w14:textId="06BCCB1B" w:rsidR="00503542" w:rsidRPr="00715BD6" w:rsidRDefault="00503542" w:rsidP="00503542">
            <w:pPr>
              <w:suppressAutoHyphens/>
              <w:rPr>
                <w:b/>
                <w:sz w:val="22"/>
                <w:szCs w:val="22"/>
                <w:lang w:val="fr-CA" w:eastAsia="ar-SA"/>
              </w:rPr>
            </w:pPr>
            <w:r>
              <w:rPr>
                <w:b/>
                <w:sz w:val="22"/>
                <w:szCs w:val="22"/>
                <w:lang w:val="fr-CA" w:eastAsia="ar-SA"/>
              </w:rPr>
              <w:t>Paragraphe 3 du dispositif</w:t>
            </w:r>
          </w:p>
        </w:tc>
        <w:tc>
          <w:tcPr>
            <w:tcW w:w="8058" w:type="dxa"/>
            <w:tcBorders>
              <w:top w:val="single" w:sz="4" w:space="0" w:color="000000"/>
              <w:left w:val="single" w:sz="4" w:space="0" w:color="000000"/>
              <w:bottom w:val="single" w:sz="4" w:space="0" w:color="000000"/>
            </w:tcBorders>
            <w:shd w:val="clear" w:color="auto" w:fill="auto"/>
          </w:tcPr>
          <w:p w14:paraId="6BB7847B" w14:textId="7787E395" w:rsidR="00503542" w:rsidRPr="00E77877" w:rsidRDefault="00E77877" w:rsidP="00503542">
            <w:pPr>
              <w:jc w:val="both"/>
              <w:rPr>
                <w:color w:val="000000"/>
                <w:sz w:val="22"/>
                <w:szCs w:val="22"/>
                <w:lang w:val="fr-CA"/>
              </w:rPr>
            </w:pPr>
            <w:r w:rsidRPr="00E77877">
              <w:rPr>
                <w:sz w:val="22"/>
                <w:szCs w:val="22"/>
                <w:lang w:val="fr-CA"/>
              </w:rPr>
              <w:t>D’inviter les États membres, s’ils le jugent approprié, à engager des observateurs permanents en consultation avec le Secrétariat général, et demander au Secrétariat général d’inciter les donateurs à faire progresser et à promouvoir le financement, entre autres, du renforcement des capacités, de l’amélioration du développement technologique et du transfert volontaire à des conditions mutuellement convenues, en tenant compte des besoins exprimés par les États membres, afin d’aider ces États à mettre en œuvre leurs objectifs environnementaux, à explorer le potentiel des approches écosystémiques et des solutions fondées sur la nature pour faire face au changement climatique, ainsi qu’à soutenir leurs réponses sur le plan des politiques nationales pour stimuler la croissance économique</w:t>
            </w:r>
            <w:r w:rsidR="00503542" w:rsidRPr="00E77877">
              <w:rPr>
                <w:sz w:val="22"/>
                <w:szCs w:val="22"/>
                <w:lang w:val="fr-CA"/>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89DCA37" w14:textId="55E30AF8" w:rsidR="00503542" w:rsidRPr="00715BD6" w:rsidRDefault="00503542" w:rsidP="00503542">
            <w:pPr>
              <w:suppressAutoHyphens/>
              <w:rPr>
                <w:sz w:val="22"/>
                <w:szCs w:val="22"/>
                <w:lang w:val="fr-CA" w:eastAsia="ar-SA"/>
              </w:rPr>
            </w:pPr>
            <w:r>
              <w:rPr>
                <w:sz w:val="22"/>
                <w:szCs w:val="22"/>
                <w:lang w:val="fr-CA" w:eastAsia="ar-SA"/>
              </w:rPr>
              <w:t>États membres</w:t>
            </w:r>
          </w:p>
          <w:p w14:paraId="0C59A9B7" w14:textId="39DA20E4" w:rsidR="00503542" w:rsidRPr="00715BD6" w:rsidRDefault="00E77877" w:rsidP="00503542">
            <w:pPr>
              <w:suppressAutoHyphens/>
              <w:rPr>
                <w:sz w:val="22"/>
                <w:szCs w:val="22"/>
                <w:lang w:val="fr-CA" w:eastAsia="ar-SA"/>
              </w:rPr>
            </w:pPr>
            <w:r>
              <w:rPr>
                <w:sz w:val="22"/>
                <w:szCs w:val="22"/>
                <w:lang w:val="fr-CA" w:eastAsia="ar-SA"/>
              </w:rPr>
              <w:t>Observateurs permanents</w:t>
            </w:r>
          </w:p>
          <w:p w14:paraId="7A62559F" w14:textId="64D21AF3" w:rsidR="00503542" w:rsidRPr="00715BD6" w:rsidRDefault="00E77877" w:rsidP="00E77877">
            <w:pPr>
              <w:suppressAutoHyphens/>
              <w:rPr>
                <w:sz w:val="22"/>
                <w:szCs w:val="22"/>
                <w:lang w:val="fr-CA" w:eastAsia="ar-SA"/>
              </w:rPr>
            </w:pPr>
            <w:r>
              <w:rPr>
                <w:sz w:val="22"/>
                <w:szCs w:val="22"/>
                <w:lang w:val="fr-CA" w:eastAsia="ar-SA"/>
              </w:rPr>
              <w:t xml:space="preserve">Secrétariat général </w:t>
            </w:r>
          </w:p>
        </w:tc>
      </w:tr>
      <w:tr w:rsidR="00503542" w:rsidRPr="00715BD6" w14:paraId="460B9AA9" w14:textId="77777777" w:rsidTr="009D12D2">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7BD38C80" w14:textId="6CC4BE7B" w:rsidR="00503542" w:rsidRPr="00715BD6" w:rsidRDefault="00503542" w:rsidP="00503542">
            <w:pPr>
              <w:suppressAutoHyphens/>
              <w:rPr>
                <w:b/>
                <w:sz w:val="22"/>
                <w:szCs w:val="22"/>
                <w:lang w:val="fr-CA" w:eastAsia="ar-SA"/>
              </w:rPr>
            </w:pPr>
            <w:r>
              <w:rPr>
                <w:b/>
                <w:sz w:val="22"/>
                <w:szCs w:val="22"/>
                <w:lang w:val="fr-CA" w:eastAsia="ar-SA"/>
              </w:rPr>
              <w:lastRenderedPageBreak/>
              <w:t>Paragraphe 4 du dispositif</w:t>
            </w:r>
          </w:p>
        </w:tc>
        <w:tc>
          <w:tcPr>
            <w:tcW w:w="8058" w:type="dxa"/>
            <w:tcBorders>
              <w:top w:val="single" w:sz="4" w:space="0" w:color="000000"/>
              <w:left w:val="single" w:sz="4" w:space="0" w:color="000000"/>
              <w:bottom w:val="single" w:sz="4" w:space="0" w:color="000000"/>
            </w:tcBorders>
            <w:shd w:val="clear" w:color="auto" w:fill="auto"/>
          </w:tcPr>
          <w:p w14:paraId="754993B6" w14:textId="0811E549" w:rsidR="00503542" w:rsidRPr="00E77877" w:rsidRDefault="00E77877" w:rsidP="00503542">
            <w:pPr>
              <w:suppressAutoHyphens/>
              <w:jc w:val="both"/>
              <w:textAlignment w:val="baseline"/>
              <w:rPr>
                <w:sz w:val="22"/>
                <w:szCs w:val="22"/>
                <w:lang w:val="fr-CA"/>
              </w:rPr>
            </w:pPr>
            <w:r w:rsidRPr="00E77877">
              <w:rPr>
                <w:sz w:val="22"/>
                <w:szCs w:val="22"/>
                <w:lang w:val="fr-CA"/>
              </w:rPr>
              <w:t>De demander au Secrétariat général d’user de ses bons offices pour plaider en faveur de solutions de financement nouvelles et accélérées, et améliorer l’accès aux mécanismes de soutien technique et financier existants, le cas échéant, pour faire avancer la riposte continentale aux crises de la pandémie de COVID-19 ainsi qu’au changement climatique</w:t>
            </w:r>
            <w:r w:rsidR="00503542" w:rsidRPr="00E77877">
              <w:rPr>
                <w:sz w:val="22"/>
                <w:szCs w:val="22"/>
                <w:lang w:val="fr-CA"/>
              </w:rPr>
              <w:t>.</w:t>
            </w:r>
          </w:p>
          <w:p w14:paraId="7DC1F9FD" w14:textId="77777777" w:rsidR="00503542" w:rsidRPr="00E77877" w:rsidRDefault="00503542" w:rsidP="00503542">
            <w:pPr>
              <w:rPr>
                <w:color w:val="000000"/>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5A069E8" w14:textId="5C95153E" w:rsidR="00503542" w:rsidRPr="00715BD6" w:rsidRDefault="00E77877" w:rsidP="00E77877">
            <w:pPr>
              <w:suppressAutoHyphens/>
              <w:rPr>
                <w:sz w:val="22"/>
                <w:szCs w:val="22"/>
                <w:lang w:val="fr-CA" w:eastAsia="ar-SA"/>
              </w:rPr>
            </w:pPr>
            <w:r>
              <w:rPr>
                <w:sz w:val="22"/>
                <w:szCs w:val="22"/>
                <w:lang w:val="fr-CA" w:eastAsia="ar-SA"/>
              </w:rPr>
              <w:t>Secrétariat général</w:t>
            </w:r>
          </w:p>
        </w:tc>
      </w:tr>
    </w:tbl>
    <w:p w14:paraId="01E0099E" w14:textId="77777777" w:rsidR="00C336A5" w:rsidRPr="00715BD6" w:rsidRDefault="00C336A5" w:rsidP="00FE18BE">
      <w:pPr>
        <w:suppressAutoHyphens/>
        <w:rPr>
          <w:sz w:val="22"/>
          <w:szCs w:val="22"/>
          <w:lang w:val="fr-CA" w:eastAsia="ar-SA"/>
        </w:rPr>
      </w:pPr>
    </w:p>
    <w:p w14:paraId="0ADDAA73" w14:textId="5F1FB9F8" w:rsidR="00FE18BE" w:rsidRPr="00715BD6" w:rsidRDefault="00EA34F4" w:rsidP="00FE18BE">
      <w:pPr>
        <w:numPr>
          <w:ilvl w:val="0"/>
          <w:numId w:val="1"/>
        </w:numPr>
        <w:suppressAutoHyphens/>
        <w:ind w:left="720" w:hanging="720"/>
        <w:jc w:val="both"/>
        <w:rPr>
          <w:sz w:val="22"/>
          <w:szCs w:val="22"/>
          <w:u w:val="single"/>
          <w:lang w:val="fr-CA" w:eastAsia="ar-SA"/>
        </w:rPr>
      </w:pPr>
      <w:r>
        <w:rPr>
          <w:sz w:val="22"/>
          <w:szCs w:val="22"/>
          <w:u w:val="single"/>
          <w:lang w:val="fr-CA" w:eastAsia="ar-SA"/>
        </w:rPr>
        <w:t>Mandat</w:t>
      </w:r>
      <w:r w:rsidR="00FE18BE" w:rsidRPr="00715BD6">
        <w:rPr>
          <w:sz w:val="22"/>
          <w:szCs w:val="22"/>
          <w:u w:val="single"/>
          <w:lang w:val="fr-CA" w:eastAsia="ar-SA"/>
        </w:rPr>
        <w:t>s cont</w:t>
      </w:r>
      <w:r>
        <w:rPr>
          <w:sz w:val="22"/>
          <w:szCs w:val="22"/>
          <w:u w:val="single"/>
          <w:lang w:val="fr-CA" w:eastAsia="ar-SA"/>
        </w:rPr>
        <w:t>enus dans la résolution</w:t>
      </w:r>
      <w:r w:rsidR="00FE18BE" w:rsidRPr="00715BD6">
        <w:rPr>
          <w:sz w:val="22"/>
          <w:szCs w:val="22"/>
          <w:u w:val="single"/>
          <w:lang w:val="fr-CA" w:eastAsia="ar-SA"/>
        </w:rPr>
        <w:t xml:space="preserve"> AG/RES. 29</w:t>
      </w:r>
      <w:r w:rsidR="00317CE2" w:rsidRPr="00715BD6">
        <w:rPr>
          <w:sz w:val="22"/>
          <w:szCs w:val="22"/>
          <w:u w:val="single"/>
          <w:lang w:val="fr-CA" w:eastAsia="ar-SA"/>
        </w:rPr>
        <w:t>55 (</w:t>
      </w:r>
      <w:r w:rsidR="00FE18BE" w:rsidRPr="00715BD6">
        <w:rPr>
          <w:sz w:val="22"/>
          <w:szCs w:val="22"/>
          <w:u w:val="single"/>
          <w:lang w:val="fr-CA" w:eastAsia="ar-SA"/>
        </w:rPr>
        <w:t>L-O/</w:t>
      </w:r>
      <w:r w:rsidR="00317CE2" w:rsidRPr="00715BD6">
        <w:rPr>
          <w:sz w:val="22"/>
          <w:szCs w:val="22"/>
          <w:u w:val="single"/>
          <w:lang w:val="fr-CA" w:eastAsia="ar-SA"/>
        </w:rPr>
        <w:t>20</w:t>
      </w:r>
      <w:r w:rsidR="00FE18BE" w:rsidRPr="00715BD6">
        <w:rPr>
          <w:sz w:val="22"/>
          <w:szCs w:val="22"/>
          <w:u w:val="single"/>
          <w:lang w:val="fr-CA" w:eastAsia="ar-SA"/>
        </w:rPr>
        <w:t>), “</w:t>
      </w:r>
      <w:r>
        <w:rPr>
          <w:sz w:val="22"/>
          <w:szCs w:val="22"/>
          <w:u w:val="single"/>
          <w:lang w:val="fr-CA" w:eastAsia="ar-SA"/>
        </w:rPr>
        <w:t>Encourager les initiatives continentales en matière de développement intégré : Promotion de la résilience</w:t>
      </w:r>
      <w:r w:rsidR="00FE18BE" w:rsidRPr="00715BD6">
        <w:rPr>
          <w:sz w:val="22"/>
          <w:szCs w:val="22"/>
          <w:u w:val="single"/>
          <w:lang w:val="fr-CA" w:eastAsia="ar-SA"/>
        </w:rPr>
        <w:t>”</w:t>
      </w:r>
    </w:p>
    <w:p w14:paraId="74E0AC28" w14:textId="77777777" w:rsidR="00FE18BE" w:rsidRPr="00715BD6" w:rsidRDefault="00FE18BE" w:rsidP="00FE18BE">
      <w:pPr>
        <w:suppressAutoHyphens/>
        <w:jc w:val="both"/>
        <w:rPr>
          <w:sz w:val="22"/>
          <w:szCs w:val="22"/>
          <w:lang w:val="fr-CA" w:eastAsia="ar-SA"/>
        </w:rPr>
      </w:pPr>
    </w:p>
    <w:tbl>
      <w:tblPr>
        <w:tblW w:w="12826" w:type="dxa"/>
        <w:jc w:val="center"/>
        <w:tblLayout w:type="fixed"/>
        <w:tblLook w:val="0000" w:firstRow="0" w:lastRow="0" w:firstColumn="0" w:lastColumn="0" w:noHBand="0" w:noVBand="0"/>
      </w:tblPr>
      <w:tblGrid>
        <w:gridCol w:w="2558"/>
        <w:gridCol w:w="7740"/>
        <w:gridCol w:w="2528"/>
      </w:tblGrid>
      <w:tr w:rsidR="00FE18BE" w:rsidRPr="00715BD6" w14:paraId="7A039D13" w14:textId="77777777" w:rsidTr="00604D1D">
        <w:trPr>
          <w:trHeight w:val="611"/>
          <w:tblHeader/>
          <w:jc w:val="center"/>
        </w:trPr>
        <w:tc>
          <w:tcPr>
            <w:tcW w:w="2558" w:type="dxa"/>
            <w:tcBorders>
              <w:top w:val="single" w:sz="4" w:space="0" w:color="000000"/>
              <w:left w:val="single" w:sz="4" w:space="0" w:color="000000"/>
              <w:bottom w:val="single" w:sz="4" w:space="0" w:color="000000"/>
            </w:tcBorders>
            <w:shd w:val="clear" w:color="auto" w:fill="C6D9F1"/>
            <w:vAlign w:val="center"/>
          </w:tcPr>
          <w:p w14:paraId="6A397C12" w14:textId="77777777" w:rsidR="00FE18BE" w:rsidRPr="00715BD6" w:rsidRDefault="00317CE2" w:rsidP="00317CE2">
            <w:pPr>
              <w:suppressAutoHyphens/>
              <w:jc w:val="center"/>
              <w:rPr>
                <w:b/>
                <w:sz w:val="22"/>
                <w:szCs w:val="22"/>
                <w:lang w:val="fr-CA" w:eastAsia="ar-SA"/>
              </w:rPr>
            </w:pPr>
            <w:r w:rsidRPr="00715BD6">
              <w:rPr>
                <w:b/>
                <w:bCs/>
                <w:sz w:val="22"/>
                <w:szCs w:val="22"/>
                <w:lang w:val="fr-CA" w:eastAsia="ar-SA"/>
              </w:rPr>
              <w:t>AG/RES. 2955 (L-O/20</w:t>
            </w:r>
            <w:r w:rsidR="00FE18BE" w:rsidRPr="00715BD6">
              <w:rPr>
                <w:b/>
                <w:bCs/>
                <w:sz w:val="22"/>
                <w:szCs w:val="22"/>
                <w:lang w:val="fr-CA" w:eastAsia="ar-SA"/>
              </w:rPr>
              <w:t>)</w:t>
            </w:r>
          </w:p>
        </w:tc>
        <w:tc>
          <w:tcPr>
            <w:tcW w:w="7740" w:type="dxa"/>
            <w:tcBorders>
              <w:top w:val="single" w:sz="4" w:space="0" w:color="000000"/>
              <w:left w:val="single" w:sz="4" w:space="0" w:color="000000"/>
              <w:bottom w:val="single" w:sz="4" w:space="0" w:color="000000"/>
            </w:tcBorders>
            <w:shd w:val="clear" w:color="auto" w:fill="C6D9F1"/>
            <w:vAlign w:val="center"/>
          </w:tcPr>
          <w:p w14:paraId="3A59B1B4" w14:textId="73E4AFE6" w:rsidR="00FE18BE" w:rsidRPr="00715BD6" w:rsidRDefault="00EA34F4" w:rsidP="00FE18BE">
            <w:pPr>
              <w:ind w:left="20"/>
              <w:jc w:val="center"/>
              <w:rPr>
                <w:b/>
                <w:sz w:val="22"/>
                <w:szCs w:val="22"/>
                <w:lang w:val="fr-CA" w:eastAsia="ar-SA"/>
              </w:rPr>
            </w:pPr>
            <w:r>
              <w:rPr>
                <w:b/>
                <w:bCs/>
                <w:sz w:val="22"/>
                <w:szCs w:val="22"/>
                <w:lang w:val="fr-CA" w:eastAsia="ar-SA"/>
              </w:rPr>
              <w:t>MANDAT</w:t>
            </w:r>
            <w:r w:rsidR="00FE18BE" w:rsidRPr="00715BD6">
              <w:rPr>
                <w:b/>
                <w:bCs/>
                <w:sz w:val="22"/>
                <w:szCs w:val="22"/>
                <w:lang w:val="fr-CA" w:eastAsia="ar-SA"/>
              </w:rPr>
              <w:t>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032733" w14:textId="2FBA2616" w:rsidR="00FE18BE" w:rsidRPr="00715BD6" w:rsidRDefault="00FE18BE" w:rsidP="00EA34F4">
            <w:pPr>
              <w:suppressAutoHyphens/>
              <w:jc w:val="center"/>
              <w:rPr>
                <w:b/>
                <w:bCs/>
                <w:sz w:val="22"/>
                <w:szCs w:val="22"/>
                <w:lang w:val="fr-CA" w:eastAsia="ar-SA"/>
              </w:rPr>
            </w:pPr>
            <w:r w:rsidRPr="00715BD6">
              <w:rPr>
                <w:b/>
                <w:bCs/>
                <w:sz w:val="22"/>
                <w:szCs w:val="22"/>
                <w:lang w:val="fr-CA" w:eastAsia="ar-SA"/>
              </w:rPr>
              <w:t>RESPONS</w:t>
            </w:r>
            <w:r w:rsidR="00EA34F4">
              <w:rPr>
                <w:b/>
                <w:bCs/>
                <w:sz w:val="22"/>
                <w:szCs w:val="22"/>
                <w:lang w:val="fr-CA" w:eastAsia="ar-SA"/>
              </w:rPr>
              <w:t>ABILITÉ</w:t>
            </w:r>
          </w:p>
        </w:tc>
      </w:tr>
      <w:tr w:rsidR="00FE18BE" w:rsidRPr="00715BD6" w14:paraId="1260F6D2" w14:textId="77777777" w:rsidTr="00604D1D">
        <w:trPr>
          <w:trHeight w:val="809"/>
          <w:jc w:val="center"/>
        </w:trPr>
        <w:tc>
          <w:tcPr>
            <w:tcW w:w="2558" w:type="dxa"/>
            <w:tcBorders>
              <w:top w:val="single" w:sz="4" w:space="0" w:color="000000"/>
              <w:left w:val="single" w:sz="4" w:space="0" w:color="000000"/>
              <w:bottom w:val="single" w:sz="4" w:space="0" w:color="000000"/>
            </w:tcBorders>
            <w:shd w:val="clear" w:color="auto" w:fill="auto"/>
          </w:tcPr>
          <w:p w14:paraId="623B562A" w14:textId="0B7546ED" w:rsidR="00595EDF" w:rsidRPr="00715BD6" w:rsidRDefault="004B74F4" w:rsidP="00595EDF">
            <w:pPr>
              <w:pStyle w:val="ListParagraph"/>
              <w:numPr>
                <w:ilvl w:val="0"/>
                <w:numId w:val="14"/>
              </w:numPr>
              <w:ind w:left="337" w:hanging="270"/>
              <w:textAlignment w:val="baseline"/>
              <w:rPr>
                <w:b/>
                <w:color w:val="000000"/>
                <w:sz w:val="22"/>
                <w:szCs w:val="22"/>
                <w:lang w:val="fr-CA"/>
              </w:rPr>
            </w:pPr>
            <w:r>
              <w:rPr>
                <w:b/>
                <w:color w:val="000000"/>
                <w:sz w:val="22"/>
                <w:szCs w:val="22"/>
                <w:lang w:val="fr-CA"/>
              </w:rPr>
              <w:t>Ligne stratégique </w:t>
            </w:r>
            <w:r w:rsidR="00595EDF" w:rsidRPr="00715BD6">
              <w:rPr>
                <w:b/>
                <w:color w:val="000000"/>
                <w:sz w:val="22"/>
                <w:szCs w:val="22"/>
                <w:lang w:val="fr-CA"/>
              </w:rPr>
              <w:t>: “Promo</w:t>
            </w:r>
            <w:r>
              <w:rPr>
                <w:b/>
                <w:color w:val="000000"/>
                <w:sz w:val="22"/>
                <w:szCs w:val="22"/>
                <w:lang w:val="fr-CA"/>
              </w:rPr>
              <w:t>uvoir des économies inclusives et compétitives</w:t>
            </w:r>
            <w:r w:rsidR="00595EDF" w:rsidRPr="00715BD6">
              <w:rPr>
                <w:b/>
                <w:color w:val="000000"/>
                <w:sz w:val="22"/>
                <w:szCs w:val="22"/>
                <w:lang w:val="fr-CA"/>
              </w:rPr>
              <w:t>”</w:t>
            </w:r>
          </w:p>
          <w:p w14:paraId="77ADE207" w14:textId="77777777" w:rsidR="00FE18BE" w:rsidRPr="00715BD6" w:rsidRDefault="00FE18BE" w:rsidP="00FE18BE">
            <w:pPr>
              <w:suppressAutoHyphens/>
              <w:rPr>
                <w:b/>
                <w:sz w:val="22"/>
                <w:szCs w:val="22"/>
                <w:lang w:val="fr-CA" w:eastAsia="ar-SA"/>
              </w:rPr>
            </w:pPr>
          </w:p>
        </w:tc>
        <w:tc>
          <w:tcPr>
            <w:tcW w:w="7740" w:type="dxa"/>
            <w:tcBorders>
              <w:top w:val="single" w:sz="4" w:space="0" w:color="000000"/>
              <w:left w:val="single" w:sz="4" w:space="0" w:color="000000"/>
              <w:bottom w:val="single" w:sz="4" w:space="0" w:color="000000"/>
            </w:tcBorders>
            <w:shd w:val="clear" w:color="auto" w:fill="auto"/>
          </w:tcPr>
          <w:p w14:paraId="7089C7E8" w14:textId="51CBC06C" w:rsidR="00595EDF" w:rsidRPr="004B74F4" w:rsidRDefault="00595EDF" w:rsidP="00595EDF">
            <w:pPr>
              <w:ind w:firstLine="720"/>
              <w:jc w:val="both"/>
              <w:rPr>
                <w:bCs/>
                <w:color w:val="000000"/>
                <w:sz w:val="22"/>
                <w:szCs w:val="22"/>
                <w:lang w:val="fr-CA"/>
              </w:rPr>
            </w:pPr>
            <w:r w:rsidRPr="004B74F4">
              <w:rPr>
                <w:bCs/>
                <w:color w:val="000000"/>
                <w:sz w:val="22"/>
                <w:szCs w:val="22"/>
                <w:lang w:val="fr-CA"/>
              </w:rPr>
              <w:t>3.</w:t>
            </w:r>
            <w:r w:rsidRPr="004B74F4">
              <w:rPr>
                <w:bCs/>
                <w:color w:val="000000"/>
                <w:sz w:val="22"/>
                <w:szCs w:val="22"/>
                <w:lang w:val="fr-CA"/>
              </w:rPr>
              <w:tab/>
            </w:r>
            <w:r w:rsidR="004B74F4" w:rsidRPr="004B74F4">
              <w:rPr>
                <w:color w:val="000000"/>
                <w:sz w:val="22"/>
                <w:szCs w:val="22"/>
                <w:lang w:val="fr-FR"/>
              </w:rPr>
              <w:t xml:space="preserve">D’exhorter les États membres à renforcer le Groupe virtuel d’experts dans le cadre de </w:t>
            </w:r>
            <w:r w:rsidR="004B74F4" w:rsidRPr="004B74F4">
              <w:rPr>
                <w:i/>
                <w:color w:val="000000"/>
                <w:sz w:val="22"/>
                <w:szCs w:val="22"/>
                <w:lang w:val="fr-FR"/>
              </w:rPr>
              <w:t>Prospecta Américas</w:t>
            </w:r>
            <w:r w:rsidR="004B74F4" w:rsidRPr="004B74F4">
              <w:rPr>
                <w:color w:val="000000"/>
                <w:sz w:val="22"/>
                <w:szCs w:val="22"/>
                <w:lang w:val="fr-FR"/>
              </w:rPr>
              <w:t xml:space="preserve"> de la Commission interaméricaine de la science et de la technologie (COMCyT), par le biais d’échanges de bonnes pratiques, de données d’expériences, de possibilités de formation et d’assistance technique, afin de répondre aux impératifs de développement dans les Amériques, y compris ceux qui résultent de la COVID-19. De même, d’encourager les États membres qui s’intéressent aux technologies transformatrices et disposent déjà de capacités dans ce domaine à rejoindre le réseau de centres d’excellence interaméricains en matière de prospective technologique de la COMCyT, afin de compléter les ressources et les capacités régionales, de réaliser des études, de développer des axes de recherche et d’autres activités de collaboration pour relever les défis stratégiques dans les Amériques, et de soutenir le relèvement économique en apportant des technologies, des connaissances, des emplois et de la croissance aux pays de la région. Les contributions ne doivent pas être interprétées comme des mandats qui présupposent ou entraînent des décaissements financiers comme condition de participation</w:t>
            </w:r>
            <w:r w:rsidRPr="004B74F4">
              <w:rPr>
                <w:bCs/>
                <w:color w:val="000000"/>
                <w:sz w:val="22"/>
                <w:szCs w:val="22"/>
                <w:lang w:val="fr-CA"/>
              </w:rPr>
              <w:t>.</w:t>
            </w:r>
          </w:p>
          <w:p w14:paraId="70C70717" w14:textId="77777777" w:rsidR="00595EDF" w:rsidRPr="004B74F4" w:rsidRDefault="00595EDF" w:rsidP="00595EDF">
            <w:pPr>
              <w:jc w:val="both"/>
              <w:rPr>
                <w:sz w:val="22"/>
                <w:szCs w:val="22"/>
                <w:lang w:val="fr-CA"/>
              </w:rPr>
            </w:pPr>
          </w:p>
          <w:p w14:paraId="1E67E848" w14:textId="557FE3A9" w:rsidR="00595EDF" w:rsidRPr="004B74F4" w:rsidRDefault="00595EDF" w:rsidP="00595EDF">
            <w:pPr>
              <w:ind w:firstLine="720"/>
              <w:jc w:val="both"/>
              <w:rPr>
                <w:bCs/>
                <w:color w:val="000000"/>
                <w:sz w:val="22"/>
                <w:szCs w:val="22"/>
                <w:lang w:val="fr-CA"/>
              </w:rPr>
            </w:pPr>
            <w:r w:rsidRPr="004B74F4">
              <w:rPr>
                <w:bCs/>
                <w:color w:val="000000"/>
                <w:sz w:val="22"/>
                <w:szCs w:val="22"/>
                <w:lang w:val="fr-CA"/>
              </w:rPr>
              <w:t>4.</w:t>
            </w:r>
            <w:r w:rsidRPr="004B74F4">
              <w:rPr>
                <w:bCs/>
                <w:color w:val="000000"/>
                <w:sz w:val="22"/>
                <w:szCs w:val="22"/>
                <w:lang w:val="fr-CA"/>
              </w:rPr>
              <w:tab/>
            </w:r>
            <w:r w:rsidR="004B74F4" w:rsidRPr="004B74F4">
              <w:rPr>
                <w:color w:val="000000"/>
                <w:sz w:val="22"/>
                <w:szCs w:val="22"/>
                <w:lang w:val="fr-FR"/>
              </w:rPr>
              <w:t xml:space="preserve">De charger le Secrétariat exécutif au développement intégré (SEDI) de continuer à soutenir le travail de la COMCyT dans la réalisation de ses activités, notamment la deuxième édition du séminaire </w:t>
            </w:r>
            <w:r w:rsidR="004B74F4" w:rsidRPr="004B74F4">
              <w:rPr>
                <w:i/>
                <w:color w:val="000000"/>
                <w:sz w:val="22"/>
                <w:szCs w:val="22"/>
                <w:lang w:val="fr-FR"/>
              </w:rPr>
              <w:t>Prospecta Américas</w:t>
            </w:r>
            <w:r w:rsidR="004B74F4" w:rsidRPr="004B74F4">
              <w:rPr>
                <w:color w:val="000000"/>
                <w:sz w:val="22"/>
                <w:szCs w:val="22"/>
                <w:lang w:val="fr-FR"/>
              </w:rPr>
              <w:t xml:space="preserve"> prévue à Hidalgo (Mexique), ainsi que le Réseau interaméricain de compétitivité (RIAC) et les Échanges pour la compétitivité des Amériques (ACE), et d’encourager la pleine participation des États membres au plus haut niveau possible</w:t>
            </w:r>
            <w:r w:rsidRPr="004B74F4">
              <w:rPr>
                <w:bCs/>
                <w:color w:val="000000"/>
                <w:sz w:val="22"/>
                <w:szCs w:val="22"/>
                <w:lang w:val="fr-CA"/>
              </w:rPr>
              <w:t>.</w:t>
            </w:r>
          </w:p>
          <w:p w14:paraId="1346CD6D" w14:textId="77777777" w:rsidR="00595EDF" w:rsidRPr="004B74F4" w:rsidRDefault="00595EDF" w:rsidP="00595EDF">
            <w:pPr>
              <w:jc w:val="both"/>
              <w:rPr>
                <w:sz w:val="22"/>
                <w:szCs w:val="22"/>
                <w:lang w:val="fr-CA"/>
              </w:rPr>
            </w:pPr>
          </w:p>
          <w:p w14:paraId="1E439C13" w14:textId="25E98035" w:rsidR="00595EDF" w:rsidRPr="004B74F4" w:rsidRDefault="00595EDF" w:rsidP="00595EDF">
            <w:pPr>
              <w:ind w:firstLine="720"/>
              <w:jc w:val="both"/>
              <w:rPr>
                <w:color w:val="000000"/>
                <w:sz w:val="22"/>
                <w:szCs w:val="22"/>
                <w:shd w:val="clear" w:color="auto" w:fill="00FFFF"/>
                <w:lang w:val="fr-CA"/>
              </w:rPr>
            </w:pPr>
            <w:r w:rsidRPr="004B74F4">
              <w:rPr>
                <w:color w:val="000000"/>
                <w:sz w:val="22"/>
                <w:szCs w:val="22"/>
                <w:lang w:val="fr-CA"/>
              </w:rPr>
              <w:lastRenderedPageBreak/>
              <w:t>5.</w:t>
            </w:r>
            <w:r w:rsidRPr="004B74F4">
              <w:rPr>
                <w:color w:val="000000"/>
                <w:sz w:val="22"/>
                <w:szCs w:val="22"/>
                <w:lang w:val="fr-CA"/>
              </w:rPr>
              <w:tab/>
            </w:r>
            <w:r w:rsidR="004B74F4" w:rsidRPr="004B74F4">
              <w:rPr>
                <w:color w:val="202124"/>
                <w:sz w:val="22"/>
                <w:szCs w:val="22"/>
                <w:lang w:val="fr-FR"/>
              </w:rPr>
              <w:t>De charger le SEDI de continuer à soutenir tous les États membres, pendant la période triennale 2019-2022, dans la mise en œuvre du programme de l’OEA pour la numérisation des MPME, lequel vise à permettre aux micro, petites et moyennes entreprises de passer au numérique grâce à des processus de formation et de soutien technique, qui leur permettent de créer des sites web gratuits, entre autres outils technologiques nécessaires à leur survie et à un développement économique réussi. Les résultats préliminaires seront partagés lors du Septième Dialogue interaméricain des chefs de microentreprises et de petites et moyennes entreprises (MPME), qui se tiendra au Chili en 2021. En outre, le SEDI continuera à promouvoir et à soutenir, dans la mesure où les ressources le permettent, le renforcement des capacités et le soutien technique du programme des centres de développement des petites entreprises (SBDC) dans la région, afin d’aider les États membres à améliorer la résilience, la compétitivité et l’internationalisation des MPME et à répondre de manière adéquate aux besoins des économies locales à la suite de la pandémie de COVID-19</w:t>
            </w:r>
            <w:r w:rsidRPr="004B74F4">
              <w:rPr>
                <w:color w:val="333333"/>
                <w:sz w:val="22"/>
                <w:szCs w:val="22"/>
                <w:lang w:val="fr-CA"/>
              </w:rPr>
              <w:t>.</w:t>
            </w:r>
          </w:p>
          <w:p w14:paraId="22C757B3" w14:textId="77777777" w:rsidR="00595EDF" w:rsidRPr="004B74F4" w:rsidRDefault="00595EDF" w:rsidP="00595EDF">
            <w:pPr>
              <w:tabs>
                <w:tab w:val="left" w:pos="1177"/>
              </w:tabs>
              <w:jc w:val="both"/>
              <w:rPr>
                <w:sz w:val="22"/>
                <w:szCs w:val="22"/>
                <w:lang w:val="fr-CA"/>
              </w:rPr>
            </w:pPr>
          </w:p>
          <w:p w14:paraId="547C3CDA" w14:textId="63462572" w:rsidR="00595EDF" w:rsidRPr="004B74F4" w:rsidRDefault="00595EDF" w:rsidP="00595EDF">
            <w:pPr>
              <w:ind w:firstLine="720"/>
              <w:jc w:val="both"/>
              <w:rPr>
                <w:bCs/>
                <w:color w:val="000000"/>
                <w:sz w:val="22"/>
                <w:szCs w:val="22"/>
                <w:lang w:val="fr-CA"/>
              </w:rPr>
            </w:pPr>
            <w:r w:rsidRPr="004B74F4">
              <w:rPr>
                <w:bCs/>
                <w:color w:val="000000"/>
                <w:sz w:val="22"/>
                <w:szCs w:val="22"/>
                <w:lang w:val="fr-CA"/>
              </w:rPr>
              <w:t>6.</w:t>
            </w:r>
            <w:r w:rsidRPr="004B74F4">
              <w:rPr>
                <w:bCs/>
                <w:color w:val="000000"/>
                <w:sz w:val="22"/>
                <w:szCs w:val="22"/>
                <w:lang w:val="fr-CA"/>
              </w:rPr>
              <w:tab/>
            </w:r>
            <w:r w:rsidR="004B74F4" w:rsidRPr="004B74F4">
              <w:rPr>
                <w:color w:val="000000"/>
                <w:sz w:val="22"/>
                <w:szCs w:val="22"/>
                <w:lang w:val="fr-FR"/>
              </w:rPr>
              <w:t>De charger le SEDI, en sa qualité de Secrétariat technique de la Commission interaméricaine du tourisme (CITUR), de continuer à soutenir les efforts des États membres dans le cadre du CITUR, en suivant les dispositions des Déclarations de Lima et de Georgetown ainsi que celles du Plan de travail du CITUR et en tenant compte du contexte de chaque pays, afin de stimuler la reprise du secteur du tourisme après l’impact de la pandémie COVID-19 et de continuer à travailler à la création d’un modèle de gestion pour le développement durable du tourisme communautaire rural dans les Amériques, en tenant compte des modèles et initiatives nationaux et internationaux existants, tels que les recommandations émises par l’Organisation mondiale du tourisme (OMT) en 2020, dont le thème déclaré est « Tourisme et développement rural »</w:t>
            </w:r>
            <w:r w:rsidRPr="004B74F4">
              <w:rPr>
                <w:bCs/>
                <w:color w:val="000000"/>
                <w:sz w:val="22"/>
                <w:szCs w:val="22"/>
                <w:lang w:val="fr-CA"/>
              </w:rPr>
              <w:t>.</w:t>
            </w:r>
          </w:p>
          <w:p w14:paraId="3D375455" w14:textId="77777777" w:rsidR="00595EDF" w:rsidRPr="004B74F4" w:rsidRDefault="00595EDF" w:rsidP="00595EDF">
            <w:pPr>
              <w:jc w:val="both"/>
              <w:rPr>
                <w:sz w:val="22"/>
                <w:szCs w:val="22"/>
                <w:lang w:val="fr-CA"/>
              </w:rPr>
            </w:pPr>
          </w:p>
          <w:p w14:paraId="0EAB1241" w14:textId="5A5882BD" w:rsidR="00595EDF" w:rsidRPr="004B74F4" w:rsidRDefault="00595EDF" w:rsidP="00595EDF">
            <w:pPr>
              <w:ind w:left="-23" w:firstLine="743"/>
              <w:jc w:val="both"/>
              <w:rPr>
                <w:color w:val="000000"/>
                <w:sz w:val="22"/>
                <w:szCs w:val="22"/>
                <w:shd w:val="clear" w:color="auto" w:fill="00FFFF"/>
                <w:lang w:val="fr-CA"/>
              </w:rPr>
            </w:pPr>
            <w:r w:rsidRPr="004B74F4">
              <w:rPr>
                <w:color w:val="000000"/>
                <w:sz w:val="22"/>
                <w:szCs w:val="22"/>
                <w:lang w:val="fr-CA"/>
              </w:rPr>
              <w:t>7.</w:t>
            </w:r>
            <w:r w:rsidRPr="004B74F4">
              <w:rPr>
                <w:color w:val="000000"/>
                <w:sz w:val="22"/>
                <w:szCs w:val="22"/>
                <w:lang w:val="fr-CA"/>
              </w:rPr>
              <w:tab/>
            </w:r>
            <w:r w:rsidR="004B74F4" w:rsidRPr="004B74F4">
              <w:rPr>
                <w:color w:val="000000"/>
                <w:sz w:val="22"/>
                <w:szCs w:val="22"/>
                <w:lang w:val="fr-FR"/>
              </w:rPr>
              <w:t xml:space="preserve">De charger le SEDI, en sa qualité de Secrétariat technique de la Commission interaméricaine du tourisme (CITUR), de continuer à soutenir les actions et initiatives de la CITUR pour relever le défi de la pandémie de COVID-19, et </w:t>
            </w:r>
            <w:r w:rsidR="004B74F4" w:rsidRPr="004B74F4">
              <w:rPr>
                <w:color w:val="000000"/>
                <w:sz w:val="22"/>
                <w:szCs w:val="22"/>
                <w:lang w:val="fr-FR"/>
              </w:rPr>
              <w:lastRenderedPageBreak/>
              <w:t>d’encourager les États membres à soutenir les efforts de la CITUR dans l’élaboration d’un programme touristique à l’horizon 2050 dans les Amériques</w:t>
            </w:r>
            <w:r w:rsidRPr="004B74F4">
              <w:rPr>
                <w:color w:val="000000"/>
                <w:sz w:val="22"/>
                <w:szCs w:val="22"/>
                <w:lang w:val="fr-CA"/>
              </w:rPr>
              <w:t>.</w:t>
            </w:r>
          </w:p>
          <w:p w14:paraId="53E80521" w14:textId="77777777" w:rsidR="00595EDF" w:rsidRPr="004B74F4" w:rsidRDefault="00595EDF" w:rsidP="00595EDF">
            <w:pPr>
              <w:jc w:val="both"/>
              <w:rPr>
                <w:sz w:val="22"/>
                <w:szCs w:val="22"/>
                <w:lang w:val="fr-CA"/>
              </w:rPr>
            </w:pPr>
          </w:p>
          <w:p w14:paraId="64C517C2" w14:textId="3598B8C5" w:rsidR="00FE18BE" w:rsidRPr="004B74F4" w:rsidRDefault="00595EDF" w:rsidP="00B7264C">
            <w:pPr>
              <w:ind w:firstLine="720"/>
              <w:jc w:val="both"/>
              <w:rPr>
                <w:sz w:val="22"/>
                <w:szCs w:val="22"/>
                <w:lang w:val="fr-CA"/>
              </w:rPr>
            </w:pPr>
            <w:r w:rsidRPr="004B74F4">
              <w:rPr>
                <w:color w:val="000000"/>
                <w:sz w:val="22"/>
                <w:szCs w:val="22"/>
                <w:lang w:val="fr-CA"/>
              </w:rPr>
              <w:t>8.</w:t>
            </w:r>
            <w:r w:rsidRPr="004B74F4">
              <w:rPr>
                <w:color w:val="000000"/>
                <w:sz w:val="22"/>
                <w:szCs w:val="22"/>
                <w:lang w:val="fr-CA"/>
              </w:rPr>
              <w:tab/>
            </w:r>
            <w:r w:rsidR="004B74F4" w:rsidRPr="004B74F4">
              <w:rPr>
                <w:color w:val="000000"/>
                <w:sz w:val="22"/>
                <w:szCs w:val="22"/>
                <w:lang w:val="fr-FR"/>
              </w:rPr>
              <w:t>De charger le SEDI, en sa qualité de Secrétariat technique de la Commission interaméricaine de la culture (CIC) et conformément aux dispositions de la Déclaration de Bridgetown et du Plan de travail de la CIC, de continuer à soutenir le Groupe de travail sur les comptes satellites de la culture dans son échange de données d’expériences sur le renforcement de la capacité des États membres à mesurer la contribution de la culture et de l’économie créative, et de demander au SEDI, avec le soutien de la CIC, de mettre en commun les expériences des pays dans le domaine des efforts déployés pour soutenir et promouvoir la culture et l’économie créative dans le contexte de la pandémie de COVID-19 et de ses conséquences</w:t>
            </w:r>
            <w:r w:rsidRPr="004B74F4">
              <w:rPr>
                <w:bCs/>
                <w:color w:val="000000"/>
                <w:sz w:val="22"/>
                <w:szCs w:val="22"/>
                <w:lang w:val="fr-CA"/>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82D58FF" w14:textId="63B78918" w:rsidR="00FE18BE" w:rsidRPr="00715BD6" w:rsidRDefault="004B74F4" w:rsidP="00FE18BE">
            <w:pPr>
              <w:suppressAutoHyphens/>
              <w:rPr>
                <w:sz w:val="22"/>
                <w:szCs w:val="22"/>
                <w:lang w:val="fr-CA" w:eastAsia="ar-SA"/>
              </w:rPr>
            </w:pPr>
            <w:r>
              <w:rPr>
                <w:sz w:val="22"/>
                <w:szCs w:val="22"/>
                <w:lang w:val="fr-CA" w:eastAsia="ar-SA"/>
              </w:rPr>
              <w:lastRenderedPageBreak/>
              <w:t>États membres</w:t>
            </w:r>
          </w:p>
          <w:p w14:paraId="0AECEAC2" w14:textId="1EA1A3B3" w:rsidR="00595EDF" w:rsidRPr="00715BD6" w:rsidRDefault="00595EDF" w:rsidP="00FE18BE">
            <w:pPr>
              <w:suppressAutoHyphens/>
              <w:rPr>
                <w:sz w:val="22"/>
                <w:szCs w:val="22"/>
                <w:lang w:val="fr-CA" w:eastAsia="ar-SA"/>
              </w:rPr>
            </w:pPr>
          </w:p>
          <w:p w14:paraId="3A11C54C" w14:textId="01265699" w:rsidR="00595EDF" w:rsidRPr="00715BD6" w:rsidRDefault="00595EDF" w:rsidP="00FE18BE">
            <w:pPr>
              <w:suppressAutoHyphens/>
              <w:rPr>
                <w:sz w:val="22"/>
                <w:szCs w:val="22"/>
                <w:lang w:val="fr-CA" w:eastAsia="ar-SA"/>
              </w:rPr>
            </w:pPr>
          </w:p>
          <w:p w14:paraId="36D4E43B" w14:textId="4F2587F3" w:rsidR="00595EDF" w:rsidRPr="00715BD6" w:rsidRDefault="00595EDF" w:rsidP="00FE18BE">
            <w:pPr>
              <w:suppressAutoHyphens/>
              <w:rPr>
                <w:sz w:val="22"/>
                <w:szCs w:val="22"/>
                <w:lang w:val="fr-CA" w:eastAsia="ar-SA"/>
              </w:rPr>
            </w:pPr>
          </w:p>
          <w:p w14:paraId="6DDD631F" w14:textId="6DF360B0" w:rsidR="00595EDF" w:rsidRPr="00715BD6" w:rsidRDefault="00595EDF" w:rsidP="00FE18BE">
            <w:pPr>
              <w:suppressAutoHyphens/>
              <w:rPr>
                <w:sz w:val="22"/>
                <w:szCs w:val="22"/>
                <w:lang w:val="fr-CA" w:eastAsia="ar-SA"/>
              </w:rPr>
            </w:pPr>
          </w:p>
          <w:p w14:paraId="2CD12192" w14:textId="564E20A4" w:rsidR="00595EDF" w:rsidRPr="00715BD6" w:rsidRDefault="00595EDF" w:rsidP="00FE18BE">
            <w:pPr>
              <w:suppressAutoHyphens/>
              <w:rPr>
                <w:sz w:val="22"/>
                <w:szCs w:val="22"/>
                <w:lang w:val="fr-CA" w:eastAsia="ar-SA"/>
              </w:rPr>
            </w:pPr>
          </w:p>
          <w:p w14:paraId="0E47240D" w14:textId="3916204D" w:rsidR="00595EDF" w:rsidRPr="00715BD6" w:rsidRDefault="00595EDF" w:rsidP="00FE18BE">
            <w:pPr>
              <w:suppressAutoHyphens/>
              <w:rPr>
                <w:sz w:val="22"/>
                <w:szCs w:val="22"/>
                <w:lang w:val="fr-CA" w:eastAsia="ar-SA"/>
              </w:rPr>
            </w:pPr>
          </w:p>
          <w:p w14:paraId="20E1EFBC" w14:textId="25E1A923" w:rsidR="00595EDF" w:rsidRPr="00715BD6" w:rsidRDefault="00595EDF" w:rsidP="00FE18BE">
            <w:pPr>
              <w:suppressAutoHyphens/>
              <w:rPr>
                <w:sz w:val="22"/>
                <w:szCs w:val="22"/>
                <w:lang w:val="fr-CA" w:eastAsia="ar-SA"/>
              </w:rPr>
            </w:pPr>
          </w:p>
          <w:p w14:paraId="5D227815" w14:textId="0E40EE71" w:rsidR="00595EDF" w:rsidRPr="00715BD6" w:rsidRDefault="00595EDF" w:rsidP="00FE18BE">
            <w:pPr>
              <w:suppressAutoHyphens/>
              <w:rPr>
                <w:sz w:val="22"/>
                <w:szCs w:val="22"/>
                <w:lang w:val="fr-CA" w:eastAsia="ar-SA"/>
              </w:rPr>
            </w:pPr>
          </w:p>
          <w:p w14:paraId="6C08190C" w14:textId="476F3003" w:rsidR="00595EDF" w:rsidRDefault="00595EDF" w:rsidP="00FE18BE">
            <w:pPr>
              <w:suppressAutoHyphens/>
              <w:rPr>
                <w:sz w:val="22"/>
                <w:szCs w:val="22"/>
                <w:lang w:val="fr-CA" w:eastAsia="ar-SA"/>
              </w:rPr>
            </w:pPr>
          </w:p>
          <w:p w14:paraId="0F91BF1B" w14:textId="39935244" w:rsidR="004B74F4" w:rsidRDefault="004B74F4" w:rsidP="00FE18BE">
            <w:pPr>
              <w:suppressAutoHyphens/>
              <w:rPr>
                <w:sz w:val="22"/>
                <w:szCs w:val="22"/>
                <w:lang w:val="fr-CA" w:eastAsia="ar-SA"/>
              </w:rPr>
            </w:pPr>
          </w:p>
          <w:p w14:paraId="63C7BB11" w14:textId="77777777" w:rsidR="004B74F4" w:rsidRPr="00715BD6" w:rsidRDefault="004B74F4" w:rsidP="00FE18BE">
            <w:pPr>
              <w:suppressAutoHyphens/>
              <w:rPr>
                <w:sz w:val="22"/>
                <w:szCs w:val="22"/>
                <w:lang w:val="fr-CA" w:eastAsia="ar-SA"/>
              </w:rPr>
            </w:pPr>
          </w:p>
          <w:p w14:paraId="638D9C2E" w14:textId="72F4920B" w:rsidR="00595EDF" w:rsidRPr="00715BD6" w:rsidRDefault="00595EDF" w:rsidP="00FE18BE">
            <w:pPr>
              <w:suppressAutoHyphens/>
              <w:rPr>
                <w:sz w:val="22"/>
                <w:szCs w:val="22"/>
                <w:lang w:val="fr-CA" w:eastAsia="ar-SA"/>
              </w:rPr>
            </w:pPr>
          </w:p>
          <w:p w14:paraId="2B93AF9A" w14:textId="59ECF00E" w:rsidR="00595EDF" w:rsidRPr="00715BD6" w:rsidRDefault="00595EDF" w:rsidP="00FE18BE">
            <w:pPr>
              <w:suppressAutoHyphens/>
              <w:rPr>
                <w:sz w:val="22"/>
                <w:szCs w:val="22"/>
                <w:lang w:val="fr-CA" w:eastAsia="ar-SA"/>
              </w:rPr>
            </w:pPr>
          </w:p>
          <w:p w14:paraId="71C22625" w14:textId="7551FA19" w:rsidR="00595EDF" w:rsidRPr="00715BD6" w:rsidRDefault="00595EDF" w:rsidP="00FE18BE">
            <w:pPr>
              <w:suppressAutoHyphens/>
              <w:rPr>
                <w:sz w:val="22"/>
                <w:szCs w:val="22"/>
                <w:lang w:val="fr-CA" w:eastAsia="ar-SA"/>
              </w:rPr>
            </w:pPr>
          </w:p>
          <w:p w14:paraId="64F4860C" w14:textId="637744FD" w:rsidR="00595EDF" w:rsidRPr="00715BD6" w:rsidRDefault="00595EDF" w:rsidP="00FE18BE">
            <w:pPr>
              <w:suppressAutoHyphens/>
              <w:rPr>
                <w:sz w:val="22"/>
                <w:szCs w:val="22"/>
                <w:lang w:val="fr-CA" w:eastAsia="ar-SA"/>
              </w:rPr>
            </w:pPr>
          </w:p>
          <w:p w14:paraId="719E8768" w14:textId="33E3DEE9" w:rsidR="00595EDF" w:rsidRPr="00715BD6" w:rsidRDefault="00595EDF" w:rsidP="00FE18BE">
            <w:pPr>
              <w:suppressAutoHyphens/>
              <w:rPr>
                <w:sz w:val="22"/>
                <w:szCs w:val="22"/>
                <w:lang w:val="fr-CA" w:eastAsia="ar-SA"/>
              </w:rPr>
            </w:pPr>
            <w:r w:rsidRPr="00715BD6">
              <w:rPr>
                <w:sz w:val="22"/>
                <w:szCs w:val="22"/>
                <w:lang w:val="fr-CA" w:eastAsia="ar-SA"/>
              </w:rPr>
              <w:t>SEDI</w:t>
            </w:r>
          </w:p>
          <w:p w14:paraId="47EB543B" w14:textId="059EBA2E" w:rsidR="00595EDF" w:rsidRPr="00715BD6" w:rsidRDefault="00595EDF" w:rsidP="00FE18BE">
            <w:pPr>
              <w:suppressAutoHyphens/>
              <w:rPr>
                <w:sz w:val="22"/>
                <w:szCs w:val="22"/>
                <w:lang w:val="fr-CA" w:eastAsia="ar-SA"/>
              </w:rPr>
            </w:pPr>
          </w:p>
          <w:p w14:paraId="3559289D" w14:textId="2722EB0A" w:rsidR="00595EDF" w:rsidRPr="00715BD6" w:rsidRDefault="00595EDF" w:rsidP="00FE18BE">
            <w:pPr>
              <w:suppressAutoHyphens/>
              <w:rPr>
                <w:sz w:val="22"/>
                <w:szCs w:val="22"/>
                <w:lang w:val="fr-CA" w:eastAsia="ar-SA"/>
              </w:rPr>
            </w:pPr>
          </w:p>
          <w:p w14:paraId="019F9B8E" w14:textId="0905402F" w:rsidR="00595EDF" w:rsidRPr="00715BD6" w:rsidRDefault="00595EDF" w:rsidP="00FE18BE">
            <w:pPr>
              <w:suppressAutoHyphens/>
              <w:rPr>
                <w:sz w:val="22"/>
                <w:szCs w:val="22"/>
                <w:lang w:val="fr-CA" w:eastAsia="ar-SA"/>
              </w:rPr>
            </w:pPr>
          </w:p>
          <w:p w14:paraId="297BF0C4" w14:textId="0E3A0088" w:rsidR="00595EDF" w:rsidRPr="00715BD6" w:rsidRDefault="00595EDF" w:rsidP="00FE18BE">
            <w:pPr>
              <w:suppressAutoHyphens/>
              <w:rPr>
                <w:sz w:val="22"/>
                <w:szCs w:val="22"/>
                <w:lang w:val="fr-CA" w:eastAsia="ar-SA"/>
              </w:rPr>
            </w:pPr>
          </w:p>
          <w:p w14:paraId="62331F25" w14:textId="534C4D9E" w:rsidR="00595EDF" w:rsidRPr="00715BD6" w:rsidRDefault="00595EDF" w:rsidP="00FE18BE">
            <w:pPr>
              <w:suppressAutoHyphens/>
              <w:rPr>
                <w:sz w:val="22"/>
                <w:szCs w:val="22"/>
                <w:lang w:val="fr-CA" w:eastAsia="ar-SA"/>
              </w:rPr>
            </w:pPr>
          </w:p>
          <w:p w14:paraId="314A8BED" w14:textId="6A76033E" w:rsidR="00595EDF" w:rsidRPr="00715BD6" w:rsidRDefault="00595EDF" w:rsidP="00FE18BE">
            <w:pPr>
              <w:suppressAutoHyphens/>
              <w:rPr>
                <w:sz w:val="22"/>
                <w:szCs w:val="22"/>
                <w:lang w:val="fr-CA" w:eastAsia="ar-SA"/>
              </w:rPr>
            </w:pPr>
          </w:p>
          <w:p w14:paraId="4C675EF4" w14:textId="5BDE841B" w:rsidR="00595EDF" w:rsidRPr="00715BD6" w:rsidRDefault="00595EDF" w:rsidP="00FE18BE">
            <w:pPr>
              <w:suppressAutoHyphens/>
              <w:rPr>
                <w:sz w:val="22"/>
                <w:szCs w:val="22"/>
                <w:lang w:val="fr-CA" w:eastAsia="ar-SA"/>
              </w:rPr>
            </w:pPr>
            <w:r w:rsidRPr="00715BD6">
              <w:rPr>
                <w:sz w:val="22"/>
                <w:szCs w:val="22"/>
                <w:lang w:val="fr-CA" w:eastAsia="ar-SA"/>
              </w:rPr>
              <w:lastRenderedPageBreak/>
              <w:t>SEDI</w:t>
            </w:r>
          </w:p>
          <w:p w14:paraId="027EE93D" w14:textId="0063BD0A" w:rsidR="00595EDF" w:rsidRPr="00715BD6" w:rsidRDefault="00595EDF" w:rsidP="00FE18BE">
            <w:pPr>
              <w:suppressAutoHyphens/>
              <w:rPr>
                <w:sz w:val="22"/>
                <w:szCs w:val="22"/>
                <w:lang w:val="fr-CA" w:eastAsia="ar-SA"/>
              </w:rPr>
            </w:pPr>
          </w:p>
          <w:p w14:paraId="0D57D299" w14:textId="368CC20C" w:rsidR="00595EDF" w:rsidRPr="00715BD6" w:rsidRDefault="00595EDF" w:rsidP="00FE18BE">
            <w:pPr>
              <w:suppressAutoHyphens/>
              <w:rPr>
                <w:sz w:val="22"/>
                <w:szCs w:val="22"/>
                <w:lang w:val="fr-CA" w:eastAsia="ar-SA"/>
              </w:rPr>
            </w:pPr>
          </w:p>
          <w:p w14:paraId="50FD0B5E" w14:textId="65DF932C" w:rsidR="00595EDF" w:rsidRPr="00715BD6" w:rsidRDefault="00595EDF" w:rsidP="00FE18BE">
            <w:pPr>
              <w:suppressAutoHyphens/>
              <w:rPr>
                <w:sz w:val="22"/>
                <w:szCs w:val="22"/>
                <w:lang w:val="fr-CA" w:eastAsia="ar-SA"/>
              </w:rPr>
            </w:pPr>
          </w:p>
          <w:p w14:paraId="4D1DFB24" w14:textId="20010D2F" w:rsidR="00595EDF" w:rsidRPr="00715BD6" w:rsidRDefault="00595EDF" w:rsidP="00FE18BE">
            <w:pPr>
              <w:suppressAutoHyphens/>
              <w:rPr>
                <w:sz w:val="22"/>
                <w:szCs w:val="22"/>
                <w:lang w:val="fr-CA" w:eastAsia="ar-SA"/>
              </w:rPr>
            </w:pPr>
          </w:p>
          <w:p w14:paraId="636392F9" w14:textId="35CD82AE" w:rsidR="00595EDF" w:rsidRPr="00715BD6" w:rsidRDefault="00595EDF" w:rsidP="00FE18BE">
            <w:pPr>
              <w:suppressAutoHyphens/>
              <w:rPr>
                <w:sz w:val="22"/>
                <w:szCs w:val="22"/>
                <w:lang w:val="fr-CA" w:eastAsia="ar-SA"/>
              </w:rPr>
            </w:pPr>
          </w:p>
          <w:p w14:paraId="281B17D7" w14:textId="238E8E66" w:rsidR="00595EDF" w:rsidRDefault="00595EDF" w:rsidP="00FE18BE">
            <w:pPr>
              <w:suppressAutoHyphens/>
              <w:rPr>
                <w:sz w:val="22"/>
                <w:szCs w:val="22"/>
                <w:lang w:val="fr-CA" w:eastAsia="ar-SA"/>
              </w:rPr>
            </w:pPr>
          </w:p>
          <w:p w14:paraId="2EF9A20B" w14:textId="764DFDA4" w:rsidR="004B74F4" w:rsidRDefault="004B74F4" w:rsidP="00FE18BE">
            <w:pPr>
              <w:suppressAutoHyphens/>
              <w:rPr>
                <w:sz w:val="22"/>
                <w:szCs w:val="22"/>
                <w:lang w:val="fr-CA" w:eastAsia="ar-SA"/>
              </w:rPr>
            </w:pPr>
          </w:p>
          <w:p w14:paraId="29087C1C" w14:textId="568017D1" w:rsidR="004B74F4" w:rsidRDefault="004B74F4" w:rsidP="00FE18BE">
            <w:pPr>
              <w:suppressAutoHyphens/>
              <w:rPr>
                <w:sz w:val="22"/>
                <w:szCs w:val="22"/>
                <w:lang w:val="fr-CA" w:eastAsia="ar-SA"/>
              </w:rPr>
            </w:pPr>
          </w:p>
          <w:p w14:paraId="0B1E9022" w14:textId="77777777" w:rsidR="004B74F4" w:rsidRPr="00715BD6" w:rsidRDefault="004B74F4" w:rsidP="00FE18BE">
            <w:pPr>
              <w:suppressAutoHyphens/>
              <w:rPr>
                <w:sz w:val="22"/>
                <w:szCs w:val="22"/>
                <w:lang w:val="fr-CA" w:eastAsia="ar-SA"/>
              </w:rPr>
            </w:pPr>
          </w:p>
          <w:p w14:paraId="7AD811EB" w14:textId="5BAA29B5" w:rsidR="00595EDF" w:rsidRPr="00715BD6" w:rsidRDefault="00595EDF" w:rsidP="00FE18BE">
            <w:pPr>
              <w:suppressAutoHyphens/>
              <w:rPr>
                <w:sz w:val="22"/>
                <w:szCs w:val="22"/>
                <w:lang w:val="fr-CA" w:eastAsia="ar-SA"/>
              </w:rPr>
            </w:pPr>
          </w:p>
          <w:p w14:paraId="2A0EF1B4" w14:textId="21504254" w:rsidR="00595EDF" w:rsidRPr="00715BD6" w:rsidRDefault="00595EDF" w:rsidP="00FE18BE">
            <w:pPr>
              <w:suppressAutoHyphens/>
              <w:rPr>
                <w:sz w:val="22"/>
                <w:szCs w:val="22"/>
                <w:lang w:val="fr-CA" w:eastAsia="ar-SA"/>
              </w:rPr>
            </w:pPr>
          </w:p>
          <w:p w14:paraId="1F0D5F45" w14:textId="3540B855" w:rsidR="00595EDF" w:rsidRPr="00715BD6" w:rsidRDefault="00595EDF" w:rsidP="00FE18BE">
            <w:pPr>
              <w:suppressAutoHyphens/>
              <w:rPr>
                <w:sz w:val="22"/>
                <w:szCs w:val="22"/>
                <w:lang w:val="fr-CA" w:eastAsia="ar-SA"/>
              </w:rPr>
            </w:pPr>
          </w:p>
          <w:p w14:paraId="0EEC626F" w14:textId="2466A68E" w:rsidR="00595EDF" w:rsidRPr="00715BD6" w:rsidRDefault="00595EDF" w:rsidP="00FE18BE">
            <w:pPr>
              <w:suppressAutoHyphens/>
              <w:rPr>
                <w:sz w:val="22"/>
                <w:szCs w:val="22"/>
                <w:lang w:val="fr-CA" w:eastAsia="ar-SA"/>
              </w:rPr>
            </w:pPr>
          </w:p>
          <w:p w14:paraId="11105773" w14:textId="12FCDCC5" w:rsidR="00595EDF" w:rsidRPr="00715BD6" w:rsidRDefault="00595EDF" w:rsidP="00FE18BE">
            <w:pPr>
              <w:suppressAutoHyphens/>
              <w:rPr>
                <w:sz w:val="22"/>
                <w:szCs w:val="22"/>
                <w:lang w:val="fr-CA" w:eastAsia="ar-SA"/>
              </w:rPr>
            </w:pPr>
          </w:p>
          <w:p w14:paraId="09AE3396" w14:textId="6A40FFBB" w:rsidR="00595EDF" w:rsidRPr="00715BD6" w:rsidRDefault="00595EDF" w:rsidP="00FE18BE">
            <w:pPr>
              <w:suppressAutoHyphens/>
              <w:rPr>
                <w:sz w:val="22"/>
                <w:szCs w:val="22"/>
                <w:lang w:val="fr-CA" w:eastAsia="ar-SA"/>
              </w:rPr>
            </w:pPr>
          </w:p>
          <w:p w14:paraId="5A9F8D69" w14:textId="628F4840" w:rsidR="00595EDF" w:rsidRPr="00715BD6" w:rsidRDefault="00595EDF" w:rsidP="00FE18BE">
            <w:pPr>
              <w:suppressAutoHyphens/>
              <w:rPr>
                <w:sz w:val="22"/>
                <w:szCs w:val="22"/>
                <w:lang w:val="fr-CA" w:eastAsia="ar-SA"/>
              </w:rPr>
            </w:pPr>
            <w:r w:rsidRPr="00715BD6">
              <w:rPr>
                <w:sz w:val="22"/>
                <w:szCs w:val="22"/>
                <w:lang w:val="fr-CA" w:eastAsia="ar-SA"/>
              </w:rPr>
              <w:t>SEDI</w:t>
            </w:r>
          </w:p>
          <w:p w14:paraId="2DD3A7B4" w14:textId="1CDD089C" w:rsidR="00595EDF" w:rsidRPr="00715BD6" w:rsidRDefault="00595EDF" w:rsidP="00FE18BE">
            <w:pPr>
              <w:suppressAutoHyphens/>
              <w:rPr>
                <w:sz w:val="22"/>
                <w:szCs w:val="22"/>
                <w:lang w:val="fr-CA" w:eastAsia="ar-SA"/>
              </w:rPr>
            </w:pPr>
          </w:p>
          <w:p w14:paraId="66A019BE" w14:textId="3DCACC23" w:rsidR="00595EDF" w:rsidRPr="00715BD6" w:rsidRDefault="00595EDF" w:rsidP="00FE18BE">
            <w:pPr>
              <w:suppressAutoHyphens/>
              <w:rPr>
                <w:sz w:val="22"/>
                <w:szCs w:val="22"/>
                <w:lang w:val="fr-CA" w:eastAsia="ar-SA"/>
              </w:rPr>
            </w:pPr>
          </w:p>
          <w:p w14:paraId="280635FB" w14:textId="33A0235B" w:rsidR="00595EDF" w:rsidRPr="00715BD6" w:rsidRDefault="00595EDF" w:rsidP="00FE18BE">
            <w:pPr>
              <w:suppressAutoHyphens/>
              <w:rPr>
                <w:sz w:val="22"/>
                <w:szCs w:val="22"/>
                <w:lang w:val="fr-CA" w:eastAsia="ar-SA"/>
              </w:rPr>
            </w:pPr>
          </w:p>
          <w:p w14:paraId="217931E0" w14:textId="2BAC265A" w:rsidR="00595EDF" w:rsidRDefault="00595EDF" w:rsidP="00FE18BE">
            <w:pPr>
              <w:suppressAutoHyphens/>
              <w:rPr>
                <w:sz w:val="22"/>
                <w:szCs w:val="22"/>
                <w:lang w:val="fr-CA" w:eastAsia="ar-SA"/>
              </w:rPr>
            </w:pPr>
          </w:p>
          <w:p w14:paraId="06480ECF" w14:textId="77777777" w:rsidR="004B74F4" w:rsidRPr="00715BD6" w:rsidRDefault="004B74F4" w:rsidP="00FE18BE">
            <w:pPr>
              <w:suppressAutoHyphens/>
              <w:rPr>
                <w:sz w:val="22"/>
                <w:szCs w:val="22"/>
                <w:lang w:val="fr-CA" w:eastAsia="ar-SA"/>
              </w:rPr>
            </w:pPr>
          </w:p>
          <w:p w14:paraId="24428944" w14:textId="4DBD04A6" w:rsidR="00595EDF" w:rsidRPr="00715BD6" w:rsidRDefault="00595EDF" w:rsidP="00FE18BE">
            <w:pPr>
              <w:suppressAutoHyphens/>
              <w:rPr>
                <w:sz w:val="22"/>
                <w:szCs w:val="22"/>
                <w:lang w:val="fr-CA" w:eastAsia="ar-SA"/>
              </w:rPr>
            </w:pPr>
          </w:p>
          <w:p w14:paraId="67683A5B" w14:textId="6DE88EB0" w:rsidR="00595EDF" w:rsidRPr="00715BD6" w:rsidRDefault="00595EDF" w:rsidP="00FE18BE">
            <w:pPr>
              <w:suppressAutoHyphens/>
              <w:rPr>
                <w:sz w:val="22"/>
                <w:szCs w:val="22"/>
                <w:lang w:val="fr-CA" w:eastAsia="ar-SA"/>
              </w:rPr>
            </w:pPr>
          </w:p>
          <w:p w14:paraId="0DB6D9BF" w14:textId="4A97C55A" w:rsidR="00595EDF" w:rsidRPr="00715BD6" w:rsidRDefault="00595EDF" w:rsidP="00FE18BE">
            <w:pPr>
              <w:suppressAutoHyphens/>
              <w:rPr>
                <w:sz w:val="22"/>
                <w:szCs w:val="22"/>
                <w:lang w:val="fr-CA" w:eastAsia="ar-SA"/>
              </w:rPr>
            </w:pPr>
          </w:p>
          <w:p w14:paraId="3B7ADDDF" w14:textId="27A4BFC2" w:rsidR="00595EDF" w:rsidRPr="00715BD6" w:rsidRDefault="00595EDF" w:rsidP="00FE18BE">
            <w:pPr>
              <w:suppressAutoHyphens/>
              <w:rPr>
                <w:sz w:val="22"/>
                <w:szCs w:val="22"/>
                <w:lang w:val="fr-CA" w:eastAsia="ar-SA"/>
              </w:rPr>
            </w:pPr>
          </w:p>
          <w:p w14:paraId="765D49C5" w14:textId="4A5FE427" w:rsidR="00595EDF" w:rsidRPr="00715BD6" w:rsidRDefault="00595EDF" w:rsidP="00FE18BE">
            <w:pPr>
              <w:suppressAutoHyphens/>
              <w:rPr>
                <w:sz w:val="22"/>
                <w:szCs w:val="22"/>
                <w:lang w:val="fr-CA" w:eastAsia="ar-SA"/>
              </w:rPr>
            </w:pPr>
          </w:p>
          <w:p w14:paraId="5BC08C1D" w14:textId="3F8A5DD1" w:rsidR="00595EDF" w:rsidRPr="00715BD6" w:rsidRDefault="00595EDF" w:rsidP="00FE18BE">
            <w:pPr>
              <w:suppressAutoHyphens/>
              <w:rPr>
                <w:sz w:val="22"/>
                <w:szCs w:val="22"/>
                <w:lang w:val="fr-CA" w:eastAsia="ar-SA"/>
              </w:rPr>
            </w:pPr>
          </w:p>
          <w:p w14:paraId="3A3DEE3F" w14:textId="680E01F9" w:rsidR="00595EDF" w:rsidRPr="00715BD6" w:rsidRDefault="00595EDF" w:rsidP="00FE18BE">
            <w:pPr>
              <w:suppressAutoHyphens/>
              <w:rPr>
                <w:sz w:val="22"/>
                <w:szCs w:val="22"/>
                <w:lang w:val="fr-CA" w:eastAsia="ar-SA"/>
              </w:rPr>
            </w:pPr>
            <w:r w:rsidRPr="00715BD6">
              <w:rPr>
                <w:sz w:val="22"/>
                <w:szCs w:val="22"/>
                <w:lang w:val="fr-CA" w:eastAsia="ar-SA"/>
              </w:rPr>
              <w:t>SEDI</w:t>
            </w:r>
          </w:p>
          <w:p w14:paraId="7C6E9109" w14:textId="50FEB10F" w:rsidR="00595EDF" w:rsidRPr="00715BD6" w:rsidRDefault="00595EDF" w:rsidP="00FE18BE">
            <w:pPr>
              <w:suppressAutoHyphens/>
              <w:rPr>
                <w:sz w:val="22"/>
                <w:szCs w:val="22"/>
                <w:lang w:val="fr-CA" w:eastAsia="ar-SA"/>
              </w:rPr>
            </w:pPr>
          </w:p>
          <w:p w14:paraId="55DB780C" w14:textId="575D4525" w:rsidR="00595EDF" w:rsidRPr="00715BD6" w:rsidRDefault="00595EDF" w:rsidP="00FE18BE">
            <w:pPr>
              <w:suppressAutoHyphens/>
              <w:rPr>
                <w:sz w:val="22"/>
                <w:szCs w:val="22"/>
                <w:lang w:val="fr-CA" w:eastAsia="ar-SA"/>
              </w:rPr>
            </w:pPr>
          </w:p>
          <w:p w14:paraId="30327B3A" w14:textId="73F69AD7" w:rsidR="00595EDF" w:rsidRPr="00715BD6" w:rsidRDefault="00595EDF" w:rsidP="00FE18BE">
            <w:pPr>
              <w:suppressAutoHyphens/>
              <w:rPr>
                <w:sz w:val="22"/>
                <w:szCs w:val="22"/>
                <w:lang w:val="fr-CA" w:eastAsia="ar-SA"/>
              </w:rPr>
            </w:pPr>
          </w:p>
          <w:p w14:paraId="569F280F" w14:textId="5175B090" w:rsidR="00595EDF" w:rsidRDefault="00595EDF" w:rsidP="00FE18BE">
            <w:pPr>
              <w:suppressAutoHyphens/>
              <w:rPr>
                <w:sz w:val="22"/>
                <w:szCs w:val="22"/>
                <w:lang w:val="fr-CA" w:eastAsia="ar-SA"/>
              </w:rPr>
            </w:pPr>
          </w:p>
          <w:p w14:paraId="2B03698B" w14:textId="77777777" w:rsidR="004B74F4" w:rsidRPr="00715BD6" w:rsidRDefault="004B74F4" w:rsidP="00FE18BE">
            <w:pPr>
              <w:suppressAutoHyphens/>
              <w:rPr>
                <w:sz w:val="22"/>
                <w:szCs w:val="22"/>
                <w:lang w:val="fr-CA" w:eastAsia="ar-SA"/>
              </w:rPr>
            </w:pPr>
          </w:p>
          <w:p w14:paraId="1E133075" w14:textId="6FF727D4" w:rsidR="00595EDF" w:rsidRPr="00715BD6" w:rsidRDefault="00595EDF" w:rsidP="00FE18BE">
            <w:pPr>
              <w:suppressAutoHyphens/>
              <w:rPr>
                <w:sz w:val="22"/>
                <w:szCs w:val="22"/>
                <w:lang w:val="fr-CA" w:eastAsia="ar-SA"/>
              </w:rPr>
            </w:pPr>
          </w:p>
          <w:p w14:paraId="77BFD77D" w14:textId="1CEFB5B0" w:rsidR="00595EDF" w:rsidRPr="00715BD6" w:rsidRDefault="00595EDF" w:rsidP="00FE18BE">
            <w:pPr>
              <w:suppressAutoHyphens/>
              <w:rPr>
                <w:sz w:val="22"/>
                <w:szCs w:val="22"/>
                <w:lang w:val="fr-CA" w:eastAsia="ar-SA"/>
              </w:rPr>
            </w:pPr>
            <w:r w:rsidRPr="00715BD6">
              <w:rPr>
                <w:sz w:val="22"/>
                <w:szCs w:val="22"/>
                <w:lang w:val="fr-CA" w:eastAsia="ar-SA"/>
              </w:rPr>
              <w:t>SEDI</w:t>
            </w:r>
          </w:p>
          <w:p w14:paraId="7EBC2193" w14:textId="77777777" w:rsidR="00FE18BE" w:rsidRPr="00715BD6" w:rsidRDefault="00FE18BE" w:rsidP="00FE18BE">
            <w:pPr>
              <w:suppressAutoHyphens/>
              <w:rPr>
                <w:sz w:val="22"/>
                <w:szCs w:val="22"/>
                <w:lang w:val="fr-CA" w:eastAsia="ar-SA"/>
              </w:rPr>
            </w:pPr>
          </w:p>
        </w:tc>
      </w:tr>
      <w:tr w:rsidR="00FE18BE" w:rsidRPr="00715BD6" w14:paraId="3A9CA01F" w14:textId="77777777" w:rsidTr="00B7264C">
        <w:trPr>
          <w:trHeight w:val="728"/>
          <w:jc w:val="center"/>
        </w:trPr>
        <w:tc>
          <w:tcPr>
            <w:tcW w:w="2558" w:type="dxa"/>
            <w:tcBorders>
              <w:top w:val="single" w:sz="4" w:space="0" w:color="000000"/>
              <w:left w:val="single" w:sz="4" w:space="0" w:color="000000"/>
              <w:bottom w:val="single" w:sz="4" w:space="0" w:color="000000"/>
            </w:tcBorders>
            <w:shd w:val="clear" w:color="auto" w:fill="auto"/>
          </w:tcPr>
          <w:p w14:paraId="2CE997DA" w14:textId="09949F55" w:rsidR="00FE18BE" w:rsidRPr="00715BD6" w:rsidRDefault="004B74F4" w:rsidP="00FE18BE">
            <w:pPr>
              <w:numPr>
                <w:ilvl w:val="0"/>
                <w:numId w:val="6"/>
              </w:numPr>
              <w:suppressAutoHyphens/>
              <w:ind w:left="380"/>
              <w:rPr>
                <w:b/>
                <w:sz w:val="22"/>
                <w:szCs w:val="22"/>
                <w:lang w:val="fr-CA" w:eastAsia="ar-SA"/>
              </w:rPr>
            </w:pPr>
            <w:r>
              <w:rPr>
                <w:b/>
                <w:bCs/>
                <w:sz w:val="22"/>
                <w:szCs w:val="22"/>
                <w:lang w:val="fr-CA" w:eastAsia="ar-SA"/>
              </w:rPr>
              <w:lastRenderedPageBreak/>
              <w:t>Ligne stratégique </w:t>
            </w:r>
            <w:r w:rsidR="00FE18BE" w:rsidRPr="00715BD6">
              <w:rPr>
                <w:b/>
                <w:bCs/>
                <w:sz w:val="22"/>
                <w:szCs w:val="22"/>
                <w:lang w:val="fr-CA" w:eastAsia="ar-SA"/>
              </w:rPr>
              <w:t>: “</w:t>
            </w:r>
            <w:r>
              <w:rPr>
                <w:b/>
                <w:bCs/>
                <w:sz w:val="22"/>
                <w:szCs w:val="22"/>
                <w:lang w:val="fr-CA" w:eastAsia="ar-SA"/>
              </w:rPr>
              <w:t xml:space="preserve">Renforcer la mise en œuvre des objectifs de développement durable conformément au Programme interaméricain de développement durable (PIDS) </w:t>
            </w:r>
            <w:r w:rsidR="00FE18BE" w:rsidRPr="00715BD6">
              <w:rPr>
                <w:b/>
                <w:bCs/>
                <w:sz w:val="22"/>
                <w:szCs w:val="22"/>
                <w:lang w:val="fr-CA" w:eastAsia="ar-SA"/>
              </w:rPr>
              <w:t>2016–2021”</w:t>
            </w:r>
          </w:p>
          <w:p w14:paraId="18735D90" w14:textId="77777777" w:rsidR="00FE18BE" w:rsidRPr="00715BD6" w:rsidRDefault="00FE18BE" w:rsidP="00FE18BE">
            <w:pPr>
              <w:suppressAutoHyphens/>
              <w:rPr>
                <w:b/>
                <w:sz w:val="22"/>
                <w:szCs w:val="22"/>
                <w:lang w:val="fr-CA" w:eastAsia="ar-SA"/>
              </w:rPr>
            </w:pPr>
          </w:p>
        </w:tc>
        <w:tc>
          <w:tcPr>
            <w:tcW w:w="7740" w:type="dxa"/>
            <w:tcBorders>
              <w:top w:val="single" w:sz="4" w:space="0" w:color="000000"/>
              <w:left w:val="single" w:sz="4" w:space="0" w:color="000000"/>
              <w:bottom w:val="single" w:sz="4" w:space="0" w:color="000000"/>
            </w:tcBorders>
            <w:shd w:val="clear" w:color="auto" w:fill="auto"/>
          </w:tcPr>
          <w:p w14:paraId="13575817" w14:textId="78B41D93" w:rsidR="008214B6" w:rsidRPr="00091F63" w:rsidRDefault="008214B6" w:rsidP="008214B6">
            <w:pPr>
              <w:ind w:firstLine="720"/>
              <w:jc w:val="both"/>
              <w:rPr>
                <w:bCs/>
                <w:color w:val="000000"/>
                <w:sz w:val="22"/>
                <w:szCs w:val="22"/>
                <w:lang w:val="fr-CA"/>
              </w:rPr>
            </w:pPr>
            <w:r w:rsidRPr="00091F63">
              <w:rPr>
                <w:bCs/>
                <w:color w:val="000000"/>
                <w:sz w:val="22"/>
                <w:szCs w:val="22"/>
                <w:lang w:val="fr-CA"/>
              </w:rPr>
              <w:t>9.</w:t>
            </w:r>
            <w:r w:rsidRPr="00091F63">
              <w:rPr>
                <w:bCs/>
                <w:color w:val="000000"/>
                <w:sz w:val="22"/>
                <w:szCs w:val="22"/>
                <w:lang w:val="fr-CA"/>
              </w:rPr>
              <w:tab/>
            </w:r>
            <w:r w:rsidR="00091F63" w:rsidRPr="00091F63">
              <w:rPr>
                <w:color w:val="000000"/>
                <w:sz w:val="22"/>
                <w:szCs w:val="22"/>
                <w:lang w:val="fr-FR"/>
              </w:rPr>
              <w:t>D’encourager les États membres à intégrer dans leurs plans de développement et leurs stratégies financières, des plans de préparation, de redressement et de reconstruction dans le cadre de la gestion de la réduction des risques de catastrophes</w:t>
            </w:r>
            <w:r w:rsidRPr="00091F63">
              <w:rPr>
                <w:bCs/>
                <w:color w:val="000000"/>
                <w:sz w:val="22"/>
                <w:szCs w:val="22"/>
                <w:lang w:val="fr-CA"/>
              </w:rPr>
              <w:t>.</w:t>
            </w:r>
          </w:p>
          <w:p w14:paraId="18DB251A" w14:textId="77777777" w:rsidR="008214B6" w:rsidRPr="00091F63" w:rsidRDefault="008214B6" w:rsidP="008214B6">
            <w:pPr>
              <w:jc w:val="both"/>
              <w:rPr>
                <w:sz w:val="22"/>
                <w:szCs w:val="22"/>
                <w:lang w:val="fr-CA"/>
              </w:rPr>
            </w:pPr>
          </w:p>
          <w:p w14:paraId="2A2B1982" w14:textId="6F330759" w:rsidR="008214B6" w:rsidRPr="00091F63" w:rsidRDefault="008214B6" w:rsidP="008214B6">
            <w:pPr>
              <w:ind w:firstLine="720"/>
              <w:jc w:val="both"/>
              <w:rPr>
                <w:bCs/>
                <w:color w:val="000000"/>
                <w:sz w:val="22"/>
                <w:szCs w:val="22"/>
                <w:lang w:val="fr-CA"/>
              </w:rPr>
            </w:pPr>
            <w:r w:rsidRPr="00091F63">
              <w:rPr>
                <w:bCs/>
                <w:color w:val="000000"/>
                <w:sz w:val="22"/>
                <w:szCs w:val="22"/>
                <w:lang w:val="fr-CA"/>
              </w:rPr>
              <w:t>10.</w:t>
            </w:r>
            <w:r w:rsidRPr="00091F63">
              <w:rPr>
                <w:color w:val="000000"/>
                <w:sz w:val="22"/>
                <w:szCs w:val="22"/>
                <w:lang w:val="fr-CA"/>
              </w:rPr>
              <w:tab/>
            </w:r>
            <w:r w:rsidR="00091F63" w:rsidRPr="00091F63">
              <w:rPr>
                <w:color w:val="000000"/>
                <w:sz w:val="22"/>
                <w:szCs w:val="22"/>
                <w:lang w:val="fr-FR"/>
              </w:rPr>
              <w:t>De charger le SEDI de continuer à faciliter l’échange de données d’expériences et de bonnes pratiques entre les États membres en matière de préparation et d’intervention communautaires en cas d’urgence.</w:t>
            </w:r>
          </w:p>
          <w:p w14:paraId="527E5981" w14:textId="77777777" w:rsidR="008214B6" w:rsidRPr="00091F63" w:rsidRDefault="008214B6" w:rsidP="008214B6">
            <w:pPr>
              <w:jc w:val="both"/>
              <w:rPr>
                <w:bCs/>
                <w:color w:val="000000"/>
                <w:sz w:val="22"/>
                <w:szCs w:val="22"/>
                <w:lang w:val="fr-CA"/>
              </w:rPr>
            </w:pPr>
          </w:p>
          <w:p w14:paraId="543C9C6D" w14:textId="3B4441E9" w:rsidR="008214B6" w:rsidRPr="00091F63" w:rsidRDefault="008214B6" w:rsidP="008214B6">
            <w:pPr>
              <w:ind w:firstLine="720"/>
              <w:jc w:val="both"/>
              <w:rPr>
                <w:bCs/>
                <w:color w:val="000000"/>
                <w:sz w:val="22"/>
                <w:szCs w:val="22"/>
                <w:lang w:val="fr-CA"/>
              </w:rPr>
            </w:pPr>
            <w:r w:rsidRPr="00091F63">
              <w:rPr>
                <w:bCs/>
                <w:color w:val="000000"/>
                <w:sz w:val="22"/>
                <w:szCs w:val="22"/>
                <w:lang w:val="fr-CA"/>
              </w:rPr>
              <w:t>11.</w:t>
            </w:r>
            <w:r w:rsidRPr="00091F63">
              <w:rPr>
                <w:color w:val="000000"/>
                <w:sz w:val="22"/>
                <w:szCs w:val="22"/>
                <w:lang w:val="fr-CA"/>
              </w:rPr>
              <w:tab/>
            </w:r>
            <w:r w:rsidR="00091F63" w:rsidRPr="00091F63">
              <w:rPr>
                <w:color w:val="000000"/>
                <w:sz w:val="22"/>
                <w:szCs w:val="22"/>
                <w:lang w:val="fr-FR"/>
              </w:rPr>
              <w:t>De demander au SEDI de continuer à développer et à dispenser des formations visant à fournir des connaissances et des outils aux jeunes dans le domaine des communautés durables dans le cadre d’une approche intégrée, notamment par le biais du Portail éducatif des Amériques</w:t>
            </w:r>
            <w:r w:rsidRPr="00091F63">
              <w:rPr>
                <w:bCs/>
                <w:color w:val="000000"/>
                <w:sz w:val="22"/>
                <w:szCs w:val="22"/>
                <w:lang w:val="fr-CA"/>
              </w:rPr>
              <w:t>.</w:t>
            </w:r>
          </w:p>
          <w:p w14:paraId="3449F763" w14:textId="77777777" w:rsidR="008214B6" w:rsidRPr="00091F63" w:rsidRDefault="008214B6" w:rsidP="008214B6">
            <w:pPr>
              <w:jc w:val="both"/>
              <w:rPr>
                <w:sz w:val="22"/>
                <w:szCs w:val="22"/>
                <w:lang w:val="fr-CA"/>
              </w:rPr>
            </w:pPr>
          </w:p>
          <w:p w14:paraId="14A45920" w14:textId="0A143F58" w:rsidR="008214B6" w:rsidRPr="00091F63" w:rsidRDefault="008214B6" w:rsidP="008214B6">
            <w:pPr>
              <w:ind w:firstLine="720"/>
              <w:jc w:val="both"/>
              <w:rPr>
                <w:bCs/>
                <w:color w:val="000000"/>
                <w:sz w:val="22"/>
                <w:szCs w:val="22"/>
                <w:lang w:val="fr-CA"/>
              </w:rPr>
            </w:pPr>
            <w:r w:rsidRPr="00091F63">
              <w:rPr>
                <w:bCs/>
                <w:color w:val="000000"/>
                <w:sz w:val="22"/>
                <w:szCs w:val="22"/>
                <w:lang w:val="fr-CA"/>
              </w:rPr>
              <w:t>12.</w:t>
            </w:r>
            <w:r w:rsidRPr="00091F63">
              <w:rPr>
                <w:bCs/>
                <w:color w:val="000000"/>
                <w:sz w:val="22"/>
                <w:szCs w:val="22"/>
                <w:lang w:val="fr-CA"/>
              </w:rPr>
              <w:tab/>
            </w:r>
            <w:r w:rsidR="00091F63" w:rsidRPr="00091F63">
              <w:rPr>
                <w:color w:val="000000"/>
                <w:sz w:val="22"/>
                <w:szCs w:val="22"/>
                <w:lang w:val="fr-FR"/>
              </w:rPr>
              <w:t xml:space="preserve">De charger le SEDI de continuer à aider le Partenariat des Amériques pour l’énergie et le climat (ECPA) dans les efforts qu’il déploie pour soutenir les États membres dans le développement des énergies renouvelables et du gaz naturel ainsi que d’options possibles pour mettre en place des infrastructures transfrontalières et des services énergétiques, en diversifiant les sources et la distribution géographique pour </w:t>
            </w:r>
            <w:r w:rsidR="00091F63" w:rsidRPr="00091F63">
              <w:rPr>
                <w:color w:val="000000"/>
                <w:sz w:val="22"/>
                <w:szCs w:val="22"/>
                <w:lang w:val="fr-FR"/>
              </w:rPr>
              <w:lastRenderedPageBreak/>
              <w:t>produire l’électricité et protéger les communautés contre les défaillances du réseau électrique causées par des catastrophes</w:t>
            </w:r>
            <w:r w:rsidRPr="00091F63">
              <w:rPr>
                <w:bCs/>
                <w:color w:val="000000"/>
                <w:sz w:val="22"/>
                <w:szCs w:val="22"/>
                <w:lang w:val="fr-CA"/>
              </w:rPr>
              <w:t>.</w:t>
            </w:r>
          </w:p>
          <w:p w14:paraId="7FFBD106" w14:textId="77777777" w:rsidR="008214B6" w:rsidRPr="00091F63" w:rsidRDefault="008214B6" w:rsidP="008214B6">
            <w:pPr>
              <w:jc w:val="both"/>
              <w:rPr>
                <w:sz w:val="22"/>
                <w:szCs w:val="22"/>
                <w:lang w:val="fr-CA"/>
              </w:rPr>
            </w:pPr>
          </w:p>
          <w:p w14:paraId="7A8EE06B" w14:textId="6E170405" w:rsidR="008214B6" w:rsidRPr="00E250A4" w:rsidRDefault="008214B6" w:rsidP="00091F63">
            <w:pPr>
              <w:rPr>
                <w:sz w:val="22"/>
                <w:szCs w:val="22"/>
                <w:lang w:val="fr-FR"/>
              </w:rPr>
            </w:pPr>
            <w:r w:rsidRPr="00091F63">
              <w:rPr>
                <w:bCs/>
                <w:color w:val="000000"/>
                <w:sz w:val="22"/>
                <w:szCs w:val="22"/>
                <w:lang w:val="fr-CA"/>
              </w:rPr>
              <w:t>13.</w:t>
            </w:r>
            <w:r w:rsidRPr="00091F63">
              <w:rPr>
                <w:bCs/>
                <w:color w:val="000000"/>
                <w:sz w:val="22"/>
                <w:szCs w:val="22"/>
                <w:lang w:val="fr-CA"/>
              </w:rPr>
              <w:tab/>
            </w:r>
            <w:r w:rsidR="00091F63" w:rsidRPr="00091F63">
              <w:rPr>
                <w:color w:val="000000"/>
                <w:sz w:val="22"/>
                <w:szCs w:val="22"/>
                <w:lang w:val="fr-FR"/>
              </w:rPr>
              <w:t>De demander au SEDI de continuer à soutenir la promotion ou le développement, selon le cas, de politiques en matière de gestion intégrée des ressources en eau ainsi que de sécurité de l’eau, qui comprennent des dispositions visant l’atténuation et l’adaptation aux effets du changement climatique, tels que les sécheresses et les inondations graves, en particulier pour les pays souffrant de pénuries d’eau et les régions à risque</w:t>
            </w:r>
            <w:r w:rsidRPr="00091F63">
              <w:rPr>
                <w:bCs/>
                <w:color w:val="000000"/>
                <w:sz w:val="22"/>
                <w:szCs w:val="22"/>
                <w:shd w:val="clear" w:color="auto" w:fill="FFFFFF"/>
                <w:lang w:val="fr-CA"/>
              </w:rPr>
              <w:t>.</w:t>
            </w:r>
          </w:p>
          <w:p w14:paraId="564451D8" w14:textId="77777777" w:rsidR="008214B6" w:rsidRPr="00091F63" w:rsidRDefault="008214B6" w:rsidP="008214B6">
            <w:pPr>
              <w:jc w:val="both"/>
              <w:rPr>
                <w:sz w:val="22"/>
                <w:szCs w:val="22"/>
                <w:lang w:val="fr-CA"/>
              </w:rPr>
            </w:pPr>
          </w:p>
          <w:p w14:paraId="1604B7BE" w14:textId="59C1E6E4" w:rsidR="008214B6" w:rsidRPr="00091F63" w:rsidRDefault="008214B6" w:rsidP="008214B6">
            <w:pPr>
              <w:ind w:firstLine="720"/>
              <w:jc w:val="both"/>
              <w:rPr>
                <w:color w:val="000000"/>
                <w:sz w:val="22"/>
                <w:szCs w:val="22"/>
                <w:lang w:val="fr-CA"/>
              </w:rPr>
            </w:pPr>
            <w:r w:rsidRPr="00091F63">
              <w:rPr>
                <w:color w:val="000000"/>
                <w:sz w:val="22"/>
                <w:szCs w:val="22"/>
                <w:lang w:val="fr-CA"/>
              </w:rPr>
              <w:t>14.</w:t>
            </w:r>
            <w:r w:rsidRPr="00091F63">
              <w:rPr>
                <w:color w:val="000000"/>
                <w:sz w:val="22"/>
                <w:szCs w:val="22"/>
                <w:lang w:val="fr-CA"/>
              </w:rPr>
              <w:tab/>
            </w:r>
            <w:r w:rsidR="00091F63" w:rsidRPr="00091F63">
              <w:rPr>
                <w:sz w:val="22"/>
                <w:szCs w:val="22"/>
                <w:lang w:val="fr-FR"/>
              </w:rPr>
              <w:t>De demander au Secrétariat de la Commission interaméricaine des ports (CIP) de poursuivre ses efforts pour mettre en œuvre des programmes qui favorisent la durabilité de l’environnement dans les États membres, y compris la réduction de la pollution, dans le cadre du Programme d’incitations portuaires à la réduction des gaz à effet de serre émis par les cargos</w:t>
            </w:r>
            <w:r w:rsidRPr="00091F63">
              <w:rPr>
                <w:color w:val="000000"/>
                <w:sz w:val="22"/>
                <w:szCs w:val="22"/>
                <w:lang w:val="fr-CA"/>
              </w:rPr>
              <w:t>.</w:t>
            </w:r>
          </w:p>
          <w:p w14:paraId="1C04D39F" w14:textId="77777777" w:rsidR="00B7264C" w:rsidRPr="00091F63" w:rsidRDefault="00B7264C" w:rsidP="008214B6">
            <w:pPr>
              <w:ind w:firstLine="720"/>
              <w:jc w:val="both"/>
              <w:rPr>
                <w:color w:val="000000"/>
                <w:sz w:val="22"/>
                <w:szCs w:val="22"/>
                <w:lang w:val="fr-CA"/>
              </w:rPr>
            </w:pPr>
          </w:p>
          <w:p w14:paraId="050D91DF" w14:textId="11D1AFD6" w:rsidR="00FE18BE" w:rsidRPr="00091F63" w:rsidRDefault="00B7264C" w:rsidP="00B7264C">
            <w:pPr>
              <w:ind w:firstLine="720"/>
              <w:jc w:val="both"/>
              <w:rPr>
                <w:rFonts w:eastAsia="Calibri"/>
                <w:sz w:val="22"/>
                <w:szCs w:val="22"/>
                <w:lang w:val="fr-CA"/>
              </w:rPr>
            </w:pPr>
            <w:r w:rsidRPr="00091F63">
              <w:rPr>
                <w:bCs/>
                <w:color w:val="000000"/>
                <w:sz w:val="22"/>
                <w:szCs w:val="22"/>
                <w:lang w:val="fr-CA"/>
              </w:rPr>
              <w:t>18.</w:t>
            </w:r>
            <w:r w:rsidRPr="00091F63">
              <w:rPr>
                <w:bCs/>
                <w:color w:val="000000"/>
                <w:sz w:val="22"/>
                <w:szCs w:val="22"/>
                <w:lang w:val="fr-CA"/>
              </w:rPr>
              <w:tab/>
            </w:r>
            <w:r w:rsidR="00091F63" w:rsidRPr="00091F63">
              <w:rPr>
                <w:color w:val="000000"/>
                <w:sz w:val="22"/>
                <w:szCs w:val="22"/>
                <w:lang w:val="fr-FR"/>
              </w:rPr>
              <w:t>D’approuver les recommandations du CIDI contenues dans le document CIDI/CPD/ doc.200/20 rev. 3 sur les outils existants et les entités établies au sein du système interaméricain pour répondre aux besoins d’interventions en cas de catastrophe naturelle, et de charger le CIDI, en coordination avec la Commission sur la sécurité continentale (CSH), de superviser l’exécution des mandats confiés au Secrétariat général</w:t>
            </w:r>
            <w:r w:rsidRPr="00091F63">
              <w:rPr>
                <w:bCs/>
                <w:color w:val="000000"/>
                <w:sz w:val="22"/>
                <w:szCs w:val="22"/>
                <w:lang w:val="fr-CA"/>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66290D8" w14:textId="407BD79A" w:rsidR="00FE18BE" w:rsidRPr="00715BD6" w:rsidRDefault="004B74F4" w:rsidP="00FE18BE">
            <w:pPr>
              <w:suppressAutoHyphens/>
              <w:rPr>
                <w:sz w:val="22"/>
                <w:szCs w:val="22"/>
                <w:lang w:val="fr-CA" w:eastAsia="ar-SA"/>
              </w:rPr>
            </w:pPr>
            <w:r>
              <w:rPr>
                <w:sz w:val="22"/>
                <w:szCs w:val="22"/>
                <w:lang w:val="fr-CA" w:eastAsia="ar-SA"/>
              </w:rPr>
              <w:lastRenderedPageBreak/>
              <w:t>États membres</w:t>
            </w:r>
          </w:p>
          <w:p w14:paraId="4E1FCD82" w14:textId="77777777" w:rsidR="008214B6" w:rsidRPr="00715BD6" w:rsidRDefault="008214B6" w:rsidP="00FE18BE">
            <w:pPr>
              <w:suppressAutoHyphens/>
              <w:rPr>
                <w:sz w:val="22"/>
                <w:szCs w:val="22"/>
                <w:lang w:val="fr-CA" w:eastAsia="ar-SA"/>
              </w:rPr>
            </w:pPr>
          </w:p>
          <w:p w14:paraId="54249F5A" w14:textId="7642DA15" w:rsidR="008214B6" w:rsidRDefault="008214B6" w:rsidP="00FE18BE">
            <w:pPr>
              <w:suppressAutoHyphens/>
              <w:rPr>
                <w:sz w:val="22"/>
                <w:szCs w:val="22"/>
                <w:lang w:val="fr-CA" w:eastAsia="ar-SA"/>
              </w:rPr>
            </w:pPr>
          </w:p>
          <w:p w14:paraId="7DB54565" w14:textId="77777777" w:rsidR="00091F63" w:rsidRPr="00715BD6" w:rsidRDefault="00091F63" w:rsidP="00FE18BE">
            <w:pPr>
              <w:suppressAutoHyphens/>
              <w:rPr>
                <w:sz w:val="22"/>
                <w:szCs w:val="22"/>
                <w:lang w:val="fr-CA" w:eastAsia="ar-SA"/>
              </w:rPr>
            </w:pPr>
          </w:p>
          <w:p w14:paraId="74E23841" w14:textId="77777777" w:rsidR="008214B6" w:rsidRPr="00715BD6" w:rsidRDefault="008214B6" w:rsidP="00FE18BE">
            <w:pPr>
              <w:suppressAutoHyphens/>
              <w:rPr>
                <w:sz w:val="22"/>
                <w:szCs w:val="22"/>
                <w:lang w:val="fr-CA" w:eastAsia="ar-SA"/>
              </w:rPr>
            </w:pPr>
          </w:p>
          <w:p w14:paraId="66966D86" w14:textId="77777777" w:rsidR="008214B6" w:rsidRPr="00715BD6" w:rsidRDefault="008214B6" w:rsidP="00FE18BE">
            <w:pPr>
              <w:suppressAutoHyphens/>
              <w:rPr>
                <w:sz w:val="22"/>
                <w:szCs w:val="22"/>
                <w:lang w:val="fr-CA" w:eastAsia="ar-SA"/>
              </w:rPr>
            </w:pPr>
            <w:r w:rsidRPr="00715BD6">
              <w:rPr>
                <w:sz w:val="22"/>
                <w:szCs w:val="22"/>
                <w:lang w:val="fr-CA" w:eastAsia="ar-SA"/>
              </w:rPr>
              <w:t>SEDI</w:t>
            </w:r>
          </w:p>
          <w:p w14:paraId="1A15E2C2" w14:textId="77777777" w:rsidR="008214B6" w:rsidRPr="00715BD6" w:rsidRDefault="008214B6" w:rsidP="00FE18BE">
            <w:pPr>
              <w:suppressAutoHyphens/>
              <w:rPr>
                <w:sz w:val="22"/>
                <w:szCs w:val="22"/>
                <w:lang w:val="fr-CA" w:eastAsia="ar-SA"/>
              </w:rPr>
            </w:pPr>
          </w:p>
          <w:p w14:paraId="3CA1FF30" w14:textId="77777777" w:rsidR="008214B6" w:rsidRPr="00715BD6" w:rsidRDefault="008214B6" w:rsidP="00FE18BE">
            <w:pPr>
              <w:suppressAutoHyphens/>
              <w:rPr>
                <w:sz w:val="22"/>
                <w:szCs w:val="22"/>
                <w:lang w:val="fr-CA" w:eastAsia="ar-SA"/>
              </w:rPr>
            </w:pPr>
          </w:p>
          <w:p w14:paraId="75EA3398" w14:textId="77777777" w:rsidR="008214B6" w:rsidRPr="00715BD6" w:rsidRDefault="008214B6" w:rsidP="00FE18BE">
            <w:pPr>
              <w:suppressAutoHyphens/>
              <w:rPr>
                <w:sz w:val="22"/>
                <w:szCs w:val="22"/>
                <w:lang w:val="fr-CA" w:eastAsia="ar-SA"/>
              </w:rPr>
            </w:pPr>
          </w:p>
          <w:p w14:paraId="73BD4831" w14:textId="77777777" w:rsidR="008214B6" w:rsidRPr="00715BD6" w:rsidRDefault="008214B6" w:rsidP="00FE18BE">
            <w:pPr>
              <w:suppressAutoHyphens/>
              <w:rPr>
                <w:sz w:val="22"/>
                <w:szCs w:val="22"/>
                <w:lang w:val="fr-CA" w:eastAsia="ar-SA"/>
              </w:rPr>
            </w:pPr>
            <w:r w:rsidRPr="00715BD6">
              <w:rPr>
                <w:sz w:val="22"/>
                <w:szCs w:val="22"/>
                <w:lang w:val="fr-CA" w:eastAsia="ar-SA"/>
              </w:rPr>
              <w:t>SEDI</w:t>
            </w:r>
          </w:p>
          <w:p w14:paraId="6BAB2BBC" w14:textId="77777777" w:rsidR="008214B6" w:rsidRPr="00715BD6" w:rsidRDefault="008214B6" w:rsidP="00FE18BE">
            <w:pPr>
              <w:suppressAutoHyphens/>
              <w:rPr>
                <w:sz w:val="22"/>
                <w:szCs w:val="22"/>
                <w:lang w:val="fr-CA" w:eastAsia="ar-SA"/>
              </w:rPr>
            </w:pPr>
          </w:p>
          <w:p w14:paraId="40944498" w14:textId="77777777" w:rsidR="008214B6" w:rsidRPr="00715BD6" w:rsidRDefault="008214B6" w:rsidP="00FE18BE">
            <w:pPr>
              <w:suppressAutoHyphens/>
              <w:rPr>
                <w:sz w:val="22"/>
                <w:szCs w:val="22"/>
                <w:lang w:val="fr-CA" w:eastAsia="ar-SA"/>
              </w:rPr>
            </w:pPr>
          </w:p>
          <w:p w14:paraId="4D232A92" w14:textId="77777777" w:rsidR="008214B6" w:rsidRPr="00715BD6" w:rsidRDefault="008214B6" w:rsidP="00FE18BE">
            <w:pPr>
              <w:suppressAutoHyphens/>
              <w:rPr>
                <w:sz w:val="22"/>
                <w:szCs w:val="22"/>
                <w:lang w:val="fr-CA" w:eastAsia="ar-SA"/>
              </w:rPr>
            </w:pPr>
          </w:p>
          <w:p w14:paraId="623DE757" w14:textId="77777777" w:rsidR="008214B6" w:rsidRPr="00715BD6" w:rsidRDefault="008214B6" w:rsidP="00FE18BE">
            <w:pPr>
              <w:suppressAutoHyphens/>
              <w:rPr>
                <w:sz w:val="22"/>
                <w:szCs w:val="22"/>
                <w:lang w:val="fr-CA" w:eastAsia="ar-SA"/>
              </w:rPr>
            </w:pPr>
          </w:p>
          <w:p w14:paraId="069B0E5E" w14:textId="77777777" w:rsidR="008214B6" w:rsidRPr="00715BD6" w:rsidRDefault="008214B6" w:rsidP="00FE18BE">
            <w:pPr>
              <w:suppressAutoHyphens/>
              <w:rPr>
                <w:sz w:val="22"/>
                <w:szCs w:val="22"/>
                <w:lang w:val="fr-CA" w:eastAsia="ar-SA"/>
              </w:rPr>
            </w:pPr>
            <w:r w:rsidRPr="00715BD6">
              <w:rPr>
                <w:sz w:val="22"/>
                <w:szCs w:val="22"/>
                <w:lang w:val="fr-CA" w:eastAsia="ar-SA"/>
              </w:rPr>
              <w:t>SEDI</w:t>
            </w:r>
          </w:p>
          <w:p w14:paraId="40EAFB8C" w14:textId="77777777" w:rsidR="008214B6" w:rsidRPr="00715BD6" w:rsidRDefault="008214B6" w:rsidP="00FE18BE">
            <w:pPr>
              <w:suppressAutoHyphens/>
              <w:rPr>
                <w:sz w:val="22"/>
                <w:szCs w:val="22"/>
                <w:lang w:val="fr-CA" w:eastAsia="ar-SA"/>
              </w:rPr>
            </w:pPr>
          </w:p>
          <w:p w14:paraId="079ADC80" w14:textId="77777777" w:rsidR="008214B6" w:rsidRPr="00715BD6" w:rsidRDefault="008214B6" w:rsidP="00FE18BE">
            <w:pPr>
              <w:suppressAutoHyphens/>
              <w:rPr>
                <w:sz w:val="22"/>
                <w:szCs w:val="22"/>
                <w:lang w:val="fr-CA" w:eastAsia="ar-SA"/>
              </w:rPr>
            </w:pPr>
          </w:p>
          <w:p w14:paraId="0834E83F" w14:textId="3BF32398" w:rsidR="008214B6" w:rsidRDefault="008214B6" w:rsidP="00FE18BE">
            <w:pPr>
              <w:suppressAutoHyphens/>
              <w:rPr>
                <w:sz w:val="22"/>
                <w:szCs w:val="22"/>
                <w:lang w:val="fr-CA" w:eastAsia="ar-SA"/>
              </w:rPr>
            </w:pPr>
          </w:p>
          <w:p w14:paraId="79A95249" w14:textId="374E9EB2" w:rsidR="00091F63" w:rsidRDefault="00091F63" w:rsidP="00FE18BE">
            <w:pPr>
              <w:suppressAutoHyphens/>
              <w:rPr>
                <w:sz w:val="22"/>
                <w:szCs w:val="22"/>
                <w:lang w:val="fr-CA" w:eastAsia="ar-SA"/>
              </w:rPr>
            </w:pPr>
          </w:p>
          <w:p w14:paraId="5E2AF57E" w14:textId="77777777" w:rsidR="00091F63" w:rsidRPr="00715BD6" w:rsidRDefault="00091F63" w:rsidP="00FE18BE">
            <w:pPr>
              <w:suppressAutoHyphens/>
              <w:rPr>
                <w:sz w:val="22"/>
                <w:szCs w:val="22"/>
                <w:lang w:val="fr-CA" w:eastAsia="ar-SA"/>
              </w:rPr>
            </w:pPr>
          </w:p>
          <w:p w14:paraId="6273068E" w14:textId="20EF694C" w:rsidR="008214B6" w:rsidRDefault="008214B6" w:rsidP="00FE18BE">
            <w:pPr>
              <w:suppressAutoHyphens/>
              <w:rPr>
                <w:sz w:val="22"/>
                <w:szCs w:val="22"/>
                <w:lang w:val="fr-CA" w:eastAsia="ar-SA"/>
              </w:rPr>
            </w:pPr>
          </w:p>
          <w:p w14:paraId="057F62AD" w14:textId="36AD5A23" w:rsidR="00091F63" w:rsidRPr="00715BD6" w:rsidRDefault="00091F63" w:rsidP="00FE18BE">
            <w:pPr>
              <w:suppressAutoHyphens/>
              <w:rPr>
                <w:sz w:val="22"/>
                <w:szCs w:val="22"/>
                <w:lang w:val="fr-CA" w:eastAsia="ar-SA"/>
              </w:rPr>
            </w:pPr>
          </w:p>
          <w:p w14:paraId="0E01F6CB" w14:textId="77777777" w:rsidR="008214B6" w:rsidRPr="00715BD6" w:rsidRDefault="008214B6" w:rsidP="00FE18BE">
            <w:pPr>
              <w:suppressAutoHyphens/>
              <w:rPr>
                <w:sz w:val="22"/>
                <w:szCs w:val="22"/>
                <w:lang w:val="fr-CA" w:eastAsia="ar-SA"/>
              </w:rPr>
            </w:pPr>
          </w:p>
          <w:p w14:paraId="10172BB7" w14:textId="77777777" w:rsidR="008214B6" w:rsidRPr="00715BD6" w:rsidRDefault="008214B6" w:rsidP="00FE18BE">
            <w:pPr>
              <w:suppressAutoHyphens/>
              <w:rPr>
                <w:sz w:val="22"/>
                <w:szCs w:val="22"/>
                <w:lang w:val="fr-CA" w:eastAsia="ar-SA"/>
              </w:rPr>
            </w:pPr>
            <w:r w:rsidRPr="00715BD6">
              <w:rPr>
                <w:sz w:val="22"/>
                <w:szCs w:val="22"/>
                <w:lang w:val="fr-CA" w:eastAsia="ar-SA"/>
              </w:rPr>
              <w:t>SEDI</w:t>
            </w:r>
          </w:p>
          <w:p w14:paraId="2C710FF3" w14:textId="77777777" w:rsidR="008214B6" w:rsidRPr="00715BD6" w:rsidRDefault="008214B6" w:rsidP="00FE18BE">
            <w:pPr>
              <w:suppressAutoHyphens/>
              <w:rPr>
                <w:sz w:val="22"/>
                <w:szCs w:val="22"/>
                <w:lang w:val="fr-CA" w:eastAsia="ar-SA"/>
              </w:rPr>
            </w:pPr>
          </w:p>
          <w:p w14:paraId="28C1791B" w14:textId="245ECACC" w:rsidR="008214B6" w:rsidRDefault="008214B6" w:rsidP="00FE18BE">
            <w:pPr>
              <w:suppressAutoHyphens/>
              <w:rPr>
                <w:sz w:val="22"/>
                <w:szCs w:val="22"/>
                <w:lang w:val="fr-CA" w:eastAsia="ar-SA"/>
              </w:rPr>
            </w:pPr>
          </w:p>
          <w:p w14:paraId="6396C93A" w14:textId="77777777" w:rsidR="00091F63" w:rsidRPr="00715BD6" w:rsidRDefault="00091F63" w:rsidP="00FE18BE">
            <w:pPr>
              <w:suppressAutoHyphens/>
              <w:rPr>
                <w:sz w:val="22"/>
                <w:szCs w:val="22"/>
                <w:lang w:val="fr-CA" w:eastAsia="ar-SA"/>
              </w:rPr>
            </w:pPr>
          </w:p>
          <w:p w14:paraId="43BA0960" w14:textId="77777777" w:rsidR="008214B6" w:rsidRPr="00715BD6" w:rsidRDefault="008214B6" w:rsidP="00FE18BE">
            <w:pPr>
              <w:suppressAutoHyphens/>
              <w:rPr>
                <w:sz w:val="22"/>
                <w:szCs w:val="22"/>
                <w:lang w:val="fr-CA" w:eastAsia="ar-SA"/>
              </w:rPr>
            </w:pPr>
          </w:p>
          <w:p w14:paraId="3F1CDD6B" w14:textId="14523399" w:rsidR="008214B6" w:rsidRPr="00715BD6" w:rsidRDefault="008214B6" w:rsidP="00FE18BE">
            <w:pPr>
              <w:suppressAutoHyphens/>
              <w:rPr>
                <w:sz w:val="22"/>
                <w:szCs w:val="22"/>
                <w:lang w:val="fr-CA" w:eastAsia="ar-SA"/>
              </w:rPr>
            </w:pPr>
          </w:p>
          <w:p w14:paraId="30921E2B" w14:textId="45EBFD45" w:rsidR="008214B6" w:rsidRPr="00715BD6" w:rsidRDefault="008214B6" w:rsidP="00FE18BE">
            <w:pPr>
              <w:suppressAutoHyphens/>
              <w:rPr>
                <w:sz w:val="22"/>
                <w:szCs w:val="22"/>
                <w:lang w:val="fr-CA" w:eastAsia="ar-SA"/>
              </w:rPr>
            </w:pPr>
          </w:p>
          <w:p w14:paraId="096027FF" w14:textId="77B073B2" w:rsidR="008214B6" w:rsidRPr="00715BD6" w:rsidRDefault="008214B6" w:rsidP="00FE18BE">
            <w:pPr>
              <w:suppressAutoHyphens/>
              <w:rPr>
                <w:sz w:val="22"/>
                <w:szCs w:val="22"/>
                <w:lang w:val="fr-CA" w:eastAsia="ar-SA"/>
              </w:rPr>
            </w:pPr>
            <w:r w:rsidRPr="00715BD6">
              <w:rPr>
                <w:sz w:val="22"/>
                <w:szCs w:val="22"/>
                <w:lang w:val="fr-CA" w:eastAsia="ar-SA"/>
              </w:rPr>
              <w:t>SEDI</w:t>
            </w:r>
          </w:p>
          <w:p w14:paraId="475363FB" w14:textId="0CFC0E0E" w:rsidR="00B7264C" w:rsidRPr="00715BD6" w:rsidRDefault="00B7264C" w:rsidP="00FE18BE">
            <w:pPr>
              <w:suppressAutoHyphens/>
              <w:rPr>
                <w:sz w:val="22"/>
                <w:szCs w:val="22"/>
                <w:lang w:val="fr-CA" w:eastAsia="ar-SA"/>
              </w:rPr>
            </w:pPr>
          </w:p>
          <w:p w14:paraId="3CB3F3F2" w14:textId="69D33714" w:rsidR="00B7264C" w:rsidRPr="00715BD6" w:rsidRDefault="00B7264C" w:rsidP="00FE18BE">
            <w:pPr>
              <w:suppressAutoHyphens/>
              <w:rPr>
                <w:sz w:val="22"/>
                <w:szCs w:val="22"/>
                <w:lang w:val="fr-CA" w:eastAsia="ar-SA"/>
              </w:rPr>
            </w:pPr>
          </w:p>
          <w:p w14:paraId="4A784AE7" w14:textId="5F434776" w:rsidR="00B7264C" w:rsidRPr="00715BD6" w:rsidRDefault="00B7264C" w:rsidP="00FE18BE">
            <w:pPr>
              <w:suppressAutoHyphens/>
              <w:rPr>
                <w:sz w:val="22"/>
                <w:szCs w:val="22"/>
                <w:lang w:val="fr-CA" w:eastAsia="ar-SA"/>
              </w:rPr>
            </w:pPr>
          </w:p>
          <w:p w14:paraId="331967F0" w14:textId="095440E2" w:rsidR="00B7264C" w:rsidRPr="00715BD6" w:rsidRDefault="00B7264C" w:rsidP="00FE18BE">
            <w:pPr>
              <w:suppressAutoHyphens/>
              <w:rPr>
                <w:sz w:val="22"/>
                <w:szCs w:val="22"/>
                <w:lang w:val="fr-CA" w:eastAsia="ar-SA"/>
              </w:rPr>
            </w:pPr>
          </w:p>
          <w:p w14:paraId="0049D16F" w14:textId="77777777" w:rsidR="00604D1D" w:rsidRPr="00715BD6" w:rsidRDefault="00604D1D" w:rsidP="00FE18BE">
            <w:pPr>
              <w:suppressAutoHyphens/>
              <w:rPr>
                <w:sz w:val="22"/>
                <w:szCs w:val="22"/>
                <w:lang w:val="fr-CA" w:eastAsia="ar-SA"/>
              </w:rPr>
            </w:pPr>
          </w:p>
          <w:p w14:paraId="6D219450" w14:textId="5B5757FE" w:rsidR="00B7264C" w:rsidRPr="00715BD6" w:rsidRDefault="00002FC1" w:rsidP="00FE18BE">
            <w:pPr>
              <w:suppressAutoHyphens/>
              <w:rPr>
                <w:sz w:val="22"/>
                <w:szCs w:val="22"/>
                <w:lang w:val="fr-CA" w:eastAsia="ar-SA"/>
              </w:rPr>
            </w:pPr>
            <w:r>
              <w:rPr>
                <w:sz w:val="22"/>
                <w:szCs w:val="22"/>
                <w:lang w:val="fr-CA" w:eastAsia="ar-SA"/>
              </w:rPr>
              <w:t>CIDI/CSH</w:t>
            </w:r>
          </w:p>
          <w:p w14:paraId="1C994487" w14:textId="4B8AA828" w:rsidR="008214B6" w:rsidRPr="00715BD6" w:rsidRDefault="008214B6" w:rsidP="00FE18BE">
            <w:pPr>
              <w:suppressAutoHyphens/>
              <w:rPr>
                <w:sz w:val="22"/>
                <w:szCs w:val="22"/>
                <w:lang w:val="fr-CA" w:eastAsia="ar-SA"/>
              </w:rPr>
            </w:pPr>
          </w:p>
          <w:p w14:paraId="2161D43C" w14:textId="16BA400E" w:rsidR="008214B6" w:rsidRPr="00715BD6" w:rsidRDefault="008214B6" w:rsidP="00FE18BE">
            <w:pPr>
              <w:suppressAutoHyphens/>
              <w:rPr>
                <w:sz w:val="22"/>
                <w:szCs w:val="22"/>
                <w:lang w:val="fr-CA" w:eastAsia="ar-SA"/>
              </w:rPr>
            </w:pPr>
          </w:p>
          <w:p w14:paraId="02381F13" w14:textId="3EAAB166" w:rsidR="008214B6" w:rsidRPr="00715BD6" w:rsidRDefault="008214B6" w:rsidP="00FE18BE">
            <w:pPr>
              <w:suppressAutoHyphens/>
              <w:rPr>
                <w:sz w:val="22"/>
                <w:szCs w:val="22"/>
                <w:lang w:val="fr-CA" w:eastAsia="ar-SA"/>
              </w:rPr>
            </w:pPr>
          </w:p>
          <w:p w14:paraId="6D56EBB0" w14:textId="3F5BC838" w:rsidR="008214B6" w:rsidRPr="00715BD6" w:rsidRDefault="008214B6" w:rsidP="00FE18BE">
            <w:pPr>
              <w:suppressAutoHyphens/>
              <w:rPr>
                <w:sz w:val="22"/>
                <w:szCs w:val="22"/>
                <w:lang w:val="fr-CA" w:eastAsia="ar-SA"/>
              </w:rPr>
            </w:pPr>
          </w:p>
        </w:tc>
      </w:tr>
      <w:tr w:rsidR="000B3603" w:rsidRPr="00715BD6" w14:paraId="54931E89" w14:textId="77777777" w:rsidTr="008214B6">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4EFF7175" w14:textId="3878FB34" w:rsidR="000B3603" w:rsidRPr="00715BD6" w:rsidRDefault="00091F63" w:rsidP="000B3603">
            <w:pPr>
              <w:pStyle w:val="ListParagraph"/>
              <w:numPr>
                <w:ilvl w:val="0"/>
                <w:numId w:val="14"/>
              </w:numPr>
              <w:ind w:left="247" w:hanging="247"/>
              <w:rPr>
                <w:b/>
                <w:sz w:val="22"/>
                <w:szCs w:val="22"/>
                <w:lang w:val="fr-CA"/>
              </w:rPr>
            </w:pPr>
            <w:r>
              <w:rPr>
                <w:b/>
                <w:color w:val="000000"/>
                <w:sz w:val="22"/>
                <w:szCs w:val="22"/>
                <w:lang w:val="fr-CA"/>
              </w:rPr>
              <w:lastRenderedPageBreak/>
              <w:t>Ligne stratégique </w:t>
            </w:r>
            <w:r w:rsidR="000B3603" w:rsidRPr="00715BD6">
              <w:rPr>
                <w:b/>
                <w:color w:val="000000"/>
                <w:sz w:val="22"/>
                <w:szCs w:val="22"/>
                <w:lang w:val="fr-CA"/>
              </w:rPr>
              <w:t>: “Promo</w:t>
            </w:r>
            <w:r>
              <w:rPr>
                <w:b/>
                <w:color w:val="000000"/>
                <w:sz w:val="22"/>
                <w:szCs w:val="22"/>
                <w:lang w:val="fr-CA"/>
              </w:rPr>
              <w:t xml:space="preserve">uvoir l’éducation et le développement humain </w:t>
            </w:r>
            <w:r w:rsidR="00AA7A83">
              <w:rPr>
                <w:b/>
                <w:color w:val="000000"/>
                <w:sz w:val="22"/>
                <w:szCs w:val="22"/>
                <w:lang w:val="fr-CA"/>
              </w:rPr>
              <w:t>dans les Amériques</w:t>
            </w:r>
            <w:r w:rsidR="000B3603" w:rsidRPr="00715BD6">
              <w:rPr>
                <w:b/>
                <w:color w:val="000000"/>
                <w:sz w:val="22"/>
                <w:szCs w:val="22"/>
                <w:lang w:val="fr-CA"/>
              </w:rPr>
              <w:t>”</w:t>
            </w:r>
          </w:p>
          <w:p w14:paraId="18467A30" w14:textId="77777777" w:rsidR="000B3603" w:rsidRPr="00715BD6" w:rsidRDefault="000B3603" w:rsidP="000B3603">
            <w:pPr>
              <w:suppressAutoHyphens/>
              <w:rPr>
                <w:b/>
                <w:bCs/>
                <w:sz w:val="22"/>
                <w:szCs w:val="22"/>
                <w:lang w:val="fr-CA" w:eastAsia="ar-SA"/>
              </w:rPr>
            </w:pPr>
          </w:p>
        </w:tc>
        <w:tc>
          <w:tcPr>
            <w:tcW w:w="7740" w:type="dxa"/>
            <w:tcBorders>
              <w:top w:val="single" w:sz="4" w:space="0" w:color="000000"/>
              <w:left w:val="single" w:sz="4" w:space="0" w:color="000000"/>
              <w:bottom w:val="single" w:sz="4" w:space="0" w:color="000000"/>
            </w:tcBorders>
            <w:shd w:val="clear" w:color="auto" w:fill="auto"/>
          </w:tcPr>
          <w:p w14:paraId="1B2CDD8A" w14:textId="040FEAC7" w:rsidR="000B3603" w:rsidRPr="00F44B2B" w:rsidRDefault="000B3603" w:rsidP="000B3603">
            <w:pPr>
              <w:ind w:right="-29" w:firstLine="720"/>
              <w:jc w:val="both"/>
              <w:rPr>
                <w:bCs/>
                <w:color w:val="000000"/>
                <w:sz w:val="22"/>
                <w:szCs w:val="22"/>
                <w:lang w:val="fr-CA"/>
              </w:rPr>
            </w:pPr>
            <w:r w:rsidRPr="00F44B2B">
              <w:rPr>
                <w:bCs/>
                <w:color w:val="000000"/>
                <w:sz w:val="22"/>
                <w:szCs w:val="22"/>
                <w:lang w:val="fr-CA"/>
              </w:rPr>
              <w:t>21.</w:t>
            </w:r>
            <w:r w:rsidRPr="00F44B2B">
              <w:rPr>
                <w:bCs/>
                <w:color w:val="000000"/>
                <w:sz w:val="22"/>
                <w:szCs w:val="22"/>
                <w:lang w:val="fr-CA"/>
              </w:rPr>
              <w:tab/>
            </w:r>
            <w:r w:rsidR="00AA7A83" w:rsidRPr="00F44B2B">
              <w:rPr>
                <w:color w:val="000000"/>
                <w:sz w:val="22"/>
                <w:szCs w:val="22"/>
                <w:lang w:val="fr-FR"/>
              </w:rPr>
              <w:t>De charger le Secrétariat exécutif au développement intégré (SEDI) de continuer à soutenir le plan de travail 2019-2022 de la Commission interaméricaine de l’éducation (CIE) et son objectif de partager des initiatives concrètes pour la mise en œuvre du Programme interaméricain d’éducation (PIE) ; d’approfondir les synergies entre les initiatives éducatives mondiales, continentales et sous-régionales ; et de promouvoir la coopération intersectorielle et la coopération avec d’autres acteurs sociaux afin de contribuer à la réalisation des objectifs fixés dans le Programme de développement durable à l’horizon 2030 et à la réduction des inégalités exacerbées par la pandémie</w:t>
            </w:r>
            <w:r w:rsidRPr="00F44B2B">
              <w:rPr>
                <w:bCs/>
                <w:color w:val="000000"/>
                <w:sz w:val="22"/>
                <w:szCs w:val="22"/>
                <w:lang w:val="fr-CA"/>
              </w:rPr>
              <w:t xml:space="preserve">. </w:t>
            </w:r>
          </w:p>
          <w:p w14:paraId="233BC9EE" w14:textId="77777777" w:rsidR="000B3603" w:rsidRPr="00F44B2B" w:rsidRDefault="000B3603" w:rsidP="000B3603">
            <w:pPr>
              <w:jc w:val="both"/>
              <w:rPr>
                <w:sz w:val="22"/>
                <w:szCs w:val="22"/>
                <w:lang w:val="fr-CA"/>
              </w:rPr>
            </w:pPr>
          </w:p>
          <w:p w14:paraId="47BE7E49" w14:textId="5B6A3651" w:rsidR="000B3603" w:rsidRPr="00F44B2B" w:rsidRDefault="000B3603" w:rsidP="000B3603">
            <w:pPr>
              <w:ind w:firstLine="691"/>
              <w:jc w:val="both"/>
              <w:rPr>
                <w:bCs/>
                <w:color w:val="000000"/>
                <w:sz w:val="22"/>
                <w:szCs w:val="22"/>
                <w:lang w:val="fr-CA"/>
              </w:rPr>
            </w:pPr>
            <w:r w:rsidRPr="00F44B2B">
              <w:rPr>
                <w:sz w:val="22"/>
                <w:szCs w:val="22"/>
                <w:lang w:val="fr-CA"/>
              </w:rPr>
              <w:lastRenderedPageBreak/>
              <w:t>22.</w:t>
            </w:r>
            <w:r w:rsidRPr="00F44B2B">
              <w:rPr>
                <w:sz w:val="22"/>
                <w:szCs w:val="22"/>
                <w:lang w:val="fr-CA"/>
              </w:rPr>
              <w:tab/>
            </w:r>
            <w:r w:rsidR="00AA7A83" w:rsidRPr="00F44B2B">
              <w:rPr>
                <w:color w:val="000000"/>
                <w:sz w:val="22"/>
                <w:szCs w:val="22"/>
                <w:lang w:val="fr-FR"/>
              </w:rPr>
              <w:t>De charger le SEDI de soutenir les ministères et institutions responsables de l’éducation dans la région pour promouvoir la proposition d’action continentale pour la continuité de l’éducation face à aux effets de la pandémie causée par le coronavirus</w:t>
            </w:r>
            <w:r w:rsidRPr="00F44B2B">
              <w:rPr>
                <w:bCs/>
                <w:color w:val="000000"/>
                <w:sz w:val="22"/>
                <w:szCs w:val="22"/>
                <w:lang w:val="fr-CA"/>
              </w:rPr>
              <w:t>.</w:t>
            </w:r>
          </w:p>
          <w:p w14:paraId="71FF93A7" w14:textId="77777777" w:rsidR="000B3603" w:rsidRPr="00F44B2B" w:rsidRDefault="000B3603" w:rsidP="000B3603">
            <w:pPr>
              <w:jc w:val="both"/>
              <w:rPr>
                <w:sz w:val="22"/>
                <w:szCs w:val="22"/>
                <w:lang w:val="fr-CA"/>
              </w:rPr>
            </w:pPr>
          </w:p>
          <w:p w14:paraId="74D06567" w14:textId="7E604258" w:rsidR="000B3603" w:rsidRPr="00F44B2B" w:rsidRDefault="000B3603" w:rsidP="000B3603">
            <w:pPr>
              <w:ind w:right="-29" w:firstLine="720"/>
              <w:jc w:val="both"/>
              <w:rPr>
                <w:bCs/>
                <w:color w:val="000000"/>
                <w:sz w:val="22"/>
                <w:szCs w:val="22"/>
                <w:lang w:val="fr-CA"/>
              </w:rPr>
            </w:pPr>
            <w:r w:rsidRPr="00F44B2B">
              <w:rPr>
                <w:bCs/>
                <w:color w:val="000000"/>
                <w:sz w:val="22"/>
                <w:szCs w:val="22"/>
                <w:lang w:val="fr-CA"/>
              </w:rPr>
              <w:t>23.</w:t>
            </w:r>
            <w:r w:rsidRPr="00F44B2B">
              <w:rPr>
                <w:bCs/>
                <w:color w:val="000000"/>
                <w:sz w:val="22"/>
                <w:szCs w:val="22"/>
                <w:lang w:val="fr-CA"/>
              </w:rPr>
              <w:tab/>
            </w:r>
            <w:r w:rsidR="00AA7A83" w:rsidRPr="00F44B2B">
              <w:rPr>
                <w:color w:val="000000"/>
                <w:sz w:val="22"/>
                <w:szCs w:val="22"/>
                <w:lang w:val="fr-FR"/>
              </w:rPr>
              <w:t>De charger le SEDI, dans le cadre de la coordination qu’il effectue en tant que Secrétariat technique de la CIE, d’encourager et de promouvoir des espaces de dialogue entre les autorités des groupes de travail et les autres États membres intéressés par la mise en œuvre de programmes qui contribuent à la réalisation des mandats inclus dans le Plan d’action d’Antigua-et-Barbuda (PAAB) AAB 2019</w:t>
            </w:r>
            <w:r w:rsidRPr="00F44B2B">
              <w:rPr>
                <w:bCs/>
                <w:color w:val="000000"/>
                <w:sz w:val="22"/>
                <w:szCs w:val="22"/>
                <w:lang w:val="fr-CA"/>
              </w:rPr>
              <w:t>.</w:t>
            </w:r>
          </w:p>
          <w:p w14:paraId="79CF0472" w14:textId="77777777" w:rsidR="000B3603" w:rsidRPr="00F44B2B" w:rsidRDefault="000B3603" w:rsidP="000B3603">
            <w:pPr>
              <w:ind w:right="-29"/>
              <w:jc w:val="both"/>
              <w:rPr>
                <w:sz w:val="22"/>
                <w:szCs w:val="22"/>
                <w:lang w:val="fr-CA"/>
              </w:rPr>
            </w:pPr>
          </w:p>
          <w:p w14:paraId="15EA7623" w14:textId="24EFC12A" w:rsidR="000B3603" w:rsidRPr="00F44B2B" w:rsidRDefault="000B3603" w:rsidP="000B3603">
            <w:pPr>
              <w:ind w:firstLine="691"/>
              <w:jc w:val="both"/>
              <w:rPr>
                <w:bCs/>
                <w:color w:val="000000"/>
                <w:sz w:val="22"/>
                <w:szCs w:val="22"/>
                <w:lang w:val="fr-CA"/>
              </w:rPr>
            </w:pPr>
            <w:r w:rsidRPr="00F44B2B">
              <w:rPr>
                <w:bCs/>
                <w:color w:val="000000"/>
                <w:sz w:val="22"/>
                <w:szCs w:val="22"/>
                <w:lang w:val="fr-CA"/>
              </w:rPr>
              <w:t>24.</w:t>
            </w:r>
            <w:r w:rsidRPr="00F44B2B">
              <w:rPr>
                <w:bCs/>
                <w:color w:val="000000"/>
                <w:sz w:val="22"/>
                <w:szCs w:val="22"/>
                <w:lang w:val="fr-CA"/>
              </w:rPr>
              <w:tab/>
            </w:r>
            <w:r w:rsidR="00F44B2B" w:rsidRPr="00F44B2B">
              <w:rPr>
                <w:color w:val="000000"/>
                <w:sz w:val="22"/>
                <w:szCs w:val="22"/>
                <w:lang w:val="fr-FR"/>
              </w:rPr>
              <w:t>De charger le SEDI, en application des mandats de la Dixième Réunion interaméricaine des ministres de l’éducation et de la Vingtième Conférence interaméricaine des ministres du travail, en consultation avec les États membres, d’examiner l’utilité de convoquer une réunion conjointe des deux secteurs dans un délai à déterminer</w:t>
            </w:r>
            <w:r w:rsidRPr="00F44B2B">
              <w:rPr>
                <w:bCs/>
                <w:color w:val="000000"/>
                <w:sz w:val="22"/>
                <w:szCs w:val="22"/>
                <w:lang w:val="fr-CA"/>
              </w:rPr>
              <w:t>.</w:t>
            </w:r>
          </w:p>
          <w:p w14:paraId="694450DB" w14:textId="77777777" w:rsidR="000B3603" w:rsidRPr="00F44B2B" w:rsidRDefault="000B3603" w:rsidP="000B3603">
            <w:pPr>
              <w:jc w:val="both"/>
              <w:rPr>
                <w:sz w:val="22"/>
                <w:szCs w:val="22"/>
                <w:lang w:val="fr-CA"/>
              </w:rPr>
            </w:pPr>
          </w:p>
          <w:p w14:paraId="7CDECF07" w14:textId="079DC7F5" w:rsidR="000B3603" w:rsidRPr="00F44B2B" w:rsidRDefault="000B3603" w:rsidP="000B3603">
            <w:pPr>
              <w:ind w:firstLine="691"/>
              <w:jc w:val="both"/>
              <w:rPr>
                <w:bCs/>
                <w:color w:val="000000"/>
                <w:sz w:val="22"/>
                <w:szCs w:val="22"/>
                <w:lang w:val="fr-CA"/>
              </w:rPr>
            </w:pPr>
            <w:r w:rsidRPr="00F44B2B">
              <w:rPr>
                <w:bCs/>
                <w:color w:val="000000"/>
                <w:sz w:val="22"/>
                <w:szCs w:val="22"/>
                <w:lang w:val="fr-CA"/>
              </w:rPr>
              <w:t>26.</w:t>
            </w:r>
            <w:r w:rsidRPr="00F44B2B">
              <w:rPr>
                <w:bCs/>
                <w:color w:val="000000"/>
                <w:sz w:val="22"/>
                <w:szCs w:val="22"/>
                <w:lang w:val="fr-CA"/>
              </w:rPr>
              <w:tab/>
            </w:r>
            <w:r w:rsidR="00F44B2B" w:rsidRPr="00F44B2B">
              <w:rPr>
                <w:color w:val="000000"/>
                <w:sz w:val="22"/>
                <w:szCs w:val="22"/>
                <w:lang w:val="fr-FR"/>
              </w:rPr>
              <w:t>De charger le SEDI, en tant que Secrétariat technique de la CIE, de commencer à planifier la deuxième phase du Programme interaméricain d’éducation en proposant des lignes directrices pour la prochaine période quinquennale, 2022-2027</w:t>
            </w:r>
            <w:r w:rsidRPr="00F44B2B">
              <w:rPr>
                <w:bCs/>
                <w:color w:val="000000"/>
                <w:sz w:val="22"/>
                <w:szCs w:val="22"/>
                <w:lang w:val="fr-CA"/>
              </w:rPr>
              <w:t>.</w:t>
            </w:r>
          </w:p>
          <w:p w14:paraId="0AB927D9" w14:textId="77777777" w:rsidR="000B3603" w:rsidRPr="00F44B2B" w:rsidRDefault="000B3603" w:rsidP="000B3603">
            <w:pPr>
              <w:jc w:val="both"/>
              <w:rPr>
                <w:sz w:val="22"/>
                <w:szCs w:val="22"/>
                <w:lang w:val="fr-CA"/>
              </w:rPr>
            </w:pPr>
          </w:p>
          <w:p w14:paraId="7C3A5D4F" w14:textId="204A9B39" w:rsidR="000B3603" w:rsidRPr="00F44B2B" w:rsidRDefault="000B3603" w:rsidP="000B3603">
            <w:pPr>
              <w:ind w:firstLine="691"/>
              <w:jc w:val="both"/>
              <w:rPr>
                <w:bCs/>
                <w:color w:val="202124"/>
                <w:sz w:val="22"/>
                <w:szCs w:val="22"/>
                <w:lang w:val="fr-CA"/>
              </w:rPr>
            </w:pPr>
            <w:r w:rsidRPr="00F44B2B">
              <w:rPr>
                <w:bCs/>
                <w:color w:val="000000"/>
                <w:sz w:val="22"/>
                <w:szCs w:val="22"/>
                <w:lang w:val="fr-CA"/>
              </w:rPr>
              <w:t>27.</w:t>
            </w:r>
            <w:r w:rsidRPr="00F44B2B">
              <w:rPr>
                <w:bCs/>
                <w:color w:val="000000"/>
                <w:sz w:val="22"/>
                <w:szCs w:val="22"/>
                <w:lang w:val="fr-CA"/>
              </w:rPr>
              <w:tab/>
            </w:r>
            <w:r w:rsidR="00F44B2B" w:rsidRPr="00F44B2B">
              <w:rPr>
                <w:color w:val="000000"/>
                <w:sz w:val="22"/>
                <w:szCs w:val="22"/>
                <w:lang w:val="fr-FR"/>
              </w:rPr>
              <w:t xml:space="preserve">De soutenir les États membres dans la réalisation de leurs objectifs de développement et de consolidation du capital humain par le renforcement des programmes de bourses d’études, de perfectionnement et de développement professionnel de l’OEA, qui comprennent des alliances stratégiques avec des institutions universitaires, le secteur privé et des organisations de la société civile afin d’aider les États membres à atteindre leurs objectifs de développement intégré, notamment en contribuant au développement de compétences pertinentes pour accéder à l’emploi et s’y maintenir dans le contexte de la période post-COVID. De charger le SEDI de promouvoir et d’appuyer le Portail éducatif des Amériques et le Réseau interaméricain de formation des enseignants (RIED) en tant qu’outils de formation et </w:t>
            </w:r>
            <w:r w:rsidR="00F44B2B" w:rsidRPr="00F44B2B">
              <w:rPr>
                <w:color w:val="000000"/>
                <w:sz w:val="22"/>
                <w:szCs w:val="22"/>
                <w:lang w:val="fr-FR"/>
              </w:rPr>
              <w:lastRenderedPageBreak/>
              <w:t>de développement humain, en encourageant la continuité des efforts visant à assurer l’efficacité, l’impact et la durabilité de ces programmes dans la région, en émettant l’accent sur l’innovation technologique, à l’éducation et/ou à la formation virtuelle</w:t>
            </w:r>
            <w:r w:rsidRPr="00F44B2B">
              <w:rPr>
                <w:bCs/>
                <w:color w:val="202124"/>
                <w:sz w:val="22"/>
                <w:szCs w:val="22"/>
                <w:lang w:val="fr-CA"/>
              </w:rPr>
              <w:t>.</w:t>
            </w:r>
          </w:p>
          <w:p w14:paraId="661AA9B7" w14:textId="77777777" w:rsidR="000B3603" w:rsidRPr="00F44B2B" w:rsidRDefault="000B3603" w:rsidP="000B3603">
            <w:pPr>
              <w:tabs>
                <w:tab w:val="left" w:pos="1152"/>
              </w:tabs>
              <w:jc w:val="both"/>
              <w:rPr>
                <w:sz w:val="22"/>
                <w:szCs w:val="22"/>
                <w:lang w:val="fr-CA"/>
              </w:rPr>
            </w:pPr>
          </w:p>
          <w:p w14:paraId="27EDC1CD" w14:textId="01173EDA" w:rsidR="000B3603" w:rsidRPr="00F44B2B" w:rsidRDefault="000B3603" w:rsidP="000B3603">
            <w:pPr>
              <w:ind w:firstLine="720"/>
              <w:jc w:val="both"/>
              <w:rPr>
                <w:bCs/>
                <w:color w:val="000000"/>
                <w:sz w:val="22"/>
                <w:szCs w:val="22"/>
                <w:lang w:val="fr-CA"/>
              </w:rPr>
            </w:pPr>
            <w:r w:rsidRPr="00F44B2B">
              <w:rPr>
                <w:bCs/>
                <w:color w:val="000000"/>
                <w:sz w:val="22"/>
                <w:szCs w:val="22"/>
                <w:lang w:val="fr-CA"/>
              </w:rPr>
              <w:t>28.</w:t>
            </w:r>
            <w:r w:rsidRPr="00F44B2B">
              <w:rPr>
                <w:bCs/>
                <w:color w:val="000000"/>
                <w:sz w:val="22"/>
                <w:szCs w:val="22"/>
                <w:lang w:val="fr-CA"/>
              </w:rPr>
              <w:tab/>
            </w:r>
            <w:r w:rsidR="00F44B2B" w:rsidRPr="00F44B2B">
              <w:rPr>
                <w:color w:val="000000"/>
                <w:sz w:val="22"/>
                <w:szCs w:val="22"/>
                <w:lang w:val="fr-FR"/>
              </w:rPr>
              <w:t>De réitérer l’instruction donné par le SEDI de promouvoir et d’élargir le consortium d’universités de l’OEA, en mettant l’accent sur les universités nationales/étatiques, les institutions techniques et de formation professionnelle, et les établissements d’enseignement en Amérique latine et dans les Caraïbes</w:t>
            </w:r>
            <w:r w:rsidRPr="00F44B2B">
              <w:rPr>
                <w:bCs/>
                <w:color w:val="000000"/>
                <w:sz w:val="22"/>
                <w:szCs w:val="22"/>
                <w:lang w:val="fr-CA"/>
              </w:rPr>
              <w:t>.</w:t>
            </w:r>
          </w:p>
          <w:p w14:paraId="673093A9" w14:textId="77777777" w:rsidR="000B3603" w:rsidRPr="00F44B2B" w:rsidRDefault="000B3603" w:rsidP="000B3603">
            <w:pPr>
              <w:jc w:val="both"/>
              <w:rPr>
                <w:sz w:val="22"/>
                <w:szCs w:val="22"/>
                <w:lang w:val="fr-CA"/>
              </w:rPr>
            </w:pPr>
          </w:p>
          <w:p w14:paraId="6B1B2348" w14:textId="0F412A7F" w:rsidR="000B3603" w:rsidRPr="00F44B2B" w:rsidRDefault="000B3603" w:rsidP="000B3603">
            <w:pPr>
              <w:ind w:firstLine="720"/>
              <w:jc w:val="both"/>
              <w:rPr>
                <w:bCs/>
                <w:color w:val="000000"/>
                <w:sz w:val="22"/>
                <w:szCs w:val="22"/>
                <w:lang w:val="fr-CA"/>
              </w:rPr>
            </w:pPr>
            <w:r w:rsidRPr="00F44B2B">
              <w:rPr>
                <w:bCs/>
                <w:color w:val="000000"/>
                <w:sz w:val="22"/>
                <w:szCs w:val="22"/>
                <w:lang w:val="fr-CA"/>
              </w:rPr>
              <w:t>29.</w:t>
            </w:r>
            <w:r w:rsidRPr="00F44B2B">
              <w:rPr>
                <w:color w:val="000000"/>
                <w:sz w:val="22"/>
                <w:szCs w:val="22"/>
                <w:lang w:val="fr-CA"/>
              </w:rPr>
              <w:tab/>
            </w:r>
            <w:r w:rsidR="00F44B2B" w:rsidRPr="00F44B2B">
              <w:rPr>
                <w:color w:val="000000"/>
                <w:sz w:val="22"/>
                <w:szCs w:val="22"/>
                <w:lang w:val="fr-FR"/>
              </w:rPr>
              <w:t>De charger le Secrétariat de la Commission interaméricaine des ports (CIP) de continuer d’œuvrer, conformément au Plan d’action de Mexico 2018-2020 de la CIP et en collaboration avec ses membres et partenaires stratégiques, pour offrir des possibilités de développement professionnel et de renforcement des capacités, dans les quatre langues officielles de l’OEA, dans la mesure du possible, aux responsables du secteur portuaire dans les Amériques, en contribuant ainsi au renforcement des partenariats existants dans le secteur</w:t>
            </w:r>
            <w:r w:rsidRPr="00F44B2B">
              <w:rPr>
                <w:bCs/>
                <w:color w:val="000000"/>
                <w:sz w:val="22"/>
                <w:szCs w:val="22"/>
                <w:lang w:val="fr-CA"/>
              </w:rPr>
              <w:t>.</w:t>
            </w:r>
          </w:p>
          <w:p w14:paraId="62CA551C" w14:textId="39E396C0" w:rsidR="00604D1D" w:rsidRPr="00F44B2B" w:rsidRDefault="00604D1D" w:rsidP="000B3603">
            <w:pPr>
              <w:ind w:firstLine="720"/>
              <w:jc w:val="both"/>
              <w:rPr>
                <w:bCs/>
                <w:color w:val="000000"/>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5AFA86E" w14:textId="77777777" w:rsidR="000B3603" w:rsidRPr="00715BD6" w:rsidRDefault="000B3603" w:rsidP="00FE18BE">
            <w:pPr>
              <w:suppressAutoHyphens/>
              <w:rPr>
                <w:sz w:val="22"/>
                <w:szCs w:val="22"/>
                <w:lang w:val="fr-CA" w:eastAsia="ar-SA"/>
              </w:rPr>
            </w:pPr>
            <w:r w:rsidRPr="00715BD6">
              <w:rPr>
                <w:sz w:val="22"/>
                <w:szCs w:val="22"/>
                <w:lang w:val="fr-CA" w:eastAsia="ar-SA"/>
              </w:rPr>
              <w:lastRenderedPageBreak/>
              <w:t>SEDI</w:t>
            </w:r>
          </w:p>
          <w:p w14:paraId="738799BF" w14:textId="77777777" w:rsidR="000B3603" w:rsidRPr="00715BD6" w:rsidRDefault="000B3603" w:rsidP="00FE18BE">
            <w:pPr>
              <w:suppressAutoHyphens/>
              <w:rPr>
                <w:sz w:val="22"/>
                <w:szCs w:val="22"/>
                <w:lang w:val="fr-CA" w:eastAsia="ar-SA"/>
              </w:rPr>
            </w:pPr>
          </w:p>
          <w:p w14:paraId="36749BDF" w14:textId="77777777" w:rsidR="000B3603" w:rsidRPr="00715BD6" w:rsidRDefault="000B3603" w:rsidP="00FE18BE">
            <w:pPr>
              <w:suppressAutoHyphens/>
              <w:rPr>
                <w:sz w:val="22"/>
                <w:szCs w:val="22"/>
                <w:lang w:val="fr-CA" w:eastAsia="ar-SA"/>
              </w:rPr>
            </w:pPr>
          </w:p>
          <w:p w14:paraId="1F180DC6" w14:textId="77777777" w:rsidR="000B3603" w:rsidRPr="00715BD6" w:rsidRDefault="000B3603" w:rsidP="00FE18BE">
            <w:pPr>
              <w:suppressAutoHyphens/>
              <w:rPr>
                <w:sz w:val="22"/>
                <w:szCs w:val="22"/>
                <w:lang w:val="fr-CA" w:eastAsia="ar-SA"/>
              </w:rPr>
            </w:pPr>
          </w:p>
          <w:p w14:paraId="62EEEB7F" w14:textId="77777777" w:rsidR="000B3603" w:rsidRPr="00715BD6" w:rsidRDefault="000B3603" w:rsidP="00FE18BE">
            <w:pPr>
              <w:suppressAutoHyphens/>
              <w:rPr>
                <w:sz w:val="22"/>
                <w:szCs w:val="22"/>
                <w:lang w:val="fr-CA" w:eastAsia="ar-SA"/>
              </w:rPr>
            </w:pPr>
          </w:p>
          <w:p w14:paraId="7872AA57" w14:textId="6A416CAE" w:rsidR="000B3603" w:rsidRDefault="000B3603" w:rsidP="00FE18BE">
            <w:pPr>
              <w:suppressAutoHyphens/>
              <w:rPr>
                <w:sz w:val="22"/>
                <w:szCs w:val="22"/>
                <w:lang w:val="fr-CA" w:eastAsia="ar-SA"/>
              </w:rPr>
            </w:pPr>
          </w:p>
          <w:p w14:paraId="6AF34333" w14:textId="0547C6A8" w:rsidR="00F44B2B" w:rsidRDefault="00F44B2B" w:rsidP="00FE18BE">
            <w:pPr>
              <w:suppressAutoHyphens/>
              <w:rPr>
                <w:sz w:val="22"/>
                <w:szCs w:val="22"/>
                <w:lang w:val="fr-CA" w:eastAsia="ar-SA"/>
              </w:rPr>
            </w:pPr>
          </w:p>
          <w:p w14:paraId="2D9CC61E" w14:textId="77777777" w:rsidR="00F44B2B" w:rsidRPr="00715BD6" w:rsidRDefault="00F44B2B" w:rsidP="00FE18BE">
            <w:pPr>
              <w:suppressAutoHyphens/>
              <w:rPr>
                <w:sz w:val="22"/>
                <w:szCs w:val="22"/>
                <w:lang w:val="fr-CA" w:eastAsia="ar-SA"/>
              </w:rPr>
            </w:pPr>
          </w:p>
          <w:p w14:paraId="06C3DC81" w14:textId="77777777" w:rsidR="000B3603" w:rsidRPr="00715BD6" w:rsidRDefault="000B3603" w:rsidP="00FE18BE">
            <w:pPr>
              <w:suppressAutoHyphens/>
              <w:rPr>
                <w:sz w:val="22"/>
                <w:szCs w:val="22"/>
                <w:lang w:val="fr-CA" w:eastAsia="ar-SA"/>
              </w:rPr>
            </w:pPr>
          </w:p>
          <w:p w14:paraId="7A822060" w14:textId="77777777" w:rsidR="000B3603" w:rsidRPr="00715BD6" w:rsidRDefault="000B3603" w:rsidP="00FE18BE">
            <w:pPr>
              <w:suppressAutoHyphens/>
              <w:rPr>
                <w:sz w:val="22"/>
                <w:szCs w:val="22"/>
                <w:lang w:val="fr-CA" w:eastAsia="ar-SA"/>
              </w:rPr>
            </w:pPr>
          </w:p>
          <w:p w14:paraId="20D8D99A" w14:textId="77777777" w:rsidR="000B3603" w:rsidRPr="00715BD6" w:rsidRDefault="000B3603" w:rsidP="00FE18BE">
            <w:pPr>
              <w:suppressAutoHyphens/>
              <w:rPr>
                <w:sz w:val="22"/>
                <w:szCs w:val="22"/>
                <w:lang w:val="fr-CA" w:eastAsia="ar-SA"/>
              </w:rPr>
            </w:pPr>
            <w:r w:rsidRPr="00715BD6">
              <w:rPr>
                <w:sz w:val="22"/>
                <w:szCs w:val="22"/>
                <w:lang w:val="fr-CA" w:eastAsia="ar-SA"/>
              </w:rPr>
              <w:lastRenderedPageBreak/>
              <w:t>SEDI</w:t>
            </w:r>
          </w:p>
          <w:p w14:paraId="02EED22A" w14:textId="77777777" w:rsidR="000B3603" w:rsidRPr="00715BD6" w:rsidRDefault="000B3603" w:rsidP="00FE18BE">
            <w:pPr>
              <w:suppressAutoHyphens/>
              <w:rPr>
                <w:sz w:val="22"/>
                <w:szCs w:val="22"/>
                <w:lang w:val="fr-CA" w:eastAsia="ar-SA"/>
              </w:rPr>
            </w:pPr>
          </w:p>
          <w:p w14:paraId="16F94C56" w14:textId="77777777" w:rsidR="000B3603" w:rsidRPr="00715BD6" w:rsidRDefault="000B3603" w:rsidP="00FE18BE">
            <w:pPr>
              <w:suppressAutoHyphens/>
              <w:rPr>
                <w:sz w:val="22"/>
                <w:szCs w:val="22"/>
                <w:lang w:val="fr-CA" w:eastAsia="ar-SA"/>
              </w:rPr>
            </w:pPr>
          </w:p>
          <w:p w14:paraId="096D0B4C" w14:textId="5C002EF4" w:rsidR="000B3603" w:rsidRPr="00715BD6" w:rsidRDefault="000B3603" w:rsidP="00FE18BE">
            <w:pPr>
              <w:suppressAutoHyphens/>
              <w:rPr>
                <w:sz w:val="22"/>
                <w:szCs w:val="22"/>
                <w:lang w:val="fr-CA" w:eastAsia="ar-SA"/>
              </w:rPr>
            </w:pPr>
          </w:p>
          <w:p w14:paraId="0E162102" w14:textId="77777777" w:rsidR="00604D1D" w:rsidRPr="00715BD6" w:rsidRDefault="00604D1D" w:rsidP="00FE18BE">
            <w:pPr>
              <w:suppressAutoHyphens/>
              <w:rPr>
                <w:sz w:val="22"/>
                <w:szCs w:val="22"/>
                <w:lang w:val="fr-CA" w:eastAsia="ar-SA"/>
              </w:rPr>
            </w:pPr>
          </w:p>
          <w:p w14:paraId="28137419" w14:textId="77777777" w:rsidR="000B3603" w:rsidRPr="00715BD6" w:rsidRDefault="000B3603" w:rsidP="00FE18BE">
            <w:pPr>
              <w:suppressAutoHyphens/>
              <w:rPr>
                <w:sz w:val="22"/>
                <w:szCs w:val="22"/>
                <w:lang w:val="fr-CA" w:eastAsia="ar-SA"/>
              </w:rPr>
            </w:pPr>
            <w:r w:rsidRPr="00715BD6">
              <w:rPr>
                <w:sz w:val="22"/>
                <w:szCs w:val="22"/>
                <w:lang w:val="fr-CA" w:eastAsia="ar-SA"/>
              </w:rPr>
              <w:t>SEDI</w:t>
            </w:r>
          </w:p>
          <w:p w14:paraId="7D4E3561" w14:textId="77777777" w:rsidR="000B3603" w:rsidRPr="00715BD6" w:rsidRDefault="000B3603" w:rsidP="00FE18BE">
            <w:pPr>
              <w:suppressAutoHyphens/>
              <w:rPr>
                <w:sz w:val="22"/>
                <w:szCs w:val="22"/>
                <w:lang w:val="fr-CA" w:eastAsia="ar-SA"/>
              </w:rPr>
            </w:pPr>
          </w:p>
          <w:p w14:paraId="53DD5CAE" w14:textId="77777777" w:rsidR="000B3603" w:rsidRPr="00715BD6" w:rsidRDefault="000B3603" w:rsidP="00FE18BE">
            <w:pPr>
              <w:suppressAutoHyphens/>
              <w:rPr>
                <w:sz w:val="22"/>
                <w:szCs w:val="22"/>
                <w:lang w:val="fr-CA" w:eastAsia="ar-SA"/>
              </w:rPr>
            </w:pPr>
          </w:p>
          <w:p w14:paraId="669EF978" w14:textId="77777777" w:rsidR="000B3603" w:rsidRPr="00715BD6" w:rsidRDefault="000B3603" w:rsidP="00FE18BE">
            <w:pPr>
              <w:suppressAutoHyphens/>
              <w:rPr>
                <w:sz w:val="22"/>
                <w:szCs w:val="22"/>
                <w:lang w:val="fr-CA" w:eastAsia="ar-SA"/>
              </w:rPr>
            </w:pPr>
          </w:p>
          <w:p w14:paraId="2673DBDB" w14:textId="77777777" w:rsidR="000B3603" w:rsidRPr="00715BD6" w:rsidRDefault="000B3603" w:rsidP="00FE18BE">
            <w:pPr>
              <w:suppressAutoHyphens/>
              <w:rPr>
                <w:sz w:val="22"/>
                <w:szCs w:val="22"/>
                <w:lang w:val="fr-CA" w:eastAsia="ar-SA"/>
              </w:rPr>
            </w:pPr>
          </w:p>
          <w:p w14:paraId="3A1B504B" w14:textId="77777777" w:rsidR="000B3603" w:rsidRPr="00715BD6" w:rsidRDefault="000B3603" w:rsidP="00FE18BE">
            <w:pPr>
              <w:suppressAutoHyphens/>
              <w:rPr>
                <w:sz w:val="22"/>
                <w:szCs w:val="22"/>
                <w:lang w:val="fr-CA" w:eastAsia="ar-SA"/>
              </w:rPr>
            </w:pPr>
          </w:p>
          <w:p w14:paraId="6BBF776E" w14:textId="77777777" w:rsidR="000B3603" w:rsidRPr="00715BD6" w:rsidRDefault="000B3603" w:rsidP="00FE18BE">
            <w:pPr>
              <w:suppressAutoHyphens/>
              <w:rPr>
                <w:sz w:val="22"/>
                <w:szCs w:val="22"/>
                <w:lang w:val="fr-CA" w:eastAsia="ar-SA"/>
              </w:rPr>
            </w:pPr>
            <w:r w:rsidRPr="00715BD6">
              <w:rPr>
                <w:sz w:val="22"/>
                <w:szCs w:val="22"/>
                <w:lang w:val="fr-CA" w:eastAsia="ar-SA"/>
              </w:rPr>
              <w:t>SEDI</w:t>
            </w:r>
          </w:p>
          <w:p w14:paraId="783031E0" w14:textId="77777777" w:rsidR="000B3603" w:rsidRPr="00715BD6" w:rsidRDefault="000B3603" w:rsidP="00FE18BE">
            <w:pPr>
              <w:suppressAutoHyphens/>
              <w:rPr>
                <w:sz w:val="22"/>
                <w:szCs w:val="22"/>
                <w:lang w:val="fr-CA" w:eastAsia="ar-SA"/>
              </w:rPr>
            </w:pPr>
          </w:p>
          <w:p w14:paraId="30C42C99" w14:textId="77777777" w:rsidR="000B3603" w:rsidRPr="00715BD6" w:rsidRDefault="000B3603" w:rsidP="00FE18BE">
            <w:pPr>
              <w:suppressAutoHyphens/>
              <w:rPr>
                <w:sz w:val="22"/>
                <w:szCs w:val="22"/>
                <w:lang w:val="fr-CA" w:eastAsia="ar-SA"/>
              </w:rPr>
            </w:pPr>
          </w:p>
          <w:p w14:paraId="1947E4B0" w14:textId="0F7A81B7" w:rsidR="000B3603" w:rsidRDefault="000B3603" w:rsidP="00FE18BE">
            <w:pPr>
              <w:suppressAutoHyphens/>
              <w:rPr>
                <w:sz w:val="22"/>
                <w:szCs w:val="22"/>
                <w:lang w:val="fr-CA" w:eastAsia="ar-SA"/>
              </w:rPr>
            </w:pPr>
          </w:p>
          <w:p w14:paraId="69CF1215" w14:textId="77777777" w:rsidR="00F44B2B" w:rsidRPr="00715BD6" w:rsidRDefault="00F44B2B" w:rsidP="00FE18BE">
            <w:pPr>
              <w:suppressAutoHyphens/>
              <w:rPr>
                <w:sz w:val="22"/>
                <w:szCs w:val="22"/>
                <w:lang w:val="fr-CA" w:eastAsia="ar-SA"/>
              </w:rPr>
            </w:pPr>
          </w:p>
          <w:p w14:paraId="4D36740B" w14:textId="3956E975" w:rsidR="000B3603" w:rsidRPr="00715BD6" w:rsidRDefault="000B3603" w:rsidP="00FE18BE">
            <w:pPr>
              <w:suppressAutoHyphens/>
              <w:rPr>
                <w:sz w:val="22"/>
                <w:szCs w:val="22"/>
                <w:lang w:val="fr-CA" w:eastAsia="ar-SA"/>
              </w:rPr>
            </w:pPr>
          </w:p>
          <w:p w14:paraId="564707A4" w14:textId="52B5D03C" w:rsidR="000B3603" w:rsidRPr="00715BD6" w:rsidRDefault="00AA7A83" w:rsidP="00FE18BE">
            <w:pPr>
              <w:suppressAutoHyphens/>
              <w:rPr>
                <w:sz w:val="22"/>
                <w:szCs w:val="22"/>
                <w:lang w:val="fr-CA" w:eastAsia="ar-SA"/>
              </w:rPr>
            </w:pPr>
            <w:r>
              <w:rPr>
                <w:sz w:val="22"/>
                <w:szCs w:val="22"/>
                <w:lang w:val="fr-CA" w:eastAsia="ar-SA"/>
              </w:rPr>
              <w:t>États membres</w:t>
            </w:r>
          </w:p>
          <w:p w14:paraId="5F663FE8" w14:textId="7E4CC3AF" w:rsidR="000B3603" w:rsidRPr="00715BD6" w:rsidRDefault="000B3603" w:rsidP="00FE18BE">
            <w:pPr>
              <w:suppressAutoHyphens/>
              <w:rPr>
                <w:sz w:val="22"/>
                <w:szCs w:val="22"/>
                <w:lang w:val="fr-CA" w:eastAsia="ar-SA"/>
              </w:rPr>
            </w:pPr>
          </w:p>
          <w:p w14:paraId="61FC15CC" w14:textId="7419FD52" w:rsidR="000B3603" w:rsidRDefault="000B3603" w:rsidP="00FE18BE">
            <w:pPr>
              <w:suppressAutoHyphens/>
              <w:rPr>
                <w:sz w:val="22"/>
                <w:szCs w:val="22"/>
                <w:lang w:val="fr-CA" w:eastAsia="ar-SA"/>
              </w:rPr>
            </w:pPr>
          </w:p>
          <w:p w14:paraId="241827C1" w14:textId="77777777" w:rsidR="00F44B2B" w:rsidRPr="00715BD6" w:rsidRDefault="00F44B2B" w:rsidP="00FE18BE">
            <w:pPr>
              <w:suppressAutoHyphens/>
              <w:rPr>
                <w:sz w:val="22"/>
                <w:szCs w:val="22"/>
                <w:lang w:val="fr-CA" w:eastAsia="ar-SA"/>
              </w:rPr>
            </w:pPr>
          </w:p>
          <w:p w14:paraId="18E3CD31" w14:textId="7F494D34" w:rsidR="000B3603" w:rsidRPr="00715BD6" w:rsidRDefault="000B3603" w:rsidP="00FE18BE">
            <w:pPr>
              <w:suppressAutoHyphens/>
              <w:rPr>
                <w:sz w:val="22"/>
                <w:szCs w:val="22"/>
                <w:lang w:val="fr-CA" w:eastAsia="ar-SA"/>
              </w:rPr>
            </w:pPr>
          </w:p>
          <w:p w14:paraId="3A23BD94" w14:textId="10407280" w:rsidR="000B3603" w:rsidRPr="00715BD6" w:rsidRDefault="000B3603" w:rsidP="00FE18BE">
            <w:pPr>
              <w:suppressAutoHyphens/>
              <w:rPr>
                <w:sz w:val="22"/>
                <w:szCs w:val="22"/>
                <w:lang w:val="fr-CA" w:eastAsia="ar-SA"/>
              </w:rPr>
            </w:pPr>
            <w:r w:rsidRPr="00715BD6">
              <w:rPr>
                <w:sz w:val="22"/>
                <w:szCs w:val="22"/>
                <w:lang w:val="fr-CA" w:eastAsia="ar-SA"/>
              </w:rPr>
              <w:t>SEDI</w:t>
            </w:r>
          </w:p>
          <w:p w14:paraId="13754AA1" w14:textId="3DEB548F" w:rsidR="000B3603" w:rsidRPr="00715BD6" w:rsidRDefault="000B3603" w:rsidP="00FE18BE">
            <w:pPr>
              <w:suppressAutoHyphens/>
              <w:rPr>
                <w:sz w:val="22"/>
                <w:szCs w:val="22"/>
                <w:lang w:val="fr-CA" w:eastAsia="ar-SA"/>
              </w:rPr>
            </w:pPr>
          </w:p>
          <w:p w14:paraId="0817C32D" w14:textId="693D3DEE" w:rsidR="000B3603" w:rsidRPr="00715BD6" w:rsidRDefault="000B3603" w:rsidP="00FE18BE">
            <w:pPr>
              <w:suppressAutoHyphens/>
              <w:rPr>
                <w:sz w:val="22"/>
                <w:szCs w:val="22"/>
                <w:lang w:val="fr-CA" w:eastAsia="ar-SA"/>
              </w:rPr>
            </w:pPr>
          </w:p>
          <w:p w14:paraId="6D7DB83D" w14:textId="6AA866F4" w:rsidR="000B3603" w:rsidRPr="00715BD6" w:rsidRDefault="000B3603" w:rsidP="00FE18BE">
            <w:pPr>
              <w:suppressAutoHyphens/>
              <w:rPr>
                <w:sz w:val="22"/>
                <w:szCs w:val="22"/>
                <w:lang w:val="fr-CA" w:eastAsia="ar-SA"/>
              </w:rPr>
            </w:pPr>
          </w:p>
          <w:p w14:paraId="59828D15" w14:textId="457F63C2" w:rsidR="000B3603" w:rsidRPr="00715BD6" w:rsidRDefault="000B3603" w:rsidP="00FE18BE">
            <w:pPr>
              <w:suppressAutoHyphens/>
              <w:rPr>
                <w:sz w:val="22"/>
                <w:szCs w:val="22"/>
                <w:lang w:val="fr-CA" w:eastAsia="ar-SA"/>
              </w:rPr>
            </w:pPr>
          </w:p>
          <w:p w14:paraId="4322E20B" w14:textId="45CAFAAA" w:rsidR="000B3603" w:rsidRPr="00715BD6" w:rsidRDefault="000B3603" w:rsidP="00FE18BE">
            <w:pPr>
              <w:suppressAutoHyphens/>
              <w:rPr>
                <w:sz w:val="22"/>
                <w:szCs w:val="22"/>
                <w:lang w:val="fr-CA" w:eastAsia="ar-SA"/>
              </w:rPr>
            </w:pPr>
          </w:p>
          <w:p w14:paraId="16FF266D" w14:textId="61291C77" w:rsidR="000B3603" w:rsidRPr="00715BD6" w:rsidRDefault="000B3603" w:rsidP="00FE18BE">
            <w:pPr>
              <w:suppressAutoHyphens/>
              <w:rPr>
                <w:sz w:val="22"/>
                <w:szCs w:val="22"/>
                <w:lang w:val="fr-CA" w:eastAsia="ar-SA"/>
              </w:rPr>
            </w:pPr>
          </w:p>
          <w:p w14:paraId="0135E26B" w14:textId="19113F78" w:rsidR="000B3603" w:rsidRPr="00715BD6" w:rsidRDefault="000B3603" w:rsidP="00FE18BE">
            <w:pPr>
              <w:suppressAutoHyphens/>
              <w:rPr>
                <w:sz w:val="22"/>
                <w:szCs w:val="22"/>
                <w:lang w:val="fr-CA" w:eastAsia="ar-SA"/>
              </w:rPr>
            </w:pPr>
          </w:p>
          <w:p w14:paraId="45BC8E53" w14:textId="7B0CA9E3" w:rsidR="000B3603" w:rsidRPr="00715BD6" w:rsidRDefault="000B3603" w:rsidP="00FE18BE">
            <w:pPr>
              <w:suppressAutoHyphens/>
              <w:rPr>
                <w:sz w:val="22"/>
                <w:szCs w:val="22"/>
                <w:lang w:val="fr-CA" w:eastAsia="ar-SA"/>
              </w:rPr>
            </w:pPr>
          </w:p>
          <w:p w14:paraId="2FDE59A2" w14:textId="7280AA69" w:rsidR="000B3603" w:rsidRPr="00715BD6" w:rsidRDefault="000B3603" w:rsidP="00FE18BE">
            <w:pPr>
              <w:suppressAutoHyphens/>
              <w:rPr>
                <w:sz w:val="22"/>
                <w:szCs w:val="22"/>
                <w:lang w:val="fr-CA" w:eastAsia="ar-SA"/>
              </w:rPr>
            </w:pPr>
          </w:p>
          <w:p w14:paraId="4D166ACA" w14:textId="08537705" w:rsidR="000B3603" w:rsidRPr="00715BD6" w:rsidRDefault="000B3603" w:rsidP="00FE18BE">
            <w:pPr>
              <w:suppressAutoHyphens/>
              <w:rPr>
                <w:sz w:val="22"/>
                <w:szCs w:val="22"/>
                <w:lang w:val="fr-CA" w:eastAsia="ar-SA"/>
              </w:rPr>
            </w:pPr>
          </w:p>
          <w:p w14:paraId="0509A6BA" w14:textId="5779C936" w:rsidR="000B3603" w:rsidRDefault="000B3603" w:rsidP="00FE18BE">
            <w:pPr>
              <w:suppressAutoHyphens/>
              <w:rPr>
                <w:sz w:val="22"/>
                <w:szCs w:val="22"/>
                <w:lang w:val="fr-CA" w:eastAsia="ar-SA"/>
              </w:rPr>
            </w:pPr>
          </w:p>
          <w:p w14:paraId="76290789" w14:textId="450C1F42" w:rsidR="00F44B2B" w:rsidRDefault="00F44B2B" w:rsidP="00FE18BE">
            <w:pPr>
              <w:suppressAutoHyphens/>
              <w:rPr>
                <w:sz w:val="22"/>
                <w:szCs w:val="22"/>
                <w:lang w:val="fr-CA" w:eastAsia="ar-SA"/>
              </w:rPr>
            </w:pPr>
          </w:p>
          <w:p w14:paraId="045979AD" w14:textId="0CECFB88" w:rsidR="00F44B2B" w:rsidRPr="00715BD6" w:rsidRDefault="00F44B2B" w:rsidP="00FE18BE">
            <w:pPr>
              <w:suppressAutoHyphens/>
              <w:rPr>
                <w:sz w:val="22"/>
                <w:szCs w:val="22"/>
                <w:lang w:val="fr-CA" w:eastAsia="ar-SA"/>
              </w:rPr>
            </w:pPr>
          </w:p>
          <w:p w14:paraId="11E86625" w14:textId="704ABEC1" w:rsidR="000B3603" w:rsidRPr="00715BD6" w:rsidRDefault="000B3603" w:rsidP="00FE18BE">
            <w:pPr>
              <w:suppressAutoHyphens/>
              <w:rPr>
                <w:sz w:val="22"/>
                <w:szCs w:val="22"/>
                <w:lang w:val="fr-CA" w:eastAsia="ar-SA"/>
              </w:rPr>
            </w:pPr>
            <w:r w:rsidRPr="00715BD6">
              <w:rPr>
                <w:sz w:val="22"/>
                <w:szCs w:val="22"/>
                <w:lang w:val="fr-CA" w:eastAsia="ar-SA"/>
              </w:rPr>
              <w:t>SEDI</w:t>
            </w:r>
          </w:p>
          <w:p w14:paraId="7E84F65C" w14:textId="07ED72B3" w:rsidR="000B3603" w:rsidRPr="00715BD6" w:rsidRDefault="000B3603" w:rsidP="00FE18BE">
            <w:pPr>
              <w:suppressAutoHyphens/>
              <w:rPr>
                <w:sz w:val="22"/>
                <w:szCs w:val="22"/>
                <w:lang w:val="fr-CA" w:eastAsia="ar-SA"/>
              </w:rPr>
            </w:pPr>
          </w:p>
          <w:p w14:paraId="3B55E989" w14:textId="77EC4E7C" w:rsidR="000B3603" w:rsidRPr="00715BD6" w:rsidRDefault="000B3603" w:rsidP="00FE18BE">
            <w:pPr>
              <w:suppressAutoHyphens/>
              <w:rPr>
                <w:sz w:val="22"/>
                <w:szCs w:val="22"/>
                <w:lang w:val="fr-CA" w:eastAsia="ar-SA"/>
              </w:rPr>
            </w:pPr>
          </w:p>
          <w:p w14:paraId="3F8BF4C4" w14:textId="129D9981" w:rsidR="000B3603" w:rsidRDefault="000B3603" w:rsidP="00FE18BE">
            <w:pPr>
              <w:suppressAutoHyphens/>
              <w:rPr>
                <w:sz w:val="22"/>
                <w:szCs w:val="22"/>
                <w:lang w:val="fr-CA" w:eastAsia="ar-SA"/>
              </w:rPr>
            </w:pPr>
          </w:p>
          <w:p w14:paraId="4316ABA7" w14:textId="77777777" w:rsidR="00F44B2B" w:rsidRPr="00715BD6" w:rsidRDefault="00F44B2B" w:rsidP="00FE18BE">
            <w:pPr>
              <w:suppressAutoHyphens/>
              <w:rPr>
                <w:sz w:val="22"/>
                <w:szCs w:val="22"/>
                <w:lang w:val="fr-CA" w:eastAsia="ar-SA"/>
              </w:rPr>
            </w:pPr>
          </w:p>
          <w:p w14:paraId="52684DD3" w14:textId="0EEFEC5A" w:rsidR="000B3603" w:rsidRPr="00715BD6" w:rsidRDefault="000B3603" w:rsidP="00FE18BE">
            <w:pPr>
              <w:suppressAutoHyphens/>
              <w:rPr>
                <w:sz w:val="22"/>
                <w:szCs w:val="22"/>
                <w:lang w:val="fr-CA" w:eastAsia="ar-SA"/>
              </w:rPr>
            </w:pPr>
            <w:r w:rsidRPr="00715BD6">
              <w:rPr>
                <w:sz w:val="22"/>
                <w:szCs w:val="22"/>
                <w:lang w:val="fr-CA" w:eastAsia="ar-SA"/>
              </w:rPr>
              <w:t>CIP</w:t>
            </w:r>
          </w:p>
          <w:p w14:paraId="245CA052" w14:textId="576B92FB" w:rsidR="000B3603" w:rsidRPr="00715BD6" w:rsidRDefault="000B3603" w:rsidP="00FE18BE">
            <w:pPr>
              <w:suppressAutoHyphens/>
              <w:rPr>
                <w:sz w:val="22"/>
                <w:szCs w:val="22"/>
                <w:lang w:val="fr-CA" w:eastAsia="ar-SA"/>
              </w:rPr>
            </w:pPr>
          </w:p>
          <w:p w14:paraId="54F28A76" w14:textId="77777777" w:rsidR="000B3603" w:rsidRPr="00715BD6" w:rsidRDefault="000B3603" w:rsidP="00FE18BE">
            <w:pPr>
              <w:suppressAutoHyphens/>
              <w:rPr>
                <w:sz w:val="22"/>
                <w:szCs w:val="22"/>
                <w:lang w:val="fr-CA" w:eastAsia="ar-SA"/>
              </w:rPr>
            </w:pPr>
          </w:p>
          <w:p w14:paraId="072FEC91" w14:textId="1CED0DC8" w:rsidR="000B3603" w:rsidRPr="00715BD6" w:rsidRDefault="000B3603" w:rsidP="00FE18BE">
            <w:pPr>
              <w:suppressAutoHyphens/>
              <w:rPr>
                <w:sz w:val="22"/>
                <w:szCs w:val="22"/>
                <w:lang w:val="fr-CA" w:eastAsia="ar-SA"/>
              </w:rPr>
            </w:pPr>
          </w:p>
        </w:tc>
      </w:tr>
      <w:tr w:rsidR="00FE18BE" w:rsidRPr="00715BD6" w14:paraId="3C8FFD70" w14:textId="77777777" w:rsidTr="008214B6">
        <w:trPr>
          <w:trHeight w:val="818"/>
          <w:jc w:val="center"/>
        </w:trPr>
        <w:tc>
          <w:tcPr>
            <w:tcW w:w="2558" w:type="dxa"/>
            <w:tcBorders>
              <w:top w:val="single" w:sz="4" w:space="0" w:color="000000"/>
              <w:left w:val="single" w:sz="4" w:space="0" w:color="000000"/>
              <w:bottom w:val="single" w:sz="4" w:space="0" w:color="000000"/>
            </w:tcBorders>
            <w:shd w:val="clear" w:color="auto" w:fill="auto"/>
          </w:tcPr>
          <w:p w14:paraId="25B78F5E" w14:textId="611C50D7" w:rsidR="00FE18BE" w:rsidRPr="00715BD6" w:rsidRDefault="00C04E7C" w:rsidP="00FE18BE">
            <w:pPr>
              <w:numPr>
                <w:ilvl w:val="0"/>
                <w:numId w:val="6"/>
              </w:numPr>
              <w:suppressAutoHyphens/>
              <w:ind w:left="380"/>
              <w:rPr>
                <w:b/>
                <w:sz w:val="22"/>
                <w:szCs w:val="22"/>
                <w:lang w:val="fr-CA" w:eastAsia="ar-SA"/>
              </w:rPr>
            </w:pPr>
            <w:r>
              <w:rPr>
                <w:b/>
                <w:bCs/>
                <w:sz w:val="22"/>
                <w:szCs w:val="22"/>
                <w:lang w:val="fr-CA" w:eastAsia="ar-SA"/>
              </w:rPr>
              <w:lastRenderedPageBreak/>
              <w:t>Ligne stratégique </w:t>
            </w:r>
            <w:r w:rsidR="00FE18BE" w:rsidRPr="00715BD6">
              <w:rPr>
                <w:b/>
                <w:bCs/>
                <w:sz w:val="22"/>
                <w:szCs w:val="22"/>
                <w:lang w:val="fr-CA" w:eastAsia="ar-SA"/>
              </w:rPr>
              <w:t>: “Promo</w:t>
            </w:r>
            <w:r>
              <w:rPr>
                <w:b/>
                <w:bCs/>
                <w:sz w:val="22"/>
                <w:szCs w:val="22"/>
                <w:lang w:val="fr-CA" w:eastAsia="ar-SA"/>
              </w:rPr>
              <w:t>uvoir le travail décent, digne et productif pour tous</w:t>
            </w:r>
            <w:r w:rsidR="00FE18BE" w:rsidRPr="00715BD6">
              <w:rPr>
                <w:b/>
                <w:bCs/>
                <w:sz w:val="22"/>
                <w:szCs w:val="22"/>
                <w:lang w:val="fr-CA" w:eastAsia="ar-SA"/>
              </w:rPr>
              <w:t xml:space="preserve">” </w:t>
            </w:r>
          </w:p>
          <w:p w14:paraId="0E03D547" w14:textId="77777777" w:rsidR="00FE18BE" w:rsidRPr="00715BD6" w:rsidRDefault="00FE18BE" w:rsidP="00FE18BE">
            <w:pPr>
              <w:suppressAutoHyphens/>
              <w:rPr>
                <w:b/>
                <w:sz w:val="22"/>
                <w:szCs w:val="22"/>
                <w:lang w:val="fr-CA" w:eastAsia="ar-SA"/>
              </w:rPr>
            </w:pPr>
          </w:p>
        </w:tc>
        <w:tc>
          <w:tcPr>
            <w:tcW w:w="7740" w:type="dxa"/>
            <w:tcBorders>
              <w:top w:val="single" w:sz="4" w:space="0" w:color="000000"/>
              <w:left w:val="single" w:sz="4" w:space="0" w:color="000000"/>
              <w:bottom w:val="single" w:sz="4" w:space="0" w:color="000000"/>
            </w:tcBorders>
            <w:shd w:val="clear" w:color="auto" w:fill="auto"/>
          </w:tcPr>
          <w:p w14:paraId="586FD6A8" w14:textId="7FF5837E" w:rsidR="000B3603" w:rsidRPr="00C04E7C" w:rsidRDefault="000B3603" w:rsidP="000B3603">
            <w:pPr>
              <w:ind w:firstLine="720"/>
              <w:jc w:val="both"/>
              <w:rPr>
                <w:color w:val="202124"/>
                <w:sz w:val="22"/>
                <w:szCs w:val="22"/>
                <w:shd w:val="clear" w:color="auto" w:fill="00FFFF"/>
                <w:lang w:val="fr-CA"/>
              </w:rPr>
            </w:pPr>
            <w:r w:rsidRPr="00C04E7C">
              <w:rPr>
                <w:color w:val="000000"/>
                <w:sz w:val="22"/>
                <w:szCs w:val="22"/>
                <w:lang w:val="fr-CA"/>
              </w:rPr>
              <w:t>31.</w:t>
            </w:r>
            <w:r w:rsidRPr="00C04E7C">
              <w:rPr>
                <w:color w:val="000000"/>
                <w:sz w:val="22"/>
                <w:szCs w:val="22"/>
                <w:lang w:val="fr-CA"/>
              </w:rPr>
              <w:tab/>
            </w:r>
            <w:r w:rsidR="00C04E7C" w:rsidRPr="00C04E7C">
              <w:rPr>
                <w:color w:val="000000"/>
                <w:sz w:val="22"/>
                <w:szCs w:val="22"/>
                <w:lang w:val="fr-FR"/>
              </w:rPr>
              <w:t>De charger le Secrétariat Exécutif au développement intégré (SEDI) de continuer à soutenir la mise en œuvre du Plan de Travail 2018-2020 de la CIMT et son objectif de parvenir à un emploi décent, digne et productif pour tous, par le biais d’initiatives de coopération régionale, y compris le renforcement institutionnel des ministères du travail, et de continuer à fournir des conseils techniques sur les questions prioritaires identifiées par ses groupes de travail pour faire face aux répercussions de la pandémie de COVID-19 sur le marché du travail</w:t>
            </w:r>
            <w:r w:rsidRPr="00C04E7C">
              <w:rPr>
                <w:color w:val="202124"/>
                <w:sz w:val="22"/>
                <w:szCs w:val="22"/>
                <w:lang w:val="fr-CA"/>
              </w:rPr>
              <w:t>.</w:t>
            </w:r>
          </w:p>
          <w:p w14:paraId="558ADBB9" w14:textId="77777777" w:rsidR="000B3603" w:rsidRPr="00C04E7C" w:rsidRDefault="000B3603" w:rsidP="000B3603">
            <w:pPr>
              <w:jc w:val="both"/>
              <w:rPr>
                <w:sz w:val="22"/>
                <w:szCs w:val="22"/>
                <w:lang w:val="fr-CA"/>
              </w:rPr>
            </w:pPr>
          </w:p>
          <w:p w14:paraId="4B1C293D" w14:textId="25647A02" w:rsidR="000B3603" w:rsidRPr="00C04E7C" w:rsidRDefault="000B3603" w:rsidP="000B3603">
            <w:pPr>
              <w:ind w:firstLine="720"/>
              <w:jc w:val="both"/>
              <w:rPr>
                <w:color w:val="202124"/>
                <w:sz w:val="22"/>
                <w:szCs w:val="22"/>
                <w:shd w:val="clear" w:color="auto" w:fill="00FFFF"/>
                <w:lang w:val="fr-CA"/>
              </w:rPr>
            </w:pPr>
            <w:r w:rsidRPr="00C04E7C">
              <w:rPr>
                <w:color w:val="000000"/>
                <w:sz w:val="22"/>
                <w:szCs w:val="22"/>
                <w:lang w:val="fr-CA"/>
              </w:rPr>
              <w:t>32.</w:t>
            </w:r>
            <w:r w:rsidRPr="00C04E7C">
              <w:rPr>
                <w:color w:val="000000"/>
                <w:sz w:val="22"/>
                <w:szCs w:val="22"/>
                <w:lang w:val="fr-CA"/>
              </w:rPr>
              <w:tab/>
            </w:r>
            <w:r w:rsidR="00C04E7C" w:rsidRPr="00C04E7C">
              <w:rPr>
                <w:color w:val="000000"/>
                <w:sz w:val="22"/>
                <w:szCs w:val="22"/>
                <w:lang w:val="fr-FR"/>
              </w:rPr>
              <w:t>De charger le SEDI de soutenir les États membres, par le biais de RIAL, dans le partage de données d’expériences relatives aux mesures visant à promouvoir le travail décent et l’emploi productif, y compris des questions telles que l’emploi des jeunes, le renforcement des systèmes de protection sociale et la promotion d’un vieillissement digne</w:t>
            </w:r>
            <w:r w:rsidRPr="00C04E7C">
              <w:rPr>
                <w:color w:val="202124"/>
                <w:sz w:val="22"/>
                <w:szCs w:val="22"/>
                <w:lang w:val="fr-CA"/>
              </w:rPr>
              <w:t>.</w:t>
            </w:r>
          </w:p>
          <w:p w14:paraId="1266EB9E" w14:textId="77777777" w:rsidR="000B3603" w:rsidRPr="00C04E7C" w:rsidRDefault="000B3603" w:rsidP="000B3603">
            <w:pPr>
              <w:tabs>
                <w:tab w:val="left" w:pos="1089"/>
              </w:tabs>
              <w:jc w:val="both"/>
              <w:rPr>
                <w:sz w:val="22"/>
                <w:szCs w:val="22"/>
                <w:lang w:val="fr-CA"/>
              </w:rPr>
            </w:pPr>
          </w:p>
          <w:p w14:paraId="24D5594D" w14:textId="3A23AB1B" w:rsidR="000B3603" w:rsidRPr="00C04E7C" w:rsidRDefault="000B3603" w:rsidP="00B7264C">
            <w:pPr>
              <w:ind w:firstLine="720"/>
              <w:jc w:val="both"/>
              <w:rPr>
                <w:sz w:val="22"/>
                <w:szCs w:val="22"/>
                <w:lang w:val="fr-CA"/>
              </w:rPr>
            </w:pPr>
            <w:r w:rsidRPr="00C04E7C">
              <w:rPr>
                <w:color w:val="000000"/>
                <w:sz w:val="22"/>
                <w:szCs w:val="22"/>
                <w:lang w:val="fr-CA"/>
              </w:rPr>
              <w:lastRenderedPageBreak/>
              <w:t>33.</w:t>
            </w:r>
            <w:r w:rsidRPr="00C04E7C">
              <w:rPr>
                <w:color w:val="000000"/>
                <w:sz w:val="22"/>
                <w:szCs w:val="22"/>
                <w:lang w:val="fr-CA"/>
              </w:rPr>
              <w:tab/>
            </w:r>
            <w:r w:rsidR="00C04E7C" w:rsidRPr="00C04E7C">
              <w:rPr>
                <w:color w:val="000000"/>
                <w:sz w:val="22"/>
                <w:szCs w:val="22"/>
                <w:lang w:val="fr-FR"/>
              </w:rPr>
              <w:t>D’encourager les États membres à élaborer des politiques et des programmes qui favorisent la reprise économique et la promotion du travail décent et de l’emploi productif, en particulier pour les travailleurs qui ont perdu leur emploi à la suite de la pandémie de COVID-19</w:t>
            </w:r>
            <w:r w:rsidRPr="00C04E7C">
              <w:rPr>
                <w:color w:val="000000"/>
                <w:sz w:val="22"/>
                <w:szCs w:val="22"/>
                <w:lang w:val="fr-CA"/>
              </w:rPr>
              <w:t>.</w:t>
            </w:r>
          </w:p>
          <w:p w14:paraId="4419CD40" w14:textId="09166E9A" w:rsidR="00FE18BE" w:rsidRPr="00C04E7C" w:rsidRDefault="00FE18BE" w:rsidP="00FE18BE">
            <w:pPr>
              <w:jc w:val="both"/>
              <w:rPr>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DBE6B1E" w14:textId="77777777" w:rsidR="00FE18BE" w:rsidRPr="00715BD6" w:rsidRDefault="000B3603" w:rsidP="00FE18BE">
            <w:pPr>
              <w:suppressAutoHyphens/>
              <w:rPr>
                <w:sz w:val="22"/>
                <w:szCs w:val="22"/>
                <w:lang w:val="fr-CA" w:eastAsia="ar-SA"/>
              </w:rPr>
            </w:pPr>
            <w:r w:rsidRPr="00715BD6">
              <w:rPr>
                <w:sz w:val="22"/>
                <w:szCs w:val="22"/>
                <w:lang w:val="fr-CA" w:eastAsia="ar-SA"/>
              </w:rPr>
              <w:lastRenderedPageBreak/>
              <w:t>SEDI</w:t>
            </w:r>
          </w:p>
          <w:p w14:paraId="6D5D9D11" w14:textId="77777777" w:rsidR="000B3603" w:rsidRPr="00715BD6" w:rsidRDefault="000B3603" w:rsidP="00FE18BE">
            <w:pPr>
              <w:suppressAutoHyphens/>
              <w:rPr>
                <w:sz w:val="22"/>
                <w:szCs w:val="22"/>
                <w:lang w:val="fr-CA" w:eastAsia="ar-SA"/>
              </w:rPr>
            </w:pPr>
          </w:p>
          <w:p w14:paraId="4E6ABB0E" w14:textId="77777777" w:rsidR="000B3603" w:rsidRPr="00715BD6" w:rsidRDefault="000B3603" w:rsidP="00FE18BE">
            <w:pPr>
              <w:suppressAutoHyphens/>
              <w:rPr>
                <w:sz w:val="22"/>
                <w:szCs w:val="22"/>
                <w:lang w:val="fr-CA" w:eastAsia="ar-SA"/>
              </w:rPr>
            </w:pPr>
          </w:p>
          <w:p w14:paraId="61B36B30" w14:textId="77777777" w:rsidR="000B3603" w:rsidRPr="00715BD6" w:rsidRDefault="000B3603" w:rsidP="00FE18BE">
            <w:pPr>
              <w:suppressAutoHyphens/>
              <w:rPr>
                <w:sz w:val="22"/>
                <w:szCs w:val="22"/>
                <w:lang w:val="fr-CA" w:eastAsia="ar-SA"/>
              </w:rPr>
            </w:pPr>
          </w:p>
          <w:p w14:paraId="3C8A4151" w14:textId="77777777" w:rsidR="000B3603" w:rsidRPr="00715BD6" w:rsidRDefault="000B3603" w:rsidP="00FE18BE">
            <w:pPr>
              <w:suppressAutoHyphens/>
              <w:rPr>
                <w:sz w:val="22"/>
                <w:szCs w:val="22"/>
                <w:lang w:val="fr-CA" w:eastAsia="ar-SA"/>
              </w:rPr>
            </w:pPr>
          </w:p>
          <w:p w14:paraId="3CDFD85D" w14:textId="77777777" w:rsidR="000B3603" w:rsidRPr="00715BD6" w:rsidRDefault="000B3603" w:rsidP="00FE18BE">
            <w:pPr>
              <w:suppressAutoHyphens/>
              <w:rPr>
                <w:sz w:val="22"/>
                <w:szCs w:val="22"/>
                <w:lang w:val="fr-CA" w:eastAsia="ar-SA"/>
              </w:rPr>
            </w:pPr>
          </w:p>
          <w:p w14:paraId="5E340B80" w14:textId="77777777" w:rsidR="000B3603" w:rsidRPr="00715BD6" w:rsidRDefault="000B3603" w:rsidP="00FE18BE">
            <w:pPr>
              <w:suppressAutoHyphens/>
              <w:rPr>
                <w:sz w:val="22"/>
                <w:szCs w:val="22"/>
                <w:lang w:val="fr-CA" w:eastAsia="ar-SA"/>
              </w:rPr>
            </w:pPr>
          </w:p>
          <w:p w14:paraId="65023E54" w14:textId="77777777" w:rsidR="000B3603" w:rsidRPr="00715BD6" w:rsidRDefault="000B3603" w:rsidP="00FE18BE">
            <w:pPr>
              <w:suppressAutoHyphens/>
              <w:rPr>
                <w:sz w:val="22"/>
                <w:szCs w:val="22"/>
                <w:lang w:val="fr-CA" w:eastAsia="ar-SA"/>
              </w:rPr>
            </w:pPr>
          </w:p>
          <w:p w14:paraId="263E6BE6" w14:textId="77777777" w:rsidR="000B3603" w:rsidRPr="00715BD6" w:rsidRDefault="000B3603" w:rsidP="00FE18BE">
            <w:pPr>
              <w:suppressAutoHyphens/>
              <w:rPr>
                <w:sz w:val="22"/>
                <w:szCs w:val="22"/>
                <w:lang w:val="fr-CA" w:eastAsia="ar-SA"/>
              </w:rPr>
            </w:pPr>
            <w:r w:rsidRPr="00715BD6">
              <w:rPr>
                <w:sz w:val="22"/>
                <w:szCs w:val="22"/>
                <w:lang w:val="fr-CA" w:eastAsia="ar-SA"/>
              </w:rPr>
              <w:t>SEDI</w:t>
            </w:r>
          </w:p>
          <w:p w14:paraId="3F51A53C" w14:textId="77777777" w:rsidR="000B3603" w:rsidRPr="00715BD6" w:rsidRDefault="000B3603" w:rsidP="00FE18BE">
            <w:pPr>
              <w:suppressAutoHyphens/>
              <w:rPr>
                <w:sz w:val="22"/>
                <w:szCs w:val="22"/>
                <w:lang w:val="fr-CA" w:eastAsia="ar-SA"/>
              </w:rPr>
            </w:pPr>
          </w:p>
          <w:p w14:paraId="258092DB" w14:textId="61637B77" w:rsidR="000B3603" w:rsidRDefault="000B3603" w:rsidP="00FE18BE">
            <w:pPr>
              <w:suppressAutoHyphens/>
              <w:rPr>
                <w:sz w:val="22"/>
                <w:szCs w:val="22"/>
                <w:lang w:val="fr-CA" w:eastAsia="ar-SA"/>
              </w:rPr>
            </w:pPr>
          </w:p>
          <w:p w14:paraId="408468C9" w14:textId="3BF033F4" w:rsidR="00C04E7C" w:rsidRDefault="00C04E7C" w:rsidP="00FE18BE">
            <w:pPr>
              <w:suppressAutoHyphens/>
              <w:rPr>
                <w:sz w:val="22"/>
                <w:szCs w:val="22"/>
                <w:lang w:val="fr-CA" w:eastAsia="ar-SA"/>
              </w:rPr>
            </w:pPr>
          </w:p>
          <w:p w14:paraId="0905E4E5" w14:textId="77777777" w:rsidR="00C04E7C" w:rsidRPr="00715BD6" w:rsidRDefault="00C04E7C" w:rsidP="00FE18BE">
            <w:pPr>
              <w:suppressAutoHyphens/>
              <w:rPr>
                <w:sz w:val="22"/>
                <w:szCs w:val="22"/>
                <w:lang w:val="fr-CA" w:eastAsia="ar-SA"/>
              </w:rPr>
            </w:pPr>
          </w:p>
          <w:p w14:paraId="2F604D51" w14:textId="77777777" w:rsidR="000B3603" w:rsidRPr="00715BD6" w:rsidRDefault="000B3603" w:rsidP="00FE18BE">
            <w:pPr>
              <w:suppressAutoHyphens/>
              <w:rPr>
                <w:sz w:val="22"/>
                <w:szCs w:val="22"/>
                <w:lang w:val="fr-CA" w:eastAsia="ar-SA"/>
              </w:rPr>
            </w:pPr>
          </w:p>
          <w:p w14:paraId="13544BFC" w14:textId="66A9C92F" w:rsidR="000B3603" w:rsidRPr="00715BD6" w:rsidRDefault="000B3603" w:rsidP="00FE18BE">
            <w:pPr>
              <w:suppressAutoHyphens/>
              <w:rPr>
                <w:sz w:val="22"/>
                <w:szCs w:val="22"/>
                <w:lang w:val="fr-CA" w:eastAsia="ar-SA"/>
              </w:rPr>
            </w:pPr>
          </w:p>
          <w:p w14:paraId="25FD5DB5" w14:textId="4CE55C40" w:rsidR="000B3603" w:rsidRPr="00715BD6" w:rsidRDefault="00C04E7C" w:rsidP="00FE18BE">
            <w:pPr>
              <w:suppressAutoHyphens/>
              <w:rPr>
                <w:sz w:val="22"/>
                <w:szCs w:val="22"/>
                <w:lang w:val="fr-CA" w:eastAsia="ar-SA"/>
              </w:rPr>
            </w:pPr>
            <w:r>
              <w:rPr>
                <w:sz w:val="22"/>
                <w:szCs w:val="22"/>
                <w:lang w:val="fr-CA" w:eastAsia="ar-SA"/>
              </w:rPr>
              <w:lastRenderedPageBreak/>
              <w:t>États membres</w:t>
            </w:r>
          </w:p>
          <w:p w14:paraId="433DF632" w14:textId="77777777" w:rsidR="000B3603" w:rsidRPr="00715BD6" w:rsidRDefault="000B3603" w:rsidP="00FE18BE">
            <w:pPr>
              <w:suppressAutoHyphens/>
              <w:rPr>
                <w:sz w:val="22"/>
                <w:szCs w:val="22"/>
                <w:lang w:val="fr-CA" w:eastAsia="ar-SA"/>
              </w:rPr>
            </w:pPr>
          </w:p>
          <w:p w14:paraId="3DA67A7C" w14:textId="77777777" w:rsidR="000B3603" w:rsidRPr="00715BD6" w:rsidRDefault="000B3603" w:rsidP="00FE18BE">
            <w:pPr>
              <w:suppressAutoHyphens/>
              <w:rPr>
                <w:sz w:val="22"/>
                <w:szCs w:val="22"/>
                <w:lang w:val="fr-CA" w:eastAsia="ar-SA"/>
              </w:rPr>
            </w:pPr>
          </w:p>
          <w:p w14:paraId="2CE3DC87" w14:textId="7F14023A" w:rsidR="000B3603" w:rsidRPr="00715BD6" w:rsidRDefault="000B3603" w:rsidP="00FE18BE">
            <w:pPr>
              <w:suppressAutoHyphens/>
              <w:rPr>
                <w:sz w:val="22"/>
                <w:szCs w:val="22"/>
                <w:lang w:val="fr-CA" w:eastAsia="ar-SA"/>
              </w:rPr>
            </w:pPr>
          </w:p>
        </w:tc>
      </w:tr>
      <w:tr w:rsidR="000B3603" w:rsidRPr="00947B8B" w14:paraId="336D7686" w14:textId="77777777" w:rsidTr="008214B6">
        <w:trPr>
          <w:trHeight w:val="818"/>
          <w:jc w:val="center"/>
        </w:trPr>
        <w:tc>
          <w:tcPr>
            <w:tcW w:w="2558" w:type="dxa"/>
            <w:tcBorders>
              <w:top w:val="single" w:sz="4" w:space="0" w:color="000000"/>
              <w:left w:val="single" w:sz="4" w:space="0" w:color="000000"/>
              <w:bottom w:val="single" w:sz="4" w:space="0" w:color="000000"/>
            </w:tcBorders>
            <w:shd w:val="clear" w:color="auto" w:fill="auto"/>
          </w:tcPr>
          <w:p w14:paraId="6DDB5DDD" w14:textId="050C0000" w:rsidR="000B3603" w:rsidRPr="00715BD6" w:rsidRDefault="00C04E7C" w:rsidP="000B3603">
            <w:pPr>
              <w:pStyle w:val="ListParagraph"/>
              <w:numPr>
                <w:ilvl w:val="0"/>
                <w:numId w:val="14"/>
              </w:numPr>
              <w:ind w:left="337" w:hanging="337"/>
              <w:rPr>
                <w:b/>
                <w:sz w:val="22"/>
                <w:szCs w:val="22"/>
                <w:lang w:val="fr-CA"/>
              </w:rPr>
            </w:pPr>
            <w:r>
              <w:rPr>
                <w:b/>
                <w:color w:val="000000"/>
                <w:sz w:val="22"/>
                <w:szCs w:val="22"/>
                <w:lang w:val="fr-CA"/>
              </w:rPr>
              <w:lastRenderedPageBreak/>
              <w:t>Ligne stratégique </w:t>
            </w:r>
            <w:r w:rsidR="000B3603" w:rsidRPr="00715BD6">
              <w:rPr>
                <w:b/>
                <w:color w:val="000000"/>
                <w:sz w:val="22"/>
                <w:szCs w:val="22"/>
                <w:lang w:val="fr-CA"/>
              </w:rPr>
              <w:t>: “</w:t>
            </w:r>
            <w:r>
              <w:rPr>
                <w:b/>
                <w:color w:val="000000"/>
                <w:sz w:val="22"/>
                <w:szCs w:val="22"/>
                <w:lang w:val="fr-CA"/>
              </w:rPr>
              <w:t>Promouvoir l’inclusion sociale assortie d’équité pour contribuer au développement durable dans les Amériques</w:t>
            </w:r>
            <w:r w:rsidR="000B3603" w:rsidRPr="00715BD6">
              <w:rPr>
                <w:b/>
                <w:color w:val="000000"/>
                <w:sz w:val="22"/>
                <w:szCs w:val="22"/>
                <w:lang w:val="fr-CA"/>
              </w:rPr>
              <w:t>”</w:t>
            </w:r>
          </w:p>
          <w:p w14:paraId="78E60A39" w14:textId="77777777" w:rsidR="000B3603" w:rsidRPr="00715BD6" w:rsidRDefault="000B3603" w:rsidP="000B3603">
            <w:pPr>
              <w:suppressAutoHyphens/>
              <w:ind w:left="380"/>
              <w:rPr>
                <w:b/>
                <w:bCs/>
                <w:sz w:val="22"/>
                <w:szCs w:val="22"/>
                <w:lang w:val="fr-CA" w:eastAsia="ar-SA"/>
              </w:rPr>
            </w:pPr>
          </w:p>
        </w:tc>
        <w:tc>
          <w:tcPr>
            <w:tcW w:w="7740" w:type="dxa"/>
            <w:tcBorders>
              <w:top w:val="single" w:sz="4" w:space="0" w:color="000000"/>
              <w:left w:val="single" w:sz="4" w:space="0" w:color="000000"/>
              <w:bottom w:val="single" w:sz="4" w:space="0" w:color="000000"/>
            </w:tcBorders>
            <w:shd w:val="clear" w:color="auto" w:fill="auto"/>
          </w:tcPr>
          <w:p w14:paraId="4C696AF8" w14:textId="6114A8FD" w:rsidR="000B3603" w:rsidRPr="002B526B" w:rsidRDefault="00C04E7C" w:rsidP="000B3603">
            <w:pPr>
              <w:numPr>
                <w:ilvl w:val="1"/>
                <w:numId w:val="15"/>
              </w:numPr>
              <w:ind w:left="0" w:firstLine="720"/>
              <w:jc w:val="both"/>
              <w:textAlignment w:val="baseline"/>
              <w:rPr>
                <w:color w:val="000000"/>
                <w:sz w:val="22"/>
                <w:szCs w:val="22"/>
                <w:lang w:val="fr-CA"/>
              </w:rPr>
            </w:pPr>
            <w:r w:rsidRPr="002B526B">
              <w:rPr>
                <w:color w:val="000000"/>
                <w:sz w:val="22"/>
                <w:szCs w:val="22"/>
                <w:lang w:val="fr-FR"/>
              </w:rPr>
              <w:t>D’encourager les États membres, les observateurs permanents et les autres donateurs à contribuer au « Fonds de mise en œuvre du plan d’action de Guatemala 2019 », dans la mesure de leurs possibilités, afin d’assurer le financement des activités dudit plan</w:t>
            </w:r>
            <w:r w:rsidR="000B3603" w:rsidRPr="002B526B">
              <w:rPr>
                <w:color w:val="000000"/>
                <w:sz w:val="22"/>
                <w:szCs w:val="22"/>
                <w:lang w:val="fr-CA"/>
              </w:rPr>
              <w:t>.</w:t>
            </w:r>
          </w:p>
          <w:p w14:paraId="03397A66" w14:textId="77777777" w:rsidR="000B3603" w:rsidRPr="002B526B" w:rsidRDefault="000B3603" w:rsidP="000B3603">
            <w:pPr>
              <w:jc w:val="both"/>
              <w:rPr>
                <w:color w:val="000000"/>
                <w:sz w:val="22"/>
                <w:szCs w:val="22"/>
                <w:lang w:val="fr-CA"/>
              </w:rPr>
            </w:pPr>
          </w:p>
          <w:p w14:paraId="4F194769" w14:textId="66B2E625" w:rsidR="000B3603" w:rsidRPr="002B526B" w:rsidRDefault="000B3603" w:rsidP="000B3603">
            <w:pPr>
              <w:ind w:firstLine="720"/>
              <w:jc w:val="both"/>
              <w:rPr>
                <w:color w:val="000000"/>
                <w:sz w:val="22"/>
                <w:szCs w:val="22"/>
                <w:lang w:val="fr-CA"/>
              </w:rPr>
            </w:pPr>
            <w:r w:rsidRPr="002B526B">
              <w:rPr>
                <w:color w:val="000000"/>
                <w:sz w:val="22"/>
                <w:szCs w:val="22"/>
                <w:lang w:val="fr-CA"/>
              </w:rPr>
              <w:t>52.</w:t>
            </w:r>
            <w:r w:rsidRPr="002B526B">
              <w:rPr>
                <w:color w:val="000000"/>
                <w:sz w:val="22"/>
                <w:szCs w:val="22"/>
                <w:lang w:val="fr-CA"/>
              </w:rPr>
              <w:tab/>
            </w:r>
            <w:r w:rsidR="002B526B" w:rsidRPr="002B526B">
              <w:rPr>
                <w:color w:val="000000"/>
                <w:sz w:val="22"/>
                <w:szCs w:val="22"/>
                <w:lang w:val="fr-FR"/>
              </w:rPr>
              <w:t>D’encourager les États membres à renforcer leurs systèmes de protection sociale et à prendre en considération les besoins des populations pauvres et vulnérables touchées par la pandémie de COVID-19. De même, les encourager à dynamiser et mettre à jour leurs bases de données sur la protection sociale, le cas échéant, afin de parvenir à une inclusion sociale conforme à la nouvelle réalité</w:t>
            </w:r>
            <w:r w:rsidRPr="002B526B">
              <w:rPr>
                <w:color w:val="000000"/>
                <w:sz w:val="22"/>
                <w:szCs w:val="22"/>
                <w:lang w:val="fr-CA"/>
              </w:rPr>
              <w:t>.</w:t>
            </w:r>
          </w:p>
          <w:p w14:paraId="2FBB9410" w14:textId="77777777" w:rsidR="008379DF" w:rsidRPr="002B526B" w:rsidRDefault="008379DF" w:rsidP="000B3603">
            <w:pPr>
              <w:ind w:firstLine="720"/>
              <w:jc w:val="both"/>
              <w:rPr>
                <w:color w:val="000000"/>
                <w:sz w:val="22"/>
                <w:szCs w:val="22"/>
                <w:shd w:val="clear" w:color="auto" w:fill="00FFFF"/>
                <w:lang w:val="fr-CA"/>
              </w:rPr>
            </w:pPr>
          </w:p>
          <w:p w14:paraId="7304690B" w14:textId="02F476EF" w:rsidR="000B3603" w:rsidRPr="002B526B" w:rsidRDefault="002B526B" w:rsidP="000B3603">
            <w:pPr>
              <w:numPr>
                <w:ilvl w:val="0"/>
                <w:numId w:val="16"/>
              </w:numPr>
              <w:ind w:left="0" w:firstLine="720"/>
              <w:jc w:val="both"/>
              <w:textAlignment w:val="baseline"/>
              <w:rPr>
                <w:color w:val="000000"/>
                <w:sz w:val="22"/>
                <w:szCs w:val="22"/>
                <w:lang w:val="fr-CA"/>
              </w:rPr>
            </w:pPr>
            <w:r w:rsidRPr="002B526B">
              <w:rPr>
                <w:color w:val="000000"/>
                <w:sz w:val="22"/>
                <w:szCs w:val="22"/>
                <w:lang w:val="fr-FR"/>
              </w:rPr>
              <w:t>De reconnaître l’importance stratégique du partenariat en tant qu’outil visant à soutenir les efforts déployés par les États membres pour surmonter la pauvreté et les inégalités et faire face aux conséquences de la pandémie de COVID-19 dans le cadre de la promotion du développement durable. En ce sens, d’exhorter les États membres à soutenir et à renforcer le travail du Réseau interaméricain de protection sociale (RIPSO) en tant que mécanisme continental de coopération en matière de développement social afin de renforcer les institutions et organismes responsables des politiques sociales dans les États membres, par l’échange de connaissances, de leçons apprises et de données d’expériences, l’assistance technique, l’apprentissage mutuel et la coopération technique entre les pays</w:t>
            </w:r>
            <w:r w:rsidR="000B3603" w:rsidRPr="002B526B">
              <w:rPr>
                <w:color w:val="000000"/>
                <w:sz w:val="22"/>
                <w:szCs w:val="22"/>
                <w:lang w:val="fr-CA"/>
              </w:rPr>
              <w:t>.</w:t>
            </w:r>
          </w:p>
          <w:p w14:paraId="469F6FD4" w14:textId="77777777" w:rsidR="002B526B" w:rsidRPr="002B526B" w:rsidRDefault="002B526B" w:rsidP="002B526B">
            <w:pPr>
              <w:ind w:left="720"/>
              <w:jc w:val="both"/>
              <w:textAlignment w:val="baseline"/>
              <w:rPr>
                <w:color w:val="000000"/>
                <w:sz w:val="22"/>
                <w:szCs w:val="22"/>
                <w:lang w:val="fr-CA"/>
              </w:rPr>
            </w:pPr>
          </w:p>
          <w:p w14:paraId="0057341D" w14:textId="46E88FAB" w:rsidR="000B3603" w:rsidRPr="002B526B" w:rsidRDefault="002B526B" w:rsidP="000B3603">
            <w:pPr>
              <w:numPr>
                <w:ilvl w:val="0"/>
                <w:numId w:val="16"/>
              </w:numPr>
              <w:ind w:left="0" w:firstLine="720"/>
              <w:jc w:val="both"/>
              <w:rPr>
                <w:bCs/>
                <w:color w:val="000000"/>
                <w:sz w:val="22"/>
                <w:szCs w:val="22"/>
                <w:lang w:val="fr-CA"/>
              </w:rPr>
            </w:pPr>
            <w:r w:rsidRPr="002B526B">
              <w:rPr>
                <w:color w:val="000000"/>
                <w:sz w:val="22"/>
                <w:szCs w:val="22"/>
                <w:lang w:val="fr-FR"/>
              </w:rPr>
              <w:t xml:space="preserve">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 ; et d’encourager les États membres qui l’envisagent à </w:t>
            </w:r>
            <w:r w:rsidRPr="002B526B">
              <w:rPr>
                <w:color w:val="000000"/>
                <w:sz w:val="22"/>
                <w:szCs w:val="22"/>
                <w:lang w:val="fr-FR"/>
              </w:rPr>
              <w:lastRenderedPageBreak/>
              <w:t>continuer d’investir dans ce domaine, conformément à leur législation, à leurs priorités nationales et aux ressources disponibles</w:t>
            </w:r>
            <w:r w:rsidR="000B3603" w:rsidRPr="002B526B">
              <w:rPr>
                <w:bCs/>
                <w:color w:val="000000"/>
                <w:sz w:val="22"/>
                <w:szCs w:val="22"/>
                <w:lang w:val="fr-CA"/>
              </w:rPr>
              <w:t>.</w:t>
            </w:r>
          </w:p>
          <w:p w14:paraId="2C233813" w14:textId="77777777" w:rsidR="000B3603" w:rsidRPr="002B526B" w:rsidRDefault="000B3603" w:rsidP="000B3603">
            <w:pPr>
              <w:ind w:firstLine="720"/>
              <w:jc w:val="both"/>
              <w:rPr>
                <w:color w:val="000000"/>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9E33A9F" w14:textId="37BD0676" w:rsidR="000B3603" w:rsidRPr="00715BD6" w:rsidRDefault="00C04E7C" w:rsidP="00FE18BE">
            <w:pPr>
              <w:suppressAutoHyphens/>
              <w:rPr>
                <w:sz w:val="22"/>
                <w:szCs w:val="22"/>
                <w:lang w:val="fr-CA" w:eastAsia="ar-SA"/>
              </w:rPr>
            </w:pPr>
            <w:r>
              <w:rPr>
                <w:sz w:val="22"/>
                <w:szCs w:val="22"/>
                <w:lang w:val="fr-CA" w:eastAsia="ar-SA"/>
              </w:rPr>
              <w:lastRenderedPageBreak/>
              <w:t>États membres</w:t>
            </w:r>
          </w:p>
          <w:p w14:paraId="2EF702B8" w14:textId="77777777" w:rsidR="008F2480" w:rsidRPr="00715BD6" w:rsidRDefault="008F2480" w:rsidP="00FE18BE">
            <w:pPr>
              <w:suppressAutoHyphens/>
              <w:rPr>
                <w:sz w:val="22"/>
                <w:szCs w:val="22"/>
                <w:lang w:val="fr-CA" w:eastAsia="ar-SA"/>
              </w:rPr>
            </w:pPr>
          </w:p>
          <w:p w14:paraId="6922438A" w14:textId="77777777" w:rsidR="008F2480" w:rsidRPr="00715BD6" w:rsidRDefault="008F2480" w:rsidP="00FE18BE">
            <w:pPr>
              <w:suppressAutoHyphens/>
              <w:rPr>
                <w:sz w:val="22"/>
                <w:szCs w:val="22"/>
                <w:lang w:val="fr-CA" w:eastAsia="ar-SA"/>
              </w:rPr>
            </w:pPr>
          </w:p>
          <w:p w14:paraId="6F763733" w14:textId="77777777" w:rsidR="008F2480" w:rsidRPr="00715BD6" w:rsidRDefault="008F2480" w:rsidP="00FE18BE">
            <w:pPr>
              <w:suppressAutoHyphens/>
              <w:rPr>
                <w:sz w:val="22"/>
                <w:szCs w:val="22"/>
                <w:lang w:val="fr-CA" w:eastAsia="ar-SA"/>
              </w:rPr>
            </w:pPr>
          </w:p>
          <w:p w14:paraId="10B15908" w14:textId="77777777" w:rsidR="008F2480" w:rsidRPr="00715BD6" w:rsidRDefault="008F2480" w:rsidP="00FE18BE">
            <w:pPr>
              <w:suppressAutoHyphens/>
              <w:rPr>
                <w:sz w:val="22"/>
                <w:szCs w:val="22"/>
                <w:lang w:val="fr-CA" w:eastAsia="ar-SA"/>
              </w:rPr>
            </w:pPr>
          </w:p>
          <w:p w14:paraId="5DD9CFC4" w14:textId="306EC206" w:rsidR="008F2480" w:rsidRPr="00715BD6" w:rsidRDefault="00C04E7C" w:rsidP="00FE18BE">
            <w:pPr>
              <w:suppressAutoHyphens/>
              <w:rPr>
                <w:sz w:val="22"/>
                <w:szCs w:val="22"/>
                <w:lang w:val="fr-CA" w:eastAsia="ar-SA"/>
              </w:rPr>
            </w:pPr>
            <w:r>
              <w:rPr>
                <w:sz w:val="22"/>
                <w:szCs w:val="22"/>
                <w:lang w:val="fr-CA" w:eastAsia="ar-SA"/>
              </w:rPr>
              <w:t>États membres</w:t>
            </w:r>
          </w:p>
          <w:p w14:paraId="1DA343D6" w14:textId="77777777" w:rsidR="008F2480" w:rsidRPr="00715BD6" w:rsidRDefault="008F2480" w:rsidP="00FE18BE">
            <w:pPr>
              <w:suppressAutoHyphens/>
              <w:rPr>
                <w:sz w:val="22"/>
                <w:szCs w:val="22"/>
                <w:lang w:val="fr-CA" w:eastAsia="ar-SA"/>
              </w:rPr>
            </w:pPr>
          </w:p>
          <w:p w14:paraId="2419DAEC" w14:textId="77777777" w:rsidR="008F2480" w:rsidRPr="00715BD6" w:rsidRDefault="008F2480" w:rsidP="00FE18BE">
            <w:pPr>
              <w:suppressAutoHyphens/>
              <w:rPr>
                <w:sz w:val="22"/>
                <w:szCs w:val="22"/>
                <w:lang w:val="fr-CA" w:eastAsia="ar-SA"/>
              </w:rPr>
            </w:pPr>
          </w:p>
          <w:p w14:paraId="1E0F6C72" w14:textId="77777777" w:rsidR="008F2480" w:rsidRPr="00715BD6" w:rsidRDefault="008F2480" w:rsidP="00FE18BE">
            <w:pPr>
              <w:suppressAutoHyphens/>
              <w:rPr>
                <w:sz w:val="22"/>
                <w:szCs w:val="22"/>
                <w:lang w:val="fr-CA" w:eastAsia="ar-SA"/>
              </w:rPr>
            </w:pPr>
          </w:p>
          <w:p w14:paraId="1B7034AD" w14:textId="329D3BC2" w:rsidR="008F2480" w:rsidRPr="00715BD6" w:rsidRDefault="008F2480" w:rsidP="00FE18BE">
            <w:pPr>
              <w:suppressAutoHyphens/>
              <w:rPr>
                <w:sz w:val="22"/>
                <w:szCs w:val="22"/>
                <w:lang w:val="fr-CA" w:eastAsia="ar-SA"/>
              </w:rPr>
            </w:pPr>
          </w:p>
          <w:p w14:paraId="550A5CBD" w14:textId="77777777" w:rsidR="00604D1D" w:rsidRPr="00715BD6" w:rsidRDefault="00604D1D" w:rsidP="00FE18BE">
            <w:pPr>
              <w:suppressAutoHyphens/>
              <w:rPr>
                <w:sz w:val="22"/>
                <w:szCs w:val="22"/>
                <w:lang w:val="fr-CA" w:eastAsia="ar-SA"/>
              </w:rPr>
            </w:pPr>
          </w:p>
          <w:p w14:paraId="270CE5FD" w14:textId="151E0ACE" w:rsidR="008F2480" w:rsidRPr="00715BD6" w:rsidRDefault="00C04E7C" w:rsidP="00FE18BE">
            <w:pPr>
              <w:suppressAutoHyphens/>
              <w:rPr>
                <w:sz w:val="22"/>
                <w:szCs w:val="22"/>
                <w:lang w:val="fr-CA" w:eastAsia="ar-SA"/>
              </w:rPr>
            </w:pPr>
            <w:r>
              <w:rPr>
                <w:sz w:val="22"/>
                <w:szCs w:val="22"/>
                <w:lang w:val="fr-CA" w:eastAsia="ar-SA"/>
              </w:rPr>
              <w:t>États membres</w:t>
            </w:r>
          </w:p>
          <w:p w14:paraId="1B402155" w14:textId="77777777" w:rsidR="008F2480" w:rsidRPr="00715BD6" w:rsidRDefault="008F2480" w:rsidP="00FE18BE">
            <w:pPr>
              <w:suppressAutoHyphens/>
              <w:rPr>
                <w:sz w:val="22"/>
                <w:szCs w:val="22"/>
                <w:lang w:val="fr-CA" w:eastAsia="ar-SA"/>
              </w:rPr>
            </w:pPr>
          </w:p>
          <w:p w14:paraId="6856422D" w14:textId="77777777" w:rsidR="008F2480" w:rsidRPr="00715BD6" w:rsidRDefault="008F2480" w:rsidP="00FE18BE">
            <w:pPr>
              <w:suppressAutoHyphens/>
              <w:rPr>
                <w:sz w:val="22"/>
                <w:szCs w:val="22"/>
                <w:lang w:val="fr-CA" w:eastAsia="ar-SA"/>
              </w:rPr>
            </w:pPr>
          </w:p>
          <w:p w14:paraId="5455758F" w14:textId="77777777" w:rsidR="008F2480" w:rsidRPr="00715BD6" w:rsidRDefault="008F2480" w:rsidP="00FE18BE">
            <w:pPr>
              <w:suppressAutoHyphens/>
              <w:rPr>
                <w:sz w:val="22"/>
                <w:szCs w:val="22"/>
                <w:lang w:val="fr-CA" w:eastAsia="ar-SA"/>
              </w:rPr>
            </w:pPr>
          </w:p>
          <w:p w14:paraId="3FAF433C" w14:textId="77777777" w:rsidR="008F2480" w:rsidRPr="00715BD6" w:rsidRDefault="008F2480" w:rsidP="00FE18BE">
            <w:pPr>
              <w:suppressAutoHyphens/>
              <w:rPr>
                <w:sz w:val="22"/>
                <w:szCs w:val="22"/>
                <w:lang w:val="fr-CA" w:eastAsia="ar-SA"/>
              </w:rPr>
            </w:pPr>
          </w:p>
          <w:p w14:paraId="1ACC1A78" w14:textId="04269C1C" w:rsidR="008F2480" w:rsidRDefault="008F2480" w:rsidP="00FE18BE">
            <w:pPr>
              <w:suppressAutoHyphens/>
              <w:rPr>
                <w:sz w:val="22"/>
                <w:szCs w:val="22"/>
                <w:lang w:val="fr-CA" w:eastAsia="ar-SA"/>
              </w:rPr>
            </w:pPr>
          </w:p>
          <w:p w14:paraId="583F8FB3" w14:textId="7C2854BB" w:rsidR="002B526B" w:rsidRDefault="002B526B" w:rsidP="00FE18BE">
            <w:pPr>
              <w:suppressAutoHyphens/>
              <w:rPr>
                <w:sz w:val="22"/>
                <w:szCs w:val="22"/>
                <w:lang w:val="fr-CA" w:eastAsia="ar-SA"/>
              </w:rPr>
            </w:pPr>
          </w:p>
          <w:p w14:paraId="3247760E" w14:textId="77777777" w:rsidR="002B526B" w:rsidRPr="00715BD6" w:rsidRDefault="002B526B" w:rsidP="00FE18BE">
            <w:pPr>
              <w:suppressAutoHyphens/>
              <w:rPr>
                <w:sz w:val="22"/>
                <w:szCs w:val="22"/>
                <w:lang w:val="fr-CA" w:eastAsia="ar-SA"/>
              </w:rPr>
            </w:pPr>
          </w:p>
          <w:p w14:paraId="2FA8710B" w14:textId="77777777" w:rsidR="008F2480" w:rsidRPr="00715BD6" w:rsidRDefault="008F2480" w:rsidP="00FE18BE">
            <w:pPr>
              <w:suppressAutoHyphens/>
              <w:rPr>
                <w:sz w:val="22"/>
                <w:szCs w:val="22"/>
                <w:lang w:val="fr-CA" w:eastAsia="ar-SA"/>
              </w:rPr>
            </w:pPr>
          </w:p>
          <w:p w14:paraId="660328AD" w14:textId="77777777" w:rsidR="008F2480" w:rsidRPr="00715BD6" w:rsidRDefault="008F2480" w:rsidP="00FE18BE">
            <w:pPr>
              <w:suppressAutoHyphens/>
              <w:rPr>
                <w:sz w:val="22"/>
                <w:szCs w:val="22"/>
                <w:lang w:val="fr-CA" w:eastAsia="ar-SA"/>
              </w:rPr>
            </w:pPr>
          </w:p>
          <w:p w14:paraId="678D9C5F" w14:textId="77777777" w:rsidR="008F2480" w:rsidRPr="00715BD6" w:rsidRDefault="008F2480" w:rsidP="00FE18BE">
            <w:pPr>
              <w:suppressAutoHyphens/>
              <w:rPr>
                <w:sz w:val="22"/>
                <w:szCs w:val="22"/>
                <w:lang w:val="fr-CA" w:eastAsia="ar-SA"/>
              </w:rPr>
            </w:pPr>
          </w:p>
          <w:p w14:paraId="12E84DDA" w14:textId="0906CDA5" w:rsidR="008F2480" w:rsidRPr="00715BD6" w:rsidRDefault="00C04E7C" w:rsidP="00FE18BE">
            <w:pPr>
              <w:suppressAutoHyphens/>
              <w:rPr>
                <w:sz w:val="22"/>
                <w:szCs w:val="22"/>
                <w:lang w:val="fr-CA" w:eastAsia="ar-SA"/>
              </w:rPr>
            </w:pPr>
            <w:r>
              <w:rPr>
                <w:sz w:val="22"/>
                <w:szCs w:val="22"/>
                <w:lang w:val="fr-CA" w:eastAsia="ar-SA"/>
              </w:rPr>
              <w:t>États membres</w:t>
            </w:r>
          </w:p>
          <w:p w14:paraId="78335D5B" w14:textId="533427D1" w:rsidR="008F2480" w:rsidRPr="00715BD6" w:rsidRDefault="008F2480" w:rsidP="00FE18BE">
            <w:pPr>
              <w:suppressAutoHyphens/>
              <w:rPr>
                <w:sz w:val="22"/>
                <w:szCs w:val="22"/>
                <w:lang w:val="fr-CA" w:eastAsia="ar-SA"/>
              </w:rPr>
            </w:pPr>
            <w:r w:rsidRPr="00715BD6">
              <w:rPr>
                <w:sz w:val="22"/>
                <w:szCs w:val="22"/>
                <w:lang w:val="fr-CA" w:eastAsia="ar-SA"/>
              </w:rPr>
              <w:t>SEDI</w:t>
            </w:r>
          </w:p>
          <w:p w14:paraId="5E2B050C" w14:textId="574F2E62" w:rsidR="008F2480" w:rsidRPr="00715BD6" w:rsidRDefault="008F2480" w:rsidP="00E1621F">
            <w:pPr>
              <w:suppressAutoHyphens/>
              <w:rPr>
                <w:sz w:val="22"/>
                <w:szCs w:val="22"/>
                <w:lang w:val="fr-CA" w:eastAsia="ar-SA"/>
              </w:rPr>
            </w:pPr>
            <w:r w:rsidRPr="00715BD6">
              <w:rPr>
                <w:sz w:val="22"/>
                <w:szCs w:val="22"/>
                <w:lang w:val="fr-CA" w:eastAsia="ar-SA"/>
              </w:rPr>
              <w:t>DSI/SA</w:t>
            </w:r>
            <w:r w:rsidR="00002FC1">
              <w:rPr>
                <w:sz w:val="22"/>
                <w:szCs w:val="22"/>
                <w:lang w:val="fr-CA" w:eastAsia="ar-SA"/>
              </w:rPr>
              <w:t>Dy</w:t>
            </w:r>
            <w:r w:rsidR="00E1621F" w:rsidRPr="00715BD6">
              <w:rPr>
                <w:sz w:val="22"/>
                <w:szCs w:val="22"/>
                <w:lang w:val="fr-CA" w:eastAsia="ar-SA"/>
              </w:rPr>
              <w:t>E</w:t>
            </w:r>
          </w:p>
        </w:tc>
      </w:tr>
    </w:tbl>
    <w:p w14:paraId="713AC2F3" w14:textId="102B9887" w:rsidR="000602E7" w:rsidRPr="00715BD6" w:rsidRDefault="000602E7" w:rsidP="000602E7">
      <w:pPr>
        <w:suppressAutoHyphens/>
        <w:rPr>
          <w:sz w:val="22"/>
          <w:szCs w:val="22"/>
          <w:lang w:val="fr-CA" w:eastAsia="ar-SA"/>
        </w:rPr>
      </w:pPr>
    </w:p>
    <w:p w14:paraId="7655C59B" w14:textId="149D266E" w:rsidR="000602E7" w:rsidRPr="00715BD6" w:rsidRDefault="002B526B" w:rsidP="000602E7">
      <w:pPr>
        <w:numPr>
          <w:ilvl w:val="0"/>
          <w:numId w:val="1"/>
        </w:numPr>
        <w:suppressAutoHyphens/>
        <w:ind w:left="720" w:hanging="720"/>
        <w:jc w:val="both"/>
        <w:rPr>
          <w:sz w:val="22"/>
          <w:szCs w:val="22"/>
          <w:u w:val="single"/>
          <w:lang w:val="fr-CA" w:eastAsia="ar-SA"/>
        </w:rPr>
      </w:pPr>
      <w:r>
        <w:rPr>
          <w:sz w:val="22"/>
          <w:szCs w:val="22"/>
          <w:u w:val="single"/>
          <w:lang w:val="fr-CA" w:eastAsia="ar-SA"/>
        </w:rPr>
        <w:t>Mandat</w:t>
      </w:r>
      <w:r w:rsidR="000602E7" w:rsidRPr="00715BD6">
        <w:rPr>
          <w:sz w:val="22"/>
          <w:szCs w:val="22"/>
          <w:u w:val="single"/>
          <w:lang w:val="fr-CA" w:eastAsia="ar-SA"/>
        </w:rPr>
        <w:t>s cont</w:t>
      </w:r>
      <w:r>
        <w:rPr>
          <w:sz w:val="22"/>
          <w:szCs w:val="22"/>
          <w:u w:val="single"/>
          <w:lang w:val="fr-CA" w:eastAsia="ar-SA"/>
        </w:rPr>
        <w:t>enus dans la résolution</w:t>
      </w:r>
      <w:r w:rsidR="000602E7" w:rsidRPr="00715BD6">
        <w:rPr>
          <w:sz w:val="22"/>
          <w:szCs w:val="22"/>
          <w:u w:val="single"/>
          <w:lang w:val="fr-CA" w:eastAsia="ar-SA"/>
        </w:rPr>
        <w:t xml:space="preserve"> AG/RES. 2956 (L-O/20), </w:t>
      </w:r>
      <w:r w:rsidR="000602E7" w:rsidRPr="00715BD6">
        <w:rPr>
          <w:sz w:val="22"/>
          <w:szCs w:val="22"/>
          <w:lang w:val="fr-CA" w:eastAsia="ar-SA"/>
        </w:rPr>
        <w:t>“</w:t>
      </w:r>
      <w:r>
        <w:rPr>
          <w:sz w:val="22"/>
          <w:szCs w:val="22"/>
          <w:lang w:val="fr-CA" w:eastAsia="ar-SA"/>
        </w:rPr>
        <w:t>Défis pour la sécurité alimentaire et nutritionnelle dans les Amériques face à la pandémie de</w:t>
      </w:r>
      <w:r w:rsidR="000602E7" w:rsidRPr="00715BD6">
        <w:rPr>
          <w:sz w:val="22"/>
          <w:szCs w:val="22"/>
          <w:lang w:val="fr-CA" w:eastAsia="ar-SA"/>
        </w:rPr>
        <w:t xml:space="preserve"> COVID-19 </w:t>
      </w:r>
      <w:r>
        <w:rPr>
          <w:sz w:val="22"/>
          <w:szCs w:val="22"/>
          <w:lang w:val="fr-CA" w:eastAsia="ar-SA"/>
        </w:rPr>
        <w:t>dans le cadre du Plan d’action du</w:t>
      </w:r>
      <w:r w:rsidR="000602E7" w:rsidRPr="00715BD6">
        <w:rPr>
          <w:sz w:val="22"/>
          <w:szCs w:val="22"/>
          <w:lang w:val="fr-CA" w:eastAsia="ar-SA"/>
        </w:rPr>
        <w:t xml:space="preserve"> Guatemala 2019”</w:t>
      </w:r>
    </w:p>
    <w:p w14:paraId="538AC9B6" w14:textId="77777777" w:rsidR="000602E7" w:rsidRPr="00715BD6" w:rsidRDefault="000602E7" w:rsidP="000602E7">
      <w:pPr>
        <w:suppressAutoHyphens/>
        <w:jc w:val="both"/>
        <w:rPr>
          <w:sz w:val="22"/>
          <w:szCs w:val="22"/>
          <w:lang w:val="fr-CA" w:eastAsia="ar-SA"/>
        </w:rPr>
      </w:pPr>
    </w:p>
    <w:tbl>
      <w:tblPr>
        <w:tblW w:w="12826" w:type="dxa"/>
        <w:jc w:val="center"/>
        <w:tblLayout w:type="fixed"/>
        <w:tblLook w:val="0000" w:firstRow="0" w:lastRow="0" w:firstColumn="0" w:lastColumn="0" w:noHBand="0" w:noVBand="0"/>
      </w:tblPr>
      <w:tblGrid>
        <w:gridCol w:w="2558"/>
        <w:gridCol w:w="7740"/>
        <w:gridCol w:w="2528"/>
      </w:tblGrid>
      <w:tr w:rsidR="000602E7" w:rsidRPr="00715BD6" w14:paraId="0A9E4913" w14:textId="77777777" w:rsidTr="009F38A3">
        <w:trPr>
          <w:trHeight w:val="611"/>
          <w:jc w:val="center"/>
        </w:trPr>
        <w:tc>
          <w:tcPr>
            <w:tcW w:w="2558" w:type="dxa"/>
            <w:tcBorders>
              <w:top w:val="single" w:sz="4" w:space="0" w:color="000000"/>
              <w:left w:val="single" w:sz="4" w:space="0" w:color="000000"/>
              <w:bottom w:val="single" w:sz="4" w:space="0" w:color="000000"/>
            </w:tcBorders>
            <w:shd w:val="clear" w:color="auto" w:fill="C6D9F1"/>
            <w:vAlign w:val="center"/>
          </w:tcPr>
          <w:p w14:paraId="0E693572" w14:textId="2D0DCDAB" w:rsidR="000602E7" w:rsidRPr="00715BD6" w:rsidRDefault="000602E7" w:rsidP="000602E7">
            <w:pPr>
              <w:suppressAutoHyphens/>
              <w:jc w:val="center"/>
              <w:rPr>
                <w:b/>
                <w:sz w:val="22"/>
                <w:szCs w:val="22"/>
                <w:lang w:val="fr-CA" w:eastAsia="ar-SA"/>
              </w:rPr>
            </w:pPr>
            <w:r w:rsidRPr="00715BD6">
              <w:rPr>
                <w:b/>
                <w:bCs/>
                <w:sz w:val="22"/>
                <w:szCs w:val="22"/>
                <w:lang w:val="fr-CA" w:eastAsia="ar-SA"/>
              </w:rPr>
              <w:t>AG/RES. 2956 (L-O/20)</w:t>
            </w:r>
          </w:p>
        </w:tc>
        <w:tc>
          <w:tcPr>
            <w:tcW w:w="7740" w:type="dxa"/>
            <w:tcBorders>
              <w:top w:val="single" w:sz="4" w:space="0" w:color="000000"/>
              <w:left w:val="single" w:sz="4" w:space="0" w:color="000000"/>
              <w:bottom w:val="single" w:sz="4" w:space="0" w:color="000000"/>
            </w:tcBorders>
            <w:shd w:val="clear" w:color="auto" w:fill="C6D9F1"/>
            <w:vAlign w:val="center"/>
          </w:tcPr>
          <w:p w14:paraId="75340039" w14:textId="71F069C8" w:rsidR="000602E7" w:rsidRPr="00715BD6" w:rsidRDefault="002B526B" w:rsidP="009F38A3">
            <w:pPr>
              <w:ind w:left="20"/>
              <w:jc w:val="center"/>
              <w:rPr>
                <w:b/>
                <w:sz w:val="22"/>
                <w:szCs w:val="22"/>
                <w:lang w:val="fr-CA" w:eastAsia="ar-SA"/>
              </w:rPr>
            </w:pPr>
            <w:r>
              <w:rPr>
                <w:b/>
                <w:bCs/>
                <w:sz w:val="22"/>
                <w:szCs w:val="22"/>
                <w:lang w:val="fr-CA" w:eastAsia="ar-SA"/>
              </w:rPr>
              <w:t>MANDAT</w:t>
            </w:r>
            <w:r w:rsidR="000602E7" w:rsidRPr="00715BD6">
              <w:rPr>
                <w:b/>
                <w:bCs/>
                <w:sz w:val="22"/>
                <w:szCs w:val="22"/>
                <w:lang w:val="fr-CA" w:eastAsia="ar-SA"/>
              </w:rPr>
              <w:t>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F9722E" w14:textId="53625B4C" w:rsidR="000602E7" w:rsidRPr="00715BD6" w:rsidRDefault="000602E7" w:rsidP="002B526B">
            <w:pPr>
              <w:suppressAutoHyphens/>
              <w:jc w:val="center"/>
              <w:rPr>
                <w:b/>
                <w:bCs/>
                <w:sz w:val="22"/>
                <w:szCs w:val="22"/>
                <w:lang w:val="fr-CA" w:eastAsia="ar-SA"/>
              </w:rPr>
            </w:pPr>
            <w:r w:rsidRPr="00715BD6">
              <w:rPr>
                <w:b/>
                <w:bCs/>
                <w:sz w:val="22"/>
                <w:szCs w:val="22"/>
                <w:lang w:val="fr-CA" w:eastAsia="ar-SA"/>
              </w:rPr>
              <w:t>RESPONS</w:t>
            </w:r>
            <w:r w:rsidR="002B526B">
              <w:rPr>
                <w:b/>
                <w:bCs/>
                <w:sz w:val="22"/>
                <w:szCs w:val="22"/>
                <w:lang w:val="fr-CA" w:eastAsia="ar-SA"/>
              </w:rPr>
              <w:t>ABILITÉ</w:t>
            </w:r>
          </w:p>
        </w:tc>
      </w:tr>
      <w:tr w:rsidR="000602E7" w:rsidRPr="00715BD6" w14:paraId="50B561FD"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65850120" w14:textId="1AB74453" w:rsidR="000602E7" w:rsidRPr="00715BD6" w:rsidRDefault="002B526B" w:rsidP="002B526B">
            <w:pPr>
              <w:suppressAutoHyphens/>
              <w:rPr>
                <w:b/>
                <w:sz w:val="22"/>
                <w:szCs w:val="22"/>
                <w:lang w:val="fr-CA" w:eastAsia="ar-SA"/>
              </w:rPr>
            </w:pPr>
            <w:r>
              <w:rPr>
                <w:b/>
                <w:sz w:val="22"/>
                <w:szCs w:val="22"/>
                <w:lang w:val="fr-CA" w:eastAsia="ar-SA"/>
              </w:rPr>
              <w:t>Paragraphe 1 du dispositif</w:t>
            </w:r>
          </w:p>
        </w:tc>
        <w:tc>
          <w:tcPr>
            <w:tcW w:w="7740" w:type="dxa"/>
            <w:tcBorders>
              <w:top w:val="single" w:sz="4" w:space="0" w:color="000000"/>
              <w:left w:val="single" w:sz="4" w:space="0" w:color="000000"/>
              <w:bottom w:val="single" w:sz="4" w:space="0" w:color="000000"/>
            </w:tcBorders>
            <w:shd w:val="clear" w:color="auto" w:fill="auto"/>
          </w:tcPr>
          <w:p w14:paraId="29AD7E5C" w14:textId="7C8AED2C" w:rsidR="00E1621F" w:rsidRPr="00BC3757" w:rsidRDefault="00BC3757" w:rsidP="00E1621F">
            <w:pPr>
              <w:jc w:val="both"/>
              <w:rPr>
                <w:sz w:val="22"/>
                <w:szCs w:val="22"/>
                <w:lang w:val="fr-CA"/>
              </w:rPr>
            </w:pPr>
            <w:r w:rsidRPr="00BC3757">
              <w:rPr>
                <w:bCs/>
                <w:color w:val="000000"/>
                <w:sz w:val="22"/>
                <w:szCs w:val="22"/>
                <w:lang w:val="fr-FR"/>
              </w:rPr>
              <w:t>De demander au Secrétariat à l’accès aux droits et à l’équité (SADyE), en collaboration avec le Secrétariat exécutif au développement intégré (SEDI), en utilisant le Réseau interaméricain de protection sociale (RIPSO), de promouvoir la coopération pour renforcer les institutions nationales de développement social, en collaboration avec les organisations internationales, les experts en matière de croissance, de développement et de prospérité, les organisations de la société civile, le secteur privé et le monde universitaire qui sont chargés de la lutte contre la pauvreté, de la réduction des inégalités par une approche globale, de l’élargissement de la protection sociale et des programmes sociaux pour l’éradication de la faim et de la malnutrition, de la lutte contre l’insécurité alimentaire et nutritionnelle, par des actions visant le dialogue, le renforcement des capacités et l’échange de connaissances et d’enseignements, ainsi que l’assistance technique et le suivi des indicateurs relatifs à ces questions</w:t>
            </w:r>
            <w:r w:rsidR="00E1621F" w:rsidRPr="00BC3757">
              <w:rPr>
                <w:sz w:val="22"/>
                <w:szCs w:val="22"/>
                <w:lang w:val="fr-CA"/>
              </w:rPr>
              <w:t>.</w:t>
            </w:r>
          </w:p>
          <w:p w14:paraId="3EC475BB" w14:textId="77777777" w:rsidR="000602E7" w:rsidRPr="00BC3757" w:rsidRDefault="000602E7" w:rsidP="00E1621F">
            <w:pPr>
              <w:jc w:val="both"/>
              <w:rPr>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EB3BF0D" w14:textId="168E5CE7" w:rsidR="000602E7" w:rsidRPr="00715BD6" w:rsidRDefault="00002FC1" w:rsidP="009F38A3">
            <w:pPr>
              <w:suppressAutoHyphens/>
              <w:rPr>
                <w:sz w:val="22"/>
                <w:szCs w:val="22"/>
                <w:lang w:val="fr-CA" w:eastAsia="ar-SA"/>
              </w:rPr>
            </w:pPr>
            <w:r>
              <w:rPr>
                <w:sz w:val="22"/>
                <w:szCs w:val="22"/>
                <w:lang w:val="fr-CA" w:eastAsia="ar-SA"/>
              </w:rPr>
              <w:t>SEDI/SADyE</w:t>
            </w:r>
          </w:p>
        </w:tc>
      </w:tr>
      <w:tr w:rsidR="00E1621F" w:rsidRPr="00715BD6" w14:paraId="7E390D4F"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0FBFA6E8" w14:textId="622180C2" w:rsidR="00E1621F" w:rsidRPr="00715BD6" w:rsidRDefault="002B526B" w:rsidP="009F38A3">
            <w:pPr>
              <w:suppressAutoHyphens/>
              <w:rPr>
                <w:b/>
                <w:sz w:val="22"/>
                <w:szCs w:val="22"/>
                <w:lang w:val="fr-CA" w:eastAsia="ar-SA"/>
              </w:rPr>
            </w:pPr>
            <w:r>
              <w:rPr>
                <w:b/>
                <w:sz w:val="22"/>
                <w:szCs w:val="22"/>
                <w:lang w:val="fr-CA" w:eastAsia="ar-SA"/>
              </w:rPr>
              <w:t>Paragraphe 2 du dispositif</w:t>
            </w:r>
          </w:p>
        </w:tc>
        <w:tc>
          <w:tcPr>
            <w:tcW w:w="7740" w:type="dxa"/>
            <w:tcBorders>
              <w:top w:val="single" w:sz="4" w:space="0" w:color="000000"/>
              <w:left w:val="single" w:sz="4" w:space="0" w:color="000000"/>
              <w:bottom w:val="single" w:sz="4" w:space="0" w:color="000000"/>
            </w:tcBorders>
            <w:shd w:val="clear" w:color="auto" w:fill="auto"/>
          </w:tcPr>
          <w:p w14:paraId="3712712D" w14:textId="2AD97B7D" w:rsidR="00E1621F" w:rsidRPr="00BC3757" w:rsidRDefault="00BC3757" w:rsidP="00E1621F">
            <w:pPr>
              <w:jc w:val="both"/>
              <w:rPr>
                <w:sz w:val="22"/>
                <w:szCs w:val="22"/>
                <w:lang w:val="fr-CA"/>
              </w:rPr>
            </w:pPr>
            <w:r w:rsidRPr="00BC3757">
              <w:rPr>
                <w:bCs/>
                <w:color w:val="000000"/>
                <w:sz w:val="22"/>
                <w:szCs w:val="22"/>
                <w:lang w:val="fr-FR"/>
              </w:rPr>
              <w:t>D’encourager les États membres à participer activement aux trois groupes de travail prévus dans le Plan d’action du Guatemala 2019 et aux activités organisées par le SADyE pour la mise en œuvre du Plan d’action du Guatemala 2019, en donnant la priorité dans les programmes des groupes de travail aux questions de sécurité alimentaire et nutritionnelle, de réduction de la pauvreté et des inégalités, entre autres</w:t>
            </w:r>
            <w:r w:rsidR="00E1621F" w:rsidRPr="00BC3757">
              <w:rPr>
                <w:sz w:val="22"/>
                <w:szCs w:val="22"/>
                <w:lang w:val="fr-CA"/>
              </w:rPr>
              <w:t>.</w:t>
            </w:r>
          </w:p>
          <w:p w14:paraId="4672D411" w14:textId="77777777" w:rsidR="00E1621F" w:rsidRPr="00BC3757" w:rsidRDefault="00E1621F" w:rsidP="00E1621F">
            <w:pPr>
              <w:jc w:val="both"/>
              <w:rPr>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E3E7C73" w14:textId="21F555DD" w:rsidR="00E1621F" w:rsidRPr="00715BD6" w:rsidRDefault="00BC3757" w:rsidP="00BC3757">
            <w:pPr>
              <w:suppressAutoHyphens/>
              <w:rPr>
                <w:sz w:val="22"/>
                <w:szCs w:val="22"/>
                <w:lang w:val="fr-CA" w:eastAsia="ar-SA"/>
              </w:rPr>
            </w:pPr>
            <w:r>
              <w:rPr>
                <w:sz w:val="22"/>
                <w:szCs w:val="22"/>
                <w:lang w:val="fr-CA" w:eastAsia="ar-SA"/>
              </w:rPr>
              <w:t>États membres</w:t>
            </w:r>
          </w:p>
        </w:tc>
      </w:tr>
      <w:tr w:rsidR="00E1621F" w:rsidRPr="00715BD6" w14:paraId="747263FC"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5B0E9975" w14:textId="46851749" w:rsidR="00E1621F" w:rsidRPr="00715BD6" w:rsidRDefault="002B526B" w:rsidP="009F38A3">
            <w:pPr>
              <w:suppressAutoHyphens/>
              <w:rPr>
                <w:b/>
                <w:sz w:val="22"/>
                <w:szCs w:val="22"/>
                <w:lang w:val="fr-CA" w:eastAsia="ar-SA"/>
              </w:rPr>
            </w:pPr>
            <w:r>
              <w:rPr>
                <w:b/>
                <w:sz w:val="22"/>
                <w:szCs w:val="22"/>
                <w:lang w:val="fr-CA" w:eastAsia="ar-SA"/>
              </w:rPr>
              <w:lastRenderedPageBreak/>
              <w:t>Paragraphe 3 du dispositif</w:t>
            </w:r>
          </w:p>
        </w:tc>
        <w:tc>
          <w:tcPr>
            <w:tcW w:w="7740" w:type="dxa"/>
            <w:tcBorders>
              <w:top w:val="single" w:sz="4" w:space="0" w:color="000000"/>
              <w:left w:val="single" w:sz="4" w:space="0" w:color="000000"/>
              <w:bottom w:val="single" w:sz="4" w:space="0" w:color="000000"/>
            </w:tcBorders>
            <w:shd w:val="clear" w:color="auto" w:fill="auto"/>
          </w:tcPr>
          <w:p w14:paraId="41B0B575" w14:textId="1EB88B72" w:rsidR="00E1621F" w:rsidRPr="00BC3757" w:rsidRDefault="00BC3757" w:rsidP="00E1621F">
            <w:pPr>
              <w:jc w:val="both"/>
              <w:rPr>
                <w:sz w:val="22"/>
                <w:szCs w:val="22"/>
                <w:lang w:val="fr-CA"/>
              </w:rPr>
            </w:pPr>
            <w:r w:rsidRPr="00BC3757">
              <w:rPr>
                <w:bCs/>
                <w:color w:val="000000"/>
                <w:sz w:val="22"/>
                <w:szCs w:val="22"/>
                <w:lang w:val="fr-FR"/>
              </w:rPr>
              <w:t>D’encourager les États membres à maintenir les chaînes de valeur ouvertes et connectées afin que les marchés internationaux puissent rester fonctionnels, en soutenant la circulation des produits et des intrants agricoles, qui jouent un rôle clé dans la prévention des pénuries alimentaires et donc dans la réalisation de la sécurité alimentaire et nutritionnelle au niveau mondial, et veiller à ce que les mesures d’urgence relatives aux produits agricoles et agroalimentaires conçues pour répondre à la COVID-19 soient spécifiques, proportionnées, transparentes et temporaires, et ne créent pas d’obstacles inutiles au commerce ou ne perturbent pas les chaînes d’approvisionnement pour les produits agricoles et agroalimentaires. Nous sommes résolus à limiter toute mesure restrictive injustifiée sur les produits agricoles ou l’approvisionnement alimentaire</w:t>
            </w:r>
            <w:r w:rsidR="00E1621F" w:rsidRPr="00BC3757">
              <w:rPr>
                <w:sz w:val="22"/>
                <w:szCs w:val="22"/>
                <w:lang w:val="fr-CA"/>
              </w:rPr>
              <w:t>.</w:t>
            </w:r>
          </w:p>
          <w:p w14:paraId="5A22019B" w14:textId="77777777" w:rsidR="00E1621F" w:rsidRPr="00BC3757" w:rsidRDefault="00E1621F" w:rsidP="00E1621F">
            <w:pPr>
              <w:jc w:val="both"/>
              <w:rPr>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65A48AEC" w14:textId="42A40CFA" w:rsidR="00E1621F" w:rsidRPr="00715BD6" w:rsidRDefault="00BC3757" w:rsidP="00BC3757">
            <w:pPr>
              <w:suppressAutoHyphens/>
              <w:rPr>
                <w:sz w:val="22"/>
                <w:szCs w:val="22"/>
                <w:lang w:val="fr-CA" w:eastAsia="ar-SA"/>
              </w:rPr>
            </w:pPr>
            <w:r>
              <w:rPr>
                <w:sz w:val="22"/>
                <w:szCs w:val="22"/>
                <w:lang w:val="fr-CA" w:eastAsia="ar-SA"/>
              </w:rPr>
              <w:t>États membres</w:t>
            </w:r>
          </w:p>
        </w:tc>
      </w:tr>
      <w:tr w:rsidR="00E1621F" w:rsidRPr="00715BD6" w14:paraId="6E5E35E0"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73018515" w14:textId="0643F0DA" w:rsidR="00E1621F" w:rsidRPr="00715BD6" w:rsidRDefault="002B526B" w:rsidP="009F38A3">
            <w:pPr>
              <w:suppressAutoHyphens/>
              <w:rPr>
                <w:b/>
                <w:sz w:val="22"/>
                <w:szCs w:val="22"/>
                <w:lang w:val="fr-CA" w:eastAsia="ar-SA"/>
              </w:rPr>
            </w:pPr>
            <w:r>
              <w:rPr>
                <w:b/>
                <w:sz w:val="22"/>
                <w:szCs w:val="22"/>
                <w:lang w:val="fr-CA" w:eastAsia="ar-SA"/>
              </w:rPr>
              <w:t>Paragraphe 4 du dispositif</w:t>
            </w:r>
          </w:p>
        </w:tc>
        <w:tc>
          <w:tcPr>
            <w:tcW w:w="7740" w:type="dxa"/>
            <w:tcBorders>
              <w:top w:val="single" w:sz="4" w:space="0" w:color="000000"/>
              <w:left w:val="single" w:sz="4" w:space="0" w:color="000000"/>
              <w:bottom w:val="single" w:sz="4" w:space="0" w:color="000000"/>
            </w:tcBorders>
            <w:shd w:val="clear" w:color="auto" w:fill="auto"/>
          </w:tcPr>
          <w:p w14:paraId="10D0FEC0" w14:textId="2C685D2C" w:rsidR="00E1621F" w:rsidRPr="008356EF" w:rsidRDefault="008356EF" w:rsidP="00E1621F">
            <w:pPr>
              <w:jc w:val="both"/>
              <w:rPr>
                <w:sz w:val="22"/>
                <w:szCs w:val="22"/>
                <w:lang w:val="fr-CA"/>
              </w:rPr>
            </w:pPr>
            <w:r w:rsidRPr="008356EF">
              <w:rPr>
                <w:bCs/>
                <w:color w:val="000000"/>
                <w:sz w:val="22"/>
                <w:szCs w:val="22"/>
                <w:lang w:val="fr-FR"/>
              </w:rPr>
              <w:t>D’inviter les États membres, les observateurs permanents et les autres bailleurs à contribuer au Fonds pour la mise en œuvre du Plan d’action du Guatemala 2019, dans la mesure de leurs capacités, dans le but d’assurer des ressources dans les plus brefs délais, pour le financement des activités de coopération et d’assistance technique à l’appui des efforts déployés par les États membres pour faire face aux graves conséquences de la faim et de la malnutrition dans les Amériques, aujourd’hui aggravées par la pandémie de COVID-19</w:t>
            </w:r>
            <w:r w:rsidR="00E1621F" w:rsidRPr="008356EF">
              <w:rPr>
                <w:sz w:val="22"/>
                <w:szCs w:val="22"/>
                <w:lang w:val="fr-CA"/>
              </w:rPr>
              <w:t>.</w:t>
            </w:r>
          </w:p>
          <w:p w14:paraId="1C5B764F" w14:textId="77777777" w:rsidR="00E1621F" w:rsidRPr="008356EF" w:rsidRDefault="00E1621F" w:rsidP="00E1621F">
            <w:pPr>
              <w:jc w:val="both"/>
              <w:rPr>
                <w:sz w:val="22"/>
                <w:szCs w:val="22"/>
                <w:lang w:val="fr-CA"/>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51621B8" w14:textId="3E54BF14" w:rsidR="00E1621F" w:rsidRPr="00715BD6" w:rsidRDefault="00BC3757" w:rsidP="009F38A3">
            <w:pPr>
              <w:suppressAutoHyphens/>
              <w:rPr>
                <w:sz w:val="22"/>
                <w:szCs w:val="22"/>
                <w:lang w:val="fr-CA" w:eastAsia="ar-SA"/>
              </w:rPr>
            </w:pPr>
            <w:r>
              <w:rPr>
                <w:sz w:val="22"/>
                <w:szCs w:val="22"/>
                <w:lang w:val="fr-CA" w:eastAsia="ar-SA"/>
              </w:rPr>
              <w:t>États membres</w:t>
            </w:r>
          </w:p>
          <w:p w14:paraId="7BD67BF4" w14:textId="48E5C3CC" w:rsidR="00E1621F" w:rsidRPr="00715BD6" w:rsidRDefault="00BC3757" w:rsidP="00BC3757">
            <w:pPr>
              <w:suppressAutoHyphens/>
              <w:rPr>
                <w:sz w:val="22"/>
                <w:szCs w:val="22"/>
                <w:lang w:val="fr-CA" w:eastAsia="ar-SA"/>
              </w:rPr>
            </w:pPr>
            <w:r>
              <w:rPr>
                <w:sz w:val="22"/>
                <w:szCs w:val="22"/>
                <w:lang w:val="fr-CA" w:eastAsia="ar-SA"/>
              </w:rPr>
              <w:t>Observateurs permanents</w:t>
            </w:r>
          </w:p>
        </w:tc>
      </w:tr>
      <w:tr w:rsidR="00E1621F" w:rsidRPr="00715BD6" w14:paraId="77A4465D"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2606F832" w14:textId="1029A49F" w:rsidR="00E1621F" w:rsidRPr="00715BD6" w:rsidRDefault="002B526B" w:rsidP="009F38A3">
            <w:pPr>
              <w:suppressAutoHyphens/>
              <w:rPr>
                <w:b/>
                <w:sz w:val="22"/>
                <w:szCs w:val="22"/>
                <w:lang w:val="fr-CA" w:eastAsia="ar-SA"/>
              </w:rPr>
            </w:pPr>
            <w:r>
              <w:rPr>
                <w:b/>
                <w:sz w:val="22"/>
                <w:szCs w:val="22"/>
                <w:lang w:val="fr-CA" w:eastAsia="ar-SA"/>
              </w:rPr>
              <w:t>Paragraphe 5 du dispositif</w:t>
            </w:r>
          </w:p>
        </w:tc>
        <w:tc>
          <w:tcPr>
            <w:tcW w:w="7740" w:type="dxa"/>
            <w:tcBorders>
              <w:top w:val="single" w:sz="4" w:space="0" w:color="000000"/>
              <w:left w:val="single" w:sz="4" w:space="0" w:color="000000"/>
              <w:bottom w:val="single" w:sz="4" w:space="0" w:color="000000"/>
            </w:tcBorders>
            <w:shd w:val="clear" w:color="auto" w:fill="auto"/>
          </w:tcPr>
          <w:p w14:paraId="746C5A45" w14:textId="2D988AC7" w:rsidR="00E1621F" w:rsidRPr="008356EF" w:rsidRDefault="008356EF" w:rsidP="0007403C">
            <w:pPr>
              <w:jc w:val="both"/>
              <w:rPr>
                <w:sz w:val="22"/>
                <w:szCs w:val="22"/>
                <w:lang w:val="fr-CA"/>
              </w:rPr>
            </w:pPr>
            <w:r w:rsidRPr="008356EF">
              <w:rPr>
                <w:bCs/>
                <w:color w:val="000000"/>
                <w:sz w:val="22"/>
                <w:szCs w:val="22"/>
                <w:lang w:val="fr-FR"/>
              </w:rPr>
              <w:t>D’encourager le Secrétariat général à soutenir les efforts des petits États insulaires et des États côtiers en développement de faible altitude, entre autres, pour obtenir une assistance technique et, le cas échéant, une aide financière des institutions financières internationales et des agences d’aide au développement, en combinaison avec des réformes et des politiques nationales, pour les technologies agricoles nouvelles et émergentes, y compris l’agriculture respectueuse du climat et le soutien au renforcement des capacités. En effet, leurs terres arables sont limitées, l’approvisionnement en eau est insuffisant dans certains pays et les petites et moyennes exploitations familiales, l’agriculture scolaire, l’agriculture de subsistance et l’agriculture pratiquée par les femmes et les jeunes dans les zones rurales sont importantes pour améliorer la sécurité alimentaire et nutritionnelle</w:t>
            </w:r>
            <w:r w:rsidR="0007403C" w:rsidRPr="008356EF">
              <w:rPr>
                <w:sz w:val="22"/>
                <w:szCs w:val="22"/>
                <w:lang w:val="fr-CA"/>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BD00D89" w14:textId="2274A309" w:rsidR="00E1621F" w:rsidRPr="00715BD6" w:rsidRDefault="002B526B" w:rsidP="002B526B">
            <w:pPr>
              <w:suppressAutoHyphens/>
              <w:rPr>
                <w:sz w:val="22"/>
                <w:szCs w:val="22"/>
                <w:lang w:val="fr-CA" w:eastAsia="ar-SA"/>
              </w:rPr>
            </w:pPr>
            <w:r>
              <w:rPr>
                <w:sz w:val="22"/>
                <w:szCs w:val="22"/>
                <w:lang w:val="fr-CA" w:eastAsia="ar-SA"/>
              </w:rPr>
              <w:t>Secrétariat général</w:t>
            </w:r>
          </w:p>
        </w:tc>
      </w:tr>
      <w:tr w:rsidR="0007403C" w:rsidRPr="00715BD6" w14:paraId="0898F587"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39F2D8BC" w14:textId="13B59444" w:rsidR="0007403C" w:rsidRPr="00715BD6" w:rsidRDefault="002B526B" w:rsidP="0007403C">
            <w:pPr>
              <w:suppressAutoHyphens/>
              <w:rPr>
                <w:b/>
                <w:sz w:val="22"/>
                <w:szCs w:val="22"/>
                <w:lang w:val="fr-CA" w:eastAsia="ar-SA"/>
              </w:rPr>
            </w:pPr>
            <w:r>
              <w:rPr>
                <w:b/>
                <w:sz w:val="22"/>
                <w:szCs w:val="22"/>
                <w:lang w:val="fr-CA" w:eastAsia="ar-SA"/>
              </w:rPr>
              <w:lastRenderedPageBreak/>
              <w:t>Paragraphe 6 du dispositif</w:t>
            </w:r>
          </w:p>
        </w:tc>
        <w:tc>
          <w:tcPr>
            <w:tcW w:w="7740" w:type="dxa"/>
            <w:tcBorders>
              <w:top w:val="single" w:sz="4" w:space="0" w:color="000000"/>
              <w:left w:val="single" w:sz="4" w:space="0" w:color="000000"/>
              <w:bottom w:val="single" w:sz="4" w:space="0" w:color="000000"/>
            </w:tcBorders>
            <w:shd w:val="clear" w:color="auto" w:fill="auto"/>
          </w:tcPr>
          <w:p w14:paraId="3471772B" w14:textId="6EDD5F0B" w:rsidR="0007403C" w:rsidRPr="00002FC1" w:rsidRDefault="00002FC1" w:rsidP="0007403C">
            <w:pPr>
              <w:jc w:val="both"/>
              <w:rPr>
                <w:sz w:val="22"/>
                <w:szCs w:val="22"/>
                <w:lang w:val="fr-CA"/>
              </w:rPr>
            </w:pPr>
            <w:r w:rsidRPr="00002FC1">
              <w:rPr>
                <w:bCs/>
                <w:color w:val="000000"/>
                <w:sz w:val="22"/>
                <w:szCs w:val="22"/>
                <w:lang w:val="fr-FR"/>
              </w:rPr>
              <w:t>De demander au SADyE, agissant en coordination avec la Commission interaméricaine du développement social et en collaboration avec le SEDI et d’autres secrétariats concernés, de mettre en œuvre la présente résolution afin de faciliter et de renforcer le dialogue, la coopération, l’échange d’expériences, le renforcement des capacités et l’assistance technique en faveur des États membres dans le contexte sans précédent de la pandémie COVID-19.</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375C9C1" w14:textId="77777777" w:rsidR="0007403C" w:rsidRPr="00715BD6" w:rsidRDefault="0007403C" w:rsidP="009F38A3">
            <w:pPr>
              <w:suppressAutoHyphens/>
              <w:rPr>
                <w:sz w:val="22"/>
                <w:szCs w:val="22"/>
                <w:lang w:val="fr-CA" w:eastAsia="ar-SA"/>
              </w:rPr>
            </w:pPr>
            <w:r w:rsidRPr="00715BD6">
              <w:rPr>
                <w:sz w:val="22"/>
                <w:szCs w:val="22"/>
                <w:lang w:val="fr-CA" w:eastAsia="ar-SA"/>
              </w:rPr>
              <w:t>CIDES</w:t>
            </w:r>
          </w:p>
          <w:p w14:paraId="4828EEEB" w14:textId="2F8F9C8E" w:rsidR="0007403C" w:rsidRPr="00715BD6" w:rsidRDefault="0007403C" w:rsidP="009F38A3">
            <w:pPr>
              <w:suppressAutoHyphens/>
              <w:rPr>
                <w:sz w:val="22"/>
                <w:szCs w:val="22"/>
                <w:lang w:val="fr-CA" w:eastAsia="ar-SA"/>
              </w:rPr>
            </w:pPr>
            <w:r w:rsidRPr="00715BD6">
              <w:rPr>
                <w:sz w:val="22"/>
                <w:szCs w:val="22"/>
                <w:lang w:val="fr-CA" w:eastAsia="ar-SA"/>
              </w:rPr>
              <w:t>SEDI</w:t>
            </w:r>
          </w:p>
          <w:p w14:paraId="200995A3" w14:textId="33D5FEBF" w:rsidR="0007403C" w:rsidRPr="00715BD6" w:rsidRDefault="0007403C" w:rsidP="009F38A3">
            <w:pPr>
              <w:suppressAutoHyphens/>
              <w:rPr>
                <w:sz w:val="22"/>
                <w:szCs w:val="22"/>
                <w:lang w:val="fr-CA" w:eastAsia="ar-SA"/>
              </w:rPr>
            </w:pPr>
            <w:r w:rsidRPr="00715BD6">
              <w:rPr>
                <w:sz w:val="22"/>
                <w:szCs w:val="22"/>
                <w:lang w:val="fr-CA" w:eastAsia="ar-SA"/>
              </w:rPr>
              <w:t>SA</w:t>
            </w:r>
            <w:r w:rsidR="00002FC1">
              <w:rPr>
                <w:sz w:val="22"/>
                <w:szCs w:val="22"/>
                <w:lang w:val="fr-CA" w:eastAsia="ar-SA"/>
              </w:rPr>
              <w:t>DyE</w:t>
            </w:r>
          </w:p>
          <w:p w14:paraId="7FF58269" w14:textId="6E716631" w:rsidR="0007403C" w:rsidRPr="00715BD6" w:rsidRDefault="0007403C" w:rsidP="009F38A3">
            <w:pPr>
              <w:suppressAutoHyphens/>
              <w:rPr>
                <w:sz w:val="22"/>
                <w:szCs w:val="22"/>
                <w:lang w:val="fr-CA" w:eastAsia="ar-SA"/>
              </w:rPr>
            </w:pPr>
          </w:p>
        </w:tc>
      </w:tr>
      <w:tr w:rsidR="00E1621F" w:rsidRPr="00715BD6" w14:paraId="41828527"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1A946122" w14:textId="2C739C4F" w:rsidR="00E1621F" w:rsidRPr="00715BD6" w:rsidRDefault="002B526B" w:rsidP="009F38A3">
            <w:pPr>
              <w:suppressAutoHyphens/>
              <w:rPr>
                <w:b/>
                <w:sz w:val="22"/>
                <w:szCs w:val="22"/>
                <w:lang w:val="fr-CA" w:eastAsia="ar-SA"/>
              </w:rPr>
            </w:pPr>
            <w:r>
              <w:rPr>
                <w:b/>
                <w:sz w:val="22"/>
                <w:szCs w:val="22"/>
                <w:lang w:val="fr-CA" w:eastAsia="ar-SA"/>
              </w:rPr>
              <w:t>Paragraphe 7 du dispositif</w:t>
            </w:r>
          </w:p>
        </w:tc>
        <w:tc>
          <w:tcPr>
            <w:tcW w:w="7740" w:type="dxa"/>
            <w:tcBorders>
              <w:top w:val="single" w:sz="4" w:space="0" w:color="000000"/>
              <w:left w:val="single" w:sz="4" w:space="0" w:color="000000"/>
              <w:bottom w:val="single" w:sz="4" w:space="0" w:color="000000"/>
            </w:tcBorders>
            <w:shd w:val="clear" w:color="auto" w:fill="auto"/>
          </w:tcPr>
          <w:p w14:paraId="495F0634" w14:textId="3D3FC53E" w:rsidR="00E1621F" w:rsidRPr="00002FC1" w:rsidRDefault="00002FC1" w:rsidP="00E1621F">
            <w:pPr>
              <w:jc w:val="both"/>
              <w:rPr>
                <w:sz w:val="22"/>
                <w:szCs w:val="22"/>
                <w:lang w:val="fr-CA"/>
              </w:rPr>
            </w:pPr>
            <w:r w:rsidRPr="00002FC1">
              <w:rPr>
                <w:bCs/>
                <w:color w:val="000000"/>
                <w:sz w:val="22"/>
                <w:szCs w:val="22"/>
                <w:lang w:val="fr-FR"/>
              </w:rPr>
              <w:t>D’encourager le Secrétariat général, par l’intermédiaire du Secrétariat pour l’accès aux droits et à l’équité (SADyE) et en collaboration avec le SEDI et d’autres secrétariats concernés, et en coordination avec le Groupe de travail mixte sur les Sommets ainsi qu’avec l’Institut de recherche et de développement agricole des Caraïbes, le Programme alimentaire mondial des Nations Unies et avec l’Organisation des Nations Unies pour l’alimentation et l’agriculture, entre autres, afin de développer et de renforcer les projets de coopération à l’échelle continentale pour faire face aux effets de la pandémie de COVID-19 sur les questions abordées dans la présente résolution</w:t>
            </w:r>
            <w:r w:rsidR="0007403C" w:rsidRPr="00002FC1">
              <w:rPr>
                <w:sz w:val="22"/>
                <w:szCs w:val="22"/>
                <w:lang w:val="fr-CA"/>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F175F75" w14:textId="77777777" w:rsidR="00E1621F" w:rsidRPr="00715BD6" w:rsidRDefault="0007403C" w:rsidP="009F38A3">
            <w:pPr>
              <w:suppressAutoHyphens/>
              <w:rPr>
                <w:sz w:val="22"/>
                <w:szCs w:val="22"/>
                <w:lang w:val="fr-CA" w:eastAsia="ar-SA"/>
              </w:rPr>
            </w:pPr>
            <w:r w:rsidRPr="00715BD6">
              <w:rPr>
                <w:sz w:val="22"/>
                <w:szCs w:val="22"/>
                <w:lang w:val="fr-CA" w:eastAsia="ar-SA"/>
              </w:rPr>
              <w:t>SEDI</w:t>
            </w:r>
          </w:p>
          <w:p w14:paraId="7E3F8FC2" w14:textId="75F86ADD" w:rsidR="0007403C" w:rsidRPr="00715BD6" w:rsidRDefault="00002FC1" w:rsidP="009F38A3">
            <w:pPr>
              <w:suppressAutoHyphens/>
              <w:rPr>
                <w:sz w:val="22"/>
                <w:szCs w:val="22"/>
                <w:lang w:val="fr-CA" w:eastAsia="ar-SA"/>
              </w:rPr>
            </w:pPr>
            <w:r>
              <w:rPr>
                <w:sz w:val="22"/>
                <w:szCs w:val="22"/>
                <w:lang w:val="fr-CA" w:eastAsia="ar-SA"/>
              </w:rPr>
              <w:t>SADy</w:t>
            </w:r>
            <w:r w:rsidR="0007403C" w:rsidRPr="00715BD6">
              <w:rPr>
                <w:sz w:val="22"/>
                <w:szCs w:val="22"/>
                <w:lang w:val="fr-CA" w:eastAsia="ar-SA"/>
              </w:rPr>
              <w:t>E</w:t>
            </w:r>
          </w:p>
          <w:p w14:paraId="5D7DE336" w14:textId="66DE6E6F" w:rsidR="0007403C" w:rsidRPr="00715BD6" w:rsidRDefault="0007403C" w:rsidP="009F38A3">
            <w:pPr>
              <w:suppressAutoHyphens/>
              <w:rPr>
                <w:sz w:val="22"/>
                <w:szCs w:val="22"/>
                <w:lang w:val="fr-CA" w:eastAsia="ar-SA"/>
              </w:rPr>
            </w:pPr>
          </w:p>
        </w:tc>
      </w:tr>
      <w:tr w:rsidR="0007403C" w:rsidRPr="00715BD6" w14:paraId="1515B69F"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446BA18B" w14:textId="3E113B83" w:rsidR="0007403C" w:rsidRPr="00715BD6" w:rsidRDefault="002B526B" w:rsidP="0007403C">
            <w:pPr>
              <w:suppressAutoHyphens/>
              <w:rPr>
                <w:b/>
                <w:sz w:val="22"/>
                <w:szCs w:val="22"/>
                <w:lang w:val="fr-CA" w:eastAsia="ar-SA"/>
              </w:rPr>
            </w:pPr>
            <w:r>
              <w:rPr>
                <w:b/>
                <w:sz w:val="22"/>
                <w:szCs w:val="22"/>
                <w:lang w:val="fr-CA" w:eastAsia="ar-SA"/>
              </w:rPr>
              <w:t>Paragraphe 8 du dispositif</w:t>
            </w:r>
          </w:p>
        </w:tc>
        <w:tc>
          <w:tcPr>
            <w:tcW w:w="7740" w:type="dxa"/>
            <w:tcBorders>
              <w:top w:val="single" w:sz="4" w:space="0" w:color="000000"/>
              <w:left w:val="single" w:sz="4" w:space="0" w:color="000000"/>
              <w:bottom w:val="single" w:sz="4" w:space="0" w:color="000000"/>
            </w:tcBorders>
            <w:shd w:val="clear" w:color="auto" w:fill="auto"/>
          </w:tcPr>
          <w:p w14:paraId="70212FFA" w14:textId="7ED0DA6E" w:rsidR="0007403C" w:rsidRPr="00002FC1" w:rsidRDefault="00002FC1" w:rsidP="00604D1D">
            <w:pPr>
              <w:jc w:val="both"/>
              <w:rPr>
                <w:sz w:val="22"/>
                <w:szCs w:val="22"/>
                <w:lang w:val="fr-CA"/>
              </w:rPr>
            </w:pPr>
            <w:r w:rsidRPr="00002FC1">
              <w:rPr>
                <w:bCs/>
                <w:color w:val="000000"/>
                <w:sz w:val="22"/>
                <w:szCs w:val="22"/>
                <w:lang w:val="fr-FR"/>
              </w:rPr>
              <w:t>De demander au Secrétariat général, par l’intermédiaire du SADyE et en collaboration avec le SEDI et les autres secrétariats concernés, d’élaborer et de présenter à une réunion mixte du Conseil interaméricain pour le développement intégré et du Conseil permanent un rapport de suivi sur les bonnes pratiques et les enseignements tirés par les États membres, et de recommander des domaines d’intervention dans le cadre de la présente résolution</w:t>
            </w:r>
            <w:r w:rsidR="0007403C" w:rsidRPr="00002FC1">
              <w:rPr>
                <w:rFonts w:eastAsia="Calibri"/>
                <w:sz w:val="22"/>
                <w:szCs w:val="22"/>
                <w:lang w:val="fr-CA"/>
              </w:rPr>
              <w: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9323317" w14:textId="41E97607" w:rsidR="0007403C" w:rsidRPr="00715BD6" w:rsidRDefault="0007403C" w:rsidP="009F38A3">
            <w:pPr>
              <w:suppressAutoHyphens/>
              <w:rPr>
                <w:sz w:val="22"/>
                <w:szCs w:val="22"/>
                <w:lang w:val="fr-CA" w:eastAsia="ar-SA"/>
              </w:rPr>
            </w:pPr>
            <w:r w:rsidRPr="00715BD6">
              <w:rPr>
                <w:sz w:val="22"/>
                <w:szCs w:val="22"/>
                <w:lang w:val="fr-CA" w:eastAsia="ar-SA"/>
              </w:rPr>
              <w:t>CIDI/CP</w:t>
            </w:r>
          </w:p>
          <w:p w14:paraId="52D2C92A" w14:textId="746E5EA7" w:rsidR="0007403C" w:rsidRPr="00715BD6" w:rsidRDefault="0007403C" w:rsidP="009F38A3">
            <w:pPr>
              <w:suppressAutoHyphens/>
              <w:rPr>
                <w:sz w:val="22"/>
                <w:szCs w:val="22"/>
                <w:lang w:val="fr-CA" w:eastAsia="ar-SA"/>
              </w:rPr>
            </w:pPr>
            <w:r w:rsidRPr="00715BD6">
              <w:rPr>
                <w:sz w:val="22"/>
                <w:szCs w:val="22"/>
                <w:lang w:val="fr-CA" w:eastAsia="ar-SA"/>
              </w:rPr>
              <w:t>SEDI</w:t>
            </w:r>
          </w:p>
          <w:p w14:paraId="115EF169" w14:textId="68F5F8CA" w:rsidR="0007403C" w:rsidRPr="00715BD6" w:rsidRDefault="00002FC1" w:rsidP="009F38A3">
            <w:pPr>
              <w:suppressAutoHyphens/>
              <w:rPr>
                <w:sz w:val="22"/>
                <w:szCs w:val="22"/>
                <w:lang w:val="fr-CA" w:eastAsia="ar-SA"/>
              </w:rPr>
            </w:pPr>
            <w:r>
              <w:rPr>
                <w:sz w:val="22"/>
                <w:szCs w:val="22"/>
                <w:lang w:val="fr-CA" w:eastAsia="ar-SA"/>
              </w:rPr>
              <w:t>SADy</w:t>
            </w:r>
            <w:r w:rsidR="0007403C" w:rsidRPr="00715BD6">
              <w:rPr>
                <w:sz w:val="22"/>
                <w:szCs w:val="22"/>
                <w:lang w:val="fr-CA" w:eastAsia="ar-SA"/>
              </w:rPr>
              <w:t>E</w:t>
            </w:r>
          </w:p>
          <w:p w14:paraId="443A8BE5" w14:textId="787CEA92" w:rsidR="0007403C" w:rsidRPr="00715BD6" w:rsidRDefault="0007403C" w:rsidP="009F38A3">
            <w:pPr>
              <w:suppressAutoHyphens/>
              <w:rPr>
                <w:sz w:val="22"/>
                <w:szCs w:val="22"/>
                <w:lang w:val="fr-CA" w:eastAsia="ar-SA"/>
              </w:rPr>
            </w:pPr>
          </w:p>
        </w:tc>
      </w:tr>
    </w:tbl>
    <w:p w14:paraId="7AFA75B8" w14:textId="77777777" w:rsidR="00FE18BE" w:rsidRPr="00715BD6" w:rsidRDefault="00FE18BE" w:rsidP="00FE18BE">
      <w:pPr>
        <w:suppressAutoHyphens/>
        <w:jc w:val="both"/>
        <w:rPr>
          <w:b/>
          <w:sz w:val="22"/>
          <w:szCs w:val="22"/>
          <w:lang w:val="fr-CA" w:eastAsia="ar-SA"/>
        </w:rPr>
      </w:pPr>
    </w:p>
    <w:p w14:paraId="75831158" w14:textId="77777777" w:rsidR="00FE18BE" w:rsidRPr="00715BD6" w:rsidRDefault="00FE18BE" w:rsidP="00FE18BE">
      <w:pPr>
        <w:suppressAutoHyphens/>
        <w:jc w:val="both"/>
        <w:rPr>
          <w:sz w:val="22"/>
          <w:szCs w:val="22"/>
          <w:u w:val="single"/>
          <w:lang w:val="fr-CA" w:eastAsia="ar-SA"/>
        </w:rPr>
      </w:pPr>
    </w:p>
    <w:p w14:paraId="403D66C3" w14:textId="77777777" w:rsidR="00FE18BE" w:rsidRPr="00715BD6" w:rsidRDefault="00FE18BE" w:rsidP="00FE18BE">
      <w:pPr>
        <w:suppressAutoHyphens/>
        <w:ind w:left="720"/>
        <w:jc w:val="center"/>
        <w:rPr>
          <w:sz w:val="22"/>
          <w:szCs w:val="22"/>
          <w:u w:val="single"/>
          <w:lang w:val="fr-CA" w:eastAsia="ar-SA"/>
        </w:rPr>
        <w:sectPr w:rsidR="00FE18BE" w:rsidRPr="00715BD6" w:rsidSect="008214B6">
          <w:headerReference w:type="default" r:id="rId9"/>
          <w:headerReference w:type="first" r:id="rId10"/>
          <w:type w:val="oddPage"/>
          <w:pgSz w:w="15840" w:h="12240" w:orient="landscape" w:code="1"/>
          <w:pgMar w:top="2160" w:right="1570" w:bottom="1296" w:left="1699" w:header="1296" w:footer="1296" w:gutter="0"/>
          <w:pgNumType w:fmt="numberInDash"/>
          <w:cols w:space="720"/>
          <w:titlePg/>
          <w:docGrid w:linePitch="360"/>
        </w:sectPr>
      </w:pPr>
    </w:p>
    <w:p w14:paraId="0E9C222E" w14:textId="0912322A" w:rsidR="00FE18BE" w:rsidRPr="00715BD6" w:rsidRDefault="00FE18BE" w:rsidP="00FE18BE">
      <w:pPr>
        <w:suppressAutoHyphens/>
        <w:jc w:val="center"/>
        <w:rPr>
          <w:b/>
          <w:sz w:val="22"/>
          <w:szCs w:val="22"/>
          <w:lang w:val="fr-CA" w:eastAsia="ar-SA"/>
        </w:rPr>
      </w:pPr>
      <w:r w:rsidRPr="00715BD6">
        <w:rPr>
          <w:b/>
          <w:bCs/>
          <w:sz w:val="22"/>
          <w:szCs w:val="22"/>
          <w:lang w:val="fr-CA" w:eastAsia="ar-SA"/>
        </w:rPr>
        <w:lastRenderedPageBreak/>
        <w:t>ANNEX</w:t>
      </w:r>
      <w:r w:rsidR="00002FC1">
        <w:rPr>
          <w:b/>
          <w:bCs/>
          <w:sz w:val="22"/>
          <w:szCs w:val="22"/>
          <w:lang w:val="fr-CA" w:eastAsia="ar-SA"/>
        </w:rPr>
        <w:t>E</w:t>
      </w:r>
      <w:r w:rsidRPr="00715BD6">
        <w:rPr>
          <w:b/>
          <w:bCs/>
          <w:sz w:val="22"/>
          <w:szCs w:val="22"/>
          <w:lang w:val="fr-CA" w:eastAsia="ar-SA"/>
        </w:rPr>
        <w:t xml:space="preserve"> 2</w:t>
      </w:r>
    </w:p>
    <w:p w14:paraId="16D8024D" w14:textId="77777777" w:rsidR="00FE18BE" w:rsidRPr="00715BD6" w:rsidRDefault="00FE18BE" w:rsidP="00FE18BE">
      <w:pPr>
        <w:suppressAutoHyphens/>
        <w:rPr>
          <w:b/>
          <w:sz w:val="22"/>
          <w:szCs w:val="22"/>
          <w:lang w:val="fr-CA" w:eastAsia="ar-SA"/>
        </w:rPr>
      </w:pPr>
    </w:p>
    <w:p w14:paraId="77DCF14D" w14:textId="0E74CCF1" w:rsidR="00FE18BE" w:rsidRPr="00715BD6" w:rsidRDefault="00002FC1" w:rsidP="00FE18BE">
      <w:pPr>
        <w:suppressAutoHyphens/>
        <w:jc w:val="center"/>
        <w:rPr>
          <w:b/>
          <w:sz w:val="22"/>
          <w:szCs w:val="22"/>
          <w:lang w:val="fr-CA" w:eastAsia="ar-SA"/>
        </w:rPr>
      </w:pPr>
      <w:r>
        <w:rPr>
          <w:b/>
          <w:bCs/>
          <w:sz w:val="22"/>
          <w:szCs w:val="22"/>
          <w:lang w:val="fr-CA" w:eastAsia="ar-SA"/>
        </w:rPr>
        <w:t>CALENDRIER DES RÉUNIONS</w:t>
      </w:r>
      <w:r w:rsidR="00FE18BE" w:rsidRPr="00715BD6">
        <w:rPr>
          <w:b/>
          <w:sz w:val="22"/>
          <w:szCs w:val="22"/>
          <w:u w:val="single"/>
          <w:vertAlign w:val="superscript"/>
          <w:lang w:val="fr-CA" w:eastAsia="ar-SA"/>
        </w:rPr>
        <w:footnoteReference w:id="1"/>
      </w:r>
      <w:r w:rsidR="00FE18BE" w:rsidRPr="00715BD6">
        <w:rPr>
          <w:b/>
          <w:sz w:val="22"/>
          <w:szCs w:val="22"/>
          <w:vertAlign w:val="superscript"/>
          <w:lang w:val="fr-CA" w:eastAsia="ar-SA"/>
        </w:rPr>
        <w:t>/</w:t>
      </w:r>
      <w:r w:rsidR="00FE18BE" w:rsidRPr="00715BD6">
        <w:rPr>
          <w:b/>
          <w:bCs/>
          <w:sz w:val="22"/>
          <w:szCs w:val="22"/>
          <w:lang w:val="fr-CA" w:eastAsia="ar-SA"/>
        </w:rPr>
        <w:t xml:space="preserve"> </w:t>
      </w:r>
    </w:p>
    <w:p w14:paraId="7222130D" w14:textId="50E202D0" w:rsidR="00FE18BE" w:rsidRPr="00715BD6" w:rsidRDefault="00002FC1" w:rsidP="00FE18BE">
      <w:pPr>
        <w:suppressAutoHyphens/>
        <w:jc w:val="center"/>
        <w:rPr>
          <w:b/>
          <w:sz w:val="22"/>
          <w:szCs w:val="22"/>
          <w:lang w:val="fr-CA" w:eastAsia="ar-SA"/>
        </w:rPr>
      </w:pPr>
      <w:r>
        <w:rPr>
          <w:b/>
          <w:bCs/>
          <w:sz w:val="22"/>
          <w:szCs w:val="22"/>
          <w:lang w:val="fr-CA" w:eastAsia="ar-SA"/>
        </w:rPr>
        <w:t>DE LA COMMISSION POUR LA PÉRIODE ALLANT DE FÉVRIER À NOVEMBRE</w:t>
      </w:r>
      <w:r w:rsidR="008F2480" w:rsidRPr="00715BD6">
        <w:rPr>
          <w:b/>
          <w:bCs/>
          <w:sz w:val="22"/>
          <w:szCs w:val="22"/>
          <w:lang w:val="fr-CA" w:eastAsia="ar-SA"/>
        </w:rPr>
        <w:t xml:space="preserve"> </w:t>
      </w:r>
      <w:r w:rsidR="00FE18BE" w:rsidRPr="00715BD6">
        <w:rPr>
          <w:b/>
          <w:bCs/>
          <w:sz w:val="22"/>
          <w:szCs w:val="22"/>
          <w:lang w:val="fr-CA" w:eastAsia="ar-SA"/>
        </w:rPr>
        <w:t>202</w:t>
      </w:r>
      <w:r w:rsidR="008F2480" w:rsidRPr="00715BD6">
        <w:rPr>
          <w:b/>
          <w:bCs/>
          <w:sz w:val="22"/>
          <w:szCs w:val="22"/>
          <w:lang w:val="fr-CA" w:eastAsia="ar-SA"/>
        </w:rPr>
        <w:t>1</w:t>
      </w:r>
    </w:p>
    <w:p w14:paraId="2041D222" w14:textId="77777777" w:rsidR="00FE18BE" w:rsidRPr="00715BD6" w:rsidRDefault="00FE18BE" w:rsidP="00FE18BE">
      <w:pPr>
        <w:suppressAutoHyphens/>
        <w:rPr>
          <w:b/>
          <w:sz w:val="22"/>
          <w:szCs w:val="22"/>
          <w:lang w:val="fr-CA" w:eastAsia="ar-SA"/>
        </w:rPr>
      </w:pPr>
    </w:p>
    <w:p w14:paraId="1827384C" w14:textId="3F82F199" w:rsidR="00FE18BE" w:rsidRPr="00715BD6" w:rsidRDefault="00FE18BE" w:rsidP="00FE18BE">
      <w:pPr>
        <w:suppressAutoHyphens/>
        <w:jc w:val="both"/>
        <w:rPr>
          <w:sz w:val="22"/>
          <w:szCs w:val="22"/>
          <w:lang w:val="fr-CA" w:eastAsia="ar-SA"/>
        </w:rPr>
      </w:pPr>
      <w:r w:rsidRPr="00715BD6">
        <w:rPr>
          <w:sz w:val="22"/>
          <w:szCs w:val="22"/>
          <w:lang w:val="fr-CA" w:eastAsia="ar-SA"/>
        </w:rPr>
        <w:tab/>
      </w:r>
      <w:r w:rsidR="00002FC1">
        <w:rPr>
          <w:sz w:val="22"/>
          <w:szCs w:val="22"/>
          <w:lang w:val="fr-CA" w:eastAsia="ar-SA"/>
        </w:rPr>
        <w:t>L</w:t>
      </w:r>
      <w:r w:rsidR="00230B97">
        <w:rPr>
          <w:sz w:val="22"/>
          <w:szCs w:val="22"/>
          <w:lang w:val="fr-CA" w:eastAsia="ar-SA"/>
        </w:rPr>
        <w:t>e</w:t>
      </w:r>
      <w:r w:rsidR="00002FC1">
        <w:rPr>
          <w:sz w:val="22"/>
          <w:szCs w:val="22"/>
          <w:lang w:val="fr-CA" w:eastAsia="ar-SA"/>
        </w:rPr>
        <w:t xml:space="preserve"> présent calendrier des réunions peut être modifié au besoin</w:t>
      </w:r>
      <w:r w:rsidR="00230B97">
        <w:rPr>
          <w:sz w:val="22"/>
          <w:szCs w:val="22"/>
          <w:lang w:val="fr-CA" w:eastAsia="ar-SA"/>
        </w:rPr>
        <w:t xml:space="preserve"> selon les résultats du suivi des sujets contenus dans le présent Plan de travail et pour traiter de toute autre question qui pourrait être confiée à la Commission pour examen, selon les dispositions de l’article </w:t>
      </w:r>
      <w:r w:rsidRPr="00715BD6">
        <w:rPr>
          <w:sz w:val="22"/>
          <w:szCs w:val="22"/>
          <w:lang w:val="fr-CA" w:eastAsia="ar-SA"/>
        </w:rPr>
        <w:t>56</w:t>
      </w:r>
      <w:r w:rsidR="00230B97">
        <w:rPr>
          <w:sz w:val="22"/>
          <w:szCs w:val="22"/>
          <w:lang w:val="fr-CA" w:eastAsia="ar-SA"/>
        </w:rPr>
        <w:t xml:space="preserve"> du Règlement régissant les réunions ordinaires et les réunions extraordinaires du</w:t>
      </w:r>
      <w:r w:rsidRPr="00715BD6">
        <w:rPr>
          <w:sz w:val="22"/>
          <w:szCs w:val="22"/>
          <w:lang w:val="fr-CA" w:eastAsia="ar-SA"/>
        </w:rPr>
        <w:t xml:space="preserve"> CIDI.</w:t>
      </w:r>
    </w:p>
    <w:p w14:paraId="33A77C33" w14:textId="77777777" w:rsidR="00FE18BE" w:rsidRPr="00715BD6" w:rsidRDefault="00FE18BE" w:rsidP="00FE18BE">
      <w:pPr>
        <w:suppressAutoHyphens/>
        <w:jc w:val="both"/>
        <w:rPr>
          <w:sz w:val="22"/>
          <w:szCs w:val="22"/>
          <w:lang w:val="fr-CA" w:eastAsia="ar-SA"/>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6664"/>
      </w:tblGrid>
      <w:tr w:rsidR="00FE18BE" w:rsidRPr="00715BD6" w14:paraId="2F6B133C" w14:textId="77777777" w:rsidTr="00604D1D">
        <w:trPr>
          <w:tblHeader/>
          <w:jc w:val="center"/>
        </w:trPr>
        <w:tc>
          <w:tcPr>
            <w:tcW w:w="2554" w:type="dxa"/>
            <w:shd w:val="pct20" w:color="auto" w:fill="auto"/>
            <w:vAlign w:val="center"/>
          </w:tcPr>
          <w:p w14:paraId="3B547A08" w14:textId="2884526A" w:rsidR="00FE18BE" w:rsidRPr="00715BD6" w:rsidRDefault="00FE18BE" w:rsidP="00230B97">
            <w:pPr>
              <w:suppressAutoHyphens/>
              <w:jc w:val="center"/>
              <w:rPr>
                <w:b/>
                <w:sz w:val="22"/>
                <w:szCs w:val="22"/>
                <w:lang w:val="fr-CA" w:eastAsia="ar-SA"/>
              </w:rPr>
            </w:pPr>
            <w:r w:rsidRPr="00715BD6">
              <w:rPr>
                <w:b/>
                <w:bCs/>
                <w:sz w:val="22"/>
                <w:szCs w:val="22"/>
                <w:lang w:val="fr-CA" w:eastAsia="ar-SA"/>
              </w:rPr>
              <w:t>Date</w:t>
            </w:r>
            <w:r w:rsidR="00230B97">
              <w:rPr>
                <w:b/>
                <w:bCs/>
                <w:sz w:val="22"/>
                <w:szCs w:val="22"/>
                <w:lang w:val="fr-CA" w:eastAsia="ar-SA"/>
              </w:rPr>
              <w:t xml:space="preserve"> et heure</w:t>
            </w:r>
          </w:p>
        </w:tc>
        <w:tc>
          <w:tcPr>
            <w:tcW w:w="6664" w:type="dxa"/>
            <w:shd w:val="pct20" w:color="auto" w:fill="auto"/>
            <w:vAlign w:val="center"/>
          </w:tcPr>
          <w:p w14:paraId="32DA6604" w14:textId="442D83EC" w:rsidR="00FE18BE" w:rsidRPr="00715BD6" w:rsidRDefault="00230B97" w:rsidP="00FE18BE">
            <w:pPr>
              <w:suppressLineNumbers/>
              <w:suppressAutoHyphens/>
              <w:snapToGrid w:val="0"/>
              <w:jc w:val="center"/>
              <w:rPr>
                <w:b/>
                <w:sz w:val="22"/>
                <w:szCs w:val="22"/>
                <w:lang w:val="fr-CA" w:eastAsia="ar-SA"/>
              </w:rPr>
            </w:pPr>
            <w:r>
              <w:rPr>
                <w:b/>
                <w:bCs/>
                <w:sz w:val="22"/>
                <w:szCs w:val="22"/>
                <w:lang w:val="fr-CA" w:eastAsia="ar-SA"/>
              </w:rPr>
              <w:t>Sujets</w:t>
            </w:r>
          </w:p>
          <w:p w14:paraId="7F886A83" w14:textId="77777777" w:rsidR="00FE18BE" w:rsidRPr="00715BD6" w:rsidRDefault="00FE18BE" w:rsidP="00FE18BE">
            <w:pPr>
              <w:suppressLineNumbers/>
              <w:suppressAutoHyphens/>
              <w:snapToGrid w:val="0"/>
              <w:jc w:val="center"/>
              <w:rPr>
                <w:b/>
                <w:sz w:val="22"/>
                <w:szCs w:val="22"/>
                <w:lang w:val="fr-CA" w:eastAsia="ar-SA"/>
              </w:rPr>
            </w:pPr>
          </w:p>
        </w:tc>
      </w:tr>
      <w:tr w:rsidR="00FE18BE" w:rsidRPr="00715BD6" w14:paraId="75E25F11" w14:textId="77777777" w:rsidTr="008214B6">
        <w:trPr>
          <w:jc w:val="center"/>
        </w:trPr>
        <w:tc>
          <w:tcPr>
            <w:tcW w:w="2554" w:type="dxa"/>
            <w:shd w:val="clear" w:color="auto" w:fill="auto"/>
          </w:tcPr>
          <w:p w14:paraId="5FE6FA5C" w14:textId="793B1CC9" w:rsidR="00FE18BE" w:rsidRPr="00715BD6" w:rsidRDefault="00230B97" w:rsidP="00FE18BE">
            <w:pPr>
              <w:suppressAutoHyphens/>
              <w:rPr>
                <w:sz w:val="22"/>
                <w:szCs w:val="22"/>
                <w:lang w:val="fr-CA" w:eastAsia="ar-SA"/>
              </w:rPr>
            </w:pPr>
            <w:r>
              <w:rPr>
                <w:sz w:val="22"/>
                <w:szCs w:val="22"/>
                <w:lang w:val="fr-CA" w:eastAsia="ar-SA"/>
              </w:rPr>
              <w:t>mardi</w:t>
            </w:r>
          </w:p>
          <w:p w14:paraId="3B1F879E" w14:textId="71490537" w:rsidR="00FE18BE" w:rsidRPr="00715BD6" w:rsidRDefault="00230B97" w:rsidP="00FE18BE">
            <w:pPr>
              <w:suppressAutoHyphens/>
              <w:rPr>
                <w:sz w:val="22"/>
                <w:szCs w:val="22"/>
                <w:lang w:val="fr-CA" w:eastAsia="ar-SA"/>
              </w:rPr>
            </w:pPr>
            <w:r>
              <w:rPr>
                <w:sz w:val="22"/>
                <w:szCs w:val="22"/>
                <w:lang w:val="fr-CA" w:eastAsia="ar-SA"/>
              </w:rPr>
              <w:t>16 février</w:t>
            </w:r>
          </w:p>
          <w:p w14:paraId="43A29D54" w14:textId="5D93CA9E" w:rsidR="00FE18BE" w:rsidRPr="00715BD6" w:rsidRDefault="00230B97" w:rsidP="00FE18BE">
            <w:pPr>
              <w:suppressAutoHyphens/>
              <w:rPr>
                <w:sz w:val="22"/>
                <w:szCs w:val="22"/>
                <w:lang w:val="fr-CA" w:eastAsia="ar-SA"/>
              </w:rPr>
            </w:pPr>
            <w:r>
              <w:rPr>
                <w:sz w:val="22"/>
                <w:szCs w:val="22"/>
                <w:lang w:val="fr-CA" w:eastAsia="ar-SA"/>
              </w:rPr>
              <w:t>14 h </w:t>
            </w:r>
            <w:r w:rsidR="009F297A" w:rsidRPr="00715BD6">
              <w:rPr>
                <w:sz w:val="22"/>
                <w:szCs w:val="22"/>
                <w:lang w:val="fr-CA" w:eastAsia="ar-SA"/>
              </w:rPr>
              <w:t>3</w:t>
            </w:r>
            <w:r w:rsidR="00FE18BE" w:rsidRPr="00715BD6">
              <w:rPr>
                <w:sz w:val="22"/>
                <w:szCs w:val="22"/>
                <w:lang w:val="fr-CA" w:eastAsia="ar-SA"/>
              </w:rPr>
              <w:t xml:space="preserve">0 </w:t>
            </w:r>
            <w:r w:rsidR="00236E63" w:rsidRPr="00715BD6">
              <w:rPr>
                <w:sz w:val="22"/>
                <w:szCs w:val="22"/>
                <w:lang w:val="fr-CA" w:eastAsia="ar-SA"/>
              </w:rPr>
              <w:t>–</w:t>
            </w:r>
            <w:r w:rsidR="0007403C" w:rsidRPr="00715BD6">
              <w:rPr>
                <w:sz w:val="22"/>
                <w:szCs w:val="22"/>
                <w:lang w:val="fr-CA" w:eastAsia="ar-SA"/>
              </w:rPr>
              <w:t xml:space="preserve"> </w:t>
            </w:r>
            <w:r>
              <w:rPr>
                <w:sz w:val="22"/>
                <w:szCs w:val="22"/>
                <w:lang w:val="fr-CA" w:eastAsia="ar-SA"/>
              </w:rPr>
              <w:t>14 h </w:t>
            </w:r>
            <w:r w:rsidR="00236E63" w:rsidRPr="00715BD6">
              <w:rPr>
                <w:sz w:val="22"/>
                <w:szCs w:val="22"/>
                <w:lang w:val="fr-CA" w:eastAsia="ar-SA"/>
              </w:rPr>
              <w:t>45</w:t>
            </w:r>
            <w:r w:rsidR="00604D1D" w:rsidRPr="00715BD6">
              <w:rPr>
                <w:sz w:val="22"/>
                <w:szCs w:val="22"/>
                <w:lang w:val="fr-CA" w:eastAsia="ar-SA"/>
              </w:rPr>
              <w:t xml:space="preserve"> </w:t>
            </w:r>
          </w:p>
          <w:p w14:paraId="507A6CB1" w14:textId="69DBF7BF" w:rsidR="00FE18BE" w:rsidRPr="00715BD6" w:rsidRDefault="00FE18BE" w:rsidP="00FE18BE">
            <w:pPr>
              <w:suppressAutoHyphens/>
              <w:rPr>
                <w:sz w:val="22"/>
                <w:szCs w:val="22"/>
                <w:lang w:val="fr-CA" w:eastAsia="ar-SA"/>
              </w:rPr>
            </w:pPr>
          </w:p>
        </w:tc>
        <w:tc>
          <w:tcPr>
            <w:tcW w:w="6664" w:type="dxa"/>
            <w:shd w:val="clear" w:color="auto" w:fill="auto"/>
          </w:tcPr>
          <w:p w14:paraId="03A89F97" w14:textId="47360776" w:rsidR="00FE18BE" w:rsidRPr="00715BD6" w:rsidRDefault="00517856" w:rsidP="00FE18BE">
            <w:pPr>
              <w:numPr>
                <w:ilvl w:val="0"/>
                <w:numId w:val="2"/>
              </w:numPr>
              <w:suppressLineNumbers/>
              <w:tabs>
                <w:tab w:val="left" w:pos="221"/>
                <w:tab w:val="left" w:pos="1440"/>
              </w:tabs>
              <w:suppressAutoHyphens/>
              <w:snapToGrid w:val="0"/>
              <w:ind w:left="221" w:hanging="221"/>
              <w:rPr>
                <w:bCs/>
                <w:sz w:val="22"/>
                <w:szCs w:val="22"/>
                <w:lang w:val="fr-CA" w:eastAsia="ar-SA"/>
              </w:rPr>
            </w:pPr>
            <w:r w:rsidRPr="00715BD6">
              <w:rPr>
                <w:bCs/>
                <w:sz w:val="22"/>
                <w:szCs w:val="22"/>
                <w:lang w:val="fr-CA" w:eastAsia="ar-SA"/>
              </w:rPr>
              <w:t>N</w:t>
            </w:r>
            <w:r w:rsidR="00604D1D" w:rsidRPr="00715BD6">
              <w:rPr>
                <w:bCs/>
                <w:sz w:val="22"/>
                <w:szCs w:val="22"/>
                <w:lang w:val="fr-CA" w:eastAsia="ar-SA"/>
              </w:rPr>
              <w:t>ominations</w:t>
            </w:r>
            <w:r w:rsidR="00230B97">
              <w:rPr>
                <w:bCs/>
                <w:sz w:val="22"/>
                <w:szCs w:val="22"/>
                <w:lang w:val="fr-CA" w:eastAsia="ar-SA"/>
              </w:rPr>
              <w:t xml:space="preserve"> au poste de Vice-président(e)</w:t>
            </w:r>
          </w:p>
          <w:p w14:paraId="483D61EB" w14:textId="052D0E08" w:rsidR="00FE18BE" w:rsidRPr="00715BD6" w:rsidRDefault="00230B97" w:rsidP="00230B97">
            <w:pPr>
              <w:numPr>
                <w:ilvl w:val="0"/>
                <w:numId w:val="2"/>
              </w:numPr>
              <w:suppressLineNumbers/>
              <w:tabs>
                <w:tab w:val="left" w:pos="221"/>
              </w:tabs>
              <w:suppressAutoHyphens/>
              <w:snapToGrid w:val="0"/>
              <w:ind w:left="221" w:hanging="221"/>
              <w:rPr>
                <w:bCs/>
                <w:sz w:val="22"/>
                <w:szCs w:val="22"/>
                <w:lang w:val="fr-CA" w:eastAsia="ar-SA"/>
              </w:rPr>
            </w:pPr>
            <w:r>
              <w:rPr>
                <w:bCs/>
                <w:sz w:val="22"/>
                <w:szCs w:val="22"/>
                <w:lang w:val="fr-CA" w:eastAsia="ar-SA"/>
              </w:rPr>
              <w:t>Autres questions</w:t>
            </w:r>
          </w:p>
        </w:tc>
      </w:tr>
      <w:tr w:rsidR="00236E63" w:rsidRPr="00715BD6" w14:paraId="2F50F8C2" w14:textId="77777777" w:rsidTr="008214B6">
        <w:trPr>
          <w:jc w:val="center"/>
        </w:trPr>
        <w:tc>
          <w:tcPr>
            <w:tcW w:w="2554" w:type="dxa"/>
            <w:shd w:val="clear" w:color="auto" w:fill="auto"/>
          </w:tcPr>
          <w:p w14:paraId="6D4497C2" w14:textId="6D25AA1C" w:rsidR="00236E63" w:rsidRPr="00715BD6" w:rsidRDefault="00567309" w:rsidP="00236E63">
            <w:pPr>
              <w:suppressAutoHyphens/>
              <w:rPr>
                <w:sz w:val="22"/>
                <w:szCs w:val="22"/>
                <w:lang w:val="fr-CA" w:eastAsia="ar-SA"/>
              </w:rPr>
            </w:pPr>
            <w:r>
              <w:rPr>
                <w:sz w:val="22"/>
                <w:szCs w:val="22"/>
                <w:lang w:val="fr-CA" w:eastAsia="ar-SA"/>
              </w:rPr>
              <w:t>mardi</w:t>
            </w:r>
          </w:p>
          <w:p w14:paraId="7B7EEFC6" w14:textId="3C02C868" w:rsidR="00236E63" w:rsidRPr="00715BD6" w:rsidRDefault="00567309" w:rsidP="00236E63">
            <w:pPr>
              <w:suppressAutoHyphens/>
              <w:rPr>
                <w:sz w:val="22"/>
                <w:szCs w:val="22"/>
                <w:lang w:val="fr-CA" w:eastAsia="ar-SA"/>
              </w:rPr>
            </w:pPr>
            <w:r>
              <w:rPr>
                <w:sz w:val="22"/>
                <w:szCs w:val="22"/>
                <w:lang w:val="fr-CA" w:eastAsia="ar-SA"/>
              </w:rPr>
              <w:t>16 février</w:t>
            </w:r>
          </w:p>
          <w:p w14:paraId="4FC17A56" w14:textId="53C4C45B" w:rsidR="00236E63" w:rsidRPr="00715BD6" w:rsidRDefault="00567309" w:rsidP="00236E63">
            <w:pPr>
              <w:suppressAutoHyphens/>
              <w:rPr>
                <w:sz w:val="22"/>
                <w:szCs w:val="22"/>
                <w:lang w:val="fr-CA" w:eastAsia="ar-SA"/>
              </w:rPr>
            </w:pPr>
            <w:r>
              <w:rPr>
                <w:sz w:val="22"/>
                <w:szCs w:val="22"/>
                <w:lang w:val="fr-CA" w:eastAsia="ar-SA"/>
              </w:rPr>
              <w:t>14 h 45 – 17 h 30</w:t>
            </w:r>
          </w:p>
          <w:p w14:paraId="218CEB06" w14:textId="77777777" w:rsidR="00236E63" w:rsidRPr="00715BD6" w:rsidRDefault="00236E63" w:rsidP="00FE18BE">
            <w:pPr>
              <w:suppressAutoHyphens/>
              <w:rPr>
                <w:sz w:val="22"/>
                <w:szCs w:val="22"/>
                <w:lang w:val="fr-CA" w:eastAsia="ar-SA"/>
              </w:rPr>
            </w:pPr>
          </w:p>
        </w:tc>
        <w:tc>
          <w:tcPr>
            <w:tcW w:w="6664" w:type="dxa"/>
            <w:shd w:val="clear" w:color="auto" w:fill="auto"/>
          </w:tcPr>
          <w:p w14:paraId="56568A8C" w14:textId="761D0F6A" w:rsidR="00236E63" w:rsidRPr="00715BD6" w:rsidRDefault="00261492" w:rsidP="00236E63">
            <w:pPr>
              <w:numPr>
                <w:ilvl w:val="0"/>
                <w:numId w:val="2"/>
              </w:numPr>
              <w:suppressLineNumbers/>
              <w:tabs>
                <w:tab w:val="left" w:pos="221"/>
                <w:tab w:val="left" w:pos="1440"/>
              </w:tabs>
              <w:suppressAutoHyphens/>
              <w:snapToGrid w:val="0"/>
              <w:ind w:left="221" w:hanging="221"/>
              <w:rPr>
                <w:bCs/>
                <w:sz w:val="22"/>
                <w:szCs w:val="22"/>
                <w:lang w:val="fr-CA" w:eastAsia="ar-SA"/>
              </w:rPr>
            </w:pPr>
            <w:r>
              <w:rPr>
                <w:bCs/>
                <w:sz w:val="22"/>
                <w:szCs w:val="22"/>
                <w:lang w:val="fr-CA" w:eastAsia="ar-SA"/>
              </w:rPr>
              <w:t>É</w:t>
            </w:r>
            <w:r w:rsidR="00236E63" w:rsidRPr="00715BD6">
              <w:rPr>
                <w:bCs/>
                <w:sz w:val="22"/>
                <w:szCs w:val="22"/>
                <w:lang w:val="fr-CA" w:eastAsia="ar-SA"/>
              </w:rPr>
              <w:t>lection</w:t>
            </w:r>
            <w:r>
              <w:rPr>
                <w:bCs/>
                <w:sz w:val="22"/>
                <w:szCs w:val="22"/>
                <w:lang w:val="fr-CA" w:eastAsia="ar-SA"/>
              </w:rPr>
              <w:t xml:space="preserve"> de la vice-présidence</w:t>
            </w:r>
          </w:p>
          <w:p w14:paraId="510E0C80" w14:textId="5D632C45" w:rsidR="00236E63" w:rsidRPr="00715BD6" w:rsidRDefault="00261492" w:rsidP="00236E63">
            <w:pPr>
              <w:numPr>
                <w:ilvl w:val="0"/>
                <w:numId w:val="4"/>
              </w:numPr>
              <w:suppressLineNumbers/>
              <w:tabs>
                <w:tab w:val="num" w:pos="229"/>
                <w:tab w:val="left" w:pos="1440"/>
              </w:tabs>
              <w:suppressAutoHyphens/>
              <w:snapToGrid w:val="0"/>
              <w:ind w:left="769" w:hanging="769"/>
              <w:rPr>
                <w:sz w:val="22"/>
                <w:szCs w:val="22"/>
                <w:lang w:val="fr-CA"/>
              </w:rPr>
            </w:pPr>
            <w:r>
              <w:rPr>
                <w:bCs/>
                <w:sz w:val="22"/>
                <w:szCs w:val="22"/>
                <w:lang w:val="fr-CA"/>
              </w:rPr>
              <w:t>Exposé sur le projet de plan de travail de la Commission</w:t>
            </w:r>
          </w:p>
          <w:p w14:paraId="23027D11" w14:textId="6323067F" w:rsidR="00236E63" w:rsidRPr="00715BD6" w:rsidRDefault="00261492" w:rsidP="00236E63">
            <w:pPr>
              <w:numPr>
                <w:ilvl w:val="0"/>
                <w:numId w:val="2"/>
              </w:numPr>
              <w:suppressLineNumbers/>
              <w:tabs>
                <w:tab w:val="left" w:pos="221"/>
                <w:tab w:val="left" w:pos="1440"/>
              </w:tabs>
              <w:suppressAutoHyphens/>
              <w:snapToGrid w:val="0"/>
              <w:ind w:left="221" w:hanging="221"/>
              <w:rPr>
                <w:bCs/>
                <w:sz w:val="22"/>
                <w:szCs w:val="22"/>
                <w:lang w:val="fr-CA"/>
              </w:rPr>
            </w:pPr>
            <w:r>
              <w:rPr>
                <w:bCs/>
                <w:sz w:val="22"/>
                <w:szCs w:val="22"/>
                <w:lang w:val="fr-CA"/>
              </w:rPr>
              <w:t>Exposé sur l’état d’avancement des travaux dans les domaines thématiques du</w:t>
            </w:r>
            <w:r w:rsidR="00236E63" w:rsidRPr="00715BD6">
              <w:rPr>
                <w:bCs/>
                <w:sz w:val="22"/>
                <w:szCs w:val="22"/>
                <w:lang w:val="fr-CA"/>
              </w:rPr>
              <w:t xml:space="preserve"> CIDI</w:t>
            </w:r>
            <w:r>
              <w:rPr>
                <w:bCs/>
                <w:sz w:val="22"/>
                <w:szCs w:val="22"/>
                <w:lang w:val="fr-CA"/>
              </w:rPr>
              <w:t> </w:t>
            </w:r>
            <w:r w:rsidR="00236E63" w:rsidRPr="00715BD6">
              <w:rPr>
                <w:bCs/>
                <w:sz w:val="22"/>
                <w:szCs w:val="22"/>
                <w:lang w:val="fr-CA"/>
              </w:rPr>
              <w:t>:</w:t>
            </w:r>
          </w:p>
          <w:p w14:paraId="4D77101A" w14:textId="12F3B62A" w:rsidR="00236E63" w:rsidRPr="00715BD6" w:rsidRDefault="00261492" w:rsidP="00236E63">
            <w:pPr>
              <w:pStyle w:val="ListParagraph"/>
              <w:numPr>
                <w:ilvl w:val="4"/>
                <w:numId w:val="4"/>
              </w:numPr>
              <w:tabs>
                <w:tab w:val="num" w:pos="522"/>
                <w:tab w:val="num" w:pos="2340"/>
              </w:tabs>
              <w:suppressAutoHyphens/>
              <w:snapToGrid w:val="0"/>
              <w:ind w:hanging="4464"/>
              <w:rPr>
                <w:sz w:val="22"/>
                <w:szCs w:val="22"/>
                <w:lang w:val="fr-CA"/>
              </w:rPr>
            </w:pPr>
            <w:r>
              <w:rPr>
                <w:sz w:val="22"/>
                <w:szCs w:val="22"/>
                <w:lang w:val="fr-CA"/>
              </w:rPr>
              <w:t>Travail</w:t>
            </w:r>
          </w:p>
          <w:p w14:paraId="4E140030" w14:textId="7DE7C396" w:rsidR="00517856" w:rsidRPr="00715BD6" w:rsidRDefault="00517856" w:rsidP="00517856">
            <w:pPr>
              <w:pStyle w:val="ListParagraph"/>
              <w:numPr>
                <w:ilvl w:val="4"/>
                <w:numId w:val="4"/>
              </w:numPr>
              <w:tabs>
                <w:tab w:val="num" w:pos="522"/>
                <w:tab w:val="num" w:pos="2340"/>
              </w:tabs>
              <w:suppressAutoHyphens/>
              <w:snapToGrid w:val="0"/>
              <w:ind w:hanging="4464"/>
              <w:rPr>
                <w:sz w:val="22"/>
                <w:szCs w:val="22"/>
                <w:lang w:val="fr-CA"/>
              </w:rPr>
            </w:pPr>
            <w:r w:rsidRPr="00715BD6">
              <w:rPr>
                <w:sz w:val="22"/>
                <w:szCs w:val="22"/>
                <w:lang w:val="fr-CA"/>
              </w:rPr>
              <w:t>Science</w:t>
            </w:r>
            <w:r w:rsidR="00261492">
              <w:rPr>
                <w:sz w:val="22"/>
                <w:szCs w:val="22"/>
                <w:lang w:val="fr-CA"/>
              </w:rPr>
              <w:t xml:space="preserve"> et technologie</w:t>
            </w:r>
          </w:p>
          <w:p w14:paraId="6BB18C36" w14:textId="45DECDBE" w:rsidR="00236E63" w:rsidRPr="00715BD6" w:rsidRDefault="00261492" w:rsidP="00236E63">
            <w:pPr>
              <w:pStyle w:val="ListParagraph"/>
              <w:numPr>
                <w:ilvl w:val="4"/>
                <w:numId w:val="4"/>
              </w:numPr>
              <w:tabs>
                <w:tab w:val="num" w:pos="522"/>
                <w:tab w:val="num" w:pos="2340"/>
              </w:tabs>
              <w:suppressAutoHyphens/>
              <w:snapToGrid w:val="0"/>
              <w:ind w:hanging="4464"/>
              <w:rPr>
                <w:sz w:val="22"/>
                <w:szCs w:val="22"/>
                <w:lang w:val="fr-CA"/>
              </w:rPr>
            </w:pPr>
            <w:r>
              <w:rPr>
                <w:sz w:val="22"/>
                <w:szCs w:val="22"/>
                <w:lang w:val="fr-CA"/>
              </w:rPr>
              <w:t>Développement social</w:t>
            </w:r>
          </w:p>
          <w:p w14:paraId="3C15475F" w14:textId="68DE8E90" w:rsidR="00236E63" w:rsidRPr="00715BD6" w:rsidRDefault="00261492" w:rsidP="00236E63">
            <w:pPr>
              <w:numPr>
                <w:ilvl w:val="0"/>
                <w:numId w:val="2"/>
              </w:numPr>
              <w:suppressLineNumbers/>
              <w:tabs>
                <w:tab w:val="left" w:pos="221"/>
                <w:tab w:val="left" w:pos="1440"/>
              </w:tabs>
              <w:suppressAutoHyphens/>
              <w:snapToGrid w:val="0"/>
              <w:ind w:left="221" w:hanging="221"/>
              <w:rPr>
                <w:bCs/>
                <w:sz w:val="22"/>
                <w:szCs w:val="22"/>
                <w:lang w:val="fr-CA" w:eastAsia="ar-SA"/>
              </w:rPr>
            </w:pPr>
            <w:r>
              <w:rPr>
                <w:bCs/>
                <w:sz w:val="22"/>
                <w:szCs w:val="22"/>
                <w:lang w:val="fr-CA" w:eastAsia="ar-SA"/>
              </w:rPr>
              <w:t>Autres questions</w:t>
            </w:r>
          </w:p>
          <w:p w14:paraId="36211C8C" w14:textId="6557BC47" w:rsidR="00604D1D" w:rsidRPr="00715BD6" w:rsidRDefault="00604D1D" w:rsidP="00604D1D">
            <w:pPr>
              <w:suppressLineNumbers/>
              <w:tabs>
                <w:tab w:val="left" w:pos="221"/>
                <w:tab w:val="left" w:pos="1440"/>
              </w:tabs>
              <w:suppressAutoHyphens/>
              <w:snapToGrid w:val="0"/>
              <w:ind w:left="221"/>
              <w:rPr>
                <w:bCs/>
                <w:sz w:val="22"/>
                <w:szCs w:val="22"/>
                <w:lang w:val="fr-CA" w:eastAsia="ar-SA"/>
              </w:rPr>
            </w:pPr>
          </w:p>
        </w:tc>
      </w:tr>
      <w:tr w:rsidR="00FE18BE" w:rsidRPr="00715BD6" w14:paraId="46CCAC79" w14:textId="77777777" w:rsidTr="008214B6">
        <w:trPr>
          <w:jc w:val="center"/>
        </w:trPr>
        <w:tc>
          <w:tcPr>
            <w:tcW w:w="2554" w:type="dxa"/>
            <w:shd w:val="clear" w:color="auto" w:fill="auto"/>
          </w:tcPr>
          <w:p w14:paraId="0C81D216" w14:textId="2CF10786" w:rsidR="009F297A" w:rsidRPr="00715BD6" w:rsidRDefault="00567309" w:rsidP="00FE18BE">
            <w:pPr>
              <w:suppressAutoHyphens/>
              <w:rPr>
                <w:sz w:val="22"/>
                <w:szCs w:val="22"/>
                <w:lang w:val="fr-CA" w:eastAsia="ar-SA"/>
              </w:rPr>
            </w:pPr>
            <w:r>
              <w:rPr>
                <w:sz w:val="22"/>
                <w:szCs w:val="22"/>
                <w:lang w:val="fr-CA" w:eastAsia="ar-SA"/>
              </w:rPr>
              <w:t>mercredi</w:t>
            </w:r>
            <w:r w:rsidR="009F297A" w:rsidRPr="00715BD6">
              <w:rPr>
                <w:sz w:val="22"/>
                <w:szCs w:val="22"/>
                <w:lang w:val="fr-CA" w:eastAsia="ar-SA"/>
              </w:rPr>
              <w:t xml:space="preserve"> </w:t>
            </w:r>
          </w:p>
          <w:p w14:paraId="028F4597" w14:textId="7452950A" w:rsidR="009F297A" w:rsidRPr="00715BD6" w:rsidRDefault="00567309" w:rsidP="00FE18BE">
            <w:pPr>
              <w:suppressAutoHyphens/>
              <w:rPr>
                <w:sz w:val="22"/>
                <w:szCs w:val="22"/>
                <w:lang w:val="fr-CA" w:eastAsia="ar-SA"/>
              </w:rPr>
            </w:pPr>
            <w:r>
              <w:rPr>
                <w:sz w:val="22"/>
                <w:szCs w:val="22"/>
                <w:lang w:val="fr-CA" w:eastAsia="ar-SA"/>
              </w:rPr>
              <w:t>17 mars</w:t>
            </w:r>
          </w:p>
          <w:p w14:paraId="0FB69725" w14:textId="2D04BFF0" w:rsidR="009F297A" w:rsidRPr="00715BD6" w:rsidRDefault="00567309" w:rsidP="009F297A">
            <w:pPr>
              <w:suppressAutoHyphens/>
              <w:rPr>
                <w:sz w:val="22"/>
                <w:szCs w:val="22"/>
                <w:lang w:val="fr-CA" w:eastAsia="ar-SA"/>
              </w:rPr>
            </w:pPr>
            <w:r>
              <w:rPr>
                <w:sz w:val="22"/>
                <w:szCs w:val="22"/>
                <w:lang w:val="fr-CA" w:eastAsia="ar-SA"/>
              </w:rPr>
              <w:t>14 h </w:t>
            </w:r>
            <w:r w:rsidR="009F297A" w:rsidRPr="00715BD6">
              <w:rPr>
                <w:sz w:val="22"/>
                <w:szCs w:val="22"/>
                <w:lang w:val="fr-CA" w:eastAsia="ar-SA"/>
              </w:rPr>
              <w:t xml:space="preserve">30 </w:t>
            </w:r>
            <w:r>
              <w:rPr>
                <w:sz w:val="22"/>
                <w:szCs w:val="22"/>
                <w:lang w:val="fr-CA" w:eastAsia="ar-SA"/>
              </w:rPr>
              <w:t xml:space="preserve">– 17 h 30 </w:t>
            </w:r>
          </w:p>
          <w:p w14:paraId="4D0CC9E3" w14:textId="5A3A1D9F" w:rsidR="009F297A" w:rsidRPr="00715BD6" w:rsidRDefault="009F297A" w:rsidP="00FE18BE">
            <w:pPr>
              <w:suppressAutoHyphens/>
              <w:rPr>
                <w:sz w:val="22"/>
                <w:szCs w:val="22"/>
                <w:lang w:val="fr-CA" w:eastAsia="ar-SA"/>
              </w:rPr>
            </w:pPr>
          </w:p>
        </w:tc>
        <w:tc>
          <w:tcPr>
            <w:tcW w:w="6664" w:type="dxa"/>
            <w:shd w:val="clear" w:color="auto" w:fill="auto"/>
          </w:tcPr>
          <w:p w14:paraId="01B79198" w14:textId="6172DA05" w:rsidR="009F297A" w:rsidRPr="00715BD6" w:rsidRDefault="009F297A" w:rsidP="009F297A">
            <w:pPr>
              <w:numPr>
                <w:ilvl w:val="0"/>
                <w:numId w:val="4"/>
              </w:numPr>
              <w:suppressLineNumbers/>
              <w:tabs>
                <w:tab w:val="num" w:pos="229"/>
                <w:tab w:val="left" w:pos="1440"/>
              </w:tabs>
              <w:suppressAutoHyphens/>
              <w:snapToGrid w:val="0"/>
              <w:ind w:left="769" w:hanging="769"/>
              <w:rPr>
                <w:sz w:val="22"/>
                <w:szCs w:val="22"/>
                <w:lang w:val="fr-CA"/>
              </w:rPr>
            </w:pPr>
            <w:r w:rsidRPr="00715BD6">
              <w:rPr>
                <w:bCs/>
                <w:sz w:val="22"/>
                <w:szCs w:val="22"/>
                <w:lang w:val="fr-CA" w:eastAsia="ar-SA"/>
              </w:rPr>
              <w:t>Appro</w:t>
            </w:r>
            <w:r w:rsidR="00261492">
              <w:rPr>
                <w:bCs/>
                <w:sz w:val="22"/>
                <w:szCs w:val="22"/>
                <w:lang w:val="fr-CA" w:eastAsia="ar-SA"/>
              </w:rPr>
              <w:t>bation du projet de plan de travail de</w:t>
            </w:r>
            <w:r w:rsidR="009629D4">
              <w:rPr>
                <w:bCs/>
                <w:sz w:val="22"/>
                <w:szCs w:val="22"/>
                <w:lang w:val="fr-CA" w:eastAsia="ar-SA"/>
              </w:rPr>
              <w:t xml:space="preserve"> la</w:t>
            </w:r>
            <w:r w:rsidR="00261492">
              <w:rPr>
                <w:bCs/>
                <w:sz w:val="22"/>
                <w:szCs w:val="22"/>
                <w:lang w:val="fr-CA" w:eastAsia="ar-SA"/>
              </w:rPr>
              <w:t xml:space="preserve"> </w:t>
            </w:r>
            <w:r w:rsidR="009629D4">
              <w:rPr>
                <w:bCs/>
                <w:sz w:val="22"/>
                <w:szCs w:val="22"/>
                <w:lang w:val="fr-CA" w:eastAsia="ar-SA"/>
              </w:rPr>
              <w:t>C</w:t>
            </w:r>
            <w:r w:rsidR="00261492">
              <w:rPr>
                <w:bCs/>
                <w:sz w:val="22"/>
                <w:szCs w:val="22"/>
                <w:lang w:val="fr-CA" w:eastAsia="ar-SA"/>
              </w:rPr>
              <w:t>ommission</w:t>
            </w:r>
          </w:p>
          <w:p w14:paraId="7A5914CF" w14:textId="56EA013A" w:rsidR="009F297A" w:rsidRPr="00715BD6" w:rsidRDefault="009F297A" w:rsidP="009F297A">
            <w:pPr>
              <w:pStyle w:val="TableHeading"/>
              <w:numPr>
                <w:ilvl w:val="0"/>
                <w:numId w:val="2"/>
              </w:numPr>
              <w:tabs>
                <w:tab w:val="left" w:pos="221"/>
                <w:tab w:val="left" w:pos="1440"/>
              </w:tabs>
              <w:suppressAutoHyphens w:val="0"/>
              <w:snapToGrid w:val="0"/>
              <w:ind w:left="221" w:hanging="221"/>
              <w:jc w:val="left"/>
              <w:rPr>
                <w:b w:val="0"/>
                <w:sz w:val="22"/>
                <w:szCs w:val="22"/>
                <w:lang w:val="fr-CA" w:eastAsia="en-US"/>
              </w:rPr>
            </w:pPr>
            <w:r w:rsidRPr="00715BD6">
              <w:rPr>
                <w:b w:val="0"/>
                <w:sz w:val="22"/>
                <w:szCs w:val="22"/>
                <w:lang w:val="fr-CA" w:eastAsia="en-US"/>
              </w:rPr>
              <w:t>R</w:t>
            </w:r>
            <w:r w:rsidR="00261492">
              <w:rPr>
                <w:b w:val="0"/>
                <w:sz w:val="22"/>
                <w:szCs w:val="22"/>
                <w:lang w:val="fr-CA" w:eastAsia="en-US"/>
              </w:rPr>
              <w:t>évision du processus des réunions ministérielles du</w:t>
            </w:r>
            <w:r w:rsidRPr="00715BD6">
              <w:rPr>
                <w:b w:val="0"/>
                <w:sz w:val="22"/>
                <w:szCs w:val="22"/>
                <w:lang w:val="fr-CA" w:eastAsia="en-US"/>
              </w:rPr>
              <w:t xml:space="preserve"> CIDI </w:t>
            </w:r>
          </w:p>
          <w:p w14:paraId="3590BAD0" w14:textId="679B4152" w:rsidR="0094458B" w:rsidRPr="0094458B" w:rsidRDefault="0094458B" w:rsidP="0094458B">
            <w:pPr>
              <w:pStyle w:val="ListParagraph"/>
              <w:numPr>
                <w:ilvl w:val="0"/>
                <w:numId w:val="2"/>
              </w:numPr>
              <w:ind w:left="216" w:hanging="216"/>
              <w:rPr>
                <w:bCs/>
                <w:sz w:val="22"/>
                <w:szCs w:val="22"/>
                <w:lang w:val="fr-CA"/>
              </w:rPr>
            </w:pPr>
            <w:r w:rsidRPr="0094458B">
              <w:rPr>
                <w:bCs/>
                <w:sz w:val="22"/>
                <w:szCs w:val="22"/>
                <w:lang w:val="fr-CA"/>
              </w:rPr>
              <w:t xml:space="preserve">Révision de la riposte du SEDI au changement climatique et </w:t>
            </w:r>
            <w:r w:rsidR="009629D4">
              <w:rPr>
                <w:bCs/>
                <w:sz w:val="22"/>
                <w:szCs w:val="22"/>
                <w:lang w:val="fr-CA"/>
              </w:rPr>
              <w:t>d</w:t>
            </w:r>
            <w:r w:rsidRPr="0094458B">
              <w:rPr>
                <w:bCs/>
                <w:sz w:val="22"/>
                <w:szCs w:val="22"/>
                <w:lang w:val="fr-CA"/>
              </w:rPr>
              <w:t xml:space="preserve">u développement durable </w:t>
            </w:r>
          </w:p>
          <w:p w14:paraId="42A0FC43" w14:textId="0CB99A93" w:rsidR="009F297A" w:rsidRPr="00715BD6" w:rsidRDefault="00261492" w:rsidP="009F297A">
            <w:pPr>
              <w:numPr>
                <w:ilvl w:val="0"/>
                <w:numId w:val="2"/>
              </w:numPr>
              <w:suppressLineNumbers/>
              <w:tabs>
                <w:tab w:val="left" w:pos="221"/>
                <w:tab w:val="left" w:pos="1440"/>
              </w:tabs>
              <w:suppressAutoHyphens/>
              <w:snapToGrid w:val="0"/>
              <w:ind w:left="221" w:hanging="221"/>
              <w:rPr>
                <w:bCs/>
                <w:sz w:val="22"/>
                <w:szCs w:val="22"/>
                <w:lang w:val="fr-CA"/>
              </w:rPr>
            </w:pPr>
            <w:r>
              <w:rPr>
                <w:bCs/>
                <w:sz w:val="22"/>
                <w:szCs w:val="22"/>
                <w:lang w:val="fr-CA"/>
              </w:rPr>
              <w:t>Exposé sur l’état d’avancement des travaux dans le</w:t>
            </w:r>
            <w:r w:rsidR="00012C0C">
              <w:rPr>
                <w:bCs/>
                <w:sz w:val="22"/>
                <w:szCs w:val="22"/>
                <w:lang w:val="fr-CA"/>
              </w:rPr>
              <w:t>s</w:t>
            </w:r>
            <w:r>
              <w:rPr>
                <w:bCs/>
                <w:sz w:val="22"/>
                <w:szCs w:val="22"/>
                <w:lang w:val="fr-CA"/>
              </w:rPr>
              <w:t xml:space="preserve"> domaine</w:t>
            </w:r>
            <w:r w:rsidR="00012C0C">
              <w:rPr>
                <w:bCs/>
                <w:sz w:val="22"/>
                <w:szCs w:val="22"/>
                <w:lang w:val="fr-CA"/>
              </w:rPr>
              <w:t>s</w:t>
            </w:r>
            <w:r>
              <w:rPr>
                <w:bCs/>
                <w:sz w:val="22"/>
                <w:szCs w:val="22"/>
                <w:lang w:val="fr-CA"/>
              </w:rPr>
              <w:t xml:space="preserve"> thématique</w:t>
            </w:r>
            <w:r w:rsidR="00012C0C">
              <w:rPr>
                <w:bCs/>
                <w:sz w:val="22"/>
                <w:szCs w:val="22"/>
                <w:lang w:val="fr-CA"/>
              </w:rPr>
              <w:t>s</w:t>
            </w:r>
            <w:r>
              <w:rPr>
                <w:bCs/>
                <w:sz w:val="22"/>
                <w:szCs w:val="22"/>
                <w:lang w:val="fr-CA"/>
              </w:rPr>
              <w:t xml:space="preserve"> du</w:t>
            </w:r>
            <w:r w:rsidR="009F297A" w:rsidRPr="00715BD6">
              <w:rPr>
                <w:bCs/>
                <w:sz w:val="22"/>
                <w:szCs w:val="22"/>
                <w:lang w:val="fr-CA"/>
              </w:rPr>
              <w:t xml:space="preserve"> CIDI</w:t>
            </w:r>
            <w:r>
              <w:rPr>
                <w:bCs/>
                <w:sz w:val="22"/>
                <w:szCs w:val="22"/>
                <w:lang w:val="fr-CA"/>
              </w:rPr>
              <w:t> </w:t>
            </w:r>
            <w:r w:rsidR="009F297A" w:rsidRPr="00715BD6">
              <w:rPr>
                <w:bCs/>
                <w:sz w:val="22"/>
                <w:szCs w:val="22"/>
                <w:lang w:val="fr-CA"/>
              </w:rPr>
              <w:t>:</w:t>
            </w:r>
          </w:p>
          <w:p w14:paraId="7B2F0ED2" w14:textId="104E71F6" w:rsidR="009F297A" w:rsidRDefault="00261492" w:rsidP="009F297A">
            <w:pPr>
              <w:pStyle w:val="ListParagraph"/>
              <w:numPr>
                <w:ilvl w:val="4"/>
                <w:numId w:val="4"/>
              </w:numPr>
              <w:tabs>
                <w:tab w:val="num" w:pos="522"/>
                <w:tab w:val="num" w:pos="2340"/>
              </w:tabs>
              <w:suppressAutoHyphens/>
              <w:snapToGrid w:val="0"/>
              <w:ind w:hanging="4464"/>
              <w:rPr>
                <w:sz w:val="22"/>
                <w:szCs w:val="22"/>
                <w:lang w:val="fr-CA"/>
              </w:rPr>
            </w:pPr>
            <w:r>
              <w:rPr>
                <w:sz w:val="22"/>
                <w:szCs w:val="22"/>
                <w:lang w:val="fr-CA"/>
              </w:rPr>
              <w:t>Développement durable</w:t>
            </w:r>
          </w:p>
          <w:p w14:paraId="2C7697C6" w14:textId="58D32EAD" w:rsidR="0094458B" w:rsidRPr="009629D4" w:rsidRDefault="0094458B" w:rsidP="009629D4">
            <w:pPr>
              <w:pStyle w:val="ListParagraph"/>
              <w:numPr>
                <w:ilvl w:val="2"/>
                <w:numId w:val="22"/>
              </w:numPr>
              <w:suppressAutoHyphens/>
              <w:snapToGrid w:val="0"/>
              <w:ind w:left="216" w:hanging="180"/>
              <w:rPr>
                <w:sz w:val="22"/>
                <w:szCs w:val="22"/>
                <w:lang w:val="fr-CA"/>
              </w:rPr>
            </w:pPr>
            <w:r w:rsidRPr="009629D4">
              <w:rPr>
                <w:sz w:val="22"/>
                <w:szCs w:val="22"/>
                <w:lang w:val="fr-CA"/>
              </w:rPr>
              <w:t>Présentation du projet de plan de travail de la Commission interaméricaine de développement social (CIDES)</w:t>
            </w:r>
          </w:p>
          <w:p w14:paraId="4F1EC36D" w14:textId="7567DB2D" w:rsidR="00FE18BE" w:rsidRPr="00715BD6" w:rsidRDefault="00261492" w:rsidP="009F297A">
            <w:pPr>
              <w:pStyle w:val="ListParagraph"/>
              <w:numPr>
                <w:ilvl w:val="0"/>
                <w:numId w:val="22"/>
              </w:numPr>
              <w:suppressLineNumbers/>
              <w:tabs>
                <w:tab w:val="left" w:pos="221"/>
                <w:tab w:val="num" w:pos="4680"/>
              </w:tabs>
              <w:suppressAutoHyphens/>
              <w:snapToGrid w:val="0"/>
              <w:ind w:left="666" w:hanging="630"/>
              <w:rPr>
                <w:bCs/>
                <w:sz w:val="22"/>
                <w:szCs w:val="22"/>
                <w:lang w:val="fr-CA" w:eastAsia="ar-SA"/>
              </w:rPr>
            </w:pPr>
            <w:r>
              <w:rPr>
                <w:bCs/>
                <w:sz w:val="22"/>
                <w:szCs w:val="22"/>
                <w:lang w:val="fr-CA" w:eastAsia="ar-SA"/>
              </w:rPr>
              <w:t>Autres questions</w:t>
            </w:r>
          </w:p>
          <w:p w14:paraId="7BE622A9" w14:textId="0660EADD" w:rsidR="00604D1D" w:rsidRPr="00715BD6" w:rsidRDefault="00604D1D" w:rsidP="00604D1D">
            <w:pPr>
              <w:pStyle w:val="ListParagraph"/>
              <w:suppressLineNumbers/>
              <w:tabs>
                <w:tab w:val="left" w:pos="221"/>
              </w:tabs>
              <w:suppressAutoHyphens/>
              <w:snapToGrid w:val="0"/>
              <w:ind w:left="666"/>
              <w:rPr>
                <w:bCs/>
                <w:sz w:val="22"/>
                <w:szCs w:val="22"/>
                <w:lang w:val="fr-CA" w:eastAsia="ar-SA"/>
              </w:rPr>
            </w:pPr>
          </w:p>
        </w:tc>
      </w:tr>
      <w:tr w:rsidR="00FE18BE" w:rsidRPr="00715BD6" w14:paraId="1AFC92AF" w14:textId="77777777" w:rsidTr="008214B6">
        <w:trPr>
          <w:jc w:val="center"/>
        </w:trPr>
        <w:tc>
          <w:tcPr>
            <w:tcW w:w="2554" w:type="dxa"/>
            <w:shd w:val="clear" w:color="auto" w:fill="auto"/>
          </w:tcPr>
          <w:p w14:paraId="22D20A09" w14:textId="3B24D00D" w:rsidR="009F297A" w:rsidRPr="00715BD6" w:rsidRDefault="00567309" w:rsidP="00FE18BE">
            <w:pPr>
              <w:suppressAutoHyphens/>
              <w:rPr>
                <w:sz w:val="22"/>
                <w:szCs w:val="22"/>
                <w:lang w:val="fr-CA" w:eastAsia="ar-SA"/>
              </w:rPr>
            </w:pPr>
            <w:r>
              <w:rPr>
                <w:sz w:val="22"/>
                <w:szCs w:val="22"/>
                <w:lang w:val="fr-CA" w:eastAsia="ar-SA"/>
              </w:rPr>
              <w:t>mercredi</w:t>
            </w:r>
          </w:p>
          <w:p w14:paraId="71454A88" w14:textId="7ED22255" w:rsidR="00FE18BE" w:rsidRPr="00715BD6" w:rsidRDefault="00567309" w:rsidP="00FE18BE">
            <w:pPr>
              <w:suppressAutoHyphens/>
              <w:rPr>
                <w:sz w:val="22"/>
                <w:szCs w:val="22"/>
                <w:lang w:val="fr-CA" w:eastAsia="ar-SA"/>
              </w:rPr>
            </w:pPr>
            <w:r>
              <w:rPr>
                <w:sz w:val="22"/>
                <w:szCs w:val="22"/>
                <w:lang w:val="fr-CA" w:eastAsia="ar-SA"/>
              </w:rPr>
              <w:t>1</w:t>
            </w:r>
            <w:r w:rsidR="00A81380">
              <w:rPr>
                <w:sz w:val="22"/>
                <w:szCs w:val="22"/>
                <w:lang w:val="fr-CA" w:eastAsia="ar-SA"/>
              </w:rPr>
              <w:t>3</w:t>
            </w:r>
            <w:r>
              <w:rPr>
                <w:sz w:val="22"/>
                <w:szCs w:val="22"/>
                <w:lang w:val="fr-CA" w:eastAsia="ar-SA"/>
              </w:rPr>
              <w:t xml:space="preserve"> avril</w:t>
            </w:r>
            <w:r w:rsidR="0007403C" w:rsidRPr="00715BD6">
              <w:rPr>
                <w:sz w:val="22"/>
                <w:szCs w:val="22"/>
                <w:lang w:val="fr-CA" w:eastAsia="ar-SA"/>
              </w:rPr>
              <w:t xml:space="preserve"> </w:t>
            </w:r>
          </w:p>
          <w:p w14:paraId="076E5026" w14:textId="46D236A4" w:rsidR="009F297A" w:rsidRPr="00715BD6" w:rsidRDefault="00567309" w:rsidP="009F297A">
            <w:pPr>
              <w:suppressAutoHyphens/>
              <w:rPr>
                <w:sz w:val="22"/>
                <w:szCs w:val="22"/>
                <w:lang w:val="fr-CA" w:eastAsia="ar-SA"/>
              </w:rPr>
            </w:pPr>
            <w:r>
              <w:rPr>
                <w:sz w:val="22"/>
                <w:szCs w:val="22"/>
                <w:lang w:val="fr-CA" w:eastAsia="ar-SA"/>
              </w:rPr>
              <w:t xml:space="preserve">14 h 30 – 17 h 30 </w:t>
            </w:r>
          </w:p>
          <w:p w14:paraId="51551C0D" w14:textId="50052ABC" w:rsidR="009F297A" w:rsidRPr="00715BD6" w:rsidRDefault="009F297A" w:rsidP="00FE18BE">
            <w:pPr>
              <w:suppressAutoHyphens/>
              <w:rPr>
                <w:sz w:val="22"/>
                <w:szCs w:val="22"/>
                <w:lang w:val="fr-CA" w:eastAsia="ar-SA"/>
              </w:rPr>
            </w:pPr>
          </w:p>
        </w:tc>
        <w:tc>
          <w:tcPr>
            <w:tcW w:w="6664" w:type="dxa"/>
            <w:shd w:val="clear" w:color="auto" w:fill="auto"/>
          </w:tcPr>
          <w:p w14:paraId="6649DD2A" w14:textId="77777777" w:rsidR="00F735A9" w:rsidRDefault="00F735A9" w:rsidP="00F735A9">
            <w:pPr>
              <w:pStyle w:val="TableHeading"/>
              <w:numPr>
                <w:ilvl w:val="0"/>
                <w:numId w:val="2"/>
              </w:numPr>
              <w:tabs>
                <w:tab w:val="left" w:pos="221"/>
              </w:tabs>
              <w:snapToGrid w:val="0"/>
              <w:ind w:left="229" w:hanging="229"/>
              <w:jc w:val="left"/>
              <w:rPr>
                <w:b w:val="0"/>
                <w:sz w:val="22"/>
                <w:szCs w:val="22"/>
                <w:lang w:val="fr-CA"/>
              </w:rPr>
            </w:pPr>
            <w:r>
              <w:rPr>
                <w:b w:val="0"/>
                <w:sz w:val="22"/>
                <w:szCs w:val="22"/>
                <w:lang w:val="fr-CA"/>
              </w:rPr>
              <w:t>Révision des mandats portant sur la sécurité alimentaire et la nutrition</w:t>
            </w:r>
          </w:p>
          <w:p w14:paraId="63386701" w14:textId="7568F799" w:rsidR="00054DC0" w:rsidRDefault="009F297A" w:rsidP="009F297A">
            <w:pPr>
              <w:pStyle w:val="TableHeading"/>
              <w:numPr>
                <w:ilvl w:val="0"/>
                <w:numId w:val="2"/>
              </w:numPr>
              <w:tabs>
                <w:tab w:val="left" w:pos="221"/>
                <w:tab w:val="left" w:pos="1440"/>
              </w:tabs>
              <w:suppressAutoHyphens w:val="0"/>
              <w:snapToGrid w:val="0"/>
              <w:ind w:left="221" w:hanging="221"/>
              <w:jc w:val="left"/>
              <w:rPr>
                <w:b w:val="0"/>
                <w:sz w:val="22"/>
                <w:szCs w:val="22"/>
                <w:lang w:val="fr-CA" w:eastAsia="en-US"/>
              </w:rPr>
            </w:pPr>
            <w:r w:rsidRPr="00715BD6">
              <w:rPr>
                <w:b w:val="0"/>
                <w:sz w:val="22"/>
                <w:szCs w:val="22"/>
                <w:lang w:val="fr-CA" w:eastAsia="en-US"/>
              </w:rPr>
              <w:t>R</w:t>
            </w:r>
            <w:r w:rsidR="00012C0C">
              <w:rPr>
                <w:b w:val="0"/>
                <w:sz w:val="22"/>
                <w:szCs w:val="22"/>
                <w:lang w:val="fr-CA" w:eastAsia="en-US"/>
              </w:rPr>
              <w:t xml:space="preserve">évision </w:t>
            </w:r>
            <w:r w:rsidR="00054DC0">
              <w:rPr>
                <w:b w:val="0"/>
                <w:sz w:val="22"/>
                <w:szCs w:val="22"/>
                <w:lang w:val="fr-CA" w:eastAsia="en-US"/>
              </w:rPr>
              <w:t>et adoption du projet de plan de travail de la Commission interaméricaine de développement social (CIDES)</w:t>
            </w:r>
          </w:p>
          <w:p w14:paraId="0F4F1834" w14:textId="6CE615DC" w:rsidR="001B2B97" w:rsidRPr="00715BD6" w:rsidRDefault="00012C0C" w:rsidP="001B2B97">
            <w:pPr>
              <w:numPr>
                <w:ilvl w:val="0"/>
                <w:numId w:val="2"/>
              </w:numPr>
              <w:suppressLineNumbers/>
              <w:tabs>
                <w:tab w:val="left" w:pos="221"/>
                <w:tab w:val="left" w:pos="1440"/>
              </w:tabs>
              <w:suppressAutoHyphens/>
              <w:snapToGrid w:val="0"/>
              <w:ind w:left="221" w:hanging="221"/>
              <w:rPr>
                <w:bCs/>
                <w:sz w:val="22"/>
                <w:szCs w:val="22"/>
                <w:lang w:val="fr-CA"/>
              </w:rPr>
            </w:pPr>
            <w:r>
              <w:rPr>
                <w:bCs/>
                <w:sz w:val="22"/>
                <w:szCs w:val="22"/>
                <w:lang w:val="fr-CA"/>
              </w:rPr>
              <w:t>Exposé sur l’état d’avancement des travaux dans les domaines thématiques du</w:t>
            </w:r>
            <w:r w:rsidR="001B2B97" w:rsidRPr="00715BD6">
              <w:rPr>
                <w:bCs/>
                <w:sz w:val="22"/>
                <w:szCs w:val="22"/>
                <w:lang w:val="fr-CA"/>
              </w:rPr>
              <w:t xml:space="preserve"> CIDI</w:t>
            </w:r>
            <w:r>
              <w:rPr>
                <w:bCs/>
                <w:sz w:val="22"/>
                <w:szCs w:val="22"/>
                <w:lang w:val="fr-CA"/>
              </w:rPr>
              <w:t> </w:t>
            </w:r>
            <w:r w:rsidR="001B2B97" w:rsidRPr="00715BD6">
              <w:rPr>
                <w:bCs/>
                <w:sz w:val="22"/>
                <w:szCs w:val="22"/>
                <w:lang w:val="fr-CA"/>
              </w:rPr>
              <w:t>:</w:t>
            </w:r>
          </w:p>
          <w:p w14:paraId="68602AE6" w14:textId="750EC9D2" w:rsidR="001B2B97" w:rsidRPr="00715BD6" w:rsidRDefault="001B2B97" w:rsidP="001B2B97">
            <w:pPr>
              <w:pStyle w:val="ListParagraph"/>
              <w:numPr>
                <w:ilvl w:val="4"/>
                <w:numId w:val="4"/>
              </w:numPr>
              <w:tabs>
                <w:tab w:val="num" w:pos="522"/>
                <w:tab w:val="num" w:pos="2340"/>
              </w:tabs>
              <w:suppressAutoHyphens/>
              <w:snapToGrid w:val="0"/>
              <w:ind w:hanging="4464"/>
              <w:rPr>
                <w:sz w:val="22"/>
                <w:szCs w:val="22"/>
                <w:lang w:val="fr-CA"/>
              </w:rPr>
            </w:pPr>
            <w:r w:rsidRPr="00715BD6">
              <w:rPr>
                <w:sz w:val="22"/>
                <w:szCs w:val="22"/>
                <w:lang w:val="fr-CA"/>
              </w:rPr>
              <w:t>Tourism</w:t>
            </w:r>
            <w:r w:rsidR="00012C0C">
              <w:rPr>
                <w:sz w:val="22"/>
                <w:szCs w:val="22"/>
                <w:lang w:val="fr-CA"/>
              </w:rPr>
              <w:t>e</w:t>
            </w:r>
          </w:p>
          <w:p w14:paraId="39E1801C" w14:textId="4798A887" w:rsidR="003228F4" w:rsidRPr="00715BD6" w:rsidRDefault="00012C0C" w:rsidP="00F735A9">
            <w:pPr>
              <w:pStyle w:val="TableHeading"/>
              <w:numPr>
                <w:ilvl w:val="0"/>
                <w:numId w:val="4"/>
              </w:numPr>
              <w:tabs>
                <w:tab w:val="left" w:pos="306"/>
              </w:tabs>
              <w:snapToGrid w:val="0"/>
              <w:ind w:hanging="1044"/>
              <w:jc w:val="left"/>
              <w:rPr>
                <w:sz w:val="22"/>
                <w:szCs w:val="22"/>
                <w:lang w:val="fr-CA"/>
              </w:rPr>
            </w:pPr>
            <w:r w:rsidRPr="00F735A9">
              <w:rPr>
                <w:b w:val="0"/>
                <w:bCs w:val="0"/>
                <w:sz w:val="22"/>
                <w:szCs w:val="22"/>
                <w:lang w:val="fr-CA"/>
              </w:rPr>
              <w:t>Autres questions</w:t>
            </w:r>
          </w:p>
        </w:tc>
      </w:tr>
      <w:tr w:rsidR="001B2B97" w:rsidRPr="00715BD6" w14:paraId="3D56B236" w14:textId="77777777" w:rsidTr="008214B6">
        <w:trPr>
          <w:jc w:val="center"/>
        </w:trPr>
        <w:tc>
          <w:tcPr>
            <w:tcW w:w="2554" w:type="dxa"/>
            <w:shd w:val="clear" w:color="auto" w:fill="auto"/>
          </w:tcPr>
          <w:p w14:paraId="23F9E832" w14:textId="6267ECA4" w:rsidR="001B2B97" w:rsidRPr="00715BD6" w:rsidRDefault="00567309" w:rsidP="00FE18BE">
            <w:pPr>
              <w:suppressAutoHyphens/>
              <w:rPr>
                <w:sz w:val="22"/>
                <w:szCs w:val="22"/>
                <w:lang w:val="fr-CA" w:eastAsia="ar-SA"/>
              </w:rPr>
            </w:pPr>
            <w:r>
              <w:rPr>
                <w:sz w:val="22"/>
                <w:szCs w:val="22"/>
                <w:lang w:val="fr-CA" w:eastAsia="ar-SA"/>
              </w:rPr>
              <w:lastRenderedPageBreak/>
              <w:t>jeudi</w:t>
            </w:r>
          </w:p>
          <w:p w14:paraId="4BD59566" w14:textId="578710CC" w:rsidR="008379DF" w:rsidRPr="00715BD6" w:rsidRDefault="00567309" w:rsidP="00FE18BE">
            <w:pPr>
              <w:suppressAutoHyphens/>
              <w:rPr>
                <w:sz w:val="22"/>
                <w:szCs w:val="22"/>
                <w:lang w:val="fr-CA" w:eastAsia="ar-SA"/>
              </w:rPr>
            </w:pPr>
            <w:r>
              <w:rPr>
                <w:sz w:val="22"/>
                <w:szCs w:val="22"/>
                <w:lang w:val="fr-CA" w:eastAsia="ar-SA"/>
              </w:rPr>
              <w:t>13 mai</w:t>
            </w:r>
          </w:p>
          <w:p w14:paraId="35DA9D36" w14:textId="21D060B0" w:rsidR="008379DF" w:rsidRPr="00715BD6" w:rsidRDefault="00567309" w:rsidP="008379DF">
            <w:pPr>
              <w:suppressAutoHyphens/>
              <w:rPr>
                <w:sz w:val="22"/>
                <w:szCs w:val="22"/>
                <w:lang w:val="fr-CA" w:eastAsia="ar-SA"/>
              </w:rPr>
            </w:pPr>
            <w:r>
              <w:rPr>
                <w:sz w:val="22"/>
                <w:szCs w:val="22"/>
                <w:lang w:val="fr-CA" w:eastAsia="ar-SA"/>
              </w:rPr>
              <w:t xml:space="preserve">14 h 30 – 17 h 30 </w:t>
            </w:r>
          </w:p>
          <w:p w14:paraId="105A6AD7" w14:textId="77777777" w:rsidR="008379DF" w:rsidRPr="00715BD6" w:rsidRDefault="008379DF" w:rsidP="00FE18BE">
            <w:pPr>
              <w:suppressAutoHyphens/>
              <w:rPr>
                <w:sz w:val="22"/>
                <w:szCs w:val="22"/>
                <w:lang w:val="fr-CA" w:eastAsia="ar-SA"/>
              </w:rPr>
            </w:pPr>
          </w:p>
          <w:p w14:paraId="4AB85D0A" w14:textId="4981B71B" w:rsidR="008379DF" w:rsidRPr="00715BD6" w:rsidRDefault="008379DF" w:rsidP="00FE18BE">
            <w:pPr>
              <w:suppressAutoHyphens/>
              <w:rPr>
                <w:sz w:val="22"/>
                <w:szCs w:val="22"/>
                <w:lang w:val="fr-CA" w:eastAsia="ar-SA"/>
              </w:rPr>
            </w:pPr>
          </w:p>
        </w:tc>
        <w:tc>
          <w:tcPr>
            <w:tcW w:w="6664" w:type="dxa"/>
            <w:shd w:val="clear" w:color="auto" w:fill="auto"/>
          </w:tcPr>
          <w:p w14:paraId="69319985" w14:textId="77777777" w:rsidR="00054DC0" w:rsidRDefault="00054DC0" w:rsidP="008379DF">
            <w:pPr>
              <w:pStyle w:val="TableHeading"/>
              <w:numPr>
                <w:ilvl w:val="0"/>
                <w:numId w:val="2"/>
              </w:numPr>
              <w:tabs>
                <w:tab w:val="left" w:pos="221"/>
                <w:tab w:val="left" w:pos="1440"/>
              </w:tabs>
              <w:suppressAutoHyphens w:val="0"/>
              <w:snapToGrid w:val="0"/>
              <w:ind w:left="221" w:hanging="221"/>
              <w:jc w:val="left"/>
              <w:rPr>
                <w:b w:val="0"/>
                <w:sz w:val="22"/>
                <w:szCs w:val="22"/>
                <w:lang w:val="fr-CA" w:eastAsia="en-US"/>
              </w:rPr>
            </w:pPr>
            <w:r>
              <w:rPr>
                <w:b w:val="0"/>
                <w:sz w:val="22"/>
                <w:szCs w:val="22"/>
                <w:lang w:val="fr-CA" w:eastAsia="en-US"/>
              </w:rPr>
              <w:t>Exposé sur le Partenariat des Amériques pour l’énergie et le climat (ECPA)</w:t>
            </w:r>
          </w:p>
          <w:p w14:paraId="61481CB4" w14:textId="0213509C" w:rsidR="008379DF" w:rsidRPr="00715BD6" w:rsidRDefault="00012C0C" w:rsidP="008379DF">
            <w:pPr>
              <w:numPr>
                <w:ilvl w:val="0"/>
                <w:numId w:val="2"/>
              </w:numPr>
              <w:suppressLineNumbers/>
              <w:tabs>
                <w:tab w:val="left" w:pos="221"/>
                <w:tab w:val="left" w:pos="1440"/>
              </w:tabs>
              <w:suppressAutoHyphens/>
              <w:snapToGrid w:val="0"/>
              <w:ind w:left="221" w:hanging="221"/>
              <w:rPr>
                <w:bCs/>
                <w:sz w:val="22"/>
                <w:szCs w:val="22"/>
                <w:lang w:val="fr-CA"/>
              </w:rPr>
            </w:pPr>
            <w:r>
              <w:rPr>
                <w:bCs/>
                <w:sz w:val="22"/>
                <w:szCs w:val="22"/>
                <w:lang w:val="fr-CA"/>
              </w:rPr>
              <w:t>Exposé sur l’état d’avancement des travaux dans les domaines thématiques du</w:t>
            </w:r>
            <w:r w:rsidR="008379DF" w:rsidRPr="00715BD6">
              <w:rPr>
                <w:bCs/>
                <w:sz w:val="22"/>
                <w:szCs w:val="22"/>
                <w:lang w:val="fr-CA"/>
              </w:rPr>
              <w:t xml:space="preserve"> CIDI</w:t>
            </w:r>
            <w:r>
              <w:rPr>
                <w:bCs/>
                <w:sz w:val="22"/>
                <w:szCs w:val="22"/>
                <w:lang w:val="fr-CA"/>
              </w:rPr>
              <w:t> </w:t>
            </w:r>
            <w:r w:rsidR="008379DF" w:rsidRPr="00715BD6">
              <w:rPr>
                <w:bCs/>
                <w:sz w:val="22"/>
                <w:szCs w:val="22"/>
                <w:lang w:val="fr-CA"/>
              </w:rPr>
              <w:t>:</w:t>
            </w:r>
          </w:p>
          <w:p w14:paraId="646E4900" w14:textId="5C096C28" w:rsidR="008379DF" w:rsidRPr="00715BD6" w:rsidRDefault="00012C0C" w:rsidP="009F38A3">
            <w:pPr>
              <w:pStyle w:val="ListParagraph"/>
              <w:numPr>
                <w:ilvl w:val="4"/>
                <w:numId w:val="4"/>
              </w:numPr>
              <w:tabs>
                <w:tab w:val="num" w:pos="522"/>
                <w:tab w:val="num" w:pos="2340"/>
              </w:tabs>
              <w:suppressAutoHyphens/>
              <w:snapToGrid w:val="0"/>
              <w:ind w:hanging="4464"/>
              <w:rPr>
                <w:sz w:val="22"/>
                <w:szCs w:val="22"/>
                <w:lang w:val="fr-CA"/>
              </w:rPr>
            </w:pPr>
            <w:r>
              <w:rPr>
                <w:sz w:val="22"/>
                <w:szCs w:val="22"/>
                <w:lang w:val="fr-CA"/>
              </w:rPr>
              <w:t>É</w:t>
            </w:r>
            <w:r w:rsidR="008379DF" w:rsidRPr="00715BD6">
              <w:rPr>
                <w:sz w:val="22"/>
                <w:szCs w:val="22"/>
                <w:lang w:val="fr-CA"/>
              </w:rPr>
              <w:t>ducation</w:t>
            </w:r>
          </w:p>
          <w:p w14:paraId="65F45167" w14:textId="5962D2B2" w:rsidR="00604D1D" w:rsidRPr="00715BD6" w:rsidRDefault="00604D1D" w:rsidP="009F38A3">
            <w:pPr>
              <w:pStyle w:val="ListParagraph"/>
              <w:numPr>
                <w:ilvl w:val="4"/>
                <w:numId w:val="4"/>
              </w:numPr>
              <w:tabs>
                <w:tab w:val="num" w:pos="522"/>
                <w:tab w:val="num" w:pos="2340"/>
              </w:tabs>
              <w:suppressAutoHyphens/>
              <w:snapToGrid w:val="0"/>
              <w:ind w:hanging="4464"/>
              <w:rPr>
                <w:sz w:val="22"/>
                <w:szCs w:val="22"/>
                <w:lang w:val="fr-CA"/>
              </w:rPr>
            </w:pPr>
            <w:r w:rsidRPr="00715BD6">
              <w:rPr>
                <w:sz w:val="22"/>
                <w:szCs w:val="22"/>
                <w:lang w:val="fr-CA"/>
              </w:rPr>
              <w:t>Culture</w:t>
            </w:r>
          </w:p>
          <w:p w14:paraId="75F36E92" w14:textId="0B60DF98" w:rsidR="008379DF" w:rsidRPr="00715BD6" w:rsidRDefault="00012C0C" w:rsidP="008379DF">
            <w:pPr>
              <w:pStyle w:val="TableHeading"/>
              <w:numPr>
                <w:ilvl w:val="0"/>
                <w:numId w:val="4"/>
              </w:numPr>
              <w:tabs>
                <w:tab w:val="left" w:pos="306"/>
              </w:tabs>
              <w:snapToGrid w:val="0"/>
              <w:ind w:hanging="1044"/>
              <w:jc w:val="both"/>
              <w:rPr>
                <w:b w:val="0"/>
                <w:sz w:val="22"/>
                <w:szCs w:val="22"/>
                <w:lang w:val="fr-CA"/>
              </w:rPr>
            </w:pPr>
            <w:r>
              <w:rPr>
                <w:b w:val="0"/>
                <w:bCs w:val="0"/>
                <w:sz w:val="22"/>
                <w:szCs w:val="22"/>
                <w:lang w:val="fr-CA"/>
              </w:rPr>
              <w:t>Autres questions</w:t>
            </w:r>
          </w:p>
          <w:p w14:paraId="1DD6325C" w14:textId="7F1964FC" w:rsidR="008379DF" w:rsidRPr="00715BD6" w:rsidRDefault="008379DF" w:rsidP="008379DF">
            <w:pPr>
              <w:pStyle w:val="TableHeading"/>
              <w:tabs>
                <w:tab w:val="left" w:pos="221"/>
                <w:tab w:val="left" w:pos="1440"/>
              </w:tabs>
              <w:suppressAutoHyphens w:val="0"/>
              <w:snapToGrid w:val="0"/>
              <w:ind w:left="221"/>
              <w:jc w:val="left"/>
              <w:rPr>
                <w:b w:val="0"/>
                <w:sz w:val="22"/>
                <w:szCs w:val="22"/>
                <w:lang w:val="fr-CA" w:eastAsia="en-US"/>
              </w:rPr>
            </w:pPr>
          </w:p>
        </w:tc>
      </w:tr>
      <w:tr w:rsidR="00FE18BE" w:rsidRPr="00715BD6" w14:paraId="55AAC6EE" w14:textId="77777777" w:rsidTr="008214B6">
        <w:trPr>
          <w:jc w:val="center"/>
        </w:trPr>
        <w:tc>
          <w:tcPr>
            <w:tcW w:w="2554" w:type="dxa"/>
            <w:shd w:val="clear" w:color="auto" w:fill="auto"/>
          </w:tcPr>
          <w:p w14:paraId="0C2664F4" w14:textId="0623AD82" w:rsidR="008379DF" w:rsidRPr="00715BD6" w:rsidRDefault="00567309" w:rsidP="00FE18BE">
            <w:pPr>
              <w:suppressAutoHyphens/>
              <w:rPr>
                <w:sz w:val="22"/>
                <w:szCs w:val="22"/>
                <w:lang w:val="fr-CA" w:eastAsia="ar-SA"/>
              </w:rPr>
            </w:pPr>
            <w:r>
              <w:rPr>
                <w:sz w:val="22"/>
                <w:szCs w:val="22"/>
                <w:lang w:val="fr-CA" w:eastAsia="ar-SA"/>
              </w:rPr>
              <w:t>mardi</w:t>
            </w:r>
            <w:r w:rsidR="008379DF" w:rsidRPr="00715BD6">
              <w:rPr>
                <w:sz w:val="22"/>
                <w:szCs w:val="22"/>
                <w:lang w:val="fr-CA" w:eastAsia="ar-SA"/>
              </w:rPr>
              <w:t xml:space="preserve"> </w:t>
            </w:r>
          </w:p>
          <w:p w14:paraId="6693F540" w14:textId="3DAA3474" w:rsidR="00FE18BE" w:rsidRPr="00715BD6" w:rsidRDefault="00567309" w:rsidP="00FE18BE">
            <w:pPr>
              <w:suppressAutoHyphens/>
              <w:rPr>
                <w:sz w:val="22"/>
                <w:szCs w:val="22"/>
                <w:lang w:val="fr-CA" w:eastAsia="ar-SA"/>
              </w:rPr>
            </w:pPr>
            <w:r>
              <w:rPr>
                <w:sz w:val="22"/>
                <w:szCs w:val="22"/>
                <w:lang w:val="fr-CA" w:eastAsia="ar-SA"/>
              </w:rPr>
              <w:t>25 mai</w:t>
            </w:r>
            <w:r w:rsidR="0007403C" w:rsidRPr="00715BD6">
              <w:rPr>
                <w:sz w:val="22"/>
                <w:szCs w:val="22"/>
                <w:lang w:val="fr-CA" w:eastAsia="ar-SA"/>
              </w:rPr>
              <w:t xml:space="preserve"> </w:t>
            </w:r>
          </w:p>
          <w:p w14:paraId="15D783DA" w14:textId="17752FBA" w:rsidR="008379DF" w:rsidRPr="00715BD6" w:rsidRDefault="00567309" w:rsidP="008379DF">
            <w:pPr>
              <w:suppressAutoHyphens/>
              <w:rPr>
                <w:sz w:val="22"/>
                <w:szCs w:val="22"/>
                <w:lang w:val="fr-CA" w:eastAsia="ar-SA"/>
              </w:rPr>
            </w:pPr>
            <w:r>
              <w:rPr>
                <w:sz w:val="22"/>
                <w:szCs w:val="22"/>
                <w:lang w:val="fr-CA" w:eastAsia="ar-SA"/>
              </w:rPr>
              <w:t xml:space="preserve">14 h 30 – 17 h 30 </w:t>
            </w:r>
          </w:p>
          <w:p w14:paraId="7D15DE05" w14:textId="77777777" w:rsidR="008379DF" w:rsidRPr="00715BD6" w:rsidRDefault="008379DF" w:rsidP="00FE18BE">
            <w:pPr>
              <w:suppressAutoHyphens/>
              <w:rPr>
                <w:sz w:val="22"/>
                <w:szCs w:val="22"/>
                <w:lang w:val="fr-CA" w:eastAsia="ar-SA"/>
              </w:rPr>
            </w:pPr>
          </w:p>
          <w:p w14:paraId="68930A74" w14:textId="77777777" w:rsidR="00FE18BE" w:rsidRPr="00715BD6" w:rsidRDefault="00FE18BE" w:rsidP="0007403C">
            <w:pPr>
              <w:suppressAutoHyphens/>
              <w:rPr>
                <w:sz w:val="22"/>
                <w:szCs w:val="22"/>
                <w:lang w:val="fr-CA" w:eastAsia="ar-SA"/>
              </w:rPr>
            </w:pPr>
          </w:p>
        </w:tc>
        <w:tc>
          <w:tcPr>
            <w:tcW w:w="6664" w:type="dxa"/>
            <w:shd w:val="clear" w:color="auto" w:fill="auto"/>
          </w:tcPr>
          <w:p w14:paraId="7C05956D" w14:textId="259AD5B6" w:rsidR="008379DF" w:rsidRPr="00715BD6" w:rsidRDefault="008379DF" w:rsidP="00604D1D">
            <w:pPr>
              <w:pStyle w:val="TableHeading"/>
              <w:numPr>
                <w:ilvl w:val="0"/>
                <w:numId w:val="2"/>
              </w:numPr>
              <w:tabs>
                <w:tab w:val="left" w:pos="307"/>
                <w:tab w:val="left" w:pos="1440"/>
              </w:tabs>
              <w:suppressAutoHyphens w:val="0"/>
              <w:snapToGrid w:val="0"/>
              <w:jc w:val="left"/>
              <w:rPr>
                <w:b w:val="0"/>
                <w:sz w:val="22"/>
                <w:szCs w:val="22"/>
                <w:lang w:val="fr-CA" w:eastAsia="en-US"/>
              </w:rPr>
            </w:pPr>
            <w:r w:rsidRPr="00715BD6">
              <w:rPr>
                <w:b w:val="0"/>
                <w:sz w:val="22"/>
                <w:szCs w:val="22"/>
                <w:lang w:val="fr-CA" w:eastAsia="en-US"/>
              </w:rPr>
              <w:t>R</w:t>
            </w:r>
            <w:r w:rsidR="00AE299B">
              <w:rPr>
                <w:b w:val="0"/>
                <w:sz w:val="22"/>
                <w:szCs w:val="22"/>
                <w:lang w:val="fr-CA" w:eastAsia="en-US"/>
              </w:rPr>
              <w:t>évision du processus des réunions ministérielles du CIDI</w:t>
            </w:r>
          </w:p>
          <w:p w14:paraId="7D426AA8" w14:textId="3213B175" w:rsidR="008379DF" w:rsidRPr="00715BD6" w:rsidRDefault="00AE299B" w:rsidP="008379DF">
            <w:pPr>
              <w:pStyle w:val="TableHeading"/>
              <w:tabs>
                <w:tab w:val="left" w:pos="486"/>
                <w:tab w:val="left" w:pos="1440"/>
              </w:tabs>
              <w:suppressAutoHyphens w:val="0"/>
              <w:snapToGrid w:val="0"/>
              <w:ind w:left="486" w:hanging="265"/>
              <w:jc w:val="left"/>
              <w:rPr>
                <w:b w:val="0"/>
                <w:sz w:val="22"/>
                <w:szCs w:val="22"/>
                <w:lang w:val="fr-CA" w:eastAsia="en-US"/>
              </w:rPr>
            </w:pPr>
            <w:r>
              <w:rPr>
                <w:b w:val="0"/>
                <w:sz w:val="22"/>
                <w:szCs w:val="22"/>
                <w:lang w:val="fr-CA" w:eastAsia="en-US"/>
              </w:rPr>
              <w:t>-   Révision de façons d’améliorer les réunions ministérielles</w:t>
            </w:r>
          </w:p>
          <w:p w14:paraId="7802BD2B" w14:textId="04B142BC" w:rsidR="008379DF" w:rsidRPr="00715BD6" w:rsidRDefault="008379DF" w:rsidP="008379DF">
            <w:pPr>
              <w:pStyle w:val="TableHeading"/>
              <w:tabs>
                <w:tab w:val="left" w:pos="576"/>
                <w:tab w:val="left" w:pos="1440"/>
              </w:tabs>
              <w:suppressAutoHyphens w:val="0"/>
              <w:snapToGrid w:val="0"/>
              <w:ind w:left="576" w:hanging="355"/>
              <w:jc w:val="left"/>
              <w:rPr>
                <w:b w:val="0"/>
                <w:sz w:val="22"/>
                <w:szCs w:val="22"/>
                <w:lang w:val="fr-CA" w:eastAsia="en-US"/>
              </w:rPr>
            </w:pPr>
            <w:r w:rsidRPr="00715BD6">
              <w:rPr>
                <w:b w:val="0"/>
                <w:sz w:val="22"/>
                <w:szCs w:val="22"/>
                <w:lang w:val="fr-CA"/>
              </w:rPr>
              <w:t>-   R</w:t>
            </w:r>
            <w:r w:rsidR="00AE299B">
              <w:rPr>
                <w:b w:val="0"/>
                <w:sz w:val="22"/>
                <w:szCs w:val="22"/>
                <w:lang w:val="fr-CA"/>
              </w:rPr>
              <w:t>évision du cycle ministériel de trois ans</w:t>
            </w:r>
          </w:p>
          <w:p w14:paraId="69AE5C27" w14:textId="1E36B67D" w:rsidR="00054DC0" w:rsidRDefault="00054DC0" w:rsidP="008379DF">
            <w:pPr>
              <w:numPr>
                <w:ilvl w:val="0"/>
                <w:numId w:val="2"/>
              </w:numPr>
              <w:suppressLineNumbers/>
              <w:tabs>
                <w:tab w:val="left" w:pos="221"/>
              </w:tabs>
              <w:suppressAutoHyphens/>
              <w:snapToGrid w:val="0"/>
              <w:jc w:val="both"/>
              <w:rPr>
                <w:sz w:val="22"/>
                <w:szCs w:val="22"/>
                <w:lang w:val="fr-CA" w:eastAsia="ar-SA"/>
              </w:rPr>
            </w:pPr>
            <w:r>
              <w:rPr>
                <w:sz w:val="22"/>
                <w:szCs w:val="22"/>
                <w:lang w:val="fr-CA" w:eastAsia="ar-SA"/>
              </w:rPr>
              <w:t>Rapport sur la Douzième réunion ordinaire de la Commission interaméricaine des ports</w:t>
            </w:r>
          </w:p>
          <w:p w14:paraId="40A3129F" w14:textId="34038D30" w:rsidR="00FE18BE" w:rsidRPr="00715BD6" w:rsidRDefault="00AE299B" w:rsidP="008379DF">
            <w:pPr>
              <w:numPr>
                <w:ilvl w:val="0"/>
                <w:numId w:val="2"/>
              </w:numPr>
              <w:suppressLineNumbers/>
              <w:tabs>
                <w:tab w:val="left" w:pos="221"/>
              </w:tabs>
              <w:suppressAutoHyphens/>
              <w:snapToGrid w:val="0"/>
              <w:jc w:val="both"/>
              <w:rPr>
                <w:sz w:val="22"/>
                <w:szCs w:val="22"/>
                <w:lang w:val="fr-CA" w:eastAsia="ar-SA"/>
              </w:rPr>
            </w:pPr>
            <w:r>
              <w:rPr>
                <w:sz w:val="22"/>
                <w:szCs w:val="22"/>
                <w:lang w:val="fr-CA" w:eastAsia="ar-SA"/>
              </w:rPr>
              <w:t>Rap</w:t>
            </w:r>
            <w:r w:rsidR="008379DF" w:rsidRPr="00715BD6">
              <w:rPr>
                <w:sz w:val="22"/>
                <w:szCs w:val="22"/>
                <w:lang w:val="fr-CA" w:eastAsia="ar-SA"/>
              </w:rPr>
              <w:t>port</w:t>
            </w:r>
            <w:r>
              <w:rPr>
                <w:sz w:val="22"/>
                <w:szCs w:val="22"/>
                <w:lang w:val="fr-CA" w:eastAsia="ar-SA"/>
              </w:rPr>
              <w:t xml:space="preserve"> du Secrétariat sur la mise en œuvre des recommandations du</w:t>
            </w:r>
            <w:r w:rsidR="008379DF" w:rsidRPr="00715BD6">
              <w:rPr>
                <w:bCs/>
                <w:color w:val="000000"/>
                <w:sz w:val="22"/>
                <w:szCs w:val="22"/>
                <w:lang w:val="fr-CA"/>
              </w:rPr>
              <w:t xml:space="preserve"> CIDI</w:t>
            </w:r>
            <w:r>
              <w:rPr>
                <w:bCs/>
                <w:color w:val="000000"/>
                <w:sz w:val="22"/>
                <w:szCs w:val="22"/>
                <w:lang w:val="fr-CA"/>
              </w:rPr>
              <w:t xml:space="preserve"> contenues dans le document portant la cote</w:t>
            </w:r>
            <w:r w:rsidR="008379DF" w:rsidRPr="00715BD6">
              <w:rPr>
                <w:bCs/>
                <w:color w:val="000000"/>
                <w:sz w:val="22"/>
                <w:szCs w:val="22"/>
                <w:lang w:val="fr-CA"/>
              </w:rPr>
              <w:t xml:space="preserve"> CIDI/CPD/doc.200/20 rev.</w:t>
            </w:r>
            <w:r w:rsidR="00054DC0">
              <w:rPr>
                <w:bCs/>
                <w:color w:val="000000"/>
                <w:sz w:val="22"/>
                <w:szCs w:val="22"/>
                <w:lang w:val="fr-CA"/>
              </w:rPr>
              <w:t xml:space="preserve"> </w:t>
            </w:r>
            <w:r w:rsidR="008379DF" w:rsidRPr="00715BD6">
              <w:rPr>
                <w:bCs/>
                <w:color w:val="000000"/>
                <w:sz w:val="22"/>
                <w:szCs w:val="22"/>
                <w:lang w:val="fr-CA"/>
              </w:rPr>
              <w:t>3,</w:t>
            </w:r>
            <w:r>
              <w:rPr>
                <w:bCs/>
                <w:color w:val="000000"/>
                <w:sz w:val="22"/>
                <w:szCs w:val="22"/>
                <w:lang w:val="fr-CA"/>
              </w:rPr>
              <w:t xml:space="preserve"> sur les outils et les entités du système interaméricain pour aborder la riposte du système interaméricain aux catastrophes naturelles et pour confier des tâches au</w:t>
            </w:r>
            <w:r w:rsidR="008379DF" w:rsidRPr="00715BD6">
              <w:rPr>
                <w:bCs/>
                <w:color w:val="000000"/>
                <w:sz w:val="22"/>
                <w:szCs w:val="22"/>
                <w:lang w:val="fr-CA"/>
              </w:rPr>
              <w:t xml:space="preserve"> CIDI</w:t>
            </w:r>
          </w:p>
          <w:p w14:paraId="6F14518A" w14:textId="5762C06F" w:rsidR="00221ECA" w:rsidRPr="00715BD6" w:rsidRDefault="00AE299B" w:rsidP="00221ECA">
            <w:pPr>
              <w:pStyle w:val="TableHeading"/>
              <w:numPr>
                <w:ilvl w:val="0"/>
                <w:numId w:val="2"/>
              </w:numPr>
              <w:tabs>
                <w:tab w:val="left" w:pos="221"/>
              </w:tabs>
              <w:snapToGrid w:val="0"/>
              <w:ind w:left="221" w:hanging="221"/>
              <w:jc w:val="left"/>
              <w:rPr>
                <w:b w:val="0"/>
                <w:sz w:val="22"/>
                <w:szCs w:val="22"/>
                <w:lang w:val="fr-CA"/>
              </w:rPr>
            </w:pPr>
            <w:r>
              <w:rPr>
                <w:b w:val="0"/>
                <w:sz w:val="22"/>
                <w:szCs w:val="22"/>
                <w:lang w:val="fr-CA"/>
              </w:rPr>
              <w:t>Réflexions sur la méthode de préparation des projets de résolution</w:t>
            </w:r>
            <w:r w:rsidR="00221ECA" w:rsidRPr="00715BD6">
              <w:rPr>
                <w:b w:val="0"/>
                <w:sz w:val="22"/>
                <w:szCs w:val="22"/>
                <w:lang w:val="fr-CA"/>
              </w:rPr>
              <w:t xml:space="preserve"> </w:t>
            </w:r>
          </w:p>
          <w:p w14:paraId="7989206D" w14:textId="3CC6D25D" w:rsidR="00221ECA" w:rsidRPr="00715BD6" w:rsidRDefault="00221ECA" w:rsidP="00221ECA">
            <w:pPr>
              <w:pStyle w:val="TableHeading"/>
              <w:numPr>
                <w:ilvl w:val="0"/>
                <w:numId w:val="2"/>
              </w:numPr>
              <w:tabs>
                <w:tab w:val="left" w:pos="221"/>
              </w:tabs>
              <w:snapToGrid w:val="0"/>
              <w:ind w:left="221" w:hanging="221"/>
              <w:jc w:val="left"/>
              <w:rPr>
                <w:b w:val="0"/>
                <w:sz w:val="22"/>
                <w:szCs w:val="22"/>
                <w:lang w:val="fr-CA"/>
              </w:rPr>
            </w:pPr>
            <w:r w:rsidRPr="00715BD6">
              <w:rPr>
                <w:b w:val="0"/>
                <w:sz w:val="22"/>
                <w:szCs w:val="22"/>
                <w:lang w:val="fr-CA"/>
              </w:rPr>
              <w:t>Pr</w:t>
            </w:r>
            <w:r w:rsidR="00AE299B">
              <w:rPr>
                <w:b w:val="0"/>
                <w:sz w:val="22"/>
                <w:szCs w:val="22"/>
                <w:lang w:val="fr-CA"/>
              </w:rPr>
              <w:t>oposition de présentation po</w:t>
            </w:r>
            <w:r w:rsidR="00660049">
              <w:rPr>
                <w:b w:val="0"/>
                <w:sz w:val="22"/>
                <w:szCs w:val="22"/>
                <w:lang w:val="fr-CA"/>
              </w:rPr>
              <w:t>ur le projet de résolution globale du CIDI</w:t>
            </w:r>
            <w:r w:rsidRPr="00715BD6">
              <w:rPr>
                <w:b w:val="0"/>
                <w:sz w:val="22"/>
                <w:szCs w:val="22"/>
                <w:lang w:val="fr-CA"/>
              </w:rPr>
              <w:t xml:space="preserve"> </w:t>
            </w:r>
          </w:p>
          <w:p w14:paraId="09FF962A" w14:textId="72CB6647" w:rsidR="008379DF" w:rsidRPr="00715BD6" w:rsidRDefault="00660049" w:rsidP="00604D1D">
            <w:pPr>
              <w:pStyle w:val="TableHeading"/>
              <w:numPr>
                <w:ilvl w:val="0"/>
                <w:numId w:val="2"/>
              </w:numPr>
              <w:tabs>
                <w:tab w:val="left" w:pos="217"/>
              </w:tabs>
              <w:snapToGrid w:val="0"/>
              <w:jc w:val="both"/>
              <w:rPr>
                <w:b w:val="0"/>
                <w:sz w:val="22"/>
                <w:szCs w:val="22"/>
                <w:lang w:val="fr-CA"/>
              </w:rPr>
            </w:pPr>
            <w:r>
              <w:rPr>
                <w:b w:val="0"/>
                <w:bCs w:val="0"/>
                <w:sz w:val="22"/>
                <w:szCs w:val="22"/>
                <w:lang w:val="fr-CA"/>
              </w:rPr>
              <w:t>Autres questions</w:t>
            </w:r>
          </w:p>
          <w:p w14:paraId="3408EE4D" w14:textId="490E320E" w:rsidR="008379DF" w:rsidRPr="00715BD6" w:rsidRDefault="008379DF" w:rsidP="008379DF">
            <w:pPr>
              <w:suppressLineNumbers/>
              <w:tabs>
                <w:tab w:val="left" w:pos="221"/>
              </w:tabs>
              <w:suppressAutoHyphens/>
              <w:snapToGrid w:val="0"/>
              <w:ind w:left="360"/>
              <w:jc w:val="both"/>
              <w:rPr>
                <w:sz w:val="22"/>
                <w:szCs w:val="22"/>
                <w:lang w:val="fr-CA" w:eastAsia="ar-SA"/>
              </w:rPr>
            </w:pPr>
          </w:p>
        </w:tc>
      </w:tr>
      <w:tr w:rsidR="00FE18BE" w:rsidRPr="00715BD6" w14:paraId="2DD1DBF1" w14:textId="77777777" w:rsidTr="008214B6">
        <w:trPr>
          <w:jc w:val="center"/>
        </w:trPr>
        <w:tc>
          <w:tcPr>
            <w:tcW w:w="2554" w:type="dxa"/>
            <w:shd w:val="clear" w:color="auto" w:fill="auto"/>
          </w:tcPr>
          <w:p w14:paraId="57EDA27E" w14:textId="4B286F9F" w:rsidR="00FE18BE" w:rsidRPr="00715BD6" w:rsidRDefault="00567309" w:rsidP="0007403C">
            <w:pPr>
              <w:suppressAutoHyphens/>
              <w:rPr>
                <w:sz w:val="22"/>
                <w:szCs w:val="22"/>
                <w:lang w:val="fr-CA" w:eastAsia="ar-SA"/>
              </w:rPr>
            </w:pPr>
            <w:r>
              <w:rPr>
                <w:sz w:val="22"/>
                <w:szCs w:val="22"/>
                <w:lang w:val="fr-CA" w:eastAsia="ar-SA"/>
              </w:rPr>
              <w:t>mardi</w:t>
            </w:r>
            <w:r w:rsidR="008379DF" w:rsidRPr="00715BD6">
              <w:rPr>
                <w:sz w:val="22"/>
                <w:szCs w:val="22"/>
                <w:lang w:val="fr-CA" w:eastAsia="ar-SA"/>
              </w:rPr>
              <w:t xml:space="preserve"> </w:t>
            </w:r>
          </w:p>
          <w:p w14:paraId="58D02D06" w14:textId="40C9DD1D" w:rsidR="008379DF" w:rsidRPr="00715BD6" w:rsidRDefault="00567309" w:rsidP="0007403C">
            <w:pPr>
              <w:suppressAutoHyphens/>
              <w:rPr>
                <w:sz w:val="22"/>
                <w:szCs w:val="22"/>
                <w:lang w:val="fr-CA" w:eastAsia="ar-SA"/>
              </w:rPr>
            </w:pPr>
            <w:r>
              <w:rPr>
                <w:sz w:val="22"/>
                <w:szCs w:val="22"/>
                <w:lang w:val="fr-CA" w:eastAsia="ar-SA"/>
              </w:rPr>
              <w:t>29 juin</w:t>
            </w:r>
          </w:p>
          <w:p w14:paraId="6BAA1D01" w14:textId="304D620C" w:rsidR="008379DF" w:rsidRPr="00715BD6" w:rsidRDefault="00567309" w:rsidP="008379DF">
            <w:pPr>
              <w:suppressAutoHyphens/>
              <w:rPr>
                <w:sz w:val="22"/>
                <w:szCs w:val="22"/>
                <w:lang w:val="fr-CA" w:eastAsia="ar-SA"/>
              </w:rPr>
            </w:pPr>
            <w:r>
              <w:rPr>
                <w:sz w:val="22"/>
                <w:szCs w:val="22"/>
                <w:lang w:val="fr-CA" w:eastAsia="ar-SA"/>
              </w:rPr>
              <w:t xml:space="preserve">14 h 30 – 17 h 30 </w:t>
            </w:r>
          </w:p>
          <w:p w14:paraId="43151C28" w14:textId="4E9F8578" w:rsidR="008379DF" w:rsidRPr="00715BD6" w:rsidRDefault="008379DF" w:rsidP="0007403C">
            <w:pPr>
              <w:suppressAutoHyphens/>
              <w:rPr>
                <w:sz w:val="22"/>
                <w:szCs w:val="22"/>
                <w:lang w:val="fr-CA" w:eastAsia="ar-SA"/>
              </w:rPr>
            </w:pPr>
          </w:p>
        </w:tc>
        <w:tc>
          <w:tcPr>
            <w:tcW w:w="6664" w:type="dxa"/>
            <w:shd w:val="clear" w:color="auto" w:fill="auto"/>
            <w:vAlign w:val="center"/>
          </w:tcPr>
          <w:p w14:paraId="11728C6D" w14:textId="7EE6E7A1" w:rsidR="008379DF" w:rsidRPr="00715BD6" w:rsidRDefault="00660049" w:rsidP="008379DF">
            <w:pPr>
              <w:pStyle w:val="TableHeading"/>
              <w:numPr>
                <w:ilvl w:val="0"/>
                <w:numId w:val="2"/>
              </w:numPr>
              <w:tabs>
                <w:tab w:val="left" w:pos="221"/>
              </w:tabs>
              <w:snapToGrid w:val="0"/>
              <w:ind w:left="229" w:hanging="229"/>
              <w:jc w:val="left"/>
              <w:rPr>
                <w:b w:val="0"/>
                <w:sz w:val="22"/>
                <w:szCs w:val="22"/>
                <w:lang w:val="fr-CA"/>
              </w:rPr>
            </w:pPr>
            <w:r>
              <w:rPr>
                <w:b w:val="0"/>
                <w:sz w:val="22"/>
                <w:szCs w:val="22"/>
                <w:lang w:val="fr-CA"/>
              </w:rPr>
              <w:t>Rap</w:t>
            </w:r>
            <w:r w:rsidR="008379DF" w:rsidRPr="00715BD6">
              <w:rPr>
                <w:b w:val="0"/>
                <w:sz w:val="22"/>
                <w:szCs w:val="22"/>
                <w:lang w:val="fr-CA"/>
              </w:rPr>
              <w:t>port</w:t>
            </w:r>
            <w:r>
              <w:rPr>
                <w:b w:val="0"/>
                <w:sz w:val="22"/>
                <w:szCs w:val="22"/>
                <w:lang w:val="fr-CA"/>
              </w:rPr>
              <w:t xml:space="preserve"> du Secrétariat sur le respect des mandats contenus dans la ligne stratégique</w:t>
            </w:r>
            <w:r w:rsidR="008379DF" w:rsidRPr="00715BD6">
              <w:rPr>
                <w:b w:val="0"/>
                <w:sz w:val="22"/>
                <w:szCs w:val="22"/>
                <w:lang w:val="fr-CA"/>
              </w:rPr>
              <w:t xml:space="preserve"> “Promo</w:t>
            </w:r>
            <w:r>
              <w:rPr>
                <w:b w:val="0"/>
                <w:sz w:val="22"/>
                <w:szCs w:val="22"/>
                <w:lang w:val="fr-CA"/>
              </w:rPr>
              <w:t>uvoir des économies inclusives et compétitives</w:t>
            </w:r>
            <w:r w:rsidR="008379DF" w:rsidRPr="00715BD6">
              <w:rPr>
                <w:b w:val="0"/>
                <w:sz w:val="22"/>
                <w:szCs w:val="22"/>
                <w:lang w:val="fr-CA"/>
              </w:rPr>
              <w:t xml:space="preserve">” </w:t>
            </w:r>
            <w:r>
              <w:rPr>
                <w:b w:val="0"/>
                <w:sz w:val="22"/>
                <w:szCs w:val="22"/>
                <w:lang w:val="fr-CA"/>
              </w:rPr>
              <w:t>de la résolution</w:t>
            </w:r>
            <w:r w:rsidR="008379DF" w:rsidRPr="00715BD6">
              <w:rPr>
                <w:b w:val="0"/>
                <w:sz w:val="22"/>
                <w:szCs w:val="22"/>
                <w:lang w:val="fr-CA"/>
              </w:rPr>
              <w:t xml:space="preserve"> AG/RES. 2</w:t>
            </w:r>
            <w:r w:rsidR="003E10FA" w:rsidRPr="00715BD6">
              <w:rPr>
                <w:b w:val="0"/>
                <w:sz w:val="22"/>
                <w:szCs w:val="22"/>
                <w:lang w:val="fr-CA"/>
              </w:rPr>
              <w:t>955</w:t>
            </w:r>
            <w:r w:rsidR="008379DF" w:rsidRPr="00715BD6">
              <w:rPr>
                <w:b w:val="0"/>
                <w:sz w:val="22"/>
                <w:szCs w:val="22"/>
                <w:lang w:val="fr-CA"/>
              </w:rPr>
              <w:t xml:space="preserve"> (</w:t>
            </w:r>
            <w:r w:rsidR="003E10FA" w:rsidRPr="00715BD6">
              <w:rPr>
                <w:b w:val="0"/>
                <w:sz w:val="22"/>
                <w:szCs w:val="22"/>
                <w:lang w:val="fr-CA"/>
              </w:rPr>
              <w:t>L-O/20)</w:t>
            </w:r>
            <w:r>
              <w:rPr>
                <w:b w:val="0"/>
                <w:sz w:val="22"/>
                <w:szCs w:val="22"/>
                <w:lang w:val="fr-CA"/>
              </w:rPr>
              <w:t> </w:t>
            </w:r>
            <w:r w:rsidR="008379DF" w:rsidRPr="00715BD6">
              <w:rPr>
                <w:b w:val="0"/>
                <w:sz w:val="22"/>
                <w:szCs w:val="22"/>
                <w:lang w:val="fr-CA"/>
              </w:rPr>
              <w:t>:</w:t>
            </w:r>
          </w:p>
          <w:p w14:paraId="7281ED63" w14:textId="2113C697" w:rsidR="008379DF" w:rsidRPr="00715BD6" w:rsidRDefault="00660049" w:rsidP="008379DF">
            <w:pPr>
              <w:pStyle w:val="TableHeading"/>
              <w:numPr>
                <w:ilvl w:val="4"/>
                <w:numId w:val="4"/>
              </w:numPr>
              <w:tabs>
                <w:tab w:val="clear" w:pos="4680"/>
                <w:tab w:val="left" w:pos="221"/>
                <w:tab w:val="num" w:pos="537"/>
              </w:tabs>
              <w:snapToGrid w:val="0"/>
              <w:ind w:hanging="4413"/>
              <w:jc w:val="left"/>
              <w:rPr>
                <w:b w:val="0"/>
                <w:sz w:val="22"/>
                <w:szCs w:val="22"/>
                <w:lang w:val="fr-CA"/>
              </w:rPr>
            </w:pPr>
            <w:r>
              <w:rPr>
                <w:b w:val="0"/>
                <w:sz w:val="22"/>
                <w:szCs w:val="22"/>
                <w:lang w:val="fr-CA"/>
              </w:rPr>
              <w:t>MPME</w:t>
            </w:r>
            <w:r w:rsidR="008379DF" w:rsidRPr="00715BD6">
              <w:rPr>
                <w:b w:val="0"/>
                <w:sz w:val="22"/>
                <w:szCs w:val="22"/>
                <w:lang w:val="fr-CA"/>
              </w:rPr>
              <w:t xml:space="preserve"> </w:t>
            </w:r>
          </w:p>
          <w:p w14:paraId="3CA559BB" w14:textId="77777777" w:rsidR="008379DF" w:rsidRPr="00715BD6" w:rsidRDefault="008379DF" w:rsidP="008379DF">
            <w:pPr>
              <w:pStyle w:val="TableHeading"/>
              <w:numPr>
                <w:ilvl w:val="4"/>
                <w:numId w:val="4"/>
              </w:numPr>
              <w:tabs>
                <w:tab w:val="clear" w:pos="4680"/>
                <w:tab w:val="left" w:pos="221"/>
                <w:tab w:val="num" w:pos="537"/>
              </w:tabs>
              <w:snapToGrid w:val="0"/>
              <w:ind w:hanging="4413"/>
              <w:jc w:val="left"/>
              <w:rPr>
                <w:b w:val="0"/>
                <w:sz w:val="22"/>
                <w:szCs w:val="22"/>
                <w:lang w:val="fr-CA"/>
              </w:rPr>
            </w:pPr>
            <w:r w:rsidRPr="00715BD6">
              <w:rPr>
                <w:b w:val="0"/>
                <w:sz w:val="22"/>
                <w:szCs w:val="22"/>
                <w:lang w:val="fr-CA"/>
              </w:rPr>
              <w:t>Prospecta Americas</w:t>
            </w:r>
          </w:p>
          <w:p w14:paraId="18895EEB" w14:textId="4982FB46" w:rsidR="00221ECA" w:rsidRPr="00715BD6" w:rsidRDefault="00221ECA" w:rsidP="00221ECA">
            <w:pPr>
              <w:pStyle w:val="TableHeading"/>
              <w:numPr>
                <w:ilvl w:val="0"/>
                <w:numId w:val="2"/>
              </w:numPr>
              <w:tabs>
                <w:tab w:val="left" w:pos="221"/>
              </w:tabs>
              <w:snapToGrid w:val="0"/>
              <w:jc w:val="left"/>
              <w:rPr>
                <w:b w:val="0"/>
                <w:sz w:val="22"/>
                <w:szCs w:val="22"/>
                <w:lang w:val="fr-CA"/>
              </w:rPr>
            </w:pPr>
            <w:r w:rsidRPr="00715BD6">
              <w:rPr>
                <w:b w:val="0"/>
                <w:sz w:val="22"/>
                <w:szCs w:val="22"/>
                <w:lang w:val="fr-CA"/>
              </w:rPr>
              <w:t>A</w:t>
            </w:r>
            <w:r w:rsidR="00660049">
              <w:rPr>
                <w:b w:val="0"/>
                <w:sz w:val="22"/>
                <w:szCs w:val="22"/>
                <w:lang w:val="fr-CA"/>
              </w:rPr>
              <w:t>ccord sur la façon de préparer des projets de résolution</w:t>
            </w:r>
            <w:r w:rsidRPr="00715BD6">
              <w:rPr>
                <w:b w:val="0"/>
                <w:sz w:val="22"/>
                <w:szCs w:val="22"/>
                <w:lang w:val="fr-CA"/>
              </w:rPr>
              <w:t xml:space="preserve"> </w:t>
            </w:r>
          </w:p>
          <w:p w14:paraId="690B0B4D" w14:textId="63683B6D" w:rsidR="00221ECA" w:rsidRPr="00715BD6" w:rsidRDefault="00221ECA" w:rsidP="00221ECA">
            <w:pPr>
              <w:numPr>
                <w:ilvl w:val="0"/>
                <w:numId w:val="2"/>
              </w:numPr>
              <w:suppressLineNumbers/>
              <w:tabs>
                <w:tab w:val="left" w:pos="221"/>
              </w:tabs>
              <w:suppressAutoHyphens/>
              <w:snapToGrid w:val="0"/>
              <w:jc w:val="both"/>
              <w:rPr>
                <w:sz w:val="22"/>
                <w:szCs w:val="22"/>
                <w:lang w:val="fr-CA" w:eastAsia="ar-SA"/>
              </w:rPr>
            </w:pPr>
            <w:r w:rsidRPr="00715BD6">
              <w:rPr>
                <w:sz w:val="22"/>
                <w:szCs w:val="22"/>
                <w:lang w:val="fr-CA" w:eastAsia="ar-SA"/>
              </w:rPr>
              <w:t>A</w:t>
            </w:r>
            <w:r w:rsidR="00660049">
              <w:rPr>
                <w:sz w:val="22"/>
                <w:szCs w:val="22"/>
                <w:lang w:val="fr-CA" w:eastAsia="ar-SA"/>
              </w:rPr>
              <w:t>ccord sur la présentation des projets de résolution</w:t>
            </w:r>
          </w:p>
          <w:p w14:paraId="1B3EBC06" w14:textId="6F9B5D12" w:rsidR="003E10FA" w:rsidRPr="00715BD6" w:rsidRDefault="00660049" w:rsidP="00221ECA">
            <w:pPr>
              <w:pStyle w:val="TableHeading"/>
              <w:numPr>
                <w:ilvl w:val="0"/>
                <w:numId w:val="2"/>
              </w:numPr>
              <w:tabs>
                <w:tab w:val="left" w:pos="216"/>
              </w:tabs>
              <w:snapToGrid w:val="0"/>
              <w:jc w:val="both"/>
              <w:rPr>
                <w:b w:val="0"/>
                <w:sz w:val="22"/>
                <w:szCs w:val="22"/>
                <w:lang w:val="fr-CA"/>
              </w:rPr>
            </w:pPr>
            <w:r>
              <w:rPr>
                <w:b w:val="0"/>
                <w:bCs w:val="0"/>
                <w:sz w:val="22"/>
                <w:szCs w:val="22"/>
                <w:lang w:val="fr-CA"/>
              </w:rPr>
              <w:t>Autres questions</w:t>
            </w:r>
          </w:p>
          <w:p w14:paraId="70A96698" w14:textId="394B9E05" w:rsidR="00FE18BE" w:rsidRPr="00715BD6" w:rsidRDefault="00FE18BE" w:rsidP="003E10FA">
            <w:pPr>
              <w:suppressLineNumbers/>
              <w:tabs>
                <w:tab w:val="left" w:pos="221"/>
              </w:tabs>
              <w:suppressAutoHyphens/>
              <w:snapToGrid w:val="0"/>
              <w:ind w:left="221"/>
              <w:jc w:val="both"/>
              <w:rPr>
                <w:sz w:val="22"/>
                <w:szCs w:val="22"/>
                <w:lang w:val="fr-CA" w:eastAsia="ar-SA"/>
              </w:rPr>
            </w:pPr>
          </w:p>
        </w:tc>
      </w:tr>
      <w:tr w:rsidR="00FE18BE" w:rsidRPr="00715BD6" w14:paraId="78AE730A" w14:textId="77777777" w:rsidTr="008214B6">
        <w:trPr>
          <w:jc w:val="center"/>
        </w:trPr>
        <w:tc>
          <w:tcPr>
            <w:tcW w:w="2554" w:type="dxa"/>
            <w:shd w:val="clear" w:color="auto" w:fill="auto"/>
            <w:vAlign w:val="center"/>
          </w:tcPr>
          <w:p w14:paraId="013AA978" w14:textId="0C5A8DF7" w:rsidR="003E10FA" w:rsidRPr="00715BD6" w:rsidRDefault="00567309" w:rsidP="00FE18BE">
            <w:pPr>
              <w:suppressAutoHyphens/>
              <w:rPr>
                <w:sz w:val="22"/>
                <w:szCs w:val="22"/>
                <w:lang w:val="fr-CA" w:eastAsia="ar-SA"/>
              </w:rPr>
            </w:pPr>
            <w:r>
              <w:rPr>
                <w:sz w:val="22"/>
                <w:szCs w:val="22"/>
                <w:lang w:val="fr-CA" w:eastAsia="ar-SA"/>
              </w:rPr>
              <w:t>mardi</w:t>
            </w:r>
          </w:p>
          <w:p w14:paraId="53A9EA3D" w14:textId="54F10675" w:rsidR="00FE18BE" w:rsidRPr="00715BD6" w:rsidRDefault="00567309" w:rsidP="00FE18BE">
            <w:pPr>
              <w:suppressAutoHyphens/>
              <w:rPr>
                <w:sz w:val="22"/>
                <w:szCs w:val="22"/>
                <w:lang w:val="fr-CA" w:eastAsia="ar-SA"/>
              </w:rPr>
            </w:pPr>
            <w:r>
              <w:rPr>
                <w:sz w:val="22"/>
                <w:szCs w:val="22"/>
                <w:lang w:val="fr-CA" w:eastAsia="ar-SA"/>
              </w:rPr>
              <w:t>27 juillet</w:t>
            </w:r>
          </w:p>
          <w:p w14:paraId="6ED8431C" w14:textId="6C433256" w:rsidR="003E10FA" w:rsidRPr="00715BD6" w:rsidRDefault="00567309" w:rsidP="003E10FA">
            <w:pPr>
              <w:suppressAutoHyphens/>
              <w:rPr>
                <w:sz w:val="22"/>
                <w:szCs w:val="22"/>
                <w:lang w:val="fr-CA" w:eastAsia="ar-SA"/>
              </w:rPr>
            </w:pPr>
            <w:r>
              <w:rPr>
                <w:sz w:val="22"/>
                <w:szCs w:val="22"/>
                <w:lang w:val="fr-CA" w:eastAsia="ar-SA"/>
              </w:rPr>
              <w:t xml:space="preserve">14 h 30 – 17 h 30 </w:t>
            </w:r>
          </w:p>
          <w:p w14:paraId="47CEB5A5" w14:textId="77777777" w:rsidR="003E10FA" w:rsidRPr="00715BD6" w:rsidRDefault="003E10FA" w:rsidP="00FE18BE">
            <w:pPr>
              <w:suppressAutoHyphens/>
              <w:rPr>
                <w:sz w:val="22"/>
                <w:szCs w:val="22"/>
                <w:lang w:val="fr-CA" w:eastAsia="ar-SA"/>
              </w:rPr>
            </w:pPr>
          </w:p>
          <w:p w14:paraId="4043D161" w14:textId="12795476" w:rsidR="003E10FA" w:rsidRPr="00715BD6" w:rsidRDefault="003E10FA" w:rsidP="00FE18BE">
            <w:pPr>
              <w:suppressAutoHyphens/>
              <w:rPr>
                <w:sz w:val="22"/>
                <w:szCs w:val="22"/>
                <w:lang w:val="fr-CA" w:eastAsia="ar-SA"/>
              </w:rPr>
            </w:pPr>
          </w:p>
        </w:tc>
        <w:tc>
          <w:tcPr>
            <w:tcW w:w="6664" w:type="dxa"/>
            <w:shd w:val="clear" w:color="auto" w:fill="auto"/>
          </w:tcPr>
          <w:p w14:paraId="6C337D3A" w14:textId="6A9EF7C6" w:rsidR="003E10FA" w:rsidRPr="00715BD6" w:rsidRDefault="003E10FA" w:rsidP="00221ECA">
            <w:pPr>
              <w:pStyle w:val="TableHeading"/>
              <w:numPr>
                <w:ilvl w:val="0"/>
                <w:numId w:val="2"/>
              </w:numPr>
              <w:tabs>
                <w:tab w:val="left" w:pos="306"/>
              </w:tabs>
              <w:snapToGrid w:val="0"/>
              <w:ind w:left="216" w:hanging="216"/>
              <w:jc w:val="both"/>
              <w:rPr>
                <w:b w:val="0"/>
                <w:sz w:val="22"/>
                <w:szCs w:val="22"/>
                <w:lang w:val="fr-CA"/>
              </w:rPr>
            </w:pPr>
            <w:r w:rsidRPr="00715BD6">
              <w:rPr>
                <w:b w:val="0"/>
                <w:sz w:val="22"/>
                <w:szCs w:val="22"/>
                <w:lang w:val="fr-CA"/>
              </w:rPr>
              <w:t>R</w:t>
            </w:r>
            <w:r w:rsidR="00660049">
              <w:rPr>
                <w:b w:val="0"/>
                <w:sz w:val="22"/>
                <w:szCs w:val="22"/>
                <w:lang w:val="fr-CA"/>
              </w:rPr>
              <w:t>évision du calendrier des réunions ministérielles / nouveau calendrier</w:t>
            </w:r>
          </w:p>
          <w:p w14:paraId="58C9610E" w14:textId="5E8B1404" w:rsidR="00221ECA" w:rsidRPr="00715BD6" w:rsidRDefault="00660049" w:rsidP="00221ECA">
            <w:pPr>
              <w:pStyle w:val="TableHeading"/>
              <w:numPr>
                <w:ilvl w:val="0"/>
                <w:numId w:val="2"/>
              </w:numPr>
              <w:tabs>
                <w:tab w:val="left" w:pos="221"/>
              </w:tabs>
              <w:snapToGrid w:val="0"/>
              <w:ind w:left="216" w:hanging="216"/>
              <w:jc w:val="both"/>
              <w:rPr>
                <w:b w:val="0"/>
                <w:bCs w:val="0"/>
                <w:sz w:val="22"/>
                <w:szCs w:val="22"/>
                <w:lang w:val="fr-CA"/>
              </w:rPr>
            </w:pPr>
            <w:r>
              <w:rPr>
                <w:b w:val="0"/>
                <w:bCs w:val="0"/>
                <w:sz w:val="22"/>
                <w:szCs w:val="22"/>
                <w:lang w:val="fr-CA"/>
              </w:rPr>
              <w:t>Pré</w:t>
            </w:r>
            <w:r w:rsidR="00221ECA" w:rsidRPr="00715BD6">
              <w:rPr>
                <w:b w:val="0"/>
                <w:bCs w:val="0"/>
                <w:sz w:val="22"/>
                <w:szCs w:val="22"/>
                <w:lang w:val="fr-CA"/>
              </w:rPr>
              <w:t>sentation</w:t>
            </w:r>
            <w:r>
              <w:rPr>
                <w:b w:val="0"/>
                <w:bCs w:val="0"/>
                <w:sz w:val="22"/>
                <w:szCs w:val="22"/>
                <w:lang w:val="fr-CA"/>
              </w:rPr>
              <w:t xml:space="preserve"> du projet de résolution global</w:t>
            </w:r>
          </w:p>
          <w:p w14:paraId="409D4D72" w14:textId="41B5C7D0" w:rsidR="00221ECA" w:rsidRPr="00715BD6" w:rsidRDefault="00660049" w:rsidP="00221ECA">
            <w:pPr>
              <w:pStyle w:val="TableHeading"/>
              <w:numPr>
                <w:ilvl w:val="0"/>
                <w:numId w:val="2"/>
              </w:numPr>
              <w:tabs>
                <w:tab w:val="left" w:pos="221"/>
              </w:tabs>
              <w:snapToGrid w:val="0"/>
              <w:ind w:left="216" w:hanging="216"/>
              <w:jc w:val="both"/>
              <w:rPr>
                <w:b w:val="0"/>
                <w:bCs w:val="0"/>
                <w:sz w:val="22"/>
                <w:szCs w:val="22"/>
                <w:lang w:val="fr-CA"/>
              </w:rPr>
            </w:pPr>
            <w:r>
              <w:rPr>
                <w:b w:val="0"/>
                <w:bCs w:val="0"/>
                <w:sz w:val="22"/>
                <w:szCs w:val="22"/>
                <w:lang w:val="fr-CA"/>
              </w:rPr>
              <w:t>Pré</w:t>
            </w:r>
            <w:r w:rsidR="00221ECA" w:rsidRPr="00715BD6">
              <w:rPr>
                <w:b w:val="0"/>
                <w:bCs w:val="0"/>
                <w:sz w:val="22"/>
                <w:szCs w:val="22"/>
                <w:lang w:val="fr-CA"/>
              </w:rPr>
              <w:t>sentation</w:t>
            </w:r>
            <w:r w:rsidR="00AE7657">
              <w:rPr>
                <w:b w:val="0"/>
                <w:bCs w:val="0"/>
                <w:sz w:val="22"/>
                <w:szCs w:val="22"/>
                <w:lang w:val="fr-CA"/>
              </w:rPr>
              <w:t xml:space="preserve"> de</w:t>
            </w:r>
            <w:r>
              <w:rPr>
                <w:b w:val="0"/>
                <w:bCs w:val="0"/>
                <w:sz w:val="22"/>
                <w:szCs w:val="22"/>
                <w:lang w:val="fr-CA"/>
              </w:rPr>
              <w:t xml:space="preserve"> textes proposés par les États membres</w:t>
            </w:r>
          </w:p>
          <w:p w14:paraId="04C44597" w14:textId="72DC0BDD" w:rsidR="00FE18BE" w:rsidRPr="00715BD6" w:rsidRDefault="00660049" w:rsidP="00660049">
            <w:pPr>
              <w:numPr>
                <w:ilvl w:val="0"/>
                <w:numId w:val="2"/>
              </w:numPr>
              <w:suppressLineNumbers/>
              <w:tabs>
                <w:tab w:val="left" w:pos="221"/>
              </w:tabs>
              <w:suppressAutoHyphens/>
              <w:snapToGrid w:val="0"/>
              <w:jc w:val="both"/>
              <w:rPr>
                <w:sz w:val="22"/>
                <w:szCs w:val="22"/>
                <w:lang w:val="fr-CA" w:eastAsia="ar-SA"/>
              </w:rPr>
            </w:pPr>
            <w:r>
              <w:rPr>
                <w:sz w:val="22"/>
                <w:szCs w:val="22"/>
                <w:lang w:val="fr-CA" w:eastAsia="ar-SA"/>
              </w:rPr>
              <w:t>Autres questions</w:t>
            </w:r>
            <w:r w:rsidR="008F54F1">
              <w:rPr>
                <w:sz w:val="22"/>
                <w:szCs w:val="22"/>
                <w:lang w:val="fr-CA" w:eastAsia="ar-SA"/>
              </w:rPr>
              <w:t xml:space="preserve"> </w:t>
            </w:r>
          </w:p>
        </w:tc>
      </w:tr>
      <w:tr w:rsidR="003E10FA" w:rsidRPr="00715BD6" w14:paraId="2DC8E7FE" w14:textId="77777777" w:rsidTr="008214B6">
        <w:trPr>
          <w:jc w:val="center"/>
        </w:trPr>
        <w:tc>
          <w:tcPr>
            <w:tcW w:w="2554" w:type="dxa"/>
            <w:shd w:val="clear" w:color="auto" w:fill="auto"/>
            <w:vAlign w:val="center"/>
          </w:tcPr>
          <w:p w14:paraId="08F17417" w14:textId="5A3B7782" w:rsidR="003E10FA" w:rsidRPr="00715BD6" w:rsidRDefault="00567309" w:rsidP="003E10FA">
            <w:pPr>
              <w:suppressAutoHyphens/>
              <w:rPr>
                <w:sz w:val="22"/>
                <w:szCs w:val="22"/>
                <w:lang w:val="fr-CA" w:eastAsia="ar-SA"/>
              </w:rPr>
            </w:pPr>
            <w:r>
              <w:rPr>
                <w:sz w:val="22"/>
                <w:szCs w:val="22"/>
                <w:lang w:val="fr-CA" w:eastAsia="ar-SA"/>
              </w:rPr>
              <w:t>mardi</w:t>
            </w:r>
          </w:p>
          <w:p w14:paraId="31FF4543" w14:textId="18D6EA06" w:rsidR="003E10FA" w:rsidRPr="00715BD6" w:rsidRDefault="00567309" w:rsidP="003E10FA">
            <w:pPr>
              <w:suppressAutoHyphens/>
              <w:rPr>
                <w:sz w:val="22"/>
                <w:szCs w:val="22"/>
                <w:lang w:val="fr-CA" w:eastAsia="ar-SA"/>
              </w:rPr>
            </w:pPr>
            <w:r>
              <w:rPr>
                <w:sz w:val="22"/>
                <w:szCs w:val="22"/>
                <w:lang w:val="fr-CA" w:eastAsia="ar-SA"/>
              </w:rPr>
              <w:t>31 aout</w:t>
            </w:r>
          </w:p>
          <w:p w14:paraId="2910E9F1" w14:textId="03B0062E" w:rsidR="003E10FA" w:rsidRPr="00715BD6" w:rsidRDefault="00567309" w:rsidP="003E10FA">
            <w:pPr>
              <w:suppressAutoHyphens/>
              <w:rPr>
                <w:sz w:val="22"/>
                <w:szCs w:val="22"/>
                <w:lang w:val="fr-CA" w:eastAsia="ar-SA"/>
              </w:rPr>
            </w:pPr>
            <w:r>
              <w:rPr>
                <w:sz w:val="22"/>
                <w:szCs w:val="22"/>
                <w:lang w:val="fr-CA" w:eastAsia="ar-SA"/>
              </w:rPr>
              <w:t xml:space="preserve">14 h 30 – 17 h 30 </w:t>
            </w:r>
          </w:p>
          <w:p w14:paraId="3CA7FFDC" w14:textId="77777777" w:rsidR="003E10FA" w:rsidRPr="00715BD6" w:rsidRDefault="003E10FA" w:rsidP="00FE18BE">
            <w:pPr>
              <w:suppressAutoHyphens/>
              <w:rPr>
                <w:sz w:val="22"/>
                <w:szCs w:val="22"/>
                <w:lang w:val="fr-CA" w:eastAsia="ar-SA"/>
              </w:rPr>
            </w:pPr>
          </w:p>
        </w:tc>
        <w:tc>
          <w:tcPr>
            <w:tcW w:w="6664" w:type="dxa"/>
            <w:shd w:val="clear" w:color="auto" w:fill="auto"/>
          </w:tcPr>
          <w:p w14:paraId="29DC2CC7" w14:textId="4045AA8C" w:rsidR="00221ECA" w:rsidRPr="00715BD6" w:rsidRDefault="00221ECA" w:rsidP="00221ECA">
            <w:pPr>
              <w:pStyle w:val="TableHeading"/>
              <w:numPr>
                <w:ilvl w:val="0"/>
                <w:numId w:val="2"/>
              </w:numPr>
              <w:tabs>
                <w:tab w:val="left" w:pos="221"/>
              </w:tabs>
              <w:snapToGrid w:val="0"/>
              <w:ind w:left="216" w:hanging="216"/>
              <w:jc w:val="both"/>
              <w:rPr>
                <w:b w:val="0"/>
                <w:bCs w:val="0"/>
                <w:sz w:val="22"/>
                <w:szCs w:val="22"/>
                <w:lang w:val="fr-CA"/>
              </w:rPr>
            </w:pPr>
            <w:r w:rsidRPr="00715BD6">
              <w:rPr>
                <w:b w:val="0"/>
                <w:bCs w:val="0"/>
                <w:sz w:val="22"/>
                <w:szCs w:val="22"/>
                <w:lang w:val="fr-CA"/>
              </w:rPr>
              <w:t>N</w:t>
            </w:r>
            <w:r w:rsidR="00AE7657">
              <w:rPr>
                <w:b w:val="0"/>
                <w:bCs w:val="0"/>
                <w:sz w:val="22"/>
                <w:szCs w:val="22"/>
                <w:lang w:val="fr-CA"/>
              </w:rPr>
              <w:t>égociation du projet de résolution</w:t>
            </w:r>
          </w:p>
          <w:p w14:paraId="5E80F780" w14:textId="0AD5C066" w:rsidR="00221ECA" w:rsidRPr="00715BD6" w:rsidRDefault="00221ECA" w:rsidP="00221ECA">
            <w:pPr>
              <w:pStyle w:val="TableHeading"/>
              <w:numPr>
                <w:ilvl w:val="0"/>
                <w:numId w:val="2"/>
              </w:numPr>
              <w:tabs>
                <w:tab w:val="left" w:pos="221"/>
              </w:tabs>
              <w:snapToGrid w:val="0"/>
              <w:ind w:left="216" w:hanging="216"/>
              <w:jc w:val="both"/>
              <w:rPr>
                <w:b w:val="0"/>
                <w:bCs w:val="0"/>
                <w:sz w:val="22"/>
                <w:szCs w:val="22"/>
                <w:lang w:val="fr-CA"/>
              </w:rPr>
            </w:pPr>
            <w:r w:rsidRPr="00715BD6">
              <w:rPr>
                <w:b w:val="0"/>
                <w:bCs w:val="0"/>
                <w:sz w:val="22"/>
                <w:szCs w:val="22"/>
                <w:lang w:val="fr-CA"/>
              </w:rPr>
              <w:t>Pr</w:t>
            </w:r>
            <w:r w:rsidR="00AE7657">
              <w:rPr>
                <w:b w:val="0"/>
                <w:bCs w:val="0"/>
                <w:sz w:val="22"/>
                <w:szCs w:val="22"/>
                <w:lang w:val="fr-CA"/>
              </w:rPr>
              <w:t>ésentation de textes proposés par les États membres</w:t>
            </w:r>
          </w:p>
          <w:p w14:paraId="140F6601" w14:textId="62961810" w:rsidR="003E10FA" w:rsidRPr="00715BD6" w:rsidRDefault="00AE7657" w:rsidP="00AE7657">
            <w:pPr>
              <w:pStyle w:val="TableHeading"/>
              <w:numPr>
                <w:ilvl w:val="0"/>
                <w:numId w:val="2"/>
              </w:numPr>
              <w:tabs>
                <w:tab w:val="left" w:pos="221"/>
              </w:tabs>
              <w:snapToGrid w:val="0"/>
              <w:jc w:val="left"/>
              <w:rPr>
                <w:b w:val="0"/>
                <w:sz w:val="22"/>
                <w:szCs w:val="22"/>
                <w:lang w:val="fr-CA"/>
              </w:rPr>
            </w:pPr>
            <w:r>
              <w:rPr>
                <w:b w:val="0"/>
                <w:sz w:val="22"/>
                <w:szCs w:val="22"/>
                <w:lang w:val="fr-CA"/>
              </w:rPr>
              <w:t>Autres questions</w:t>
            </w:r>
          </w:p>
        </w:tc>
      </w:tr>
      <w:tr w:rsidR="003E10FA" w:rsidRPr="00715BD6" w14:paraId="36D1E726" w14:textId="77777777" w:rsidTr="009F38A3">
        <w:trPr>
          <w:jc w:val="center"/>
        </w:trPr>
        <w:tc>
          <w:tcPr>
            <w:tcW w:w="2554" w:type="dxa"/>
            <w:shd w:val="clear" w:color="auto" w:fill="auto"/>
          </w:tcPr>
          <w:p w14:paraId="1DCD7785" w14:textId="0CE6284A" w:rsidR="003E10FA" w:rsidRPr="00715BD6" w:rsidRDefault="00567309" w:rsidP="003E10FA">
            <w:pPr>
              <w:suppressAutoHyphens/>
              <w:rPr>
                <w:sz w:val="22"/>
                <w:szCs w:val="22"/>
                <w:lang w:val="fr-CA" w:eastAsia="ar-SA"/>
              </w:rPr>
            </w:pPr>
            <w:r>
              <w:rPr>
                <w:sz w:val="22"/>
                <w:szCs w:val="22"/>
                <w:lang w:val="fr-CA" w:eastAsia="ar-SA"/>
              </w:rPr>
              <w:t>mardi</w:t>
            </w:r>
          </w:p>
          <w:p w14:paraId="6E6EF4B1" w14:textId="15271004" w:rsidR="003E10FA" w:rsidRPr="00715BD6" w:rsidRDefault="00567309" w:rsidP="003E10FA">
            <w:pPr>
              <w:suppressAutoHyphens/>
              <w:rPr>
                <w:sz w:val="22"/>
                <w:szCs w:val="22"/>
                <w:lang w:val="fr-CA" w:eastAsia="ar-SA"/>
              </w:rPr>
            </w:pPr>
            <w:r>
              <w:rPr>
                <w:sz w:val="22"/>
                <w:szCs w:val="22"/>
                <w:lang w:val="fr-CA" w:eastAsia="ar-SA"/>
              </w:rPr>
              <w:t>28 septembre</w:t>
            </w:r>
          </w:p>
          <w:p w14:paraId="31AE202A" w14:textId="1F87291D" w:rsidR="003E10FA" w:rsidRPr="00715BD6" w:rsidRDefault="00567309" w:rsidP="003E10FA">
            <w:pPr>
              <w:suppressAutoHyphens/>
              <w:rPr>
                <w:sz w:val="22"/>
                <w:szCs w:val="22"/>
                <w:lang w:val="fr-CA" w:eastAsia="ar-SA"/>
              </w:rPr>
            </w:pPr>
            <w:r>
              <w:rPr>
                <w:sz w:val="22"/>
                <w:szCs w:val="22"/>
                <w:lang w:val="fr-CA" w:eastAsia="ar-SA"/>
              </w:rPr>
              <w:t xml:space="preserve">14 h 30 – 17 h 30 </w:t>
            </w:r>
          </w:p>
          <w:p w14:paraId="73E2CD9B" w14:textId="77777777" w:rsidR="003E10FA" w:rsidRPr="00715BD6" w:rsidRDefault="003E10FA" w:rsidP="003E10FA">
            <w:pPr>
              <w:suppressAutoHyphens/>
              <w:rPr>
                <w:sz w:val="22"/>
                <w:szCs w:val="22"/>
                <w:lang w:val="fr-CA" w:eastAsia="ar-SA"/>
              </w:rPr>
            </w:pPr>
          </w:p>
        </w:tc>
        <w:tc>
          <w:tcPr>
            <w:tcW w:w="6664" w:type="dxa"/>
            <w:shd w:val="clear" w:color="auto" w:fill="auto"/>
          </w:tcPr>
          <w:p w14:paraId="729C009A" w14:textId="4E28E78D" w:rsidR="009F38A3" w:rsidRPr="00715BD6" w:rsidRDefault="00AE7657" w:rsidP="009F38A3">
            <w:pPr>
              <w:pStyle w:val="TableHeading"/>
              <w:numPr>
                <w:ilvl w:val="0"/>
                <w:numId w:val="2"/>
              </w:numPr>
              <w:tabs>
                <w:tab w:val="left" w:pos="221"/>
              </w:tabs>
              <w:snapToGrid w:val="0"/>
              <w:ind w:left="221" w:hanging="221"/>
              <w:jc w:val="both"/>
              <w:rPr>
                <w:b w:val="0"/>
                <w:bCs w:val="0"/>
                <w:sz w:val="22"/>
                <w:szCs w:val="22"/>
                <w:lang w:val="fr-CA"/>
              </w:rPr>
            </w:pPr>
            <w:r>
              <w:rPr>
                <w:b w:val="0"/>
                <w:bCs w:val="0"/>
                <w:sz w:val="22"/>
                <w:szCs w:val="22"/>
                <w:lang w:val="fr-CA"/>
              </w:rPr>
              <w:t>Suivi du processus des réunions ministérielles du CIDI</w:t>
            </w:r>
          </w:p>
          <w:p w14:paraId="0788153D" w14:textId="6424A60A" w:rsidR="009F38A3" w:rsidRPr="00715BD6" w:rsidRDefault="009F38A3" w:rsidP="009F38A3">
            <w:pPr>
              <w:pStyle w:val="TableHeading"/>
              <w:numPr>
                <w:ilvl w:val="0"/>
                <w:numId w:val="2"/>
              </w:numPr>
              <w:tabs>
                <w:tab w:val="left" w:pos="221"/>
              </w:tabs>
              <w:snapToGrid w:val="0"/>
              <w:ind w:left="216" w:hanging="216"/>
              <w:jc w:val="both"/>
              <w:rPr>
                <w:b w:val="0"/>
                <w:bCs w:val="0"/>
                <w:sz w:val="22"/>
                <w:szCs w:val="22"/>
                <w:lang w:val="fr-CA"/>
              </w:rPr>
            </w:pPr>
            <w:r w:rsidRPr="00715BD6">
              <w:rPr>
                <w:b w:val="0"/>
                <w:bCs w:val="0"/>
                <w:sz w:val="22"/>
                <w:szCs w:val="22"/>
                <w:lang w:val="fr-CA"/>
              </w:rPr>
              <w:t>N</w:t>
            </w:r>
            <w:r w:rsidR="00AE7657">
              <w:rPr>
                <w:b w:val="0"/>
                <w:bCs w:val="0"/>
                <w:sz w:val="22"/>
                <w:szCs w:val="22"/>
                <w:lang w:val="fr-CA"/>
              </w:rPr>
              <w:t>égociations du projet de résolution</w:t>
            </w:r>
          </w:p>
          <w:p w14:paraId="31A8713C" w14:textId="0D1D955E" w:rsidR="009F38A3" w:rsidRPr="00715BD6" w:rsidRDefault="00AE7657" w:rsidP="009F38A3">
            <w:pPr>
              <w:pStyle w:val="TableHeading"/>
              <w:numPr>
                <w:ilvl w:val="0"/>
                <w:numId w:val="22"/>
              </w:numPr>
              <w:tabs>
                <w:tab w:val="left" w:pos="221"/>
              </w:tabs>
              <w:snapToGrid w:val="0"/>
              <w:ind w:left="216" w:hanging="180"/>
              <w:jc w:val="left"/>
              <w:rPr>
                <w:b w:val="0"/>
                <w:sz w:val="22"/>
                <w:szCs w:val="22"/>
                <w:lang w:val="fr-CA" w:eastAsia="en-US"/>
              </w:rPr>
            </w:pPr>
            <w:r>
              <w:rPr>
                <w:b w:val="0"/>
                <w:sz w:val="22"/>
                <w:szCs w:val="22"/>
                <w:lang w:val="fr-CA" w:eastAsia="en-US"/>
              </w:rPr>
              <w:t>Autres question</w:t>
            </w:r>
            <w:r w:rsidR="00054DC0">
              <w:rPr>
                <w:b w:val="0"/>
                <w:sz w:val="22"/>
                <w:szCs w:val="22"/>
                <w:lang w:val="fr-CA" w:eastAsia="en-US"/>
              </w:rPr>
              <w:t>s</w:t>
            </w:r>
          </w:p>
          <w:p w14:paraId="40FEB927" w14:textId="77777777" w:rsidR="00C256D7" w:rsidRDefault="00C256D7" w:rsidP="009F38A3">
            <w:pPr>
              <w:pStyle w:val="TableHeading"/>
              <w:tabs>
                <w:tab w:val="left" w:pos="221"/>
              </w:tabs>
              <w:snapToGrid w:val="0"/>
              <w:jc w:val="both"/>
              <w:rPr>
                <w:b w:val="0"/>
                <w:bCs w:val="0"/>
                <w:sz w:val="22"/>
                <w:szCs w:val="22"/>
                <w:lang w:val="fr-CA"/>
              </w:rPr>
            </w:pPr>
          </w:p>
          <w:p w14:paraId="5EF6A2D6" w14:textId="65D53FD5" w:rsidR="00F735A9" w:rsidRPr="00715BD6" w:rsidRDefault="00F735A9" w:rsidP="009F38A3">
            <w:pPr>
              <w:pStyle w:val="TableHeading"/>
              <w:tabs>
                <w:tab w:val="left" w:pos="221"/>
              </w:tabs>
              <w:snapToGrid w:val="0"/>
              <w:jc w:val="both"/>
              <w:rPr>
                <w:b w:val="0"/>
                <w:bCs w:val="0"/>
                <w:sz w:val="22"/>
                <w:szCs w:val="22"/>
                <w:lang w:val="fr-CA"/>
              </w:rPr>
            </w:pPr>
          </w:p>
        </w:tc>
      </w:tr>
      <w:tr w:rsidR="009F38A3" w:rsidRPr="00715BD6" w14:paraId="6D866ED9" w14:textId="77777777" w:rsidTr="008214B6">
        <w:trPr>
          <w:jc w:val="center"/>
        </w:trPr>
        <w:tc>
          <w:tcPr>
            <w:tcW w:w="2554" w:type="dxa"/>
            <w:shd w:val="clear" w:color="auto" w:fill="auto"/>
            <w:vAlign w:val="center"/>
          </w:tcPr>
          <w:p w14:paraId="6A14FE7B" w14:textId="5B4219EB" w:rsidR="009F38A3" w:rsidRPr="00715BD6" w:rsidRDefault="00567309" w:rsidP="003E10FA">
            <w:pPr>
              <w:suppressAutoHyphens/>
              <w:rPr>
                <w:sz w:val="22"/>
                <w:szCs w:val="22"/>
                <w:lang w:val="fr-CA" w:eastAsia="ar-SA"/>
              </w:rPr>
            </w:pPr>
            <w:r>
              <w:rPr>
                <w:sz w:val="22"/>
                <w:szCs w:val="22"/>
                <w:lang w:val="fr-CA" w:eastAsia="ar-SA"/>
              </w:rPr>
              <w:lastRenderedPageBreak/>
              <w:t>mardi</w:t>
            </w:r>
          </w:p>
          <w:p w14:paraId="31D3A11C" w14:textId="3E61AF8F" w:rsidR="009F38A3" w:rsidRPr="00715BD6" w:rsidRDefault="00567309" w:rsidP="003E10FA">
            <w:pPr>
              <w:suppressAutoHyphens/>
              <w:rPr>
                <w:sz w:val="22"/>
                <w:szCs w:val="22"/>
                <w:lang w:val="fr-CA" w:eastAsia="ar-SA"/>
              </w:rPr>
            </w:pPr>
            <w:r>
              <w:rPr>
                <w:sz w:val="22"/>
                <w:szCs w:val="22"/>
                <w:lang w:val="fr-CA" w:eastAsia="ar-SA"/>
              </w:rPr>
              <w:t>19 octobre</w:t>
            </w:r>
          </w:p>
          <w:p w14:paraId="2372DDA3" w14:textId="18628B60" w:rsidR="009F38A3" w:rsidRPr="00715BD6" w:rsidRDefault="00567309" w:rsidP="009F38A3">
            <w:pPr>
              <w:suppressAutoHyphens/>
              <w:rPr>
                <w:sz w:val="22"/>
                <w:szCs w:val="22"/>
                <w:lang w:val="fr-CA" w:eastAsia="ar-SA"/>
              </w:rPr>
            </w:pPr>
            <w:r>
              <w:rPr>
                <w:sz w:val="22"/>
                <w:szCs w:val="22"/>
                <w:lang w:val="fr-CA" w:eastAsia="ar-SA"/>
              </w:rPr>
              <w:t xml:space="preserve">14 h 30 – 17 h 30 </w:t>
            </w:r>
          </w:p>
          <w:p w14:paraId="0267B010" w14:textId="6BB5A04D" w:rsidR="009F38A3" w:rsidRPr="00715BD6" w:rsidRDefault="009F38A3" w:rsidP="003E10FA">
            <w:pPr>
              <w:suppressAutoHyphens/>
              <w:rPr>
                <w:sz w:val="22"/>
                <w:szCs w:val="22"/>
                <w:lang w:val="fr-CA" w:eastAsia="ar-SA"/>
              </w:rPr>
            </w:pPr>
          </w:p>
        </w:tc>
        <w:tc>
          <w:tcPr>
            <w:tcW w:w="6664" w:type="dxa"/>
            <w:shd w:val="clear" w:color="auto" w:fill="auto"/>
          </w:tcPr>
          <w:p w14:paraId="37FB698B" w14:textId="2F0DBB38" w:rsidR="00221ECA" w:rsidRPr="00715BD6" w:rsidRDefault="00221ECA" w:rsidP="00221ECA">
            <w:pPr>
              <w:numPr>
                <w:ilvl w:val="0"/>
                <w:numId w:val="2"/>
              </w:numPr>
              <w:suppressLineNumbers/>
              <w:tabs>
                <w:tab w:val="left" w:pos="221"/>
              </w:tabs>
              <w:suppressAutoHyphens/>
              <w:snapToGrid w:val="0"/>
              <w:ind w:left="221" w:hanging="221"/>
              <w:jc w:val="both"/>
              <w:rPr>
                <w:sz w:val="22"/>
                <w:szCs w:val="22"/>
                <w:lang w:val="fr-CA" w:eastAsia="ar-SA"/>
              </w:rPr>
            </w:pPr>
            <w:r w:rsidRPr="00715BD6">
              <w:rPr>
                <w:sz w:val="22"/>
                <w:szCs w:val="22"/>
                <w:lang w:val="fr-CA" w:eastAsia="ar-SA"/>
              </w:rPr>
              <w:t>A</w:t>
            </w:r>
            <w:r w:rsidR="00AE7657">
              <w:rPr>
                <w:sz w:val="22"/>
                <w:szCs w:val="22"/>
                <w:lang w:val="fr-CA" w:eastAsia="ar-SA"/>
              </w:rPr>
              <w:t>ccord sur le projet de résolution qui sera présenté au</w:t>
            </w:r>
            <w:r w:rsidRPr="00715BD6">
              <w:rPr>
                <w:sz w:val="22"/>
                <w:szCs w:val="22"/>
                <w:lang w:val="fr-CA" w:eastAsia="ar-SA"/>
              </w:rPr>
              <w:t xml:space="preserve"> CIDI</w:t>
            </w:r>
          </w:p>
          <w:p w14:paraId="5EDA088A" w14:textId="72F64928" w:rsidR="009F38A3" w:rsidRPr="00715BD6" w:rsidRDefault="00AE7657" w:rsidP="00AE7657">
            <w:pPr>
              <w:pStyle w:val="TableHeading"/>
              <w:numPr>
                <w:ilvl w:val="0"/>
                <w:numId w:val="22"/>
              </w:numPr>
              <w:tabs>
                <w:tab w:val="left" w:pos="221"/>
              </w:tabs>
              <w:snapToGrid w:val="0"/>
              <w:ind w:left="216" w:hanging="180"/>
              <w:jc w:val="left"/>
              <w:rPr>
                <w:b w:val="0"/>
                <w:bCs w:val="0"/>
                <w:sz w:val="22"/>
                <w:szCs w:val="22"/>
                <w:lang w:val="fr-CA"/>
              </w:rPr>
            </w:pPr>
            <w:r>
              <w:rPr>
                <w:b w:val="0"/>
                <w:sz w:val="22"/>
                <w:szCs w:val="22"/>
                <w:lang w:val="fr-CA" w:eastAsia="en-US"/>
              </w:rPr>
              <w:t>Autres questions</w:t>
            </w:r>
          </w:p>
        </w:tc>
      </w:tr>
      <w:tr w:rsidR="00FE18BE" w:rsidRPr="00947B8B" w14:paraId="2FA6F47D" w14:textId="77777777" w:rsidTr="009F38A3">
        <w:trPr>
          <w:jc w:val="center"/>
        </w:trPr>
        <w:tc>
          <w:tcPr>
            <w:tcW w:w="2554" w:type="dxa"/>
            <w:shd w:val="clear" w:color="auto" w:fill="auto"/>
          </w:tcPr>
          <w:p w14:paraId="35629B69" w14:textId="14C35401" w:rsidR="009F38A3" w:rsidRPr="00715BD6" w:rsidRDefault="00567309" w:rsidP="009F38A3">
            <w:pPr>
              <w:suppressAutoHyphens/>
              <w:rPr>
                <w:sz w:val="22"/>
                <w:szCs w:val="22"/>
                <w:lang w:val="fr-CA" w:eastAsia="ar-SA"/>
              </w:rPr>
            </w:pPr>
            <w:r>
              <w:rPr>
                <w:sz w:val="22"/>
                <w:szCs w:val="22"/>
                <w:lang w:val="fr-CA" w:eastAsia="ar-SA"/>
              </w:rPr>
              <w:t>mardi</w:t>
            </w:r>
          </w:p>
          <w:p w14:paraId="22F0E9DB" w14:textId="46031B1D" w:rsidR="009F38A3" w:rsidRPr="00715BD6" w:rsidRDefault="00567309" w:rsidP="009F38A3">
            <w:pPr>
              <w:suppressAutoHyphens/>
              <w:rPr>
                <w:sz w:val="22"/>
                <w:szCs w:val="22"/>
                <w:lang w:val="fr-CA" w:eastAsia="ar-SA"/>
              </w:rPr>
            </w:pPr>
            <w:r>
              <w:rPr>
                <w:sz w:val="22"/>
                <w:szCs w:val="22"/>
                <w:lang w:val="fr-CA" w:eastAsia="ar-SA"/>
              </w:rPr>
              <w:t>2 novembre</w:t>
            </w:r>
          </w:p>
          <w:p w14:paraId="0D46C01B" w14:textId="6E506A66" w:rsidR="00FE18BE" w:rsidRPr="00715BD6" w:rsidRDefault="00567309" w:rsidP="00C256D7">
            <w:pPr>
              <w:suppressAutoHyphens/>
              <w:rPr>
                <w:sz w:val="22"/>
                <w:szCs w:val="22"/>
                <w:lang w:val="fr-CA" w:eastAsia="ar-SA"/>
              </w:rPr>
            </w:pPr>
            <w:r>
              <w:rPr>
                <w:sz w:val="22"/>
                <w:szCs w:val="22"/>
                <w:lang w:val="fr-CA" w:eastAsia="ar-SA"/>
              </w:rPr>
              <w:t>10 h </w:t>
            </w:r>
            <w:r w:rsidR="00221ECA" w:rsidRPr="00715BD6">
              <w:rPr>
                <w:sz w:val="22"/>
                <w:szCs w:val="22"/>
                <w:lang w:val="fr-CA" w:eastAsia="ar-SA"/>
              </w:rPr>
              <w:t>0</w:t>
            </w:r>
            <w:r w:rsidR="009F38A3" w:rsidRPr="00715BD6">
              <w:rPr>
                <w:sz w:val="22"/>
                <w:szCs w:val="22"/>
                <w:lang w:val="fr-CA" w:eastAsia="ar-SA"/>
              </w:rPr>
              <w:t xml:space="preserve">0 – </w:t>
            </w:r>
            <w:r w:rsidR="00C256D7" w:rsidRPr="00715BD6">
              <w:rPr>
                <w:sz w:val="22"/>
                <w:szCs w:val="22"/>
                <w:lang w:val="fr-CA" w:eastAsia="ar-SA"/>
              </w:rPr>
              <w:t>1</w:t>
            </w:r>
            <w:r>
              <w:rPr>
                <w:sz w:val="22"/>
                <w:szCs w:val="22"/>
                <w:lang w:val="fr-CA" w:eastAsia="ar-SA"/>
              </w:rPr>
              <w:t>3 h </w:t>
            </w:r>
            <w:r w:rsidR="00C256D7" w:rsidRPr="00715BD6">
              <w:rPr>
                <w:sz w:val="22"/>
                <w:szCs w:val="22"/>
                <w:lang w:val="fr-CA" w:eastAsia="ar-SA"/>
              </w:rPr>
              <w:t>0</w:t>
            </w:r>
            <w:r>
              <w:rPr>
                <w:sz w:val="22"/>
                <w:szCs w:val="22"/>
                <w:lang w:val="fr-CA" w:eastAsia="ar-SA"/>
              </w:rPr>
              <w:t>0</w:t>
            </w:r>
          </w:p>
        </w:tc>
        <w:tc>
          <w:tcPr>
            <w:tcW w:w="6664" w:type="dxa"/>
            <w:shd w:val="clear" w:color="auto" w:fill="auto"/>
            <w:vAlign w:val="center"/>
          </w:tcPr>
          <w:p w14:paraId="6A4FB819" w14:textId="2E371A05" w:rsidR="00FE18BE" w:rsidRPr="00715BD6" w:rsidRDefault="00AE7657" w:rsidP="00FE18BE">
            <w:pPr>
              <w:numPr>
                <w:ilvl w:val="0"/>
                <w:numId w:val="2"/>
              </w:numPr>
              <w:suppressLineNumbers/>
              <w:tabs>
                <w:tab w:val="left" w:pos="221"/>
              </w:tabs>
              <w:suppressAutoHyphens/>
              <w:snapToGrid w:val="0"/>
              <w:ind w:left="221" w:hanging="221"/>
              <w:jc w:val="both"/>
              <w:rPr>
                <w:sz w:val="22"/>
                <w:szCs w:val="22"/>
                <w:lang w:val="fr-CA" w:eastAsia="ar-SA"/>
              </w:rPr>
            </w:pPr>
            <w:r>
              <w:rPr>
                <w:sz w:val="22"/>
                <w:szCs w:val="22"/>
                <w:lang w:val="fr-CA" w:eastAsia="ar-SA"/>
              </w:rPr>
              <w:t>Toute question en suspens pour l’Assemblée générale</w:t>
            </w:r>
          </w:p>
          <w:p w14:paraId="646A5426" w14:textId="77777777" w:rsidR="001B2B97" w:rsidRPr="00715BD6" w:rsidRDefault="001B2B97" w:rsidP="001B2B97">
            <w:pPr>
              <w:suppressLineNumbers/>
              <w:tabs>
                <w:tab w:val="left" w:pos="221"/>
              </w:tabs>
              <w:suppressAutoHyphens/>
              <w:snapToGrid w:val="0"/>
              <w:jc w:val="both"/>
              <w:rPr>
                <w:sz w:val="22"/>
                <w:szCs w:val="22"/>
                <w:lang w:val="fr-CA" w:eastAsia="ar-SA"/>
              </w:rPr>
            </w:pPr>
          </w:p>
          <w:p w14:paraId="5F8FEDE9" w14:textId="0ACFE3FF" w:rsidR="001B2B97" w:rsidRPr="00715BD6" w:rsidRDefault="001B2B97" w:rsidP="00221ECA">
            <w:pPr>
              <w:pStyle w:val="TableHeading"/>
              <w:tabs>
                <w:tab w:val="left" w:pos="306"/>
              </w:tabs>
              <w:snapToGrid w:val="0"/>
              <w:jc w:val="both"/>
              <w:rPr>
                <w:sz w:val="22"/>
                <w:szCs w:val="22"/>
                <w:lang w:val="fr-CA"/>
              </w:rPr>
            </w:pPr>
          </w:p>
        </w:tc>
      </w:tr>
    </w:tbl>
    <w:p w14:paraId="32FE2804" w14:textId="08492C9C" w:rsidR="00FE18BE" w:rsidRDefault="00FE18BE" w:rsidP="00FE18BE">
      <w:pPr>
        <w:suppressAutoHyphens/>
        <w:jc w:val="both"/>
        <w:rPr>
          <w:sz w:val="22"/>
          <w:szCs w:val="22"/>
          <w:lang w:val="fr-CA" w:eastAsia="ar-SA"/>
        </w:rPr>
      </w:pPr>
    </w:p>
    <w:p w14:paraId="73309D45" w14:textId="39F4B9F5" w:rsidR="00391A8F" w:rsidRPr="00715BD6" w:rsidRDefault="00947B8B" w:rsidP="00054DC0">
      <w:pPr>
        <w:suppressAutoHyphens/>
        <w:jc w:val="both"/>
        <w:rPr>
          <w:sz w:val="22"/>
          <w:szCs w:val="22"/>
          <w:lang w:val="fr-CA"/>
        </w:rPr>
      </w:pPr>
      <w:bookmarkStart w:id="1" w:name="_GoBack"/>
      <w:bookmarkEnd w:id="1"/>
      <w:r>
        <w:rPr>
          <w:noProof/>
          <w:sz w:val="22"/>
          <w:szCs w:val="22"/>
        </w:rPr>
        <mc:AlternateContent>
          <mc:Choice Requires="wps">
            <w:drawing>
              <wp:anchor distT="0" distB="0" distL="114300" distR="114300" simplePos="0" relativeHeight="251659264" behindDoc="0" locked="1" layoutInCell="1" allowOverlap="1" wp14:anchorId="7C8ECB62" wp14:editId="550D77A9">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E80F761" w14:textId="0A28180E" w:rsidR="00947B8B" w:rsidRPr="00947B8B" w:rsidRDefault="00947B8B">
                            <w:pPr>
                              <w:rPr>
                                <w:sz w:val="18"/>
                              </w:rPr>
                            </w:pPr>
                            <w:r>
                              <w:rPr>
                                <w:sz w:val="18"/>
                              </w:rPr>
                              <w:fldChar w:fldCharType="begin"/>
                            </w:r>
                            <w:r>
                              <w:rPr>
                                <w:sz w:val="18"/>
                              </w:rPr>
                              <w:instrText xml:space="preserve"> FILENAME  \* MERGEFORMAT </w:instrText>
                            </w:r>
                            <w:r>
                              <w:rPr>
                                <w:sz w:val="18"/>
                              </w:rPr>
                              <w:fldChar w:fldCharType="separate"/>
                            </w:r>
                            <w:r>
                              <w:rPr>
                                <w:noProof/>
                                <w:sz w:val="18"/>
                              </w:rPr>
                              <w:t>CIDRP03127F01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ECB62"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14:paraId="3E80F761" w14:textId="0A28180E" w:rsidR="00947B8B" w:rsidRPr="00947B8B" w:rsidRDefault="00947B8B">
                      <w:pPr>
                        <w:rPr>
                          <w:sz w:val="18"/>
                        </w:rPr>
                      </w:pPr>
                      <w:r>
                        <w:rPr>
                          <w:sz w:val="18"/>
                        </w:rPr>
                        <w:fldChar w:fldCharType="begin"/>
                      </w:r>
                      <w:r>
                        <w:rPr>
                          <w:sz w:val="18"/>
                        </w:rPr>
                        <w:instrText xml:space="preserve"> FILENAME  \* MERGEFORMAT </w:instrText>
                      </w:r>
                      <w:r>
                        <w:rPr>
                          <w:sz w:val="18"/>
                        </w:rPr>
                        <w:fldChar w:fldCharType="separate"/>
                      </w:r>
                      <w:r>
                        <w:rPr>
                          <w:noProof/>
                          <w:sz w:val="18"/>
                        </w:rPr>
                        <w:t>CIDRP03127F01</w:t>
                      </w:r>
                      <w:r>
                        <w:rPr>
                          <w:sz w:val="18"/>
                        </w:rPr>
                        <w:fldChar w:fldCharType="end"/>
                      </w:r>
                    </w:p>
                  </w:txbxContent>
                </v:textbox>
                <w10:wrap anchory="page"/>
                <w10:anchorlock/>
              </v:shape>
            </w:pict>
          </mc:Fallback>
        </mc:AlternateContent>
      </w:r>
    </w:p>
    <w:sectPr w:rsidR="00391A8F" w:rsidRPr="00715BD6" w:rsidSect="008214B6">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2023" w14:textId="77777777" w:rsidR="005C5A5C" w:rsidRDefault="005C5A5C" w:rsidP="00FE18BE">
      <w:r>
        <w:separator/>
      </w:r>
    </w:p>
  </w:endnote>
  <w:endnote w:type="continuationSeparator" w:id="0">
    <w:p w14:paraId="4F572C6D" w14:textId="77777777" w:rsidR="005C5A5C" w:rsidRDefault="005C5A5C" w:rsidP="00F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5D80" w14:textId="77777777" w:rsidR="00C04E7C" w:rsidRPr="00BE253D" w:rsidRDefault="00C04E7C" w:rsidP="008214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C0A41" w14:textId="77777777" w:rsidR="005C5A5C" w:rsidRDefault="005C5A5C" w:rsidP="00FE18BE">
      <w:r>
        <w:separator/>
      </w:r>
    </w:p>
  </w:footnote>
  <w:footnote w:type="continuationSeparator" w:id="0">
    <w:p w14:paraId="5B2DA573" w14:textId="77777777" w:rsidR="005C5A5C" w:rsidRDefault="005C5A5C" w:rsidP="00FE18BE">
      <w:r>
        <w:continuationSeparator/>
      </w:r>
    </w:p>
  </w:footnote>
  <w:footnote w:id="1">
    <w:p w14:paraId="2E2E974F" w14:textId="398F581E" w:rsidR="00C04E7C" w:rsidRPr="00012C0C" w:rsidRDefault="00C04E7C" w:rsidP="00E250A4">
      <w:pPr>
        <w:pStyle w:val="FootnoteText"/>
        <w:ind w:left="720" w:hanging="360"/>
        <w:rPr>
          <w:lang w:val="fr-CA"/>
        </w:rPr>
      </w:pPr>
      <w:r w:rsidRPr="00012C0C">
        <w:rPr>
          <w:rStyle w:val="FootnoteReference"/>
          <w:vertAlign w:val="baseline"/>
          <w:lang w:val="fr-CA"/>
        </w:rPr>
        <w:footnoteRef/>
      </w:r>
      <w:r w:rsidRPr="00012C0C">
        <w:rPr>
          <w:lang w:val="fr-CA"/>
        </w:rPr>
        <w:t>.</w:t>
      </w:r>
      <w:r w:rsidRPr="00012C0C">
        <w:rPr>
          <w:lang w:val="fr-CA"/>
        </w:rPr>
        <w:tab/>
      </w:r>
      <w:r w:rsidR="00012C0C">
        <w:rPr>
          <w:lang w:val="fr-CA"/>
        </w:rPr>
        <w:t>Lorsque nécessaires, des réunions formelles ou informelles additionnelles non prévues dans le présent plan peuvent être convoquées</w:t>
      </w:r>
      <w:r w:rsidRPr="00012C0C">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2FA9" w14:textId="7A5C7F5C" w:rsidR="00C04E7C" w:rsidRPr="005E51E3" w:rsidRDefault="00C04E7C" w:rsidP="008214B6">
    <w:pPr>
      <w:pStyle w:val="Header"/>
      <w:framePr w:wrap="around" w:vAnchor="text" w:hAnchor="margin" w:xAlign="center" w:y="1"/>
      <w:rPr>
        <w:rStyle w:val="PageNumber"/>
        <w:noProof/>
        <w:sz w:val="22"/>
        <w:szCs w:val="22"/>
      </w:rPr>
    </w:pPr>
    <w:r w:rsidRPr="005E51E3">
      <w:rPr>
        <w:rStyle w:val="PageNumber"/>
        <w:noProof/>
        <w:sz w:val="22"/>
        <w:szCs w:val="22"/>
      </w:rPr>
      <w:t xml:space="preserve">- </w:t>
    </w:r>
    <w:r w:rsidRPr="005E51E3">
      <w:rPr>
        <w:rStyle w:val="PageNumber"/>
        <w:noProof/>
        <w:sz w:val="22"/>
        <w:szCs w:val="22"/>
      </w:rPr>
      <w:fldChar w:fldCharType="begin"/>
    </w:r>
    <w:r w:rsidRPr="005E51E3">
      <w:rPr>
        <w:rStyle w:val="PageNumber"/>
        <w:noProof/>
        <w:sz w:val="22"/>
        <w:szCs w:val="22"/>
      </w:rPr>
      <w:instrText xml:space="preserve">PAGE  </w:instrText>
    </w:r>
    <w:r w:rsidRPr="005E51E3">
      <w:rPr>
        <w:rStyle w:val="PageNumber"/>
        <w:noProof/>
        <w:sz w:val="22"/>
        <w:szCs w:val="22"/>
      </w:rPr>
      <w:fldChar w:fldCharType="separate"/>
    </w:r>
    <w:r w:rsidR="00947B8B">
      <w:rPr>
        <w:rStyle w:val="PageNumber"/>
        <w:noProof/>
        <w:sz w:val="22"/>
        <w:szCs w:val="22"/>
      </w:rPr>
      <w:t>3</w:t>
    </w:r>
    <w:r w:rsidRPr="005E51E3">
      <w:rPr>
        <w:rStyle w:val="PageNumber"/>
        <w:noProof/>
        <w:sz w:val="22"/>
        <w:szCs w:val="22"/>
      </w:rPr>
      <w:fldChar w:fldCharType="end"/>
    </w:r>
    <w:r w:rsidRPr="005E51E3">
      <w:rPr>
        <w:rStyle w:val="PageNumber"/>
        <w:noProof/>
        <w:sz w:val="22"/>
        <w:szCs w:val="22"/>
      </w:rPr>
      <w:t xml:space="preserve"> -</w:t>
    </w:r>
  </w:p>
  <w:p w14:paraId="4774123A" w14:textId="77777777" w:rsidR="00C04E7C" w:rsidRPr="00383870" w:rsidRDefault="00C04E7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C220" w14:textId="356F3DAD" w:rsidR="00C04E7C" w:rsidRPr="00604D1D" w:rsidRDefault="00C04E7C">
    <w:pPr>
      <w:pStyle w:val="Header"/>
      <w:jc w:val="center"/>
      <w:rPr>
        <w:noProof/>
        <w:sz w:val="22"/>
        <w:szCs w:val="22"/>
      </w:rPr>
    </w:pPr>
    <w:r w:rsidRPr="00604D1D">
      <w:rPr>
        <w:noProof/>
        <w:sz w:val="22"/>
        <w:szCs w:val="22"/>
      </w:rPr>
      <w:fldChar w:fldCharType="begin"/>
    </w:r>
    <w:r w:rsidRPr="00604D1D">
      <w:rPr>
        <w:noProof/>
        <w:sz w:val="22"/>
        <w:szCs w:val="22"/>
      </w:rPr>
      <w:instrText xml:space="preserve"> PAGE   \* MERGEFORMAT </w:instrText>
    </w:r>
    <w:r w:rsidRPr="00604D1D">
      <w:rPr>
        <w:noProof/>
        <w:sz w:val="22"/>
        <w:szCs w:val="22"/>
      </w:rPr>
      <w:fldChar w:fldCharType="separate"/>
    </w:r>
    <w:r w:rsidR="00947B8B">
      <w:rPr>
        <w:noProof/>
        <w:sz w:val="22"/>
        <w:szCs w:val="22"/>
      </w:rPr>
      <w:t>- 18 -</w:t>
    </w:r>
    <w:r w:rsidRPr="00604D1D">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B61E" w14:textId="3C6CB5A5" w:rsidR="00C04E7C" w:rsidRDefault="00C04E7C" w:rsidP="008214B6">
    <w:pPr>
      <w:pStyle w:val="Header"/>
      <w:jc w:val="center"/>
    </w:pPr>
    <w:r>
      <w:fldChar w:fldCharType="begin"/>
    </w:r>
    <w:r>
      <w:instrText xml:space="preserve"> PAGE   \* MERGEFORMAT </w:instrText>
    </w:r>
    <w:r>
      <w:fldChar w:fldCharType="separate"/>
    </w:r>
    <w:r w:rsidR="00947B8B">
      <w:rPr>
        <w:noProof/>
      </w:rPr>
      <w:t>- 17 -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E807AA"/>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63A20"/>
    <w:multiLevelType w:val="multilevel"/>
    <w:tmpl w:val="3CA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367AB"/>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138DF"/>
    <w:multiLevelType w:val="hybridMultilevel"/>
    <w:tmpl w:val="C3B69446"/>
    <w:lvl w:ilvl="0" w:tplc="D6AAD048">
      <w:numFmt w:val="bullet"/>
      <w:lvlText w:val="-"/>
      <w:lvlJc w:val="left"/>
      <w:pPr>
        <w:ind w:left="2155" w:hanging="360"/>
      </w:pPr>
      <w:rPr>
        <w:rFonts w:ascii="Times New Roman" w:eastAsia="Times New Roman" w:hAnsi="Times New Roman" w:cs="Times New Roman" w:hint="default"/>
        <w:vanish w:val="0"/>
        <w:sz w:val="22"/>
      </w:rPr>
    </w:lvl>
    <w:lvl w:ilvl="1" w:tplc="D02CBE6C">
      <w:numFmt w:val="bullet"/>
      <w:lvlText w:val="•"/>
      <w:lvlJc w:val="left"/>
      <w:pPr>
        <w:ind w:left="2875" w:hanging="360"/>
      </w:pPr>
      <w:rPr>
        <w:rFonts w:ascii="Times New Roman" w:eastAsia="Times New Roman" w:hAnsi="Times New Roman" w:cs="Times New Roman" w:hint="default"/>
        <w:sz w:val="22"/>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7" w15:restartNumberingAfterBreak="0">
    <w:nsid w:val="332D0CCF"/>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D8383C"/>
    <w:multiLevelType w:val="hybridMultilevel"/>
    <w:tmpl w:val="EA323C96"/>
    <w:lvl w:ilvl="0" w:tplc="B100BE48">
      <w:start w:val="1"/>
      <w:numFmt w:val="bullet"/>
      <w:lvlText w:val=""/>
      <w:lvlJc w:val="left"/>
      <w:pPr>
        <w:tabs>
          <w:tab w:val="num" w:pos="1080"/>
        </w:tabs>
        <w:ind w:left="1080" w:hanging="360"/>
      </w:pPr>
      <w:rPr>
        <w:rFonts w:ascii="Wingdings" w:hAnsi="Wingdings" w:hint="default"/>
        <w:b w:val="0"/>
        <w:vanish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D6AAD048">
      <w:numFmt w:val="bullet"/>
      <w:lvlText w:val="-"/>
      <w:lvlJc w:val="left"/>
      <w:pPr>
        <w:tabs>
          <w:tab w:val="num" w:pos="4680"/>
        </w:tabs>
        <w:ind w:left="4680" w:hanging="360"/>
      </w:pPr>
      <w:rPr>
        <w:rFonts w:ascii="Times New Roman" w:eastAsia="Times New Roman" w:hAnsi="Times New Roman" w:cs="Times New Roman" w:hint="default"/>
        <w:vanish w:val="0"/>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9" w15:restartNumberingAfterBreak="0">
    <w:nsid w:val="3D5523DC"/>
    <w:multiLevelType w:val="hybridMultilevel"/>
    <w:tmpl w:val="107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993FE6"/>
    <w:multiLevelType w:val="hybridMultilevel"/>
    <w:tmpl w:val="95EACD2A"/>
    <w:lvl w:ilvl="0" w:tplc="609E263C">
      <w:start w:val="1"/>
      <w:numFmt w:val="lowerLetter"/>
      <w:lvlText w:val="%1."/>
      <w:lvlJc w:val="left"/>
      <w:pPr>
        <w:tabs>
          <w:tab w:val="num" w:pos="2520"/>
        </w:tabs>
        <w:ind w:left="2520" w:hanging="360"/>
      </w:pPr>
      <w:rPr>
        <w:vanish w:val="0"/>
      </w:rPr>
    </w:lvl>
    <w:lvl w:ilvl="1" w:tplc="47C4A334">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44D71DF6"/>
    <w:multiLevelType w:val="hybridMultilevel"/>
    <w:tmpl w:val="D250C232"/>
    <w:lvl w:ilvl="0" w:tplc="A2342690">
      <w:start w:val="1"/>
      <w:numFmt w:val="decimal"/>
      <w:lvlText w:val="%1."/>
      <w:lvlJc w:val="left"/>
      <w:pPr>
        <w:ind w:left="360" w:hanging="360"/>
      </w:pPr>
      <w:rPr>
        <w:rFonts w:hint="default"/>
        <w:b w:val="0"/>
        <w:vanish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B5D72DD"/>
    <w:multiLevelType w:val="hybridMultilevel"/>
    <w:tmpl w:val="E77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7FA5266"/>
    <w:multiLevelType w:val="hybridMultilevel"/>
    <w:tmpl w:val="F00A6938"/>
    <w:lvl w:ilvl="0" w:tplc="F0A8FCF6">
      <w:start w:val="1"/>
      <w:numFmt w:val="bullet"/>
      <w:lvlText w:val=""/>
      <w:lvlJc w:val="left"/>
      <w:pPr>
        <w:ind w:left="72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9D0737"/>
    <w:multiLevelType w:val="hybridMultilevel"/>
    <w:tmpl w:val="96A0E928"/>
    <w:lvl w:ilvl="0" w:tplc="04090017">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7"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D4C5345"/>
    <w:multiLevelType w:val="hybridMultilevel"/>
    <w:tmpl w:val="9FD40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353B5C"/>
    <w:multiLevelType w:val="hybridMultilevel"/>
    <w:tmpl w:val="22C07230"/>
    <w:lvl w:ilvl="0" w:tplc="229638FA">
      <w:start w:val="1"/>
      <w:numFmt w:val="bullet"/>
      <w:lvlText w:val=""/>
      <w:lvlJc w:val="left"/>
      <w:pPr>
        <w:ind w:left="36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8"/>
  </w:num>
  <w:num w:numId="5">
    <w:abstractNumId w:val="13"/>
  </w:num>
  <w:num w:numId="6">
    <w:abstractNumId w:val="15"/>
  </w:num>
  <w:num w:numId="7">
    <w:abstractNumId w:val="14"/>
  </w:num>
  <w:num w:numId="8">
    <w:abstractNumId w:val="17"/>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2"/>
  </w:num>
  <w:num w:numId="15">
    <w:abstractNumId w:val="4"/>
  </w:num>
  <w:num w:numId="16">
    <w:abstractNumId w:val="19"/>
  </w:num>
  <w:num w:numId="17">
    <w:abstractNumId w:val="9"/>
  </w:num>
  <w:num w:numId="18">
    <w:abstractNumId w:val="9"/>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BE"/>
    <w:rsid w:val="00002FC1"/>
    <w:rsid w:val="00011065"/>
    <w:rsid w:val="00012C0C"/>
    <w:rsid w:val="00054DC0"/>
    <w:rsid w:val="000602E7"/>
    <w:rsid w:val="0007403C"/>
    <w:rsid w:val="000863A1"/>
    <w:rsid w:val="00091F63"/>
    <w:rsid w:val="000B3603"/>
    <w:rsid w:val="001403F5"/>
    <w:rsid w:val="001735C4"/>
    <w:rsid w:val="001A0432"/>
    <w:rsid w:val="001B0EC0"/>
    <w:rsid w:val="001B2B97"/>
    <w:rsid w:val="00221ECA"/>
    <w:rsid w:val="00224DB6"/>
    <w:rsid w:val="00230B97"/>
    <w:rsid w:val="002352C5"/>
    <w:rsid w:val="00236E63"/>
    <w:rsid w:val="00261492"/>
    <w:rsid w:val="00270D22"/>
    <w:rsid w:val="00284EC5"/>
    <w:rsid w:val="002B526B"/>
    <w:rsid w:val="002F7D83"/>
    <w:rsid w:val="00317CE2"/>
    <w:rsid w:val="003228F4"/>
    <w:rsid w:val="00370B2C"/>
    <w:rsid w:val="00391A8F"/>
    <w:rsid w:val="003E10FA"/>
    <w:rsid w:val="00406282"/>
    <w:rsid w:val="00456DB9"/>
    <w:rsid w:val="004670DE"/>
    <w:rsid w:val="004B74F4"/>
    <w:rsid w:val="00503542"/>
    <w:rsid w:val="00512390"/>
    <w:rsid w:val="00517856"/>
    <w:rsid w:val="00567309"/>
    <w:rsid w:val="00595EDF"/>
    <w:rsid w:val="005C5A5C"/>
    <w:rsid w:val="00604D1D"/>
    <w:rsid w:val="00617CC1"/>
    <w:rsid w:val="00660049"/>
    <w:rsid w:val="00667243"/>
    <w:rsid w:val="006711CB"/>
    <w:rsid w:val="006C3F7D"/>
    <w:rsid w:val="006D05EB"/>
    <w:rsid w:val="006E1D07"/>
    <w:rsid w:val="0070253C"/>
    <w:rsid w:val="00715BD6"/>
    <w:rsid w:val="007824FE"/>
    <w:rsid w:val="007954B7"/>
    <w:rsid w:val="007A1717"/>
    <w:rsid w:val="00811C4C"/>
    <w:rsid w:val="00820087"/>
    <w:rsid w:val="008214B6"/>
    <w:rsid w:val="008356EF"/>
    <w:rsid w:val="008379DF"/>
    <w:rsid w:val="008D0BC1"/>
    <w:rsid w:val="008D1406"/>
    <w:rsid w:val="008F2480"/>
    <w:rsid w:val="008F54F1"/>
    <w:rsid w:val="0094458B"/>
    <w:rsid w:val="00947B8B"/>
    <w:rsid w:val="00961A45"/>
    <w:rsid w:val="009629D4"/>
    <w:rsid w:val="00981E6A"/>
    <w:rsid w:val="009D12D2"/>
    <w:rsid w:val="009F297A"/>
    <w:rsid w:val="009F38A3"/>
    <w:rsid w:val="00A5106B"/>
    <w:rsid w:val="00A749B5"/>
    <w:rsid w:val="00A81380"/>
    <w:rsid w:val="00AA7A83"/>
    <w:rsid w:val="00AA7D96"/>
    <w:rsid w:val="00AC7BED"/>
    <w:rsid w:val="00AE07D2"/>
    <w:rsid w:val="00AE299B"/>
    <w:rsid w:val="00AE7657"/>
    <w:rsid w:val="00B06DE0"/>
    <w:rsid w:val="00B54FFF"/>
    <w:rsid w:val="00B56D0F"/>
    <w:rsid w:val="00B7264C"/>
    <w:rsid w:val="00BC3757"/>
    <w:rsid w:val="00BE14DC"/>
    <w:rsid w:val="00BF25CE"/>
    <w:rsid w:val="00BF7D7F"/>
    <w:rsid w:val="00C04E7C"/>
    <w:rsid w:val="00C073CF"/>
    <w:rsid w:val="00C256D7"/>
    <w:rsid w:val="00C336A5"/>
    <w:rsid w:val="00C62E5A"/>
    <w:rsid w:val="00CC29A4"/>
    <w:rsid w:val="00D642EA"/>
    <w:rsid w:val="00D922A9"/>
    <w:rsid w:val="00E1621F"/>
    <w:rsid w:val="00E250A4"/>
    <w:rsid w:val="00E77877"/>
    <w:rsid w:val="00E81083"/>
    <w:rsid w:val="00EA34F4"/>
    <w:rsid w:val="00EA6922"/>
    <w:rsid w:val="00EE62C5"/>
    <w:rsid w:val="00EF0691"/>
    <w:rsid w:val="00F44B2B"/>
    <w:rsid w:val="00F6541F"/>
    <w:rsid w:val="00F65854"/>
    <w:rsid w:val="00F65DC7"/>
    <w:rsid w:val="00F735A9"/>
    <w:rsid w:val="00FC76C3"/>
    <w:rsid w:val="00FE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713856"/>
  <w15:docId w15:val="{711331AA-25E7-49DE-8B70-8B59475E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96"/>
    <w:rPr>
      <w:sz w:val="24"/>
      <w:szCs w:val="24"/>
    </w:rPr>
  </w:style>
  <w:style w:type="paragraph" w:styleId="Heading1">
    <w:name w:val="heading 1"/>
    <w:aliases w:val="Heading 1 Char Char,Heading 1 Char1,Heading 1 Char1 Car"/>
    <w:basedOn w:val="Normal"/>
    <w:next w:val="Normal"/>
    <w:link w:val="Heading1Char"/>
    <w:qFormat/>
    <w:rsid w:val="001A0432"/>
    <w:pPr>
      <w:jc w:val="center"/>
      <w:outlineLvl w:val="0"/>
    </w:pPr>
    <w:rPr>
      <w:bCs/>
      <w:sz w:val="22"/>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8BE"/>
    <w:pPr>
      <w:tabs>
        <w:tab w:val="center" w:pos="4680"/>
        <w:tab w:val="right" w:pos="9360"/>
      </w:tabs>
    </w:pPr>
  </w:style>
  <w:style w:type="character" w:customStyle="1" w:styleId="HeaderChar">
    <w:name w:val="Header Char"/>
    <w:basedOn w:val="DefaultParagraphFont"/>
    <w:link w:val="Header"/>
    <w:rsid w:val="00FE18BE"/>
    <w:rPr>
      <w:sz w:val="24"/>
      <w:szCs w:val="24"/>
    </w:rPr>
  </w:style>
  <w:style w:type="paragraph" w:styleId="Footer">
    <w:name w:val="footer"/>
    <w:basedOn w:val="Normal"/>
    <w:link w:val="FooterChar"/>
    <w:rsid w:val="00FE18BE"/>
    <w:pPr>
      <w:tabs>
        <w:tab w:val="center" w:pos="4680"/>
        <w:tab w:val="right" w:pos="9360"/>
      </w:tabs>
    </w:pPr>
  </w:style>
  <w:style w:type="character" w:customStyle="1" w:styleId="FooterChar">
    <w:name w:val="Footer Char"/>
    <w:basedOn w:val="DefaultParagraphFont"/>
    <w:link w:val="Footer"/>
    <w:rsid w:val="00FE18BE"/>
    <w:rPr>
      <w:sz w:val="24"/>
      <w:szCs w:val="24"/>
    </w:rPr>
  </w:style>
  <w:style w:type="character" w:styleId="PageNumber">
    <w:name w:val="page number"/>
    <w:basedOn w:val="DefaultParagraphFont"/>
    <w:rsid w:val="00FE18BE"/>
  </w:style>
  <w:style w:type="character" w:styleId="FootnoteReference">
    <w:name w:val="footnote reference"/>
    <w:rsid w:val="00FE18BE"/>
    <w:rPr>
      <w:vertAlign w:val="superscript"/>
    </w:rPr>
  </w:style>
  <w:style w:type="paragraph" w:styleId="FootnoteText">
    <w:name w:val="footnote text"/>
    <w:basedOn w:val="Normal"/>
    <w:link w:val="FootnoteTextChar"/>
    <w:rsid w:val="00FE18BE"/>
    <w:pPr>
      <w:suppressAutoHyphens/>
    </w:pPr>
    <w:rPr>
      <w:sz w:val="20"/>
      <w:szCs w:val="20"/>
      <w:lang w:eastAsia="ar-SA"/>
    </w:rPr>
  </w:style>
  <w:style w:type="character" w:customStyle="1" w:styleId="FootnoteTextChar">
    <w:name w:val="Footnote Text Char"/>
    <w:basedOn w:val="DefaultParagraphFont"/>
    <w:link w:val="FootnoteText"/>
    <w:rsid w:val="00FE18BE"/>
    <w:rPr>
      <w:lang w:eastAsia="ar-SA"/>
    </w:rPr>
  </w:style>
  <w:style w:type="character" w:customStyle="1" w:styleId="Heading1Char">
    <w:name w:val="Heading 1 Char"/>
    <w:aliases w:val="Heading 1 Char Char Char,Heading 1 Char1 Char,Heading 1 Char1 Car Char"/>
    <w:basedOn w:val="DefaultParagraphFont"/>
    <w:link w:val="Heading1"/>
    <w:rsid w:val="001A0432"/>
    <w:rPr>
      <w:bCs/>
      <w:sz w:val="22"/>
      <w:szCs w:val="28"/>
      <w:lang w:val="es-ES" w:eastAsia="es-E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2352C5"/>
    <w:rPr>
      <w:sz w:val="16"/>
      <w:szCs w:val="16"/>
    </w:rPr>
  </w:style>
  <w:style w:type="paragraph" w:styleId="CommentText">
    <w:name w:val="annotation text"/>
    <w:basedOn w:val="Normal"/>
    <w:link w:val="CommentTextChar"/>
    <w:rsid w:val="002352C5"/>
    <w:rPr>
      <w:sz w:val="20"/>
      <w:szCs w:val="20"/>
    </w:rPr>
  </w:style>
  <w:style w:type="character" w:customStyle="1" w:styleId="CommentTextChar">
    <w:name w:val="Comment Text Char"/>
    <w:basedOn w:val="DefaultParagraphFont"/>
    <w:link w:val="CommentText"/>
    <w:rsid w:val="002352C5"/>
  </w:style>
  <w:style w:type="paragraph" w:styleId="CommentSubject">
    <w:name w:val="annotation subject"/>
    <w:basedOn w:val="CommentText"/>
    <w:next w:val="CommentText"/>
    <w:link w:val="CommentSubjectChar"/>
    <w:rsid w:val="002352C5"/>
    <w:rPr>
      <w:b/>
      <w:bCs/>
    </w:rPr>
  </w:style>
  <w:style w:type="character" w:customStyle="1" w:styleId="CommentSubjectChar">
    <w:name w:val="Comment Subject Char"/>
    <w:basedOn w:val="CommentTextChar"/>
    <w:link w:val="CommentSubject"/>
    <w:rsid w:val="002352C5"/>
    <w:rPr>
      <w:b/>
      <w:bCs/>
    </w:rPr>
  </w:style>
  <w:style w:type="paragraph" w:styleId="BalloonText">
    <w:name w:val="Balloon Text"/>
    <w:basedOn w:val="Normal"/>
    <w:link w:val="BalloonTextChar"/>
    <w:rsid w:val="002352C5"/>
    <w:rPr>
      <w:rFonts w:ascii="Segoe UI" w:hAnsi="Segoe UI" w:cs="Segoe UI"/>
      <w:sz w:val="18"/>
      <w:szCs w:val="18"/>
    </w:rPr>
  </w:style>
  <w:style w:type="character" w:customStyle="1" w:styleId="BalloonTextChar">
    <w:name w:val="Balloon Text Char"/>
    <w:basedOn w:val="DefaultParagraphFont"/>
    <w:link w:val="BalloonText"/>
    <w:rsid w:val="002352C5"/>
    <w:rPr>
      <w:rFonts w:ascii="Segoe UI" w:hAnsi="Segoe UI" w:cs="Segoe UI"/>
      <w:sz w:val="18"/>
      <w:szCs w:val="18"/>
    </w:rPr>
  </w:style>
  <w:style w:type="paragraph" w:customStyle="1" w:styleId="yiv6969577381ydp55b6f93cyiv1108822727ydpc3e487cbmsonormal">
    <w:name w:val="yiv6969577381ydp55b6f93cyiv1108822727ydpc3e487cbmsonormal"/>
    <w:basedOn w:val="Normal"/>
    <w:rsid w:val="00512390"/>
    <w:pPr>
      <w:spacing w:before="100" w:beforeAutospacing="1" w:after="100" w:afterAutospacing="1"/>
    </w:pPr>
    <w:rPr>
      <w:lang w:val="es-MX" w:eastAsia="es-MX"/>
    </w:rPr>
  </w:style>
  <w:style w:type="paragraph" w:styleId="ListParagraph">
    <w:name w:val="List Paragraph"/>
    <w:basedOn w:val="Normal"/>
    <w:uiPriority w:val="34"/>
    <w:qFormat/>
    <w:rsid w:val="00595EDF"/>
    <w:pPr>
      <w:ind w:left="720"/>
      <w:contextualSpacing/>
    </w:pPr>
  </w:style>
  <w:style w:type="paragraph" w:customStyle="1" w:styleId="TableHeading">
    <w:name w:val="Table Heading"/>
    <w:basedOn w:val="Normal"/>
    <w:rsid w:val="001403F5"/>
    <w:pPr>
      <w:suppressLineNumbers/>
      <w:suppressAutoHyphens/>
      <w:jc w:val="center"/>
    </w:pPr>
    <w:rPr>
      <w:b/>
      <w:bCs/>
      <w:lang w:eastAsia="ar-SA"/>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unhideWhenUsed/>
    <w:qFormat/>
    <w:rsid w:val="00D92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555">
      <w:bodyDiv w:val="1"/>
      <w:marLeft w:val="0"/>
      <w:marRight w:val="0"/>
      <w:marTop w:val="0"/>
      <w:marBottom w:val="0"/>
      <w:divBdr>
        <w:top w:val="none" w:sz="0" w:space="0" w:color="auto"/>
        <w:left w:val="none" w:sz="0" w:space="0" w:color="auto"/>
        <w:bottom w:val="none" w:sz="0" w:space="0" w:color="auto"/>
        <w:right w:val="none" w:sz="0" w:space="0" w:color="auto"/>
      </w:divBdr>
    </w:div>
    <w:div w:id="42337281">
      <w:bodyDiv w:val="1"/>
      <w:marLeft w:val="0"/>
      <w:marRight w:val="0"/>
      <w:marTop w:val="0"/>
      <w:marBottom w:val="0"/>
      <w:divBdr>
        <w:top w:val="none" w:sz="0" w:space="0" w:color="auto"/>
        <w:left w:val="none" w:sz="0" w:space="0" w:color="auto"/>
        <w:bottom w:val="none" w:sz="0" w:space="0" w:color="auto"/>
        <w:right w:val="none" w:sz="0" w:space="0" w:color="auto"/>
      </w:divBdr>
    </w:div>
    <w:div w:id="593173222">
      <w:bodyDiv w:val="1"/>
      <w:marLeft w:val="0"/>
      <w:marRight w:val="0"/>
      <w:marTop w:val="0"/>
      <w:marBottom w:val="0"/>
      <w:divBdr>
        <w:top w:val="none" w:sz="0" w:space="0" w:color="auto"/>
        <w:left w:val="none" w:sz="0" w:space="0" w:color="auto"/>
        <w:bottom w:val="none" w:sz="0" w:space="0" w:color="auto"/>
        <w:right w:val="none" w:sz="0" w:space="0" w:color="auto"/>
      </w:divBdr>
    </w:div>
    <w:div w:id="16323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5158</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2021-03-17T21:54:00Z</dcterms:created>
  <dcterms:modified xsi:type="dcterms:W3CDTF">2021-03-17T21:56:00Z</dcterms:modified>
</cp:coreProperties>
</file>