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6227" w:rsidRPr="00ED17D7" w:rsidRDefault="006A6227" w:rsidP="00452199">
      <w:pPr>
        <w:tabs>
          <w:tab w:val="left" w:pos="6700"/>
        </w:tabs>
        <w:suppressAutoHyphens w:val="0"/>
        <w:ind w:right="-929"/>
        <w:rPr>
          <w:sz w:val="22"/>
          <w:szCs w:val="22"/>
          <w:lang w:val="es-CO" w:eastAsia="en-US"/>
        </w:rPr>
      </w:pPr>
      <w:r w:rsidRPr="00ED17D7">
        <w:rPr>
          <w:caps/>
          <w:sz w:val="22"/>
          <w:szCs w:val="22"/>
          <w:lang w:val="es-CO" w:eastAsia="en-US"/>
        </w:rPr>
        <w:t>comisiÓn de POLÍTICAS de CooperaciÓn</w:t>
      </w:r>
      <w:r w:rsidRPr="00ED17D7">
        <w:rPr>
          <w:sz w:val="22"/>
          <w:szCs w:val="22"/>
          <w:lang w:val="es-CO" w:eastAsia="en-US"/>
        </w:rPr>
        <w:tab/>
        <w:t>OEA/Ser. W</w:t>
      </w:r>
    </w:p>
    <w:p w:rsidR="006A6227" w:rsidRPr="00ED17D7" w:rsidRDefault="006A6227" w:rsidP="00452199">
      <w:pPr>
        <w:tabs>
          <w:tab w:val="left" w:pos="6700"/>
        </w:tabs>
        <w:suppressAutoHyphens w:val="0"/>
        <w:ind w:right="-929"/>
        <w:rPr>
          <w:sz w:val="22"/>
          <w:szCs w:val="22"/>
          <w:lang w:val="es-CO" w:eastAsia="en-US"/>
        </w:rPr>
      </w:pPr>
      <w:r w:rsidRPr="00ED17D7">
        <w:rPr>
          <w:caps/>
          <w:sz w:val="22"/>
          <w:szCs w:val="22"/>
          <w:lang w:val="es-CO" w:eastAsia="en-US"/>
        </w:rPr>
        <w:t>Solidaria para el Desarrollo</w:t>
      </w:r>
      <w:r w:rsidRPr="00ED17D7">
        <w:rPr>
          <w:caps/>
          <w:sz w:val="22"/>
          <w:szCs w:val="22"/>
          <w:lang w:val="es-CO" w:eastAsia="en-US"/>
        </w:rPr>
        <w:tab/>
      </w:r>
      <w:r w:rsidRPr="00ED17D7">
        <w:rPr>
          <w:sz w:val="22"/>
          <w:szCs w:val="22"/>
          <w:lang w:val="es-CO" w:eastAsia="en-US"/>
        </w:rPr>
        <w:t>CIDI/CPD/</w:t>
      </w:r>
      <w:r w:rsidR="00ED17D7" w:rsidRPr="00ED17D7">
        <w:rPr>
          <w:sz w:val="22"/>
          <w:szCs w:val="22"/>
          <w:lang w:val="es-CO" w:eastAsia="en-US"/>
        </w:rPr>
        <w:t>INF.</w:t>
      </w:r>
      <w:r w:rsidR="00373915">
        <w:rPr>
          <w:sz w:val="22"/>
          <w:szCs w:val="22"/>
          <w:lang w:val="es-CO" w:eastAsia="en-US"/>
        </w:rPr>
        <w:t>48</w:t>
      </w:r>
      <w:r w:rsidRPr="00ED17D7">
        <w:rPr>
          <w:sz w:val="22"/>
          <w:szCs w:val="22"/>
          <w:lang w:val="es-CO" w:eastAsia="en-US"/>
        </w:rPr>
        <w:t>/</w:t>
      </w:r>
      <w:r w:rsidR="00156762" w:rsidRPr="00ED17D7">
        <w:rPr>
          <w:sz w:val="22"/>
          <w:szCs w:val="22"/>
          <w:lang w:val="es-CO" w:eastAsia="en-US"/>
        </w:rPr>
        <w:t>20</w:t>
      </w:r>
      <w:r w:rsidRPr="00ED17D7">
        <w:rPr>
          <w:sz w:val="22"/>
          <w:szCs w:val="22"/>
          <w:lang w:val="es-CO" w:eastAsia="en-US"/>
        </w:rPr>
        <w:t xml:space="preserve"> </w:t>
      </w:r>
    </w:p>
    <w:p w:rsidR="006A6227" w:rsidRPr="00ED17D7" w:rsidRDefault="00B75066" w:rsidP="00452199">
      <w:pPr>
        <w:tabs>
          <w:tab w:val="left" w:pos="6700"/>
        </w:tabs>
        <w:suppressAutoHyphens w:val="0"/>
        <w:ind w:right="-929"/>
        <w:rPr>
          <w:sz w:val="22"/>
          <w:szCs w:val="22"/>
          <w:lang w:val="es-CO" w:eastAsia="en-US"/>
        </w:rPr>
      </w:pPr>
      <w:r w:rsidRPr="00ED17D7">
        <w:rPr>
          <w:sz w:val="22"/>
          <w:szCs w:val="22"/>
          <w:lang w:val="es-CO" w:eastAsia="en-US"/>
        </w:rPr>
        <w:tab/>
      </w:r>
      <w:r w:rsidR="00B36C5C">
        <w:rPr>
          <w:sz w:val="22"/>
          <w:szCs w:val="22"/>
          <w:lang w:val="es-CO" w:eastAsia="en-US"/>
        </w:rPr>
        <w:t>1</w:t>
      </w:r>
      <w:r w:rsidR="00373915">
        <w:rPr>
          <w:sz w:val="22"/>
          <w:szCs w:val="22"/>
          <w:lang w:val="es-CO" w:eastAsia="en-US"/>
        </w:rPr>
        <w:t>4</w:t>
      </w:r>
      <w:r w:rsidR="00ED17D7" w:rsidRPr="00ED17D7">
        <w:rPr>
          <w:sz w:val="22"/>
          <w:szCs w:val="22"/>
          <w:lang w:val="es-CO" w:eastAsia="en-US"/>
        </w:rPr>
        <w:t xml:space="preserve"> mayo</w:t>
      </w:r>
      <w:r w:rsidR="00AA64F7" w:rsidRPr="00ED17D7">
        <w:rPr>
          <w:sz w:val="22"/>
          <w:szCs w:val="22"/>
          <w:lang w:val="es-CO" w:eastAsia="en-US"/>
        </w:rPr>
        <w:t xml:space="preserve"> </w:t>
      </w:r>
      <w:r w:rsidR="006A6227" w:rsidRPr="00ED17D7">
        <w:rPr>
          <w:sz w:val="22"/>
          <w:szCs w:val="22"/>
          <w:lang w:val="es-CO" w:eastAsia="en-US"/>
        </w:rPr>
        <w:t>20</w:t>
      </w:r>
      <w:r w:rsidR="00156762" w:rsidRPr="00ED17D7">
        <w:rPr>
          <w:sz w:val="22"/>
          <w:szCs w:val="22"/>
          <w:lang w:val="es-CO" w:eastAsia="en-US"/>
        </w:rPr>
        <w:t>20</w:t>
      </w:r>
    </w:p>
    <w:p w:rsidR="006A6227" w:rsidRPr="00ED17D7" w:rsidRDefault="00813ED8" w:rsidP="00452199">
      <w:pPr>
        <w:tabs>
          <w:tab w:val="left" w:pos="6700"/>
        </w:tabs>
        <w:suppressAutoHyphens w:val="0"/>
        <w:ind w:right="-929"/>
        <w:rPr>
          <w:sz w:val="22"/>
          <w:szCs w:val="22"/>
          <w:lang w:val="es-US" w:eastAsia="en-US"/>
        </w:rPr>
      </w:pPr>
      <w:r w:rsidRPr="00ED17D7">
        <w:rPr>
          <w:sz w:val="22"/>
          <w:szCs w:val="22"/>
          <w:lang w:val="es-CO" w:eastAsia="en-US"/>
        </w:rPr>
        <w:tab/>
        <w:t>Original:</w:t>
      </w:r>
      <w:r w:rsidR="00ED17D7" w:rsidRPr="00ED17D7">
        <w:rPr>
          <w:sz w:val="22"/>
          <w:szCs w:val="22"/>
          <w:lang w:val="es-CO" w:eastAsia="en-US"/>
        </w:rPr>
        <w:t xml:space="preserve"> inglés</w:t>
      </w:r>
    </w:p>
    <w:p w:rsidR="006A6227" w:rsidRPr="00ED17D7" w:rsidRDefault="006A6227" w:rsidP="00452199">
      <w:pPr>
        <w:pBdr>
          <w:bottom w:val="single" w:sz="12" w:space="1" w:color="auto"/>
        </w:pBdr>
        <w:tabs>
          <w:tab w:val="left" w:pos="6750"/>
        </w:tabs>
        <w:suppressAutoHyphens w:val="0"/>
        <w:ind w:right="-1080"/>
        <w:rPr>
          <w:b/>
          <w:bCs/>
          <w:sz w:val="22"/>
          <w:szCs w:val="22"/>
          <w:lang w:val="es-CO" w:eastAsia="en-US"/>
        </w:rPr>
      </w:pPr>
    </w:p>
    <w:p w:rsidR="006A6227" w:rsidRPr="00ED17D7" w:rsidRDefault="006A6227" w:rsidP="00452199">
      <w:pPr>
        <w:suppressAutoHyphens w:val="0"/>
        <w:rPr>
          <w:sz w:val="22"/>
          <w:szCs w:val="22"/>
          <w:lang w:val="es-CO" w:eastAsia="en-US"/>
        </w:rPr>
      </w:pPr>
    </w:p>
    <w:p w:rsidR="00E41A4D" w:rsidRPr="00ED17D7" w:rsidRDefault="00E41A4D" w:rsidP="00452199">
      <w:pPr>
        <w:jc w:val="center"/>
        <w:rPr>
          <w:sz w:val="22"/>
          <w:szCs w:val="22"/>
          <w:lang w:val="es-ES"/>
        </w:rPr>
      </w:pPr>
    </w:p>
    <w:p w:rsidR="00E41A4D" w:rsidRPr="00ED17D7" w:rsidRDefault="00E41A4D" w:rsidP="00452199">
      <w:pPr>
        <w:jc w:val="center"/>
        <w:rPr>
          <w:sz w:val="22"/>
          <w:szCs w:val="22"/>
          <w:lang w:val="es-ES"/>
        </w:rPr>
      </w:pPr>
    </w:p>
    <w:p w:rsidR="00E41A4D" w:rsidRPr="00ED17D7" w:rsidRDefault="00E41A4D" w:rsidP="00452199">
      <w:pPr>
        <w:jc w:val="center"/>
        <w:rPr>
          <w:sz w:val="22"/>
          <w:szCs w:val="22"/>
          <w:lang w:val="es-ES"/>
        </w:rPr>
      </w:pPr>
    </w:p>
    <w:p w:rsidR="00FB5705" w:rsidRPr="00ED17D7" w:rsidRDefault="00FB5705" w:rsidP="00452199">
      <w:pPr>
        <w:jc w:val="center"/>
        <w:rPr>
          <w:sz w:val="22"/>
          <w:szCs w:val="22"/>
          <w:lang w:val="es-ES"/>
        </w:rPr>
      </w:pPr>
    </w:p>
    <w:p w:rsidR="00FB5705" w:rsidRPr="00ED17D7" w:rsidRDefault="00FB5705" w:rsidP="00452199">
      <w:pPr>
        <w:jc w:val="center"/>
        <w:rPr>
          <w:sz w:val="22"/>
          <w:szCs w:val="22"/>
          <w:lang w:val="es-ES"/>
        </w:rPr>
      </w:pPr>
    </w:p>
    <w:p w:rsidR="00FB5705" w:rsidRPr="00ED17D7" w:rsidRDefault="00FB5705" w:rsidP="00452199">
      <w:pPr>
        <w:jc w:val="center"/>
        <w:rPr>
          <w:sz w:val="22"/>
          <w:szCs w:val="22"/>
          <w:lang w:val="es-ES"/>
        </w:rPr>
      </w:pPr>
    </w:p>
    <w:p w:rsidR="00FB5705" w:rsidRPr="00ED17D7" w:rsidRDefault="00FB5705" w:rsidP="00452199">
      <w:pPr>
        <w:jc w:val="center"/>
        <w:rPr>
          <w:sz w:val="22"/>
          <w:szCs w:val="22"/>
          <w:lang w:val="es-ES"/>
        </w:rPr>
      </w:pPr>
    </w:p>
    <w:p w:rsidR="00E41A4D" w:rsidRPr="00ED17D7" w:rsidRDefault="00E41A4D" w:rsidP="00452199">
      <w:pPr>
        <w:jc w:val="center"/>
        <w:rPr>
          <w:sz w:val="22"/>
          <w:szCs w:val="22"/>
          <w:lang w:val="es-ES"/>
        </w:rPr>
      </w:pPr>
    </w:p>
    <w:p w:rsidR="00E41A4D" w:rsidRPr="00ED17D7" w:rsidRDefault="00E41A4D" w:rsidP="00452199">
      <w:pPr>
        <w:jc w:val="center"/>
        <w:rPr>
          <w:sz w:val="22"/>
          <w:szCs w:val="22"/>
          <w:lang w:val="es-ES"/>
        </w:rPr>
      </w:pPr>
    </w:p>
    <w:p w:rsidR="00FB5705" w:rsidRPr="00ED17D7" w:rsidRDefault="00FB5705" w:rsidP="00452199">
      <w:pPr>
        <w:jc w:val="center"/>
        <w:rPr>
          <w:sz w:val="22"/>
          <w:szCs w:val="22"/>
          <w:lang w:val="es-ES"/>
        </w:rPr>
      </w:pPr>
    </w:p>
    <w:p w:rsidR="00732D50" w:rsidRDefault="00732D50" w:rsidP="00452199">
      <w:pPr>
        <w:jc w:val="center"/>
        <w:rPr>
          <w:sz w:val="22"/>
          <w:szCs w:val="22"/>
          <w:lang w:val="es-ES"/>
        </w:rPr>
      </w:pPr>
    </w:p>
    <w:p w:rsidR="00ED17D7" w:rsidRPr="00ED17D7" w:rsidRDefault="00ED17D7" w:rsidP="00452199">
      <w:pPr>
        <w:jc w:val="center"/>
        <w:rPr>
          <w:sz w:val="22"/>
          <w:szCs w:val="22"/>
          <w:lang w:val="es-ES"/>
        </w:rPr>
      </w:pPr>
    </w:p>
    <w:p w:rsidR="00ED17D7" w:rsidRPr="00ED17D7" w:rsidRDefault="00ED17D7" w:rsidP="00ED17D7">
      <w:pPr>
        <w:jc w:val="center"/>
        <w:rPr>
          <w:sz w:val="22"/>
          <w:szCs w:val="22"/>
          <w:lang w:val="es-US"/>
        </w:rPr>
      </w:pPr>
      <w:r w:rsidRPr="00ED17D7">
        <w:rPr>
          <w:sz w:val="22"/>
          <w:szCs w:val="22"/>
          <w:lang w:val="es-US"/>
        </w:rPr>
        <w:t>COMITÉ INTERAMERICANO PARA LA REDUCCIÓN DE LOS DESASTRES NATURALES (CIRDN)</w:t>
      </w:r>
    </w:p>
    <w:p w:rsidR="00ED17D7" w:rsidRPr="00ED17D7" w:rsidRDefault="00ED17D7" w:rsidP="00ED17D7">
      <w:pPr>
        <w:jc w:val="center"/>
        <w:rPr>
          <w:sz w:val="22"/>
          <w:szCs w:val="22"/>
          <w:lang w:val="es-US"/>
        </w:rPr>
      </w:pPr>
    </w:p>
    <w:p w:rsidR="00732D50" w:rsidRPr="00ED17D7" w:rsidRDefault="00ED17D7" w:rsidP="00ED17D7">
      <w:pPr>
        <w:jc w:val="center"/>
        <w:rPr>
          <w:sz w:val="22"/>
          <w:szCs w:val="22"/>
          <w:lang w:val="es-US"/>
        </w:rPr>
      </w:pPr>
      <w:r w:rsidRPr="00ED17D7">
        <w:rPr>
          <w:sz w:val="22"/>
          <w:szCs w:val="22"/>
          <w:lang w:val="es-US"/>
        </w:rPr>
        <w:t>Reuniones del CIRDN convocadas por la Oficina del Secretario General Adjunto en respuesta a emergencias provocadas por desastres de gran escala (2015-2019)</w:t>
      </w:r>
    </w:p>
    <w:p w:rsidR="00ED17D7" w:rsidRPr="00ED17D7" w:rsidRDefault="00ED17D7" w:rsidP="00ED17D7">
      <w:pPr>
        <w:jc w:val="center"/>
        <w:rPr>
          <w:sz w:val="22"/>
          <w:szCs w:val="22"/>
          <w:lang w:val="es-US"/>
        </w:rPr>
      </w:pPr>
    </w:p>
    <w:p w:rsidR="00ED17D7" w:rsidRPr="00ED17D7" w:rsidRDefault="00ED17D7" w:rsidP="00ED17D7">
      <w:pPr>
        <w:jc w:val="center"/>
        <w:rPr>
          <w:sz w:val="22"/>
          <w:szCs w:val="22"/>
          <w:lang w:val="es-ES"/>
        </w:rPr>
      </w:pPr>
      <w:r w:rsidRPr="00ED17D7">
        <w:rPr>
          <w:sz w:val="22"/>
          <w:szCs w:val="22"/>
          <w:lang w:val="es-US"/>
        </w:rPr>
        <w:t>(Documento preparado por la Oficina del Secretario General Adjunto de la OEA)</w:t>
      </w:r>
    </w:p>
    <w:p w:rsidR="00732D50" w:rsidRPr="00ED17D7" w:rsidRDefault="00732D50" w:rsidP="00452199">
      <w:pPr>
        <w:jc w:val="center"/>
        <w:rPr>
          <w:sz w:val="22"/>
          <w:szCs w:val="22"/>
          <w:lang w:val="es-ES"/>
        </w:rPr>
      </w:pPr>
    </w:p>
    <w:p w:rsidR="00732D50" w:rsidRPr="00ED17D7" w:rsidRDefault="00732D50" w:rsidP="00452199">
      <w:pPr>
        <w:jc w:val="center"/>
        <w:rPr>
          <w:sz w:val="22"/>
          <w:szCs w:val="22"/>
          <w:lang w:val="es-ES"/>
        </w:rPr>
      </w:pPr>
    </w:p>
    <w:p w:rsidR="00FB5705" w:rsidRPr="00ED17D7" w:rsidRDefault="00FB5705" w:rsidP="00452199">
      <w:pPr>
        <w:jc w:val="center"/>
        <w:rPr>
          <w:sz w:val="22"/>
          <w:szCs w:val="22"/>
          <w:lang w:val="es-ES"/>
        </w:rPr>
      </w:pPr>
    </w:p>
    <w:p w:rsidR="00FB5705" w:rsidRPr="00ED17D7" w:rsidRDefault="00FB5705" w:rsidP="00452199">
      <w:pPr>
        <w:jc w:val="center"/>
        <w:rPr>
          <w:sz w:val="22"/>
          <w:szCs w:val="22"/>
          <w:lang w:val="es-ES"/>
        </w:rPr>
      </w:pPr>
    </w:p>
    <w:p w:rsidR="00B36C5C" w:rsidRDefault="00B36C5C" w:rsidP="00452199">
      <w:pPr>
        <w:jc w:val="center"/>
        <w:rPr>
          <w:sz w:val="22"/>
          <w:szCs w:val="22"/>
          <w:lang w:val="es-US"/>
        </w:rPr>
        <w:sectPr w:rsidR="00B36C5C" w:rsidSect="00233610">
          <w:headerReference w:type="default" r:id="rId8"/>
          <w:type w:val="oddPage"/>
          <w:pgSz w:w="12240" w:h="15840"/>
          <w:pgMar w:top="2160" w:right="1570" w:bottom="1296" w:left="1670" w:header="1080" w:footer="648" w:gutter="0"/>
          <w:pgNumType w:fmt="numberInDash" w:start="1"/>
          <w:cols w:space="720"/>
          <w:titlePg/>
          <w:docGrid w:linePitch="360"/>
        </w:sectPr>
      </w:pPr>
    </w:p>
    <w:p w:rsidR="00ED17D7" w:rsidRPr="00ED17D7" w:rsidRDefault="00B36C5C" w:rsidP="00ED17D7">
      <w:pPr>
        <w:jc w:val="center"/>
        <w:rPr>
          <w:sz w:val="22"/>
          <w:szCs w:val="22"/>
          <w:lang w:val="es-US"/>
        </w:rPr>
      </w:pPr>
      <w:r w:rsidRPr="00ED17D7">
        <w:rPr>
          <w:sz w:val="22"/>
          <w:szCs w:val="22"/>
          <w:lang w:val="es-US"/>
        </w:rPr>
        <w:lastRenderedPageBreak/>
        <w:t>OFICINA DEL SECRETARIO GENERAL ADJUNTO</w:t>
      </w:r>
    </w:p>
    <w:p w:rsidR="00ED17D7" w:rsidRPr="00ED17D7" w:rsidRDefault="00ED17D7" w:rsidP="00ED17D7">
      <w:pPr>
        <w:jc w:val="center"/>
        <w:rPr>
          <w:sz w:val="22"/>
          <w:szCs w:val="22"/>
          <w:lang w:val="es-US"/>
        </w:rPr>
      </w:pPr>
    </w:p>
    <w:p w:rsidR="00ED17D7" w:rsidRPr="00ED17D7" w:rsidRDefault="00B36C5C" w:rsidP="00ED17D7">
      <w:pPr>
        <w:jc w:val="center"/>
        <w:rPr>
          <w:sz w:val="22"/>
          <w:szCs w:val="22"/>
          <w:lang w:val="es-US"/>
        </w:rPr>
      </w:pPr>
      <w:r w:rsidRPr="00ED17D7">
        <w:rPr>
          <w:sz w:val="22"/>
          <w:szCs w:val="22"/>
          <w:lang w:val="es-US"/>
        </w:rPr>
        <w:t>COMITÉ INTERAMERICANO PARA LA REDUCCIÓN DE LOS DESASTRES NATURALES (CIRDN)</w:t>
      </w:r>
    </w:p>
    <w:p w:rsidR="00ED17D7" w:rsidRPr="00ED17D7" w:rsidRDefault="00ED17D7" w:rsidP="00ED17D7">
      <w:pPr>
        <w:jc w:val="center"/>
        <w:rPr>
          <w:sz w:val="22"/>
          <w:szCs w:val="22"/>
          <w:lang w:val="es-US"/>
        </w:rPr>
      </w:pPr>
    </w:p>
    <w:p w:rsidR="00ED17D7" w:rsidRPr="00ED17D7" w:rsidRDefault="00ED17D7" w:rsidP="00ED17D7">
      <w:pPr>
        <w:jc w:val="center"/>
        <w:rPr>
          <w:sz w:val="22"/>
          <w:szCs w:val="22"/>
          <w:lang w:val="es-US"/>
        </w:rPr>
      </w:pPr>
      <w:r w:rsidRPr="00ED17D7">
        <w:rPr>
          <w:sz w:val="22"/>
          <w:szCs w:val="22"/>
          <w:lang w:val="es-US"/>
        </w:rPr>
        <w:t xml:space="preserve">Reuniones del CIRDN convocadas por la Oficina del Secretario General Adjunto en respuesta a emergencias provocadas por desastres de gran escala (2015-2019) </w:t>
      </w:r>
    </w:p>
    <w:p w:rsidR="00ED17D7" w:rsidRPr="00ED17D7" w:rsidRDefault="00ED17D7" w:rsidP="00ED17D7">
      <w:pPr>
        <w:rPr>
          <w:sz w:val="22"/>
          <w:szCs w:val="22"/>
          <w:lang w:val="es-US"/>
        </w:rPr>
      </w:pPr>
    </w:p>
    <w:p w:rsidR="00ED17D7" w:rsidRPr="00ED17D7" w:rsidRDefault="00ED17D7" w:rsidP="00ED17D7">
      <w:pPr>
        <w:jc w:val="center"/>
        <w:rPr>
          <w:sz w:val="22"/>
          <w:szCs w:val="22"/>
          <w:lang w:val="es-US"/>
        </w:rPr>
      </w:pPr>
      <w:r w:rsidRPr="00ED17D7">
        <w:rPr>
          <w:sz w:val="22"/>
          <w:szCs w:val="22"/>
          <w:lang w:val="es-US"/>
        </w:rPr>
        <w:t>Abril de 2020</w:t>
      </w:r>
    </w:p>
    <w:p w:rsidR="00ED17D7" w:rsidRPr="00ED17D7" w:rsidRDefault="00ED17D7" w:rsidP="00ED17D7">
      <w:pPr>
        <w:rPr>
          <w:sz w:val="22"/>
          <w:szCs w:val="22"/>
          <w:lang w:val="es-US"/>
        </w:rPr>
      </w:pPr>
    </w:p>
    <w:p w:rsidR="00ED17D7" w:rsidRPr="00ED17D7" w:rsidRDefault="00ED17D7" w:rsidP="00713D0B">
      <w:pPr>
        <w:spacing w:before="100" w:beforeAutospacing="1" w:after="100" w:afterAutospacing="1"/>
        <w:ind w:firstLine="720"/>
        <w:jc w:val="both"/>
        <w:rPr>
          <w:sz w:val="22"/>
          <w:szCs w:val="22"/>
          <w:lang w:val="es-US"/>
        </w:rPr>
      </w:pPr>
      <w:r w:rsidRPr="00ED17D7">
        <w:rPr>
          <w:sz w:val="22"/>
          <w:szCs w:val="22"/>
          <w:lang w:val="es-US"/>
        </w:rPr>
        <w:t>En respuesta a la solicitud de los Estados Miembros, este informe ha sido preparado por el Departamento de Desarrollo Sostenible (SEDI/DDS) de la Secretaría Ejecutiva para el Desarrollo Integral, a petición de la Oficina del Secretario General Adjunto de la OEA.</w:t>
      </w:r>
    </w:p>
    <w:p w:rsidR="00ED17D7" w:rsidRPr="00ED17D7" w:rsidRDefault="00ED17D7" w:rsidP="00713D0B">
      <w:pPr>
        <w:spacing w:before="100" w:beforeAutospacing="1" w:after="100" w:afterAutospacing="1"/>
        <w:ind w:firstLine="720"/>
        <w:jc w:val="both"/>
        <w:rPr>
          <w:sz w:val="22"/>
          <w:szCs w:val="22"/>
          <w:lang w:val="es-US"/>
        </w:rPr>
      </w:pPr>
      <w:r w:rsidRPr="00ED17D7">
        <w:rPr>
          <w:sz w:val="22"/>
          <w:szCs w:val="22"/>
          <w:lang w:val="es-US"/>
        </w:rPr>
        <w:t>De conformidad con la resolución AG/RES. 2647 (XLI-O/11), cuyo párrafo 5(e) estipula la necesidad de “[a]</w:t>
      </w:r>
      <w:proofErr w:type="spellStart"/>
      <w:r w:rsidRPr="00ED17D7">
        <w:rPr>
          <w:sz w:val="22"/>
          <w:szCs w:val="22"/>
          <w:lang w:val="es-US"/>
        </w:rPr>
        <w:t>ctivar</w:t>
      </w:r>
      <w:proofErr w:type="spellEnd"/>
      <w:r w:rsidRPr="00ED17D7">
        <w:rPr>
          <w:sz w:val="22"/>
          <w:szCs w:val="22"/>
          <w:lang w:val="es-US"/>
        </w:rPr>
        <w:t xml:space="preserve"> el CIRDN cada vez que haya una emergencia que requiera asistencia internacional en la región”, el Secretario General Adjunto ha venido convocando reuniones del Comité Interamericano para la Reducción de los Desastres Naturales (CIRDN) en respuesta a emergencias inminentes o posteriores a desastres de gran escala. </w:t>
      </w:r>
    </w:p>
    <w:p w:rsidR="00ED17D7" w:rsidRPr="00ED17D7" w:rsidRDefault="00ED17D7" w:rsidP="00713D0B">
      <w:pPr>
        <w:spacing w:before="100" w:beforeAutospacing="1" w:after="100" w:afterAutospacing="1"/>
        <w:ind w:firstLine="720"/>
        <w:jc w:val="both"/>
        <w:rPr>
          <w:sz w:val="22"/>
          <w:szCs w:val="22"/>
          <w:lang w:val="es-US"/>
        </w:rPr>
      </w:pPr>
      <w:r w:rsidRPr="00ED17D7">
        <w:rPr>
          <w:sz w:val="22"/>
          <w:szCs w:val="22"/>
          <w:lang w:val="es-US"/>
        </w:rPr>
        <w:t>Entre los diversos organismos que integran el CIRDN se encuentran los siguientes:</w:t>
      </w:r>
    </w:p>
    <w:p w:rsidR="00ED17D7" w:rsidRPr="00ED17D7" w:rsidRDefault="00ED17D7" w:rsidP="00ED17D7">
      <w:pPr>
        <w:numPr>
          <w:ilvl w:val="0"/>
          <w:numId w:val="25"/>
        </w:numPr>
        <w:suppressAutoHyphens w:val="0"/>
        <w:spacing w:before="100" w:beforeAutospacing="1" w:after="100" w:afterAutospacing="1"/>
        <w:ind w:left="1440" w:hanging="720"/>
        <w:jc w:val="both"/>
        <w:rPr>
          <w:sz w:val="22"/>
          <w:szCs w:val="22"/>
          <w:lang w:val="es-US"/>
        </w:rPr>
      </w:pPr>
      <w:r w:rsidRPr="00ED17D7">
        <w:rPr>
          <w:sz w:val="22"/>
          <w:szCs w:val="22"/>
          <w:lang w:val="es-US"/>
        </w:rPr>
        <w:t xml:space="preserve">Banco Interamericano de Desarrollo (BID) </w:t>
      </w:r>
    </w:p>
    <w:p w:rsidR="00ED17D7" w:rsidRPr="00ED17D7" w:rsidRDefault="00ED17D7" w:rsidP="00ED17D7">
      <w:pPr>
        <w:numPr>
          <w:ilvl w:val="0"/>
          <w:numId w:val="25"/>
        </w:numPr>
        <w:suppressAutoHyphens w:val="0"/>
        <w:spacing w:before="100" w:beforeAutospacing="1" w:after="100" w:afterAutospacing="1"/>
        <w:ind w:left="1440" w:hanging="720"/>
        <w:jc w:val="both"/>
        <w:rPr>
          <w:sz w:val="22"/>
          <w:szCs w:val="22"/>
          <w:lang w:val="es-US"/>
        </w:rPr>
      </w:pPr>
      <w:r w:rsidRPr="00ED17D7">
        <w:rPr>
          <w:sz w:val="22"/>
          <w:szCs w:val="22"/>
          <w:lang w:val="es-US"/>
        </w:rPr>
        <w:t xml:space="preserve">Organización Panamericana de la Salud (OPS) </w:t>
      </w:r>
    </w:p>
    <w:p w:rsidR="00ED17D7" w:rsidRPr="00ED17D7" w:rsidRDefault="00ED17D7" w:rsidP="00ED17D7">
      <w:pPr>
        <w:numPr>
          <w:ilvl w:val="0"/>
          <w:numId w:val="25"/>
        </w:numPr>
        <w:suppressAutoHyphens w:val="0"/>
        <w:spacing w:before="100" w:beforeAutospacing="1" w:after="100" w:afterAutospacing="1"/>
        <w:ind w:left="1440" w:hanging="720"/>
        <w:jc w:val="both"/>
        <w:rPr>
          <w:sz w:val="22"/>
          <w:szCs w:val="22"/>
        </w:rPr>
      </w:pPr>
      <w:proofErr w:type="spellStart"/>
      <w:r w:rsidRPr="00ED17D7">
        <w:rPr>
          <w:sz w:val="22"/>
          <w:szCs w:val="22"/>
        </w:rPr>
        <w:t>Instituto</w:t>
      </w:r>
      <w:proofErr w:type="spellEnd"/>
      <w:r w:rsidRPr="00ED17D7">
        <w:rPr>
          <w:sz w:val="22"/>
          <w:szCs w:val="22"/>
        </w:rPr>
        <w:t xml:space="preserve"> </w:t>
      </w:r>
      <w:proofErr w:type="spellStart"/>
      <w:r w:rsidRPr="00ED17D7">
        <w:rPr>
          <w:sz w:val="22"/>
          <w:szCs w:val="22"/>
        </w:rPr>
        <w:t>Panamericano</w:t>
      </w:r>
      <w:proofErr w:type="spellEnd"/>
      <w:r w:rsidRPr="00ED17D7">
        <w:rPr>
          <w:sz w:val="22"/>
          <w:szCs w:val="22"/>
        </w:rPr>
        <w:t xml:space="preserve"> de </w:t>
      </w:r>
      <w:proofErr w:type="spellStart"/>
      <w:r w:rsidRPr="00ED17D7">
        <w:rPr>
          <w:sz w:val="22"/>
          <w:szCs w:val="22"/>
        </w:rPr>
        <w:t>Geografía</w:t>
      </w:r>
      <w:proofErr w:type="spellEnd"/>
      <w:r w:rsidRPr="00ED17D7">
        <w:rPr>
          <w:sz w:val="22"/>
          <w:szCs w:val="22"/>
        </w:rPr>
        <w:t xml:space="preserve"> e </w:t>
      </w:r>
      <w:proofErr w:type="spellStart"/>
      <w:r w:rsidRPr="00ED17D7">
        <w:rPr>
          <w:sz w:val="22"/>
          <w:szCs w:val="22"/>
        </w:rPr>
        <w:t>Historia</w:t>
      </w:r>
      <w:proofErr w:type="spellEnd"/>
      <w:r w:rsidRPr="00ED17D7">
        <w:rPr>
          <w:sz w:val="22"/>
          <w:szCs w:val="22"/>
        </w:rPr>
        <w:t xml:space="preserve"> (IPGH) </w:t>
      </w:r>
    </w:p>
    <w:p w:rsidR="00ED17D7" w:rsidRPr="00ED17D7" w:rsidRDefault="00ED17D7" w:rsidP="00ED17D7">
      <w:pPr>
        <w:numPr>
          <w:ilvl w:val="0"/>
          <w:numId w:val="25"/>
        </w:numPr>
        <w:suppressAutoHyphens w:val="0"/>
        <w:spacing w:before="100" w:beforeAutospacing="1" w:after="100" w:afterAutospacing="1"/>
        <w:ind w:left="1440" w:hanging="720"/>
        <w:jc w:val="both"/>
        <w:rPr>
          <w:sz w:val="22"/>
          <w:szCs w:val="22"/>
          <w:lang w:val="es-US"/>
        </w:rPr>
      </w:pPr>
      <w:r w:rsidRPr="00ED17D7">
        <w:rPr>
          <w:sz w:val="22"/>
          <w:szCs w:val="22"/>
          <w:lang w:val="es-US"/>
        </w:rPr>
        <w:t xml:space="preserve">Fundación Panamericana para el Desarrollo (FUPAD) </w:t>
      </w:r>
    </w:p>
    <w:p w:rsidR="00ED17D7" w:rsidRPr="00ED17D7" w:rsidRDefault="00ED17D7" w:rsidP="00ED17D7">
      <w:pPr>
        <w:numPr>
          <w:ilvl w:val="0"/>
          <w:numId w:val="25"/>
        </w:numPr>
        <w:suppressAutoHyphens w:val="0"/>
        <w:spacing w:before="100" w:beforeAutospacing="1" w:after="100" w:afterAutospacing="1"/>
        <w:ind w:left="1440" w:hanging="720"/>
        <w:jc w:val="both"/>
        <w:rPr>
          <w:sz w:val="22"/>
          <w:szCs w:val="22"/>
          <w:lang w:val="es-US"/>
        </w:rPr>
      </w:pPr>
      <w:r w:rsidRPr="00ED17D7">
        <w:rPr>
          <w:sz w:val="22"/>
          <w:szCs w:val="22"/>
          <w:lang w:val="es-US"/>
        </w:rPr>
        <w:t>Instituto Interamericano de Cooperación para la Agricultura (IICA)</w:t>
      </w:r>
    </w:p>
    <w:p w:rsidR="00ED17D7" w:rsidRPr="00ED17D7" w:rsidRDefault="00ED17D7" w:rsidP="00ED17D7">
      <w:pPr>
        <w:numPr>
          <w:ilvl w:val="0"/>
          <w:numId w:val="25"/>
        </w:numPr>
        <w:suppressAutoHyphens w:val="0"/>
        <w:spacing w:before="100" w:beforeAutospacing="1" w:after="100" w:afterAutospacing="1"/>
        <w:ind w:left="1440" w:hanging="720"/>
        <w:jc w:val="both"/>
        <w:rPr>
          <w:sz w:val="22"/>
          <w:szCs w:val="22"/>
          <w:lang w:val="es-US"/>
        </w:rPr>
      </w:pPr>
      <w:r w:rsidRPr="00ED17D7">
        <w:rPr>
          <w:sz w:val="22"/>
          <w:szCs w:val="22"/>
          <w:lang w:val="es-US"/>
        </w:rPr>
        <w:t xml:space="preserve">Agencia Interamericana para la Cooperación y el Desarrollo (AICD) </w:t>
      </w:r>
    </w:p>
    <w:p w:rsidR="00ED17D7" w:rsidRPr="00ED17D7" w:rsidRDefault="00ED17D7" w:rsidP="00ED17D7">
      <w:pPr>
        <w:numPr>
          <w:ilvl w:val="0"/>
          <w:numId w:val="25"/>
        </w:numPr>
        <w:suppressAutoHyphens w:val="0"/>
        <w:spacing w:before="100" w:beforeAutospacing="1" w:after="100" w:afterAutospacing="1"/>
        <w:ind w:left="1440" w:hanging="720"/>
        <w:jc w:val="both"/>
        <w:rPr>
          <w:sz w:val="22"/>
          <w:szCs w:val="22"/>
        </w:rPr>
      </w:pPr>
      <w:r w:rsidRPr="00ED17D7">
        <w:rPr>
          <w:sz w:val="22"/>
          <w:szCs w:val="22"/>
        </w:rPr>
        <w:t xml:space="preserve">Junta </w:t>
      </w:r>
      <w:proofErr w:type="spellStart"/>
      <w:r w:rsidRPr="00ED17D7">
        <w:rPr>
          <w:sz w:val="22"/>
          <w:szCs w:val="22"/>
        </w:rPr>
        <w:t>Interamericana</w:t>
      </w:r>
      <w:proofErr w:type="spellEnd"/>
      <w:r w:rsidRPr="00ED17D7">
        <w:rPr>
          <w:sz w:val="22"/>
          <w:szCs w:val="22"/>
        </w:rPr>
        <w:t xml:space="preserve"> de </w:t>
      </w:r>
      <w:proofErr w:type="spellStart"/>
      <w:r w:rsidRPr="00ED17D7">
        <w:rPr>
          <w:sz w:val="22"/>
          <w:szCs w:val="22"/>
        </w:rPr>
        <w:t>Defensa</w:t>
      </w:r>
      <w:proofErr w:type="spellEnd"/>
      <w:r w:rsidRPr="00ED17D7">
        <w:rPr>
          <w:sz w:val="22"/>
          <w:szCs w:val="22"/>
        </w:rPr>
        <w:t xml:space="preserve"> (JID) </w:t>
      </w:r>
    </w:p>
    <w:p w:rsidR="00ED17D7" w:rsidRPr="00ED17D7" w:rsidRDefault="00ED17D7" w:rsidP="00ED17D7">
      <w:pPr>
        <w:numPr>
          <w:ilvl w:val="0"/>
          <w:numId w:val="25"/>
        </w:numPr>
        <w:suppressAutoHyphens w:val="0"/>
        <w:spacing w:before="100" w:beforeAutospacing="1" w:after="100" w:afterAutospacing="1"/>
        <w:ind w:left="1440" w:hanging="720"/>
        <w:jc w:val="both"/>
        <w:rPr>
          <w:sz w:val="22"/>
          <w:szCs w:val="22"/>
          <w:lang w:val="es-US"/>
        </w:rPr>
      </w:pPr>
      <w:r w:rsidRPr="00ED17D7">
        <w:rPr>
          <w:sz w:val="22"/>
          <w:szCs w:val="22"/>
          <w:lang w:val="es-US"/>
        </w:rPr>
        <w:t xml:space="preserve">Comisión Interamericana de Mujeres (CIM) </w:t>
      </w:r>
    </w:p>
    <w:p w:rsidR="00ED17D7" w:rsidRPr="00ED17D7" w:rsidRDefault="00ED17D7" w:rsidP="00713D0B">
      <w:pPr>
        <w:spacing w:before="100" w:beforeAutospacing="1" w:after="100" w:afterAutospacing="1"/>
        <w:ind w:firstLine="720"/>
        <w:jc w:val="both"/>
        <w:rPr>
          <w:sz w:val="22"/>
          <w:szCs w:val="22"/>
          <w:lang w:val="es-US"/>
        </w:rPr>
      </w:pPr>
      <w:r w:rsidRPr="00ED17D7">
        <w:rPr>
          <w:sz w:val="22"/>
          <w:szCs w:val="22"/>
          <w:lang w:val="es-US"/>
        </w:rPr>
        <w:t>En los últimos cinco años, con el apoyo técnico del SEDI/DDS, la Oficina del Secretario General Adjunto (OSGA) ha convocado reuniones del CIRDN en respuesta a las siguientes emergencias provocadas por desastres de gran escala:</w:t>
      </w:r>
    </w:p>
    <w:p w:rsidR="00ED17D7" w:rsidRPr="00ED17D7" w:rsidRDefault="00ED17D7" w:rsidP="00ED17D7">
      <w:pPr>
        <w:numPr>
          <w:ilvl w:val="0"/>
          <w:numId w:val="26"/>
        </w:numPr>
        <w:suppressAutoHyphens w:val="0"/>
        <w:spacing w:after="120" w:line="276" w:lineRule="auto"/>
        <w:ind w:hanging="720"/>
        <w:jc w:val="both"/>
        <w:rPr>
          <w:sz w:val="22"/>
          <w:szCs w:val="22"/>
          <w:lang w:val="es-US"/>
        </w:rPr>
      </w:pPr>
      <w:r w:rsidRPr="00ED17D7">
        <w:rPr>
          <w:sz w:val="22"/>
          <w:szCs w:val="22"/>
          <w:lang w:val="es-US"/>
        </w:rPr>
        <w:t>2015: tormenta tropical Erika, que impactó al Commonwealth de Dominica.</w:t>
      </w:r>
    </w:p>
    <w:p w:rsidR="00ED17D7" w:rsidRPr="00ED17D7" w:rsidRDefault="00ED17D7" w:rsidP="00ED17D7">
      <w:pPr>
        <w:numPr>
          <w:ilvl w:val="0"/>
          <w:numId w:val="26"/>
        </w:numPr>
        <w:suppressAutoHyphens w:val="0"/>
        <w:spacing w:after="120" w:line="276" w:lineRule="auto"/>
        <w:ind w:hanging="720"/>
        <w:jc w:val="both"/>
        <w:rPr>
          <w:sz w:val="22"/>
          <w:szCs w:val="22"/>
          <w:lang w:val="es-US"/>
        </w:rPr>
      </w:pPr>
      <w:r w:rsidRPr="00ED17D7">
        <w:rPr>
          <w:sz w:val="22"/>
          <w:szCs w:val="22"/>
          <w:lang w:val="es-US"/>
        </w:rPr>
        <w:t xml:space="preserve">2016: terremoto en Ecuador; huracán </w:t>
      </w:r>
      <w:proofErr w:type="spellStart"/>
      <w:r w:rsidRPr="00ED17D7">
        <w:rPr>
          <w:sz w:val="22"/>
          <w:szCs w:val="22"/>
          <w:lang w:val="es-US"/>
        </w:rPr>
        <w:t>Earl</w:t>
      </w:r>
      <w:proofErr w:type="spellEnd"/>
      <w:r w:rsidRPr="00ED17D7">
        <w:rPr>
          <w:sz w:val="22"/>
          <w:szCs w:val="22"/>
          <w:lang w:val="es-US"/>
        </w:rPr>
        <w:t>, que impactó a Belize, y huracán Matthew, que impactó al Commonwealth de Bahamas.</w:t>
      </w:r>
    </w:p>
    <w:p w:rsidR="00ED17D7" w:rsidRPr="00ED17D7" w:rsidRDefault="00ED17D7" w:rsidP="00ED17D7">
      <w:pPr>
        <w:numPr>
          <w:ilvl w:val="0"/>
          <w:numId w:val="26"/>
        </w:numPr>
        <w:suppressAutoHyphens w:val="0"/>
        <w:spacing w:after="120" w:line="276" w:lineRule="auto"/>
        <w:ind w:hanging="720"/>
        <w:jc w:val="both"/>
        <w:rPr>
          <w:sz w:val="22"/>
          <w:szCs w:val="22"/>
          <w:lang w:val="es-US"/>
        </w:rPr>
      </w:pPr>
      <w:r w:rsidRPr="00ED17D7">
        <w:rPr>
          <w:sz w:val="22"/>
          <w:szCs w:val="22"/>
          <w:lang w:val="es-US"/>
        </w:rPr>
        <w:t>2017: huracán Matthew, que impactó a Haití; inundaciones en Suriname, y huracanes Irma y María, que impactaron a Antigua y Barbuda y al Commonwealth de Dominica.</w:t>
      </w:r>
    </w:p>
    <w:p w:rsidR="00ED17D7" w:rsidRPr="00ED17D7" w:rsidRDefault="00ED17D7" w:rsidP="00ED17D7">
      <w:pPr>
        <w:numPr>
          <w:ilvl w:val="0"/>
          <w:numId w:val="26"/>
        </w:numPr>
        <w:suppressAutoHyphens w:val="0"/>
        <w:spacing w:after="120" w:line="276" w:lineRule="auto"/>
        <w:ind w:hanging="720"/>
        <w:jc w:val="both"/>
        <w:rPr>
          <w:sz w:val="22"/>
          <w:szCs w:val="22"/>
          <w:lang w:val="es-US"/>
        </w:rPr>
      </w:pPr>
      <w:r w:rsidRPr="00ED17D7">
        <w:rPr>
          <w:sz w:val="22"/>
          <w:szCs w:val="22"/>
          <w:lang w:val="es-US"/>
        </w:rPr>
        <w:t>2018: erupción del Volcán de Fuego en Guatemala.</w:t>
      </w:r>
    </w:p>
    <w:p w:rsidR="00ED17D7" w:rsidRPr="00ED17D7" w:rsidRDefault="00ED17D7" w:rsidP="00ED17D7">
      <w:pPr>
        <w:numPr>
          <w:ilvl w:val="0"/>
          <w:numId w:val="26"/>
        </w:numPr>
        <w:suppressAutoHyphens w:val="0"/>
        <w:spacing w:after="120" w:line="276" w:lineRule="auto"/>
        <w:ind w:hanging="720"/>
        <w:jc w:val="both"/>
        <w:rPr>
          <w:sz w:val="22"/>
          <w:szCs w:val="22"/>
          <w:lang w:val="es-US"/>
        </w:rPr>
      </w:pPr>
      <w:r w:rsidRPr="00ED17D7">
        <w:rPr>
          <w:sz w:val="22"/>
          <w:szCs w:val="22"/>
          <w:lang w:val="es-US"/>
        </w:rPr>
        <w:t>2019: huracán Dorian, que impactó al Commonwealth de las Bahamas.</w:t>
      </w:r>
    </w:p>
    <w:p w:rsidR="00ED17D7" w:rsidRPr="00ED17D7" w:rsidRDefault="00ED17D7" w:rsidP="00713D0B">
      <w:pPr>
        <w:spacing w:before="100" w:beforeAutospacing="1" w:after="100" w:afterAutospacing="1"/>
        <w:ind w:firstLine="720"/>
        <w:jc w:val="both"/>
        <w:rPr>
          <w:sz w:val="22"/>
          <w:szCs w:val="22"/>
          <w:lang w:val="es-US"/>
        </w:rPr>
      </w:pPr>
      <w:r w:rsidRPr="00ED17D7">
        <w:rPr>
          <w:sz w:val="22"/>
          <w:szCs w:val="22"/>
          <w:lang w:val="es-US"/>
        </w:rPr>
        <w:lastRenderedPageBreak/>
        <w:t xml:space="preserve">En todos los casos, el objetivo de esas reuniones fue </w:t>
      </w:r>
      <w:r w:rsidRPr="00ED17D7">
        <w:rPr>
          <w:b/>
          <w:i/>
          <w:sz w:val="22"/>
          <w:szCs w:val="22"/>
          <w:lang w:val="es-US"/>
        </w:rPr>
        <w:t>facilitar</w:t>
      </w:r>
      <w:r w:rsidRPr="00ED17D7">
        <w:rPr>
          <w:sz w:val="22"/>
          <w:szCs w:val="22"/>
          <w:lang w:val="es-US"/>
        </w:rPr>
        <w:t xml:space="preserve"> el intercambio de información sobre las acciones y planes de respuesta establecidos por las agencias del sistema interamericano, asociados subregionales e internacionales, así como Estados Miembros y observadores permanentes de la OEA.</w:t>
      </w:r>
    </w:p>
    <w:p w:rsidR="00ED17D7" w:rsidRPr="00ED17D7" w:rsidRDefault="00ED17D7" w:rsidP="00713D0B">
      <w:pPr>
        <w:spacing w:before="100" w:beforeAutospacing="1" w:after="100" w:afterAutospacing="1"/>
        <w:ind w:firstLine="720"/>
        <w:jc w:val="both"/>
        <w:rPr>
          <w:sz w:val="22"/>
          <w:szCs w:val="22"/>
          <w:lang w:val="es-US"/>
        </w:rPr>
      </w:pPr>
      <w:r w:rsidRPr="00ED17D7">
        <w:rPr>
          <w:sz w:val="22"/>
          <w:szCs w:val="22"/>
          <w:lang w:val="es-US"/>
        </w:rPr>
        <w:t xml:space="preserve">El </w:t>
      </w:r>
      <w:r w:rsidR="00713D0B">
        <w:rPr>
          <w:sz w:val="22"/>
          <w:szCs w:val="22"/>
          <w:lang w:val="es-US"/>
        </w:rPr>
        <w:t>Departamento de Desarrollo Sostenible de la Secretaría Ejecutiva para el Desarrollo Integral (</w:t>
      </w:r>
      <w:r w:rsidRPr="00ED17D7">
        <w:rPr>
          <w:sz w:val="22"/>
          <w:szCs w:val="22"/>
          <w:lang w:val="es-US"/>
        </w:rPr>
        <w:t>SEDI/DDS</w:t>
      </w:r>
      <w:r w:rsidR="00713D0B">
        <w:rPr>
          <w:sz w:val="22"/>
          <w:szCs w:val="22"/>
          <w:lang w:val="es-US"/>
        </w:rPr>
        <w:t>)</w:t>
      </w:r>
      <w:r w:rsidRPr="00ED17D7">
        <w:rPr>
          <w:sz w:val="22"/>
          <w:szCs w:val="22"/>
          <w:lang w:val="es-US"/>
        </w:rPr>
        <w:t xml:space="preserve"> apoyó estas reuniones proporcionando información analítica extraída de los informes publicados por los Estados Miembros afectados, organizaciones intergubernamentales especializadas subregionales; por ejemplo, la Agencia Caribeña para la Gestión de Actividades Relacionadas con Emergencias (CDEMA) y el mecanismo mundial unificado de respuesta de las Naciones Unidas y sus llamamientos globales unificados (cuando los hubo). Además, el SEDI/DDS, a través de la Oficina del Secretario Ejecutivo para el Desarrollo Integral, apoyó a los Estados Miembros afectados en la evaluación de los ofrecimientos de ayuda de otros Estados Miembros de la OEA identificando los tiempos de respuesta adecuados, el uso más eficiente de los activos y capacidades ofrecidos, e identificando lagunas y necesidades en etapas posteriores de la respuesta. La Junta Interamericana de Defensa (JID) estableció una sala de control para compilar datos e información sobre la evolución de la situación de emergencia.</w:t>
      </w:r>
    </w:p>
    <w:p w:rsidR="00ED17D7" w:rsidRPr="00ED17D7" w:rsidRDefault="00ED17D7" w:rsidP="00713D0B">
      <w:pPr>
        <w:spacing w:before="100" w:beforeAutospacing="1" w:after="100" w:afterAutospacing="1"/>
        <w:ind w:firstLine="720"/>
        <w:jc w:val="both"/>
        <w:rPr>
          <w:sz w:val="22"/>
          <w:szCs w:val="22"/>
          <w:lang w:val="es-US"/>
        </w:rPr>
      </w:pPr>
      <w:r w:rsidRPr="00ED17D7">
        <w:rPr>
          <w:sz w:val="22"/>
          <w:szCs w:val="22"/>
          <w:lang w:val="es-US"/>
        </w:rPr>
        <w:t>Si bien la cuantificación en términos de contribuciones monetarias o de recursos desplegados ha resultado ser un desafío (dado el papel de facilitador de la Secretaría General y los esfuerzos del CIRDN), la Secretaría General puede decir, con un alto nivel de confianza, que estas reuniones fueron esenciales para la colaboración entre diversas entidades y los Estados Miembros, lo que, a su vez, contribuyó a subsanar deficiencias en la respuesta internacional y a reducir al mínimo la carga no intencional sobre los Estados Miembros afectados.</w:t>
      </w:r>
    </w:p>
    <w:p w:rsidR="00ED17D7" w:rsidRPr="00ED17D7" w:rsidRDefault="00ED17D7" w:rsidP="00713D0B">
      <w:pPr>
        <w:spacing w:before="100" w:beforeAutospacing="1" w:after="100" w:afterAutospacing="1"/>
        <w:ind w:firstLine="720"/>
        <w:jc w:val="both"/>
        <w:rPr>
          <w:sz w:val="22"/>
          <w:szCs w:val="22"/>
          <w:lang w:val="es-US"/>
        </w:rPr>
      </w:pPr>
      <w:r w:rsidRPr="00ED17D7">
        <w:rPr>
          <w:sz w:val="22"/>
          <w:szCs w:val="22"/>
          <w:lang w:val="es-US"/>
        </w:rPr>
        <w:t>Los siguientes casos ilustran algunos resultados tangibles y mensurables de esas reuniones:</w:t>
      </w:r>
    </w:p>
    <w:p w:rsidR="00ED17D7" w:rsidRPr="00B36C5C" w:rsidRDefault="00ED17D7" w:rsidP="00713D0B">
      <w:pPr>
        <w:keepNext/>
        <w:ind w:left="720"/>
        <w:jc w:val="both"/>
        <w:rPr>
          <w:sz w:val="22"/>
          <w:szCs w:val="22"/>
          <w:u w:val="single"/>
          <w:lang w:val="es-US"/>
        </w:rPr>
      </w:pPr>
      <w:r w:rsidRPr="00B36C5C">
        <w:rPr>
          <w:sz w:val="22"/>
          <w:szCs w:val="22"/>
          <w:u w:val="single"/>
          <w:lang w:val="es-US"/>
        </w:rPr>
        <w:t>2016: Terremoto en Ecuador</w:t>
      </w:r>
    </w:p>
    <w:p w:rsidR="00ED17D7" w:rsidRPr="00ED17D7" w:rsidRDefault="00ED17D7" w:rsidP="00713D0B">
      <w:pPr>
        <w:spacing w:after="100" w:afterAutospacing="1"/>
        <w:ind w:left="720"/>
        <w:jc w:val="both"/>
        <w:rPr>
          <w:sz w:val="22"/>
          <w:szCs w:val="22"/>
          <w:lang w:val="es-US"/>
        </w:rPr>
      </w:pPr>
      <w:r w:rsidRPr="00ED17D7">
        <w:rPr>
          <w:sz w:val="22"/>
          <w:szCs w:val="22"/>
          <w:lang w:val="es-US"/>
        </w:rPr>
        <w:t>El CIRDN se reunió varias veces para dar seguimiento a los informes preparados por la JID y evaluar la respuesta de los Estados Miembros de la OEA y organismos del sistema interamericano. El SEDI/DDS montó un sitio web como un único punto de entrada para el sistema interamericano, Estados Miembros y asociados de la OEA. En dicho sitio se compiló la información de todos los sitios proporcionados por el Gobierno de Ecuador para realizar donativos, ofrecer ayuda e identificar personas de contacto. Ahí podían encontrarse también informes sobre la situación preparados por el Gobierno de Ecuador con la colaboración y asistencia de las Naciones Unidas y asociados internacionales.</w:t>
      </w:r>
    </w:p>
    <w:p w:rsidR="00ED17D7" w:rsidRPr="00ED17D7" w:rsidRDefault="00ED17D7" w:rsidP="00713D0B">
      <w:pPr>
        <w:ind w:left="720"/>
        <w:jc w:val="both"/>
        <w:rPr>
          <w:sz w:val="22"/>
          <w:szCs w:val="22"/>
          <w:u w:val="single"/>
          <w:lang w:val="es-US"/>
        </w:rPr>
      </w:pPr>
      <w:r w:rsidRPr="00ED17D7">
        <w:rPr>
          <w:sz w:val="22"/>
          <w:szCs w:val="22"/>
          <w:u w:val="single"/>
          <w:lang w:val="es-US"/>
        </w:rPr>
        <w:t>2017: huracán María y el Commonwealth de Dominica</w:t>
      </w:r>
    </w:p>
    <w:p w:rsidR="00ED17D7" w:rsidRPr="00ED17D7" w:rsidRDefault="00ED17D7" w:rsidP="00713D0B">
      <w:pPr>
        <w:spacing w:after="100" w:afterAutospacing="1"/>
        <w:ind w:left="720"/>
        <w:jc w:val="both"/>
        <w:rPr>
          <w:sz w:val="22"/>
          <w:szCs w:val="22"/>
          <w:lang w:val="es-US"/>
        </w:rPr>
      </w:pPr>
      <w:r w:rsidRPr="00ED17D7">
        <w:rPr>
          <w:sz w:val="22"/>
          <w:szCs w:val="22"/>
          <w:lang w:val="es-US"/>
        </w:rPr>
        <w:t>El resultado más significativo fue la Misión Cascos Blancos de la SEDI-Argentina movilizada en diciembre de 2017 después de que el SEDI/DDS, en colaboración con el Gobierno del Commonwealth de Dominica, llevase a cabo un análisis exhaustivo de las necesidades, por conducto de la Oficina del Secretario Ejecutivo para el Desarrollo Integral y en coordinación con la Comisión Cascos Blancos de Argentina.</w:t>
      </w:r>
    </w:p>
    <w:p w:rsidR="00ED17D7" w:rsidRPr="00ED17D7" w:rsidRDefault="00ED17D7" w:rsidP="00713D0B">
      <w:pPr>
        <w:spacing w:before="100" w:beforeAutospacing="1" w:after="100" w:afterAutospacing="1"/>
        <w:ind w:left="720"/>
        <w:jc w:val="both"/>
        <w:rPr>
          <w:sz w:val="22"/>
          <w:szCs w:val="22"/>
          <w:lang w:val="es-US"/>
        </w:rPr>
      </w:pPr>
      <w:r w:rsidRPr="00ED17D7">
        <w:rPr>
          <w:sz w:val="22"/>
          <w:szCs w:val="22"/>
          <w:lang w:val="es-US"/>
        </w:rPr>
        <w:t xml:space="preserve">Esa misión surgió de una conferencia telefónica convocada por el Secretario General Adjunto en seguimiento de una reunión del CIRDN. En dicha conferencia participaron el Representante Permanente de Dominica, representantes permanentes de varios Estados Miembros de la OEA y el Presidente de la Comisión Cascos Blancos de Argentina. La misión, en la que participaron </w:t>
      </w:r>
      <w:r w:rsidRPr="00ED17D7">
        <w:rPr>
          <w:sz w:val="22"/>
          <w:szCs w:val="22"/>
          <w:lang w:val="es-US"/>
        </w:rPr>
        <w:lastRenderedPageBreak/>
        <w:t>cuatro expertos voluntarios de Argentina y un Especialista Principal del SEDI/DDS, elaboró un informe orientado a brindar al Gobierno de Dominica recomendaciones prácticas para reconstruir mejor los sistemas de abastecimiento de agua del país con la finalidad de crear resiliencia entre las comunidades a las que sirve.</w:t>
      </w:r>
    </w:p>
    <w:p w:rsidR="00ED17D7" w:rsidRPr="00ED17D7" w:rsidRDefault="00ED17D7" w:rsidP="00713D0B">
      <w:pPr>
        <w:ind w:left="720"/>
        <w:jc w:val="both"/>
        <w:rPr>
          <w:sz w:val="22"/>
          <w:szCs w:val="22"/>
          <w:u w:val="single"/>
          <w:lang w:val="es-US"/>
        </w:rPr>
      </w:pPr>
      <w:r w:rsidRPr="00ED17D7">
        <w:rPr>
          <w:sz w:val="22"/>
          <w:szCs w:val="22"/>
          <w:u w:val="single"/>
          <w:lang w:val="es-US"/>
        </w:rPr>
        <w:t>2018: erupción del Volcán de Fuego en Guatemala</w:t>
      </w:r>
    </w:p>
    <w:p w:rsidR="00ED17D7" w:rsidRPr="00ED17D7" w:rsidRDefault="00ED17D7" w:rsidP="00713D0B">
      <w:pPr>
        <w:spacing w:after="100" w:afterAutospacing="1"/>
        <w:ind w:left="720"/>
        <w:jc w:val="both"/>
        <w:rPr>
          <w:sz w:val="22"/>
          <w:szCs w:val="22"/>
          <w:lang w:val="es-US"/>
        </w:rPr>
      </w:pPr>
      <w:r w:rsidRPr="00ED17D7">
        <w:rPr>
          <w:sz w:val="22"/>
          <w:szCs w:val="22"/>
          <w:lang w:val="es-US"/>
        </w:rPr>
        <w:t>En el caso del Volcán de Fuego, a petición del Gobierno de Guatemala, la Secretaría General envió una misión para evaluar la recepción y gestión de las donaciones y para formular recomendaciones a fin de mejorar la transparencia y la eficacia. El equipo multidisciplinario reunido por la Secretaría General, que incluía a funcionarios de la Oficina del Inspector General y del Departamento de Planificación y Evaluación, así como al Especialista Principal en Gestión de Riesgos de Desastres del SEDI/DDS, preparó y entregó un informe, que contenía un análisis exhaustivo de las medidas institucionales del sistema de respuesta guatemalteco, sus instrumentos y herramientas, y el contexto específico de la emergencia provocada por el desastre.</w:t>
      </w:r>
    </w:p>
    <w:p w:rsidR="00ED17D7" w:rsidRPr="00ED17D7" w:rsidRDefault="00ED17D7" w:rsidP="00713D0B">
      <w:pPr>
        <w:ind w:left="720"/>
        <w:jc w:val="both"/>
        <w:rPr>
          <w:sz w:val="22"/>
          <w:szCs w:val="22"/>
          <w:u w:val="single"/>
          <w:lang w:val="es-US"/>
        </w:rPr>
      </w:pPr>
      <w:r w:rsidRPr="00ED17D7">
        <w:rPr>
          <w:sz w:val="22"/>
          <w:szCs w:val="22"/>
          <w:u w:val="single"/>
          <w:lang w:val="es-US"/>
        </w:rPr>
        <w:t>2019: huracán Dorian y el Commonwealth de las Bahamas</w:t>
      </w:r>
    </w:p>
    <w:p w:rsidR="00ED17D7" w:rsidRPr="00ED17D7" w:rsidRDefault="00ED17D7" w:rsidP="00713D0B">
      <w:pPr>
        <w:spacing w:after="100" w:afterAutospacing="1"/>
        <w:ind w:left="720"/>
        <w:jc w:val="both"/>
        <w:rPr>
          <w:sz w:val="22"/>
          <w:szCs w:val="22"/>
          <w:lang w:val="es-US"/>
        </w:rPr>
      </w:pPr>
      <w:r w:rsidRPr="00ED17D7">
        <w:rPr>
          <w:sz w:val="22"/>
          <w:szCs w:val="22"/>
          <w:lang w:val="es-US"/>
        </w:rPr>
        <w:t>Varios observadores permanentes y Estados Miembros de la OEA respondieron a este suceso. La reunión convocada por el Secretario General Adjunto permitió a la Misión Permanente del Commonwealth de las Bahamas presentar las necesidades inmediatas y un informe preliminar de las consecuencias, así como los puntos de contacto para la recepción de ofrecimientos de asistencia. Los observadores permanentes y los Estados Miembros de la OEA, así como los organismos especializados del sistema interamericano, como la Organización Panamericana de la Salud (OPS), compartieron sus respuestas y planes de asistencia adicional.</w:t>
      </w:r>
    </w:p>
    <w:p w:rsidR="00ED17D7" w:rsidRPr="00ED17D7" w:rsidRDefault="00ED17D7" w:rsidP="00713D0B">
      <w:pPr>
        <w:spacing w:before="100" w:beforeAutospacing="1" w:after="100" w:afterAutospacing="1"/>
        <w:ind w:left="720" w:hanging="90"/>
        <w:jc w:val="both"/>
        <w:rPr>
          <w:sz w:val="22"/>
          <w:szCs w:val="22"/>
          <w:lang w:val="es-US"/>
        </w:rPr>
      </w:pPr>
      <w:r w:rsidRPr="00ED17D7">
        <w:rPr>
          <w:sz w:val="22"/>
          <w:szCs w:val="22"/>
          <w:lang w:val="es-US"/>
        </w:rPr>
        <w:t>Si bien sería difícil cuantificar el impacto de esa reunión, en particular dada la abrumadora respuesta de la comunidad internacional, es razonable llegar a la conclusión de que facilitó la colaboración entre los miembros de la comunidad internacional y que contribuyó a reducir al mínimo la duplicación de esfuerzos y la sobrecarga del Gobierno del Commonwealth de las Bahamas.</w:t>
      </w:r>
    </w:p>
    <w:p w:rsidR="00B36C5C" w:rsidRDefault="00ED17D7" w:rsidP="00713D0B">
      <w:pPr>
        <w:spacing w:before="100" w:beforeAutospacing="1" w:after="100" w:afterAutospacing="1"/>
        <w:ind w:firstLine="630"/>
        <w:jc w:val="both"/>
        <w:rPr>
          <w:sz w:val="22"/>
          <w:szCs w:val="22"/>
          <w:lang w:val="es-US"/>
        </w:rPr>
        <w:sectPr w:rsidR="00B36C5C" w:rsidSect="00233610">
          <w:type w:val="oddPage"/>
          <w:pgSz w:w="12240" w:h="15840"/>
          <w:pgMar w:top="2160" w:right="1570" w:bottom="1296" w:left="1670" w:header="1080" w:footer="648" w:gutter="0"/>
          <w:pgNumType w:fmt="numberInDash" w:start="1"/>
          <w:cols w:space="720"/>
          <w:titlePg/>
          <w:docGrid w:linePitch="360"/>
        </w:sectPr>
      </w:pPr>
      <w:r w:rsidRPr="00ED17D7">
        <w:rPr>
          <w:sz w:val="22"/>
          <w:szCs w:val="22"/>
          <w:lang w:val="es-US"/>
        </w:rPr>
        <w:t>Además, la OEA con su Programa Cascos Blancos ha apoyado a varias misiones de los Cascos Blancos de Argentina, muchas de las cuales se coordinaron con otras agencias del sistema interamericano, principalmente con la OPS. (Véase el informe comple</w:t>
      </w:r>
      <w:r>
        <w:rPr>
          <w:sz w:val="22"/>
          <w:szCs w:val="22"/>
          <w:lang w:val="es-US"/>
        </w:rPr>
        <w:t>to en el A</w:t>
      </w:r>
      <w:r w:rsidRPr="00ED17D7">
        <w:rPr>
          <w:sz w:val="22"/>
          <w:szCs w:val="22"/>
          <w:lang w:val="es-US"/>
        </w:rPr>
        <w:t>nexo). Si bien estas misiones fueron el resultado de solicitudes bilaterales o de la aceptación de ofrecimientos de los Estados Miembros afectados, el Programa Cascos Blancos permitió la identificación de acciones complementarias y la comunicación con el sistema interamericano.</w:t>
      </w:r>
    </w:p>
    <w:p w:rsidR="00ED17D7" w:rsidRDefault="00ED17D7" w:rsidP="00ED17D7">
      <w:pPr>
        <w:spacing w:before="100" w:beforeAutospacing="1" w:after="100" w:afterAutospacing="1"/>
        <w:jc w:val="right"/>
        <w:rPr>
          <w:sz w:val="22"/>
          <w:szCs w:val="22"/>
          <w:lang w:val="es-US"/>
        </w:rPr>
      </w:pPr>
      <w:r>
        <w:rPr>
          <w:sz w:val="22"/>
          <w:szCs w:val="22"/>
          <w:lang w:val="es-US"/>
        </w:rPr>
        <w:lastRenderedPageBreak/>
        <w:t>ANEXO</w:t>
      </w:r>
    </w:p>
    <w:p w:rsidR="00ED17D7" w:rsidRDefault="00ED17D7" w:rsidP="00ED17D7">
      <w:pPr>
        <w:spacing w:before="100" w:beforeAutospacing="1" w:after="100" w:afterAutospacing="1"/>
        <w:jc w:val="right"/>
        <w:rPr>
          <w:sz w:val="22"/>
          <w:szCs w:val="22"/>
          <w:lang w:val="es-US"/>
        </w:rPr>
      </w:pPr>
    </w:p>
    <w:p w:rsidR="00B36C5C" w:rsidRDefault="00B36C5C" w:rsidP="00ED17D7">
      <w:pPr>
        <w:spacing w:before="100" w:beforeAutospacing="1" w:after="100" w:afterAutospacing="1"/>
        <w:rPr>
          <w:sz w:val="22"/>
          <w:szCs w:val="22"/>
          <w:lang w:val="es-US"/>
        </w:rPr>
      </w:pPr>
      <w:r>
        <w:rPr>
          <w:sz w:val="22"/>
          <w:szCs w:val="22"/>
          <w:lang w:val="es-US"/>
        </w:rPr>
        <w:t>CASCOS B</w:t>
      </w:r>
      <w:r w:rsidR="009E6FA9">
        <w:rPr>
          <w:sz w:val="22"/>
          <w:szCs w:val="22"/>
          <w:lang w:val="es-US"/>
        </w:rPr>
        <w:t>L</w:t>
      </w:r>
      <w:r>
        <w:rPr>
          <w:sz w:val="22"/>
          <w:szCs w:val="22"/>
          <w:lang w:val="es-US"/>
        </w:rPr>
        <w:t xml:space="preserve">ANCOS: </w:t>
      </w:r>
    </w:p>
    <w:p w:rsidR="00ED17D7" w:rsidRDefault="00ED17D7" w:rsidP="00ED17D7">
      <w:pPr>
        <w:spacing w:before="100" w:beforeAutospacing="1" w:after="100" w:afterAutospacing="1"/>
        <w:rPr>
          <w:sz w:val="22"/>
          <w:szCs w:val="22"/>
          <w:lang w:val="es-US"/>
        </w:rPr>
      </w:pPr>
      <w:r w:rsidRPr="00ED17D7">
        <w:rPr>
          <w:sz w:val="22"/>
          <w:szCs w:val="22"/>
          <w:lang w:val="es-US"/>
        </w:rPr>
        <w:t>MISIONES</w:t>
      </w:r>
      <w:r>
        <w:rPr>
          <w:sz w:val="22"/>
          <w:szCs w:val="22"/>
          <w:lang w:val="es-US"/>
        </w:rPr>
        <w:t xml:space="preserve"> INTERNACIONALES </w:t>
      </w:r>
      <w:r w:rsidRPr="00ED17D7">
        <w:rPr>
          <w:sz w:val="22"/>
          <w:szCs w:val="22"/>
          <w:lang w:val="es-US"/>
        </w:rPr>
        <w:t>Y</w:t>
      </w:r>
      <w:r>
        <w:rPr>
          <w:sz w:val="22"/>
          <w:szCs w:val="22"/>
          <w:lang w:val="es-US"/>
        </w:rPr>
        <w:t xml:space="preserve"> </w:t>
      </w:r>
      <w:r w:rsidRPr="00ED17D7">
        <w:rPr>
          <w:sz w:val="22"/>
          <w:szCs w:val="22"/>
          <w:lang w:val="es-US"/>
        </w:rPr>
        <w:t>ENVÍOS</w:t>
      </w:r>
      <w:r>
        <w:rPr>
          <w:sz w:val="22"/>
          <w:szCs w:val="22"/>
          <w:lang w:val="es-US"/>
        </w:rPr>
        <w:t xml:space="preserve"> </w:t>
      </w:r>
      <w:r w:rsidRPr="00ED17D7">
        <w:rPr>
          <w:sz w:val="22"/>
          <w:szCs w:val="22"/>
          <w:lang w:val="es-US"/>
        </w:rPr>
        <w:t>DE</w:t>
      </w:r>
      <w:r>
        <w:rPr>
          <w:sz w:val="22"/>
          <w:szCs w:val="22"/>
          <w:lang w:val="es-US"/>
        </w:rPr>
        <w:t xml:space="preserve"> </w:t>
      </w:r>
      <w:r w:rsidRPr="00ED17D7">
        <w:rPr>
          <w:sz w:val="22"/>
          <w:szCs w:val="22"/>
          <w:lang w:val="es-US"/>
        </w:rPr>
        <w:t>INSUMOS HUMANITARIOS 201</w:t>
      </w:r>
      <w:r>
        <w:rPr>
          <w:sz w:val="22"/>
          <w:szCs w:val="22"/>
          <w:lang w:val="es-US"/>
        </w:rPr>
        <w:t>5</w:t>
      </w:r>
      <w:r w:rsidRPr="00ED17D7">
        <w:rPr>
          <w:sz w:val="22"/>
          <w:szCs w:val="22"/>
          <w:lang w:val="es-US"/>
        </w:rPr>
        <w:t>-</w:t>
      </w:r>
      <w:proofErr w:type="gramStart"/>
      <w:r w:rsidRPr="00ED17D7">
        <w:rPr>
          <w:sz w:val="22"/>
          <w:szCs w:val="22"/>
          <w:lang w:val="es-US"/>
        </w:rPr>
        <w:t>2019</w:t>
      </w:r>
      <w:r>
        <w:rPr>
          <w:sz w:val="22"/>
          <w:szCs w:val="22"/>
          <w:lang w:val="es-US"/>
        </w:rPr>
        <w:t xml:space="preserve"> :</w:t>
      </w:r>
      <w:proofErr w:type="gramEnd"/>
    </w:p>
    <w:p w:rsidR="00ED17D7" w:rsidRPr="00ED17D7" w:rsidRDefault="00373915" w:rsidP="00ED17D7">
      <w:pPr>
        <w:suppressAutoHyphens w:val="0"/>
        <w:rPr>
          <w:rFonts w:ascii="Calibri" w:eastAsia="Calibri" w:hAnsi="Calibri" w:cs="Calibri"/>
          <w:color w:val="1F497D"/>
          <w:sz w:val="22"/>
          <w:szCs w:val="22"/>
          <w:lang w:val="es-US" w:eastAsia="en-US"/>
        </w:rPr>
      </w:pPr>
      <w:hyperlink r:id="rId9" w:history="1">
        <w:r w:rsidR="00ED17D7" w:rsidRPr="00ED17D7">
          <w:rPr>
            <w:rFonts w:ascii="Calibri" w:eastAsia="Calibri" w:hAnsi="Calibri" w:cs="Calibri"/>
            <w:color w:val="0563C1"/>
            <w:sz w:val="22"/>
            <w:szCs w:val="22"/>
            <w:u w:val="single"/>
            <w:lang w:val="es-US" w:eastAsia="en-US"/>
          </w:rPr>
          <w:t>http://scm.oas.org/pdfs/2020/MISIONESCASCOSBLANCOS2015-2019.pdf</w:t>
        </w:r>
      </w:hyperlink>
      <w:r w:rsidR="00ED17D7" w:rsidRPr="00ED17D7">
        <w:rPr>
          <w:rFonts w:ascii="Calibri" w:eastAsia="Calibri" w:hAnsi="Calibri" w:cs="Calibri"/>
          <w:color w:val="1F497D"/>
          <w:sz w:val="22"/>
          <w:szCs w:val="22"/>
          <w:lang w:val="es-US" w:eastAsia="en-US"/>
        </w:rPr>
        <w:t xml:space="preserve"> </w:t>
      </w:r>
    </w:p>
    <w:p w:rsidR="00ED17D7" w:rsidRDefault="00ED17D7" w:rsidP="00ED17D7">
      <w:pPr>
        <w:spacing w:before="100" w:beforeAutospacing="1" w:after="100" w:afterAutospacing="1"/>
        <w:jc w:val="both"/>
        <w:rPr>
          <w:sz w:val="22"/>
          <w:szCs w:val="22"/>
          <w:lang w:val="es-US"/>
        </w:rPr>
      </w:pPr>
    </w:p>
    <w:p w:rsidR="00ED17D7" w:rsidRDefault="00ED17D7" w:rsidP="00ED17D7">
      <w:pPr>
        <w:spacing w:before="100" w:beforeAutospacing="1" w:after="100" w:afterAutospacing="1"/>
        <w:jc w:val="right"/>
        <w:rPr>
          <w:sz w:val="22"/>
          <w:szCs w:val="22"/>
          <w:lang w:val="es-US"/>
        </w:rPr>
      </w:pPr>
    </w:p>
    <w:p w:rsidR="00ED17D7" w:rsidRPr="00ED17D7" w:rsidRDefault="00373915" w:rsidP="00ED17D7">
      <w:pPr>
        <w:spacing w:before="100" w:beforeAutospacing="1" w:after="100" w:afterAutospacing="1"/>
        <w:jc w:val="both"/>
        <w:rPr>
          <w:sz w:val="22"/>
          <w:szCs w:val="22"/>
          <w:lang w:val="es-US"/>
        </w:rPr>
      </w:pPr>
      <w:bookmarkStart w:id="0" w:name="_GoBack"/>
      <w:bookmarkEnd w:id="0"/>
      <w:r>
        <w:rPr>
          <w:noProof/>
          <w:sz w:val="22"/>
          <w:szCs w:val="22"/>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73915" w:rsidRPr="00373915" w:rsidRDefault="00373915">
                            <w:pPr>
                              <w:rPr>
                                <w:sz w:val="18"/>
                              </w:rPr>
                            </w:pPr>
                            <w:r>
                              <w:rPr>
                                <w:sz w:val="18"/>
                              </w:rPr>
                              <w:fldChar w:fldCharType="begin"/>
                            </w:r>
                            <w:r>
                              <w:rPr>
                                <w:sz w:val="18"/>
                              </w:rPr>
                              <w:instrText xml:space="preserve"> FILENAME  \* MERGEFORMAT </w:instrText>
                            </w:r>
                            <w:r>
                              <w:rPr>
                                <w:sz w:val="18"/>
                              </w:rPr>
                              <w:fldChar w:fldCharType="separate"/>
                            </w:r>
                            <w:r>
                              <w:rPr>
                                <w:noProof/>
                                <w:sz w:val="18"/>
                              </w:rPr>
                              <w:t>CIDRP02863S01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373915" w:rsidRPr="00373915" w:rsidRDefault="00373915">
                      <w:pPr>
                        <w:rPr>
                          <w:sz w:val="18"/>
                        </w:rPr>
                      </w:pPr>
                      <w:r>
                        <w:rPr>
                          <w:sz w:val="18"/>
                        </w:rPr>
                        <w:fldChar w:fldCharType="begin"/>
                      </w:r>
                      <w:r>
                        <w:rPr>
                          <w:sz w:val="18"/>
                        </w:rPr>
                        <w:instrText xml:space="preserve"> FILENAME  \* MERGEFORMAT </w:instrText>
                      </w:r>
                      <w:r>
                        <w:rPr>
                          <w:sz w:val="18"/>
                        </w:rPr>
                        <w:fldChar w:fldCharType="separate"/>
                      </w:r>
                      <w:r>
                        <w:rPr>
                          <w:noProof/>
                          <w:sz w:val="18"/>
                        </w:rPr>
                        <w:t>CIDRP02863S01</w:t>
                      </w:r>
                      <w:r>
                        <w:rPr>
                          <w:sz w:val="18"/>
                        </w:rPr>
                        <w:fldChar w:fldCharType="end"/>
                      </w:r>
                    </w:p>
                  </w:txbxContent>
                </v:textbox>
                <w10:wrap anchory="page"/>
                <w10:anchorlock/>
              </v:shape>
            </w:pict>
          </mc:Fallback>
        </mc:AlternateContent>
      </w:r>
    </w:p>
    <w:sectPr w:rsidR="00ED17D7" w:rsidRPr="00ED17D7" w:rsidSect="00233610">
      <w:type w:val="oddPage"/>
      <w:pgSz w:w="12240" w:h="15840"/>
      <w:pgMar w:top="2160" w:right="1570" w:bottom="1296" w:left="1670" w:header="1080" w:footer="648"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9E" w:rsidRDefault="00C56B9E">
      <w:r>
        <w:separator/>
      </w:r>
    </w:p>
  </w:endnote>
  <w:endnote w:type="continuationSeparator" w:id="0">
    <w:p w:rsidR="00C56B9E" w:rsidRDefault="00C5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9E" w:rsidRDefault="00C56B9E">
      <w:r>
        <w:separator/>
      </w:r>
    </w:p>
  </w:footnote>
  <w:footnote w:type="continuationSeparator" w:id="0">
    <w:p w:rsidR="00C56B9E" w:rsidRDefault="00C5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3A" w:rsidRDefault="0016493A">
    <w:pPr>
      <w:pStyle w:val="Header"/>
      <w:jc w:val="center"/>
    </w:pPr>
    <w:r>
      <w:fldChar w:fldCharType="begin"/>
    </w:r>
    <w:r>
      <w:instrText xml:space="preserve"> PAGE   \* MERGEFORMAT </w:instrText>
    </w:r>
    <w:r>
      <w:fldChar w:fldCharType="separate"/>
    </w:r>
    <w:r w:rsidR="00373915">
      <w:rPr>
        <w:noProof/>
      </w:rPr>
      <w:t>- 3 -</w:t>
    </w:r>
    <w:r>
      <w:rPr>
        <w:noProof/>
      </w:rPr>
      <w:fldChar w:fldCharType="end"/>
    </w:r>
  </w:p>
  <w:p w:rsidR="0016493A" w:rsidRDefault="0016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24A07CF"/>
    <w:multiLevelType w:val="hybridMultilevel"/>
    <w:tmpl w:val="03D0801C"/>
    <w:lvl w:ilvl="0" w:tplc="AFBC43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D14A8E"/>
    <w:multiLevelType w:val="hybridMultilevel"/>
    <w:tmpl w:val="EF52D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262754"/>
    <w:multiLevelType w:val="hybridMultilevel"/>
    <w:tmpl w:val="1F0461C0"/>
    <w:lvl w:ilvl="0" w:tplc="787EE5E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E5390"/>
    <w:multiLevelType w:val="hybridMultilevel"/>
    <w:tmpl w:val="60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309A4"/>
    <w:multiLevelType w:val="hybridMultilevel"/>
    <w:tmpl w:val="933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3" w15:restartNumberingAfterBreak="0">
    <w:nsid w:val="3D4D7AEE"/>
    <w:multiLevelType w:val="hybridMultilevel"/>
    <w:tmpl w:val="5C826AF2"/>
    <w:lvl w:ilvl="0" w:tplc="53E25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71DF6"/>
    <w:multiLevelType w:val="hybridMultilevel"/>
    <w:tmpl w:val="74FED81A"/>
    <w:lvl w:ilvl="0" w:tplc="1FB02D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BF644B"/>
    <w:multiLevelType w:val="hybridMultilevel"/>
    <w:tmpl w:val="0E6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D7632C"/>
    <w:multiLevelType w:val="hybridMultilevel"/>
    <w:tmpl w:val="D87C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3" w15:restartNumberingAfterBreak="0">
    <w:nsid w:val="60B540A2"/>
    <w:multiLevelType w:val="hybridMultilevel"/>
    <w:tmpl w:val="B1E40066"/>
    <w:lvl w:ilvl="0" w:tplc="F2706D82">
      <w:start w:val="1"/>
      <w:numFmt w:val="lowerRoman"/>
      <w:lvlText w:val="%1."/>
      <w:lvlJc w:val="left"/>
      <w:pPr>
        <w:ind w:left="1440" w:hanging="720"/>
      </w:pPr>
      <w:rPr>
        <w:rFonts w:eastAsia="SimSu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2B49CE"/>
    <w:multiLevelType w:val="hybridMultilevel"/>
    <w:tmpl w:val="F9F24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D353B5C"/>
    <w:multiLevelType w:val="hybridMultilevel"/>
    <w:tmpl w:val="F5BC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5"/>
  </w:num>
  <w:num w:numId="5">
    <w:abstractNumId w:val="15"/>
  </w:num>
  <w:num w:numId="6">
    <w:abstractNumId w:val="26"/>
  </w:num>
  <w:num w:numId="7">
    <w:abstractNumId w:val="9"/>
  </w:num>
  <w:num w:numId="8">
    <w:abstractNumId w:val="22"/>
  </w:num>
  <w:num w:numId="9">
    <w:abstractNumId w:val="12"/>
  </w:num>
  <w:num w:numId="10">
    <w:abstractNumId w:val="18"/>
  </w:num>
  <w:num w:numId="11">
    <w:abstractNumId w:val="7"/>
  </w:num>
  <w:num w:numId="12">
    <w:abstractNumId w:val="21"/>
  </w:num>
  <w:num w:numId="13">
    <w:abstractNumId w:val="17"/>
  </w:num>
  <w:num w:numId="14">
    <w:abstractNumId w:val="14"/>
  </w:num>
  <w:num w:numId="15">
    <w:abstractNumId w:val="13"/>
  </w:num>
  <w:num w:numId="16">
    <w:abstractNumId w:val="4"/>
  </w:num>
  <w:num w:numId="17">
    <w:abstractNumId w:val="19"/>
  </w:num>
  <w:num w:numId="18">
    <w:abstractNumId w:val="23"/>
  </w:num>
  <w:num w:numId="19">
    <w:abstractNumId w:val="10"/>
  </w:num>
  <w:num w:numId="20">
    <w:abstractNumId w:val="11"/>
  </w:num>
  <w:num w:numId="21">
    <w:abstractNumId w:val="16"/>
  </w:num>
  <w:num w:numId="22">
    <w:abstractNumId w:val="8"/>
  </w:num>
  <w:num w:numId="23">
    <w:abstractNumId w:val="6"/>
  </w:num>
  <w:num w:numId="24">
    <w:abstractNumId w:val="20"/>
  </w:num>
  <w:num w:numId="25">
    <w:abstractNumId w:val="5"/>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21E0"/>
    <w:rsid w:val="0000649F"/>
    <w:rsid w:val="00020C42"/>
    <w:rsid w:val="000239DD"/>
    <w:rsid w:val="00024224"/>
    <w:rsid w:val="0002703D"/>
    <w:rsid w:val="0002764A"/>
    <w:rsid w:val="00035567"/>
    <w:rsid w:val="00036296"/>
    <w:rsid w:val="000371A6"/>
    <w:rsid w:val="00040013"/>
    <w:rsid w:val="000415D6"/>
    <w:rsid w:val="00046231"/>
    <w:rsid w:val="0005202D"/>
    <w:rsid w:val="000541AD"/>
    <w:rsid w:val="00057C23"/>
    <w:rsid w:val="00071E69"/>
    <w:rsid w:val="00074139"/>
    <w:rsid w:val="000748F7"/>
    <w:rsid w:val="00074A7D"/>
    <w:rsid w:val="00080CC8"/>
    <w:rsid w:val="0008460C"/>
    <w:rsid w:val="00093FE3"/>
    <w:rsid w:val="000A1451"/>
    <w:rsid w:val="000A1B7A"/>
    <w:rsid w:val="000B0A1D"/>
    <w:rsid w:val="000B4D22"/>
    <w:rsid w:val="000B7A89"/>
    <w:rsid w:val="000C1110"/>
    <w:rsid w:val="000C3E0F"/>
    <w:rsid w:val="000C50C1"/>
    <w:rsid w:val="000C5398"/>
    <w:rsid w:val="000C6421"/>
    <w:rsid w:val="000D181A"/>
    <w:rsid w:val="000D3A13"/>
    <w:rsid w:val="000D5339"/>
    <w:rsid w:val="000E0D82"/>
    <w:rsid w:val="000E3201"/>
    <w:rsid w:val="000E5CF2"/>
    <w:rsid w:val="000F279C"/>
    <w:rsid w:val="00113D09"/>
    <w:rsid w:val="00114508"/>
    <w:rsid w:val="0011460D"/>
    <w:rsid w:val="001221A3"/>
    <w:rsid w:val="00124D00"/>
    <w:rsid w:val="001250A8"/>
    <w:rsid w:val="001334EF"/>
    <w:rsid w:val="0013508F"/>
    <w:rsid w:val="00136196"/>
    <w:rsid w:val="0014036C"/>
    <w:rsid w:val="00150C1B"/>
    <w:rsid w:val="001542C3"/>
    <w:rsid w:val="0015450A"/>
    <w:rsid w:val="00154ABA"/>
    <w:rsid w:val="00156762"/>
    <w:rsid w:val="0016195B"/>
    <w:rsid w:val="00162011"/>
    <w:rsid w:val="00162704"/>
    <w:rsid w:val="00162E7C"/>
    <w:rsid w:val="0016493A"/>
    <w:rsid w:val="00166159"/>
    <w:rsid w:val="001663EE"/>
    <w:rsid w:val="0017041B"/>
    <w:rsid w:val="00173C1C"/>
    <w:rsid w:val="001740B7"/>
    <w:rsid w:val="0017537B"/>
    <w:rsid w:val="00180722"/>
    <w:rsid w:val="00185579"/>
    <w:rsid w:val="00187455"/>
    <w:rsid w:val="00192EA1"/>
    <w:rsid w:val="00195157"/>
    <w:rsid w:val="001A3A85"/>
    <w:rsid w:val="001A6856"/>
    <w:rsid w:val="001B31CF"/>
    <w:rsid w:val="001B588D"/>
    <w:rsid w:val="001C1807"/>
    <w:rsid w:val="001D5289"/>
    <w:rsid w:val="001D6F97"/>
    <w:rsid w:val="001E63BF"/>
    <w:rsid w:val="001E7F28"/>
    <w:rsid w:val="001F08AF"/>
    <w:rsid w:val="001F0D70"/>
    <w:rsid w:val="001F25CB"/>
    <w:rsid w:val="001F431F"/>
    <w:rsid w:val="00203567"/>
    <w:rsid w:val="00206C98"/>
    <w:rsid w:val="00210E6A"/>
    <w:rsid w:val="00213192"/>
    <w:rsid w:val="002148A6"/>
    <w:rsid w:val="00216B94"/>
    <w:rsid w:val="00223A19"/>
    <w:rsid w:val="00230335"/>
    <w:rsid w:val="00232579"/>
    <w:rsid w:val="00233610"/>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304E94"/>
    <w:rsid w:val="00310E3D"/>
    <w:rsid w:val="003277E6"/>
    <w:rsid w:val="00330065"/>
    <w:rsid w:val="00335184"/>
    <w:rsid w:val="003370EA"/>
    <w:rsid w:val="00353378"/>
    <w:rsid w:val="0035434B"/>
    <w:rsid w:val="003545FA"/>
    <w:rsid w:val="0035594C"/>
    <w:rsid w:val="00356593"/>
    <w:rsid w:val="00362A0D"/>
    <w:rsid w:val="00363D8A"/>
    <w:rsid w:val="00370538"/>
    <w:rsid w:val="00373915"/>
    <w:rsid w:val="00374DD8"/>
    <w:rsid w:val="003770A4"/>
    <w:rsid w:val="00380CB3"/>
    <w:rsid w:val="0039185F"/>
    <w:rsid w:val="003A52EC"/>
    <w:rsid w:val="003A68A7"/>
    <w:rsid w:val="003B0AB6"/>
    <w:rsid w:val="003B259E"/>
    <w:rsid w:val="003B4178"/>
    <w:rsid w:val="003C3C46"/>
    <w:rsid w:val="003C51EA"/>
    <w:rsid w:val="003C6798"/>
    <w:rsid w:val="003C777D"/>
    <w:rsid w:val="003D28C7"/>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5E36"/>
    <w:rsid w:val="0043696E"/>
    <w:rsid w:val="00446020"/>
    <w:rsid w:val="004473E8"/>
    <w:rsid w:val="00447688"/>
    <w:rsid w:val="00450506"/>
    <w:rsid w:val="00450EC0"/>
    <w:rsid w:val="00452199"/>
    <w:rsid w:val="00452944"/>
    <w:rsid w:val="0045312F"/>
    <w:rsid w:val="004569B4"/>
    <w:rsid w:val="00457A21"/>
    <w:rsid w:val="004618B9"/>
    <w:rsid w:val="004626EF"/>
    <w:rsid w:val="0046454D"/>
    <w:rsid w:val="00471659"/>
    <w:rsid w:val="00476B05"/>
    <w:rsid w:val="00477B1A"/>
    <w:rsid w:val="0048075D"/>
    <w:rsid w:val="00480C3C"/>
    <w:rsid w:val="00482DCE"/>
    <w:rsid w:val="004835DF"/>
    <w:rsid w:val="00484031"/>
    <w:rsid w:val="0049155C"/>
    <w:rsid w:val="00491AE1"/>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647D"/>
    <w:rsid w:val="004C129B"/>
    <w:rsid w:val="004C12E7"/>
    <w:rsid w:val="004C3874"/>
    <w:rsid w:val="004C52AF"/>
    <w:rsid w:val="004C5969"/>
    <w:rsid w:val="004D145F"/>
    <w:rsid w:val="004E0A9A"/>
    <w:rsid w:val="004E2AD0"/>
    <w:rsid w:val="004F10ED"/>
    <w:rsid w:val="004F15B0"/>
    <w:rsid w:val="004F7A9F"/>
    <w:rsid w:val="00501695"/>
    <w:rsid w:val="005018F5"/>
    <w:rsid w:val="005044FE"/>
    <w:rsid w:val="005059DF"/>
    <w:rsid w:val="00507636"/>
    <w:rsid w:val="005111BD"/>
    <w:rsid w:val="0051443C"/>
    <w:rsid w:val="0051604F"/>
    <w:rsid w:val="00516D08"/>
    <w:rsid w:val="00517340"/>
    <w:rsid w:val="00517985"/>
    <w:rsid w:val="00522E01"/>
    <w:rsid w:val="00525C3F"/>
    <w:rsid w:val="00526BFB"/>
    <w:rsid w:val="00527D3D"/>
    <w:rsid w:val="00534C5A"/>
    <w:rsid w:val="0054068A"/>
    <w:rsid w:val="00542792"/>
    <w:rsid w:val="00542B86"/>
    <w:rsid w:val="005441FA"/>
    <w:rsid w:val="00544B5D"/>
    <w:rsid w:val="00546E97"/>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4E8A"/>
    <w:rsid w:val="005B5B17"/>
    <w:rsid w:val="005C0530"/>
    <w:rsid w:val="005C0FF2"/>
    <w:rsid w:val="005C4383"/>
    <w:rsid w:val="005C6772"/>
    <w:rsid w:val="005D69D3"/>
    <w:rsid w:val="005D70BE"/>
    <w:rsid w:val="005D7C45"/>
    <w:rsid w:val="005E075D"/>
    <w:rsid w:val="005E4C50"/>
    <w:rsid w:val="005E6914"/>
    <w:rsid w:val="005F1217"/>
    <w:rsid w:val="005F213F"/>
    <w:rsid w:val="005F4DF5"/>
    <w:rsid w:val="005F5AAD"/>
    <w:rsid w:val="005F5ADD"/>
    <w:rsid w:val="0060059B"/>
    <w:rsid w:val="00601BB4"/>
    <w:rsid w:val="00601D4B"/>
    <w:rsid w:val="00605581"/>
    <w:rsid w:val="00606A97"/>
    <w:rsid w:val="00612284"/>
    <w:rsid w:val="00622479"/>
    <w:rsid w:val="00625AD7"/>
    <w:rsid w:val="00627898"/>
    <w:rsid w:val="00631E13"/>
    <w:rsid w:val="00634166"/>
    <w:rsid w:val="00635E03"/>
    <w:rsid w:val="00643BBD"/>
    <w:rsid w:val="00644AE4"/>
    <w:rsid w:val="00645031"/>
    <w:rsid w:val="00645DF4"/>
    <w:rsid w:val="006521A6"/>
    <w:rsid w:val="00654130"/>
    <w:rsid w:val="00654D5B"/>
    <w:rsid w:val="00654DC1"/>
    <w:rsid w:val="006646EE"/>
    <w:rsid w:val="00670C0C"/>
    <w:rsid w:val="006730DA"/>
    <w:rsid w:val="00680F0E"/>
    <w:rsid w:val="00682F06"/>
    <w:rsid w:val="00685F9F"/>
    <w:rsid w:val="00687C2B"/>
    <w:rsid w:val="0069021B"/>
    <w:rsid w:val="006932E3"/>
    <w:rsid w:val="00693D86"/>
    <w:rsid w:val="00694E9E"/>
    <w:rsid w:val="006A11BE"/>
    <w:rsid w:val="006A1A36"/>
    <w:rsid w:val="006A5F13"/>
    <w:rsid w:val="006A6227"/>
    <w:rsid w:val="006A7D21"/>
    <w:rsid w:val="006B0B6A"/>
    <w:rsid w:val="006B11E5"/>
    <w:rsid w:val="006B3B33"/>
    <w:rsid w:val="006B4763"/>
    <w:rsid w:val="006B6445"/>
    <w:rsid w:val="006C0385"/>
    <w:rsid w:val="006C0CEC"/>
    <w:rsid w:val="006C15FE"/>
    <w:rsid w:val="006C302E"/>
    <w:rsid w:val="006C328B"/>
    <w:rsid w:val="006D0335"/>
    <w:rsid w:val="006D6B1C"/>
    <w:rsid w:val="006E0237"/>
    <w:rsid w:val="006E19B5"/>
    <w:rsid w:val="006E5C28"/>
    <w:rsid w:val="006E62A2"/>
    <w:rsid w:val="006E6661"/>
    <w:rsid w:val="006F0C5A"/>
    <w:rsid w:val="006F215C"/>
    <w:rsid w:val="006F5067"/>
    <w:rsid w:val="0070048E"/>
    <w:rsid w:val="0070436E"/>
    <w:rsid w:val="00705430"/>
    <w:rsid w:val="00705F1E"/>
    <w:rsid w:val="00706D0C"/>
    <w:rsid w:val="00712E2D"/>
    <w:rsid w:val="00713D0B"/>
    <w:rsid w:val="00715069"/>
    <w:rsid w:val="00715392"/>
    <w:rsid w:val="0071701C"/>
    <w:rsid w:val="00720525"/>
    <w:rsid w:val="00722643"/>
    <w:rsid w:val="00724611"/>
    <w:rsid w:val="007246F1"/>
    <w:rsid w:val="00724949"/>
    <w:rsid w:val="00726EAE"/>
    <w:rsid w:val="00732D50"/>
    <w:rsid w:val="00732E18"/>
    <w:rsid w:val="00736B26"/>
    <w:rsid w:val="007375A1"/>
    <w:rsid w:val="00740036"/>
    <w:rsid w:val="00742582"/>
    <w:rsid w:val="00742E3E"/>
    <w:rsid w:val="00745950"/>
    <w:rsid w:val="007502E8"/>
    <w:rsid w:val="007558FD"/>
    <w:rsid w:val="0076113D"/>
    <w:rsid w:val="00766D94"/>
    <w:rsid w:val="00777D2D"/>
    <w:rsid w:val="00780C06"/>
    <w:rsid w:val="00784B32"/>
    <w:rsid w:val="00785BA5"/>
    <w:rsid w:val="00786858"/>
    <w:rsid w:val="00787585"/>
    <w:rsid w:val="00787A46"/>
    <w:rsid w:val="0079345A"/>
    <w:rsid w:val="007952F7"/>
    <w:rsid w:val="00795304"/>
    <w:rsid w:val="007962D2"/>
    <w:rsid w:val="007975B9"/>
    <w:rsid w:val="007A3DA5"/>
    <w:rsid w:val="007A4316"/>
    <w:rsid w:val="007A6315"/>
    <w:rsid w:val="007A67AE"/>
    <w:rsid w:val="007A7512"/>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42BA"/>
    <w:rsid w:val="007F4A24"/>
    <w:rsid w:val="00800863"/>
    <w:rsid w:val="00801D9E"/>
    <w:rsid w:val="00803501"/>
    <w:rsid w:val="008100F1"/>
    <w:rsid w:val="00811A2B"/>
    <w:rsid w:val="00811BB4"/>
    <w:rsid w:val="00811FE2"/>
    <w:rsid w:val="00813ED8"/>
    <w:rsid w:val="00815FAD"/>
    <w:rsid w:val="00820F9C"/>
    <w:rsid w:val="00823829"/>
    <w:rsid w:val="00830809"/>
    <w:rsid w:val="008335B5"/>
    <w:rsid w:val="00837E83"/>
    <w:rsid w:val="008419A2"/>
    <w:rsid w:val="00842403"/>
    <w:rsid w:val="00843A3B"/>
    <w:rsid w:val="008503BC"/>
    <w:rsid w:val="008521E9"/>
    <w:rsid w:val="00852309"/>
    <w:rsid w:val="008526F1"/>
    <w:rsid w:val="00855891"/>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5B5F"/>
    <w:rsid w:val="008C4D73"/>
    <w:rsid w:val="008C6C3F"/>
    <w:rsid w:val="008D0B8A"/>
    <w:rsid w:val="008D4E0E"/>
    <w:rsid w:val="008D5543"/>
    <w:rsid w:val="008E0D72"/>
    <w:rsid w:val="008E1609"/>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307A1"/>
    <w:rsid w:val="009307F4"/>
    <w:rsid w:val="00940D68"/>
    <w:rsid w:val="00940D7A"/>
    <w:rsid w:val="00945829"/>
    <w:rsid w:val="00952566"/>
    <w:rsid w:val="00954ADD"/>
    <w:rsid w:val="00954B48"/>
    <w:rsid w:val="00955E5D"/>
    <w:rsid w:val="00960B58"/>
    <w:rsid w:val="00960EE4"/>
    <w:rsid w:val="00961152"/>
    <w:rsid w:val="0096337F"/>
    <w:rsid w:val="0096453A"/>
    <w:rsid w:val="00964F2E"/>
    <w:rsid w:val="00965636"/>
    <w:rsid w:val="00971FDC"/>
    <w:rsid w:val="0097420C"/>
    <w:rsid w:val="00982A35"/>
    <w:rsid w:val="0098440E"/>
    <w:rsid w:val="00986CBF"/>
    <w:rsid w:val="00990314"/>
    <w:rsid w:val="00990833"/>
    <w:rsid w:val="00990A96"/>
    <w:rsid w:val="00993905"/>
    <w:rsid w:val="009A2DBD"/>
    <w:rsid w:val="009A403D"/>
    <w:rsid w:val="009A46AE"/>
    <w:rsid w:val="009A7370"/>
    <w:rsid w:val="009B1852"/>
    <w:rsid w:val="009C19CF"/>
    <w:rsid w:val="009C2D53"/>
    <w:rsid w:val="009C391F"/>
    <w:rsid w:val="009C5F91"/>
    <w:rsid w:val="009D0252"/>
    <w:rsid w:val="009D1E85"/>
    <w:rsid w:val="009D6339"/>
    <w:rsid w:val="009E1784"/>
    <w:rsid w:val="009E1C93"/>
    <w:rsid w:val="009E2172"/>
    <w:rsid w:val="009E4ED5"/>
    <w:rsid w:val="009E6370"/>
    <w:rsid w:val="009E6992"/>
    <w:rsid w:val="009E6FA9"/>
    <w:rsid w:val="009E7A7C"/>
    <w:rsid w:val="009F09B5"/>
    <w:rsid w:val="009F6827"/>
    <w:rsid w:val="009F6A6F"/>
    <w:rsid w:val="009F6F5E"/>
    <w:rsid w:val="00A0221E"/>
    <w:rsid w:val="00A0295A"/>
    <w:rsid w:val="00A02B9C"/>
    <w:rsid w:val="00A031BA"/>
    <w:rsid w:val="00A06781"/>
    <w:rsid w:val="00A147D2"/>
    <w:rsid w:val="00A15C3D"/>
    <w:rsid w:val="00A17046"/>
    <w:rsid w:val="00A212CD"/>
    <w:rsid w:val="00A21CB2"/>
    <w:rsid w:val="00A25DEC"/>
    <w:rsid w:val="00A26946"/>
    <w:rsid w:val="00A26EAD"/>
    <w:rsid w:val="00A270DB"/>
    <w:rsid w:val="00A31AB1"/>
    <w:rsid w:val="00A346E4"/>
    <w:rsid w:val="00A4301D"/>
    <w:rsid w:val="00A43F29"/>
    <w:rsid w:val="00A466A1"/>
    <w:rsid w:val="00A46757"/>
    <w:rsid w:val="00A50A4B"/>
    <w:rsid w:val="00A51AD4"/>
    <w:rsid w:val="00A53608"/>
    <w:rsid w:val="00A55DE0"/>
    <w:rsid w:val="00A61BB0"/>
    <w:rsid w:val="00A620CD"/>
    <w:rsid w:val="00A654A4"/>
    <w:rsid w:val="00A66DE9"/>
    <w:rsid w:val="00A67898"/>
    <w:rsid w:val="00A67DFE"/>
    <w:rsid w:val="00A738C6"/>
    <w:rsid w:val="00A76E8C"/>
    <w:rsid w:val="00A77DCD"/>
    <w:rsid w:val="00A8153F"/>
    <w:rsid w:val="00A81FC1"/>
    <w:rsid w:val="00A84F21"/>
    <w:rsid w:val="00A903AD"/>
    <w:rsid w:val="00A90590"/>
    <w:rsid w:val="00A92D1A"/>
    <w:rsid w:val="00A92FAA"/>
    <w:rsid w:val="00A94A2F"/>
    <w:rsid w:val="00A94E15"/>
    <w:rsid w:val="00A95FFA"/>
    <w:rsid w:val="00A9698D"/>
    <w:rsid w:val="00AA2ECE"/>
    <w:rsid w:val="00AA31FB"/>
    <w:rsid w:val="00AA3F0D"/>
    <w:rsid w:val="00AA473D"/>
    <w:rsid w:val="00AA49B4"/>
    <w:rsid w:val="00AA5F67"/>
    <w:rsid w:val="00AA64F7"/>
    <w:rsid w:val="00AB2727"/>
    <w:rsid w:val="00AB339F"/>
    <w:rsid w:val="00AB772C"/>
    <w:rsid w:val="00AC33D9"/>
    <w:rsid w:val="00AC57A2"/>
    <w:rsid w:val="00AC58C6"/>
    <w:rsid w:val="00AC5C91"/>
    <w:rsid w:val="00AD225A"/>
    <w:rsid w:val="00AD30A8"/>
    <w:rsid w:val="00AD4F46"/>
    <w:rsid w:val="00AE1E1C"/>
    <w:rsid w:val="00AE1EF4"/>
    <w:rsid w:val="00AF1F04"/>
    <w:rsid w:val="00AF2A9E"/>
    <w:rsid w:val="00AF4CE7"/>
    <w:rsid w:val="00B056EC"/>
    <w:rsid w:val="00B1027C"/>
    <w:rsid w:val="00B163A0"/>
    <w:rsid w:val="00B26A00"/>
    <w:rsid w:val="00B27669"/>
    <w:rsid w:val="00B34033"/>
    <w:rsid w:val="00B36C5C"/>
    <w:rsid w:val="00B43713"/>
    <w:rsid w:val="00B46925"/>
    <w:rsid w:val="00B513CC"/>
    <w:rsid w:val="00B51E70"/>
    <w:rsid w:val="00B52980"/>
    <w:rsid w:val="00B538D7"/>
    <w:rsid w:val="00B5583D"/>
    <w:rsid w:val="00B57E5F"/>
    <w:rsid w:val="00B65A05"/>
    <w:rsid w:val="00B66AAE"/>
    <w:rsid w:val="00B75066"/>
    <w:rsid w:val="00B77E9C"/>
    <w:rsid w:val="00B804E7"/>
    <w:rsid w:val="00B8105A"/>
    <w:rsid w:val="00B8116A"/>
    <w:rsid w:val="00B81E69"/>
    <w:rsid w:val="00B820F6"/>
    <w:rsid w:val="00B84E9D"/>
    <w:rsid w:val="00B853E5"/>
    <w:rsid w:val="00B93FD0"/>
    <w:rsid w:val="00B95E60"/>
    <w:rsid w:val="00B96DD2"/>
    <w:rsid w:val="00B974F9"/>
    <w:rsid w:val="00B97606"/>
    <w:rsid w:val="00B979BD"/>
    <w:rsid w:val="00BA0535"/>
    <w:rsid w:val="00BA1874"/>
    <w:rsid w:val="00BA1AF3"/>
    <w:rsid w:val="00BA6051"/>
    <w:rsid w:val="00BA63FD"/>
    <w:rsid w:val="00BB01F1"/>
    <w:rsid w:val="00BB28AB"/>
    <w:rsid w:val="00BB4EC9"/>
    <w:rsid w:val="00BC4C2A"/>
    <w:rsid w:val="00BC5457"/>
    <w:rsid w:val="00BC7948"/>
    <w:rsid w:val="00BD4CE4"/>
    <w:rsid w:val="00BD51A8"/>
    <w:rsid w:val="00BE0FF4"/>
    <w:rsid w:val="00BE149D"/>
    <w:rsid w:val="00BE7B0B"/>
    <w:rsid w:val="00BF3EE8"/>
    <w:rsid w:val="00BF4828"/>
    <w:rsid w:val="00C05056"/>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DDA"/>
    <w:rsid w:val="00C56B9E"/>
    <w:rsid w:val="00C608C4"/>
    <w:rsid w:val="00C61AA5"/>
    <w:rsid w:val="00C63EE1"/>
    <w:rsid w:val="00C676BB"/>
    <w:rsid w:val="00C67F4F"/>
    <w:rsid w:val="00C75909"/>
    <w:rsid w:val="00C87F23"/>
    <w:rsid w:val="00C91CB2"/>
    <w:rsid w:val="00C9480E"/>
    <w:rsid w:val="00C94E3B"/>
    <w:rsid w:val="00C96656"/>
    <w:rsid w:val="00C97479"/>
    <w:rsid w:val="00CA2BC4"/>
    <w:rsid w:val="00CB16C1"/>
    <w:rsid w:val="00CB2AD3"/>
    <w:rsid w:val="00CB5009"/>
    <w:rsid w:val="00CC2D8E"/>
    <w:rsid w:val="00CC6980"/>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32"/>
    <w:rsid w:val="00D20CEE"/>
    <w:rsid w:val="00D2525C"/>
    <w:rsid w:val="00D31480"/>
    <w:rsid w:val="00D31486"/>
    <w:rsid w:val="00D321F0"/>
    <w:rsid w:val="00D36E2C"/>
    <w:rsid w:val="00D41523"/>
    <w:rsid w:val="00D4216A"/>
    <w:rsid w:val="00D42720"/>
    <w:rsid w:val="00D454C2"/>
    <w:rsid w:val="00D45520"/>
    <w:rsid w:val="00D52C23"/>
    <w:rsid w:val="00D5396B"/>
    <w:rsid w:val="00D53F51"/>
    <w:rsid w:val="00D565A6"/>
    <w:rsid w:val="00D56929"/>
    <w:rsid w:val="00D62A65"/>
    <w:rsid w:val="00D70292"/>
    <w:rsid w:val="00D743A9"/>
    <w:rsid w:val="00D74DFD"/>
    <w:rsid w:val="00D75058"/>
    <w:rsid w:val="00D8129D"/>
    <w:rsid w:val="00D85BC5"/>
    <w:rsid w:val="00D91CBF"/>
    <w:rsid w:val="00D94B6E"/>
    <w:rsid w:val="00D962EE"/>
    <w:rsid w:val="00DA15D8"/>
    <w:rsid w:val="00DA1D2C"/>
    <w:rsid w:val="00DA26FC"/>
    <w:rsid w:val="00DA3608"/>
    <w:rsid w:val="00DA3E7C"/>
    <w:rsid w:val="00DA3F6E"/>
    <w:rsid w:val="00DA5443"/>
    <w:rsid w:val="00DA602E"/>
    <w:rsid w:val="00DA7A4D"/>
    <w:rsid w:val="00DB2737"/>
    <w:rsid w:val="00DB511B"/>
    <w:rsid w:val="00DC029E"/>
    <w:rsid w:val="00DC50C2"/>
    <w:rsid w:val="00DD2D69"/>
    <w:rsid w:val="00DD3667"/>
    <w:rsid w:val="00DD43DB"/>
    <w:rsid w:val="00DD6CA7"/>
    <w:rsid w:val="00DD6CE9"/>
    <w:rsid w:val="00DE1063"/>
    <w:rsid w:val="00DE38F4"/>
    <w:rsid w:val="00DE4052"/>
    <w:rsid w:val="00DE51D7"/>
    <w:rsid w:val="00DF161A"/>
    <w:rsid w:val="00DF2517"/>
    <w:rsid w:val="00DF305E"/>
    <w:rsid w:val="00DF69B3"/>
    <w:rsid w:val="00DF6A95"/>
    <w:rsid w:val="00DF71BB"/>
    <w:rsid w:val="00DF787D"/>
    <w:rsid w:val="00DF7B8F"/>
    <w:rsid w:val="00E04C75"/>
    <w:rsid w:val="00E07BDC"/>
    <w:rsid w:val="00E12304"/>
    <w:rsid w:val="00E14AAB"/>
    <w:rsid w:val="00E15F6B"/>
    <w:rsid w:val="00E219C1"/>
    <w:rsid w:val="00E27C4A"/>
    <w:rsid w:val="00E37961"/>
    <w:rsid w:val="00E41A4D"/>
    <w:rsid w:val="00E44FC5"/>
    <w:rsid w:val="00E4677E"/>
    <w:rsid w:val="00E477C2"/>
    <w:rsid w:val="00E479E4"/>
    <w:rsid w:val="00E54F33"/>
    <w:rsid w:val="00E64805"/>
    <w:rsid w:val="00E65AFE"/>
    <w:rsid w:val="00E65B29"/>
    <w:rsid w:val="00E743BE"/>
    <w:rsid w:val="00E75F89"/>
    <w:rsid w:val="00E7762D"/>
    <w:rsid w:val="00E800AD"/>
    <w:rsid w:val="00E87713"/>
    <w:rsid w:val="00E927D5"/>
    <w:rsid w:val="00E9347D"/>
    <w:rsid w:val="00E9425C"/>
    <w:rsid w:val="00E94F9A"/>
    <w:rsid w:val="00E9551D"/>
    <w:rsid w:val="00E97881"/>
    <w:rsid w:val="00EA3699"/>
    <w:rsid w:val="00EA4A3F"/>
    <w:rsid w:val="00EA4EAC"/>
    <w:rsid w:val="00EA544A"/>
    <w:rsid w:val="00EB092D"/>
    <w:rsid w:val="00EB4215"/>
    <w:rsid w:val="00EC0075"/>
    <w:rsid w:val="00EC298C"/>
    <w:rsid w:val="00EC4F63"/>
    <w:rsid w:val="00EC5990"/>
    <w:rsid w:val="00ED17D7"/>
    <w:rsid w:val="00ED23CB"/>
    <w:rsid w:val="00ED6EFE"/>
    <w:rsid w:val="00EE2692"/>
    <w:rsid w:val="00EE754E"/>
    <w:rsid w:val="00EF447D"/>
    <w:rsid w:val="00EF62FF"/>
    <w:rsid w:val="00F016AA"/>
    <w:rsid w:val="00F11DA2"/>
    <w:rsid w:val="00F13B71"/>
    <w:rsid w:val="00F13F81"/>
    <w:rsid w:val="00F241B2"/>
    <w:rsid w:val="00F25509"/>
    <w:rsid w:val="00F33865"/>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A0852"/>
    <w:rsid w:val="00FA4A89"/>
    <w:rsid w:val="00FA7E8A"/>
    <w:rsid w:val="00FB1D5A"/>
    <w:rsid w:val="00FB5705"/>
    <w:rsid w:val="00FB6004"/>
    <w:rsid w:val="00FB6B45"/>
    <w:rsid w:val="00FB714B"/>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BA4E7B9"/>
  <w15:chartTrackingRefBased/>
  <w15:docId w15:val="{30755ECC-28F2-45A4-89B5-46E5C60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D7"/>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oas.org/pdfs/2020/MISIONESCASCOSBLANCOS2015-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CBA1-D82A-4689-8F8E-3859360F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9112</CharactersWithSpaces>
  <SharedDoc>false</SharedDoc>
  <HLinks>
    <vt:vector size="12" baseType="variant">
      <vt:variant>
        <vt:i4>7143474</vt:i4>
      </vt:variant>
      <vt:variant>
        <vt:i4>3</vt:i4>
      </vt:variant>
      <vt:variant>
        <vt:i4>0</vt:i4>
      </vt:variant>
      <vt:variant>
        <vt:i4>5</vt:i4>
      </vt:variant>
      <vt:variant>
        <vt:lpwstr>http://scm.oas.org/doc_public/ENGLISH/HIST_18/CIDIS00003S02.doc</vt:lpwstr>
      </vt:variant>
      <vt:variant>
        <vt:lpwstr/>
      </vt: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Diaz - Avalos,  Estela</cp:lastModifiedBy>
  <cp:revision>3</cp:revision>
  <cp:lastPrinted>2020-01-28T17:50:00Z</cp:lastPrinted>
  <dcterms:created xsi:type="dcterms:W3CDTF">2020-05-14T21:24:00Z</dcterms:created>
  <dcterms:modified xsi:type="dcterms:W3CDTF">2020-05-14T21:25:00Z</dcterms:modified>
</cp:coreProperties>
</file>