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782" w:rsidRPr="0019171F" w:rsidRDefault="00405782" w:rsidP="00405782">
      <w:pPr>
        <w:tabs>
          <w:tab w:val="left" w:pos="7200"/>
        </w:tabs>
        <w:spacing w:line="276" w:lineRule="auto"/>
        <w:ind w:right="-1080"/>
        <w:rPr>
          <w:rFonts w:ascii="Times New Roman" w:hAnsi="Times New Roman"/>
          <w:sz w:val="22"/>
          <w:szCs w:val="22"/>
          <w:lang w:val="pt-BR"/>
        </w:rPr>
      </w:pPr>
      <w:r w:rsidRPr="000063A3">
        <w:rPr>
          <w:rFonts w:ascii="Times New Roman" w:hAnsi="Times New Roman"/>
          <w:b/>
          <w:sz w:val="22"/>
          <w:szCs w:val="22"/>
          <w:lang w:val="fr-CA"/>
        </w:rPr>
        <w:tab/>
      </w:r>
      <w:r w:rsidRPr="0019171F">
        <w:rPr>
          <w:rFonts w:ascii="Times New Roman" w:hAnsi="Times New Roman"/>
          <w:sz w:val="22"/>
          <w:szCs w:val="22"/>
          <w:lang w:val="pt-BR"/>
        </w:rPr>
        <w:t>OEA/Ser.W</w:t>
      </w:r>
    </w:p>
    <w:p w:rsidR="00405782" w:rsidRPr="0019171F" w:rsidRDefault="00405782" w:rsidP="00405782">
      <w:pPr>
        <w:tabs>
          <w:tab w:val="left" w:pos="7200"/>
        </w:tabs>
        <w:spacing w:line="276" w:lineRule="auto"/>
        <w:ind w:right="-1080"/>
        <w:rPr>
          <w:rFonts w:ascii="Times New Roman" w:eastAsia="Times New Roman" w:hAnsi="Times New Roman"/>
          <w:sz w:val="22"/>
          <w:szCs w:val="22"/>
          <w:lang w:val="fr-CA"/>
        </w:rPr>
      </w:pPr>
      <w:r w:rsidRPr="0019171F">
        <w:rPr>
          <w:rFonts w:ascii="Times New Roman" w:hAnsi="Times New Roman"/>
          <w:b/>
          <w:sz w:val="22"/>
          <w:szCs w:val="22"/>
          <w:lang w:val="pt-BR"/>
        </w:rPr>
        <w:tab/>
      </w:r>
      <w:r w:rsidR="008A14E6" w:rsidRPr="0019171F">
        <w:rPr>
          <w:rFonts w:ascii="Times New Roman" w:hAnsi="Times New Roman"/>
          <w:sz w:val="22"/>
          <w:szCs w:val="22"/>
          <w:lang w:val="fr-CA"/>
        </w:rPr>
        <w:t>CIDI/doc.</w:t>
      </w:r>
      <w:r w:rsidR="0017493B">
        <w:rPr>
          <w:rFonts w:ascii="Times New Roman" w:hAnsi="Times New Roman"/>
          <w:sz w:val="22"/>
          <w:szCs w:val="22"/>
          <w:lang w:val="fr-CA"/>
        </w:rPr>
        <w:t>289</w:t>
      </w:r>
      <w:r w:rsidR="0019171F" w:rsidRPr="0019171F">
        <w:rPr>
          <w:rFonts w:ascii="Times New Roman" w:hAnsi="Times New Roman"/>
          <w:sz w:val="22"/>
          <w:szCs w:val="22"/>
          <w:lang w:val="fr-CA"/>
        </w:rPr>
        <w:t>/</w:t>
      </w:r>
      <w:r w:rsidR="008A14E6" w:rsidRPr="0019171F">
        <w:rPr>
          <w:rFonts w:ascii="Times New Roman" w:hAnsi="Times New Roman"/>
          <w:sz w:val="22"/>
          <w:szCs w:val="22"/>
          <w:lang w:val="fr-CA"/>
        </w:rPr>
        <w:t>20</w:t>
      </w:r>
      <w:r w:rsidR="00C61242" w:rsidRPr="0019171F">
        <w:rPr>
          <w:rFonts w:ascii="Times New Roman" w:hAnsi="Times New Roman"/>
          <w:sz w:val="22"/>
          <w:szCs w:val="22"/>
          <w:lang w:val="fr-CA"/>
        </w:rPr>
        <w:t xml:space="preserve"> </w:t>
      </w:r>
    </w:p>
    <w:p w:rsidR="00405782" w:rsidRPr="000063A3" w:rsidRDefault="00405782" w:rsidP="00405782">
      <w:pPr>
        <w:tabs>
          <w:tab w:val="left" w:pos="7200"/>
        </w:tabs>
        <w:spacing w:line="276" w:lineRule="auto"/>
        <w:ind w:right="-1080"/>
        <w:rPr>
          <w:rFonts w:ascii="Times New Roman" w:hAnsi="Times New Roman"/>
          <w:sz w:val="22"/>
          <w:szCs w:val="22"/>
          <w:lang w:val="fr-CA"/>
        </w:rPr>
      </w:pPr>
      <w:r w:rsidRPr="0019171F">
        <w:rPr>
          <w:rFonts w:ascii="Times New Roman" w:hAnsi="Times New Roman"/>
          <w:sz w:val="22"/>
          <w:szCs w:val="22"/>
          <w:lang w:val="fr-CA"/>
        </w:rPr>
        <w:tab/>
      </w:r>
      <w:r w:rsidR="0019171F" w:rsidRPr="0019171F">
        <w:rPr>
          <w:rFonts w:ascii="Times New Roman" w:hAnsi="Times New Roman"/>
          <w:sz w:val="22"/>
          <w:szCs w:val="22"/>
          <w:lang w:val="fr-CA"/>
        </w:rPr>
        <w:t>30</w:t>
      </w:r>
      <w:r w:rsidR="00704013" w:rsidRPr="000063A3">
        <w:rPr>
          <w:rFonts w:ascii="Times New Roman" w:hAnsi="Times New Roman"/>
          <w:sz w:val="22"/>
          <w:szCs w:val="22"/>
          <w:lang w:val="fr-CA"/>
        </w:rPr>
        <w:t xml:space="preserve"> </w:t>
      </w:r>
      <w:r w:rsidR="0077269C">
        <w:rPr>
          <w:rFonts w:ascii="Times New Roman" w:hAnsi="Times New Roman"/>
          <w:sz w:val="22"/>
          <w:szCs w:val="22"/>
          <w:lang w:val="fr-CA"/>
        </w:rPr>
        <w:t>avril</w:t>
      </w:r>
      <w:r w:rsidR="008A14E6" w:rsidRPr="000063A3">
        <w:rPr>
          <w:rFonts w:ascii="Times New Roman" w:hAnsi="Times New Roman"/>
          <w:sz w:val="22"/>
          <w:szCs w:val="22"/>
          <w:lang w:val="fr-CA"/>
        </w:rPr>
        <w:t xml:space="preserve"> 2020</w:t>
      </w:r>
    </w:p>
    <w:p w:rsidR="00405782" w:rsidRPr="000063A3" w:rsidRDefault="00405782" w:rsidP="008A14E6">
      <w:pPr>
        <w:pBdr>
          <w:bottom w:val="single" w:sz="12" w:space="1" w:color="auto"/>
        </w:pBdr>
        <w:tabs>
          <w:tab w:val="left" w:pos="7200"/>
        </w:tabs>
        <w:spacing w:line="276" w:lineRule="auto"/>
        <w:jc w:val="both"/>
        <w:rPr>
          <w:rFonts w:ascii="Times New Roman" w:hAnsi="Times New Roman"/>
          <w:sz w:val="22"/>
          <w:szCs w:val="22"/>
          <w:lang w:val="fr-CA"/>
        </w:rPr>
      </w:pPr>
      <w:r w:rsidRPr="000063A3">
        <w:rPr>
          <w:rFonts w:ascii="Times New Roman" w:hAnsi="Times New Roman"/>
          <w:sz w:val="22"/>
          <w:szCs w:val="22"/>
          <w:lang w:val="fr-CA"/>
        </w:rPr>
        <w:tab/>
        <w:t xml:space="preserve">Original: </w:t>
      </w:r>
      <w:r w:rsidR="0019171F" w:rsidRPr="00763611">
        <w:rPr>
          <w:sz w:val="22"/>
          <w:szCs w:val="22"/>
        </w:rPr>
        <w:t>espagnol</w:t>
      </w:r>
      <w:r w:rsidR="0019171F">
        <w:rPr>
          <w:rFonts w:ascii="Times New Roman" w:hAnsi="Times New Roman"/>
          <w:sz w:val="22"/>
          <w:szCs w:val="22"/>
          <w:lang w:val="fr-CA"/>
        </w:rPr>
        <w:t xml:space="preserve"> </w:t>
      </w:r>
    </w:p>
    <w:p w:rsidR="005D4FAA" w:rsidRPr="000063A3" w:rsidRDefault="005D4FAA" w:rsidP="008A14E6">
      <w:pPr>
        <w:ind w:right="-270"/>
        <w:jc w:val="both"/>
        <w:rPr>
          <w:rFonts w:ascii="Times New Roman" w:hAnsi="Times New Roman"/>
          <w:bCs/>
          <w:sz w:val="22"/>
          <w:szCs w:val="22"/>
          <w:lang w:val="fr-CA"/>
        </w:rPr>
      </w:pPr>
    </w:p>
    <w:p w:rsidR="008A14E6" w:rsidRDefault="008A14E6" w:rsidP="008A14E6">
      <w:pPr>
        <w:suppressAutoHyphens/>
        <w:autoSpaceDE w:val="0"/>
        <w:autoSpaceDN w:val="0"/>
        <w:adjustRightInd w:val="0"/>
        <w:jc w:val="center"/>
        <w:rPr>
          <w:rFonts w:ascii="Times New Roman" w:eastAsia="Times New Roman" w:hAnsi="Times New Roman"/>
          <w:sz w:val="22"/>
          <w:szCs w:val="22"/>
          <w:lang w:val="fr-CA"/>
        </w:rPr>
      </w:pPr>
    </w:p>
    <w:p w:rsidR="0019171F" w:rsidRDefault="0019171F" w:rsidP="008A14E6">
      <w:pPr>
        <w:suppressAutoHyphens/>
        <w:autoSpaceDE w:val="0"/>
        <w:autoSpaceDN w:val="0"/>
        <w:adjustRightInd w:val="0"/>
        <w:jc w:val="center"/>
        <w:rPr>
          <w:rFonts w:ascii="Times New Roman" w:eastAsia="Times New Roman" w:hAnsi="Times New Roman"/>
          <w:sz w:val="22"/>
          <w:szCs w:val="22"/>
          <w:lang w:val="fr-CA"/>
        </w:rPr>
      </w:pPr>
    </w:p>
    <w:p w:rsidR="0019171F" w:rsidRDefault="0019171F" w:rsidP="008A14E6">
      <w:pPr>
        <w:suppressAutoHyphens/>
        <w:autoSpaceDE w:val="0"/>
        <w:autoSpaceDN w:val="0"/>
        <w:adjustRightInd w:val="0"/>
        <w:jc w:val="center"/>
        <w:rPr>
          <w:rFonts w:ascii="Times New Roman" w:eastAsia="Times New Roman" w:hAnsi="Times New Roman"/>
          <w:sz w:val="22"/>
          <w:szCs w:val="22"/>
          <w:lang w:val="fr-CA"/>
        </w:rPr>
      </w:pPr>
    </w:p>
    <w:p w:rsidR="0019171F" w:rsidRDefault="0019171F" w:rsidP="008A14E6">
      <w:pPr>
        <w:suppressAutoHyphens/>
        <w:autoSpaceDE w:val="0"/>
        <w:autoSpaceDN w:val="0"/>
        <w:adjustRightInd w:val="0"/>
        <w:jc w:val="center"/>
        <w:rPr>
          <w:rFonts w:ascii="Times New Roman" w:eastAsia="Times New Roman" w:hAnsi="Times New Roman"/>
          <w:sz w:val="22"/>
          <w:szCs w:val="22"/>
          <w:lang w:val="fr-CA"/>
        </w:rPr>
      </w:pPr>
    </w:p>
    <w:p w:rsidR="0019171F" w:rsidRDefault="0019171F" w:rsidP="008A14E6">
      <w:pPr>
        <w:suppressAutoHyphens/>
        <w:autoSpaceDE w:val="0"/>
        <w:autoSpaceDN w:val="0"/>
        <w:adjustRightInd w:val="0"/>
        <w:jc w:val="center"/>
        <w:rPr>
          <w:rFonts w:ascii="Times New Roman" w:eastAsia="Times New Roman" w:hAnsi="Times New Roman"/>
          <w:sz w:val="22"/>
          <w:szCs w:val="22"/>
          <w:lang w:val="fr-CA"/>
        </w:rPr>
      </w:pPr>
    </w:p>
    <w:p w:rsidR="0019171F" w:rsidRDefault="0019171F" w:rsidP="008A14E6">
      <w:pPr>
        <w:suppressAutoHyphens/>
        <w:autoSpaceDE w:val="0"/>
        <w:autoSpaceDN w:val="0"/>
        <w:adjustRightInd w:val="0"/>
        <w:jc w:val="center"/>
        <w:rPr>
          <w:rFonts w:ascii="Times New Roman" w:eastAsia="Times New Roman" w:hAnsi="Times New Roman"/>
          <w:sz w:val="22"/>
          <w:szCs w:val="22"/>
          <w:lang w:val="fr-CA"/>
        </w:rPr>
      </w:pPr>
    </w:p>
    <w:p w:rsidR="0019171F" w:rsidRDefault="0019171F" w:rsidP="0019171F">
      <w:pPr>
        <w:snapToGrid w:val="0"/>
        <w:jc w:val="both"/>
        <w:rPr>
          <w:lang w:val="fr-CA"/>
        </w:rPr>
      </w:pPr>
    </w:p>
    <w:p w:rsidR="0019171F" w:rsidRDefault="0019171F" w:rsidP="0019171F">
      <w:pPr>
        <w:snapToGrid w:val="0"/>
        <w:jc w:val="both"/>
        <w:rPr>
          <w:lang w:val="fr-CA"/>
        </w:rPr>
      </w:pPr>
    </w:p>
    <w:p w:rsidR="0019171F" w:rsidRDefault="0019171F" w:rsidP="0019171F">
      <w:pPr>
        <w:snapToGrid w:val="0"/>
        <w:jc w:val="both"/>
        <w:rPr>
          <w:lang w:val="fr-CA"/>
        </w:rPr>
      </w:pPr>
    </w:p>
    <w:p w:rsidR="0019171F" w:rsidRDefault="0019171F" w:rsidP="0019171F">
      <w:pPr>
        <w:snapToGrid w:val="0"/>
        <w:jc w:val="both"/>
        <w:rPr>
          <w:lang w:val="fr-CA"/>
        </w:rPr>
      </w:pPr>
    </w:p>
    <w:p w:rsidR="0019171F" w:rsidRDefault="0019171F" w:rsidP="0019171F">
      <w:pPr>
        <w:snapToGrid w:val="0"/>
        <w:jc w:val="both"/>
        <w:rPr>
          <w:lang w:val="fr-CA"/>
        </w:rPr>
      </w:pPr>
    </w:p>
    <w:p w:rsidR="0019171F" w:rsidRDefault="0019171F" w:rsidP="0019171F">
      <w:pPr>
        <w:snapToGrid w:val="0"/>
        <w:jc w:val="both"/>
        <w:rPr>
          <w:lang w:val="fr-CA"/>
        </w:rPr>
      </w:pPr>
    </w:p>
    <w:p w:rsidR="0019171F" w:rsidRDefault="0019171F" w:rsidP="0019171F">
      <w:pPr>
        <w:snapToGrid w:val="0"/>
        <w:jc w:val="center"/>
        <w:rPr>
          <w:rFonts w:ascii="Times New Roman" w:hAnsi="Times New Roman"/>
          <w:sz w:val="22"/>
          <w:szCs w:val="22"/>
          <w:lang w:val="fr-CA"/>
        </w:rPr>
      </w:pPr>
      <w:r w:rsidRPr="0019171F">
        <w:rPr>
          <w:rFonts w:ascii="Times New Roman" w:hAnsi="Times New Roman"/>
          <w:sz w:val="22"/>
          <w:szCs w:val="22"/>
          <w:lang w:val="fr-CA"/>
        </w:rPr>
        <w:t>RECOMMANDATION DU CONSEIL DE DIRECTION DE L’AGENCE INTERAMÉRICAINE POUR LA COOPÉRATION ET LE DÉVELOPPEMENT CONCERNANT L’APPROBATION DE PAIEMENTS POUR LA VÉRIFICATION EXTERNE DU</w:t>
      </w:r>
    </w:p>
    <w:p w:rsidR="0019171F" w:rsidRPr="0019171F" w:rsidRDefault="0019171F" w:rsidP="0019171F">
      <w:pPr>
        <w:snapToGrid w:val="0"/>
        <w:jc w:val="center"/>
        <w:rPr>
          <w:rFonts w:ascii="Times New Roman" w:hAnsi="Times New Roman"/>
          <w:sz w:val="22"/>
          <w:szCs w:val="22"/>
          <w:lang w:val="fr-CA"/>
        </w:rPr>
      </w:pPr>
      <w:r w:rsidRPr="0019171F">
        <w:rPr>
          <w:rFonts w:ascii="Times New Roman" w:hAnsi="Times New Roman"/>
          <w:sz w:val="22"/>
          <w:szCs w:val="22"/>
          <w:lang w:val="fr-CA"/>
        </w:rPr>
        <w:t>FONDS DE COOPÉRATION POUR LE DÉVELOPPEMENT (FCD)</w:t>
      </w:r>
    </w:p>
    <w:p w:rsidR="0019171F" w:rsidRDefault="0019171F" w:rsidP="0019171F">
      <w:pPr>
        <w:suppressAutoHyphens/>
        <w:autoSpaceDE w:val="0"/>
        <w:autoSpaceDN w:val="0"/>
        <w:adjustRightInd w:val="0"/>
        <w:jc w:val="center"/>
        <w:rPr>
          <w:rFonts w:ascii="Times New Roman" w:eastAsia="Times New Roman" w:hAnsi="Times New Roman"/>
          <w:sz w:val="22"/>
          <w:szCs w:val="22"/>
          <w:lang w:val="fr-CA"/>
        </w:rPr>
      </w:pPr>
    </w:p>
    <w:p w:rsidR="0019171F" w:rsidRPr="00FC55A7" w:rsidRDefault="0019171F" w:rsidP="0019171F">
      <w:pPr>
        <w:widowControl w:val="0"/>
        <w:jc w:val="center"/>
        <w:rPr>
          <w:rFonts w:ascii="Times New Roman" w:eastAsia="Times New Roman" w:hAnsi="Times New Roman"/>
        </w:rPr>
      </w:pPr>
      <w:r w:rsidRPr="00FC55A7">
        <w:rPr>
          <w:rFonts w:ascii="Times New Roman" w:eastAsia="Times New Roman" w:hAnsi="Times New Roman"/>
        </w:rPr>
        <w:t>(</w:t>
      </w:r>
      <w:r w:rsidRPr="00FC55A7">
        <w:rPr>
          <w:rFonts w:ascii="Times New Roman" w:eastAsia="Times New Roman" w:hAnsi="Times New Roman"/>
          <w:color w:val="000000"/>
        </w:rPr>
        <w:t>Approuvée à sa séance ordinaire tenue le</w:t>
      </w:r>
      <w:r>
        <w:rPr>
          <w:rFonts w:ascii="Times New Roman" w:eastAsia="Times New Roman" w:hAnsi="Times New Roman"/>
          <w:color w:val="000000"/>
        </w:rPr>
        <w:t xml:space="preserve"> 28 avril 2020</w:t>
      </w:r>
      <w:r w:rsidRPr="00FC55A7">
        <w:rPr>
          <w:rFonts w:ascii="Times New Roman" w:eastAsia="Times New Roman" w:hAnsi="Times New Roman"/>
          <w:color w:val="000000"/>
        </w:rPr>
        <w:t>)</w:t>
      </w:r>
    </w:p>
    <w:p w:rsidR="0019171F" w:rsidRPr="00763611" w:rsidRDefault="00D8764C" w:rsidP="00D8764C">
      <w:pPr>
        <w:suppressAutoHyphens/>
        <w:autoSpaceDE w:val="0"/>
        <w:autoSpaceDN w:val="0"/>
        <w:adjustRightInd w:val="0"/>
        <w:jc w:val="center"/>
        <w:rPr>
          <w:b/>
          <w:bCs/>
          <w:noProof/>
          <w:sz w:val="22"/>
          <w:szCs w:val="22"/>
        </w:rPr>
      </w:pPr>
      <w:r>
        <w:rPr>
          <w:rFonts w:ascii="Times New Roman" w:eastAsia="Times New Roman" w:hAnsi="Times New Roman"/>
          <w:sz w:val="22"/>
          <w:szCs w:val="22"/>
        </w:rPr>
        <w:br w:type="page"/>
      </w:r>
      <w:r w:rsidR="0019171F" w:rsidRPr="00763611">
        <w:rPr>
          <w:b/>
          <w:sz w:val="22"/>
          <w:szCs w:val="22"/>
        </w:rPr>
        <w:lastRenderedPageBreak/>
        <w:t>AGENCE INTERAMÉRICAINE POUR LA COOPÉRATION ET LE DÉVELOPPEMENT</w:t>
      </w:r>
    </w:p>
    <w:p w:rsidR="0019171F" w:rsidRPr="00763611" w:rsidRDefault="0019171F" w:rsidP="0019171F">
      <w:pPr>
        <w:tabs>
          <w:tab w:val="left" w:pos="4140"/>
        </w:tabs>
        <w:suppressAutoHyphens/>
        <w:jc w:val="center"/>
        <w:rPr>
          <w:b/>
          <w:noProof/>
          <w:sz w:val="22"/>
          <w:szCs w:val="22"/>
        </w:rPr>
      </w:pPr>
      <w:r w:rsidRPr="00763611">
        <w:rPr>
          <w:b/>
          <w:sz w:val="22"/>
          <w:szCs w:val="22"/>
        </w:rPr>
        <w:t>(AICD)</w:t>
      </w:r>
    </w:p>
    <w:p w:rsidR="0019171F" w:rsidRPr="00763611" w:rsidRDefault="0019171F" w:rsidP="0019171F">
      <w:pPr>
        <w:rPr>
          <w:b/>
          <w:noProof/>
          <w:sz w:val="22"/>
          <w:szCs w:val="22"/>
        </w:rPr>
      </w:pPr>
    </w:p>
    <w:p w:rsidR="0019171F" w:rsidRPr="00763611" w:rsidRDefault="0019171F" w:rsidP="0019171F">
      <w:pPr>
        <w:tabs>
          <w:tab w:val="left" w:pos="180"/>
          <w:tab w:val="left" w:pos="540"/>
          <w:tab w:val="center" w:pos="2880"/>
          <w:tab w:val="left" w:pos="7200"/>
        </w:tabs>
        <w:suppressAutoHyphens/>
        <w:rPr>
          <w:noProof/>
          <w:sz w:val="22"/>
          <w:szCs w:val="22"/>
        </w:rPr>
      </w:pPr>
      <w:r w:rsidRPr="00763611">
        <w:rPr>
          <w:b/>
          <w:sz w:val="22"/>
          <w:szCs w:val="22"/>
        </w:rPr>
        <w:t>RÉUNION DU CONSEIL D’ADMINISTRATION</w:t>
      </w:r>
      <w:r w:rsidRPr="00763611">
        <w:rPr>
          <w:b/>
          <w:sz w:val="22"/>
          <w:szCs w:val="22"/>
        </w:rPr>
        <w:tab/>
      </w:r>
      <w:r w:rsidRPr="00763611">
        <w:rPr>
          <w:sz w:val="22"/>
          <w:szCs w:val="22"/>
        </w:rPr>
        <w:t>OEA/</w:t>
      </w:r>
      <w:proofErr w:type="spellStart"/>
      <w:r w:rsidRPr="00763611">
        <w:rPr>
          <w:sz w:val="22"/>
          <w:szCs w:val="22"/>
        </w:rPr>
        <w:t>Ser.W</w:t>
      </w:r>
      <w:proofErr w:type="spellEnd"/>
      <w:r w:rsidRPr="00763611">
        <w:rPr>
          <w:sz w:val="22"/>
          <w:szCs w:val="22"/>
        </w:rPr>
        <w:t>/XX.2</w:t>
      </w:r>
    </w:p>
    <w:p w:rsidR="0019171F" w:rsidRPr="00763611" w:rsidRDefault="0019171F" w:rsidP="0019171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ind w:right="-1289"/>
        <w:jc w:val="both"/>
        <w:rPr>
          <w:noProof/>
          <w:sz w:val="22"/>
          <w:szCs w:val="22"/>
        </w:rPr>
      </w:pP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t>AICD/JD/DE-124/20</w:t>
      </w:r>
    </w:p>
    <w:p w:rsidR="0019171F" w:rsidRPr="00763611" w:rsidRDefault="0019171F" w:rsidP="0019171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noProof/>
          <w:sz w:val="22"/>
          <w:szCs w:val="22"/>
        </w:rPr>
      </w:pP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t>13 mars 2020</w:t>
      </w:r>
    </w:p>
    <w:p w:rsidR="0019171F" w:rsidRPr="00763611" w:rsidRDefault="0019171F" w:rsidP="0019171F">
      <w:pPr>
        <w:widowControl w:val="0"/>
        <w:tabs>
          <w:tab w:val="left" w:pos="720"/>
          <w:tab w:val="left" w:pos="1440"/>
          <w:tab w:val="left" w:pos="2160"/>
          <w:tab w:val="left" w:pos="2880"/>
          <w:tab w:val="left" w:pos="3600"/>
          <w:tab w:val="left" w:pos="4320"/>
          <w:tab w:val="left" w:pos="5760"/>
          <w:tab w:val="left" w:pos="6480"/>
          <w:tab w:val="left" w:pos="7200"/>
          <w:tab w:val="left" w:pos="7920"/>
        </w:tabs>
        <w:suppressAutoHyphens/>
        <w:jc w:val="both"/>
        <w:rPr>
          <w:noProof/>
          <w:sz w:val="22"/>
          <w:szCs w:val="22"/>
        </w:rPr>
      </w:pP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r>
      <w:r w:rsidRPr="00763611">
        <w:rPr>
          <w:sz w:val="22"/>
          <w:szCs w:val="22"/>
        </w:rPr>
        <w:tab/>
        <w:t>Original: espagnol</w:t>
      </w:r>
    </w:p>
    <w:p w:rsidR="0019171F" w:rsidRPr="00763611" w:rsidRDefault="0019171F" w:rsidP="0019171F">
      <w:pPr>
        <w:pBdr>
          <w:bottom w:val="single" w:sz="12" w:space="1" w:color="auto"/>
        </w:pBdr>
        <w:rPr>
          <w:noProof/>
          <w:sz w:val="22"/>
          <w:szCs w:val="22"/>
        </w:rPr>
      </w:pPr>
    </w:p>
    <w:p w:rsidR="0019171F" w:rsidRPr="00763611" w:rsidRDefault="0019171F" w:rsidP="0019171F">
      <w:pPr>
        <w:tabs>
          <w:tab w:val="left" w:pos="720"/>
          <w:tab w:val="center" w:pos="4680"/>
          <w:tab w:val="left" w:pos="9360"/>
        </w:tabs>
        <w:suppressAutoHyphens/>
        <w:ind w:right="99"/>
        <w:rPr>
          <w:noProof/>
          <w:sz w:val="22"/>
          <w:szCs w:val="22"/>
        </w:rPr>
      </w:pPr>
    </w:p>
    <w:p w:rsidR="0019171F" w:rsidRPr="00763611" w:rsidRDefault="0019171F" w:rsidP="0019171F">
      <w:pPr>
        <w:tabs>
          <w:tab w:val="left" w:pos="720"/>
          <w:tab w:val="center" w:pos="4680"/>
          <w:tab w:val="left" w:pos="9360"/>
        </w:tabs>
        <w:suppressAutoHyphens/>
        <w:ind w:right="99"/>
        <w:rPr>
          <w:noProof/>
          <w:sz w:val="22"/>
          <w:szCs w:val="22"/>
        </w:rPr>
      </w:pPr>
    </w:p>
    <w:p w:rsidR="0019171F" w:rsidRPr="00763611" w:rsidRDefault="0019171F" w:rsidP="0019171F">
      <w:pPr>
        <w:tabs>
          <w:tab w:val="left" w:pos="720"/>
          <w:tab w:val="center" w:pos="4680"/>
          <w:tab w:val="left" w:pos="9360"/>
        </w:tabs>
        <w:suppressAutoHyphens/>
        <w:ind w:right="99"/>
        <w:jc w:val="center"/>
        <w:rPr>
          <w:noProof/>
          <w:sz w:val="22"/>
          <w:szCs w:val="22"/>
        </w:rPr>
      </w:pPr>
      <w:r w:rsidRPr="00763611">
        <w:rPr>
          <w:sz w:val="22"/>
          <w:szCs w:val="22"/>
        </w:rPr>
        <w:t>DÉCISIONS DU CONSEIL D’ADMINISTRATION</w:t>
      </w:r>
    </w:p>
    <w:p w:rsidR="0019171F" w:rsidRPr="00763611" w:rsidRDefault="0019171F" w:rsidP="0019171F">
      <w:pPr>
        <w:tabs>
          <w:tab w:val="left" w:pos="720"/>
          <w:tab w:val="center" w:pos="4680"/>
          <w:tab w:val="left" w:pos="9360"/>
        </w:tabs>
        <w:suppressAutoHyphens/>
        <w:ind w:right="99"/>
        <w:rPr>
          <w:noProof/>
          <w:sz w:val="22"/>
          <w:szCs w:val="22"/>
        </w:rPr>
      </w:pPr>
    </w:p>
    <w:p w:rsidR="0019171F" w:rsidRPr="00763611" w:rsidRDefault="0019171F" w:rsidP="0019171F">
      <w:pPr>
        <w:tabs>
          <w:tab w:val="left" w:pos="720"/>
          <w:tab w:val="center" w:pos="4680"/>
          <w:tab w:val="left" w:pos="9360"/>
        </w:tabs>
        <w:suppressAutoHyphens/>
        <w:ind w:right="99"/>
        <w:jc w:val="center"/>
        <w:rPr>
          <w:noProof/>
          <w:sz w:val="22"/>
          <w:szCs w:val="22"/>
        </w:rPr>
      </w:pPr>
      <w:r w:rsidRPr="00763611">
        <w:rPr>
          <w:sz w:val="22"/>
          <w:szCs w:val="22"/>
        </w:rPr>
        <w:t>(Adoptées à la réunion tenue le 12 mars 2020)</w:t>
      </w:r>
    </w:p>
    <w:p w:rsidR="0019171F" w:rsidRPr="00763611" w:rsidRDefault="0019171F" w:rsidP="0019171F">
      <w:pPr>
        <w:rPr>
          <w:noProof/>
          <w:sz w:val="22"/>
          <w:szCs w:val="22"/>
        </w:rPr>
      </w:pPr>
    </w:p>
    <w:p w:rsidR="0019171F" w:rsidRPr="00763611" w:rsidRDefault="0019171F" w:rsidP="0019171F">
      <w:pPr>
        <w:rPr>
          <w:noProof/>
          <w:sz w:val="22"/>
          <w:szCs w:val="22"/>
        </w:rPr>
      </w:pPr>
    </w:p>
    <w:p w:rsidR="0019171F" w:rsidRPr="00763611" w:rsidRDefault="0019171F" w:rsidP="0019171F">
      <w:pPr>
        <w:tabs>
          <w:tab w:val="left" w:pos="-1440"/>
          <w:tab w:val="left" w:pos="-720"/>
          <w:tab w:val="left" w:pos="0"/>
          <w:tab w:val="left" w:pos="720"/>
          <w:tab w:val="left" w:pos="9360"/>
        </w:tabs>
        <w:suppressAutoHyphens/>
        <w:ind w:right="99"/>
        <w:jc w:val="both"/>
        <w:rPr>
          <w:noProof/>
          <w:sz w:val="22"/>
          <w:szCs w:val="22"/>
        </w:rPr>
      </w:pPr>
      <w:r w:rsidRPr="00763611">
        <w:rPr>
          <w:sz w:val="22"/>
          <w:szCs w:val="22"/>
        </w:rPr>
        <w:tab/>
        <w:t>La réunion du Conseil d'administration de l'Agence interaméricaine pour la coopération et le développement (AICD) a eu lieu au siège de l’OEA le 12 mars 2020.</w:t>
      </w:r>
    </w:p>
    <w:p w:rsidR="0019171F" w:rsidRPr="00763611" w:rsidRDefault="0019171F" w:rsidP="0019171F">
      <w:pPr>
        <w:rPr>
          <w:noProof/>
          <w:sz w:val="22"/>
          <w:szCs w:val="22"/>
        </w:rPr>
      </w:pPr>
    </w:p>
    <w:p w:rsidR="0019171F" w:rsidRPr="00763611" w:rsidRDefault="0019171F" w:rsidP="0019171F">
      <w:pPr>
        <w:tabs>
          <w:tab w:val="left" w:pos="-1440"/>
          <w:tab w:val="left" w:pos="-720"/>
          <w:tab w:val="left" w:pos="0"/>
          <w:tab w:val="left" w:pos="720"/>
          <w:tab w:val="left" w:pos="9360"/>
        </w:tabs>
        <w:suppressAutoHyphens/>
        <w:ind w:left="720" w:right="99" w:hanging="720"/>
        <w:jc w:val="both"/>
        <w:rPr>
          <w:noProof/>
          <w:sz w:val="22"/>
          <w:szCs w:val="22"/>
          <w:u w:val="single"/>
        </w:rPr>
      </w:pPr>
      <w:r w:rsidRPr="00763611">
        <w:rPr>
          <w:sz w:val="22"/>
          <w:szCs w:val="22"/>
          <w:u w:val="single"/>
        </w:rPr>
        <w:t>Participants</w:t>
      </w:r>
    </w:p>
    <w:p w:rsidR="0019171F" w:rsidRPr="00763611" w:rsidRDefault="0019171F" w:rsidP="0019171F">
      <w:pPr>
        <w:tabs>
          <w:tab w:val="left" w:pos="-1440"/>
          <w:tab w:val="left" w:pos="-720"/>
          <w:tab w:val="left" w:pos="720"/>
          <w:tab w:val="left" w:pos="9360"/>
        </w:tabs>
        <w:suppressAutoHyphens/>
        <w:ind w:right="99"/>
        <w:jc w:val="both"/>
        <w:rPr>
          <w:noProof/>
          <w:sz w:val="22"/>
          <w:szCs w:val="22"/>
        </w:rPr>
      </w:pPr>
    </w:p>
    <w:p w:rsidR="0019171F" w:rsidRPr="00763611" w:rsidRDefault="0019171F" w:rsidP="0019171F">
      <w:pPr>
        <w:tabs>
          <w:tab w:val="left" w:pos="-1440"/>
          <w:tab w:val="left" w:pos="-720"/>
          <w:tab w:val="left" w:pos="720"/>
          <w:tab w:val="left" w:pos="9360"/>
        </w:tabs>
        <w:suppressAutoHyphens/>
        <w:ind w:right="99"/>
        <w:jc w:val="both"/>
        <w:rPr>
          <w:noProof/>
          <w:sz w:val="22"/>
          <w:szCs w:val="22"/>
        </w:rPr>
      </w:pPr>
      <w:r w:rsidRPr="00763611">
        <w:rPr>
          <w:sz w:val="22"/>
          <w:szCs w:val="22"/>
        </w:rPr>
        <w:tab/>
        <w:t>Ont participé à la réunion les membres ci-après du Conseil d’administration :</w:t>
      </w:r>
    </w:p>
    <w:p w:rsidR="0019171F" w:rsidRPr="00763611" w:rsidRDefault="0019171F" w:rsidP="0019171F">
      <w:pPr>
        <w:tabs>
          <w:tab w:val="left" w:pos="-1440"/>
          <w:tab w:val="left" w:pos="-720"/>
          <w:tab w:val="left" w:pos="720"/>
          <w:tab w:val="center" w:pos="4680"/>
          <w:tab w:val="left" w:pos="9360"/>
        </w:tabs>
        <w:suppressAutoHyphens/>
        <w:ind w:right="99"/>
        <w:jc w:val="both"/>
        <w:rPr>
          <w:noProof/>
          <w:snapToGrid w:val="0"/>
          <w:sz w:val="22"/>
          <w:szCs w:val="22"/>
        </w:rPr>
      </w:pPr>
    </w:p>
    <w:p w:rsidR="0019171F" w:rsidRPr="00763611" w:rsidRDefault="0019171F" w:rsidP="0019171F">
      <w:pPr>
        <w:tabs>
          <w:tab w:val="left" w:pos="-1440"/>
          <w:tab w:val="left" w:pos="-720"/>
          <w:tab w:val="left" w:pos="720"/>
          <w:tab w:val="left" w:pos="9360"/>
        </w:tabs>
        <w:suppressAutoHyphens/>
        <w:ind w:left="720" w:right="99"/>
        <w:jc w:val="both"/>
        <w:rPr>
          <w:noProof/>
          <w:sz w:val="22"/>
          <w:szCs w:val="22"/>
        </w:rPr>
      </w:pPr>
      <w:r w:rsidRPr="00763611">
        <w:rPr>
          <w:sz w:val="22"/>
          <w:szCs w:val="22"/>
        </w:rPr>
        <w:t xml:space="preserve">Mariana </w:t>
      </w:r>
      <w:proofErr w:type="spellStart"/>
      <w:r w:rsidRPr="00763611">
        <w:rPr>
          <w:sz w:val="22"/>
          <w:szCs w:val="22"/>
        </w:rPr>
        <w:t>Olivera</w:t>
      </w:r>
      <w:proofErr w:type="spellEnd"/>
      <w:r w:rsidRPr="00763611">
        <w:rPr>
          <w:sz w:val="22"/>
          <w:szCs w:val="22"/>
        </w:rPr>
        <w:t xml:space="preserve"> West, Représentante suppléante du Mexique près l’OEA, Présidence du Conseil d’administration ; </w:t>
      </w:r>
    </w:p>
    <w:p w:rsidR="0019171F" w:rsidRPr="00763611" w:rsidRDefault="0019171F" w:rsidP="0019171F">
      <w:pPr>
        <w:tabs>
          <w:tab w:val="left" w:pos="-1440"/>
          <w:tab w:val="left" w:pos="-720"/>
          <w:tab w:val="left" w:pos="720"/>
          <w:tab w:val="left" w:pos="9360"/>
        </w:tabs>
        <w:suppressAutoHyphens/>
        <w:ind w:right="99"/>
        <w:jc w:val="both"/>
        <w:rPr>
          <w:noProof/>
          <w:sz w:val="22"/>
          <w:szCs w:val="22"/>
        </w:rPr>
      </w:pPr>
    </w:p>
    <w:p w:rsidR="0019171F" w:rsidRPr="00763611" w:rsidRDefault="0019171F" w:rsidP="0019171F">
      <w:pPr>
        <w:tabs>
          <w:tab w:val="left" w:pos="-1440"/>
          <w:tab w:val="left" w:pos="-720"/>
          <w:tab w:val="left" w:pos="720"/>
          <w:tab w:val="left" w:pos="9360"/>
        </w:tabs>
        <w:suppressAutoHyphens/>
        <w:ind w:left="720" w:right="99"/>
        <w:jc w:val="both"/>
        <w:rPr>
          <w:noProof/>
          <w:sz w:val="22"/>
          <w:szCs w:val="22"/>
          <w:u w:val="single"/>
        </w:rPr>
      </w:pPr>
      <w:r w:rsidRPr="00763611">
        <w:rPr>
          <w:sz w:val="22"/>
          <w:szCs w:val="22"/>
          <w:u w:val="single"/>
        </w:rPr>
        <w:t>Membres du Conseil d’administration</w:t>
      </w:r>
    </w:p>
    <w:p w:rsidR="0019171F" w:rsidRPr="00763611" w:rsidRDefault="0019171F" w:rsidP="0019171F">
      <w:pPr>
        <w:tabs>
          <w:tab w:val="left" w:pos="-1440"/>
          <w:tab w:val="left" w:pos="-720"/>
          <w:tab w:val="left" w:pos="720"/>
          <w:tab w:val="left" w:pos="9360"/>
        </w:tabs>
        <w:suppressAutoHyphens/>
        <w:ind w:right="99"/>
        <w:jc w:val="both"/>
        <w:rPr>
          <w:noProof/>
          <w:sz w:val="22"/>
          <w:szCs w:val="22"/>
          <w:u w:val="single"/>
          <w:lang w:val="es-US"/>
        </w:rPr>
      </w:pPr>
    </w:p>
    <w:p w:rsidR="0019171F" w:rsidRPr="00763611" w:rsidRDefault="0019171F" w:rsidP="0019171F">
      <w:pPr>
        <w:numPr>
          <w:ilvl w:val="0"/>
          <w:numId w:val="12"/>
        </w:numPr>
        <w:ind w:left="1620" w:hanging="900"/>
        <w:textAlignment w:val="baseline"/>
        <w:rPr>
          <w:noProof/>
          <w:sz w:val="22"/>
          <w:szCs w:val="22"/>
        </w:rPr>
      </w:pPr>
      <w:r w:rsidRPr="00763611">
        <w:rPr>
          <w:color w:val="000000"/>
          <w:sz w:val="22"/>
          <w:szCs w:val="22"/>
        </w:rPr>
        <w:t>Maximiliano J. Alvarez, Représentant suppléant de l’Argentine</w:t>
      </w:r>
    </w:p>
    <w:p w:rsidR="0019171F" w:rsidRPr="00763611" w:rsidRDefault="0019171F" w:rsidP="0019171F">
      <w:pPr>
        <w:numPr>
          <w:ilvl w:val="0"/>
          <w:numId w:val="12"/>
        </w:numPr>
        <w:ind w:left="1620" w:hanging="900"/>
        <w:textAlignment w:val="baseline"/>
        <w:rPr>
          <w:noProof/>
          <w:color w:val="000000"/>
          <w:sz w:val="22"/>
          <w:szCs w:val="22"/>
        </w:rPr>
      </w:pPr>
      <w:r w:rsidRPr="00763611">
        <w:rPr>
          <w:color w:val="000000"/>
          <w:sz w:val="22"/>
          <w:szCs w:val="22"/>
        </w:rPr>
        <w:t>Carlos Cuenca, Représentant suppléant du Brésil</w:t>
      </w:r>
    </w:p>
    <w:p w:rsidR="0019171F" w:rsidRPr="00763611" w:rsidRDefault="0019171F" w:rsidP="0019171F">
      <w:pPr>
        <w:numPr>
          <w:ilvl w:val="0"/>
          <w:numId w:val="12"/>
        </w:numPr>
        <w:ind w:left="1620" w:hanging="900"/>
        <w:textAlignment w:val="baseline"/>
        <w:rPr>
          <w:noProof/>
          <w:color w:val="000000"/>
          <w:sz w:val="22"/>
          <w:szCs w:val="22"/>
        </w:rPr>
      </w:pPr>
      <w:r w:rsidRPr="00763611">
        <w:rPr>
          <w:color w:val="000000"/>
          <w:sz w:val="22"/>
          <w:szCs w:val="22"/>
        </w:rPr>
        <w:t>Laura Pizarro, Représentante suppléante du Costa Rica</w:t>
      </w:r>
    </w:p>
    <w:p w:rsidR="0019171F" w:rsidRPr="00763611" w:rsidRDefault="0019171F" w:rsidP="0019171F">
      <w:pPr>
        <w:numPr>
          <w:ilvl w:val="0"/>
          <w:numId w:val="12"/>
        </w:numPr>
        <w:ind w:left="1620" w:hanging="900"/>
        <w:textAlignment w:val="baseline"/>
        <w:rPr>
          <w:noProof/>
          <w:color w:val="000000"/>
          <w:sz w:val="22"/>
          <w:szCs w:val="22"/>
        </w:rPr>
      </w:pPr>
      <w:r w:rsidRPr="00763611">
        <w:rPr>
          <w:color w:val="000000"/>
          <w:sz w:val="22"/>
          <w:szCs w:val="22"/>
        </w:rPr>
        <w:t xml:space="preserve">Jenny </w:t>
      </w:r>
      <w:proofErr w:type="spellStart"/>
      <w:r w:rsidRPr="00763611">
        <w:rPr>
          <w:color w:val="000000"/>
          <w:sz w:val="22"/>
          <w:szCs w:val="22"/>
        </w:rPr>
        <w:t>Caicedo</w:t>
      </w:r>
      <w:proofErr w:type="spellEnd"/>
      <w:r w:rsidRPr="00763611">
        <w:rPr>
          <w:color w:val="000000"/>
          <w:sz w:val="22"/>
          <w:szCs w:val="22"/>
        </w:rPr>
        <w:t>, Représentante suppléante de l’Équateur</w:t>
      </w:r>
    </w:p>
    <w:p w:rsidR="0019171F" w:rsidRPr="00763611" w:rsidRDefault="0019171F" w:rsidP="0019171F">
      <w:pPr>
        <w:numPr>
          <w:ilvl w:val="0"/>
          <w:numId w:val="12"/>
        </w:numPr>
        <w:ind w:left="1620" w:hanging="900"/>
        <w:textAlignment w:val="baseline"/>
        <w:rPr>
          <w:noProof/>
          <w:color w:val="000000"/>
          <w:sz w:val="22"/>
          <w:szCs w:val="22"/>
        </w:rPr>
      </w:pPr>
      <w:r w:rsidRPr="00763611">
        <w:rPr>
          <w:color w:val="000000"/>
          <w:sz w:val="22"/>
          <w:szCs w:val="22"/>
        </w:rPr>
        <w:t>Alex Campos, Représentant suppléant d'El Salvador</w:t>
      </w:r>
    </w:p>
    <w:p w:rsidR="0019171F" w:rsidRPr="00763611" w:rsidRDefault="0019171F" w:rsidP="0019171F">
      <w:pPr>
        <w:numPr>
          <w:ilvl w:val="0"/>
          <w:numId w:val="12"/>
        </w:numPr>
        <w:ind w:left="1620" w:hanging="900"/>
        <w:textAlignment w:val="baseline"/>
        <w:rPr>
          <w:noProof/>
          <w:color w:val="000000"/>
          <w:sz w:val="22"/>
          <w:szCs w:val="22"/>
        </w:rPr>
      </w:pPr>
      <w:r w:rsidRPr="00763611">
        <w:rPr>
          <w:color w:val="000000"/>
          <w:sz w:val="22"/>
          <w:szCs w:val="22"/>
        </w:rPr>
        <w:t xml:space="preserve">Miguel </w:t>
      </w:r>
      <w:proofErr w:type="spellStart"/>
      <w:r w:rsidRPr="00763611">
        <w:rPr>
          <w:color w:val="000000"/>
          <w:sz w:val="22"/>
          <w:szCs w:val="22"/>
        </w:rPr>
        <w:t>Ángel</w:t>
      </w:r>
      <w:proofErr w:type="spellEnd"/>
      <w:r w:rsidRPr="00763611">
        <w:rPr>
          <w:color w:val="000000"/>
          <w:sz w:val="22"/>
          <w:szCs w:val="22"/>
        </w:rPr>
        <w:t xml:space="preserve"> Guerrero </w:t>
      </w:r>
      <w:proofErr w:type="spellStart"/>
      <w:r w:rsidRPr="00763611">
        <w:rPr>
          <w:color w:val="000000"/>
          <w:sz w:val="22"/>
          <w:szCs w:val="22"/>
        </w:rPr>
        <w:t>Lechón</w:t>
      </w:r>
      <w:proofErr w:type="spellEnd"/>
      <w:r w:rsidRPr="00763611">
        <w:rPr>
          <w:color w:val="000000"/>
          <w:sz w:val="22"/>
          <w:szCs w:val="22"/>
        </w:rPr>
        <w:t xml:space="preserve">, Représentant suppléant du Mexique </w:t>
      </w:r>
    </w:p>
    <w:p w:rsidR="0019171F" w:rsidRPr="00763611" w:rsidRDefault="0019171F" w:rsidP="0019171F">
      <w:pPr>
        <w:numPr>
          <w:ilvl w:val="0"/>
          <w:numId w:val="12"/>
        </w:numPr>
        <w:ind w:left="1620" w:hanging="900"/>
        <w:textAlignment w:val="baseline"/>
        <w:rPr>
          <w:noProof/>
          <w:color w:val="000000"/>
          <w:sz w:val="22"/>
          <w:szCs w:val="22"/>
        </w:rPr>
      </w:pPr>
      <w:r w:rsidRPr="00763611">
        <w:rPr>
          <w:color w:val="000000"/>
          <w:sz w:val="22"/>
          <w:szCs w:val="22"/>
        </w:rPr>
        <w:t>Gina Castro, Représentante suppléante du Panama</w:t>
      </w:r>
    </w:p>
    <w:p w:rsidR="0019171F" w:rsidRPr="00763611" w:rsidRDefault="0019171F" w:rsidP="0019171F">
      <w:pPr>
        <w:tabs>
          <w:tab w:val="left" w:pos="720"/>
          <w:tab w:val="left" w:pos="9360"/>
        </w:tabs>
        <w:ind w:right="99"/>
        <w:jc w:val="both"/>
        <w:rPr>
          <w:noProof/>
          <w:sz w:val="22"/>
          <w:szCs w:val="22"/>
          <w:lang w:val="es-US"/>
        </w:rPr>
      </w:pPr>
    </w:p>
    <w:p w:rsidR="0019171F" w:rsidRPr="00763611" w:rsidRDefault="0019171F" w:rsidP="0019171F">
      <w:pPr>
        <w:ind w:firstLine="720"/>
        <w:jc w:val="both"/>
        <w:rPr>
          <w:noProof/>
          <w:color w:val="FF0000"/>
          <w:sz w:val="22"/>
          <w:szCs w:val="22"/>
        </w:rPr>
      </w:pPr>
      <w:r w:rsidRPr="00763611">
        <w:rPr>
          <w:sz w:val="22"/>
          <w:szCs w:val="22"/>
        </w:rPr>
        <w:t xml:space="preserve">Kim Osborne, Secrétaire exécutive au développement intégré, ainsi que les délégations du Canada, du Guatemala, du Honduras, du Paraguay, du Pérou, de la République dominicaine et de Sainte-Lucie en qualité d’observateurs.  </w:t>
      </w:r>
    </w:p>
    <w:p w:rsidR="0019171F" w:rsidRPr="00763611" w:rsidRDefault="0019171F" w:rsidP="0019171F">
      <w:pPr>
        <w:jc w:val="both"/>
        <w:rPr>
          <w:noProof/>
          <w:sz w:val="22"/>
          <w:szCs w:val="22"/>
        </w:rPr>
      </w:pPr>
    </w:p>
    <w:p w:rsidR="0019171F" w:rsidRPr="00763611" w:rsidRDefault="0019171F" w:rsidP="0019171F">
      <w:pPr>
        <w:ind w:firstLine="720"/>
        <w:jc w:val="both"/>
        <w:rPr>
          <w:noProof/>
          <w:sz w:val="22"/>
          <w:szCs w:val="22"/>
        </w:rPr>
      </w:pPr>
      <w:r w:rsidRPr="00763611">
        <w:rPr>
          <w:sz w:val="22"/>
          <w:szCs w:val="22"/>
        </w:rPr>
        <w:t xml:space="preserve">La réunion a commencé par l’approbation du projet d’ordre du jour </w:t>
      </w:r>
    </w:p>
    <w:p w:rsidR="0019171F" w:rsidRPr="00763611" w:rsidRDefault="0019171F" w:rsidP="0019171F">
      <w:pPr>
        <w:ind w:left="720" w:firstLine="720"/>
        <w:jc w:val="both"/>
        <w:rPr>
          <w:noProof/>
          <w:sz w:val="22"/>
          <w:szCs w:val="22"/>
          <w:u w:val="single"/>
          <w:shd w:val="clear" w:color="auto" w:fill="FFFFFF"/>
          <w:lang w:val="es-ES"/>
        </w:rPr>
      </w:pPr>
      <w:r w:rsidRPr="00763611">
        <w:rPr>
          <w:sz w:val="22"/>
          <w:szCs w:val="22"/>
        </w:rPr>
        <w:t xml:space="preserve"> </w:t>
      </w:r>
      <w:r w:rsidRPr="00763611">
        <w:rPr>
          <w:sz w:val="22"/>
          <w:szCs w:val="22"/>
          <w:lang w:val="es-ES"/>
        </w:rPr>
        <w:t xml:space="preserve">(AICD/JD/OD-60/20 corr.1) - </w:t>
      </w:r>
      <w:hyperlink r:id="rId8" w:history="1">
        <w:r w:rsidRPr="00763611">
          <w:rPr>
            <w:color w:val="0000FF"/>
            <w:sz w:val="22"/>
            <w:szCs w:val="22"/>
            <w:u w:val="single"/>
            <w:lang w:val="es-ES"/>
          </w:rPr>
          <w:t>Español</w:t>
        </w:r>
      </w:hyperlink>
      <w:r w:rsidRPr="00763611">
        <w:rPr>
          <w:color w:val="0000FF"/>
          <w:sz w:val="22"/>
          <w:szCs w:val="22"/>
          <w:lang w:val="es-ES"/>
        </w:rPr>
        <w:t xml:space="preserve"> </w:t>
      </w:r>
      <w:r w:rsidRPr="00763611">
        <w:rPr>
          <w:sz w:val="22"/>
          <w:szCs w:val="22"/>
          <w:shd w:val="clear" w:color="auto" w:fill="FFFFFF"/>
          <w:lang w:val="es-ES"/>
        </w:rPr>
        <w:t xml:space="preserve">- </w:t>
      </w:r>
      <w:hyperlink r:id="rId9" w:history="1">
        <w:r w:rsidRPr="00763611">
          <w:rPr>
            <w:color w:val="0000FF"/>
            <w:sz w:val="22"/>
            <w:szCs w:val="22"/>
            <w:u w:val="single"/>
            <w:lang w:val="es-ES"/>
          </w:rPr>
          <w:t>English</w:t>
        </w:r>
      </w:hyperlink>
      <w:r w:rsidRPr="00763611">
        <w:rPr>
          <w:sz w:val="22"/>
          <w:szCs w:val="22"/>
          <w:shd w:val="clear" w:color="auto" w:fill="FFFFFF"/>
          <w:lang w:val="es-ES"/>
        </w:rPr>
        <w:t xml:space="preserve">  </w:t>
      </w:r>
    </w:p>
    <w:p w:rsidR="0019171F" w:rsidRPr="00763611" w:rsidRDefault="0019171F" w:rsidP="0019171F">
      <w:pPr>
        <w:ind w:right="99"/>
        <w:jc w:val="both"/>
        <w:rPr>
          <w:noProof/>
          <w:sz w:val="22"/>
          <w:szCs w:val="22"/>
          <w:lang w:val="es-US"/>
        </w:rPr>
      </w:pPr>
    </w:p>
    <w:p w:rsidR="0019171F" w:rsidRPr="00763611" w:rsidRDefault="0019171F" w:rsidP="0019171F">
      <w:pPr>
        <w:numPr>
          <w:ilvl w:val="0"/>
          <w:numId w:val="13"/>
        </w:numPr>
        <w:tabs>
          <w:tab w:val="num" w:pos="720"/>
        </w:tabs>
        <w:ind w:left="720"/>
        <w:jc w:val="both"/>
        <w:rPr>
          <w:noProof/>
          <w:sz w:val="22"/>
          <w:szCs w:val="22"/>
        </w:rPr>
      </w:pPr>
      <w:r w:rsidRPr="00763611">
        <w:rPr>
          <w:sz w:val="22"/>
          <w:szCs w:val="22"/>
        </w:rPr>
        <w:t>Coopération pour le développement</w:t>
      </w:r>
    </w:p>
    <w:p w:rsidR="0019171F" w:rsidRPr="00763611" w:rsidRDefault="0019171F" w:rsidP="0019171F">
      <w:pPr>
        <w:jc w:val="both"/>
        <w:rPr>
          <w:rFonts w:eastAsia="Calibri"/>
          <w:noProof/>
          <w:color w:val="1F497D"/>
          <w:sz w:val="22"/>
          <w:szCs w:val="22"/>
          <w:lang w:val="es-US"/>
        </w:rPr>
      </w:pPr>
    </w:p>
    <w:p w:rsidR="0019171F" w:rsidRPr="00763611" w:rsidRDefault="0019171F" w:rsidP="0019171F">
      <w:pPr>
        <w:numPr>
          <w:ilvl w:val="1"/>
          <w:numId w:val="14"/>
        </w:numPr>
        <w:ind w:hanging="720"/>
        <w:rPr>
          <w:rFonts w:eastAsia="Calibri"/>
          <w:noProof/>
          <w:sz w:val="22"/>
          <w:szCs w:val="22"/>
        </w:rPr>
      </w:pPr>
      <w:r w:rsidRPr="00763611">
        <w:rPr>
          <w:sz w:val="22"/>
          <w:szCs w:val="22"/>
        </w:rPr>
        <w:t>Examen des priorités pour le plan de travail du Conseil d’administration 2020-2021.</w:t>
      </w:r>
    </w:p>
    <w:p w:rsidR="0019171F" w:rsidRPr="00763611" w:rsidRDefault="0019171F" w:rsidP="0019171F">
      <w:pPr>
        <w:rPr>
          <w:rFonts w:eastAsia="Calibri"/>
          <w:noProof/>
          <w:sz w:val="22"/>
          <w:szCs w:val="22"/>
        </w:rPr>
      </w:pPr>
    </w:p>
    <w:p w:rsidR="0019171F" w:rsidRPr="00763611" w:rsidRDefault="0019171F" w:rsidP="0019171F">
      <w:pPr>
        <w:ind w:firstLine="720"/>
        <w:jc w:val="both"/>
        <w:rPr>
          <w:noProof/>
          <w:sz w:val="22"/>
          <w:szCs w:val="22"/>
        </w:rPr>
      </w:pPr>
      <w:r w:rsidRPr="00763611">
        <w:rPr>
          <w:sz w:val="22"/>
          <w:szCs w:val="22"/>
        </w:rPr>
        <w:t xml:space="preserve">Le Secrétariat a préparé et effectué un exposé s’inspirant du document intitulé « Recommandations de priorités dans le plan de travail du Conseil d'administration de l'Agence </w:t>
      </w:r>
      <w:r w:rsidRPr="00763611">
        <w:rPr>
          <w:sz w:val="22"/>
          <w:szCs w:val="22"/>
        </w:rPr>
        <w:lastRenderedPageBreak/>
        <w:t xml:space="preserve">interaméricaine pour la coopération et le développement (CA/AICD) pour la période 2020-2021 » (AICD/JD/doc.175/19 rev.2) - </w:t>
      </w:r>
      <w:hyperlink r:id="rId10" w:history="1">
        <w:proofErr w:type="spellStart"/>
        <w:r w:rsidRPr="00763611">
          <w:rPr>
            <w:color w:val="0000FF"/>
            <w:sz w:val="22"/>
            <w:szCs w:val="22"/>
            <w:u w:val="single"/>
          </w:rPr>
          <w:t>Español</w:t>
        </w:r>
        <w:proofErr w:type="spellEnd"/>
      </w:hyperlink>
      <w:r w:rsidRPr="00763611">
        <w:rPr>
          <w:color w:val="000000"/>
          <w:sz w:val="22"/>
          <w:szCs w:val="22"/>
        </w:rPr>
        <w:t xml:space="preserve"> -</w:t>
      </w:r>
      <w:r w:rsidRPr="00763611">
        <w:rPr>
          <w:sz w:val="22"/>
          <w:szCs w:val="22"/>
        </w:rPr>
        <w:t> </w:t>
      </w:r>
      <w:hyperlink r:id="rId11" w:history="1">
        <w:r w:rsidRPr="00763611">
          <w:rPr>
            <w:color w:val="0000FF"/>
            <w:sz w:val="22"/>
            <w:szCs w:val="22"/>
            <w:u w:val="single"/>
          </w:rPr>
          <w:t>English</w:t>
        </w:r>
      </w:hyperlink>
      <w:r w:rsidRPr="00763611">
        <w:rPr>
          <w:sz w:val="22"/>
          <w:szCs w:val="22"/>
        </w:rPr>
        <w:t xml:space="preserve">.  </w:t>
      </w:r>
    </w:p>
    <w:p w:rsidR="0019171F" w:rsidRPr="00763611" w:rsidRDefault="0019171F" w:rsidP="0019171F">
      <w:pPr>
        <w:ind w:firstLine="720"/>
        <w:jc w:val="both"/>
        <w:rPr>
          <w:noProof/>
          <w:sz w:val="22"/>
          <w:szCs w:val="22"/>
        </w:rPr>
      </w:pPr>
      <w:r w:rsidRPr="00763611">
        <w:rPr>
          <w:sz w:val="22"/>
          <w:szCs w:val="22"/>
        </w:rPr>
        <w:t xml:space="preserve">À cet égard, les membres du Conseil d’administration ont exprimé leur satisfaction quant aux progrès évoqués dans l'exposé et demandé au Secrétariat de prendre note du document et d’en faire usage, ainsi que de la méthodologie de l’exposé, pour en faire la référence de l’élaboration d’une proposition de plan de travail de l’AICD assortie d’objectifs généraux et spécifiques classés par ordre de priorité avec l’inclusion du coût et de la source de financement, ainsi que des indicateurs de suivi, liés à leur tour aux interventions concrètes qui y sont proposées. Cette proposition de plan de travail devrait être communiquée aux États membres dans une semaine aux fins d'examen. À cet égard, la Secrétaire exécutive au développement intégré a rappelé que, malgré que le Secrétariat ait déjà commencé à travailler sur </w:t>
      </w:r>
      <w:proofErr w:type="spellStart"/>
      <w:r w:rsidRPr="00763611">
        <w:rPr>
          <w:sz w:val="22"/>
          <w:szCs w:val="22"/>
        </w:rPr>
        <w:t>CooperaNet</w:t>
      </w:r>
      <w:proofErr w:type="spellEnd"/>
      <w:r w:rsidRPr="00763611">
        <w:rPr>
          <w:sz w:val="22"/>
          <w:szCs w:val="22"/>
        </w:rPr>
        <w:t>, il demeure certaines interventions de nature urgente comme le renforcement du Fonds de coopération pour le développement (FCD). Par ailleurs, le Secrétariat a proposé que lorsque la proposition de plan de travail sera prête, elle soit parachevée lors d’une réunion informelle du Conseil d’administration ou par le biais de consultations électroniques. Sur ce point, le Conseil d’administration a pris la décision suivante.</w:t>
      </w:r>
    </w:p>
    <w:p w:rsidR="0019171F" w:rsidRPr="00763611" w:rsidRDefault="0019171F" w:rsidP="0019171F">
      <w:pPr>
        <w:ind w:firstLine="720"/>
        <w:jc w:val="both"/>
        <w:rPr>
          <w:noProof/>
          <w:sz w:val="22"/>
          <w:szCs w:val="22"/>
        </w:rPr>
      </w:pPr>
    </w:p>
    <w:p w:rsidR="0019171F" w:rsidRPr="00763611" w:rsidRDefault="0019171F" w:rsidP="0019171F">
      <w:pPr>
        <w:tabs>
          <w:tab w:val="left" w:pos="2520"/>
          <w:tab w:val="left" w:pos="8640"/>
        </w:tabs>
        <w:suppressAutoHyphens/>
        <w:ind w:left="2520" w:right="821" w:hanging="1800"/>
        <w:jc w:val="both"/>
        <w:rPr>
          <w:noProof/>
          <w:sz w:val="22"/>
          <w:szCs w:val="22"/>
        </w:rPr>
      </w:pPr>
      <w:r w:rsidRPr="00763611">
        <w:rPr>
          <w:sz w:val="22"/>
          <w:szCs w:val="22"/>
        </w:rPr>
        <w:t>Décision 1 :</w:t>
      </w:r>
      <w:r w:rsidRPr="00763611">
        <w:rPr>
          <w:sz w:val="22"/>
          <w:szCs w:val="22"/>
        </w:rPr>
        <w:tab/>
        <w:t>Demander au Secrétariat d’élaborer une proposition de plan d’action de l’AICD en s’inspirant du document intitulé « Recommandations de priorités dans le plan de travail du Conseil d'administration de l'Agence interaméricaine pour la coopération et le développement (CA/AICD) pour la période 2020-2021 », pour distribution aux États membres aux fins d’examen.</w:t>
      </w:r>
    </w:p>
    <w:p w:rsidR="0019171F" w:rsidRPr="00763611" w:rsidRDefault="0019171F" w:rsidP="0019171F">
      <w:pPr>
        <w:tabs>
          <w:tab w:val="left" w:pos="2520"/>
          <w:tab w:val="left" w:pos="8640"/>
        </w:tabs>
        <w:suppressAutoHyphens/>
        <w:ind w:right="821"/>
        <w:jc w:val="both"/>
        <w:rPr>
          <w:noProof/>
          <w:sz w:val="22"/>
          <w:szCs w:val="22"/>
        </w:rPr>
      </w:pPr>
    </w:p>
    <w:p w:rsidR="0019171F" w:rsidRPr="00763611" w:rsidRDefault="0019171F" w:rsidP="0019171F">
      <w:pPr>
        <w:jc w:val="both"/>
        <w:rPr>
          <w:noProof/>
          <w:sz w:val="22"/>
          <w:szCs w:val="22"/>
        </w:rPr>
      </w:pPr>
    </w:p>
    <w:p w:rsidR="0019171F" w:rsidRPr="00763611" w:rsidRDefault="0019171F" w:rsidP="0019171F">
      <w:pPr>
        <w:numPr>
          <w:ilvl w:val="0"/>
          <w:numId w:val="13"/>
        </w:numPr>
        <w:tabs>
          <w:tab w:val="num" w:pos="720"/>
        </w:tabs>
        <w:ind w:left="720"/>
        <w:jc w:val="both"/>
        <w:rPr>
          <w:noProof/>
          <w:sz w:val="22"/>
          <w:szCs w:val="22"/>
        </w:rPr>
      </w:pPr>
      <w:r w:rsidRPr="00763611">
        <w:rPr>
          <w:sz w:val="22"/>
          <w:szCs w:val="22"/>
        </w:rPr>
        <w:t>Fonds de coopération pour le développement (FCD)</w:t>
      </w:r>
    </w:p>
    <w:p w:rsidR="0019171F" w:rsidRPr="00763611" w:rsidRDefault="0019171F" w:rsidP="0019171F">
      <w:pPr>
        <w:jc w:val="both"/>
        <w:rPr>
          <w:noProof/>
          <w:sz w:val="22"/>
          <w:szCs w:val="22"/>
        </w:rPr>
      </w:pPr>
    </w:p>
    <w:p w:rsidR="0019171F" w:rsidRPr="00763611" w:rsidRDefault="0019171F" w:rsidP="0019171F">
      <w:pPr>
        <w:numPr>
          <w:ilvl w:val="0"/>
          <w:numId w:val="16"/>
        </w:numPr>
        <w:ind w:hanging="720"/>
        <w:jc w:val="both"/>
        <w:rPr>
          <w:noProof/>
          <w:sz w:val="22"/>
          <w:szCs w:val="22"/>
        </w:rPr>
      </w:pPr>
      <w:r w:rsidRPr="00763611">
        <w:rPr>
          <w:sz w:val="22"/>
          <w:szCs w:val="22"/>
        </w:rPr>
        <w:t>Présentation du bilan du FCD</w:t>
      </w:r>
    </w:p>
    <w:p w:rsidR="0019171F" w:rsidRPr="00763611" w:rsidRDefault="0019171F" w:rsidP="0019171F">
      <w:pPr>
        <w:jc w:val="both"/>
        <w:rPr>
          <w:noProof/>
          <w:sz w:val="22"/>
          <w:szCs w:val="22"/>
          <w:lang w:val="es-US"/>
        </w:rPr>
      </w:pPr>
    </w:p>
    <w:p w:rsidR="0019171F" w:rsidRPr="00763611" w:rsidRDefault="0019171F" w:rsidP="0019171F">
      <w:pPr>
        <w:ind w:firstLine="720"/>
        <w:jc w:val="both"/>
        <w:rPr>
          <w:noProof/>
          <w:sz w:val="22"/>
          <w:szCs w:val="22"/>
        </w:rPr>
      </w:pPr>
      <w:r w:rsidRPr="00763611">
        <w:rPr>
          <w:sz w:val="22"/>
          <w:szCs w:val="22"/>
        </w:rPr>
        <w:t xml:space="preserve">Ce débat a commencé par un exposé détaillé du Secrétariat exécutif portant sur chacune des rubriques du bilan du FCD au 2 mars 2020 (CIDI/JD/INF.62/20- </w:t>
      </w:r>
      <w:hyperlink r:id="rId12" w:history="1">
        <w:r w:rsidRPr="00763611">
          <w:rPr>
            <w:rStyle w:val="Hyperlink"/>
            <w:sz w:val="22"/>
            <w:szCs w:val="22"/>
          </w:rPr>
          <w:t>English</w:t>
        </w:r>
      </w:hyperlink>
      <w:r w:rsidRPr="00763611">
        <w:rPr>
          <w:sz w:val="22"/>
          <w:szCs w:val="22"/>
        </w:rPr>
        <w:t xml:space="preserve">). En réponse, les délégations ont signalé que certaines rubriques accusent des soldes considérables qui ne sont pas destinés à la coopération et demandé d’ajouter un sous-tableau illustrant les prévisions de réductions et la possibilité de tenir une réunion informelle du Conseil d’administration avec les fonctionnaires chargés des questions financières pour mieux comprendre la méthodologie de la comptabilisation et la façon dont les comptes et </w:t>
      </w:r>
      <w:proofErr w:type="spellStart"/>
      <w:r w:rsidRPr="00763611">
        <w:rPr>
          <w:sz w:val="22"/>
          <w:szCs w:val="22"/>
        </w:rPr>
        <w:t>sous-comptes</w:t>
      </w:r>
      <w:proofErr w:type="spellEnd"/>
      <w:r w:rsidRPr="00763611">
        <w:rPr>
          <w:sz w:val="22"/>
          <w:szCs w:val="22"/>
        </w:rPr>
        <w:t xml:space="preserve"> du fonds sont conçus. Elles ont aussi insisté sur le fait que, à l’approche d’un nouveau cycle programmatique, il importe de faire le lien avec le montant des contributions reçues par le fonds et ont déclaré que le Secrétariat devrait faire des prévisions de long terme sur la viabilité du fonds. À cet effet, la Secrétaire exécutive a souligné qu’il importe de déterminer s’il existe d’autres modalités pour que le fonds reçoive des contributions ou si tous les efforts possibles ont été déployés afin d’obtenir la participation de tous les États membres en faveur du fonds, de sorte à évaluer la viabilité de celui-ci à long terme et prendre des décisions à l’avenir. En ce sens, il a été décidé que le Secrétariat programmera des réunions informelles du Conseil d’administration pour aborder les thèmes liés aux finances du FCD. </w:t>
      </w:r>
    </w:p>
    <w:p w:rsidR="0019171F" w:rsidRPr="00763611" w:rsidRDefault="0019171F" w:rsidP="0019171F">
      <w:pPr>
        <w:ind w:firstLine="720"/>
        <w:jc w:val="both"/>
        <w:rPr>
          <w:noProof/>
          <w:sz w:val="22"/>
          <w:szCs w:val="22"/>
        </w:rPr>
      </w:pPr>
    </w:p>
    <w:p w:rsidR="0019171F" w:rsidRPr="00763611" w:rsidRDefault="0019171F" w:rsidP="0019171F">
      <w:pPr>
        <w:numPr>
          <w:ilvl w:val="1"/>
          <w:numId w:val="15"/>
        </w:numPr>
        <w:ind w:hanging="720"/>
        <w:jc w:val="both"/>
        <w:rPr>
          <w:sz w:val="22"/>
          <w:szCs w:val="22"/>
        </w:rPr>
      </w:pPr>
      <w:r w:rsidRPr="00763611">
        <w:rPr>
          <w:sz w:val="22"/>
          <w:szCs w:val="22"/>
        </w:rPr>
        <w:t>Approbation des coûts d’audit externe des comptes du FCD correspondant à 2019, 2020 et 2021</w:t>
      </w:r>
    </w:p>
    <w:p w:rsidR="0019171F" w:rsidRPr="00763611" w:rsidRDefault="0019171F" w:rsidP="0019171F">
      <w:pPr>
        <w:ind w:firstLine="720"/>
        <w:jc w:val="both"/>
        <w:rPr>
          <w:noProof/>
          <w:sz w:val="22"/>
          <w:szCs w:val="22"/>
        </w:rPr>
      </w:pPr>
    </w:p>
    <w:p w:rsidR="0019171F" w:rsidRPr="00763611" w:rsidRDefault="0019171F" w:rsidP="0019171F">
      <w:pPr>
        <w:ind w:firstLine="720"/>
        <w:jc w:val="both"/>
        <w:rPr>
          <w:noProof/>
          <w:sz w:val="22"/>
          <w:szCs w:val="22"/>
        </w:rPr>
      </w:pPr>
      <w:r w:rsidRPr="00763611">
        <w:rPr>
          <w:sz w:val="22"/>
          <w:szCs w:val="22"/>
        </w:rPr>
        <w:lastRenderedPageBreak/>
        <w:t>La Secrétaire exécutive a expliqué que le Secrétariat général exige que chaque fonds géré par l’Organisation finance le coût d’audit externe dudit fonds. En ce sens, comme pour les années antérieures, le Secrétariat aux questions administratives et financières (SAF) a demandé au SEDI de payer les coûts d’audit du FCD pour les exercices budgétaires 2019, 2020 et 2021 (CIDI/JD/INF.60/20 -</w:t>
      </w:r>
      <w:r w:rsidRPr="00763611">
        <w:rPr>
          <w:color w:val="1F497D"/>
          <w:sz w:val="22"/>
          <w:szCs w:val="22"/>
        </w:rPr>
        <w:t xml:space="preserve"> </w:t>
      </w:r>
      <w:hyperlink r:id="rId13" w:history="1">
        <w:proofErr w:type="spellStart"/>
        <w:r w:rsidRPr="00763611">
          <w:rPr>
            <w:color w:val="0000FF"/>
            <w:sz w:val="22"/>
            <w:szCs w:val="22"/>
            <w:u w:val="single"/>
          </w:rPr>
          <w:t>Español</w:t>
        </w:r>
        <w:proofErr w:type="spellEnd"/>
      </w:hyperlink>
      <w:r w:rsidRPr="00763611">
        <w:rPr>
          <w:sz w:val="22"/>
          <w:szCs w:val="22"/>
        </w:rPr>
        <w:t xml:space="preserve"> - </w:t>
      </w:r>
      <w:hyperlink r:id="rId14" w:history="1">
        <w:r w:rsidRPr="00763611">
          <w:rPr>
            <w:color w:val="0000FF"/>
            <w:sz w:val="22"/>
            <w:szCs w:val="22"/>
            <w:u w:val="single"/>
          </w:rPr>
          <w:t>English</w:t>
        </w:r>
      </w:hyperlink>
      <w:r w:rsidRPr="00763611">
        <w:rPr>
          <w:sz w:val="22"/>
          <w:szCs w:val="22"/>
        </w:rPr>
        <w:t xml:space="preserve">). À ce sujet, le Conseil d’administration. a pris la décision suivante, en vertu de l'article 10 </w:t>
      </w:r>
      <w:r w:rsidRPr="00763611">
        <w:rPr>
          <w:i/>
          <w:iCs/>
          <w:sz w:val="22"/>
          <w:szCs w:val="22"/>
        </w:rPr>
        <w:t>d</w:t>
      </w:r>
      <w:r w:rsidRPr="00763611">
        <w:rPr>
          <w:sz w:val="22"/>
          <w:szCs w:val="22"/>
        </w:rPr>
        <w:t xml:space="preserve"> du Statut du FCD concernant la mise à disposition d’autres ressources de partenariat pour le développement qui sont financées par le FCD pour des crédits extraordinaires, autorisés expressément par le Conseil interaméricain pour le développement intégré (CIDI) (CIDI/ doc-99/14) - </w:t>
      </w:r>
      <w:hyperlink r:id="rId15" w:history="1">
        <w:proofErr w:type="spellStart"/>
        <w:r w:rsidRPr="00763611">
          <w:rPr>
            <w:color w:val="0000FF"/>
            <w:sz w:val="22"/>
            <w:szCs w:val="22"/>
            <w:u w:val="single"/>
            <w:shd w:val="clear" w:color="auto" w:fill="FFFFFF"/>
          </w:rPr>
          <w:t>Español</w:t>
        </w:r>
        <w:proofErr w:type="spellEnd"/>
      </w:hyperlink>
      <w:r w:rsidRPr="00763611">
        <w:rPr>
          <w:color w:val="000000"/>
          <w:sz w:val="22"/>
          <w:szCs w:val="22"/>
          <w:shd w:val="clear" w:color="auto" w:fill="FFFFFF"/>
        </w:rPr>
        <w:t xml:space="preserve"> - </w:t>
      </w:r>
      <w:hyperlink r:id="rId16" w:history="1">
        <w:r w:rsidRPr="00763611">
          <w:rPr>
            <w:color w:val="0000FF"/>
            <w:sz w:val="22"/>
            <w:szCs w:val="22"/>
            <w:u w:val="single"/>
            <w:shd w:val="clear" w:color="auto" w:fill="FFFFFF"/>
          </w:rPr>
          <w:t>English</w:t>
        </w:r>
      </w:hyperlink>
      <w:r w:rsidRPr="00763611">
        <w:rPr>
          <w:sz w:val="22"/>
          <w:szCs w:val="22"/>
        </w:rPr>
        <w:t>:</w:t>
      </w:r>
    </w:p>
    <w:p w:rsidR="0019171F" w:rsidRPr="00763611" w:rsidRDefault="0019171F" w:rsidP="0019171F">
      <w:pPr>
        <w:jc w:val="both"/>
        <w:rPr>
          <w:noProof/>
          <w:sz w:val="22"/>
          <w:szCs w:val="22"/>
        </w:rPr>
      </w:pPr>
    </w:p>
    <w:p w:rsidR="0019171F" w:rsidRPr="00763611" w:rsidRDefault="0019171F" w:rsidP="0019171F">
      <w:pPr>
        <w:ind w:left="2520" w:right="821" w:hanging="1800"/>
        <w:jc w:val="both"/>
        <w:rPr>
          <w:sz w:val="22"/>
          <w:szCs w:val="22"/>
        </w:rPr>
      </w:pPr>
      <w:r w:rsidRPr="00763611">
        <w:rPr>
          <w:sz w:val="22"/>
          <w:szCs w:val="22"/>
        </w:rPr>
        <w:t>Décision 2 :</w:t>
      </w:r>
      <w:r w:rsidRPr="00763611">
        <w:rPr>
          <w:sz w:val="22"/>
          <w:szCs w:val="22"/>
        </w:rPr>
        <w:tab/>
        <w:t>Recommander au CIDI d’approuver le paiement correspondant aux coûts d’audit externe du Fonds de coopération pour le développement (FCD) pour la période budgétaire 2019-2021 (CIDI/JD/INF. -60/20 -</w:t>
      </w:r>
      <w:r w:rsidRPr="00763611">
        <w:rPr>
          <w:color w:val="1F497D"/>
          <w:sz w:val="22"/>
          <w:szCs w:val="22"/>
        </w:rPr>
        <w:t xml:space="preserve"> </w:t>
      </w:r>
      <w:hyperlink r:id="rId17" w:history="1">
        <w:proofErr w:type="spellStart"/>
        <w:r w:rsidRPr="00763611">
          <w:rPr>
            <w:color w:val="0563C1"/>
            <w:sz w:val="22"/>
            <w:szCs w:val="22"/>
            <w:u w:val="single"/>
          </w:rPr>
          <w:t>Español</w:t>
        </w:r>
        <w:proofErr w:type="spellEnd"/>
      </w:hyperlink>
      <w:r w:rsidRPr="00763611">
        <w:rPr>
          <w:sz w:val="22"/>
          <w:szCs w:val="22"/>
        </w:rPr>
        <w:t xml:space="preserve"> - </w:t>
      </w:r>
      <w:hyperlink r:id="rId18" w:history="1">
        <w:r w:rsidRPr="00763611">
          <w:rPr>
            <w:color w:val="0563C1"/>
            <w:sz w:val="22"/>
            <w:szCs w:val="22"/>
            <w:u w:val="single"/>
          </w:rPr>
          <w:t>English</w:t>
        </w:r>
      </w:hyperlink>
      <w:r w:rsidRPr="00763611">
        <w:rPr>
          <w:sz w:val="22"/>
          <w:szCs w:val="22"/>
        </w:rPr>
        <w:t>), étant entendu que le paiement pour 2019 sera effectué immédiatement et que celui des deux années suivantes sera effectué au début de l’audit correspondant à chaque exercice budgétaire, soit 2020 et 2021.  Ces coûts seront couverts par l’encours du poste budgétaire du FCD intitulé « Remboursements au titre des montants non exécutés pour le cycle programmatique 2014-2017 ».</w:t>
      </w:r>
    </w:p>
    <w:p w:rsidR="0019171F" w:rsidRPr="00763611" w:rsidRDefault="0019171F" w:rsidP="0019171F">
      <w:pPr>
        <w:ind w:left="2520" w:right="821"/>
        <w:jc w:val="both"/>
        <w:rPr>
          <w:rFonts w:eastAsia="Calibri"/>
          <w:sz w:val="22"/>
          <w:szCs w:val="22"/>
        </w:rPr>
      </w:pPr>
      <w:r w:rsidRPr="00763611">
        <w:rPr>
          <w:sz w:val="22"/>
          <w:szCs w:val="22"/>
        </w:rPr>
        <w:t xml:space="preserve">Cette recommandation est fondée sur les dispositions de l’article 10 </w:t>
      </w:r>
      <w:r w:rsidRPr="00763611">
        <w:rPr>
          <w:i/>
          <w:iCs/>
          <w:sz w:val="22"/>
          <w:szCs w:val="22"/>
        </w:rPr>
        <w:t>d</w:t>
      </w:r>
      <w:r w:rsidRPr="00763611">
        <w:rPr>
          <w:sz w:val="22"/>
          <w:szCs w:val="22"/>
        </w:rPr>
        <w:t xml:space="preserve"> du Statut du FCD concernant les crédits destinés aux activités imprévues. Une fois obtenue l’approbation du CIDI, le SEDI devra entamer les démarches administratives pour virer au SAF les fonds correspondant au paiement des coûts d’audit de 2019 et assurer les fonds pour le paiement correspondant à 2020 et 2021.</w:t>
      </w:r>
    </w:p>
    <w:p w:rsidR="0019171F" w:rsidRPr="00763611" w:rsidRDefault="0019171F" w:rsidP="0019171F">
      <w:pPr>
        <w:jc w:val="both"/>
        <w:rPr>
          <w:noProof/>
          <w:sz w:val="22"/>
          <w:szCs w:val="22"/>
        </w:rPr>
      </w:pPr>
    </w:p>
    <w:p w:rsidR="0019171F" w:rsidRPr="00763611" w:rsidRDefault="0019171F" w:rsidP="0019171F">
      <w:pPr>
        <w:numPr>
          <w:ilvl w:val="1"/>
          <w:numId w:val="15"/>
        </w:numPr>
        <w:ind w:hanging="720"/>
        <w:jc w:val="both"/>
        <w:rPr>
          <w:sz w:val="22"/>
          <w:szCs w:val="22"/>
        </w:rPr>
      </w:pPr>
      <w:r w:rsidRPr="00763611">
        <w:rPr>
          <w:sz w:val="22"/>
          <w:szCs w:val="22"/>
        </w:rPr>
        <w:t>Présentation de l’état d’exécution des programmes du FCD pour le cycle programmatique 2017-2021</w:t>
      </w:r>
    </w:p>
    <w:p w:rsidR="0019171F" w:rsidRPr="00BC58B6" w:rsidRDefault="0019171F" w:rsidP="0019171F">
      <w:pPr>
        <w:jc w:val="both"/>
        <w:rPr>
          <w:noProof/>
          <w:sz w:val="22"/>
          <w:szCs w:val="22"/>
        </w:rPr>
      </w:pPr>
    </w:p>
    <w:p w:rsidR="0019171F" w:rsidRPr="00763611" w:rsidRDefault="0019171F" w:rsidP="0019171F">
      <w:pPr>
        <w:ind w:firstLine="720"/>
        <w:jc w:val="both"/>
        <w:rPr>
          <w:noProof/>
          <w:sz w:val="22"/>
          <w:szCs w:val="22"/>
        </w:rPr>
      </w:pPr>
      <w:r w:rsidRPr="00763611">
        <w:rPr>
          <w:sz w:val="22"/>
          <w:szCs w:val="22"/>
        </w:rPr>
        <w:t>Le Secrétariat a effectué un exposé général incluant un rappel de l’objectif présidant à la création du FCD et une description de son processus de programmation, de même qu’un rappel sur l’état d’exécution et les résultats obtenus à ce jour. En sus, il a fait rapport sur les activités de coopération décrites dans les projets de chaque pays participant et a présenté l’état des contributions volontaires reçues au 2 mars 2020 [AICD/JD/INF.64/20) - </w:t>
      </w:r>
      <w:proofErr w:type="spellStart"/>
      <w:r>
        <w:rPr>
          <w:szCs w:val="24"/>
        </w:rPr>
        <w:fldChar w:fldCharType="begin"/>
      </w:r>
      <w:r>
        <w:instrText xml:space="preserve"> HYPERLINK "http://scm.oas.org/IDMS/Redirectpage.aspx?class=AICD/JD/INF&amp;classNum=64&amp;lang=s" </w:instrText>
      </w:r>
      <w:r>
        <w:rPr>
          <w:szCs w:val="24"/>
        </w:rPr>
        <w:fldChar w:fldCharType="separate"/>
      </w:r>
      <w:r w:rsidRPr="00763611">
        <w:rPr>
          <w:rStyle w:val="Hyperlink"/>
          <w:sz w:val="22"/>
          <w:szCs w:val="22"/>
        </w:rPr>
        <w:t>Español</w:t>
      </w:r>
      <w:proofErr w:type="spellEnd"/>
      <w:r>
        <w:rPr>
          <w:rStyle w:val="Hyperlink"/>
          <w:sz w:val="22"/>
          <w:szCs w:val="22"/>
        </w:rPr>
        <w:fldChar w:fldCharType="end"/>
      </w:r>
      <w:r w:rsidRPr="00763611">
        <w:rPr>
          <w:sz w:val="22"/>
          <w:szCs w:val="22"/>
        </w:rPr>
        <w:t xml:space="preserve"> - </w:t>
      </w:r>
      <w:hyperlink r:id="rId19" w:history="1">
        <w:r w:rsidRPr="00763611">
          <w:rPr>
            <w:rStyle w:val="Hyperlink"/>
            <w:sz w:val="22"/>
            <w:szCs w:val="22"/>
          </w:rPr>
          <w:t>English</w:t>
        </w:r>
      </w:hyperlink>
      <w:r w:rsidRPr="00763611">
        <w:rPr>
          <w:rStyle w:val="Hyperlink"/>
          <w:sz w:val="22"/>
          <w:szCs w:val="22"/>
        </w:rPr>
        <w:t>]</w:t>
      </w:r>
      <w:r w:rsidRPr="00763611">
        <w:rPr>
          <w:sz w:val="22"/>
          <w:szCs w:val="22"/>
        </w:rPr>
        <w:t>. Le Secrétariat a souligné que quelques États membres participants, en raison de différentes situations, ont accusé des retards dans l’exécution de projets correspondant au cycle programmatique 2017-2021. Le Secrétariat a annoncé qu’il est en train d’</w:t>
      </w:r>
      <w:proofErr w:type="spellStart"/>
      <w:r w:rsidRPr="00763611">
        <w:rPr>
          <w:sz w:val="22"/>
          <w:szCs w:val="22"/>
        </w:rPr>
        <w:t>effecteur</w:t>
      </w:r>
      <w:proofErr w:type="spellEnd"/>
      <w:r w:rsidRPr="00763611">
        <w:rPr>
          <w:sz w:val="22"/>
          <w:szCs w:val="22"/>
        </w:rPr>
        <w:t xml:space="preserve"> les évaluations obligatoires de mi-parcours portant sur les projets en cours d’exécution pour le cycle programmatique 2017-2021. À cet effet, il a exhorté les pays qui ne l’ont pas encore fait à transmettre les informations requises ou à solliciter une reprogrammation d’activités pour éviter que celles-ci soient rapportées comme étant non exécutées dans le rapport d’évaluation de mi-parcours.</w:t>
      </w:r>
    </w:p>
    <w:p w:rsidR="0019171F" w:rsidRPr="00763611" w:rsidRDefault="0019171F" w:rsidP="0019171F">
      <w:pPr>
        <w:jc w:val="both"/>
        <w:rPr>
          <w:noProof/>
          <w:sz w:val="22"/>
          <w:szCs w:val="22"/>
        </w:rPr>
      </w:pPr>
    </w:p>
    <w:p w:rsidR="0019171F" w:rsidRPr="00763611" w:rsidRDefault="0019171F" w:rsidP="0019171F">
      <w:pPr>
        <w:numPr>
          <w:ilvl w:val="1"/>
          <w:numId w:val="15"/>
        </w:numPr>
        <w:ind w:hanging="630"/>
        <w:jc w:val="both"/>
        <w:rPr>
          <w:sz w:val="22"/>
          <w:szCs w:val="22"/>
        </w:rPr>
      </w:pPr>
      <w:r w:rsidRPr="00763611">
        <w:rPr>
          <w:sz w:val="22"/>
          <w:szCs w:val="22"/>
        </w:rPr>
        <w:t>Discussion sur l’approche de la définition du domaine d’intervention pour le cycle de programmation du FCD/OEA 2021-2024</w:t>
      </w:r>
    </w:p>
    <w:p w:rsidR="0019171F" w:rsidRPr="00BC58B6" w:rsidRDefault="0019171F" w:rsidP="0019171F">
      <w:pPr>
        <w:jc w:val="both"/>
        <w:rPr>
          <w:noProof/>
          <w:sz w:val="22"/>
          <w:szCs w:val="22"/>
        </w:rPr>
      </w:pPr>
    </w:p>
    <w:p w:rsidR="0019171F" w:rsidRPr="00763611" w:rsidRDefault="0019171F" w:rsidP="0019171F">
      <w:pPr>
        <w:ind w:firstLine="720"/>
        <w:jc w:val="both"/>
        <w:rPr>
          <w:noProof/>
          <w:sz w:val="22"/>
          <w:szCs w:val="22"/>
        </w:rPr>
      </w:pPr>
      <w:r w:rsidRPr="00763611">
        <w:rPr>
          <w:sz w:val="22"/>
          <w:szCs w:val="22"/>
        </w:rPr>
        <w:lastRenderedPageBreak/>
        <w:t>La Secrétaire exécutive a pris la parole pour rappeler qu’il est nécessaire de définir le domaine prioritaire pour le prochain cycle programmatique et suggéré d’aligner ce domaine sur la question de résilience, et préconisé que les projets présentés par les États membres soient centrés sur les trois dimensions de la résilience (économique, sociale et environnementale). Quelques délégations ont indiqué qu’elles allaient informer leur capitale de la suggestion de la Secrétaire exécutive ainsi que de l’opportunité d’aligner le thème de la résilience sur celui de reconstruction de la résilience post-catastrophe, une question qui fait l’objet de discussions actuelles entre la Secrétaire exécutive et les États membres. D’autres délégations ont indiqué que leurs pays sont davantage orientés vers les domaines de l’éducation, du développement scientifique et de l’échange de transferts technologiques. Le Conseil d'administration a conclu l’examen de ce point en décidant de poursuivre les discussions informelles au sein du Conseil afin de parvenir à un consensus sur le domaine d’intervention devant être déterminé pour le cycle programmatique 2021-2024, lequel sera examiné lors d’une réunion officielle.</w:t>
      </w:r>
    </w:p>
    <w:p w:rsidR="0019171F" w:rsidRPr="00763611" w:rsidRDefault="0019171F" w:rsidP="0019171F">
      <w:pPr>
        <w:jc w:val="both"/>
        <w:rPr>
          <w:noProof/>
          <w:sz w:val="22"/>
          <w:szCs w:val="22"/>
        </w:rPr>
      </w:pPr>
    </w:p>
    <w:p w:rsidR="0019171F" w:rsidRPr="00763611" w:rsidRDefault="0019171F" w:rsidP="0019171F">
      <w:pPr>
        <w:jc w:val="both"/>
        <w:rPr>
          <w:noProof/>
          <w:sz w:val="22"/>
          <w:szCs w:val="22"/>
        </w:rPr>
      </w:pPr>
    </w:p>
    <w:p w:rsidR="0019171F" w:rsidRPr="00763611" w:rsidRDefault="0019171F" w:rsidP="0019171F">
      <w:pPr>
        <w:numPr>
          <w:ilvl w:val="0"/>
          <w:numId w:val="11"/>
        </w:numPr>
        <w:tabs>
          <w:tab w:val="num" w:pos="720"/>
        </w:tabs>
        <w:ind w:left="720"/>
        <w:jc w:val="both"/>
        <w:rPr>
          <w:noProof/>
          <w:sz w:val="22"/>
          <w:szCs w:val="22"/>
        </w:rPr>
      </w:pPr>
      <w:r w:rsidRPr="00763611">
        <w:rPr>
          <w:sz w:val="22"/>
          <w:szCs w:val="22"/>
        </w:rPr>
        <w:t>Fonds attribué au Programme de bourses d’études - Budget exécuté en 2019 et prévisions 2020</w:t>
      </w:r>
    </w:p>
    <w:p w:rsidR="0019171F" w:rsidRPr="00763611" w:rsidRDefault="0019171F" w:rsidP="0019171F">
      <w:pPr>
        <w:jc w:val="both"/>
        <w:rPr>
          <w:noProof/>
          <w:sz w:val="22"/>
          <w:szCs w:val="22"/>
        </w:rPr>
      </w:pPr>
    </w:p>
    <w:p w:rsidR="0019171F" w:rsidRPr="00763611" w:rsidRDefault="0019171F" w:rsidP="0019171F">
      <w:pPr>
        <w:ind w:firstLine="720"/>
        <w:jc w:val="both"/>
        <w:rPr>
          <w:noProof/>
          <w:sz w:val="22"/>
          <w:szCs w:val="22"/>
        </w:rPr>
      </w:pPr>
      <w:r w:rsidRPr="00763611">
        <w:rPr>
          <w:sz w:val="22"/>
          <w:szCs w:val="22"/>
        </w:rPr>
        <w:t>L'examen du dernier point de l’ordre du jour de la réunion a commencé par un exposé présenté par le Directeur du Département du développement humain, de l’éducation et de l’emploi sur l’état du Fonds d’investissement du Programme de bourses d’études, avec des informations concernant l’exécution budgétaire en 2019 et les prévisions pour 2020 en réponse à la demande formulée par le Conseil d’administration lors de sa réunion du 9 décembre 2019. Après avoir remercié le directeur pour son exposé, les délégations ont préconisé que le Secrétariat actualise à un moment ou un autre le tableau des prévisions budgétaires du programme de bourses d’études à l’horizon 2025 et ce, pour donner un point de référence à leurs décisions futures. D’autre part, la possibilité que les bourses d'études non utilisées par certains pays puissent être utilisées par d’autres pays a été évoquée de nouveau. Le directeur a évoqué le montant non encore décaissé pour un certain nombre de boursiers admis en 2019 en raison de retards dans la date du début des études pour ces étudiants. En ce sens, le Secrétariat a rappelé qu’il est nécessaire de tenir des discussions pour que le Conseil d’administration prenne une décision ferme, dans le sens que les dates de début pour les bourses d'études octroyées correspondent à l’exercice budgétaire de l’Organisation, et que les étudiants ne retardent pas leur date d’entrée à l’université.</w:t>
      </w:r>
    </w:p>
    <w:p w:rsidR="0019171F" w:rsidRPr="00763611" w:rsidRDefault="0019171F" w:rsidP="0019171F">
      <w:pPr>
        <w:jc w:val="both"/>
        <w:rPr>
          <w:noProof/>
          <w:sz w:val="22"/>
          <w:szCs w:val="22"/>
        </w:rPr>
      </w:pPr>
    </w:p>
    <w:p w:rsidR="0019171F" w:rsidRPr="00763611" w:rsidRDefault="0019171F" w:rsidP="0019171F">
      <w:pPr>
        <w:ind w:firstLine="720"/>
        <w:jc w:val="both"/>
        <w:rPr>
          <w:noProof/>
          <w:sz w:val="22"/>
          <w:szCs w:val="22"/>
        </w:rPr>
      </w:pPr>
      <w:r w:rsidRPr="00763611">
        <w:rPr>
          <w:sz w:val="22"/>
          <w:szCs w:val="22"/>
        </w:rPr>
        <w:t>La présidence a clos cette réunion du Conseil d’administration en présentant aux participants ses meilleurs vœux de santé durant la crise causée par la pandémie de maladie à coronavirus (COVID-19).</w:t>
      </w:r>
    </w:p>
    <w:p w:rsidR="0019171F" w:rsidRPr="00763611" w:rsidRDefault="0019171F" w:rsidP="0019171F">
      <w:pPr>
        <w:jc w:val="both"/>
        <w:rPr>
          <w:noProof/>
          <w:sz w:val="22"/>
          <w:szCs w:val="22"/>
        </w:rPr>
      </w:pPr>
    </w:p>
    <w:p w:rsidR="0019171F" w:rsidRPr="00763611" w:rsidRDefault="0019171F" w:rsidP="0019171F">
      <w:pPr>
        <w:jc w:val="both"/>
        <w:rPr>
          <w:sz w:val="22"/>
          <w:szCs w:val="22"/>
        </w:rPr>
      </w:pPr>
    </w:p>
    <w:p w:rsidR="0019171F" w:rsidRPr="00763611" w:rsidRDefault="0019171F" w:rsidP="0019171F">
      <w:pPr>
        <w:jc w:val="both"/>
        <w:rPr>
          <w:sz w:val="22"/>
          <w:szCs w:val="22"/>
        </w:rPr>
      </w:pPr>
    </w:p>
    <w:p w:rsidR="0019171F" w:rsidRPr="00763611" w:rsidRDefault="0019171F" w:rsidP="0019171F">
      <w:pPr>
        <w:jc w:val="both"/>
        <w:rPr>
          <w:sz w:val="22"/>
          <w:szCs w:val="22"/>
        </w:rPr>
      </w:pPr>
    </w:p>
    <w:p w:rsidR="0019171F" w:rsidRPr="00763611" w:rsidRDefault="0019171F" w:rsidP="0019171F">
      <w:pPr>
        <w:tabs>
          <w:tab w:val="left" w:pos="2340"/>
        </w:tabs>
        <w:suppressAutoHyphens/>
        <w:ind w:right="99"/>
        <w:jc w:val="both"/>
        <w:rPr>
          <w:sz w:val="22"/>
          <w:szCs w:val="22"/>
        </w:rPr>
      </w:pPr>
    </w:p>
    <w:tbl>
      <w:tblPr>
        <w:tblW w:w="0" w:type="auto"/>
        <w:tblLook w:val="04A0" w:firstRow="1" w:lastRow="0" w:firstColumn="1" w:lastColumn="0" w:noHBand="0" w:noVBand="1"/>
      </w:tblPr>
      <w:tblGrid>
        <w:gridCol w:w="4425"/>
        <w:gridCol w:w="4431"/>
      </w:tblGrid>
      <w:tr w:rsidR="0019171F" w:rsidRPr="00763611" w:rsidTr="00D43BE2">
        <w:tc>
          <w:tcPr>
            <w:tcW w:w="4425" w:type="dxa"/>
            <w:shd w:val="clear" w:color="auto" w:fill="auto"/>
          </w:tcPr>
          <w:p w:rsidR="0019171F" w:rsidRPr="003A6F6A" w:rsidRDefault="0019171F" w:rsidP="00D43BE2">
            <w:pPr>
              <w:pStyle w:val="Header"/>
              <w:tabs>
                <w:tab w:val="left" w:pos="-1440"/>
                <w:tab w:val="left" w:pos="-720"/>
              </w:tabs>
              <w:suppressAutoHyphens/>
              <w:jc w:val="center"/>
              <w:rPr>
                <w:sz w:val="22"/>
                <w:szCs w:val="22"/>
                <w:lang w:val="es-US"/>
              </w:rPr>
            </w:pPr>
            <w:proofErr w:type="spellStart"/>
            <w:r w:rsidRPr="003A6F6A">
              <w:rPr>
                <w:sz w:val="22"/>
                <w:szCs w:val="22"/>
                <w:lang w:val="es-US"/>
              </w:rPr>
              <w:t>Ambassadrice</w:t>
            </w:r>
            <w:proofErr w:type="spellEnd"/>
            <w:r w:rsidRPr="003A6F6A">
              <w:rPr>
                <w:sz w:val="22"/>
                <w:szCs w:val="22"/>
                <w:lang w:val="es-US"/>
              </w:rPr>
              <w:t xml:space="preserve"> Luz Elena Baños Rivas</w:t>
            </w:r>
          </w:p>
          <w:p w:rsidR="0019171F" w:rsidRPr="003A6F6A" w:rsidRDefault="0019171F" w:rsidP="00D43BE2">
            <w:pPr>
              <w:pStyle w:val="Header"/>
              <w:tabs>
                <w:tab w:val="left" w:pos="-1440"/>
                <w:tab w:val="left" w:pos="-720"/>
              </w:tabs>
              <w:suppressAutoHyphens/>
              <w:jc w:val="center"/>
              <w:rPr>
                <w:sz w:val="22"/>
                <w:szCs w:val="22"/>
                <w:lang w:val="es-US"/>
              </w:rPr>
            </w:pPr>
            <w:proofErr w:type="spellStart"/>
            <w:r w:rsidRPr="003A6F6A">
              <w:rPr>
                <w:sz w:val="22"/>
                <w:szCs w:val="22"/>
                <w:lang w:val="es-US"/>
              </w:rPr>
              <w:t>Représentante</w:t>
            </w:r>
            <w:proofErr w:type="spellEnd"/>
            <w:r w:rsidRPr="003A6F6A">
              <w:rPr>
                <w:sz w:val="22"/>
                <w:szCs w:val="22"/>
                <w:lang w:val="es-US"/>
              </w:rPr>
              <w:t xml:space="preserve"> permanente du </w:t>
            </w:r>
            <w:proofErr w:type="spellStart"/>
            <w:r w:rsidRPr="003A6F6A">
              <w:rPr>
                <w:sz w:val="22"/>
                <w:szCs w:val="22"/>
                <w:lang w:val="es-US"/>
              </w:rPr>
              <w:t>Mexique</w:t>
            </w:r>
            <w:proofErr w:type="spellEnd"/>
          </w:p>
          <w:p w:rsidR="0019171F" w:rsidRPr="00763611" w:rsidRDefault="0019171F" w:rsidP="00D43BE2">
            <w:pPr>
              <w:pStyle w:val="Header"/>
              <w:tabs>
                <w:tab w:val="left" w:pos="-1440"/>
                <w:tab w:val="left" w:pos="-720"/>
              </w:tabs>
              <w:suppressAutoHyphens/>
              <w:rPr>
                <w:sz w:val="22"/>
                <w:szCs w:val="22"/>
                <w:lang w:val="es-CO"/>
              </w:rPr>
            </w:pPr>
          </w:p>
          <w:p w:rsidR="0019171F" w:rsidRPr="00763611" w:rsidRDefault="0019171F" w:rsidP="00D43BE2">
            <w:pPr>
              <w:pStyle w:val="Header"/>
              <w:tabs>
                <w:tab w:val="left" w:pos="-1440"/>
                <w:tab w:val="left" w:pos="-720"/>
              </w:tabs>
              <w:suppressAutoHyphens/>
              <w:rPr>
                <w:sz w:val="22"/>
                <w:szCs w:val="22"/>
                <w:lang w:val="es-CO"/>
              </w:rPr>
            </w:pPr>
          </w:p>
          <w:p w:rsidR="0019171F" w:rsidRPr="00763611" w:rsidRDefault="0019171F" w:rsidP="00D43BE2">
            <w:pPr>
              <w:pStyle w:val="Header"/>
              <w:tabs>
                <w:tab w:val="left" w:pos="-1440"/>
                <w:tab w:val="left" w:pos="-720"/>
              </w:tabs>
              <w:suppressAutoHyphens/>
              <w:jc w:val="center"/>
              <w:rPr>
                <w:sz w:val="22"/>
                <w:szCs w:val="22"/>
                <w:lang w:val="es-CO"/>
              </w:rPr>
            </w:pPr>
          </w:p>
        </w:tc>
        <w:tc>
          <w:tcPr>
            <w:tcW w:w="4431" w:type="dxa"/>
            <w:shd w:val="clear" w:color="auto" w:fill="auto"/>
          </w:tcPr>
          <w:p w:rsidR="0019171F" w:rsidRPr="0019171F" w:rsidRDefault="0019171F" w:rsidP="00D43BE2">
            <w:pPr>
              <w:pStyle w:val="Header"/>
              <w:tabs>
                <w:tab w:val="left" w:pos="-1440"/>
                <w:tab w:val="left" w:pos="-720"/>
              </w:tabs>
              <w:suppressAutoHyphens/>
              <w:jc w:val="center"/>
              <w:rPr>
                <w:snapToGrid w:val="0"/>
                <w:sz w:val="22"/>
                <w:szCs w:val="22"/>
                <w:lang w:val="fr-CA"/>
              </w:rPr>
            </w:pPr>
            <w:r w:rsidRPr="0019171F">
              <w:rPr>
                <w:sz w:val="22"/>
                <w:szCs w:val="22"/>
                <w:lang w:val="fr-CA"/>
              </w:rPr>
              <w:t>Kim Osborne</w:t>
            </w:r>
          </w:p>
          <w:p w:rsidR="0019171F" w:rsidRPr="0019171F" w:rsidRDefault="0019171F" w:rsidP="00D43BE2">
            <w:pPr>
              <w:pStyle w:val="Header"/>
              <w:tabs>
                <w:tab w:val="left" w:pos="-1440"/>
                <w:tab w:val="left" w:pos="-720"/>
              </w:tabs>
              <w:suppressAutoHyphens/>
              <w:jc w:val="center"/>
              <w:rPr>
                <w:sz w:val="22"/>
                <w:szCs w:val="22"/>
                <w:lang w:val="fr-CA"/>
              </w:rPr>
            </w:pPr>
            <w:r w:rsidRPr="0019171F">
              <w:rPr>
                <w:sz w:val="22"/>
                <w:szCs w:val="22"/>
                <w:lang w:val="fr-CA"/>
              </w:rPr>
              <w:t>Secrétaire exécutive au développement intégré</w:t>
            </w:r>
          </w:p>
        </w:tc>
      </w:tr>
    </w:tbl>
    <w:p w:rsidR="0019171F" w:rsidRPr="00763611" w:rsidRDefault="0019171F" w:rsidP="0019171F">
      <w:pPr>
        <w:rPr>
          <w:sz w:val="22"/>
          <w:szCs w:val="22"/>
        </w:rPr>
      </w:pPr>
    </w:p>
    <w:p w:rsidR="0019171F" w:rsidRPr="0019171F" w:rsidRDefault="006826F7" w:rsidP="008A14E6">
      <w:pPr>
        <w:suppressAutoHyphens/>
        <w:autoSpaceDE w:val="0"/>
        <w:autoSpaceDN w:val="0"/>
        <w:adjustRightInd w:val="0"/>
        <w:jc w:val="center"/>
        <w:rPr>
          <w:rFonts w:ascii="Times New Roman" w:eastAsia="Times New Roman" w:hAnsi="Times New Roman"/>
          <w:sz w:val="22"/>
          <w:szCs w:val="22"/>
        </w:rPr>
      </w:pPr>
      <w:bookmarkStart w:id="0" w:name="_GoBack"/>
      <w:bookmarkEnd w:id="0"/>
      <w:r>
        <w:rPr>
          <w:rFonts w:ascii="Times New Roman" w:eastAsia="Times New Roman" w:hAnsi="Times New Roman"/>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6826F7" w:rsidRPr="006826F7" w:rsidRDefault="006826F7">
                            <w:pPr>
                              <w:rPr>
                                <w:rFonts w:ascii="Times New Roman" w:hAnsi="Times New Roman"/>
                                <w:sz w:val="18"/>
                              </w:rPr>
                            </w:pPr>
                            <w:r>
                              <w:rPr>
                                <w:rFonts w:ascii="Times New Roman" w:hAnsi="Times New Roman"/>
                                <w:sz w:val="18"/>
                              </w:rPr>
                              <w:t>CIDRP</w:t>
                            </w: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02857F01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6826F7" w:rsidRPr="006826F7" w:rsidRDefault="006826F7">
                      <w:pPr>
                        <w:rPr>
                          <w:rFonts w:ascii="Times New Roman" w:hAnsi="Times New Roman"/>
                          <w:sz w:val="18"/>
                        </w:rPr>
                      </w:pPr>
                      <w:r>
                        <w:rPr>
                          <w:rFonts w:ascii="Times New Roman" w:hAnsi="Times New Roman"/>
                          <w:sz w:val="18"/>
                        </w:rPr>
                        <w:t>CIDRP</w:t>
                      </w: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02857F01</w:t>
                      </w:r>
                      <w:r>
                        <w:rPr>
                          <w:rFonts w:ascii="Times New Roman" w:hAnsi="Times New Roman"/>
                          <w:sz w:val="18"/>
                        </w:rPr>
                        <w:fldChar w:fldCharType="end"/>
                      </w:r>
                    </w:p>
                  </w:txbxContent>
                </v:textbox>
                <w10:wrap anchory="page"/>
                <w10:anchorlock/>
              </v:shape>
            </w:pict>
          </mc:Fallback>
        </mc:AlternateContent>
      </w:r>
    </w:p>
    <w:sectPr w:rsidR="0019171F" w:rsidRPr="0019171F" w:rsidSect="005A453B">
      <w:headerReference w:type="default" r:id="rId20"/>
      <w:headerReference w:type="first" r:id="rId21"/>
      <w:type w:val="oddPage"/>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C2" w:rsidRDefault="00D832C2">
      <w:r>
        <w:separator/>
      </w:r>
    </w:p>
  </w:endnote>
  <w:endnote w:type="continuationSeparator" w:id="0">
    <w:p w:rsidR="00D832C2" w:rsidRDefault="00D8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C2" w:rsidRDefault="00D832C2">
      <w:r>
        <w:separator/>
      </w:r>
    </w:p>
  </w:footnote>
  <w:footnote w:type="continuationSeparator" w:id="0">
    <w:p w:rsidR="00D832C2" w:rsidRDefault="00D8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Pr="00F33495" w:rsidRDefault="00E513AD">
    <w:pPr>
      <w:pStyle w:val="Header"/>
      <w:jc w:val="center"/>
      <w:rPr>
        <w:sz w:val="22"/>
        <w:szCs w:val="22"/>
      </w:rPr>
    </w:pPr>
    <w:r w:rsidRPr="00F33495">
      <w:rPr>
        <w:sz w:val="22"/>
        <w:szCs w:val="22"/>
      </w:rPr>
      <w:fldChar w:fldCharType="begin"/>
    </w:r>
    <w:r w:rsidRPr="00F33495">
      <w:rPr>
        <w:sz w:val="22"/>
        <w:szCs w:val="22"/>
      </w:rPr>
      <w:instrText xml:space="preserve"> PAGE   \* MERGEFORMAT </w:instrText>
    </w:r>
    <w:r w:rsidRPr="00F33495">
      <w:rPr>
        <w:sz w:val="22"/>
        <w:szCs w:val="22"/>
      </w:rPr>
      <w:fldChar w:fldCharType="separate"/>
    </w:r>
    <w:r w:rsidR="006826F7">
      <w:rPr>
        <w:noProof/>
        <w:sz w:val="22"/>
        <w:szCs w:val="22"/>
      </w:rPr>
      <w:t>- 5 -</w:t>
    </w:r>
    <w:r w:rsidRPr="00F33495">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AD" w:rsidRDefault="0017493B">
    <w:pPr>
      <w:pStyle w:val="Header"/>
    </w:pPr>
    <w:r>
      <w:rPr>
        <w:noProof/>
        <w:lang w:val="en-US"/>
      </w:rPr>
      <w:drawing>
        <wp:anchor distT="0" distB="0" distL="114300" distR="114300" simplePos="0" relativeHeight="251657728" behindDoc="0" locked="0" layoutInCell="1" allowOverlap="1">
          <wp:simplePos x="0" y="0"/>
          <wp:positionH relativeFrom="column">
            <wp:posOffset>-499745</wp:posOffset>
          </wp:positionH>
          <wp:positionV relativeFrom="paragraph">
            <wp:posOffset>-479425</wp:posOffset>
          </wp:positionV>
          <wp:extent cx="822960" cy="824865"/>
          <wp:effectExtent l="0" t="0" r="0" b="0"/>
          <wp:wrapNone/>
          <wp:docPr id="2" name="Picture 9"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704" behindDoc="0" locked="0" layoutInCell="1" allowOverlap="1">
              <wp:simplePos x="0" y="0"/>
              <wp:positionH relativeFrom="column">
                <wp:posOffset>508000</wp:posOffset>
              </wp:positionH>
              <wp:positionV relativeFrom="paragraph">
                <wp:posOffset>-367030</wp:posOffset>
              </wp:positionV>
              <wp:extent cx="4345940" cy="7315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Pr="000063A3" w:rsidRDefault="00E513AD"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sidR="000063A3">
                            <w:rPr>
                              <w:rFonts w:ascii="Garamond" w:hAnsi="Garamond"/>
                              <w:b/>
                              <w:sz w:val="28"/>
                              <w:szCs w:val="28"/>
                              <w:lang w:val="fr-CA"/>
                            </w:rPr>
                            <w:t>RGANIS</w:t>
                          </w:r>
                          <w:r w:rsidRPr="000063A3">
                            <w:rPr>
                              <w:rFonts w:ascii="Garamond" w:hAnsi="Garamond"/>
                              <w:b/>
                              <w:sz w:val="28"/>
                              <w:szCs w:val="28"/>
                              <w:lang w:val="fr-CA"/>
                            </w:rPr>
                            <w:t>ATION</w:t>
                          </w:r>
                          <w:r w:rsidR="000063A3">
                            <w:rPr>
                              <w:rFonts w:ascii="Garamond" w:hAnsi="Garamond"/>
                              <w:b/>
                              <w:sz w:val="28"/>
                              <w:szCs w:val="28"/>
                              <w:lang w:val="fr-CA"/>
                            </w:rPr>
                            <w:t xml:space="preserve"> DES ÉTATS AMÉRICAINS</w:t>
                          </w:r>
                        </w:p>
                        <w:p w:rsidR="00E513AD" w:rsidRPr="000063A3" w:rsidRDefault="000063A3"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rsidR="00E513AD" w:rsidRPr="000063A3" w:rsidRDefault="00E513AD"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0pt;margin-top:-28.9pt;width:342.2pt;height:5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" stroked="f">
              <v:textbox>
                <w:txbxContent>
                  <w:p w:rsidR="00E513AD" w:rsidRPr="000063A3" w:rsidRDefault="00E513AD" w:rsidP="003308E9">
                    <w:pPr>
                      <w:pStyle w:val="Header"/>
                      <w:tabs>
                        <w:tab w:val="left" w:pos="900"/>
                      </w:tabs>
                      <w:spacing w:line="0" w:lineRule="atLeast"/>
                      <w:jc w:val="center"/>
                      <w:rPr>
                        <w:rFonts w:ascii="Garamond" w:hAnsi="Garamond"/>
                        <w:b/>
                        <w:sz w:val="28"/>
                        <w:szCs w:val="28"/>
                        <w:lang w:val="fr-CA"/>
                      </w:rPr>
                    </w:pPr>
                    <w:r w:rsidRPr="000063A3">
                      <w:rPr>
                        <w:rFonts w:ascii="Garamond" w:hAnsi="Garamond"/>
                        <w:b/>
                        <w:sz w:val="28"/>
                        <w:szCs w:val="28"/>
                        <w:lang w:val="fr-CA"/>
                      </w:rPr>
                      <w:t>O</w:t>
                    </w:r>
                    <w:r w:rsidR="000063A3">
                      <w:rPr>
                        <w:rFonts w:ascii="Garamond" w:hAnsi="Garamond"/>
                        <w:b/>
                        <w:sz w:val="28"/>
                        <w:szCs w:val="28"/>
                        <w:lang w:val="fr-CA"/>
                      </w:rPr>
                      <w:t>RGANIS</w:t>
                    </w:r>
                    <w:r w:rsidRPr="000063A3">
                      <w:rPr>
                        <w:rFonts w:ascii="Garamond" w:hAnsi="Garamond"/>
                        <w:b/>
                        <w:sz w:val="28"/>
                        <w:szCs w:val="28"/>
                        <w:lang w:val="fr-CA"/>
                      </w:rPr>
                      <w:t>ATION</w:t>
                    </w:r>
                    <w:r w:rsidR="000063A3">
                      <w:rPr>
                        <w:rFonts w:ascii="Garamond" w:hAnsi="Garamond"/>
                        <w:b/>
                        <w:sz w:val="28"/>
                        <w:szCs w:val="28"/>
                        <w:lang w:val="fr-CA"/>
                      </w:rPr>
                      <w:t xml:space="preserve"> DES ÉTATS AMÉRICAINS</w:t>
                    </w:r>
                  </w:p>
                  <w:p w:rsidR="00E513AD" w:rsidRPr="000063A3" w:rsidRDefault="000063A3" w:rsidP="003308E9">
                    <w:pPr>
                      <w:pStyle w:val="Header"/>
                      <w:tabs>
                        <w:tab w:val="left" w:pos="900"/>
                      </w:tabs>
                      <w:spacing w:line="0" w:lineRule="atLeast"/>
                      <w:jc w:val="center"/>
                      <w:rPr>
                        <w:rFonts w:ascii="Garamond" w:hAnsi="Garamond"/>
                        <w:b/>
                        <w:szCs w:val="24"/>
                        <w:lang w:val="fr-CA"/>
                      </w:rPr>
                    </w:pPr>
                    <w:r>
                      <w:rPr>
                        <w:rFonts w:ascii="Garamond" w:hAnsi="Garamond"/>
                        <w:b/>
                        <w:szCs w:val="24"/>
                        <w:lang w:val="fr-CA"/>
                      </w:rPr>
                      <w:t>Conseil interaméricain pour le développement intégré</w:t>
                    </w:r>
                  </w:p>
                  <w:p w:rsidR="00E513AD" w:rsidRPr="000063A3" w:rsidRDefault="00E513AD" w:rsidP="003308E9">
                    <w:pPr>
                      <w:pStyle w:val="Header"/>
                      <w:tabs>
                        <w:tab w:val="left" w:pos="900"/>
                      </w:tabs>
                      <w:spacing w:line="0" w:lineRule="atLeast"/>
                      <w:jc w:val="center"/>
                      <w:rPr>
                        <w:b/>
                        <w:sz w:val="28"/>
                        <w:szCs w:val="28"/>
                        <w:lang w:val="fr-CA"/>
                      </w:rPr>
                    </w:pPr>
                    <w:r w:rsidRPr="000063A3">
                      <w:rPr>
                        <w:rFonts w:ascii="Garamond" w:hAnsi="Garamond"/>
                        <w:b/>
                        <w:szCs w:val="24"/>
                        <w:lang w:val="fr-CA"/>
                      </w:rPr>
                      <w:t>(CIDI)</w:t>
                    </w: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4977130</wp:posOffset>
              </wp:positionH>
              <wp:positionV relativeFrom="paragraph">
                <wp:posOffset>-524510</wp:posOffset>
              </wp:positionV>
              <wp:extent cx="1287780" cy="86233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3AD" w:rsidRDefault="0017493B" w:rsidP="003308E9">
                          <w:r w:rsidRPr="0019171F">
                            <w:rPr>
                              <w:rFonts w:ascii="News Gothic MT" w:hAnsi="News Gothic MT"/>
                              <w:noProof/>
                              <w:color w:val="000000"/>
                              <w:lang w:val="en-US"/>
                            </w:rPr>
                            <w:drawing>
                              <wp:inline distT="0" distB="0" distL="0" distR="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91.9pt;margin-top:-41.3pt;width:101.4pt;height:6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o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" stroked="f">
              <v:textbox>
                <w:txbxContent>
                  <w:p w:rsidR="00E513AD" w:rsidRDefault="0017493B" w:rsidP="003308E9">
                    <w:r w:rsidRPr="0019171F">
                      <w:rPr>
                        <w:rFonts w:ascii="News Gothic MT" w:hAnsi="News Gothic MT"/>
                        <w:noProof/>
                        <w:color w:val="000000"/>
                        <w:lang w:val="en-US"/>
                      </w:rPr>
                      <w:drawing>
                        <wp:inline distT="0" distB="0" distL="0" distR="0">
                          <wp:extent cx="1104900" cy="771525"/>
                          <wp:effectExtent l="0" t="0" r="0" b="0"/>
                          <wp:docPr id="4" name="Picture 4"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63E"/>
    <w:multiLevelType w:val="hybridMultilevel"/>
    <w:tmpl w:val="1EC0F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35265D"/>
    <w:multiLevelType w:val="hybridMultilevel"/>
    <w:tmpl w:val="104E0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117C3"/>
    <w:multiLevelType w:val="hybridMultilevel"/>
    <w:tmpl w:val="BECE9FA4"/>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603976"/>
    <w:multiLevelType w:val="hybridMultilevel"/>
    <w:tmpl w:val="216A6704"/>
    <w:lvl w:ilvl="0" w:tplc="54304EC2">
      <w:start w:val="1"/>
      <w:numFmt w:val="decimal"/>
      <w:lvlText w:val="%1."/>
      <w:lvlJc w:val="left"/>
      <w:pPr>
        <w:tabs>
          <w:tab w:val="num" w:pos="1440"/>
        </w:tabs>
        <w:ind w:left="1440" w:hanging="720"/>
      </w:pPr>
      <w:rPr>
        <w:rFonts w:hint="default"/>
      </w:rPr>
    </w:lvl>
    <w:lvl w:ilvl="1" w:tplc="DEB0A7D4">
      <w:start w:val="1"/>
      <w:numFmt w:val="bullet"/>
      <w:lvlText w:val=""/>
      <w:lvlJc w:val="left"/>
      <w:pPr>
        <w:tabs>
          <w:tab w:val="num" w:pos="1800"/>
        </w:tabs>
        <w:ind w:left="1800" w:hanging="360"/>
      </w:pPr>
      <w:rPr>
        <w:rFonts w:ascii="Symbol" w:hAnsi="Symbol" w:hint="default"/>
      </w:rPr>
    </w:lvl>
    <w:lvl w:ilvl="2" w:tplc="FFE8F674">
      <w:start w:val="1"/>
      <w:numFmt w:val="bullet"/>
      <w:lvlText w:val=""/>
      <w:lvlJc w:val="left"/>
      <w:pPr>
        <w:ind w:left="2700" w:hanging="360"/>
      </w:pPr>
      <w:rPr>
        <w:rFonts w:ascii="Wingdings" w:hAnsi="Wingdings" w:hint="default"/>
      </w:rPr>
    </w:lvl>
    <w:lvl w:ilvl="3" w:tplc="7C1A801E" w:tentative="1">
      <w:start w:val="1"/>
      <w:numFmt w:val="decimal"/>
      <w:lvlText w:val="%4."/>
      <w:lvlJc w:val="left"/>
      <w:pPr>
        <w:tabs>
          <w:tab w:val="num" w:pos="3240"/>
        </w:tabs>
        <w:ind w:left="3240" w:hanging="360"/>
      </w:pPr>
    </w:lvl>
    <w:lvl w:ilvl="4" w:tplc="7B563568" w:tentative="1">
      <w:start w:val="1"/>
      <w:numFmt w:val="lowerLetter"/>
      <w:lvlText w:val="%5."/>
      <w:lvlJc w:val="left"/>
      <w:pPr>
        <w:tabs>
          <w:tab w:val="num" w:pos="3960"/>
        </w:tabs>
        <w:ind w:left="3960" w:hanging="360"/>
      </w:pPr>
    </w:lvl>
    <w:lvl w:ilvl="5" w:tplc="3EA46A72" w:tentative="1">
      <w:start w:val="1"/>
      <w:numFmt w:val="lowerRoman"/>
      <w:lvlText w:val="%6."/>
      <w:lvlJc w:val="right"/>
      <w:pPr>
        <w:tabs>
          <w:tab w:val="num" w:pos="4680"/>
        </w:tabs>
        <w:ind w:left="4680" w:hanging="180"/>
      </w:pPr>
    </w:lvl>
    <w:lvl w:ilvl="6" w:tplc="F58494E0" w:tentative="1">
      <w:start w:val="1"/>
      <w:numFmt w:val="decimal"/>
      <w:lvlText w:val="%7."/>
      <w:lvlJc w:val="left"/>
      <w:pPr>
        <w:tabs>
          <w:tab w:val="num" w:pos="5400"/>
        </w:tabs>
        <w:ind w:left="5400" w:hanging="360"/>
      </w:pPr>
    </w:lvl>
    <w:lvl w:ilvl="7" w:tplc="ED0448F6" w:tentative="1">
      <w:start w:val="1"/>
      <w:numFmt w:val="lowerLetter"/>
      <w:lvlText w:val="%8."/>
      <w:lvlJc w:val="left"/>
      <w:pPr>
        <w:tabs>
          <w:tab w:val="num" w:pos="6120"/>
        </w:tabs>
        <w:ind w:left="6120" w:hanging="360"/>
      </w:pPr>
    </w:lvl>
    <w:lvl w:ilvl="8" w:tplc="931E7AA8" w:tentative="1">
      <w:start w:val="1"/>
      <w:numFmt w:val="lowerRoman"/>
      <w:lvlText w:val="%9."/>
      <w:lvlJc w:val="right"/>
      <w:pPr>
        <w:tabs>
          <w:tab w:val="num" w:pos="6840"/>
        </w:tabs>
        <w:ind w:left="6840" w:hanging="180"/>
      </w:pPr>
    </w:lvl>
  </w:abstractNum>
  <w:abstractNum w:abstractNumId="4" w15:restartNumberingAfterBreak="0">
    <w:nsid w:val="258403D4"/>
    <w:multiLevelType w:val="hybridMultilevel"/>
    <w:tmpl w:val="F3AE1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BA76D1"/>
    <w:multiLevelType w:val="hybridMultilevel"/>
    <w:tmpl w:val="E6305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7823C3"/>
    <w:multiLevelType w:val="hybridMultilevel"/>
    <w:tmpl w:val="36305DEC"/>
    <w:lvl w:ilvl="0" w:tplc="935A81B4">
      <w:start w:val="1"/>
      <w:numFmt w:val="decimal"/>
      <w:lvlText w:val="%1."/>
      <w:lvlJc w:val="right"/>
      <w:pPr>
        <w:ind w:left="720" w:hanging="360"/>
      </w:pPr>
      <w:rPr>
        <w:strike w:val="0"/>
        <w:dstrike w:val="0"/>
        <w:u w:val="none"/>
        <w:effect w:val="none"/>
      </w:rPr>
    </w:lvl>
    <w:lvl w:ilvl="1" w:tplc="A23E9D18">
      <w:start w:val="1"/>
      <w:numFmt w:val="bullet"/>
      <w:lvlText w:val=""/>
      <w:lvlJc w:val="left"/>
      <w:pPr>
        <w:ind w:left="1440" w:hanging="360"/>
      </w:pPr>
      <w:rPr>
        <w:rFonts w:ascii="Symbol" w:hAnsi="Symbol" w:hint="default"/>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D185418"/>
    <w:multiLevelType w:val="hybridMultilevel"/>
    <w:tmpl w:val="84CE6680"/>
    <w:lvl w:ilvl="0" w:tplc="0409000F">
      <w:start w:val="1"/>
      <w:numFmt w:val="decimal"/>
      <w:lvlText w:val="%1."/>
      <w:lvlJc w:val="left"/>
      <w:pPr>
        <w:tabs>
          <w:tab w:val="num" w:pos="1820"/>
        </w:tabs>
        <w:ind w:left="1820" w:hanging="360"/>
      </w:pPr>
    </w:lvl>
    <w:lvl w:ilvl="1" w:tplc="04090019">
      <w:start w:val="1"/>
      <w:numFmt w:val="lowerLetter"/>
      <w:lvlText w:val="%2."/>
      <w:lvlJc w:val="left"/>
      <w:pPr>
        <w:tabs>
          <w:tab w:val="num" w:pos="2540"/>
        </w:tabs>
        <w:ind w:left="2540" w:hanging="360"/>
      </w:pPr>
    </w:lvl>
    <w:lvl w:ilvl="2" w:tplc="0409001B" w:tentative="1">
      <w:start w:val="1"/>
      <w:numFmt w:val="lowerRoman"/>
      <w:lvlText w:val="%3."/>
      <w:lvlJc w:val="right"/>
      <w:pPr>
        <w:tabs>
          <w:tab w:val="num" w:pos="3260"/>
        </w:tabs>
        <w:ind w:left="3260" w:hanging="180"/>
      </w:pPr>
    </w:lvl>
    <w:lvl w:ilvl="3" w:tplc="0409000F" w:tentative="1">
      <w:start w:val="1"/>
      <w:numFmt w:val="decimal"/>
      <w:lvlText w:val="%4."/>
      <w:lvlJc w:val="left"/>
      <w:pPr>
        <w:tabs>
          <w:tab w:val="num" w:pos="3980"/>
        </w:tabs>
        <w:ind w:left="3980" w:hanging="360"/>
      </w:pPr>
    </w:lvl>
    <w:lvl w:ilvl="4" w:tplc="04090019" w:tentative="1">
      <w:start w:val="1"/>
      <w:numFmt w:val="lowerLetter"/>
      <w:lvlText w:val="%5."/>
      <w:lvlJc w:val="left"/>
      <w:pPr>
        <w:tabs>
          <w:tab w:val="num" w:pos="4700"/>
        </w:tabs>
        <w:ind w:left="4700" w:hanging="360"/>
      </w:pPr>
    </w:lvl>
    <w:lvl w:ilvl="5" w:tplc="0409001B" w:tentative="1">
      <w:start w:val="1"/>
      <w:numFmt w:val="lowerRoman"/>
      <w:lvlText w:val="%6."/>
      <w:lvlJc w:val="right"/>
      <w:pPr>
        <w:tabs>
          <w:tab w:val="num" w:pos="5420"/>
        </w:tabs>
        <w:ind w:left="5420" w:hanging="180"/>
      </w:pPr>
    </w:lvl>
    <w:lvl w:ilvl="6" w:tplc="0409000F" w:tentative="1">
      <w:start w:val="1"/>
      <w:numFmt w:val="decimal"/>
      <w:lvlText w:val="%7."/>
      <w:lvlJc w:val="left"/>
      <w:pPr>
        <w:tabs>
          <w:tab w:val="num" w:pos="6140"/>
        </w:tabs>
        <w:ind w:left="6140" w:hanging="360"/>
      </w:pPr>
    </w:lvl>
    <w:lvl w:ilvl="7" w:tplc="04090019" w:tentative="1">
      <w:start w:val="1"/>
      <w:numFmt w:val="lowerLetter"/>
      <w:lvlText w:val="%8."/>
      <w:lvlJc w:val="left"/>
      <w:pPr>
        <w:tabs>
          <w:tab w:val="num" w:pos="6860"/>
        </w:tabs>
        <w:ind w:left="6860" w:hanging="360"/>
      </w:pPr>
    </w:lvl>
    <w:lvl w:ilvl="8" w:tplc="0409001B" w:tentative="1">
      <w:start w:val="1"/>
      <w:numFmt w:val="lowerRoman"/>
      <w:lvlText w:val="%9."/>
      <w:lvlJc w:val="right"/>
      <w:pPr>
        <w:tabs>
          <w:tab w:val="num" w:pos="7580"/>
        </w:tabs>
        <w:ind w:left="7580" w:hanging="180"/>
      </w:pPr>
    </w:lvl>
  </w:abstractNum>
  <w:abstractNum w:abstractNumId="9" w15:restartNumberingAfterBreak="0">
    <w:nsid w:val="56B829BE"/>
    <w:multiLevelType w:val="hybridMultilevel"/>
    <w:tmpl w:val="4BF4351E"/>
    <w:lvl w:ilvl="0" w:tplc="26E43E74">
      <w:start w:val="1"/>
      <w:numFmt w:val="lowerLetter"/>
      <w:lvlText w:val="%1."/>
      <w:lvlJc w:val="left"/>
      <w:pPr>
        <w:ind w:left="720" w:hanging="360"/>
      </w:pPr>
      <w:rPr>
        <w:rFonts w:cs="Times New Roman"/>
        <w:i w:val="0"/>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15:restartNumberingAfterBreak="0">
    <w:nsid w:val="677E16AE"/>
    <w:multiLevelType w:val="hybridMultilevel"/>
    <w:tmpl w:val="9EAE168E"/>
    <w:lvl w:ilvl="0" w:tplc="360E0D0E">
      <w:start w:val="1"/>
      <w:numFmt w:val="bullet"/>
      <w:lvlText w:val=""/>
      <w:lvlJc w:val="left"/>
      <w:pPr>
        <w:tabs>
          <w:tab w:val="num" w:pos="2160"/>
        </w:tabs>
        <w:ind w:left="2160" w:hanging="360"/>
      </w:pPr>
      <w:rPr>
        <w:rFonts w:ascii="Symbol" w:hAnsi="Symbol" w:hint="default"/>
        <w:color w:val="auto"/>
        <w:sz w:val="16"/>
      </w:rPr>
    </w:lvl>
    <w:lvl w:ilvl="1" w:tplc="360E0D0E">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2E62A5"/>
    <w:multiLevelType w:val="hybridMultilevel"/>
    <w:tmpl w:val="E5F6A160"/>
    <w:lvl w:ilvl="0" w:tplc="CB5E6D3E">
      <w:start w:val="1"/>
      <w:numFmt w:val="lowerLetter"/>
      <w:lvlText w:val="%1."/>
      <w:lvlJc w:val="left"/>
      <w:pPr>
        <w:tabs>
          <w:tab w:val="num" w:pos="3600"/>
        </w:tabs>
        <w:ind w:left="3600" w:hanging="720"/>
      </w:pPr>
      <w:rPr>
        <w:rFonts w:hint="default"/>
      </w:rPr>
    </w:lvl>
    <w:lvl w:ilvl="1" w:tplc="C7360738">
      <w:start w:val="2"/>
      <w:numFmt w:val="lowerRoman"/>
      <w:lvlText w:val="%2."/>
      <w:lvlJc w:val="left"/>
      <w:pPr>
        <w:tabs>
          <w:tab w:val="num" w:pos="3240"/>
        </w:tabs>
        <w:ind w:left="3240" w:hanging="720"/>
      </w:pPr>
      <w:rPr>
        <w:rFonts w:hint="default"/>
      </w:rPr>
    </w:lvl>
    <w:lvl w:ilvl="2" w:tplc="1CAAFF34">
      <w:start w:val="6"/>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AA32D9A"/>
    <w:multiLevelType w:val="hybridMultilevel"/>
    <w:tmpl w:val="1A963258"/>
    <w:lvl w:ilvl="0" w:tplc="B6F2D210">
      <w:start w:val="1"/>
      <w:numFmt w:val="decimal"/>
      <w:lvlText w:val="%1."/>
      <w:lvlJc w:val="left"/>
      <w:pPr>
        <w:ind w:left="990" w:hanging="360"/>
      </w:pPr>
      <w:rPr>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CB72A0"/>
    <w:multiLevelType w:val="hybridMultilevel"/>
    <w:tmpl w:val="DDE42974"/>
    <w:lvl w:ilvl="0" w:tplc="A20C1E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B319C"/>
    <w:multiLevelType w:val="hybridMultilevel"/>
    <w:tmpl w:val="BAF4D7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734A3E"/>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4"/>
  </w:num>
  <w:num w:numId="7">
    <w:abstractNumId w:val="13"/>
  </w:num>
  <w:num w:numId="8">
    <w:abstractNumId w:val="10"/>
  </w:num>
  <w:num w:numId="9">
    <w:abstractNumId w:val="7"/>
  </w:num>
  <w:num w:numId="10">
    <w:abstractNumId w:val="15"/>
  </w:num>
  <w:num w:numId="11">
    <w:abstractNumId w:val="3"/>
  </w:num>
  <w:num w:numId="12">
    <w:abstractNumId w:val="5"/>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7FB51C4-F47C-4A5D-BA7F-6DFCA81DC9E2}"/>
    <w:docVar w:name="dgnword-eventsink" w:val="81251312"/>
  </w:docVars>
  <w:rsids>
    <w:rsidRoot w:val="00346A66"/>
    <w:rsid w:val="000063A3"/>
    <w:rsid w:val="00012960"/>
    <w:rsid w:val="00015710"/>
    <w:rsid w:val="000207AB"/>
    <w:rsid w:val="00041E56"/>
    <w:rsid w:val="00054F14"/>
    <w:rsid w:val="000561A8"/>
    <w:rsid w:val="00057636"/>
    <w:rsid w:val="00072466"/>
    <w:rsid w:val="000766B0"/>
    <w:rsid w:val="00081208"/>
    <w:rsid w:val="00082F00"/>
    <w:rsid w:val="00086BCB"/>
    <w:rsid w:val="000924DC"/>
    <w:rsid w:val="00096F48"/>
    <w:rsid w:val="000970B0"/>
    <w:rsid w:val="000A78B8"/>
    <w:rsid w:val="000A7A3D"/>
    <w:rsid w:val="000A7A76"/>
    <w:rsid w:val="000D180D"/>
    <w:rsid w:val="000F42DD"/>
    <w:rsid w:val="000F76AF"/>
    <w:rsid w:val="00100DA9"/>
    <w:rsid w:val="00106B5B"/>
    <w:rsid w:val="00115D3D"/>
    <w:rsid w:val="00125075"/>
    <w:rsid w:val="00142AE7"/>
    <w:rsid w:val="001473B2"/>
    <w:rsid w:val="00163434"/>
    <w:rsid w:val="001711CF"/>
    <w:rsid w:val="0017493B"/>
    <w:rsid w:val="0019171F"/>
    <w:rsid w:val="001A08EB"/>
    <w:rsid w:val="001A2224"/>
    <w:rsid w:val="001A3DAE"/>
    <w:rsid w:val="001A546D"/>
    <w:rsid w:val="001A5E56"/>
    <w:rsid w:val="001A7F6D"/>
    <w:rsid w:val="001B07FB"/>
    <w:rsid w:val="001B681F"/>
    <w:rsid w:val="001C023E"/>
    <w:rsid w:val="002047F6"/>
    <w:rsid w:val="0020633B"/>
    <w:rsid w:val="00210815"/>
    <w:rsid w:val="00222B9B"/>
    <w:rsid w:val="0022585D"/>
    <w:rsid w:val="0022625E"/>
    <w:rsid w:val="0023688A"/>
    <w:rsid w:val="00274BFF"/>
    <w:rsid w:val="00274FB1"/>
    <w:rsid w:val="00276408"/>
    <w:rsid w:val="00276827"/>
    <w:rsid w:val="00284B82"/>
    <w:rsid w:val="002B14E4"/>
    <w:rsid w:val="002B65F8"/>
    <w:rsid w:val="002D5949"/>
    <w:rsid w:val="002E525B"/>
    <w:rsid w:val="002F166C"/>
    <w:rsid w:val="002F5B7A"/>
    <w:rsid w:val="003261FA"/>
    <w:rsid w:val="003308E9"/>
    <w:rsid w:val="00337F7A"/>
    <w:rsid w:val="00346A66"/>
    <w:rsid w:val="00351A48"/>
    <w:rsid w:val="00360BBC"/>
    <w:rsid w:val="00361A02"/>
    <w:rsid w:val="00365824"/>
    <w:rsid w:val="00371FE5"/>
    <w:rsid w:val="00374980"/>
    <w:rsid w:val="00391A8F"/>
    <w:rsid w:val="003A1A35"/>
    <w:rsid w:val="003A6344"/>
    <w:rsid w:val="003B1B22"/>
    <w:rsid w:val="003B5CD8"/>
    <w:rsid w:val="003C1AC3"/>
    <w:rsid w:val="003C34B3"/>
    <w:rsid w:val="003E6968"/>
    <w:rsid w:val="00405782"/>
    <w:rsid w:val="00430ED2"/>
    <w:rsid w:val="00433AC5"/>
    <w:rsid w:val="00434915"/>
    <w:rsid w:val="00486A58"/>
    <w:rsid w:val="00491C75"/>
    <w:rsid w:val="00491F60"/>
    <w:rsid w:val="004B694F"/>
    <w:rsid w:val="004C148B"/>
    <w:rsid w:val="004C2B85"/>
    <w:rsid w:val="004C301D"/>
    <w:rsid w:val="004C59EC"/>
    <w:rsid w:val="004C6210"/>
    <w:rsid w:val="004C63E9"/>
    <w:rsid w:val="004D3D5E"/>
    <w:rsid w:val="004E01BF"/>
    <w:rsid w:val="004E36D2"/>
    <w:rsid w:val="00512FC7"/>
    <w:rsid w:val="0051561D"/>
    <w:rsid w:val="005233B9"/>
    <w:rsid w:val="0052637F"/>
    <w:rsid w:val="005468CC"/>
    <w:rsid w:val="00550B1E"/>
    <w:rsid w:val="00561BAC"/>
    <w:rsid w:val="00564FE5"/>
    <w:rsid w:val="00577C68"/>
    <w:rsid w:val="005A3859"/>
    <w:rsid w:val="005A453B"/>
    <w:rsid w:val="005B6A96"/>
    <w:rsid w:val="005D0A69"/>
    <w:rsid w:val="005D4FAA"/>
    <w:rsid w:val="005D5E2D"/>
    <w:rsid w:val="005E6534"/>
    <w:rsid w:val="00610503"/>
    <w:rsid w:val="00646D10"/>
    <w:rsid w:val="0066020F"/>
    <w:rsid w:val="00676E26"/>
    <w:rsid w:val="006826F7"/>
    <w:rsid w:val="00691F67"/>
    <w:rsid w:val="006946C7"/>
    <w:rsid w:val="00696F85"/>
    <w:rsid w:val="006A688F"/>
    <w:rsid w:val="006B1753"/>
    <w:rsid w:val="006B1C7E"/>
    <w:rsid w:val="006B7211"/>
    <w:rsid w:val="006C240E"/>
    <w:rsid w:val="006C619B"/>
    <w:rsid w:val="006F2D90"/>
    <w:rsid w:val="007004BE"/>
    <w:rsid w:val="00704013"/>
    <w:rsid w:val="00713B83"/>
    <w:rsid w:val="00722839"/>
    <w:rsid w:val="00735235"/>
    <w:rsid w:val="00756D89"/>
    <w:rsid w:val="00757F9D"/>
    <w:rsid w:val="007706E5"/>
    <w:rsid w:val="0077269C"/>
    <w:rsid w:val="007915F6"/>
    <w:rsid w:val="00794683"/>
    <w:rsid w:val="00795FEE"/>
    <w:rsid w:val="00797B28"/>
    <w:rsid w:val="007B03CB"/>
    <w:rsid w:val="007B599B"/>
    <w:rsid w:val="007B5F2E"/>
    <w:rsid w:val="007B6F5C"/>
    <w:rsid w:val="007C18B7"/>
    <w:rsid w:val="007C72DE"/>
    <w:rsid w:val="007D2072"/>
    <w:rsid w:val="007E2A8B"/>
    <w:rsid w:val="007F4C26"/>
    <w:rsid w:val="008265B9"/>
    <w:rsid w:val="00833626"/>
    <w:rsid w:val="00835256"/>
    <w:rsid w:val="00841A8E"/>
    <w:rsid w:val="00877582"/>
    <w:rsid w:val="00885899"/>
    <w:rsid w:val="008A14E6"/>
    <w:rsid w:val="008A18B9"/>
    <w:rsid w:val="008A442E"/>
    <w:rsid w:val="008A77AC"/>
    <w:rsid w:val="008C792C"/>
    <w:rsid w:val="008D1406"/>
    <w:rsid w:val="008D3585"/>
    <w:rsid w:val="008E1F5D"/>
    <w:rsid w:val="008F26D9"/>
    <w:rsid w:val="008F7EDF"/>
    <w:rsid w:val="00910A18"/>
    <w:rsid w:val="00915EA3"/>
    <w:rsid w:val="00916E6C"/>
    <w:rsid w:val="009339B9"/>
    <w:rsid w:val="0093429F"/>
    <w:rsid w:val="009423E9"/>
    <w:rsid w:val="0096436D"/>
    <w:rsid w:val="00971A10"/>
    <w:rsid w:val="00973389"/>
    <w:rsid w:val="009755DE"/>
    <w:rsid w:val="00981FC1"/>
    <w:rsid w:val="00987930"/>
    <w:rsid w:val="00997596"/>
    <w:rsid w:val="009A2F9F"/>
    <w:rsid w:val="009D628E"/>
    <w:rsid w:val="009F429C"/>
    <w:rsid w:val="00A039B4"/>
    <w:rsid w:val="00A10239"/>
    <w:rsid w:val="00A174E8"/>
    <w:rsid w:val="00A20758"/>
    <w:rsid w:val="00A2387E"/>
    <w:rsid w:val="00A3148F"/>
    <w:rsid w:val="00A54544"/>
    <w:rsid w:val="00A604F0"/>
    <w:rsid w:val="00A65000"/>
    <w:rsid w:val="00A761B9"/>
    <w:rsid w:val="00A768ED"/>
    <w:rsid w:val="00A77ED2"/>
    <w:rsid w:val="00A85C9E"/>
    <w:rsid w:val="00AA5F40"/>
    <w:rsid w:val="00AD6FC3"/>
    <w:rsid w:val="00AE077E"/>
    <w:rsid w:val="00AE0CDA"/>
    <w:rsid w:val="00AE1CE4"/>
    <w:rsid w:val="00AE5651"/>
    <w:rsid w:val="00AE76B7"/>
    <w:rsid w:val="00AF4656"/>
    <w:rsid w:val="00AF765E"/>
    <w:rsid w:val="00B31E02"/>
    <w:rsid w:val="00B34EE2"/>
    <w:rsid w:val="00B37615"/>
    <w:rsid w:val="00B51C33"/>
    <w:rsid w:val="00B54417"/>
    <w:rsid w:val="00B55140"/>
    <w:rsid w:val="00B66ED9"/>
    <w:rsid w:val="00B73812"/>
    <w:rsid w:val="00B82B4C"/>
    <w:rsid w:val="00B85087"/>
    <w:rsid w:val="00BA3EA9"/>
    <w:rsid w:val="00BB792D"/>
    <w:rsid w:val="00BC1B13"/>
    <w:rsid w:val="00BC43F8"/>
    <w:rsid w:val="00BC67C5"/>
    <w:rsid w:val="00BD0F0B"/>
    <w:rsid w:val="00C002D7"/>
    <w:rsid w:val="00C048CC"/>
    <w:rsid w:val="00C07442"/>
    <w:rsid w:val="00C15716"/>
    <w:rsid w:val="00C17EA8"/>
    <w:rsid w:val="00C22020"/>
    <w:rsid w:val="00C2593C"/>
    <w:rsid w:val="00C26257"/>
    <w:rsid w:val="00C300D6"/>
    <w:rsid w:val="00C30C7D"/>
    <w:rsid w:val="00C4578A"/>
    <w:rsid w:val="00C47975"/>
    <w:rsid w:val="00C61242"/>
    <w:rsid w:val="00C618F9"/>
    <w:rsid w:val="00C74668"/>
    <w:rsid w:val="00C758A2"/>
    <w:rsid w:val="00C80B6B"/>
    <w:rsid w:val="00C80C89"/>
    <w:rsid w:val="00C927D9"/>
    <w:rsid w:val="00C94DCF"/>
    <w:rsid w:val="00CA0619"/>
    <w:rsid w:val="00CB123F"/>
    <w:rsid w:val="00CC11C9"/>
    <w:rsid w:val="00CD58D1"/>
    <w:rsid w:val="00CD5CDB"/>
    <w:rsid w:val="00CE7C4A"/>
    <w:rsid w:val="00CF0C72"/>
    <w:rsid w:val="00CF1156"/>
    <w:rsid w:val="00CF3AB0"/>
    <w:rsid w:val="00D010ED"/>
    <w:rsid w:val="00D11AD5"/>
    <w:rsid w:val="00D16844"/>
    <w:rsid w:val="00D23F47"/>
    <w:rsid w:val="00D30151"/>
    <w:rsid w:val="00D42C98"/>
    <w:rsid w:val="00D43BE2"/>
    <w:rsid w:val="00D6315D"/>
    <w:rsid w:val="00D760D3"/>
    <w:rsid w:val="00D832C2"/>
    <w:rsid w:val="00D8764C"/>
    <w:rsid w:val="00D92DBF"/>
    <w:rsid w:val="00DA6A24"/>
    <w:rsid w:val="00DC2037"/>
    <w:rsid w:val="00DC2A3D"/>
    <w:rsid w:val="00DC728E"/>
    <w:rsid w:val="00DD0F2C"/>
    <w:rsid w:val="00DE5C16"/>
    <w:rsid w:val="00E07C3A"/>
    <w:rsid w:val="00E17131"/>
    <w:rsid w:val="00E21B06"/>
    <w:rsid w:val="00E31203"/>
    <w:rsid w:val="00E371AD"/>
    <w:rsid w:val="00E37B48"/>
    <w:rsid w:val="00E513AD"/>
    <w:rsid w:val="00E5279D"/>
    <w:rsid w:val="00E6088B"/>
    <w:rsid w:val="00E80FE6"/>
    <w:rsid w:val="00E94F79"/>
    <w:rsid w:val="00EA1A03"/>
    <w:rsid w:val="00EB41A5"/>
    <w:rsid w:val="00EB4443"/>
    <w:rsid w:val="00EB788A"/>
    <w:rsid w:val="00EC191B"/>
    <w:rsid w:val="00EC3A5A"/>
    <w:rsid w:val="00EC7D8C"/>
    <w:rsid w:val="00ED4496"/>
    <w:rsid w:val="00EE6166"/>
    <w:rsid w:val="00EE689A"/>
    <w:rsid w:val="00EF795A"/>
    <w:rsid w:val="00F10355"/>
    <w:rsid w:val="00F14C9D"/>
    <w:rsid w:val="00F15040"/>
    <w:rsid w:val="00F227A0"/>
    <w:rsid w:val="00F33495"/>
    <w:rsid w:val="00F336CD"/>
    <w:rsid w:val="00F376D4"/>
    <w:rsid w:val="00F52EA5"/>
    <w:rsid w:val="00F82AED"/>
    <w:rsid w:val="00F832F5"/>
    <w:rsid w:val="00F862D0"/>
    <w:rsid w:val="00F932F8"/>
    <w:rsid w:val="00F95046"/>
    <w:rsid w:val="00FA10EC"/>
    <w:rsid w:val="00FA3436"/>
    <w:rsid w:val="00FA3F08"/>
    <w:rsid w:val="00FB57C7"/>
    <w:rsid w:val="00FC6189"/>
    <w:rsid w:val="00FC6AB1"/>
    <w:rsid w:val="00FD0511"/>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3114EC"/>
  <w15:chartTrackingRefBased/>
  <w15:docId w15:val="{F9CB7FCB-78D5-4C80-9E3A-8F7026BF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66"/>
    <w:rPr>
      <w:rFonts w:ascii="Times" w:eastAsia="Times" w:hAnsi="Times"/>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6A66"/>
    <w:pPr>
      <w:tabs>
        <w:tab w:val="center" w:pos="4419"/>
        <w:tab w:val="right" w:pos="8838"/>
      </w:tabs>
    </w:pPr>
    <w:rPr>
      <w:rFonts w:ascii="Times New Roman" w:eastAsia="Times New Roman" w:hAnsi="Times New Roman"/>
      <w:lang w:val="es-ES"/>
    </w:rPr>
  </w:style>
  <w:style w:type="paragraph" w:styleId="Footer">
    <w:name w:val="footer"/>
    <w:basedOn w:val="Normal"/>
    <w:rsid w:val="00346A66"/>
    <w:pPr>
      <w:tabs>
        <w:tab w:val="center" w:pos="4320"/>
        <w:tab w:val="right" w:pos="8640"/>
      </w:tabs>
    </w:pPr>
  </w:style>
  <w:style w:type="character" w:styleId="PageNumber">
    <w:name w:val="page number"/>
    <w:basedOn w:val="DefaultParagraphFont"/>
    <w:rsid w:val="00346A66"/>
  </w:style>
  <w:style w:type="paragraph" w:styleId="BodyText">
    <w:name w:val="Body Text"/>
    <w:basedOn w:val="Normal"/>
    <w:rsid w:val="000A7A3D"/>
    <w:rPr>
      <w:rFonts w:ascii="Times New Roman" w:eastAsia="Times New Roman" w:hAnsi="Times New Roman"/>
      <w:sz w:val="22"/>
      <w:szCs w:val="22"/>
      <w:lang w:val="en-US"/>
    </w:rPr>
  </w:style>
  <w:style w:type="character" w:styleId="FootnoteReference">
    <w:name w:val="footnote reference"/>
    <w:semiHidden/>
    <w:rsid w:val="000A7A3D"/>
    <w:rPr>
      <w:vertAlign w:val="superscript"/>
    </w:rPr>
  </w:style>
  <w:style w:type="paragraph" w:styleId="ListParagraph">
    <w:name w:val="List Paragraph"/>
    <w:basedOn w:val="Normal"/>
    <w:uiPriority w:val="34"/>
    <w:qFormat/>
    <w:rsid w:val="00F33495"/>
    <w:pPr>
      <w:spacing w:after="200" w:line="276" w:lineRule="auto"/>
      <w:ind w:left="720"/>
      <w:contextualSpacing/>
    </w:pPr>
    <w:rPr>
      <w:rFonts w:ascii="Calibri" w:eastAsia="Times New Roman" w:hAnsi="Calibri"/>
      <w:sz w:val="22"/>
      <w:szCs w:val="22"/>
      <w:lang w:val="en-US"/>
    </w:rPr>
  </w:style>
  <w:style w:type="paragraph" w:styleId="NormalWeb">
    <w:name w:val="Normal (Web)"/>
    <w:basedOn w:val="Normal"/>
    <w:rsid w:val="00F33495"/>
    <w:rPr>
      <w:rFonts w:ascii="Times New Roman" w:eastAsia="Times New Roman" w:hAnsi="Times New Roman"/>
      <w:szCs w:val="24"/>
      <w:lang w:val="en-US"/>
    </w:rPr>
  </w:style>
  <w:style w:type="character" w:customStyle="1" w:styleId="HeaderChar">
    <w:name w:val="Header Char"/>
    <w:link w:val="Header"/>
    <w:uiPriority w:val="99"/>
    <w:rsid w:val="00F33495"/>
    <w:rPr>
      <w:sz w:val="24"/>
      <w:lang w:val="es-ES"/>
    </w:rPr>
  </w:style>
  <w:style w:type="paragraph" w:styleId="FootnoteText">
    <w:name w:val="footnote text"/>
    <w:basedOn w:val="Normal"/>
    <w:link w:val="FootnoteTextChar"/>
    <w:rsid w:val="00405782"/>
    <w:rPr>
      <w:sz w:val="20"/>
    </w:rPr>
  </w:style>
  <w:style w:type="character" w:customStyle="1" w:styleId="FootnoteTextChar">
    <w:name w:val="Footnote Text Char"/>
    <w:link w:val="FootnoteText"/>
    <w:rsid w:val="00405782"/>
    <w:rPr>
      <w:rFonts w:ascii="Times" w:eastAsia="Times" w:hAnsi="Times"/>
      <w:lang w:val="fr-FR"/>
    </w:rPr>
  </w:style>
  <w:style w:type="character" w:styleId="Hyperlink">
    <w:name w:val="Hyperlink"/>
    <w:uiPriority w:val="99"/>
    <w:unhideWhenUsed/>
    <w:rsid w:val="00361A02"/>
    <w:rPr>
      <w:color w:val="0D499C"/>
      <w:u w:val="single"/>
    </w:rPr>
  </w:style>
  <w:style w:type="character" w:styleId="FollowedHyperlink">
    <w:name w:val="FollowedHyperlink"/>
    <w:rsid w:val="00EB41A5"/>
    <w:rPr>
      <w:color w:val="800080"/>
      <w:u w:val="single"/>
    </w:rPr>
  </w:style>
  <w:style w:type="paragraph" w:styleId="BalloonText">
    <w:name w:val="Balloon Text"/>
    <w:basedOn w:val="Normal"/>
    <w:link w:val="BalloonTextChar"/>
    <w:rsid w:val="00CF3AB0"/>
    <w:rPr>
      <w:rFonts w:ascii="Tahoma" w:hAnsi="Tahoma" w:cs="Tahoma"/>
      <w:sz w:val="16"/>
      <w:szCs w:val="16"/>
    </w:rPr>
  </w:style>
  <w:style w:type="character" w:customStyle="1" w:styleId="BalloonTextChar">
    <w:name w:val="Balloon Text Char"/>
    <w:link w:val="BalloonText"/>
    <w:rsid w:val="00CF3AB0"/>
    <w:rPr>
      <w:rFonts w:ascii="Tahoma" w:eastAsia="Times"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7593">
      <w:bodyDiv w:val="1"/>
      <w:marLeft w:val="0"/>
      <w:marRight w:val="0"/>
      <w:marTop w:val="0"/>
      <w:marBottom w:val="0"/>
      <w:divBdr>
        <w:top w:val="none" w:sz="0" w:space="0" w:color="auto"/>
        <w:left w:val="none" w:sz="0" w:space="0" w:color="auto"/>
        <w:bottom w:val="none" w:sz="0" w:space="0" w:color="auto"/>
        <w:right w:val="none" w:sz="0" w:space="0" w:color="auto"/>
      </w:divBdr>
    </w:div>
    <w:div w:id="104496716">
      <w:bodyDiv w:val="1"/>
      <w:marLeft w:val="0"/>
      <w:marRight w:val="0"/>
      <w:marTop w:val="0"/>
      <w:marBottom w:val="0"/>
      <w:divBdr>
        <w:top w:val="none" w:sz="0" w:space="0" w:color="auto"/>
        <w:left w:val="none" w:sz="0" w:space="0" w:color="auto"/>
        <w:bottom w:val="none" w:sz="0" w:space="0" w:color="auto"/>
        <w:right w:val="none" w:sz="0" w:space="0" w:color="auto"/>
      </w:divBdr>
    </w:div>
    <w:div w:id="129985935">
      <w:bodyDiv w:val="1"/>
      <w:marLeft w:val="0"/>
      <w:marRight w:val="0"/>
      <w:marTop w:val="0"/>
      <w:marBottom w:val="0"/>
      <w:divBdr>
        <w:top w:val="none" w:sz="0" w:space="0" w:color="auto"/>
        <w:left w:val="none" w:sz="0" w:space="0" w:color="auto"/>
        <w:bottom w:val="none" w:sz="0" w:space="0" w:color="auto"/>
        <w:right w:val="none" w:sz="0" w:space="0" w:color="auto"/>
      </w:divBdr>
    </w:div>
    <w:div w:id="151680415">
      <w:bodyDiv w:val="1"/>
      <w:marLeft w:val="0"/>
      <w:marRight w:val="0"/>
      <w:marTop w:val="0"/>
      <w:marBottom w:val="0"/>
      <w:divBdr>
        <w:top w:val="none" w:sz="0" w:space="0" w:color="auto"/>
        <w:left w:val="none" w:sz="0" w:space="0" w:color="auto"/>
        <w:bottom w:val="none" w:sz="0" w:space="0" w:color="auto"/>
        <w:right w:val="none" w:sz="0" w:space="0" w:color="auto"/>
      </w:divBdr>
    </w:div>
    <w:div w:id="224604051">
      <w:bodyDiv w:val="1"/>
      <w:marLeft w:val="0"/>
      <w:marRight w:val="0"/>
      <w:marTop w:val="0"/>
      <w:marBottom w:val="0"/>
      <w:divBdr>
        <w:top w:val="none" w:sz="0" w:space="0" w:color="auto"/>
        <w:left w:val="none" w:sz="0" w:space="0" w:color="auto"/>
        <w:bottom w:val="none" w:sz="0" w:space="0" w:color="auto"/>
        <w:right w:val="none" w:sz="0" w:space="0" w:color="auto"/>
      </w:divBdr>
    </w:div>
    <w:div w:id="287904773">
      <w:bodyDiv w:val="1"/>
      <w:marLeft w:val="0"/>
      <w:marRight w:val="0"/>
      <w:marTop w:val="0"/>
      <w:marBottom w:val="0"/>
      <w:divBdr>
        <w:top w:val="none" w:sz="0" w:space="0" w:color="auto"/>
        <w:left w:val="none" w:sz="0" w:space="0" w:color="auto"/>
        <w:bottom w:val="none" w:sz="0" w:space="0" w:color="auto"/>
        <w:right w:val="none" w:sz="0" w:space="0" w:color="auto"/>
      </w:divBdr>
    </w:div>
    <w:div w:id="336201697">
      <w:bodyDiv w:val="1"/>
      <w:marLeft w:val="0"/>
      <w:marRight w:val="0"/>
      <w:marTop w:val="0"/>
      <w:marBottom w:val="0"/>
      <w:divBdr>
        <w:top w:val="none" w:sz="0" w:space="0" w:color="auto"/>
        <w:left w:val="none" w:sz="0" w:space="0" w:color="auto"/>
        <w:bottom w:val="none" w:sz="0" w:space="0" w:color="auto"/>
        <w:right w:val="none" w:sz="0" w:space="0" w:color="auto"/>
      </w:divBdr>
    </w:div>
    <w:div w:id="433596064">
      <w:bodyDiv w:val="1"/>
      <w:marLeft w:val="0"/>
      <w:marRight w:val="0"/>
      <w:marTop w:val="0"/>
      <w:marBottom w:val="0"/>
      <w:divBdr>
        <w:top w:val="none" w:sz="0" w:space="0" w:color="auto"/>
        <w:left w:val="none" w:sz="0" w:space="0" w:color="auto"/>
        <w:bottom w:val="none" w:sz="0" w:space="0" w:color="auto"/>
        <w:right w:val="none" w:sz="0" w:space="0" w:color="auto"/>
      </w:divBdr>
    </w:div>
    <w:div w:id="494492687">
      <w:bodyDiv w:val="1"/>
      <w:marLeft w:val="0"/>
      <w:marRight w:val="0"/>
      <w:marTop w:val="0"/>
      <w:marBottom w:val="0"/>
      <w:divBdr>
        <w:top w:val="none" w:sz="0" w:space="0" w:color="auto"/>
        <w:left w:val="none" w:sz="0" w:space="0" w:color="auto"/>
        <w:bottom w:val="none" w:sz="0" w:space="0" w:color="auto"/>
        <w:right w:val="none" w:sz="0" w:space="0" w:color="auto"/>
      </w:divBdr>
    </w:div>
    <w:div w:id="529759341">
      <w:bodyDiv w:val="1"/>
      <w:marLeft w:val="0"/>
      <w:marRight w:val="0"/>
      <w:marTop w:val="0"/>
      <w:marBottom w:val="0"/>
      <w:divBdr>
        <w:top w:val="none" w:sz="0" w:space="0" w:color="auto"/>
        <w:left w:val="none" w:sz="0" w:space="0" w:color="auto"/>
        <w:bottom w:val="none" w:sz="0" w:space="0" w:color="auto"/>
        <w:right w:val="none" w:sz="0" w:space="0" w:color="auto"/>
      </w:divBdr>
    </w:div>
    <w:div w:id="590507158">
      <w:bodyDiv w:val="1"/>
      <w:marLeft w:val="0"/>
      <w:marRight w:val="0"/>
      <w:marTop w:val="0"/>
      <w:marBottom w:val="0"/>
      <w:divBdr>
        <w:top w:val="none" w:sz="0" w:space="0" w:color="auto"/>
        <w:left w:val="none" w:sz="0" w:space="0" w:color="auto"/>
        <w:bottom w:val="none" w:sz="0" w:space="0" w:color="auto"/>
        <w:right w:val="none" w:sz="0" w:space="0" w:color="auto"/>
      </w:divBdr>
    </w:div>
    <w:div w:id="604314989">
      <w:bodyDiv w:val="1"/>
      <w:marLeft w:val="0"/>
      <w:marRight w:val="0"/>
      <w:marTop w:val="0"/>
      <w:marBottom w:val="0"/>
      <w:divBdr>
        <w:top w:val="none" w:sz="0" w:space="0" w:color="auto"/>
        <w:left w:val="none" w:sz="0" w:space="0" w:color="auto"/>
        <w:bottom w:val="none" w:sz="0" w:space="0" w:color="auto"/>
        <w:right w:val="none" w:sz="0" w:space="0" w:color="auto"/>
      </w:divBdr>
    </w:div>
    <w:div w:id="625935971">
      <w:bodyDiv w:val="1"/>
      <w:marLeft w:val="0"/>
      <w:marRight w:val="0"/>
      <w:marTop w:val="0"/>
      <w:marBottom w:val="0"/>
      <w:divBdr>
        <w:top w:val="none" w:sz="0" w:space="0" w:color="auto"/>
        <w:left w:val="none" w:sz="0" w:space="0" w:color="auto"/>
        <w:bottom w:val="none" w:sz="0" w:space="0" w:color="auto"/>
        <w:right w:val="none" w:sz="0" w:space="0" w:color="auto"/>
      </w:divBdr>
    </w:div>
    <w:div w:id="626201405">
      <w:bodyDiv w:val="1"/>
      <w:marLeft w:val="0"/>
      <w:marRight w:val="0"/>
      <w:marTop w:val="0"/>
      <w:marBottom w:val="0"/>
      <w:divBdr>
        <w:top w:val="none" w:sz="0" w:space="0" w:color="auto"/>
        <w:left w:val="none" w:sz="0" w:space="0" w:color="auto"/>
        <w:bottom w:val="none" w:sz="0" w:space="0" w:color="auto"/>
        <w:right w:val="none" w:sz="0" w:space="0" w:color="auto"/>
      </w:divBdr>
    </w:div>
    <w:div w:id="645353858">
      <w:bodyDiv w:val="1"/>
      <w:marLeft w:val="0"/>
      <w:marRight w:val="0"/>
      <w:marTop w:val="0"/>
      <w:marBottom w:val="0"/>
      <w:divBdr>
        <w:top w:val="none" w:sz="0" w:space="0" w:color="auto"/>
        <w:left w:val="none" w:sz="0" w:space="0" w:color="auto"/>
        <w:bottom w:val="none" w:sz="0" w:space="0" w:color="auto"/>
        <w:right w:val="none" w:sz="0" w:space="0" w:color="auto"/>
      </w:divBdr>
    </w:div>
    <w:div w:id="650183094">
      <w:bodyDiv w:val="1"/>
      <w:marLeft w:val="0"/>
      <w:marRight w:val="0"/>
      <w:marTop w:val="0"/>
      <w:marBottom w:val="0"/>
      <w:divBdr>
        <w:top w:val="none" w:sz="0" w:space="0" w:color="auto"/>
        <w:left w:val="none" w:sz="0" w:space="0" w:color="auto"/>
        <w:bottom w:val="none" w:sz="0" w:space="0" w:color="auto"/>
        <w:right w:val="none" w:sz="0" w:space="0" w:color="auto"/>
      </w:divBdr>
    </w:div>
    <w:div w:id="652949390">
      <w:bodyDiv w:val="1"/>
      <w:marLeft w:val="0"/>
      <w:marRight w:val="0"/>
      <w:marTop w:val="0"/>
      <w:marBottom w:val="0"/>
      <w:divBdr>
        <w:top w:val="none" w:sz="0" w:space="0" w:color="auto"/>
        <w:left w:val="none" w:sz="0" w:space="0" w:color="auto"/>
        <w:bottom w:val="none" w:sz="0" w:space="0" w:color="auto"/>
        <w:right w:val="none" w:sz="0" w:space="0" w:color="auto"/>
      </w:divBdr>
    </w:div>
    <w:div w:id="767435035">
      <w:bodyDiv w:val="1"/>
      <w:marLeft w:val="0"/>
      <w:marRight w:val="0"/>
      <w:marTop w:val="0"/>
      <w:marBottom w:val="0"/>
      <w:divBdr>
        <w:top w:val="none" w:sz="0" w:space="0" w:color="auto"/>
        <w:left w:val="none" w:sz="0" w:space="0" w:color="auto"/>
        <w:bottom w:val="none" w:sz="0" w:space="0" w:color="auto"/>
        <w:right w:val="none" w:sz="0" w:space="0" w:color="auto"/>
      </w:divBdr>
    </w:div>
    <w:div w:id="868840389">
      <w:bodyDiv w:val="1"/>
      <w:marLeft w:val="0"/>
      <w:marRight w:val="0"/>
      <w:marTop w:val="0"/>
      <w:marBottom w:val="0"/>
      <w:divBdr>
        <w:top w:val="none" w:sz="0" w:space="0" w:color="auto"/>
        <w:left w:val="none" w:sz="0" w:space="0" w:color="auto"/>
        <w:bottom w:val="none" w:sz="0" w:space="0" w:color="auto"/>
        <w:right w:val="none" w:sz="0" w:space="0" w:color="auto"/>
      </w:divBdr>
    </w:div>
    <w:div w:id="968785262">
      <w:bodyDiv w:val="1"/>
      <w:marLeft w:val="0"/>
      <w:marRight w:val="0"/>
      <w:marTop w:val="0"/>
      <w:marBottom w:val="0"/>
      <w:divBdr>
        <w:top w:val="none" w:sz="0" w:space="0" w:color="auto"/>
        <w:left w:val="none" w:sz="0" w:space="0" w:color="auto"/>
        <w:bottom w:val="none" w:sz="0" w:space="0" w:color="auto"/>
        <w:right w:val="none" w:sz="0" w:space="0" w:color="auto"/>
      </w:divBdr>
    </w:div>
    <w:div w:id="1048601382">
      <w:bodyDiv w:val="1"/>
      <w:marLeft w:val="0"/>
      <w:marRight w:val="0"/>
      <w:marTop w:val="0"/>
      <w:marBottom w:val="0"/>
      <w:divBdr>
        <w:top w:val="none" w:sz="0" w:space="0" w:color="auto"/>
        <w:left w:val="none" w:sz="0" w:space="0" w:color="auto"/>
        <w:bottom w:val="none" w:sz="0" w:space="0" w:color="auto"/>
        <w:right w:val="none" w:sz="0" w:space="0" w:color="auto"/>
      </w:divBdr>
    </w:div>
    <w:div w:id="1098984213">
      <w:bodyDiv w:val="1"/>
      <w:marLeft w:val="0"/>
      <w:marRight w:val="0"/>
      <w:marTop w:val="0"/>
      <w:marBottom w:val="0"/>
      <w:divBdr>
        <w:top w:val="none" w:sz="0" w:space="0" w:color="auto"/>
        <w:left w:val="none" w:sz="0" w:space="0" w:color="auto"/>
        <w:bottom w:val="none" w:sz="0" w:space="0" w:color="auto"/>
        <w:right w:val="none" w:sz="0" w:space="0" w:color="auto"/>
      </w:divBdr>
    </w:div>
    <w:div w:id="1176503617">
      <w:bodyDiv w:val="1"/>
      <w:marLeft w:val="0"/>
      <w:marRight w:val="0"/>
      <w:marTop w:val="0"/>
      <w:marBottom w:val="0"/>
      <w:divBdr>
        <w:top w:val="none" w:sz="0" w:space="0" w:color="auto"/>
        <w:left w:val="none" w:sz="0" w:space="0" w:color="auto"/>
        <w:bottom w:val="none" w:sz="0" w:space="0" w:color="auto"/>
        <w:right w:val="none" w:sz="0" w:space="0" w:color="auto"/>
      </w:divBdr>
    </w:div>
    <w:div w:id="1256355312">
      <w:bodyDiv w:val="1"/>
      <w:marLeft w:val="0"/>
      <w:marRight w:val="0"/>
      <w:marTop w:val="0"/>
      <w:marBottom w:val="0"/>
      <w:divBdr>
        <w:top w:val="none" w:sz="0" w:space="0" w:color="auto"/>
        <w:left w:val="none" w:sz="0" w:space="0" w:color="auto"/>
        <w:bottom w:val="none" w:sz="0" w:space="0" w:color="auto"/>
        <w:right w:val="none" w:sz="0" w:space="0" w:color="auto"/>
      </w:divBdr>
    </w:div>
    <w:div w:id="1334915962">
      <w:bodyDiv w:val="1"/>
      <w:marLeft w:val="0"/>
      <w:marRight w:val="0"/>
      <w:marTop w:val="0"/>
      <w:marBottom w:val="0"/>
      <w:divBdr>
        <w:top w:val="none" w:sz="0" w:space="0" w:color="auto"/>
        <w:left w:val="none" w:sz="0" w:space="0" w:color="auto"/>
        <w:bottom w:val="none" w:sz="0" w:space="0" w:color="auto"/>
        <w:right w:val="none" w:sz="0" w:space="0" w:color="auto"/>
      </w:divBdr>
    </w:div>
    <w:div w:id="1358001760">
      <w:bodyDiv w:val="1"/>
      <w:marLeft w:val="0"/>
      <w:marRight w:val="0"/>
      <w:marTop w:val="0"/>
      <w:marBottom w:val="0"/>
      <w:divBdr>
        <w:top w:val="none" w:sz="0" w:space="0" w:color="auto"/>
        <w:left w:val="none" w:sz="0" w:space="0" w:color="auto"/>
        <w:bottom w:val="none" w:sz="0" w:space="0" w:color="auto"/>
        <w:right w:val="none" w:sz="0" w:space="0" w:color="auto"/>
      </w:divBdr>
    </w:div>
    <w:div w:id="1360281804">
      <w:bodyDiv w:val="1"/>
      <w:marLeft w:val="0"/>
      <w:marRight w:val="0"/>
      <w:marTop w:val="0"/>
      <w:marBottom w:val="0"/>
      <w:divBdr>
        <w:top w:val="none" w:sz="0" w:space="0" w:color="auto"/>
        <w:left w:val="none" w:sz="0" w:space="0" w:color="auto"/>
        <w:bottom w:val="none" w:sz="0" w:space="0" w:color="auto"/>
        <w:right w:val="none" w:sz="0" w:space="0" w:color="auto"/>
      </w:divBdr>
    </w:div>
    <w:div w:id="1392580589">
      <w:bodyDiv w:val="1"/>
      <w:marLeft w:val="0"/>
      <w:marRight w:val="0"/>
      <w:marTop w:val="0"/>
      <w:marBottom w:val="0"/>
      <w:divBdr>
        <w:top w:val="none" w:sz="0" w:space="0" w:color="auto"/>
        <w:left w:val="none" w:sz="0" w:space="0" w:color="auto"/>
        <w:bottom w:val="none" w:sz="0" w:space="0" w:color="auto"/>
        <w:right w:val="none" w:sz="0" w:space="0" w:color="auto"/>
      </w:divBdr>
    </w:div>
    <w:div w:id="1416701819">
      <w:bodyDiv w:val="1"/>
      <w:marLeft w:val="0"/>
      <w:marRight w:val="0"/>
      <w:marTop w:val="0"/>
      <w:marBottom w:val="0"/>
      <w:divBdr>
        <w:top w:val="none" w:sz="0" w:space="0" w:color="auto"/>
        <w:left w:val="none" w:sz="0" w:space="0" w:color="auto"/>
        <w:bottom w:val="none" w:sz="0" w:space="0" w:color="auto"/>
        <w:right w:val="none" w:sz="0" w:space="0" w:color="auto"/>
      </w:divBdr>
    </w:div>
    <w:div w:id="1559046381">
      <w:bodyDiv w:val="1"/>
      <w:marLeft w:val="0"/>
      <w:marRight w:val="0"/>
      <w:marTop w:val="0"/>
      <w:marBottom w:val="0"/>
      <w:divBdr>
        <w:top w:val="none" w:sz="0" w:space="0" w:color="auto"/>
        <w:left w:val="none" w:sz="0" w:space="0" w:color="auto"/>
        <w:bottom w:val="none" w:sz="0" w:space="0" w:color="auto"/>
        <w:right w:val="none" w:sz="0" w:space="0" w:color="auto"/>
      </w:divBdr>
    </w:div>
    <w:div w:id="1573541905">
      <w:bodyDiv w:val="1"/>
      <w:marLeft w:val="0"/>
      <w:marRight w:val="0"/>
      <w:marTop w:val="0"/>
      <w:marBottom w:val="0"/>
      <w:divBdr>
        <w:top w:val="none" w:sz="0" w:space="0" w:color="auto"/>
        <w:left w:val="none" w:sz="0" w:space="0" w:color="auto"/>
        <w:bottom w:val="none" w:sz="0" w:space="0" w:color="auto"/>
        <w:right w:val="none" w:sz="0" w:space="0" w:color="auto"/>
      </w:divBdr>
    </w:div>
    <w:div w:id="1583831646">
      <w:bodyDiv w:val="1"/>
      <w:marLeft w:val="0"/>
      <w:marRight w:val="0"/>
      <w:marTop w:val="0"/>
      <w:marBottom w:val="0"/>
      <w:divBdr>
        <w:top w:val="none" w:sz="0" w:space="0" w:color="auto"/>
        <w:left w:val="none" w:sz="0" w:space="0" w:color="auto"/>
        <w:bottom w:val="none" w:sz="0" w:space="0" w:color="auto"/>
        <w:right w:val="none" w:sz="0" w:space="0" w:color="auto"/>
      </w:divBdr>
    </w:div>
    <w:div w:id="1595286191">
      <w:bodyDiv w:val="1"/>
      <w:marLeft w:val="0"/>
      <w:marRight w:val="0"/>
      <w:marTop w:val="0"/>
      <w:marBottom w:val="0"/>
      <w:divBdr>
        <w:top w:val="none" w:sz="0" w:space="0" w:color="auto"/>
        <w:left w:val="none" w:sz="0" w:space="0" w:color="auto"/>
        <w:bottom w:val="none" w:sz="0" w:space="0" w:color="auto"/>
        <w:right w:val="none" w:sz="0" w:space="0" w:color="auto"/>
      </w:divBdr>
    </w:div>
    <w:div w:id="1597517696">
      <w:bodyDiv w:val="1"/>
      <w:marLeft w:val="0"/>
      <w:marRight w:val="0"/>
      <w:marTop w:val="0"/>
      <w:marBottom w:val="0"/>
      <w:divBdr>
        <w:top w:val="none" w:sz="0" w:space="0" w:color="auto"/>
        <w:left w:val="none" w:sz="0" w:space="0" w:color="auto"/>
        <w:bottom w:val="none" w:sz="0" w:space="0" w:color="auto"/>
        <w:right w:val="none" w:sz="0" w:space="0" w:color="auto"/>
      </w:divBdr>
    </w:div>
    <w:div w:id="1650019295">
      <w:bodyDiv w:val="1"/>
      <w:marLeft w:val="0"/>
      <w:marRight w:val="0"/>
      <w:marTop w:val="0"/>
      <w:marBottom w:val="0"/>
      <w:divBdr>
        <w:top w:val="none" w:sz="0" w:space="0" w:color="auto"/>
        <w:left w:val="none" w:sz="0" w:space="0" w:color="auto"/>
        <w:bottom w:val="none" w:sz="0" w:space="0" w:color="auto"/>
        <w:right w:val="none" w:sz="0" w:space="0" w:color="auto"/>
      </w:divBdr>
    </w:div>
    <w:div w:id="1802571487">
      <w:bodyDiv w:val="1"/>
      <w:marLeft w:val="0"/>
      <w:marRight w:val="0"/>
      <w:marTop w:val="0"/>
      <w:marBottom w:val="0"/>
      <w:divBdr>
        <w:top w:val="none" w:sz="0" w:space="0" w:color="auto"/>
        <w:left w:val="none" w:sz="0" w:space="0" w:color="auto"/>
        <w:bottom w:val="none" w:sz="0" w:space="0" w:color="auto"/>
        <w:right w:val="none" w:sz="0" w:space="0" w:color="auto"/>
      </w:divBdr>
    </w:div>
    <w:div w:id="1822310888">
      <w:bodyDiv w:val="1"/>
      <w:marLeft w:val="0"/>
      <w:marRight w:val="0"/>
      <w:marTop w:val="0"/>
      <w:marBottom w:val="0"/>
      <w:divBdr>
        <w:top w:val="none" w:sz="0" w:space="0" w:color="auto"/>
        <w:left w:val="none" w:sz="0" w:space="0" w:color="auto"/>
        <w:bottom w:val="none" w:sz="0" w:space="0" w:color="auto"/>
        <w:right w:val="none" w:sz="0" w:space="0" w:color="auto"/>
      </w:divBdr>
    </w:div>
    <w:div w:id="1861358396">
      <w:bodyDiv w:val="1"/>
      <w:marLeft w:val="0"/>
      <w:marRight w:val="0"/>
      <w:marTop w:val="0"/>
      <w:marBottom w:val="0"/>
      <w:divBdr>
        <w:top w:val="none" w:sz="0" w:space="0" w:color="auto"/>
        <w:left w:val="none" w:sz="0" w:space="0" w:color="auto"/>
        <w:bottom w:val="none" w:sz="0" w:space="0" w:color="auto"/>
        <w:right w:val="none" w:sz="0" w:space="0" w:color="auto"/>
      </w:divBdr>
    </w:div>
    <w:div w:id="1911308573">
      <w:bodyDiv w:val="1"/>
      <w:marLeft w:val="0"/>
      <w:marRight w:val="0"/>
      <w:marTop w:val="0"/>
      <w:marBottom w:val="0"/>
      <w:divBdr>
        <w:top w:val="none" w:sz="0" w:space="0" w:color="auto"/>
        <w:left w:val="none" w:sz="0" w:space="0" w:color="auto"/>
        <w:bottom w:val="none" w:sz="0" w:space="0" w:color="auto"/>
        <w:right w:val="none" w:sz="0" w:space="0" w:color="auto"/>
      </w:divBdr>
    </w:div>
    <w:div w:id="1970628586">
      <w:bodyDiv w:val="1"/>
      <w:marLeft w:val="0"/>
      <w:marRight w:val="0"/>
      <w:marTop w:val="0"/>
      <w:marBottom w:val="0"/>
      <w:divBdr>
        <w:top w:val="none" w:sz="0" w:space="0" w:color="auto"/>
        <w:left w:val="none" w:sz="0" w:space="0" w:color="auto"/>
        <w:bottom w:val="none" w:sz="0" w:space="0" w:color="auto"/>
        <w:right w:val="none" w:sz="0" w:space="0" w:color="auto"/>
      </w:divBdr>
    </w:div>
    <w:div w:id="1986859828">
      <w:bodyDiv w:val="1"/>
      <w:marLeft w:val="0"/>
      <w:marRight w:val="0"/>
      <w:marTop w:val="0"/>
      <w:marBottom w:val="0"/>
      <w:divBdr>
        <w:top w:val="none" w:sz="0" w:space="0" w:color="auto"/>
        <w:left w:val="none" w:sz="0" w:space="0" w:color="auto"/>
        <w:bottom w:val="none" w:sz="0" w:space="0" w:color="auto"/>
        <w:right w:val="none" w:sz="0" w:space="0" w:color="auto"/>
      </w:divBdr>
    </w:div>
    <w:div w:id="2062904406">
      <w:bodyDiv w:val="1"/>
      <w:marLeft w:val="0"/>
      <w:marRight w:val="0"/>
      <w:marTop w:val="0"/>
      <w:marBottom w:val="0"/>
      <w:divBdr>
        <w:top w:val="none" w:sz="0" w:space="0" w:color="auto"/>
        <w:left w:val="none" w:sz="0" w:space="0" w:color="auto"/>
        <w:bottom w:val="none" w:sz="0" w:space="0" w:color="auto"/>
        <w:right w:val="none" w:sz="0" w:space="0" w:color="auto"/>
      </w:divBdr>
    </w:div>
    <w:div w:id="21262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ICD/JD/od&amp;classNum=60&amp;lang=s" TargetMode="External"/><Relationship Id="rId13" Type="http://schemas.openxmlformats.org/officeDocument/2006/relationships/hyperlink" Target="http://scm.oas.org/IDMS/Redirectpage.aspx?class=AICD/JD/INF.&amp;classNum=60&amp;lang=s" TargetMode="External"/><Relationship Id="rId18" Type="http://schemas.openxmlformats.org/officeDocument/2006/relationships/hyperlink" Target="http://scm.oas.org/IDMS/Redirectpage.aspx?class=AICD/JD/INF.&amp;classNum=60&amp;lang=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m.oas.org/IDMS/Redirectpage.aspx?class=AICD/JD/INF.&amp;classNum=62&amp;lang=e" TargetMode="External"/><Relationship Id="rId17" Type="http://schemas.openxmlformats.org/officeDocument/2006/relationships/hyperlink" Target="http://scm.oas.org/IDMS/Redirectpage.aspx?class=AICD/JD/INF.&amp;classNum=60&amp;lang=s"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99&amp;lang=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AICD/JD%20XX.2.18/doc.&amp;classNum=175&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99&amp;lang=s" TargetMode="External"/><Relationship Id="rId23" Type="http://schemas.openxmlformats.org/officeDocument/2006/relationships/theme" Target="theme/theme1.xml"/><Relationship Id="rId10" Type="http://schemas.openxmlformats.org/officeDocument/2006/relationships/hyperlink" Target="http://scm.oas.org/IDMS/Redirectpage.aspx?class=AICD/JD%20XX.2.18/doc.&amp;classNum=175&amp;lang=s" TargetMode="External"/><Relationship Id="rId19" Type="http://schemas.openxmlformats.org/officeDocument/2006/relationships/hyperlink" Target="http://scm.oas.org/IDMS/Redirectpage.aspx?class=AICD/JD/INF&amp;classNum=64&amp;lang=e" TargetMode="External"/><Relationship Id="rId4" Type="http://schemas.openxmlformats.org/officeDocument/2006/relationships/settings" Target="settings.xml"/><Relationship Id="rId9" Type="http://schemas.openxmlformats.org/officeDocument/2006/relationships/hyperlink" Target="http://scm.oas.org/IDMS/Redirectpage.aspx?class=AICD/JD/od&amp;classNum=60&amp;lang=e" TargetMode="External"/><Relationship Id="rId14" Type="http://schemas.openxmlformats.org/officeDocument/2006/relationships/hyperlink" Target="http://scm.oas.org/IDMS/Redirectpage.aspx?class=AICD/JD/INF.&amp;classNum=60&amp;lang=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DFCB-A003-4817-B147-14B651FD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12917</CharactersWithSpaces>
  <SharedDoc>false</SharedDoc>
  <HLinks>
    <vt:vector size="78" baseType="variant">
      <vt:variant>
        <vt:i4>7340145</vt:i4>
      </vt:variant>
      <vt:variant>
        <vt:i4>36</vt:i4>
      </vt:variant>
      <vt:variant>
        <vt:i4>0</vt:i4>
      </vt:variant>
      <vt:variant>
        <vt:i4>5</vt:i4>
      </vt:variant>
      <vt:variant>
        <vt:lpwstr>http://scm.oas.org/IDMS/Redirectpage.aspx?class=AICD/JD/INF&amp;classNum=64&amp;lang=e</vt:lpwstr>
      </vt:variant>
      <vt:variant>
        <vt:lpwstr/>
      </vt:variant>
      <vt:variant>
        <vt:i4>6684785</vt:i4>
      </vt:variant>
      <vt:variant>
        <vt:i4>33</vt:i4>
      </vt:variant>
      <vt:variant>
        <vt:i4>0</vt:i4>
      </vt:variant>
      <vt:variant>
        <vt:i4>5</vt:i4>
      </vt:variant>
      <vt:variant>
        <vt:lpwstr>http://scm.oas.org/IDMS/Redirectpage.aspx?class=AICD/JD/INF&amp;classNum=64&amp;lang=s</vt:lpwstr>
      </vt:variant>
      <vt:variant>
        <vt:lpwstr/>
      </vt:variant>
      <vt:variant>
        <vt:i4>2162799</vt:i4>
      </vt:variant>
      <vt:variant>
        <vt:i4>30</vt:i4>
      </vt:variant>
      <vt:variant>
        <vt:i4>0</vt:i4>
      </vt:variant>
      <vt:variant>
        <vt:i4>5</vt:i4>
      </vt:variant>
      <vt:variant>
        <vt:lpwstr>http://scm.oas.org/IDMS/Redirectpage.aspx?class=AICD/JD/INF.&amp;classNum=60&amp;lang=e</vt:lpwstr>
      </vt:variant>
      <vt:variant>
        <vt:lpwstr/>
      </vt:variant>
      <vt:variant>
        <vt:i4>2162799</vt:i4>
      </vt:variant>
      <vt:variant>
        <vt:i4>27</vt:i4>
      </vt:variant>
      <vt:variant>
        <vt:i4>0</vt:i4>
      </vt:variant>
      <vt:variant>
        <vt:i4>5</vt:i4>
      </vt:variant>
      <vt:variant>
        <vt:lpwstr>http://scm.oas.org/IDMS/Redirectpage.aspx?class=AICD/JD/INF.&amp;classNum=60&amp;lang=s</vt:lpwstr>
      </vt:variant>
      <vt:variant>
        <vt:lpwstr/>
      </vt:variant>
      <vt:variant>
        <vt:i4>6160467</vt:i4>
      </vt:variant>
      <vt:variant>
        <vt:i4>24</vt:i4>
      </vt:variant>
      <vt:variant>
        <vt:i4>0</vt:i4>
      </vt:variant>
      <vt:variant>
        <vt:i4>5</vt:i4>
      </vt:variant>
      <vt:variant>
        <vt:lpwstr>http://scm.oas.org/IDMS/Redirectpage.aspx?class=cidi/doc.&amp;classNum=99&amp;lang=e</vt:lpwstr>
      </vt:variant>
      <vt:variant>
        <vt:lpwstr/>
      </vt:variant>
      <vt:variant>
        <vt:i4>4718675</vt:i4>
      </vt:variant>
      <vt:variant>
        <vt:i4>21</vt:i4>
      </vt:variant>
      <vt:variant>
        <vt:i4>0</vt:i4>
      </vt:variant>
      <vt:variant>
        <vt:i4>5</vt:i4>
      </vt:variant>
      <vt:variant>
        <vt:lpwstr>http://scm.oas.org/IDMS/Redirectpage.aspx?class=cidi/doc.&amp;classNum=99&amp;lang=s</vt:lpwstr>
      </vt:variant>
      <vt:variant>
        <vt:lpwstr/>
      </vt:variant>
      <vt:variant>
        <vt:i4>2162799</vt:i4>
      </vt:variant>
      <vt:variant>
        <vt:i4>18</vt:i4>
      </vt:variant>
      <vt:variant>
        <vt:i4>0</vt:i4>
      </vt:variant>
      <vt:variant>
        <vt:i4>5</vt:i4>
      </vt:variant>
      <vt:variant>
        <vt:lpwstr>http://scm.oas.org/IDMS/Redirectpage.aspx?class=AICD/JD/INF.&amp;classNum=60&amp;lang=e</vt:lpwstr>
      </vt:variant>
      <vt:variant>
        <vt:lpwstr/>
      </vt:variant>
      <vt:variant>
        <vt:i4>2162799</vt:i4>
      </vt:variant>
      <vt:variant>
        <vt:i4>15</vt:i4>
      </vt:variant>
      <vt:variant>
        <vt:i4>0</vt:i4>
      </vt:variant>
      <vt:variant>
        <vt:i4>5</vt:i4>
      </vt:variant>
      <vt:variant>
        <vt:lpwstr>http://scm.oas.org/IDMS/Redirectpage.aspx?class=AICD/JD/INF.&amp;classNum=60&amp;lang=s</vt:lpwstr>
      </vt:variant>
      <vt:variant>
        <vt:lpwstr/>
      </vt:variant>
      <vt:variant>
        <vt:i4>2293871</vt:i4>
      </vt:variant>
      <vt:variant>
        <vt:i4>12</vt:i4>
      </vt:variant>
      <vt:variant>
        <vt:i4>0</vt:i4>
      </vt:variant>
      <vt:variant>
        <vt:i4>5</vt:i4>
      </vt:variant>
      <vt:variant>
        <vt:lpwstr>http://scm.oas.org/IDMS/Redirectpage.aspx?class=AICD/JD/INF.&amp;classNum=62&amp;lang=e</vt:lpwstr>
      </vt:variant>
      <vt:variant>
        <vt:lpwstr/>
      </vt:variant>
      <vt:variant>
        <vt:i4>3342392</vt:i4>
      </vt:variant>
      <vt:variant>
        <vt:i4>9</vt:i4>
      </vt:variant>
      <vt:variant>
        <vt:i4>0</vt:i4>
      </vt:variant>
      <vt:variant>
        <vt:i4>5</vt:i4>
      </vt:variant>
      <vt:variant>
        <vt:lpwstr>http://scm.oas.org/IDMS/Redirectpage.aspx?class=AICD/JD%20XX.2.18/doc.&amp;classNum=175&amp;lang=e</vt:lpwstr>
      </vt:variant>
      <vt:variant>
        <vt:lpwstr/>
      </vt:variant>
      <vt:variant>
        <vt:i4>2424888</vt:i4>
      </vt:variant>
      <vt:variant>
        <vt:i4>6</vt:i4>
      </vt:variant>
      <vt:variant>
        <vt:i4>0</vt:i4>
      </vt:variant>
      <vt:variant>
        <vt:i4>5</vt:i4>
      </vt:variant>
      <vt:variant>
        <vt:lpwstr>http://scm.oas.org/IDMS/Redirectpage.aspx?class=AICD/JD%20XX.2.18/doc.&amp;classNum=175&amp;lang=s</vt:lpwstr>
      </vt:variant>
      <vt:variant>
        <vt:lpwstr/>
      </vt:variant>
      <vt:variant>
        <vt:i4>327695</vt:i4>
      </vt:variant>
      <vt:variant>
        <vt:i4>3</vt:i4>
      </vt:variant>
      <vt:variant>
        <vt:i4>0</vt:i4>
      </vt:variant>
      <vt:variant>
        <vt:i4>5</vt:i4>
      </vt:variant>
      <vt:variant>
        <vt:lpwstr>http://scm.oas.org/IDMS/Redirectpage.aspx?class=AICD/JD/od&amp;classNum=60&amp;lang=e</vt:lpwstr>
      </vt:variant>
      <vt:variant>
        <vt:lpwstr/>
      </vt:variant>
      <vt:variant>
        <vt:i4>327695</vt:i4>
      </vt:variant>
      <vt:variant>
        <vt:i4>0</vt:i4>
      </vt:variant>
      <vt:variant>
        <vt:i4>0</vt:i4>
      </vt:variant>
      <vt:variant>
        <vt:i4>5</vt:i4>
      </vt:variant>
      <vt:variant>
        <vt:lpwstr>http://scm.oas.org/IDMS/Redirectpage.aspx?class=AICD/JD/od&amp;classNum=60&amp;lang=s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Diaz-Avalos</dc:creator>
  <cp:keywords/>
  <cp:lastModifiedBy>Diaz - Avalos,  Estela</cp:lastModifiedBy>
  <cp:revision>2</cp:revision>
  <cp:lastPrinted>2016-10-17T20:11:00Z</cp:lastPrinted>
  <dcterms:created xsi:type="dcterms:W3CDTF">2020-05-01T04:19:00Z</dcterms:created>
  <dcterms:modified xsi:type="dcterms:W3CDTF">2020-05-01T04:19:00Z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UFAAhWon0ndq8EzTftXC3UZCWgTCUiH3wPwgi0AzbErQ4OY7qzcqwt9vue/AJKTgx1t6V1fZYCp5JlAI_x000d_
5JFGEFAC4Ki2Yw0/MTiZAT/kmkG626/FqB3gIbfx+gh/+CCAAcBDZ/lbaWohzBnG+TiIlziMV+k0_x000d_
F0DsTnqD3hXPHmf4Rfuvn6fk3COEXPtNOHx9SQylRPtFxS+w8YM/MTmJFZewCtt4FEUbC8Suc4rn_x000d_
KUw0ITwPkitRJjo3W</vt:lpwstr>
  </property>
  <property fmtid="{D5CDD505-2E9C-101B-9397-08002B2CF9AE}" pid="3" name="MAIL_MSG_ID2">
    <vt:lpwstr>OTQ4OcFF0O3vOpEoY33bLlNZ1U/oFbVLZLvb2CGDwgkthTFuUcTGDTFERkp_x000d_
TFkUqmcmokxaR2vuh8CL8XonvNM=</vt:lpwstr>
  </property>
  <property fmtid="{D5CDD505-2E9C-101B-9397-08002B2CF9AE}" pid="4" name="RESPONSE_SENDER_NAME">
    <vt:lpwstr>sAAA4E8dREqJqIoYVO7W0BwIOSDDCJO7VXUk6QBWjHbMZwE=</vt:lpwstr>
  </property>
  <property fmtid="{D5CDD505-2E9C-101B-9397-08002B2CF9AE}" pid="5" name="EMAIL_OWNER_ADDRESS">
    <vt:lpwstr>sAAA2RgG6J6jCJ0dr7vtji6sItv2MyXh+TfbeI4+Yf+g7iU=</vt:lpwstr>
  </property>
</Properties>
</file>