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sidRPr="00B57B08">
        <w:rPr>
          <w:rFonts w:eastAsia="MS PGothic"/>
          <w:b/>
          <w:bCs/>
          <w:noProof/>
          <w:color w:val="000000" w:themeColor="text1"/>
          <w:kern w:val="24"/>
          <w:sz w:val="22"/>
          <w:szCs w:val="22"/>
        </w:rPr>
        <w:drawing>
          <wp:anchor distT="0" distB="0" distL="114300" distR="114300" simplePos="0" relativeHeight="251659264" behindDoc="0" locked="0" layoutInCell="1" allowOverlap="1" wp14:anchorId="13059C4F" wp14:editId="594A2BD5">
            <wp:simplePos x="0" y="0"/>
            <wp:positionH relativeFrom="column">
              <wp:posOffset>304800</wp:posOffset>
            </wp:positionH>
            <wp:positionV relativeFrom="paragraph">
              <wp:posOffset>9525</wp:posOffset>
            </wp:positionV>
            <wp:extent cx="975360" cy="923925"/>
            <wp:effectExtent l="0" t="0" r="0" b="9525"/>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5E0" w:rsidRPr="00B57B08" w:rsidRDefault="005D65E0" w:rsidP="005D65E0">
      <w:pPr>
        <w:autoSpaceDE w:val="0"/>
        <w:autoSpaceDN w:val="0"/>
        <w:adjustRightInd w:val="0"/>
        <w:ind w:right="-360"/>
        <w:rPr>
          <w:rFonts w:eastAsia="MS PGothic"/>
          <w:b/>
          <w:bCs/>
          <w:color w:val="000000" w:themeColor="text1"/>
          <w:kern w:val="24"/>
          <w:sz w:val="22"/>
          <w:szCs w:val="22"/>
          <w:lang w:val="fr-CA"/>
        </w:rPr>
      </w:pPr>
      <w:r w:rsidRPr="00B57B08">
        <w:rPr>
          <w:rFonts w:ascii="News Gothic MT" w:hAnsi="News Gothic MT"/>
          <w:noProof/>
          <w:color w:val="000000"/>
        </w:rPr>
        <w:drawing>
          <wp:anchor distT="0" distB="0" distL="114300" distR="114300" simplePos="0" relativeHeight="251661312" behindDoc="0" locked="0" layoutInCell="1" allowOverlap="1" wp14:anchorId="0D807FDF" wp14:editId="15B63A4C">
            <wp:simplePos x="6438900" y="1095375"/>
            <wp:positionH relativeFrom="column">
              <wp:align>right</wp:align>
            </wp:positionH>
            <wp:positionV relativeFrom="paragraph">
              <wp:align>top</wp:align>
            </wp:positionV>
            <wp:extent cx="1104900" cy="771525"/>
            <wp:effectExtent l="0" t="0" r="0" b="9525"/>
            <wp:wrapSquare wrapText="bothSides"/>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anchor>
        </w:drawing>
      </w:r>
    </w:p>
    <w:p w:rsidR="005D65E0" w:rsidRPr="00B57B08" w:rsidRDefault="005D65E0" w:rsidP="005D65E0">
      <w:pPr>
        <w:autoSpaceDE w:val="0"/>
        <w:autoSpaceDN w:val="0"/>
        <w:adjustRightInd w:val="0"/>
        <w:ind w:right="-360"/>
        <w:rPr>
          <w:rFonts w:eastAsia="MS PGothic"/>
          <w:b/>
          <w:bCs/>
          <w:color w:val="000000" w:themeColor="text1"/>
          <w:kern w:val="24"/>
          <w:sz w:val="22"/>
          <w:szCs w:val="22"/>
          <w:lang w:val="fr-CA"/>
        </w:rPr>
      </w:pPr>
      <w:r w:rsidRPr="00B57B08">
        <w:rPr>
          <w:rFonts w:eastAsia="MS PGothic"/>
          <w:b/>
          <w:bCs/>
          <w:noProof/>
          <w:color w:val="000000" w:themeColor="text1"/>
          <w:kern w:val="24"/>
          <w:sz w:val="22"/>
          <w:szCs w:val="22"/>
        </w:rPr>
        <mc:AlternateContent>
          <mc:Choice Requires="wps">
            <w:drawing>
              <wp:anchor distT="0" distB="0" distL="114300" distR="114300" simplePos="0" relativeHeight="251660288" behindDoc="0" locked="0" layoutInCell="1" allowOverlap="1" wp14:anchorId="0AE73680" wp14:editId="63228B83">
                <wp:simplePos x="0" y="0"/>
                <wp:positionH relativeFrom="column">
                  <wp:posOffset>1280160</wp:posOffset>
                </wp:positionH>
                <wp:positionV relativeFrom="paragraph">
                  <wp:posOffset>78740</wp:posOffset>
                </wp:positionV>
                <wp:extent cx="4320540" cy="664334"/>
                <wp:effectExtent l="0" t="0" r="381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64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5E0" w:rsidRPr="00B57B08" w:rsidRDefault="005D65E0" w:rsidP="005D65E0">
                            <w:pPr>
                              <w:pStyle w:val="Header"/>
                              <w:tabs>
                                <w:tab w:val="left" w:pos="900"/>
                              </w:tabs>
                              <w:spacing w:line="240" w:lineRule="atLeast"/>
                              <w:jc w:val="center"/>
                              <w:rPr>
                                <w:rFonts w:ascii="Garamond" w:hAnsi="Garamond"/>
                                <w:b/>
                                <w:sz w:val="28"/>
                                <w:lang w:val="fr-CA"/>
                              </w:rPr>
                            </w:pPr>
                            <w:r>
                              <w:rPr>
                                <w:rFonts w:ascii="Garamond" w:hAnsi="Garamond"/>
                                <w:b/>
                                <w:sz w:val="28"/>
                                <w:lang w:val="fr-CA"/>
                              </w:rPr>
                              <w:t>ORGANIS</w:t>
                            </w:r>
                            <w:r w:rsidRPr="00B57B08">
                              <w:rPr>
                                <w:rFonts w:ascii="Garamond" w:hAnsi="Garamond"/>
                                <w:b/>
                                <w:sz w:val="28"/>
                                <w:lang w:val="fr-CA"/>
                              </w:rPr>
                              <w:t xml:space="preserve">ATION </w:t>
                            </w:r>
                            <w:r>
                              <w:rPr>
                                <w:rFonts w:ascii="Garamond" w:hAnsi="Garamond"/>
                                <w:b/>
                                <w:sz w:val="28"/>
                                <w:lang w:val="fr-CA"/>
                              </w:rPr>
                              <w:t>DES ÉTATS AMÉRICAINS</w:t>
                            </w:r>
                          </w:p>
                          <w:p w:rsidR="005D65E0" w:rsidRPr="00B57B08" w:rsidRDefault="005D65E0" w:rsidP="005D65E0">
                            <w:pPr>
                              <w:pStyle w:val="Header"/>
                              <w:tabs>
                                <w:tab w:val="left" w:pos="900"/>
                              </w:tabs>
                              <w:spacing w:line="240" w:lineRule="atLeast"/>
                              <w:jc w:val="center"/>
                              <w:rPr>
                                <w:rFonts w:ascii="Garamond" w:hAnsi="Garamond"/>
                                <w:b/>
                                <w:sz w:val="22"/>
                                <w:szCs w:val="22"/>
                                <w:lang w:val="fr-CA"/>
                              </w:rPr>
                            </w:pPr>
                            <w:r>
                              <w:rPr>
                                <w:rFonts w:ascii="Garamond" w:hAnsi="Garamond"/>
                                <w:b/>
                                <w:sz w:val="22"/>
                                <w:lang w:val="fr-CA"/>
                              </w:rPr>
                              <w:t>Conseil interaméricain pour le développement intégré</w:t>
                            </w:r>
                          </w:p>
                          <w:p w:rsidR="005D65E0" w:rsidRPr="00B57B08" w:rsidRDefault="005D65E0" w:rsidP="005D65E0">
                            <w:pPr>
                              <w:pStyle w:val="Header"/>
                              <w:tabs>
                                <w:tab w:val="left" w:pos="900"/>
                              </w:tabs>
                              <w:spacing w:line="240" w:lineRule="atLeast"/>
                              <w:jc w:val="center"/>
                              <w:rPr>
                                <w:b/>
                                <w:sz w:val="22"/>
                                <w:szCs w:val="22"/>
                                <w:lang w:val="fr-CA"/>
                              </w:rPr>
                            </w:pPr>
                            <w:r w:rsidRPr="00B57B08">
                              <w:rPr>
                                <w:rFonts w:ascii="Garamond" w:hAnsi="Garamond"/>
                                <w:b/>
                                <w:sz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E73680" id="_x0000_t202" coordsize="21600,21600" o:spt="202" path="m,l,21600r21600,l21600,xe">
                <v:stroke joinstyle="miter"/>
                <v:path gradientshapeok="t" o:connecttype="rect"/>
              </v:shapetype>
              <v:shape id="Text Box 8" o:spid="_x0000_s1026" type="#_x0000_t202" style="position:absolute;margin-left:100.8pt;margin-top:6.2pt;width:340.2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" stroked="f">
                <v:textbox>
                  <w:txbxContent>
                    <w:p w:rsidR="005D65E0" w:rsidRPr="00B57B08" w:rsidRDefault="005D65E0" w:rsidP="005D65E0">
                      <w:pPr>
                        <w:pStyle w:val="Header"/>
                        <w:tabs>
                          <w:tab w:val="left" w:pos="900"/>
                        </w:tabs>
                        <w:spacing w:line="240" w:lineRule="atLeast"/>
                        <w:jc w:val="center"/>
                        <w:rPr>
                          <w:rFonts w:ascii="Garamond" w:hAnsi="Garamond"/>
                          <w:b/>
                          <w:sz w:val="28"/>
                          <w:lang w:val="fr-CA"/>
                        </w:rPr>
                      </w:pPr>
                      <w:r>
                        <w:rPr>
                          <w:rFonts w:ascii="Garamond" w:hAnsi="Garamond"/>
                          <w:b/>
                          <w:sz w:val="28"/>
                          <w:lang w:val="fr-CA"/>
                        </w:rPr>
                        <w:t>ORGANIS</w:t>
                      </w:r>
                      <w:r w:rsidRPr="00B57B08">
                        <w:rPr>
                          <w:rFonts w:ascii="Garamond" w:hAnsi="Garamond"/>
                          <w:b/>
                          <w:sz w:val="28"/>
                          <w:lang w:val="fr-CA"/>
                        </w:rPr>
                        <w:t xml:space="preserve">ATION </w:t>
                      </w:r>
                      <w:r>
                        <w:rPr>
                          <w:rFonts w:ascii="Garamond" w:hAnsi="Garamond"/>
                          <w:b/>
                          <w:sz w:val="28"/>
                          <w:lang w:val="fr-CA"/>
                        </w:rPr>
                        <w:t>DES ÉTATS AMÉRICAINS</w:t>
                      </w:r>
                    </w:p>
                    <w:p w:rsidR="005D65E0" w:rsidRPr="00B57B08" w:rsidRDefault="005D65E0" w:rsidP="005D65E0">
                      <w:pPr>
                        <w:pStyle w:val="Header"/>
                        <w:tabs>
                          <w:tab w:val="left" w:pos="900"/>
                        </w:tabs>
                        <w:spacing w:line="240" w:lineRule="atLeast"/>
                        <w:jc w:val="center"/>
                        <w:rPr>
                          <w:rFonts w:ascii="Garamond" w:hAnsi="Garamond"/>
                          <w:b/>
                          <w:sz w:val="22"/>
                          <w:szCs w:val="22"/>
                          <w:lang w:val="fr-CA"/>
                        </w:rPr>
                      </w:pPr>
                      <w:r>
                        <w:rPr>
                          <w:rFonts w:ascii="Garamond" w:hAnsi="Garamond"/>
                          <w:b/>
                          <w:sz w:val="22"/>
                          <w:lang w:val="fr-CA"/>
                        </w:rPr>
                        <w:t>Conseil interaméricain pour le développement intégré</w:t>
                      </w:r>
                    </w:p>
                    <w:p w:rsidR="005D65E0" w:rsidRPr="00B57B08" w:rsidRDefault="005D65E0" w:rsidP="005D65E0">
                      <w:pPr>
                        <w:pStyle w:val="Header"/>
                        <w:tabs>
                          <w:tab w:val="left" w:pos="900"/>
                        </w:tabs>
                        <w:spacing w:line="240" w:lineRule="atLeast"/>
                        <w:jc w:val="center"/>
                        <w:rPr>
                          <w:b/>
                          <w:sz w:val="22"/>
                          <w:szCs w:val="22"/>
                          <w:lang w:val="fr-CA"/>
                        </w:rPr>
                      </w:pPr>
                      <w:r w:rsidRPr="00B57B08">
                        <w:rPr>
                          <w:rFonts w:ascii="Garamond" w:hAnsi="Garamond"/>
                          <w:b/>
                          <w:sz w:val="22"/>
                          <w:lang w:val="fr-CA"/>
                        </w:rPr>
                        <w:t>(CIDI)</w:t>
                      </w:r>
                    </w:p>
                  </w:txbxContent>
                </v:textbox>
              </v:shape>
            </w:pict>
          </mc:Fallback>
        </mc:AlternateContent>
      </w:r>
    </w:p>
    <w:p w:rsidR="005D65E0" w:rsidRPr="00B57B08" w:rsidRDefault="005D65E0" w:rsidP="005D65E0">
      <w:pPr>
        <w:autoSpaceDE w:val="0"/>
        <w:autoSpaceDN w:val="0"/>
        <w:adjustRightInd w:val="0"/>
        <w:ind w:right="-360"/>
        <w:rPr>
          <w:rFonts w:eastAsia="MS PGothic"/>
          <w:b/>
          <w:bCs/>
          <w:color w:val="000000" w:themeColor="text1"/>
          <w:kern w:val="24"/>
          <w:sz w:val="22"/>
          <w:szCs w:val="22"/>
          <w:lang w:val="fr-CA"/>
        </w:rPr>
      </w:pPr>
      <w:r w:rsidRPr="00B57B08">
        <w:rPr>
          <w:rFonts w:eastAsia="MS PGothic"/>
          <w:b/>
          <w:bCs/>
          <w:color w:val="000000" w:themeColor="text1"/>
          <w:kern w:val="24"/>
          <w:sz w:val="22"/>
          <w:szCs w:val="22"/>
          <w:lang w:val="fr-CA"/>
        </w:rPr>
        <w:br w:type="textWrapping" w:clear="all"/>
      </w: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5C1AAB" w:rsidRDefault="005D65E0" w:rsidP="005D65E0">
      <w:pPr>
        <w:autoSpaceDE w:val="0"/>
        <w:autoSpaceDN w:val="0"/>
        <w:adjustRightInd w:val="0"/>
        <w:ind w:left="7920" w:firstLine="720"/>
        <w:rPr>
          <w:rFonts w:eastAsia="MS PGothic"/>
          <w:bCs/>
          <w:color w:val="000000" w:themeColor="text1"/>
          <w:kern w:val="24"/>
          <w:sz w:val="22"/>
          <w:szCs w:val="22"/>
          <w:lang w:val="pt-BR"/>
        </w:rPr>
      </w:pPr>
      <w:r w:rsidRPr="005C1AAB">
        <w:rPr>
          <w:rFonts w:eastAsia="MS PGothic"/>
          <w:bCs/>
          <w:color w:val="000000" w:themeColor="text1"/>
          <w:kern w:val="24"/>
          <w:sz w:val="22"/>
          <w:szCs w:val="22"/>
          <w:lang w:val="pt-BR"/>
        </w:rPr>
        <w:t>OEA/Ser.W</w:t>
      </w:r>
    </w:p>
    <w:p w:rsidR="005D65E0" w:rsidRPr="005C1AAB" w:rsidRDefault="005D65E0" w:rsidP="005D65E0">
      <w:pPr>
        <w:autoSpaceDE w:val="0"/>
        <w:autoSpaceDN w:val="0"/>
        <w:adjustRightInd w:val="0"/>
        <w:ind w:left="7920" w:firstLine="720"/>
        <w:rPr>
          <w:rFonts w:eastAsia="MS PGothic"/>
          <w:bCs/>
          <w:color w:val="000000" w:themeColor="text1"/>
          <w:kern w:val="24"/>
          <w:sz w:val="22"/>
          <w:szCs w:val="22"/>
          <w:lang w:val="pt-BR"/>
        </w:rPr>
      </w:pPr>
      <w:r w:rsidRPr="005C1AAB">
        <w:rPr>
          <w:rFonts w:eastAsia="MS PGothic"/>
          <w:bCs/>
          <w:color w:val="000000" w:themeColor="text1"/>
          <w:kern w:val="24"/>
          <w:sz w:val="22"/>
          <w:szCs w:val="22"/>
          <w:lang w:val="pt-BR"/>
        </w:rPr>
        <w:t>CIDI/doc.290/20</w:t>
      </w:r>
    </w:p>
    <w:p w:rsidR="005D65E0" w:rsidRPr="00B57B08" w:rsidRDefault="005D65E0" w:rsidP="005D65E0">
      <w:pPr>
        <w:autoSpaceDE w:val="0"/>
        <w:autoSpaceDN w:val="0"/>
        <w:adjustRightInd w:val="0"/>
        <w:ind w:left="7920" w:firstLine="720"/>
        <w:rPr>
          <w:rFonts w:eastAsia="MS PGothic"/>
          <w:bCs/>
          <w:color w:val="000000" w:themeColor="text1"/>
          <w:kern w:val="24"/>
          <w:sz w:val="22"/>
          <w:szCs w:val="22"/>
          <w:lang w:val="fr-CA"/>
        </w:rPr>
      </w:pPr>
      <w:r w:rsidRPr="00B57B08">
        <w:rPr>
          <w:rFonts w:eastAsia="MS PGothic"/>
          <w:bCs/>
          <w:color w:val="000000" w:themeColor="text1"/>
          <w:kern w:val="24"/>
          <w:sz w:val="22"/>
          <w:szCs w:val="22"/>
          <w:lang w:val="fr-CA"/>
        </w:rPr>
        <w:t xml:space="preserve">8 </w:t>
      </w:r>
      <w:r>
        <w:rPr>
          <w:rFonts w:eastAsia="MS PGothic"/>
          <w:bCs/>
          <w:color w:val="000000" w:themeColor="text1"/>
          <w:kern w:val="24"/>
          <w:sz w:val="22"/>
          <w:szCs w:val="22"/>
          <w:lang w:val="fr-CA"/>
        </w:rPr>
        <w:t>mai</w:t>
      </w:r>
      <w:r w:rsidRPr="00B57B08">
        <w:rPr>
          <w:rFonts w:eastAsia="MS PGothic"/>
          <w:bCs/>
          <w:color w:val="000000" w:themeColor="text1"/>
          <w:kern w:val="24"/>
          <w:sz w:val="22"/>
          <w:szCs w:val="22"/>
          <w:lang w:val="fr-CA"/>
        </w:rPr>
        <w:t xml:space="preserve"> 2020</w:t>
      </w:r>
    </w:p>
    <w:p w:rsidR="005D65E0" w:rsidRPr="00B57B08" w:rsidRDefault="005D65E0" w:rsidP="005D65E0">
      <w:pPr>
        <w:autoSpaceDE w:val="0"/>
        <w:autoSpaceDN w:val="0"/>
        <w:adjustRightInd w:val="0"/>
        <w:ind w:left="7920" w:firstLine="720"/>
        <w:rPr>
          <w:rFonts w:eastAsia="MS PGothic"/>
          <w:bCs/>
          <w:color w:val="000000" w:themeColor="text1"/>
          <w:kern w:val="24"/>
          <w:sz w:val="22"/>
          <w:szCs w:val="22"/>
          <w:lang w:val="fr-CA"/>
        </w:rPr>
      </w:pPr>
      <w:r w:rsidRPr="00B57B08">
        <w:rPr>
          <w:rFonts w:eastAsia="MS PGothic"/>
          <w:bCs/>
          <w:color w:val="000000" w:themeColor="text1"/>
          <w:kern w:val="24"/>
          <w:sz w:val="22"/>
          <w:szCs w:val="22"/>
          <w:lang w:val="fr-CA"/>
        </w:rPr>
        <w:t xml:space="preserve">Original: </w:t>
      </w:r>
      <w:r>
        <w:rPr>
          <w:rFonts w:eastAsia="MS PGothic"/>
          <w:bCs/>
          <w:color w:val="000000" w:themeColor="text1"/>
          <w:kern w:val="24"/>
          <w:sz w:val="22"/>
          <w:szCs w:val="22"/>
          <w:lang w:val="fr-CA"/>
        </w:rPr>
        <w:t>anglais</w:t>
      </w: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Default="005D65E0" w:rsidP="005D65E0">
      <w:pPr>
        <w:autoSpaceDE w:val="0"/>
        <w:autoSpaceDN w:val="0"/>
        <w:adjustRightInd w:val="0"/>
        <w:jc w:val="center"/>
        <w:rPr>
          <w:rFonts w:eastAsia="MS PGothic"/>
          <w:b/>
          <w:bCs/>
          <w:color w:val="000000" w:themeColor="text1"/>
          <w:kern w:val="24"/>
          <w:sz w:val="22"/>
          <w:szCs w:val="22"/>
          <w:lang w:val="fr-CA"/>
        </w:rPr>
      </w:pPr>
    </w:p>
    <w:p w:rsidR="005C1AAB" w:rsidRDefault="005C1AAB" w:rsidP="005D65E0">
      <w:pPr>
        <w:autoSpaceDE w:val="0"/>
        <w:autoSpaceDN w:val="0"/>
        <w:adjustRightInd w:val="0"/>
        <w:jc w:val="center"/>
        <w:rPr>
          <w:rFonts w:eastAsia="MS PGothic"/>
          <w:b/>
          <w:bCs/>
          <w:color w:val="000000" w:themeColor="text1"/>
          <w:kern w:val="24"/>
          <w:sz w:val="22"/>
          <w:szCs w:val="22"/>
          <w:lang w:val="fr-CA"/>
        </w:rPr>
      </w:pPr>
    </w:p>
    <w:p w:rsidR="005C1AAB" w:rsidRDefault="005C1AAB" w:rsidP="005D65E0">
      <w:pPr>
        <w:autoSpaceDE w:val="0"/>
        <w:autoSpaceDN w:val="0"/>
        <w:adjustRightInd w:val="0"/>
        <w:jc w:val="center"/>
        <w:rPr>
          <w:rFonts w:eastAsia="MS PGothic"/>
          <w:b/>
          <w:bCs/>
          <w:color w:val="000000" w:themeColor="text1"/>
          <w:kern w:val="24"/>
          <w:sz w:val="22"/>
          <w:szCs w:val="22"/>
          <w:lang w:val="fr-CA"/>
        </w:rPr>
      </w:pPr>
    </w:p>
    <w:p w:rsidR="005C1AAB" w:rsidRDefault="005C1AAB" w:rsidP="005D65E0">
      <w:pPr>
        <w:autoSpaceDE w:val="0"/>
        <w:autoSpaceDN w:val="0"/>
        <w:adjustRightInd w:val="0"/>
        <w:jc w:val="center"/>
        <w:rPr>
          <w:rFonts w:eastAsia="MS PGothic"/>
          <w:b/>
          <w:bCs/>
          <w:color w:val="000000" w:themeColor="text1"/>
          <w:kern w:val="24"/>
          <w:sz w:val="22"/>
          <w:szCs w:val="22"/>
          <w:lang w:val="fr-CA"/>
        </w:rPr>
      </w:pPr>
    </w:p>
    <w:p w:rsidR="005C1AAB" w:rsidRPr="00B57B08" w:rsidRDefault="005C1AAB"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Pr>
          <w:rFonts w:eastAsia="MS PGothic"/>
          <w:b/>
          <w:bCs/>
          <w:color w:val="000000" w:themeColor="text1"/>
          <w:kern w:val="24"/>
          <w:sz w:val="22"/>
          <w:szCs w:val="22"/>
          <w:lang w:val="fr-CA"/>
        </w:rPr>
        <w:t>SECRÉTARIAT EXÉCUTIF AU DÉVELOPPEMENT INTÉGRÉ</w:t>
      </w:r>
      <w:r w:rsidRPr="00B57B08">
        <w:rPr>
          <w:rFonts w:eastAsia="MS PGothic"/>
          <w:b/>
          <w:bCs/>
          <w:color w:val="000000" w:themeColor="text1"/>
          <w:kern w:val="24"/>
          <w:sz w:val="22"/>
          <w:szCs w:val="22"/>
          <w:lang w:val="fr-CA"/>
        </w:rPr>
        <w:t xml:space="preserve"> (SEDI)</w:t>
      </w: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Pr>
          <w:rFonts w:eastAsia="MS PGothic"/>
          <w:b/>
          <w:bCs/>
          <w:color w:val="000000" w:themeColor="text1"/>
          <w:kern w:val="24"/>
          <w:sz w:val="22"/>
          <w:szCs w:val="22"/>
          <w:lang w:val="fr-CA"/>
        </w:rPr>
        <w:t>PLAN DE TRAVAIL</w:t>
      </w:r>
      <w:r w:rsidRPr="00B57B08">
        <w:rPr>
          <w:rFonts w:eastAsia="MS PGothic"/>
          <w:b/>
          <w:bCs/>
          <w:color w:val="000000" w:themeColor="text1"/>
          <w:kern w:val="24"/>
          <w:sz w:val="22"/>
          <w:szCs w:val="22"/>
          <w:lang w:val="fr-CA"/>
        </w:rPr>
        <w:t xml:space="preserve"> 2020</w:t>
      </w: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sectPr w:rsidR="005D65E0" w:rsidRPr="00B57B08" w:rsidSect="002A1814">
          <w:headerReference w:type="default" r:id="rId11"/>
          <w:pgSz w:w="12240" w:h="15840" w:code="1"/>
          <w:pgMar w:top="720" w:right="720" w:bottom="720" w:left="720" w:header="720" w:footer="360" w:gutter="0"/>
          <w:cols w:space="720"/>
          <w:titlePg/>
          <w:docGrid w:linePitch="360"/>
        </w:sect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Pr>
          <w:rFonts w:eastAsia="MS PGothic"/>
          <w:b/>
          <w:bCs/>
          <w:color w:val="000000" w:themeColor="text1"/>
          <w:kern w:val="24"/>
          <w:sz w:val="22"/>
          <w:szCs w:val="22"/>
          <w:lang w:val="fr-CA"/>
        </w:rPr>
        <w:lastRenderedPageBreak/>
        <w:t>SECRÉTARIAT EXÉCUTIF AU DÉVELOPPEMENT INTÉGRÉ</w:t>
      </w:r>
      <w:r w:rsidRPr="00B57B08">
        <w:rPr>
          <w:rFonts w:eastAsia="MS PGothic"/>
          <w:b/>
          <w:bCs/>
          <w:color w:val="000000" w:themeColor="text1"/>
          <w:kern w:val="24"/>
          <w:sz w:val="22"/>
          <w:szCs w:val="22"/>
          <w:lang w:val="fr-CA"/>
        </w:rPr>
        <w:t xml:space="preserve"> (SEDI)</w:t>
      </w:r>
    </w:p>
    <w:p w:rsidR="005D65E0" w:rsidRPr="00B57B08" w:rsidRDefault="005D65E0" w:rsidP="005C1AAB">
      <w:pPr>
        <w:autoSpaceDE w:val="0"/>
        <w:autoSpaceDN w:val="0"/>
        <w:adjustRightInd w:val="0"/>
        <w:rPr>
          <w:rFonts w:eastAsia="MS PGothic"/>
          <w:b/>
          <w:bCs/>
          <w:color w:val="000000" w:themeColor="text1"/>
          <w:kern w:val="24"/>
          <w:sz w:val="22"/>
          <w:szCs w:val="22"/>
          <w:lang w:val="fr-CA"/>
        </w:r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Pr>
          <w:rFonts w:eastAsia="MS PGothic"/>
          <w:b/>
          <w:bCs/>
          <w:color w:val="000000" w:themeColor="text1"/>
          <w:kern w:val="24"/>
          <w:sz w:val="22"/>
          <w:szCs w:val="22"/>
          <w:lang w:val="fr-CA"/>
        </w:rPr>
        <w:t>PLAN DE TRAVAIL</w:t>
      </w:r>
      <w:r w:rsidRPr="00B57B08">
        <w:rPr>
          <w:rFonts w:eastAsia="MS PGothic"/>
          <w:b/>
          <w:bCs/>
          <w:color w:val="000000" w:themeColor="text1"/>
          <w:kern w:val="24"/>
          <w:sz w:val="22"/>
          <w:szCs w:val="22"/>
          <w:lang w:val="fr-CA"/>
        </w:rPr>
        <w:t xml:space="preserve"> 2020</w:t>
      </w:r>
    </w:p>
    <w:p w:rsidR="005D65E0" w:rsidRDefault="005D65E0" w:rsidP="005C1AAB">
      <w:pPr>
        <w:autoSpaceDE w:val="0"/>
        <w:autoSpaceDN w:val="0"/>
        <w:adjustRightInd w:val="0"/>
        <w:rPr>
          <w:rFonts w:eastAsia="MS PGothic"/>
          <w:b/>
          <w:bCs/>
          <w:color w:val="000000" w:themeColor="text1"/>
          <w:kern w:val="24"/>
          <w:sz w:val="22"/>
          <w:szCs w:val="22"/>
          <w:lang w:val="fr-CA"/>
        </w:rPr>
      </w:pPr>
    </w:p>
    <w:p w:rsidR="005C1AAB" w:rsidRPr="00B57B08" w:rsidRDefault="005C1AAB" w:rsidP="005C1AAB">
      <w:pPr>
        <w:autoSpaceDE w:val="0"/>
        <w:autoSpaceDN w:val="0"/>
        <w:adjustRightInd w:val="0"/>
        <w:rPr>
          <w:rFonts w:eastAsia="MS PGothic"/>
          <w:b/>
          <w:bCs/>
          <w:color w:val="000000" w:themeColor="text1"/>
          <w:kern w:val="24"/>
          <w:sz w:val="22"/>
          <w:szCs w:val="22"/>
          <w:lang w:val="fr-CA"/>
        </w:rPr>
      </w:pPr>
    </w:p>
    <w:p w:rsidR="005D65E0" w:rsidRPr="00B57B08" w:rsidRDefault="005D65E0" w:rsidP="005D65E0">
      <w:pPr>
        <w:jc w:val="both"/>
        <w:rPr>
          <w:b/>
          <w:bCs/>
          <w:color w:val="000000" w:themeColor="text1"/>
          <w:sz w:val="22"/>
          <w:szCs w:val="22"/>
          <w:lang w:val="fr-CA"/>
        </w:rPr>
      </w:pPr>
      <w:r w:rsidRPr="00B57B08">
        <w:rPr>
          <w:b/>
          <w:bCs/>
          <w:color w:val="000000" w:themeColor="text1"/>
          <w:sz w:val="22"/>
          <w:szCs w:val="22"/>
          <w:lang w:val="fr-CA"/>
        </w:rPr>
        <w:t>INTRODUCTION</w:t>
      </w:r>
    </w:p>
    <w:p w:rsidR="005D65E0" w:rsidRPr="00B57B08" w:rsidRDefault="005D65E0" w:rsidP="005D65E0">
      <w:pPr>
        <w:jc w:val="both"/>
        <w:rPr>
          <w:b/>
          <w:bCs/>
          <w:color w:val="000000" w:themeColor="text1"/>
          <w:sz w:val="22"/>
          <w:szCs w:val="22"/>
          <w:lang w:val="fr-CA"/>
        </w:rPr>
      </w:pPr>
    </w:p>
    <w:p w:rsidR="005D65E0" w:rsidRPr="00B57B08" w:rsidRDefault="005D65E0" w:rsidP="005D65E0">
      <w:pPr>
        <w:spacing w:after="160" w:line="259" w:lineRule="auto"/>
        <w:ind w:firstLine="720"/>
        <w:jc w:val="both"/>
        <w:rPr>
          <w:color w:val="000000" w:themeColor="text1"/>
          <w:sz w:val="22"/>
          <w:szCs w:val="22"/>
          <w:lang w:val="fr-CA"/>
        </w:rPr>
      </w:pPr>
      <w:r>
        <w:rPr>
          <w:color w:val="000000" w:themeColor="text1"/>
          <w:sz w:val="22"/>
          <w:szCs w:val="22"/>
          <w:lang w:val="fr-CA"/>
        </w:rPr>
        <w:t>Le présent</w:t>
      </w:r>
      <w:r w:rsidRPr="00B57B08">
        <w:rPr>
          <w:color w:val="000000" w:themeColor="text1"/>
          <w:sz w:val="22"/>
          <w:szCs w:val="22"/>
          <w:lang w:val="fr-CA"/>
        </w:rPr>
        <w:t xml:space="preserve"> document</w:t>
      </w:r>
      <w:r>
        <w:rPr>
          <w:color w:val="000000" w:themeColor="text1"/>
          <w:sz w:val="22"/>
          <w:szCs w:val="22"/>
          <w:lang w:val="fr-CA"/>
        </w:rPr>
        <w:t xml:space="preserve"> a été élaboré par le Secrétariat en réponse à une requête des États membres demandant de leur fournir un Plan de travail 2020 à jour pour le SEDI, qui mentionnerait les étapes et les mesures prises pour aborder la crise sanitaire, économique et sociale créée par la pandémie de COVID-19 et s’y adapter.</w:t>
      </w:r>
      <w:r w:rsidRPr="00B57B08">
        <w:rPr>
          <w:color w:val="000000" w:themeColor="text1"/>
          <w:sz w:val="22"/>
          <w:szCs w:val="22"/>
          <w:lang w:val="fr-CA"/>
        </w:rPr>
        <w:t xml:space="preserve"> </w:t>
      </w:r>
    </w:p>
    <w:p w:rsidR="005D65E0" w:rsidRPr="00B57B08" w:rsidRDefault="005D65E0" w:rsidP="005D65E0">
      <w:pPr>
        <w:spacing w:after="160" w:line="259" w:lineRule="auto"/>
        <w:ind w:firstLine="720"/>
        <w:jc w:val="both"/>
        <w:rPr>
          <w:color w:val="000000" w:themeColor="text1"/>
          <w:sz w:val="22"/>
          <w:szCs w:val="22"/>
          <w:lang w:val="fr-CA"/>
        </w:rPr>
      </w:pPr>
      <w:r>
        <w:rPr>
          <w:color w:val="000000" w:themeColor="text1"/>
          <w:sz w:val="22"/>
          <w:szCs w:val="22"/>
          <w:lang w:val="fr-CA"/>
        </w:rPr>
        <w:t>Les</w:t>
      </w:r>
      <w:r w:rsidRPr="00B57B08">
        <w:rPr>
          <w:color w:val="000000" w:themeColor="text1"/>
          <w:sz w:val="22"/>
          <w:szCs w:val="22"/>
          <w:lang w:val="fr-CA"/>
        </w:rPr>
        <w:t xml:space="preserve"> initiatives</w:t>
      </w:r>
      <w:r>
        <w:rPr>
          <w:color w:val="000000" w:themeColor="text1"/>
          <w:sz w:val="22"/>
          <w:szCs w:val="22"/>
          <w:lang w:val="fr-CA"/>
        </w:rPr>
        <w:t xml:space="preserve"> entreprises par le SEDI/OEA visent à réaliser sa vision d’améliorer les compétences institutionnelles, humaines et techniques dans les Amériques au moyen de partenariats multisectoriels et de coopération en vue du développement durable. Tel qu’établi par les États membres dans le Plan stratégique de l’OEA, le SEDI fait porter tous ses efforts sur 5 domaines d’action</w:t>
      </w:r>
      <w:r w:rsidRPr="00B57B08">
        <w:rPr>
          <w:color w:val="000000" w:themeColor="text1"/>
          <w:sz w:val="22"/>
          <w:szCs w:val="22"/>
          <w:lang w:val="fr-CA"/>
        </w:rPr>
        <w:t xml:space="preserve">. </w:t>
      </w:r>
    </w:p>
    <w:p w:rsidR="005D65E0" w:rsidRPr="00B57B08" w:rsidRDefault="005D65E0" w:rsidP="005D65E0">
      <w:pPr>
        <w:rPr>
          <w:b/>
          <w:bCs/>
          <w:color w:val="000000" w:themeColor="text1"/>
          <w:sz w:val="22"/>
          <w:szCs w:val="22"/>
          <w:lang w:val="fr-CA"/>
        </w:rPr>
      </w:pPr>
      <w:r>
        <w:rPr>
          <w:b/>
          <w:bCs/>
          <w:color w:val="000000" w:themeColor="text1"/>
          <w:sz w:val="22"/>
          <w:szCs w:val="22"/>
          <w:lang w:val="fr-CA"/>
        </w:rPr>
        <w:t>Domaines d’action </w:t>
      </w:r>
      <w:r w:rsidRPr="00B57B08">
        <w:rPr>
          <w:b/>
          <w:bCs/>
          <w:color w:val="000000" w:themeColor="text1"/>
          <w:sz w:val="22"/>
          <w:szCs w:val="22"/>
          <w:lang w:val="fr-CA"/>
        </w:rPr>
        <w:t>:</w:t>
      </w:r>
    </w:p>
    <w:p w:rsidR="005D65E0" w:rsidRPr="00B57B08" w:rsidRDefault="005D65E0" w:rsidP="005D65E0">
      <w:pPr>
        <w:rPr>
          <w:b/>
          <w:bCs/>
          <w:color w:val="000000" w:themeColor="text1"/>
          <w:sz w:val="22"/>
          <w:szCs w:val="22"/>
          <w:lang w:val="fr-CA"/>
        </w:rPr>
      </w:pPr>
    </w:p>
    <w:p w:rsidR="005D65E0" w:rsidRPr="00B57B08" w:rsidRDefault="005D65E0" w:rsidP="005D65E0">
      <w:pPr>
        <w:pStyle w:val="ListParagraph"/>
        <w:numPr>
          <w:ilvl w:val="0"/>
          <w:numId w:val="1"/>
        </w:numPr>
        <w:spacing w:after="160" w:line="259" w:lineRule="auto"/>
        <w:ind w:left="1440" w:hanging="720"/>
        <w:contextualSpacing/>
        <w:rPr>
          <w:color w:val="000000" w:themeColor="text1"/>
          <w:sz w:val="22"/>
          <w:szCs w:val="22"/>
          <w:lang w:val="fr-CA"/>
        </w:rPr>
      </w:pPr>
      <w:r>
        <w:rPr>
          <w:rFonts w:eastAsia="MS PGothic"/>
          <w:b/>
          <w:bCs/>
          <w:color w:val="000000" w:themeColor="text1"/>
          <w:sz w:val="22"/>
          <w:szCs w:val="22"/>
          <w:lang w:val="fr-CA"/>
        </w:rPr>
        <w:t>Promouvoir des économies inclusives et compétitives </w:t>
      </w:r>
      <w:r w:rsidRPr="00B57B08">
        <w:rPr>
          <w:rFonts w:eastAsia="MS PGothic"/>
          <w:b/>
          <w:bCs/>
          <w:color w:val="000000" w:themeColor="text1"/>
          <w:sz w:val="22"/>
          <w:szCs w:val="22"/>
          <w:lang w:val="fr-CA"/>
        </w:rPr>
        <w:t>:</w:t>
      </w:r>
      <w:r>
        <w:rPr>
          <w:rFonts w:eastAsia="MS PGothic"/>
          <w:color w:val="000000" w:themeColor="text1"/>
          <w:sz w:val="22"/>
          <w:szCs w:val="22"/>
          <w:lang w:val="fr-CA"/>
        </w:rPr>
        <w:t xml:space="preserve"> Appuyer la croissance économique, la compétitivité, la productivité et l’innovation, en portant une attention particulière aux MPME. </w:t>
      </w:r>
    </w:p>
    <w:p w:rsidR="005D65E0" w:rsidRPr="00B57B08" w:rsidRDefault="005D65E0" w:rsidP="005D65E0">
      <w:pPr>
        <w:pStyle w:val="ListParagraph"/>
        <w:numPr>
          <w:ilvl w:val="0"/>
          <w:numId w:val="1"/>
        </w:numPr>
        <w:spacing w:after="160" w:line="259" w:lineRule="auto"/>
        <w:ind w:left="1440" w:hanging="720"/>
        <w:contextualSpacing/>
        <w:rPr>
          <w:color w:val="000000" w:themeColor="text1"/>
          <w:sz w:val="22"/>
          <w:szCs w:val="22"/>
          <w:lang w:val="fr-CA"/>
        </w:rPr>
      </w:pPr>
      <w:r>
        <w:rPr>
          <w:rFonts w:eastAsia="MS PGothic"/>
          <w:b/>
          <w:bCs/>
          <w:color w:val="000000" w:themeColor="text1"/>
          <w:sz w:val="22"/>
          <w:szCs w:val="22"/>
          <w:lang w:val="fr-CA"/>
        </w:rPr>
        <w:t>Développement durable et environnement </w:t>
      </w:r>
      <w:r w:rsidRPr="00B57B08">
        <w:rPr>
          <w:rFonts w:eastAsia="MS PGothic"/>
          <w:b/>
          <w:bCs/>
          <w:color w:val="000000" w:themeColor="text1"/>
          <w:sz w:val="22"/>
          <w:szCs w:val="22"/>
          <w:lang w:val="fr-CA"/>
        </w:rPr>
        <w:t>:</w:t>
      </w:r>
      <w:r>
        <w:rPr>
          <w:rFonts w:eastAsia="MS PGothic"/>
          <w:color w:val="000000" w:themeColor="text1"/>
          <w:sz w:val="22"/>
          <w:szCs w:val="22"/>
          <w:lang w:val="fr-CA"/>
        </w:rPr>
        <w:t xml:space="preserve"> Accroitre la durabilité et la résilience dans les Amériques. </w:t>
      </w:r>
    </w:p>
    <w:p w:rsidR="005D65E0" w:rsidRPr="00B57B08" w:rsidRDefault="005D65E0" w:rsidP="005D65E0">
      <w:pPr>
        <w:pStyle w:val="ListParagraph"/>
        <w:numPr>
          <w:ilvl w:val="0"/>
          <w:numId w:val="1"/>
        </w:numPr>
        <w:spacing w:after="160" w:line="259" w:lineRule="auto"/>
        <w:ind w:left="1440" w:hanging="720"/>
        <w:contextualSpacing/>
        <w:jc w:val="both"/>
        <w:rPr>
          <w:color w:val="000000" w:themeColor="text1"/>
          <w:sz w:val="22"/>
          <w:szCs w:val="22"/>
          <w:lang w:val="fr-CA"/>
        </w:rPr>
      </w:pPr>
      <w:r>
        <w:rPr>
          <w:rFonts w:eastAsia="MS PGothic"/>
          <w:b/>
          <w:bCs/>
          <w:color w:val="000000" w:themeColor="text1"/>
          <w:sz w:val="22"/>
          <w:szCs w:val="22"/>
          <w:lang w:val="fr-CA"/>
        </w:rPr>
        <w:t>Promouvoir l’éducation et le développement humain dans les Amériques </w:t>
      </w:r>
      <w:r w:rsidRPr="00B57B08">
        <w:rPr>
          <w:rFonts w:eastAsia="MS PGothic"/>
          <w:b/>
          <w:bCs/>
          <w:color w:val="000000" w:themeColor="text1"/>
          <w:sz w:val="22"/>
          <w:szCs w:val="22"/>
          <w:lang w:val="fr-CA"/>
        </w:rPr>
        <w:t>:</w:t>
      </w:r>
      <w:r w:rsidRPr="00B57B08">
        <w:rPr>
          <w:rFonts w:eastAsia="MS PGothic"/>
          <w:color w:val="000000" w:themeColor="text1"/>
          <w:sz w:val="22"/>
          <w:szCs w:val="22"/>
          <w:lang w:val="fr-CA"/>
        </w:rPr>
        <w:t xml:space="preserve"> R</w:t>
      </w:r>
      <w:r>
        <w:rPr>
          <w:rFonts w:eastAsia="MS PGothic"/>
          <w:color w:val="000000" w:themeColor="text1"/>
          <w:sz w:val="22"/>
          <w:szCs w:val="22"/>
          <w:lang w:val="fr-CA"/>
        </w:rPr>
        <w:t xml:space="preserve">éduire la pauvreté, l’inégalité et l’exclusion en améliorant l’accès à une éducation de qualité et à un travail décent. </w:t>
      </w:r>
    </w:p>
    <w:p w:rsidR="005D65E0" w:rsidRPr="00B57B08" w:rsidRDefault="005D65E0" w:rsidP="005D65E0">
      <w:pPr>
        <w:pStyle w:val="ListParagraph"/>
        <w:numPr>
          <w:ilvl w:val="0"/>
          <w:numId w:val="1"/>
        </w:numPr>
        <w:spacing w:after="160" w:line="259" w:lineRule="auto"/>
        <w:ind w:left="1440" w:hanging="720"/>
        <w:contextualSpacing/>
        <w:rPr>
          <w:color w:val="000000" w:themeColor="text1"/>
          <w:sz w:val="22"/>
          <w:szCs w:val="22"/>
          <w:lang w:val="fr-CA"/>
        </w:rPr>
      </w:pPr>
      <w:r>
        <w:rPr>
          <w:rFonts w:eastAsia="MS PGothic"/>
          <w:b/>
          <w:bCs/>
          <w:color w:val="000000" w:themeColor="text1"/>
          <w:sz w:val="22"/>
          <w:szCs w:val="22"/>
          <w:lang w:val="fr-CA"/>
        </w:rPr>
        <w:t>Promouvoir le travail décent, digne et productif pour tous </w:t>
      </w:r>
      <w:r w:rsidRPr="00B57B08">
        <w:rPr>
          <w:rFonts w:eastAsia="MS PGothic"/>
          <w:b/>
          <w:bCs/>
          <w:color w:val="000000" w:themeColor="text1"/>
          <w:sz w:val="22"/>
          <w:szCs w:val="22"/>
          <w:lang w:val="fr-CA"/>
        </w:rPr>
        <w:t>:</w:t>
      </w:r>
      <w:r>
        <w:rPr>
          <w:rFonts w:eastAsia="MS PGothic"/>
          <w:color w:val="000000" w:themeColor="text1"/>
          <w:sz w:val="22"/>
          <w:szCs w:val="22"/>
          <w:lang w:val="fr-CA"/>
        </w:rPr>
        <w:t xml:space="preserve"> Renforcer l’administration du travail dans les Amériques</w:t>
      </w:r>
    </w:p>
    <w:p w:rsidR="005D65E0" w:rsidRPr="00B57B08" w:rsidRDefault="005D65E0" w:rsidP="005D65E0">
      <w:pPr>
        <w:pStyle w:val="ListParagraph"/>
        <w:numPr>
          <w:ilvl w:val="0"/>
          <w:numId w:val="1"/>
        </w:numPr>
        <w:spacing w:after="160" w:line="259" w:lineRule="auto"/>
        <w:ind w:left="1440" w:hanging="720"/>
        <w:contextualSpacing/>
        <w:rPr>
          <w:b/>
          <w:bCs/>
          <w:color w:val="000000" w:themeColor="text1"/>
          <w:sz w:val="22"/>
          <w:szCs w:val="22"/>
          <w:lang w:val="fr-CA"/>
        </w:rPr>
      </w:pPr>
      <w:r>
        <w:rPr>
          <w:rFonts w:eastAsia="MS PGothic"/>
          <w:b/>
          <w:bCs/>
          <w:color w:val="000000" w:themeColor="text1"/>
          <w:sz w:val="22"/>
          <w:szCs w:val="22"/>
          <w:lang w:val="fr-CA"/>
        </w:rPr>
        <w:t>Encourager la coopération pour le développement et établir des partenariats</w:t>
      </w:r>
    </w:p>
    <w:p w:rsidR="005D65E0" w:rsidRPr="00B57B08" w:rsidRDefault="005D65E0" w:rsidP="005D65E0">
      <w:pPr>
        <w:rPr>
          <w:b/>
          <w:bCs/>
          <w:color w:val="000000" w:themeColor="text1"/>
          <w:sz w:val="22"/>
          <w:szCs w:val="22"/>
          <w:lang w:val="fr-CA"/>
        </w:rPr>
      </w:pPr>
      <w:r>
        <w:rPr>
          <w:b/>
          <w:bCs/>
          <w:color w:val="000000" w:themeColor="text1"/>
          <w:sz w:val="22"/>
          <w:szCs w:val="22"/>
          <w:lang w:val="fr-CA"/>
        </w:rPr>
        <w:t>Approche commune </w:t>
      </w:r>
      <w:r w:rsidRPr="00B57B08">
        <w:rPr>
          <w:b/>
          <w:bCs/>
          <w:color w:val="000000" w:themeColor="text1"/>
          <w:sz w:val="22"/>
          <w:szCs w:val="22"/>
          <w:lang w:val="fr-CA"/>
        </w:rPr>
        <w:t xml:space="preserve">: </w:t>
      </w:r>
    </w:p>
    <w:p w:rsidR="005D65E0" w:rsidRPr="00B57B08" w:rsidRDefault="005D65E0" w:rsidP="005D65E0">
      <w:pPr>
        <w:rPr>
          <w:b/>
          <w:bCs/>
          <w:color w:val="000000" w:themeColor="text1"/>
          <w:sz w:val="22"/>
          <w:szCs w:val="22"/>
          <w:lang w:val="fr-CA"/>
        </w:rPr>
      </w:pPr>
    </w:p>
    <w:p w:rsidR="005D65E0" w:rsidRPr="00B57B08" w:rsidRDefault="005D65E0" w:rsidP="005D65E0">
      <w:pPr>
        <w:ind w:firstLine="360"/>
        <w:jc w:val="both"/>
        <w:rPr>
          <w:b/>
          <w:bCs/>
          <w:color w:val="000000" w:themeColor="text1"/>
          <w:sz w:val="22"/>
          <w:szCs w:val="22"/>
          <w:lang w:val="fr-CA"/>
        </w:rPr>
      </w:pPr>
      <w:r>
        <w:rPr>
          <w:color w:val="000000" w:themeColor="text1"/>
          <w:sz w:val="22"/>
          <w:szCs w:val="22"/>
          <w:lang w:val="fr-CA"/>
        </w:rPr>
        <w:t>Le Secrétariat travaille en suivant une approche commune dans tous ses domaines de travail, ce qui s’appuie sur les forces de l’Organisation et sur la valeur offerte aux États membres :</w:t>
      </w:r>
      <w:r w:rsidRPr="00B57B08">
        <w:rPr>
          <w:color w:val="000000" w:themeColor="text1"/>
          <w:sz w:val="22"/>
          <w:szCs w:val="22"/>
          <w:lang w:val="fr-CA"/>
        </w:rPr>
        <w:t xml:space="preserve"> </w:t>
      </w:r>
    </w:p>
    <w:p w:rsidR="005D65E0" w:rsidRPr="00B57B08" w:rsidRDefault="005D65E0" w:rsidP="005D65E0">
      <w:pPr>
        <w:rPr>
          <w:color w:val="000000" w:themeColor="text1"/>
          <w:sz w:val="22"/>
          <w:szCs w:val="22"/>
          <w:lang w:val="fr-CA"/>
        </w:rPr>
      </w:pPr>
    </w:p>
    <w:p w:rsidR="005D65E0" w:rsidRPr="00B57B08" w:rsidRDefault="005D65E0" w:rsidP="005D65E0">
      <w:pPr>
        <w:pStyle w:val="ListParagraph"/>
        <w:numPr>
          <w:ilvl w:val="0"/>
          <w:numId w:val="2"/>
        </w:numPr>
        <w:spacing w:after="160" w:line="259" w:lineRule="auto"/>
        <w:ind w:left="1440" w:hanging="720"/>
        <w:contextualSpacing/>
        <w:rPr>
          <w:color w:val="000000" w:themeColor="text1"/>
          <w:sz w:val="22"/>
          <w:szCs w:val="22"/>
          <w:lang w:val="fr-CA"/>
        </w:rPr>
      </w:pPr>
      <w:r>
        <w:rPr>
          <w:b/>
          <w:bCs/>
          <w:color w:val="000000" w:themeColor="text1"/>
          <w:sz w:val="22"/>
          <w:szCs w:val="22"/>
          <w:lang w:val="fr-CA"/>
        </w:rPr>
        <w:t>Un dialogue en matière de politiques</w:t>
      </w:r>
      <w:r w:rsidRPr="00B57B08">
        <w:rPr>
          <w:b/>
          <w:bCs/>
          <w:color w:val="000000" w:themeColor="text1"/>
          <w:sz w:val="22"/>
          <w:szCs w:val="22"/>
          <w:lang w:val="fr-CA"/>
        </w:rPr>
        <w:t xml:space="preserve"> </w:t>
      </w:r>
      <w:r>
        <w:rPr>
          <w:color w:val="000000" w:themeColor="text1"/>
          <w:sz w:val="22"/>
          <w:szCs w:val="22"/>
          <w:lang w:val="fr-CA"/>
        </w:rPr>
        <w:t>pour comprendre les défis communs et trouver des solutions</w:t>
      </w:r>
      <w:r w:rsidRPr="00B57B08">
        <w:rPr>
          <w:color w:val="000000" w:themeColor="text1"/>
          <w:sz w:val="22"/>
          <w:szCs w:val="22"/>
          <w:lang w:val="fr-CA"/>
        </w:rPr>
        <w:t>.</w:t>
      </w:r>
    </w:p>
    <w:p w:rsidR="005D65E0" w:rsidRPr="00B57B08" w:rsidRDefault="005D65E0" w:rsidP="005D65E0">
      <w:pPr>
        <w:pStyle w:val="ListParagraph"/>
        <w:numPr>
          <w:ilvl w:val="0"/>
          <w:numId w:val="2"/>
        </w:numPr>
        <w:spacing w:after="160" w:line="259" w:lineRule="auto"/>
        <w:ind w:left="1440" w:hanging="720"/>
        <w:contextualSpacing/>
        <w:rPr>
          <w:color w:val="000000" w:themeColor="text1"/>
          <w:sz w:val="22"/>
          <w:szCs w:val="22"/>
          <w:lang w:val="fr-CA"/>
        </w:rPr>
      </w:pPr>
      <w:r>
        <w:rPr>
          <w:b/>
          <w:bCs/>
          <w:color w:val="000000" w:themeColor="text1"/>
          <w:sz w:val="22"/>
          <w:szCs w:val="22"/>
          <w:lang w:val="fr-CA"/>
        </w:rPr>
        <w:t>La coopération</w:t>
      </w:r>
      <w:r>
        <w:rPr>
          <w:color w:val="000000" w:themeColor="text1"/>
          <w:sz w:val="22"/>
          <w:szCs w:val="22"/>
          <w:lang w:val="fr-CA"/>
        </w:rPr>
        <w:t xml:space="preserve"> et le partage de connaissances pour partir de solutions qui ont fonctionné et accélérer le développement</w:t>
      </w:r>
      <w:r w:rsidRPr="00B57B08">
        <w:rPr>
          <w:color w:val="000000" w:themeColor="text1"/>
          <w:sz w:val="22"/>
          <w:szCs w:val="22"/>
          <w:lang w:val="fr-CA"/>
        </w:rPr>
        <w:t>.</w:t>
      </w:r>
    </w:p>
    <w:p w:rsidR="005D65E0" w:rsidRPr="00B57B08" w:rsidRDefault="005D65E0" w:rsidP="005D65E0">
      <w:pPr>
        <w:pStyle w:val="ListParagraph"/>
        <w:numPr>
          <w:ilvl w:val="0"/>
          <w:numId w:val="2"/>
        </w:numPr>
        <w:spacing w:after="160" w:line="259" w:lineRule="auto"/>
        <w:ind w:left="1440" w:hanging="720"/>
        <w:contextualSpacing/>
        <w:rPr>
          <w:color w:val="000000" w:themeColor="text1"/>
          <w:sz w:val="22"/>
          <w:szCs w:val="22"/>
          <w:lang w:val="fr-CA"/>
        </w:rPr>
      </w:pPr>
      <w:r>
        <w:rPr>
          <w:b/>
          <w:bCs/>
          <w:color w:val="000000" w:themeColor="text1"/>
          <w:sz w:val="22"/>
          <w:szCs w:val="22"/>
          <w:lang w:val="fr-CA"/>
        </w:rPr>
        <w:t>Des partenariats</w:t>
      </w:r>
      <w:r>
        <w:rPr>
          <w:color w:val="000000" w:themeColor="text1"/>
          <w:sz w:val="22"/>
          <w:szCs w:val="22"/>
          <w:lang w:val="fr-CA"/>
        </w:rPr>
        <w:t xml:space="preserve"> pour prendre des mesures collectivement, en tirant parti de compétences fondamentales</w:t>
      </w:r>
      <w:r w:rsidRPr="00B57B08">
        <w:rPr>
          <w:color w:val="000000" w:themeColor="text1"/>
          <w:sz w:val="22"/>
          <w:szCs w:val="22"/>
          <w:lang w:val="fr-CA"/>
        </w:rPr>
        <w:t>.</w:t>
      </w:r>
    </w:p>
    <w:p w:rsidR="005D65E0" w:rsidRPr="00B57B08" w:rsidRDefault="005D65E0" w:rsidP="005D65E0">
      <w:pPr>
        <w:ind w:firstLine="720"/>
        <w:jc w:val="both"/>
        <w:rPr>
          <w:color w:val="000000" w:themeColor="text1"/>
          <w:sz w:val="22"/>
          <w:szCs w:val="22"/>
          <w:lang w:val="fr-CA"/>
        </w:rPr>
      </w:pPr>
      <w:r>
        <w:rPr>
          <w:color w:val="000000" w:themeColor="text1"/>
          <w:sz w:val="22"/>
          <w:szCs w:val="22"/>
          <w:lang w:val="fr-CA"/>
        </w:rPr>
        <w:t>Vers la fin de</w:t>
      </w:r>
      <w:r w:rsidRPr="00B57B08">
        <w:rPr>
          <w:color w:val="000000" w:themeColor="text1"/>
          <w:sz w:val="22"/>
          <w:szCs w:val="22"/>
          <w:lang w:val="fr-CA"/>
        </w:rPr>
        <w:t xml:space="preserve"> 2019, </w:t>
      </w:r>
      <w:r>
        <w:rPr>
          <w:color w:val="000000" w:themeColor="text1"/>
          <w:sz w:val="22"/>
          <w:szCs w:val="22"/>
          <w:lang w:val="fr-CA"/>
        </w:rPr>
        <w:t xml:space="preserve">le </w:t>
      </w:r>
      <w:r w:rsidRPr="00B57B08">
        <w:rPr>
          <w:color w:val="000000" w:themeColor="text1"/>
          <w:sz w:val="22"/>
          <w:szCs w:val="22"/>
          <w:lang w:val="fr-CA"/>
        </w:rPr>
        <w:t xml:space="preserve">SEDI </w:t>
      </w:r>
      <w:r>
        <w:rPr>
          <w:color w:val="000000" w:themeColor="text1"/>
          <w:sz w:val="22"/>
          <w:szCs w:val="22"/>
          <w:lang w:val="fr-CA"/>
        </w:rPr>
        <w:t>s’est efforcé de concevoir une orientation programmatique globale, intitulée</w:t>
      </w:r>
      <w:r w:rsidRPr="00B57B08">
        <w:rPr>
          <w:color w:val="000000" w:themeColor="text1"/>
          <w:sz w:val="22"/>
          <w:szCs w:val="22"/>
          <w:lang w:val="fr-CA"/>
        </w:rPr>
        <w:t xml:space="preserve"> </w:t>
      </w:r>
      <w:r w:rsidRPr="00B57B08">
        <w:rPr>
          <w:i/>
          <w:iCs/>
          <w:color w:val="000000" w:themeColor="text1"/>
          <w:sz w:val="22"/>
          <w:szCs w:val="22"/>
          <w:lang w:val="fr-CA"/>
        </w:rPr>
        <w:t>“An Integrated Approach for Building Resilience and Competitiveness in the Americas”</w:t>
      </w:r>
      <w:r>
        <w:rPr>
          <w:color w:val="000000" w:themeColor="text1"/>
          <w:sz w:val="22"/>
          <w:szCs w:val="22"/>
          <w:lang w:val="fr-CA"/>
        </w:rPr>
        <w:t xml:space="preserve"> (approche intégrale visant à accroitre la résilience et la compétitivité dans les Amériques). L’orientation programmatique a été élaborée pour être un objectif global intersectoriel pour tous les services du SEDI, dans notre progression vers l’objectif conséquent d’</w:t>
      </w:r>
      <w:r>
        <w:rPr>
          <w:b/>
          <w:bCs/>
          <w:color w:val="000000" w:themeColor="text1"/>
          <w:sz w:val="22"/>
          <w:szCs w:val="22"/>
          <w:lang w:val="fr-CA"/>
        </w:rPr>
        <w:t>accroitre la résilience</w:t>
      </w:r>
      <w:r>
        <w:rPr>
          <w:color w:val="000000" w:themeColor="text1"/>
          <w:sz w:val="22"/>
          <w:szCs w:val="22"/>
          <w:lang w:val="fr-CA"/>
        </w:rPr>
        <w:t xml:space="preserve"> et d’</w:t>
      </w:r>
      <w:r>
        <w:rPr>
          <w:b/>
          <w:bCs/>
          <w:color w:val="000000" w:themeColor="text1"/>
          <w:sz w:val="22"/>
          <w:szCs w:val="22"/>
          <w:lang w:val="fr-CA"/>
        </w:rPr>
        <w:t>accroitre la compétitivité</w:t>
      </w:r>
      <w:r>
        <w:rPr>
          <w:color w:val="000000" w:themeColor="text1"/>
          <w:sz w:val="22"/>
          <w:szCs w:val="22"/>
          <w:lang w:val="fr-CA"/>
        </w:rPr>
        <w:t xml:space="preserve"> par la mise en œuvre des domaines d’action ci-dessus, figurant dans le Plan stratégique de l’OEA. </w:t>
      </w:r>
      <w:r w:rsidRPr="00B57B08">
        <w:rPr>
          <w:color w:val="000000" w:themeColor="text1"/>
          <w:sz w:val="22"/>
          <w:szCs w:val="22"/>
          <w:lang w:val="fr-CA"/>
        </w:rPr>
        <w:t xml:space="preserve"> </w:t>
      </w:r>
    </w:p>
    <w:p w:rsidR="005D65E0" w:rsidRPr="00B57B08" w:rsidRDefault="005D65E0" w:rsidP="005D65E0">
      <w:pPr>
        <w:rPr>
          <w:color w:val="000000" w:themeColor="text1"/>
          <w:sz w:val="22"/>
          <w:szCs w:val="22"/>
          <w:lang w:val="fr-CA"/>
        </w:rPr>
      </w:pPr>
    </w:p>
    <w:p w:rsidR="005D65E0" w:rsidRPr="00B57B08" w:rsidRDefault="005D65E0" w:rsidP="005D65E0">
      <w:pPr>
        <w:ind w:firstLine="720"/>
        <w:rPr>
          <w:b/>
          <w:bCs/>
          <w:color w:val="000000" w:themeColor="text1"/>
          <w:sz w:val="22"/>
          <w:szCs w:val="22"/>
          <w:lang w:val="fr-CA"/>
        </w:rPr>
      </w:pPr>
      <w:r w:rsidRPr="00B57B08">
        <w:rPr>
          <w:b/>
          <w:bCs/>
          <w:color w:val="000000" w:themeColor="text1"/>
          <w:sz w:val="22"/>
          <w:szCs w:val="22"/>
          <w:lang w:val="fr-CA"/>
        </w:rPr>
        <w:t>A</w:t>
      </w:r>
      <w:r>
        <w:rPr>
          <w:b/>
          <w:bCs/>
          <w:color w:val="000000" w:themeColor="text1"/>
          <w:sz w:val="22"/>
          <w:szCs w:val="22"/>
          <w:lang w:val="fr-CA"/>
        </w:rPr>
        <w:t>ider les États membres à répondre à la pandémie de COVID- 19 </w:t>
      </w:r>
      <w:r w:rsidRPr="00B57B08">
        <w:rPr>
          <w:b/>
          <w:bCs/>
          <w:color w:val="000000" w:themeColor="text1"/>
          <w:sz w:val="22"/>
          <w:szCs w:val="22"/>
          <w:lang w:val="fr-CA"/>
        </w:rPr>
        <w:t xml:space="preserve">: </w:t>
      </w:r>
    </w:p>
    <w:p w:rsidR="005D65E0" w:rsidRPr="00B57B08" w:rsidRDefault="005D65E0" w:rsidP="005D65E0">
      <w:pPr>
        <w:rPr>
          <w:color w:val="000000" w:themeColor="text1"/>
          <w:sz w:val="22"/>
          <w:szCs w:val="22"/>
          <w:lang w:val="fr-CA"/>
        </w:rPr>
      </w:pPr>
    </w:p>
    <w:p w:rsidR="005D65E0" w:rsidRPr="00B57B08" w:rsidRDefault="005D65E0" w:rsidP="005D65E0">
      <w:pPr>
        <w:ind w:firstLine="720"/>
        <w:rPr>
          <w:color w:val="000000" w:themeColor="text1"/>
          <w:sz w:val="22"/>
          <w:szCs w:val="22"/>
          <w:lang w:val="fr-CA"/>
        </w:rPr>
      </w:pPr>
      <w:r>
        <w:rPr>
          <w:color w:val="000000" w:themeColor="text1"/>
          <w:sz w:val="22"/>
          <w:szCs w:val="22"/>
          <w:lang w:val="fr-CA"/>
        </w:rPr>
        <w:t xml:space="preserve">Le SEDI/OEA s’engage à appuyer les États membres dans les efforts qu’ils déploient pour relever les défis plantés par la pandémie de </w:t>
      </w:r>
      <w:r w:rsidRPr="00B57B08">
        <w:rPr>
          <w:color w:val="000000" w:themeColor="text1"/>
          <w:sz w:val="22"/>
          <w:szCs w:val="22"/>
          <w:lang w:val="fr-CA"/>
        </w:rPr>
        <w:t>COVID-19</w:t>
      </w:r>
      <w:r>
        <w:rPr>
          <w:color w:val="000000" w:themeColor="text1"/>
          <w:sz w:val="22"/>
          <w:szCs w:val="22"/>
          <w:lang w:val="fr-CA"/>
        </w:rPr>
        <w:t>. Pour ce faire, le Secrétariat a suivi l’approche en trois parties suivante :</w:t>
      </w:r>
      <w:r w:rsidRPr="00B57B08">
        <w:rPr>
          <w:color w:val="000000" w:themeColor="text1"/>
          <w:sz w:val="22"/>
          <w:szCs w:val="22"/>
          <w:lang w:val="fr-CA"/>
        </w:rPr>
        <w:t xml:space="preserve"> </w:t>
      </w:r>
    </w:p>
    <w:p w:rsidR="005D65E0" w:rsidRPr="00B57B08" w:rsidRDefault="005D65E0" w:rsidP="005D65E0">
      <w:pPr>
        <w:rPr>
          <w:color w:val="000000" w:themeColor="text1"/>
          <w:sz w:val="22"/>
          <w:szCs w:val="22"/>
          <w:lang w:val="fr-CA"/>
        </w:rPr>
      </w:pPr>
    </w:p>
    <w:p w:rsidR="005D65E0" w:rsidRPr="001F5E47" w:rsidRDefault="005D65E0" w:rsidP="005D65E0">
      <w:pPr>
        <w:numPr>
          <w:ilvl w:val="0"/>
          <w:numId w:val="3"/>
        </w:numPr>
        <w:ind w:left="1440" w:hanging="720"/>
        <w:rPr>
          <w:color w:val="000000" w:themeColor="text1"/>
          <w:sz w:val="22"/>
          <w:szCs w:val="22"/>
          <w:lang w:val="fr-CA"/>
        </w:rPr>
      </w:pPr>
      <w:r w:rsidRPr="001F5E47">
        <w:rPr>
          <w:b/>
          <w:bCs/>
          <w:color w:val="000000" w:themeColor="text1"/>
          <w:sz w:val="22"/>
          <w:szCs w:val="22"/>
          <w:lang w:val="fr-CA"/>
        </w:rPr>
        <w:t xml:space="preserve">Ajuster le portefeuille </w:t>
      </w:r>
      <w:r>
        <w:rPr>
          <w:color w:val="000000" w:themeColor="text1"/>
          <w:sz w:val="22"/>
          <w:szCs w:val="22"/>
          <w:lang w:val="fr-CA"/>
        </w:rPr>
        <w:t>de projets existants pour appuyer les efforts consentis par les États membres pour lutter contre la pandémie de</w:t>
      </w:r>
      <w:r w:rsidRPr="001F5E47">
        <w:rPr>
          <w:color w:val="000000" w:themeColor="text1"/>
          <w:sz w:val="22"/>
          <w:szCs w:val="22"/>
          <w:lang w:val="fr-CA"/>
        </w:rPr>
        <w:t xml:space="preserve"> COVID-19</w:t>
      </w:r>
      <w:r>
        <w:rPr>
          <w:color w:val="000000" w:themeColor="text1"/>
          <w:sz w:val="22"/>
          <w:szCs w:val="22"/>
          <w:lang w:val="fr-CA"/>
        </w:rPr>
        <w:t xml:space="preserve">. </w:t>
      </w:r>
      <w:r w:rsidRPr="001F5E47">
        <w:rPr>
          <w:b/>
          <w:bCs/>
          <w:color w:val="000000" w:themeColor="text1"/>
          <w:sz w:val="22"/>
          <w:szCs w:val="22"/>
          <w:lang w:val="fr-CA"/>
        </w:rPr>
        <w:t>Explore</w:t>
      </w:r>
      <w:r>
        <w:rPr>
          <w:b/>
          <w:bCs/>
          <w:color w:val="000000" w:themeColor="text1"/>
          <w:sz w:val="22"/>
          <w:szCs w:val="22"/>
          <w:lang w:val="fr-CA"/>
        </w:rPr>
        <w:t>r de nouveaux projets</w:t>
      </w:r>
      <w:r w:rsidRPr="001F5E47">
        <w:rPr>
          <w:b/>
          <w:bCs/>
          <w:color w:val="000000" w:themeColor="text1"/>
          <w:sz w:val="22"/>
          <w:szCs w:val="22"/>
          <w:lang w:val="fr-CA"/>
        </w:rPr>
        <w:t xml:space="preserve"> </w:t>
      </w:r>
      <w:r>
        <w:rPr>
          <w:color w:val="000000" w:themeColor="text1"/>
          <w:sz w:val="22"/>
          <w:szCs w:val="22"/>
          <w:lang w:val="fr-CA"/>
        </w:rPr>
        <w:t>qui peuvent être mis sur pied rapidement</w:t>
      </w:r>
      <w:r w:rsidRPr="001F5E47">
        <w:rPr>
          <w:color w:val="000000" w:themeColor="text1"/>
          <w:sz w:val="22"/>
          <w:szCs w:val="22"/>
          <w:lang w:val="fr-CA"/>
        </w:rPr>
        <w:t>.</w:t>
      </w:r>
    </w:p>
    <w:p w:rsidR="005D65E0" w:rsidRPr="00B57B08" w:rsidRDefault="005D65E0" w:rsidP="005D65E0">
      <w:pPr>
        <w:numPr>
          <w:ilvl w:val="0"/>
          <w:numId w:val="3"/>
        </w:numPr>
        <w:ind w:left="1440" w:hanging="720"/>
        <w:rPr>
          <w:color w:val="000000" w:themeColor="text1"/>
          <w:sz w:val="22"/>
          <w:szCs w:val="22"/>
          <w:lang w:val="fr-CA"/>
        </w:rPr>
      </w:pPr>
      <w:r>
        <w:rPr>
          <w:b/>
          <w:bCs/>
          <w:color w:val="000000" w:themeColor="text1"/>
          <w:sz w:val="22"/>
          <w:szCs w:val="22"/>
          <w:lang w:val="fr-CA"/>
        </w:rPr>
        <w:t>Faire appel à des partenaires multisectoriels</w:t>
      </w:r>
      <w:r w:rsidRPr="00B57B08">
        <w:rPr>
          <w:b/>
          <w:bCs/>
          <w:color w:val="000000" w:themeColor="text1"/>
          <w:sz w:val="22"/>
          <w:szCs w:val="22"/>
          <w:lang w:val="fr-CA"/>
        </w:rPr>
        <w:t xml:space="preserve"> </w:t>
      </w:r>
      <w:r>
        <w:rPr>
          <w:color w:val="000000" w:themeColor="text1"/>
          <w:sz w:val="22"/>
          <w:szCs w:val="22"/>
          <w:lang w:val="fr-CA"/>
        </w:rPr>
        <w:t>pour complémenter nos</w:t>
      </w:r>
      <w:r w:rsidRPr="00B57B08">
        <w:rPr>
          <w:color w:val="000000" w:themeColor="text1"/>
          <w:sz w:val="22"/>
          <w:szCs w:val="22"/>
          <w:lang w:val="fr-CA"/>
        </w:rPr>
        <w:t xml:space="preserve"> efforts.</w:t>
      </w:r>
    </w:p>
    <w:p w:rsidR="005D65E0" w:rsidRPr="00B57B08" w:rsidRDefault="005D65E0" w:rsidP="005D65E0">
      <w:pPr>
        <w:rPr>
          <w:color w:val="000000" w:themeColor="text1"/>
          <w:sz w:val="22"/>
          <w:szCs w:val="22"/>
          <w:lang w:val="fr-CA"/>
        </w:rPr>
      </w:pPr>
    </w:p>
    <w:p w:rsidR="005D65E0" w:rsidRPr="00B57B08" w:rsidRDefault="005D65E0" w:rsidP="005D65E0">
      <w:pPr>
        <w:ind w:firstLine="720"/>
        <w:rPr>
          <w:color w:val="000000" w:themeColor="text1"/>
          <w:sz w:val="22"/>
          <w:szCs w:val="22"/>
          <w:lang w:val="fr-CA"/>
        </w:rPr>
      </w:pPr>
      <w:r>
        <w:rPr>
          <w:color w:val="000000" w:themeColor="text1"/>
          <w:sz w:val="22"/>
          <w:szCs w:val="22"/>
          <w:lang w:val="fr-CA"/>
        </w:rPr>
        <w:t>Les</w:t>
      </w:r>
      <w:r w:rsidRPr="00B57B08">
        <w:rPr>
          <w:color w:val="000000" w:themeColor="text1"/>
          <w:sz w:val="22"/>
          <w:szCs w:val="22"/>
          <w:lang w:val="fr-CA"/>
        </w:rPr>
        <w:t xml:space="preserve"> initiatives</w:t>
      </w:r>
      <w:r>
        <w:rPr>
          <w:color w:val="000000" w:themeColor="text1"/>
          <w:sz w:val="22"/>
          <w:szCs w:val="22"/>
          <w:lang w:val="fr-CA"/>
        </w:rPr>
        <w:t xml:space="preserve"> et mesures détaillées ci-dessous comprennent tant les mesures prévues par le SEDI au début de l’année que la réponse ou les ajustements apportés jusqu’à maintenant étant donné les changements de priorités et les questions de logistique qui se sont avérés nécessaires pour faire face à la crise collectivement.</w:t>
      </w:r>
      <w:r w:rsidRPr="00B57B08">
        <w:rPr>
          <w:color w:val="000000" w:themeColor="text1"/>
          <w:sz w:val="22"/>
          <w:szCs w:val="22"/>
          <w:lang w:val="fr-CA"/>
        </w:rPr>
        <w:t xml:space="preserve"> </w:t>
      </w:r>
    </w:p>
    <w:p w:rsidR="005D65E0" w:rsidRPr="00B57B08" w:rsidRDefault="005D65E0" w:rsidP="005D65E0">
      <w:pPr>
        <w:jc w:val="center"/>
        <w:rPr>
          <w:b/>
          <w:color w:val="000000" w:themeColor="text1"/>
          <w:sz w:val="22"/>
          <w:szCs w:val="22"/>
          <w:u w:val="single"/>
          <w:lang w:val="fr-CA"/>
        </w:rPr>
        <w:sectPr w:rsidR="005D65E0" w:rsidRPr="00B57B08" w:rsidSect="00F308A8">
          <w:type w:val="oddPage"/>
          <w:pgSz w:w="12240" w:h="15840" w:code="1"/>
          <w:pgMar w:top="1296" w:right="1440" w:bottom="1296" w:left="1440" w:header="720" w:footer="360" w:gutter="0"/>
          <w:cols w:space="720"/>
          <w:titlePg/>
          <w:docGrid w:linePitch="360"/>
        </w:sectPr>
      </w:pPr>
    </w:p>
    <w:p w:rsidR="005D65E0" w:rsidRPr="00B57B08" w:rsidRDefault="005D65E0" w:rsidP="005D65E0">
      <w:pPr>
        <w:autoSpaceDE w:val="0"/>
        <w:autoSpaceDN w:val="0"/>
        <w:adjustRightInd w:val="0"/>
        <w:jc w:val="center"/>
        <w:rPr>
          <w:rFonts w:eastAsia="MS PGothic"/>
          <w:b/>
          <w:bCs/>
          <w:color w:val="000000" w:themeColor="text1"/>
          <w:kern w:val="24"/>
          <w:sz w:val="22"/>
          <w:szCs w:val="22"/>
          <w:lang w:val="fr-CA"/>
        </w:rPr>
      </w:pPr>
      <w:r>
        <w:rPr>
          <w:rFonts w:eastAsia="MS PGothic"/>
          <w:b/>
          <w:bCs/>
          <w:color w:val="000000" w:themeColor="text1"/>
          <w:kern w:val="24"/>
          <w:sz w:val="22"/>
          <w:szCs w:val="22"/>
          <w:lang w:val="fr-CA"/>
        </w:rPr>
        <w:lastRenderedPageBreak/>
        <w:t>PLAN DE TRAVAIL 2020 DU SEDI/OEA : ACTIVITÉS PRÉVUES ET RÉSULTATS ATTENDUS</w:t>
      </w:r>
    </w:p>
    <w:p w:rsidR="005D65E0" w:rsidRPr="00B57B08" w:rsidRDefault="005D65E0" w:rsidP="005D65E0">
      <w:pPr>
        <w:rPr>
          <w:b/>
          <w:color w:val="000000" w:themeColor="text1"/>
          <w:sz w:val="22"/>
          <w:szCs w:val="22"/>
          <w:u w:val="single"/>
          <w:lang w:val="fr-CA"/>
        </w:rPr>
      </w:pPr>
    </w:p>
    <w:tbl>
      <w:tblPr>
        <w:tblW w:w="14778" w:type="dxa"/>
        <w:tblLayout w:type="fixed"/>
        <w:tblLook w:val="04A0" w:firstRow="1" w:lastRow="0" w:firstColumn="1" w:lastColumn="0" w:noHBand="0" w:noVBand="1"/>
      </w:tblPr>
      <w:tblGrid>
        <w:gridCol w:w="2448"/>
        <w:gridCol w:w="2608"/>
        <w:gridCol w:w="92"/>
        <w:gridCol w:w="3148"/>
        <w:gridCol w:w="92"/>
        <w:gridCol w:w="2611"/>
        <w:gridCol w:w="176"/>
        <w:gridCol w:w="3603"/>
      </w:tblGrid>
      <w:tr w:rsidR="005D65E0" w:rsidRPr="00B57B08" w:rsidTr="001F5AA6">
        <w:trPr>
          <w:trHeight w:val="578"/>
        </w:trPr>
        <w:tc>
          <w:tcPr>
            <w:tcW w:w="14778" w:type="dxa"/>
            <w:gridSpan w:val="8"/>
            <w:tcBorders>
              <w:top w:val="nil"/>
              <w:left w:val="nil"/>
              <w:bottom w:val="single" w:sz="4" w:space="0" w:color="auto"/>
              <w:right w:val="nil"/>
            </w:tcBorders>
            <w:shd w:val="clear" w:color="auto" w:fill="auto"/>
            <w:noWrap/>
            <w:vAlign w:val="center"/>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DÉPARTEMENT</w:t>
            </w:r>
            <w:r w:rsidRPr="00B57B08">
              <w:rPr>
                <w:b/>
                <w:bCs/>
                <w:color w:val="000000" w:themeColor="text1"/>
                <w:sz w:val="22"/>
                <w:szCs w:val="22"/>
                <w:lang w:val="fr-CA"/>
              </w:rPr>
              <w:t>/SECTION</w:t>
            </w:r>
            <w:r>
              <w:rPr>
                <w:b/>
                <w:bCs/>
                <w:color w:val="000000" w:themeColor="text1"/>
                <w:sz w:val="22"/>
                <w:szCs w:val="22"/>
                <w:lang w:val="fr-CA"/>
              </w:rPr>
              <w:t xml:space="preserve"> : DÉVELOPPEMENT ÉCONOMIQUE </w:t>
            </w:r>
          </w:p>
          <w:p w:rsidR="005D65E0" w:rsidRPr="00B57B08" w:rsidRDefault="005D65E0" w:rsidP="001F5AA6">
            <w:pPr>
              <w:rPr>
                <w:b/>
                <w:bCs/>
                <w:color w:val="000000" w:themeColor="text1"/>
                <w:sz w:val="22"/>
                <w:szCs w:val="22"/>
                <w:lang w:val="fr-CA"/>
              </w:rPr>
            </w:pPr>
          </w:p>
        </w:tc>
      </w:tr>
      <w:tr w:rsidR="005D65E0" w:rsidRPr="005C1AAB" w:rsidTr="001F5AA6">
        <w:trPr>
          <w:trHeight w:val="540"/>
        </w:trPr>
        <w:tc>
          <w:tcPr>
            <w:tcW w:w="2448" w:type="dxa"/>
            <w:tcBorders>
              <w:top w:val="nil"/>
              <w:left w:val="single" w:sz="4" w:space="0" w:color="auto"/>
              <w:bottom w:val="single" w:sz="4" w:space="0" w:color="auto"/>
              <w:right w:val="single" w:sz="4" w:space="0" w:color="auto"/>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INITIATIVES / ACTIVIT</w:t>
            </w:r>
            <w:r>
              <w:rPr>
                <w:b/>
                <w:bCs/>
                <w:color w:val="000000" w:themeColor="text1"/>
                <w:sz w:val="22"/>
                <w:szCs w:val="22"/>
                <w:lang w:val="fr-CA"/>
              </w:rPr>
              <w:t>É</w:t>
            </w:r>
            <w:r w:rsidRPr="00B57B08">
              <w:rPr>
                <w:b/>
                <w:bCs/>
                <w:color w:val="000000" w:themeColor="text1"/>
                <w:sz w:val="22"/>
                <w:szCs w:val="22"/>
                <w:lang w:val="fr-CA"/>
              </w:rPr>
              <w:t>S</w:t>
            </w:r>
          </w:p>
        </w:tc>
        <w:tc>
          <w:tcPr>
            <w:tcW w:w="2608" w:type="dxa"/>
            <w:tcBorders>
              <w:top w:val="nil"/>
              <w:left w:val="nil"/>
              <w:bottom w:val="single" w:sz="4" w:space="0" w:color="auto"/>
              <w:right w:val="single" w:sz="4" w:space="0" w:color="auto"/>
            </w:tcBorders>
            <w:shd w:val="clear" w:color="000000" w:fill="D9E2F3"/>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CONTRIBUTION</w:t>
            </w:r>
            <w:r>
              <w:rPr>
                <w:b/>
                <w:bCs/>
                <w:color w:val="000000" w:themeColor="text1"/>
                <w:sz w:val="22"/>
                <w:szCs w:val="22"/>
                <w:lang w:val="fr-CA"/>
              </w:rPr>
              <w:t xml:space="preserve"> À LA RÉ</w:t>
            </w:r>
            <w:r w:rsidRPr="00B57B08">
              <w:rPr>
                <w:b/>
                <w:bCs/>
                <w:color w:val="000000" w:themeColor="text1"/>
                <w:sz w:val="22"/>
                <w:szCs w:val="22"/>
                <w:lang w:val="fr-CA"/>
              </w:rPr>
              <w:t>SILIENCE</w:t>
            </w:r>
            <w:r>
              <w:rPr>
                <w:b/>
                <w:bCs/>
                <w:color w:val="000000" w:themeColor="text1"/>
                <w:sz w:val="22"/>
                <w:szCs w:val="22"/>
                <w:lang w:val="fr-CA"/>
              </w:rPr>
              <w:t xml:space="preserve"> ET À LA COMPÉTITIVITÉ</w:t>
            </w:r>
          </w:p>
        </w:tc>
        <w:tc>
          <w:tcPr>
            <w:tcW w:w="3240" w:type="dxa"/>
            <w:gridSpan w:val="2"/>
            <w:tcBorders>
              <w:top w:val="nil"/>
              <w:left w:val="nil"/>
              <w:bottom w:val="single" w:sz="4" w:space="0" w:color="auto"/>
              <w:right w:val="single" w:sz="4" w:space="0" w:color="auto"/>
            </w:tcBorders>
            <w:shd w:val="clear" w:color="000000" w:fill="DBE5F1"/>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RÉSULTATS / CONCLUSIONS ATTENDUS</w:t>
            </w:r>
            <w:r w:rsidRPr="00B57B08">
              <w:rPr>
                <w:b/>
                <w:bCs/>
                <w:color w:val="000000" w:themeColor="text1"/>
                <w:sz w:val="22"/>
                <w:szCs w:val="22"/>
                <w:lang w:val="fr-CA"/>
              </w:rPr>
              <w:t xml:space="preserve"> </w:t>
            </w:r>
          </w:p>
        </w:tc>
        <w:tc>
          <w:tcPr>
            <w:tcW w:w="2703" w:type="dxa"/>
            <w:gridSpan w:val="2"/>
            <w:tcBorders>
              <w:top w:val="nil"/>
              <w:left w:val="nil"/>
              <w:bottom w:val="single" w:sz="4" w:space="0" w:color="auto"/>
              <w:right w:val="single" w:sz="4" w:space="0" w:color="auto"/>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w:t>
            </w:r>
            <w:r>
              <w:rPr>
                <w:b/>
                <w:bCs/>
                <w:color w:val="000000" w:themeColor="text1"/>
                <w:sz w:val="22"/>
                <w:szCs w:val="22"/>
                <w:lang w:val="fr-CA"/>
              </w:rPr>
              <w:t>OOPÉ</w:t>
            </w:r>
            <w:r w:rsidRPr="00B57B08">
              <w:rPr>
                <w:b/>
                <w:bCs/>
                <w:color w:val="000000" w:themeColor="text1"/>
                <w:sz w:val="22"/>
                <w:szCs w:val="22"/>
                <w:lang w:val="fr-CA"/>
              </w:rPr>
              <w:t>RATION</w:t>
            </w:r>
            <w:r>
              <w:rPr>
                <w:b/>
                <w:bCs/>
                <w:color w:val="000000" w:themeColor="text1"/>
                <w:sz w:val="22"/>
                <w:szCs w:val="22"/>
                <w:lang w:val="fr-CA"/>
              </w:rPr>
              <w:t xml:space="preserve"> ET PARTENARIATS</w:t>
            </w:r>
          </w:p>
        </w:tc>
        <w:tc>
          <w:tcPr>
            <w:tcW w:w="3779" w:type="dxa"/>
            <w:gridSpan w:val="2"/>
            <w:tcBorders>
              <w:top w:val="nil"/>
              <w:left w:val="nil"/>
              <w:bottom w:val="single" w:sz="4" w:space="0" w:color="auto"/>
              <w:right w:val="single" w:sz="4" w:space="0" w:color="auto"/>
            </w:tcBorders>
            <w:shd w:val="clear" w:color="000000" w:fill="FFFF00"/>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 xml:space="preserve">RÉPONSE / ADAPTATION À LA </w:t>
            </w:r>
            <w:r w:rsidRPr="00B57B08">
              <w:rPr>
                <w:b/>
                <w:bCs/>
                <w:color w:val="000000" w:themeColor="text1"/>
                <w:sz w:val="22"/>
                <w:szCs w:val="22"/>
                <w:lang w:val="fr-CA"/>
              </w:rPr>
              <w:t>C</w:t>
            </w:r>
            <w:r>
              <w:rPr>
                <w:b/>
                <w:bCs/>
                <w:color w:val="000000" w:themeColor="text1"/>
                <w:sz w:val="22"/>
                <w:szCs w:val="22"/>
                <w:lang w:val="fr-CA"/>
              </w:rPr>
              <w:t xml:space="preserve">OVID-19 </w:t>
            </w:r>
          </w:p>
        </w:tc>
      </w:tr>
      <w:tr w:rsidR="005D65E0" w:rsidRPr="005C1AAB" w:rsidTr="001F5AA6">
        <w:trPr>
          <w:trHeight w:val="278"/>
        </w:trPr>
        <w:tc>
          <w:tcPr>
            <w:tcW w:w="2448"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2330" w:type="dxa"/>
            <w:gridSpan w:val="7"/>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1. </w:t>
            </w:r>
            <w:r>
              <w:rPr>
                <w:b/>
                <w:bCs/>
                <w:color w:val="000000" w:themeColor="text1"/>
                <w:sz w:val="22"/>
                <w:szCs w:val="22"/>
                <w:lang w:val="fr-CA"/>
              </w:rPr>
              <w:t>Promotion d’industries</w:t>
            </w:r>
            <w:r w:rsidRPr="00B57B08">
              <w:rPr>
                <w:b/>
                <w:bCs/>
                <w:color w:val="000000" w:themeColor="text1"/>
                <w:sz w:val="22"/>
                <w:szCs w:val="22"/>
                <w:lang w:val="fr-CA"/>
              </w:rPr>
              <w:t xml:space="preserve"> inclusive</w:t>
            </w:r>
            <w:r>
              <w:rPr>
                <w:b/>
                <w:bCs/>
                <w:color w:val="000000" w:themeColor="text1"/>
                <w:sz w:val="22"/>
                <w:szCs w:val="22"/>
                <w:lang w:val="fr-CA"/>
              </w:rPr>
              <w:t>s et compétitives</w:t>
            </w:r>
          </w:p>
        </w:tc>
      </w:tr>
      <w:tr w:rsidR="005D65E0" w:rsidRPr="005C1AAB" w:rsidTr="001F5AA6">
        <w:trPr>
          <w:trHeight w:val="728"/>
        </w:trPr>
        <w:tc>
          <w:tcPr>
            <w:tcW w:w="2448"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2330" w:type="dxa"/>
            <w:gridSpan w:val="7"/>
            <w:tcBorders>
              <w:top w:val="single" w:sz="4" w:space="0" w:color="auto"/>
              <w:left w:val="nil"/>
              <w:bottom w:val="single" w:sz="4" w:space="0" w:color="auto"/>
              <w:right w:val="nil"/>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1.1. </w:t>
            </w:r>
            <w:r>
              <w:rPr>
                <w:b/>
                <w:bCs/>
                <w:color w:val="000000" w:themeColor="text1"/>
                <w:sz w:val="22"/>
                <w:szCs w:val="22"/>
                <w:lang w:val="fr-CA"/>
              </w:rPr>
              <w:t>Accroitre la capacité des institutions des États membres qui appuient la conception et la mise en œuvre de politiques et de programmes encourageant la productivité, l’entreprenariat, l’innovation et l’internationalisation de microentreprises, de petites et de moyennes entreprises (MPME), de même que de coopératives et d’autres unités de production.</w:t>
            </w:r>
          </w:p>
        </w:tc>
      </w:tr>
      <w:tr w:rsidR="005D65E0" w:rsidRPr="00B57B08" w:rsidTr="001F5AA6">
        <w:trPr>
          <w:trHeight w:val="278"/>
        </w:trPr>
        <w:tc>
          <w:tcPr>
            <w:tcW w:w="14778" w:type="dxa"/>
            <w:gridSpan w:val="8"/>
            <w:tcBorders>
              <w:top w:val="nil"/>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M</w:t>
            </w:r>
            <w:r>
              <w:rPr>
                <w:b/>
                <w:bCs/>
                <w:color w:val="000000" w:themeColor="text1"/>
                <w:sz w:val="22"/>
                <w:szCs w:val="22"/>
                <w:lang w:val="fr-CA"/>
              </w:rPr>
              <w:t>PME </w:t>
            </w:r>
            <w:r w:rsidRPr="00B57B08">
              <w:rPr>
                <w:b/>
                <w:bCs/>
                <w:color w:val="000000" w:themeColor="text1"/>
                <w:sz w:val="22"/>
                <w:szCs w:val="22"/>
                <w:lang w:val="fr-CA"/>
              </w:rPr>
              <w:t>:</w:t>
            </w:r>
          </w:p>
        </w:tc>
      </w:tr>
      <w:tr w:rsidR="005D65E0" w:rsidRPr="005C1AAB" w:rsidTr="001F5AA6">
        <w:trPr>
          <w:trHeight w:val="1343"/>
        </w:trPr>
        <w:tc>
          <w:tcPr>
            <w:tcW w:w="2448"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Mise en œuvre du Plan de numérisation des MPME de l’OEA</w:t>
            </w:r>
          </w:p>
        </w:tc>
        <w:tc>
          <w:tcPr>
            <w:tcW w:w="2608"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Viabilité économique et résilience des PME. En améliorant l’accès à Internet, les PME pourront capitaliser sur la demande qui existe pour leurs produits sur Internet. </w:t>
            </w:r>
            <w:r w:rsidRPr="00B57B08">
              <w:rPr>
                <w:rFonts w:eastAsia="Calibri"/>
                <w:color w:val="000000" w:themeColor="text1"/>
                <w:sz w:val="22"/>
                <w:szCs w:val="22"/>
                <w:lang w:val="fr-CA"/>
              </w:rPr>
              <w:t xml:space="preserve"> </w:t>
            </w: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Mise en œuvre du Plan de numérisation des MPME de l’OEA dans plus de 10 pays</w:t>
            </w:r>
          </w:p>
        </w:tc>
        <w:tc>
          <w:tcPr>
            <w:tcW w:w="2703" w:type="dxa"/>
            <w:gridSpan w:val="2"/>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contextualSpacing/>
              <w:rPr>
                <w:color w:val="000000" w:themeColor="text1"/>
                <w:sz w:val="22"/>
                <w:szCs w:val="22"/>
                <w:lang w:val="fr-CA"/>
              </w:rPr>
            </w:pPr>
            <w:r w:rsidRPr="00B57B08">
              <w:rPr>
                <w:b/>
                <w:bCs/>
                <w:color w:val="000000" w:themeColor="text1"/>
                <w:sz w:val="22"/>
                <w:szCs w:val="22"/>
                <w:lang w:val="fr-CA"/>
              </w:rPr>
              <w:t>In</w:t>
            </w:r>
            <w:r>
              <w:rPr>
                <w:b/>
                <w:bCs/>
                <w:color w:val="000000" w:themeColor="text1"/>
                <w:sz w:val="22"/>
                <w:szCs w:val="22"/>
                <w:lang w:val="fr-CA"/>
              </w:rPr>
              <w:t>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Pr>
                <w:color w:val="000000" w:themeColor="text1"/>
                <w:sz w:val="22"/>
                <w:szCs w:val="22"/>
                <w:lang w:val="fr-CA"/>
              </w:rPr>
              <w:t xml:space="preserve"> Bureau de direction du S</w:t>
            </w:r>
            <w:r w:rsidRPr="00B57B08">
              <w:rPr>
                <w:color w:val="000000" w:themeColor="text1"/>
                <w:sz w:val="22"/>
                <w:szCs w:val="22"/>
                <w:lang w:val="fr-CA"/>
              </w:rPr>
              <w:t>EDI - CooperaNet,</w:t>
            </w:r>
            <w:r>
              <w:rPr>
                <w:color w:val="000000" w:themeColor="text1"/>
                <w:sz w:val="22"/>
                <w:szCs w:val="22"/>
                <w:lang w:val="fr-CA"/>
              </w:rPr>
              <w:t xml:space="preserve"> Département du développement durable (énergie / eau</w:t>
            </w:r>
            <w:r w:rsidRPr="00B57B08">
              <w:rPr>
                <w:color w:val="000000" w:themeColor="text1"/>
                <w:sz w:val="22"/>
                <w:szCs w:val="22"/>
                <w:lang w:val="fr-CA"/>
              </w:rPr>
              <w:t xml:space="preserve">). </w:t>
            </w:r>
          </w:p>
          <w:p w:rsidR="005D65E0" w:rsidRPr="00B57B08" w:rsidRDefault="005D65E0" w:rsidP="001F5AA6">
            <w:pPr>
              <w:contextualSpacing/>
              <w:rPr>
                <w:color w:val="000000" w:themeColor="text1"/>
                <w:sz w:val="22"/>
                <w:szCs w:val="22"/>
                <w:lang w:val="fr-CA"/>
              </w:rPr>
            </w:pPr>
          </w:p>
          <w:p w:rsidR="005D65E0" w:rsidRPr="00B57B08" w:rsidRDefault="005D65E0" w:rsidP="001F5AA6">
            <w:pPr>
              <w:contextualSpacing/>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w:t>
            </w:r>
            <w:r>
              <w:rPr>
                <w:color w:val="000000" w:themeColor="text1"/>
                <w:sz w:val="22"/>
                <w:szCs w:val="22"/>
                <w:lang w:val="fr-CA"/>
              </w:rPr>
              <w:t xml:space="preserve"> </w:t>
            </w:r>
            <w:r w:rsidRPr="00B57B08">
              <w:rPr>
                <w:color w:val="000000" w:themeColor="text1"/>
                <w:sz w:val="22"/>
                <w:szCs w:val="22"/>
                <w:lang w:val="fr-CA"/>
              </w:rPr>
              <w:t>KOLAU</w:t>
            </w:r>
            <w:r>
              <w:rPr>
                <w:color w:val="000000" w:themeColor="text1"/>
                <w:sz w:val="22"/>
                <w:szCs w:val="22"/>
                <w:lang w:val="fr-CA"/>
              </w:rPr>
              <w:t xml:space="preserve"> (basée à Silicon Valley), Facebook, PayPal et d’autres systèmes de paiement en ligne, et des États membres de l’OEA. Des partenaires gouvernementaux et des institutions financières locales, la BID, le programme de développement</w:t>
            </w:r>
            <w:r w:rsidRPr="00B57B08">
              <w:rPr>
                <w:color w:val="000000" w:themeColor="text1"/>
                <w:sz w:val="22"/>
                <w:szCs w:val="22"/>
                <w:lang w:val="fr-CA"/>
              </w:rPr>
              <w:t xml:space="preserve"> Compete Caribbean Partnership Facility, Caribbean Export Development Agency</w:t>
            </w:r>
            <w:r>
              <w:rPr>
                <w:color w:val="000000" w:themeColor="text1"/>
                <w:sz w:val="22"/>
                <w:szCs w:val="22"/>
                <w:lang w:val="fr-CA"/>
              </w:rPr>
              <w:t xml:space="preserve"> (organisme d’exportation des Caraïbes)</w:t>
            </w:r>
            <w:r w:rsidRPr="00B57B08">
              <w:rPr>
                <w:color w:val="000000" w:themeColor="text1"/>
                <w:sz w:val="22"/>
                <w:szCs w:val="22"/>
                <w:lang w:val="fr-CA"/>
              </w:rPr>
              <w:t>.</w:t>
            </w:r>
          </w:p>
        </w:tc>
        <w:tc>
          <w:tcPr>
            <w:tcW w:w="3779" w:type="dxa"/>
            <w:gridSpan w:val="2"/>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Capitali</w:t>
            </w:r>
            <w:r>
              <w:rPr>
                <w:b/>
                <w:bCs/>
                <w:color w:val="000000" w:themeColor="text1"/>
                <w:sz w:val="22"/>
                <w:szCs w:val="22"/>
                <w:lang w:val="fr-CA"/>
              </w:rPr>
              <w:t>ser sur les partenariats </w:t>
            </w:r>
            <w:r w:rsidRPr="00B57B08">
              <w:rPr>
                <w:b/>
                <w:bCs/>
                <w:color w:val="000000" w:themeColor="text1"/>
                <w:sz w:val="22"/>
                <w:szCs w:val="22"/>
                <w:lang w:val="fr-CA"/>
              </w:rPr>
              <w:t xml:space="preserve">: </w:t>
            </w:r>
            <w:r>
              <w:rPr>
                <w:b/>
                <w:bCs/>
                <w:color w:val="000000" w:themeColor="text1"/>
                <w:sz w:val="22"/>
                <w:szCs w:val="22"/>
                <w:lang w:val="fr-CA"/>
              </w:rPr>
              <w:t xml:space="preserve">Le </w:t>
            </w:r>
            <w:r w:rsidRPr="00B57B08">
              <w:rPr>
                <w:color w:val="000000" w:themeColor="text1"/>
                <w:sz w:val="22"/>
                <w:szCs w:val="22"/>
                <w:lang w:val="fr-CA"/>
              </w:rPr>
              <w:t>SEDI</w:t>
            </w:r>
            <w:r>
              <w:rPr>
                <w:color w:val="000000" w:themeColor="text1"/>
                <w:sz w:val="22"/>
                <w:szCs w:val="22"/>
                <w:lang w:val="fr-CA"/>
              </w:rPr>
              <w:t xml:space="preserve"> travaille conjointement avec des partenaires importants pour offrir un ensemble de services et de ressources à nos États membres.</w:t>
            </w:r>
            <w:r w:rsidRPr="00B57B08">
              <w:rPr>
                <w:color w:val="000000" w:themeColor="text1"/>
                <w:sz w:val="22"/>
                <w:szCs w:val="22"/>
                <w:lang w:val="fr-CA"/>
              </w:rPr>
              <w:t xml:space="preserve"> </w:t>
            </w:r>
            <w:r w:rsidRPr="00B57B08">
              <w:rPr>
                <w:color w:val="000000" w:themeColor="text1"/>
                <w:sz w:val="22"/>
                <w:szCs w:val="22"/>
                <w:lang w:val="fr-CA"/>
              </w:rPr>
              <w:br/>
              <w:t xml:space="preserve"> </w:t>
            </w:r>
            <w:r w:rsidRPr="00B57B08">
              <w:rPr>
                <w:color w:val="000000" w:themeColor="text1"/>
                <w:sz w:val="22"/>
                <w:szCs w:val="22"/>
                <w:lang w:val="fr-CA"/>
              </w:rPr>
              <w:br/>
              <w:t>1.Facebook:</w:t>
            </w:r>
            <w:r w:rsidRPr="00B57B08">
              <w:rPr>
                <w:color w:val="000000" w:themeColor="text1"/>
                <w:sz w:val="22"/>
                <w:szCs w:val="22"/>
                <w:lang w:val="fr-CA"/>
              </w:rPr>
              <w:br/>
              <w:t>·Initiative</w:t>
            </w:r>
            <w:r>
              <w:rPr>
                <w:color w:val="000000" w:themeColor="text1"/>
                <w:sz w:val="22"/>
                <w:szCs w:val="22"/>
                <w:lang w:val="fr-CA"/>
              </w:rPr>
              <w:t xml:space="preserve"> visant à appuyer les MPME pendant la</w:t>
            </w:r>
            <w:r w:rsidRPr="00B57B08">
              <w:rPr>
                <w:color w:val="000000" w:themeColor="text1"/>
                <w:sz w:val="22"/>
                <w:szCs w:val="22"/>
                <w:lang w:val="fr-CA"/>
              </w:rPr>
              <w:t xml:space="preserve"> COVID-19</w:t>
            </w:r>
            <w:r>
              <w:rPr>
                <w:color w:val="000000" w:themeColor="text1"/>
                <w:sz w:val="22"/>
                <w:szCs w:val="22"/>
                <w:lang w:val="fr-CA"/>
              </w:rPr>
              <w:t xml:space="preserve"> et juste après.</w:t>
            </w:r>
            <w:r>
              <w:rPr>
                <w:color w:val="000000" w:themeColor="text1"/>
                <w:sz w:val="22"/>
                <w:szCs w:val="22"/>
                <w:lang w:val="fr-CA"/>
              </w:rPr>
              <w:br/>
              <w:t>·Tables fondes en ligne.</w:t>
            </w:r>
            <w:r>
              <w:rPr>
                <w:color w:val="000000" w:themeColor="text1"/>
                <w:sz w:val="22"/>
                <w:szCs w:val="22"/>
                <w:lang w:val="fr-CA"/>
              </w:rPr>
              <w:br/>
              <w:t>·Cours en ligne</w:t>
            </w:r>
            <w:r w:rsidRPr="00B57B08">
              <w:rPr>
                <w:color w:val="000000" w:themeColor="text1"/>
                <w:sz w:val="22"/>
                <w:szCs w:val="22"/>
                <w:lang w:val="fr-CA"/>
              </w:rPr>
              <w:t>.</w:t>
            </w:r>
            <w:r w:rsidRPr="00B57B08">
              <w:rPr>
                <w:color w:val="000000" w:themeColor="text1"/>
                <w:sz w:val="22"/>
                <w:szCs w:val="22"/>
                <w:lang w:val="fr-CA"/>
              </w:rPr>
              <w:br/>
            </w:r>
            <w:r w:rsidRPr="00B57B08">
              <w:rPr>
                <w:color w:val="000000" w:themeColor="text1"/>
                <w:sz w:val="22"/>
                <w:szCs w:val="22"/>
                <w:lang w:val="fr-CA"/>
              </w:rPr>
              <w:br/>
              <w:t xml:space="preserve">2. </w:t>
            </w:r>
            <w:r>
              <w:rPr>
                <w:color w:val="000000" w:themeColor="text1"/>
                <w:sz w:val="22"/>
                <w:szCs w:val="22"/>
                <w:lang w:val="fr-CA"/>
              </w:rPr>
              <w:t>Services Web d’Amazon</w:t>
            </w:r>
            <w:r w:rsidRPr="00B57B08">
              <w:rPr>
                <w:color w:val="000000" w:themeColor="text1"/>
                <w:sz w:val="22"/>
                <w:szCs w:val="22"/>
                <w:lang w:val="fr-CA"/>
              </w:rPr>
              <w:t xml:space="preserve"> (AWS)</w:t>
            </w:r>
            <w:r>
              <w:rPr>
                <w:color w:val="000000" w:themeColor="text1"/>
                <w:sz w:val="22"/>
                <w:szCs w:val="22"/>
                <w:lang w:val="fr-CA"/>
              </w:rPr>
              <w:t> :</w:t>
            </w:r>
            <w:r>
              <w:rPr>
                <w:color w:val="000000" w:themeColor="text1"/>
                <w:sz w:val="22"/>
                <w:szCs w:val="22"/>
                <w:lang w:val="fr-CA"/>
              </w:rPr>
              <w:br/>
              <w:t>·séries de blogs</w:t>
            </w:r>
            <w:r w:rsidRPr="00B57B08">
              <w:rPr>
                <w:color w:val="000000" w:themeColor="text1"/>
                <w:sz w:val="22"/>
                <w:szCs w:val="22"/>
                <w:lang w:val="fr-CA"/>
              </w:rPr>
              <w:t xml:space="preserve"> </w:t>
            </w:r>
            <w:r w:rsidRPr="00B57B08">
              <w:rPr>
                <w:color w:val="000000" w:themeColor="text1"/>
                <w:sz w:val="22"/>
                <w:szCs w:val="22"/>
                <w:lang w:val="fr-CA"/>
              </w:rPr>
              <w:br/>
              <w:t>·</w:t>
            </w:r>
            <w:r>
              <w:rPr>
                <w:color w:val="000000" w:themeColor="text1"/>
                <w:sz w:val="22"/>
                <w:szCs w:val="22"/>
                <w:lang w:val="fr-CA"/>
              </w:rPr>
              <w:t>solutions utilisant les TI</w:t>
            </w:r>
            <w:r w:rsidRPr="00B57B08">
              <w:rPr>
                <w:color w:val="000000" w:themeColor="text1"/>
                <w:sz w:val="22"/>
                <w:szCs w:val="22"/>
                <w:lang w:val="fr-CA"/>
              </w:rPr>
              <w:t xml:space="preserve"> </w:t>
            </w:r>
            <w:r>
              <w:rPr>
                <w:color w:val="000000" w:themeColor="text1"/>
                <w:sz w:val="22"/>
                <w:szCs w:val="22"/>
                <w:lang w:val="fr-CA"/>
              </w:rPr>
              <w:br/>
              <w:t>·ressources en matière d’éducation</w:t>
            </w:r>
            <w:r w:rsidRPr="00B57B08">
              <w:rPr>
                <w:color w:val="000000" w:themeColor="text1"/>
                <w:sz w:val="22"/>
                <w:szCs w:val="22"/>
                <w:lang w:val="fr-CA"/>
              </w:rPr>
              <w:t xml:space="preserve"> </w:t>
            </w:r>
            <w:r>
              <w:rPr>
                <w:color w:val="000000" w:themeColor="text1"/>
                <w:sz w:val="22"/>
                <w:szCs w:val="22"/>
                <w:lang w:val="fr-CA"/>
              </w:rPr>
              <w:br/>
              <w:t>·Educate.com</w:t>
            </w:r>
            <w:r>
              <w:rPr>
                <w:color w:val="000000" w:themeColor="text1"/>
                <w:sz w:val="22"/>
                <w:szCs w:val="22"/>
                <w:lang w:val="fr-CA"/>
              </w:rPr>
              <w:br/>
              <w:t>·Systèmes de sécurité virtuels</w:t>
            </w:r>
            <w:r w:rsidRPr="00B57B08">
              <w:rPr>
                <w:color w:val="000000" w:themeColor="text1"/>
                <w:sz w:val="22"/>
                <w:szCs w:val="22"/>
                <w:lang w:val="fr-CA"/>
              </w:rPr>
              <w:t xml:space="preserve"> </w:t>
            </w:r>
            <w:r w:rsidRPr="00B57B08">
              <w:rPr>
                <w:color w:val="000000" w:themeColor="text1"/>
                <w:sz w:val="22"/>
                <w:szCs w:val="22"/>
                <w:lang w:val="fr-CA"/>
              </w:rPr>
              <w:br/>
              <w:t>·Surveillance</w:t>
            </w:r>
            <w:r>
              <w:rPr>
                <w:color w:val="000000" w:themeColor="text1"/>
                <w:sz w:val="22"/>
                <w:szCs w:val="22"/>
                <w:lang w:val="fr-CA"/>
              </w:rPr>
              <w:t xml:space="preserve"> et analyse de données</w:t>
            </w:r>
            <w:r w:rsidRPr="00B57B08">
              <w:rPr>
                <w:color w:val="000000" w:themeColor="text1"/>
                <w:sz w:val="22"/>
                <w:szCs w:val="22"/>
                <w:lang w:val="fr-CA"/>
              </w:rPr>
              <w:t xml:space="preserve"> </w:t>
            </w:r>
          </w:p>
        </w:tc>
      </w:tr>
      <w:tr w:rsidR="005D65E0" w:rsidRPr="005C1AAB" w:rsidTr="001F5AA6">
        <w:trPr>
          <w:trHeight w:val="555"/>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Formation et ressources pour aider les entreprises à devenir résilientes</w:t>
            </w:r>
            <w:r w:rsidRPr="00B57B08">
              <w:rPr>
                <w:rFonts w:eastAsia="Calibri"/>
                <w:color w:val="000000" w:themeColor="text1"/>
                <w:sz w:val="22"/>
                <w:szCs w:val="22"/>
                <w:lang w:val="fr-CA"/>
              </w:rPr>
              <w:t xml:space="preserve"> (</w:t>
            </w:r>
            <w:r>
              <w:rPr>
                <w:rFonts w:eastAsia="Calibri"/>
                <w:color w:val="000000" w:themeColor="text1"/>
                <w:sz w:val="22"/>
                <w:szCs w:val="22"/>
                <w:lang w:val="fr-CA"/>
              </w:rPr>
              <w:t>vidéo en direct sur YouTube tous les mois</w:t>
            </w:r>
            <w:r w:rsidRPr="00B57B08">
              <w:rPr>
                <w:rFonts w:eastAsia="Calibri"/>
                <w:color w:val="000000" w:themeColor="text1"/>
                <w:sz w:val="22"/>
                <w:szCs w:val="22"/>
                <w:lang w:val="fr-CA"/>
              </w:rPr>
              <w:t>)</w:t>
            </w: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Formation en compétences numériques pour des PME dans au moins 5 pays</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25"/>
        </w:trPr>
        <w:tc>
          <w:tcPr>
            <w:tcW w:w="2448"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contextualSpacing/>
              <w:rPr>
                <w:b/>
                <w:bCs/>
                <w:color w:val="000000" w:themeColor="text1"/>
                <w:sz w:val="22"/>
                <w:szCs w:val="22"/>
                <w:lang w:val="fr-CA"/>
              </w:rPr>
            </w:pPr>
            <w:r>
              <w:rPr>
                <w:b/>
                <w:bCs/>
                <w:color w:val="000000" w:themeColor="text1"/>
                <w:sz w:val="22"/>
                <w:szCs w:val="22"/>
                <w:lang w:val="fr-CA"/>
              </w:rPr>
              <w:t>Modèle de centre de développement des petites entreprises</w:t>
            </w:r>
          </w:p>
        </w:tc>
        <w:tc>
          <w:tcPr>
            <w:tcW w:w="2608"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Certification en ligne et plateforme de formation pour les MPME pour permettre aux centre de développement des petites entreprises des Caraïbes d’accroitre leur résilience </w:t>
            </w: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Étendu à d’autres États membres intéressés</w:t>
            </w:r>
            <w:r w:rsidRPr="00B57B08">
              <w:rPr>
                <w:color w:val="000000" w:themeColor="text1"/>
                <w:sz w:val="22"/>
                <w:szCs w:val="22"/>
                <w:lang w:val="fr-CA"/>
              </w:rPr>
              <w:t>.</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286"/>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Assistance technique ciblée offerte à des centres de développement des petites entreprises et à leurs clients dans des domaines prioritaires comme : connaissances financières de base et gestion, productivité, accroissement de la résilience et compétitivité.</w:t>
            </w:r>
            <w:r w:rsidRPr="00B57B08">
              <w:rPr>
                <w:color w:val="000000" w:themeColor="text1"/>
                <w:sz w:val="22"/>
                <w:szCs w:val="22"/>
                <w:lang w:val="fr-CA"/>
              </w:rPr>
              <w:t xml:space="preserve"> </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Prestation de services de vulgarisation de la technologie à des centres de développement des </w:t>
            </w:r>
            <w:r>
              <w:rPr>
                <w:color w:val="000000" w:themeColor="text1"/>
                <w:sz w:val="22"/>
                <w:szCs w:val="22"/>
                <w:lang w:val="fr-CA"/>
              </w:rPr>
              <w:lastRenderedPageBreak/>
              <w:t>petites entreprises clients.</w:t>
            </w:r>
            <w:r w:rsidRPr="00B57B08">
              <w:rPr>
                <w:color w:val="000000" w:themeColor="text1"/>
                <w:sz w:val="22"/>
                <w:szCs w:val="22"/>
                <w:lang w:val="fr-CA"/>
              </w:rPr>
              <w:t xml:space="preserve"> </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sz w:val="22"/>
                <w:szCs w:val="22"/>
                <w:lang w:val="fr-CA"/>
              </w:rPr>
            </w:pPr>
            <w:r>
              <w:rPr>
                <w:color w:val="000000" w:themeColor="text1"/>
                <w:sz w:val="22"/>
                <w:szCs w:val="22"/>
                <w:lang w:val="fr-CA"/>
              </w:rPr>
              <w:t xml:space="preserve">Offre d’assistance technique et de renforcement des capacités aux centres de développement des petites entreprises clients, en particulier les industries culturelles, créatives et du tourisme. </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Construction et lancement d’une plateforme d’apprentissage en ligne destinée aux centres de développement des petites entreprises</w:t>
            </w:r>
            <w:r w:rsidRPr="00B57B08">
              <w:rPr>
                <w:color w:val="000000" w:themeColor="text1"/>
                <w:sz w:val="22"/>
                <w:szCs w:val="22"/>
                <w:lang w:val="fr-CA"/>
              </w:rPr>
              <w:t>.</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140"/>
        </w:trPr>
        <w:tc>
          <w:tcPr>
            <w:tcW w:w="2448"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 xml:space="preserve">Centre d’information en ligne de politiques et de programmes à l’intention des MPME et bulletin mensuel sur le développement des MPME </w:t>
            </w:r>
          </w:p>
        </w:tc>
        <w:tc>
          <w:tcPr>
            <w:tcW w:w="2608"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Appel lancé pour recueillir des politiques et des programmes publics portant spécifiquement sur la résilience des PME, la continuité de leurs opérations et leur compétitivité</w:t>
            </w:r>
            <w:r w:rsidRPr="00B57B08">
              <w:rPr>
                <w:rFonts w:eastAsia="Calibri"/>
                <w:color w:val="000000" w:themeColor="text1"/>
                <w:sz w:val="22"/>
                <w:szCs w:val="22"/>
                <w:lang w:val="fr-CA"/>
              </w:rPr>
              <w:t xml:space="preserve"> </w:t>
            </w: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C</w:t>
            </w:r>
            <w:r>
              <w:rPr>
                <w:color w:val="000000" w:themeColor="text1"/>
                <w:sz w:val="22"/>
                <w:szCs w:val="22"/>
                <w:lang w:val="fr-CA"/>
              </w:rPr>
              <w:t xml:space="preserve">entre d’information permettant d’accéder à un vaste inventaire compilé pour la région de bonnes pratiques en matière de politiques publiques et de programmes destinés à accroitre la résilience et la compétitivité des PME  </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448"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2608"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Partage de politiques publiques et de programmes portant spécifiquement sur la résilience et la compétitivité des PME </w:t>
            </w:r>
          </w:p>
        </w:tc>
        <w:tc>
          <w:tcPr>
            <w:tcW w:w="324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Chaque numéro du bulletin mensuel sur le développement des MPME comportera un article vedette sur la résilience des PME </w:t>
            </w: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44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DIALOGUE EN MATIÈRE DE POLITIQUES : Suivi du Dialogue interaméricain de haut niveau de responsables de MPME</w:t>
            </w:r>
          </w:p>
        </w:tc>
        <w:tc>
          <w:tcPr>
            <w:tcW w:w="2608"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Réunions virtuelles portant principalement sur la résilience des PME, la continuité de leurs opérations et leur compétitivité</w:t>
            </w:r>
            <w:r w:rsidRPr="00B57B08">
              <w:rPr>
                <w:color w:val="000000" w:themeColor="text1"/>
                <w:sz w:val="22"/>
                <w:szCs w:val="22"/>
                <w:lang w:val="fr-CA"/>
              </w:rPr>
              <w:t xml:space="preserve"> </w:t>
            </w:r>
          </w:p>
        </w:tc>
        <w:tc>
          <w:tcPr>
            <w:tcW w:w="3240" w:type="dxa"/>
            <w:gridSpan w:val="2"/>
            <w:tcBorders>
              <w:top w:val="nil"/>
              <w:left w:val="nil"/>
              <w:bottom w:val="single" w:sz="4" w:space="0" w:color="auto"/>
              <w:right w:val="single" w:sz="4" w:space="0" w:color="auto"/>
            </w:tcBorders>
            <w:shd w:val="clear" w:color="auto" w:fill="auto"/>
            <w:hideMark/>
          </w:tcPr>
          <w:p w:rsidR="005D65E0" w:rsidRDefault="005D65E0" w:rsidP="001F5AA6">
            <w:pPr>
              <w:rPr>
                <w:color w:val="000000" w:themeColor="text1"/>
                <w:sz w:val="22"/>
                <w:szCs w:val="22"/>
                <w:lang w:val="fr-CA"/>
              </w:rPr>
            </w:pPr>
            <w:r w:rsidRPr="00B57B08">
              <w:rPr>
                <w:color w:val="000000" w:themeColor="text1"/>
                <w:sz w:val="22"/>
                <w:szCs w:val="22"/>
                <w:lang w:val="fr-CA"/>
              </w:rPr>
              <w:t>A</w:t>
            </w:r>
            <w:r>
              <w:rPr>
                <w:color w:val="000000" w:themeColor="text1"/>
                <w:sz w:val="22"/>
                <w:szCs w:val="22"/>
                <w:lang w:val="fr-CA"/>
              </w:rPr>
              <w:t>u moins 10 bonnes pratiques seront partagées et des opportunités concrètes de coopération en matière de politiques et de programmes visant à appuyer la résilience et la compétitivité des MPME seront identifiées</w:t>
            </w:r>
            <w:r w:rsidRPr="00B57B08">
              <w:rPr>
                <w:color w:val="000000" w:themeColor="text1"/>
                <w:sz w:val="22"/>
                <w:szCs w:val="22"/>
                <w:lang w:val="fr-CA"/>
              </w:rPr>
              <w:t xml:space="preserve"> </w:t>
            </w:r>
          </w:p>
          <w:p w:rsidR="005C1AAB" w:rsidRDefault="005C1AAB" w:rsidP="001F5AA6">
            <w:pPr>
              <w:rPr>
                <w:color w:val="000000" w:themeColor="text1"/>
                <w:sz w:val="22"/>
                <w:szCs w:val="22"/>
                <w:lang w:val="fr-CA"/>
              </w:rPr>
            </w:pPr>
          </w:p>
          <w:p w:rsidR="005C1AAB" w:rsidRPr="00B57B08" w:rsidRDefault="005C1AAB" w:rsidP="001F5AA6">
            <w:pPr>
              <w:rPr>
                <w:color w:val="000000" w:themeColor="text1"/>
                <w:sz w:val="22"/>
                <w:szCs w:val="22"/>
                <w:lang w:val="fr-CA"/>
              </w:rPr>
            </w:pPr>
          </w:p>
        </w:tc>
        <w:tc>
          <w:tcPr>
            <w:tcW w:w="270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779" w:type="dxa"/>
            <w:gridSpan w:val="2"/>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rPr>
        <w:tc>
          <w:tcPr>
            <w:tcW w:w="2448"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OBJECTIF STRATÉGIQUE</w:t>
            </w:r>
          </w:p>
        </w:tc>
        <w:tc>
          <w:tcPr>
            <w:tcW w:w="12330" w:type="dxa"/>
            <w:gridSpan w:val="7"/>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1</w:t>
            </w:r>
            <w:r>
              <w:rPr>
                <w:b/>
                <w:bCs/>
                <w:color w:val="000000" w:themeColor="text1"/>
                <w:sz w:val="22"/>
                <w:szCs w:val="22"/>
                <w:lang w:val="fr-CA"/>
              </w:rPr>
              <w:t xml:space="preserve">.2. Accroitre la coopération régionale, intensifier les partages de connaissances, encourager le transfert de technologie selon des conditions convenues entre les parties, et resserrer la collaboration intersectorielle entre les États membres et au sein de ceux-ci dans les domaines de la compétitivité, la productivité et l’innovation.  </w:t>
            </w:r>
          </w:p>
        </w:tc>
      </w:tr>
      <w:tr w:rsidR="005D65E0" w:rsidRPr="00B57B08"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14778" w:type="dxa"/>
            <w:gridSpan w:val="8"/>
            <w:shd w:val="clear" w:color="000000" w:fill="F2F2F2"/>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Comp</w:t>
            </w:r>
            <w:r>
              <w:rPr>
                <w:b/>
                <w:bCs/>
                <w:color w:val="000000" w:themeColor="text1"/>
                <w:sz w:val="22"/>
                <w:szCs w:val="22"/>
                <w:lang w:val="fr-CA"/>
              </w:rPr>
              <w:t>étitivité </w:t>
            </w:r>
            <w:r w:rsidRPr="00B57B08">
              <w:rPr>
                <w:b/>
                <w:bCs/>
                <w:color w:val="000000" w:themeColor="text1"/>
                <w:sz w:val="22"/>
                <w:szCs w:val="22"/>
                <w:lang w:val="fr-CA"/>
              </w:rPr>
              <w:t>:</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0"/>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Réseau interaméricain de compétitivité</w:t>
            </w:r>
            <w:r w:rsidRPr="00B57B08">
              <w:rPr>
                <w:rFonts w:eastAsia="Calibri"/>
                <w:b/>
                <w:bCs/>
                <w:color w:val="000000" w:themeColor="text1"/>
                <w:sz w:val="22"/>
                <w:szCs w:val="22"/>
                <w:lang w:val="fr-CA"/>
              </w:rPr>
              <w:t xml:space="preserve"> (RIAC)</w:t>
            </w:r>
            <w:r w:rsidRPr="00B57B08">
              <w:rPr>
                <w:rFonts w:eastAsia="Calibri"/>
                <w:b/>
                <w:bCs/>
                <w:color w:val="000000" w:themeColor="text1"/>
                <w:sz w:val="22"/>
                <w:szCs w:val="22"/>
                <w:lang w:val="fr-CA"/>
              </w:rPr>
              <w:br/>
            </w:r>
            <w:r w:rsidRPr="00B57B08">
              <w:rPr>
                <w:rFonts w:eastAsia="Calibri"/>
                <w:b/>
                <w:bCs/>
                <w:color w:val="000000" w:themeColor="text1"/>
                <w:sz w:val="22"/>
                <w:szCs w:val="22"/>
                <w:lang w:val="fr-CA"/>
              </w:rPr>
              <w:br/>
            </w:r>
            <w:r>
              <w:rPr>
                <w:rFonts w:eastAsia="Calibri"/>
                <w:b/>
                <w:bCs/>
                <w:color w:val="000000" w:themeColor="text1"/>
                <w:sz w:val="22"/>
                <w:szCs w:val="22"/>
                <w:lang w:val="fr-CA"/>
              </w:rPr>
              <w:t>Échange sur la compétitivité des Amériques en matière d’innovation et d’entreprenariat (ECA</w:t>
            </w:r>
            <w:r w:rsidRPr="00B57B08">
              <w:rPr>
                <w:rFonts w:eastAsia="Calibri"/>
                <w:b/>
                <w:bCs/>
                <w:color w:val="000000" w:themeColor="text1"/>
                <w:sz w:val="22"/>
                <w:szCs w:val="22"/>
                <w:lang w:val="fr-CA"/>
              </w:rPr>
              <w:t>)</w:t>
            </w:r>
          </w:p>
        </w:tc>
        <w:tc>
          <w:tcPr>
            <w:tcW w:w="2608" w:type="dxa"/>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Partage de</w:t>
            </w:r>
            <w:r w:rsidRPr="00B57B08">
              <w:rPr>
                <w:rFonts w:eastAsia="Calibri"/>
                <w:color w:val="000000" w:themeColor="text1"/>
                <w:sz w:val="22"/>
                <w:szCs w:val="22"/>
                <w:lang w:val="fr-CA"/>
              </w:rPr>
              <w:t xml:space="preserve"> solutions,</w:t>
            </w:r>
            <w:r>
              <w:rPr>
                <w:rFonts w:eastAsia="Calibri"/>
                <w:color w:val="000000" w:themeColor="text1"/>
                <w:sz w:val="22"/>
                <w:szCs w:val="22"/>
                <w:lang w:val="fr-CA"/>
              </w:rPr>
              <w:t xml:space="preserve"> de données d’expériences provenant de villes et de sites importants sur la résilience </w:t>
            </w:r>
            <w:r w:rsidRPr="00997963">
              <w:rPr>
                <w:rFonts w:eastAsia="Calibri"/>
                <w:color w:val="000000" w:themeColor="text1"/>
                <w:sz w:val="22"/>
                <w:szCs w:val="22"/>
                <w:lang w:val="fr-CA"/>
              </w:rPr>
              <w:t>économique pour la compétitivité, création de partenariats</w:t>
            </w:r>
            <w:r w:rsidRPr="00B57B08">
              <w:rPr>
                <w:rFonts w:eastAsia="Calibri"/>
                <w:color w:val="000000" w:themeColor="text1"/>
                <w:sz w:val="22"/>
                <w:szCs w:val="22"/>
                <w:lang w:val="fr-CA"/>
              </w:rPr>
              <w:t xml:space="preserve"> </w:t>
            </w:r>
          </w:p>
        </w:tc>
        <w:tc>
          <w:tcPr>
            <w:tcW w:w="3332" w:type="dxa"/>
            <w:gridSpan w:val="3"/>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Deux nouvelles éditions de l’ECA ont eu lieu et au moins 10 partenariats à long terme ont été établis en matière de développement économique local amené par l’innovation</w:t>
            </w:r>
            <w:r w:rsidRPr="00B57B08">
              <w:rPr>
                <w:color w:val="000000" w:themeColor="text1"/>
                <w:sz w:val="22"/>
                <w:szCs w:val="22"/>
                <w:lang w:val="fr-CA"/>
              </w:rPr>
              <w:t xml:space="preserve"> </w:t>
            </w:r>
          </w:p>
          <w:p w:rsidR="005D65E0" w:rsidRPr="00B57B08"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r>
              <w:rPr>
                <w:color w:val="000000" w:themeColor="text1"/>
                <w:sz w:val="22"/>
                <w:szCs w:val="22"/>
                <w:lang w:val="fr-CA"/>
              </w:rPr>
              <w:t xml:space="preserve">D’importants décideurs des Amériques et d’ailleurs feront eux-mêmes l’expérience de la vaste gamme de projets, d’investissements stratégiques, de partenariats public-privé et de bonnes pratiques provenant des écosystèmes de la région relatifs à l’innovation et à l’entreprenariat. </w:t>
            </w:r>
            <w:r w:rsidRPr="00B57B08">
              <w:rPr>
                <w:color w:val="000000" w:themeColor="text1"/>
                <w:sz w:val="22"/>
                <w:szCs w:val="22"/>
                <w:lang w:val="fr-CA"/>
              </w:rPr>
              <w:t xml:space="preserve"> </w:t>
            </w:r>
            <w:r>
              <w:rPr>
                <w:color w:val="000000" w:themeColor="text1"/>
                <w:sz w:val="22"/>
                <w:szCs w:val="22"/>
                <w:lang w:val="fr-CA"/>
              </w:rPr>
              <w:t xml:space="preserve">L’ECA encourage les partenariats en donnant suite à des idées et à des modèles qui fonctionnent pour créer des emplois dans le but de renforcer les économies dont le moteur est la communauté.  </w:t>
            </w:r>
          </w:p>
        </w:tc>
        <w:tc>
          <w:tcPr>
            <w:tcW w:w="2611" w:type="dxa"/>
            <w:vMerge w:val="restart"/>
            <w:shd w:val="clear" w:color="auto" w:fill="auto"/>
            <w:hideMark/>
          </w:tcPr>
          <w:p w:rsidR="005D65E0" w:rsidRPr="00B57B08" w:rsidRDefault="005D65E0" w:rsidP="001F5AA6">
            <w:pPr>
              <w:contextualSpacing/>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sidRPr="00B57B08">
              <w:rPr>
                <w:color w:val="000000" w:themeColor="text1"/>
                <w:sz w:val="22"/>
                <w:szCs w:val="22"/>
                <w:lang w:val="fr-CA"/>
              </w:rPr>
              <w:t xml:space="preserve"> RIAC, </w:t>
            </w:r>
            <w:r>
              <w:rPr>
                <w:color w:val="000000" w:themeColor="text1"/>
                <w:sz w:val="22"/>
                <w:szCs w:val="22"/>
                <w:lang w:val="fr-CA"/>
              </w:rPr>
              <w:t xml:space="preserve">Bureau de direction du </w:t>
            </w:r>
            <w:r w:rsidRPr="00B57B08">
              <w:rPr>
                <w:color w:val="000000" w:themeColor="text1"/>
                <w:sz w:val="22"/>
                <w:szCs w:val="22"/>
                <w:lang w:val="fr-CA"/>
              </w:rPr>
              <w:t>SEDI,</w:t>
            </w:r>
            <w:r>
              <w:rPr>
                <w:color w:val="000000" w:themeColor="text1"/>
                <w:sz w:val="22"/>
                <w:szCs w:val="22"/>
                <w:lang w:val="fr-CA"/>
              </w:rPr>
              <w:t xml:space="preserve"> départements du SEDI</w:t>
            </w:r>
            <w:r w:rsidRPr="00B57B08">
              <w:rPr>
                <w:color w:val="000000" w:themeColor="text1"/>
                <w:sz w:val="22"/>
                <w:szCs w:val="22"/>
                <w:lang w:val="fr-CA"/>
              </w:rPr>
              <w:t>,</w:t>
            </w:r>
            <w:r>
              <w:rPr>
                <w:color w:val="000000" w:themeColor="text1"/>
                <w:sz w:val="22"/>
                <w:szCs w:val="22"/>
                <w:lang w:val="fr-CA"/>
              </w:rPr>
              <w:t xml:space="preserve"> Bureau du Conseiller stratégique</w:t>
            </w:r>
            <w:r w:rsidRPr="00B57B08">
              <w:rPr>
                <w:color w:val="000000" w:themeColor="text1"/>
                <w:sz w:val="22"/>
                <w:szCs w:val="22"/>
                <w:lang w:val="fr-CA"/>
              </w:rPr>
              <w:t xml:space="preserve">. </w:t>
            </w:r>
          </w:p>
          <w:p w:rsidR="005D65E0" w:rsidRPr="00B57B08" w:rsidRDefault="005D65E0" w:rsidP="001F5AA6">
            <w:pPr>
              <w:contextualSpacing/>
              <w:rPr>
                <w:color w:val="000000" w:themeColor="text1"/>
                <w:sz w:val="22"/>
                <w:szCs w:val="22"/>
                <w:lang w:val="fr-CA"/>
              </w:rPr>
            </w:pPr>
          </w:p>
          <w:p w:rsidR="005D65E0" w:rsidRPr="00B57B08" w:rsidRDefault="005D65E0" w:rsidP="001F5AA6">
            <w:pPr>
              <w:contextualSpacing/>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w:t>
            </w:r>
            <w:r w:rsidRPr="00B57B08">
              <w:rPr>
                <w:color w:val="000000" w:themeColor="text1"/>
                <w:sz w:val="22"/>
                <w:szCs w:val="22"/>
                <w:lang w:val="fr-CA"/>
              </w:rPr>
              <w:t xml:space="preserve"> </w:t>
            </w:r>
            <w:r>
              <w:rPr>
                <w:color w:val="000000" w:themeColor="text1"/>
                <w:sz w:val="22"/>
                <w:szCs w:val="22"/>
                <w:lang w:val="fr-CA"/>
              </w:rPr>
              <w:t xml:space="preserve">collaboration entre </w:t>
            </w:r>
            <w:r w:rsidRPr="00B57B08">
              <w:rPr>
                <w:color w:val="000000" w:themeColor="text1"/>
                <w:sz w:val="22"/>
                <w:szCs w:val="22"/>
                <w:lang w:val="fr-CA"/>
              </w:rPr>
              <w:t>CONAMER</w:t>
            </w:r>
            <w:r>
              <w:rPr>
                <w:color w:val="000000" w:themeColor="text1"/>
                <w:sz w:val="22"/>
                <w:szCs w:val="22"/>
                <w:lang w:val="fr-CA"/>
              </w:rPr>
              <w:t xml:space="preserve"> et le Mexique entre des hauts fonctionnaires des pays, des États ou provinces et des municipalités, des chefs de file du secteur privé, et le monde universitaire, le Département du commerce des États-Unis (Economic Development Administration et International Trade Administration), le Département d’État des États-Unis</w:t>
            </w:r>
            <w:r w:rsidRPr="00B57B08">
              <w:rPr>
                <w:color w:val="000000" w:themeColor="text1"/>
                <w:sz w:val="22"/>
                <w:szCs w:val="22"/>
                <w:lang w:val="fr-CA"/>
              </w:rPr>
              <w:t>,</w:t>
            </w:r>
            <w:r>
              <w:rPr>
                <w:color w:val="000000" w:themeColor="text1"/>
                <w:sz w:val="22"/>
                <w:szCs w:val="22"/>
                <w:lang w:val="fr-CA"/>
              </w:rPr>
              <w:t xml:space="preserve"> la Fondation panaméricaine pour le développement (FUPAD), les États membres de l’OEA, le secteur privé et le monde universitaire</w:t>
            </w:r>
          </w:p>
        </w:tc>
        <w:tc>
          <w:tcPr>
            <w:tcW w:w="3779" w:type="dxa"/>
            <w:gridSpan w:val="2"/>
            <w:shd w:val="clear" w:color="000000" w:fill="FFFF00"/>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dentifier les capacités et els approches novatrices qui favoriseront la compétitivité </w:t>
            </w:r>
            <w:r w:rsidRPr="00B57B08">
              <w:rPr>
                <w:b/>
                <w:bCs/>
                <w:color w:val="000000" w:themeColor="text1"/>
                <w:sz w:val="22"/>
                <w:szCs w:val="22"/>
                <w:lang w:val="fr-CA"/>
              </w:rPr>
              <w:t xml:space="preserve">:  </w:t>
            </w:r>
            <w:r>
              <w:rPr>
                <w:color w:val="000000" w:themeColor="text1"/>
                <w:sz w:val="22"/>
                <w:szCs w:val="22"/>
                <w:lang w:val="fr-CA"/>
              </w:rPr>
              <w:t xml:space="preserve">L’accélérateur d’idées du RIAC sur la </w:t>
            </w:r>
            <w:r w:rsidRPr="00B57B08">
              <w:rPr>
                <w:color w:val="000000" w:themeColor="text1"/>
                <w:sz w:val="22"/>
                <w:szCs w:val="22"/>
                <w:lang w:val="fr-CA"/>
              </w:rPr>
              <w:t>COVID-19</w:t>
            </w:r>
            <w:r>
              <w:rPr>
                <w:color w:val="000000" w:themeColor="text1"/>
                <w:sz w:val="22"/>
                <w:szCs w:val="22"/>
                <w:lang w:val="fr-CA"/>
              </w:rPr>
              <w:t xml:space="preserve"> identifie et partage des produits et services novateurs basés sur les solutions pour aborder certains des besoins les plus pressants amenés par la </w:t>
            </w:r>
            <w:r w:rsidRPr="00B57B08">
              <w:rPr>
                <w:color w:val="000000" w:themeColor="text1"/>
                <w:sz w:val="22"/>
                <w:szCs w:val="22"/>
                <w:lang w:val="fr-CA"/>
              </w:rPr>
              <w:t>COVID-19.</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Partage de connaissances et échange de bonnes pratiques </w:t>
            </w:r>
            <w:r w:rsidRPr="00B57B08">
              <w:rPr>
                <w:b/>
                <w:bCs/>
                <w:color w:val="000000" w:themeColor="text1"/>
                <w:sz w:val="22"/>
                <w:szCs w:val="22"/>
                <w:lang w:val="fr-CA"/>
              </w:rPr>
              <w:t xml:space="preserve">: </w:t>
            </w:r>
            <w:r>
              <w:rPr>
                <w:color w:val="000000" w:themeColor="text1"/>
                <w:sz w:val="22"/>
                <w:szCs w:val="22"/>
                <w:lang w:val="fr-CA"/>
              </w:rPr>
              <w:t xml:space="preserve">Les États membres ont accès à des opportunités d’apprentissage, de partage de projets, de données d’expériences et d’autres ressources qui peuvent aider à déployer, répliquer ou adapter des initiatives visant à mitiger les défis que pose la </w:t>
            </w:r>
            <w:r w:rsidRPr="00B57B08">
              <w:rPr>
                <w:color w:val="000000" w:themeColor="text1"/>
                <w:sz w:val="22"/>
                <w:szCs w:val="22"/>
                <w:lang w:val="fr-CA"/>
              </w:rPr>
              <w:t>COVID-19.</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br/>
              <w:t>- Participation</w:t>
            </w:r>
            <w:r>
              <w:rPr>
                <w:color w:val="000000" w:themeColor="text1"/>
                <w:sz w:val="22"/>
                <w:szCs w:val="22"/>
                <w:lang w:val="fr-CA"/>
              </w:rPr>
              <w:t xml:space="preserve"> à des séries de réunions virtuelles, de webinaires et d’ateliers virtuels</w:t>
            </w:r>
            <w:r w:rsidRPr="00B57B08">
              <w:rPr>
                <w:color w:val="000000" w:themeColor="text1"/>
                <w:sz w:val="22"/>
                <w:szCs w:val="22"/>
                <w:lang w:val="fr-CA"/>
              </w:rPr>
              <w:t>.</w:t>
            </w:r>
            <w:r w:rsidRPr="00B57B08">
              <w:rPr>
                <w:color w:val="000000" w:themeColor="text1"/>
                <w:sz w:val="22"/>
                <w:szCs w:val="22"/>
                <w:lang w:val="fr-CA"/>
              </w:rPr>
              <w:br/>
              <w:t>- Port</w:t>
            </w:r>
            <w:r>
              <w:rPr>
                <w:color w:val="000000" w:themeColor="text1"/>
                <w:sz w:val="22"/>
                <w:szCs w:val="22"/>
                <w:lang w:val="fr-CA"/>
              </w:rPr>
              <w:t>efeuille de ressources en matière de développement et de réponses des États membres à la COVID-19 en ce qui concerne la compétitivité</w:t>
            </w:r>
            <w:r w:rsidRPr="00B57B08">
              <w:rPr>
                <w:color w:val="000000" w:themeColor="text1"/>
                <w:sz w:val="22"/>
                <w:szCs w:val="22"/>
                <w:lang w:val="fr-CA"/>
              </w:rPr>
              <w:t>.</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8"/>
        </w:trPr>
        <w:tc>
          <w:tcPr>
            <w:tcW w:w="2448" w:type="dxa"/>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Group</w:t>
            </w:r>
            <w:r>
              <w:rPr>
                <w:b/>
                <w:bCs/>
                <w:color w:val="000000" w:themeColor="text1"/>
                <w:sz w:val="22"/>
                <w:szCs w:val="22"/>
                <w:lang w:val="fr-CA"/>
              </w:rPr>
              <w:t>e d’experts en compétitivité sous-nationale</w:t>
            </w:r>
            <w:r w:rsidRPr="00B57B08">
              <w:rPr>
                <w:b/>
                <w:bCs/>
                <w:color w:val="000000" w:themeColor="text1"/>
                <w:sz w:val="22"/>
                <w:szCs w:val="22"/>
                <w:lang w:val="fr-CA"/>
              </w:rPr>
              <w:t xml:space="preserve"> (GTECS):</w:t>
            </w:r>
            <w:r>
              <w:rPr>
                <w:color w:val="000000" w:themeColor="text1"/>
                <w:sz w:val="22"/>
                <w:szCs w:val="22"/>
                <w:lang w:val="fr-CA"/>
              </w:rPr>
              <w:t xml:space="preserve"> Groupe de travail sur la construction (permis) </w:t>
            </w:r>
            <w:r w:rsidRPr="00B57B08">
              <w:rPr>
                <w:color w:val="000000" w:themeColor="text1"/>
                <w:sz w:val="22"/>
                <w:szCs w:val="22"/>
                <w:lang w:val="fr-CA"/>
              </w:rPr>
              <w:t>GTECS.</w:t>
            </w:r>
          </w:p>
        </w:tc>
        <w:tc>
          <w:tcPr>
            <w:tcW w:w="2608"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Partage de bonnes pratiques locales pour la mise en œuvre de réformes de la réglementation, en particulier en ce qui concerne l’émission de permis de construction</w:t>
            </w:r>
          </w:p>
        </w:tc>
        <w:tc>
          <w:tcPr>
            <w:tcW w:w="3332" w:type="dxa"/>
            <w:gridSpan w:val="3"/>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La mise en œuvre de la méthodologie VECS </w:t>
            </w:r>
            <w:r w:rsidRPr="00B57B08">
              <w:rPr>
                <w:color w:val="000000" w:themeColor="text1"/>
                <w:sz w:val="22"/>
                <w:szCs w:val="22"/>
                <w:lang w:val="fr-CA"/>
              </w:rPr>
              <w:t xml:space="preserve">(Simplified Construction Window) </w:t>
            </w:r>
            <w:r>
              <w:rPr>
                <w:color w:val="000000" w:themeColor="text1"/>
                <w:sz w:val="22"/>
                <w:szCs w:val="22"/>
                <w:lang w:val="fr-CA"/>
              </w:rPr>
              <w:t xml:space="preserve">de CONAMER commence dans 2 pays : 3 procédures, 10 jours de travail et 5 interactions avec l’Autorité nationale  </w:t>
            </w:r>
          </w:p>
        </w:tc>
        <w:tc>
          <w:tcPr>
            <w:tcW w:w="2611" w:type="dxa"/>
            <w:vMerge/>
            <w:vAlign w:val="center"/>
            <w:hideMark/>
          </w:tcPr>
          <w:p w:rsidR="005D65E0" w:rsidRPr="00B57B08" w:rsidRDefault="005D65E0" w:rsidP="001F5AA6">
            <w:pPr>
              <w:rPr>
                <w:color w:val="000000" w:themeColor="text1"/>
                <w:sz w:val="22"/>
                <w:szCs w:val="22"/>
                <w:lang w:val="fr-CA"/>
              </w:rPr>
            </w:pPr>
          </w:p>
        </w:tc>
        <w:tc>
          <w:tcPr>
            <w:tcW w:w="3779" w:type="dxa"/>
            <w:gridSpan w:val="2"/>
            <w:shd w:val="clear" w:color="000000" w:fill="FFFF00"/>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8"/>
        </w:trPr>
        <w:tc>
          <w:tcPr>
            <w:tcW w:w="2448" w:type="dxa"/>
            <w:shd w:val="clear" w:color="auto" w:fill="auto"/>
            <w:hideMark/>
          </w:tcPr>
          <w:p w:rsidR="005D65E0" w:rsidRPr="00B57B08" w:rsidRDefault="005D65E0" w:rsidP="001F5AA6">
            <w:pPr>
              <w:rPr>
                <w:color w:val="000000" w:themeColor="text1"/>
                <w:sz w:val="22"/>
                <w:szCs w:val="22"/>
                <w:lang w:val="fr-CA"/>
              </w:rPr>
            </w:pPr>
            <w:r>
              <w:rPr>
                <w:rFonts w:eastAsia="Calibri"/>
                <w:b/>
                <w:bCs/>
                <w:color w:val="000000" w:themeColor="text1"/>
                <w:sz w:val="22"/>
                <w:szCs w:val="22"/>
                <w:lang w:val="fr-CA"/>
              </w:rPr>
              <w:lastRenderedPageBreak/>
              <w:t>DIALOGUE EN MATIÈRE DE POLITIQUES </w:t>
            </w:r>
            <w:r w:rsidRPr="00B57B08">
              <w:rPr>
                <w:rFonts w:eastAsia="Calibri"/>
                <w:b/>
                <w:bCs/>
                <w:color w:val="000000" w:themeColor="text1"/>
                <w:sz w:val="22"/>
                <w:szCs w:val="22"/>
                <w:lang w:val="fr-CA"/>
              </w:rPr>
              <w:t xml:space="preserve">:  </w:t>
            </w:r>
            <w:r w:rsidRPr="00B57B08">
              <w:rPr>
                <w:rFonts w:eastAsia="Calibri"/>
                <w:color w:val="000000" w:themeColor="text1"/>
                <w:sz w:val="22"/>
                <w:szCs w:val="22"/>
                <w:lang w:val="fr-CA"/>
              </w:rPr>
              <w:t>Pr</w:t>
            </w:r>
            <w:r>
              <w:rPr>
                <w:rFonts w:eastAsia="Calibri"/>
                <w:color w:val="000000" w:themeColor="text1"/>
                <w:sz w:val="22"/>
                <w:szCs w:val="22"/>
                <w:lang w:val="fr-CA"/>
              </w:rPr>
              <w:t>é</w:t>
            </w:r>
            <w:r w:rsidRPr="00B57B08">
              <w:rPr>
                <w:rFonts w:eastAsia="Calibri"/>
                <w:color w:val="000000" w:themeColor="text1"/>
                <w:sz w:val="22"/>
                <w:szCs w:val="22"/>
                <w:lang w:val="fr-CA"/>
              </w:rPr>
              <w:t>paration</w:t>
            </w:r>
            <w:r>
              <w:rPr>
                <w:rFonts w:eastAsia="Calibri"/>
                <w:color w:val="000000" w:themeColor="text1"/>
                <w:sz w:val="22"/>
                <w:szCs w:val="22"/>
                <w:lang w:val="fr-CA"/>
              </w:rPr>
              <w:t xml:space="preserve"> du Forum sur la compétitivité dans les Amériques et de la Réunion annuelle des ministres</w:t>
            </w:r>
            <w:r w:rsidRPr="00B57B08">
              <w:rPr>
                <w:rFonts w:eastAsia="Calibri"/>
                <w:color w:val="000000" w:themeColor="text1"/>
                <w:sz w:val="22"/>
                <w:szCs w:val="22"/>
                <w:lang w:val="fr-CA"/>
              </w:rPr>
              <w:t>,</w:t>
            </w:r>
            <w:r>
              <w:rPr>
                <w:rFonts w:eastAsia="Calibri"/>
                <w:color w:val="000000" w:themeColor="text1"/>
                <w:sz w:val="22"/>
                <w:szCs w:val="22"/>
                <w:lang w:val="fr-CA"/>
              </w:rPr>
              <w:t xml:space="preserve"> des hauts fonctionnaires et des Conseils de la compétitivité des Amériques</w:t>
            </w:r>
            <w:r w:rsidRPr="00B57B08">
              <w:rPr>
                <w:rFonts w:eastAsia="Calibri"/>
                <w:color w:val="000000" w:themeColor="text1"/>
                <w:sz w:val="22"/>
                <w:szCs w:val="22"/>
                <w:lang w:val="fr-CA"/>
              </w:rPr>
              <w:t>.</w:t>
            </w:r>
          </w:p>
        </w:tc>
        <w:tc>
          <w:tcPr>
            <w:tcW w:w="2608"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Conception d’une approche fondée sur les données pour accroitre la compétitivité et encourager la résilience des PME dans les Amériques</w:t>
            </w:r>
          </w:p>
        </w:tc>
        <w:tc>
          <w:tcPr>
            <w:tcW w:w="3332" w:type="dxa"/>
            <w:gridSpan w:val="3"/>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Conception d’une approche fondée sur les données visant à accroitre la compétitivité. La mise en œuvre commence dans deux pays  </w:t>
            </w:r>
          </w:p>
        </w:tc>
        <w:tc>
          <w:tcPr>
            <w:tcW w:w="2611" w:type="dxa"/>
            <w:vMerge/>
            <w:vAlign w:val="center"/>
            <w:hideMark/>
          </w:tcPr>
          <w:p w:rsidR="005D65E0" w:rsidRPr="00B57B08" w:rsidRDefault="005D65E0" w:rsidP="001F5AA6">
            <w:pPr>
              <w:rPr>
                <w:color w:val="000000" w:themeColor="text1"/>
                <w:sz w:val="22"/>
                <w:szCs w:val="22"/>
                <w:lang w:val="fr-CA"/>
              </w:rPr>
            </w:pPr>
          </w:p>
        </w:tc>
        <w:tc>
          <w:tcPr>
            <w:tcW w:w="3779" w:type="dxa"/>
            <w:gridSpan w:val="2"/>
            <w:shd w:val="clear" w:color="000000" w:fill="FFFF00"/>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Le Forum sur la compétitivité dans les Amériques (FCA) portera principalement sur les politiques et les capacité institutionnelles nécessaires pour faire face aux implications économiques à court, moyen et long terme de la </w:t>
            </w:r>
            <w:r w:rsidRPr="00B57B08">
              <w:rPr>
                <w:color w:val="000000" w:themeColor="text1"/>
                <w:sz w:val="22"/>
                <w:szCs w:val="22"/>
                <w:lang w:val="fr-CA"/>
              </w:rPr>
              <w:t>COVID-19.</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trPr>
        <w:tc>
          <w:tcPr>
            <w:tcW w:w="2448"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2330" w:type="dxa"/>
            <w:gridSpan w:val="7"/>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1</w:t>
            </w:r>
            <w:r>
              <w:rPr>
                <w:b/>
                <w:bCs/>
                <w:color w:val="000000" w:themeColor="text1"/>
                <w:sz w:val="22"/>
                <w:szCs w:val="22"/>
                <w:lang w:val="fr-CA"/>
              </w:rPr>
              <w:t>.3. Accroitre la coopération dans le but de renforcer les capacités institutionnelles des États membres d’incorporer les innovations ainsi que les technologies transformatrices qui leur permettront de créer une valeur ajoutée et de diversifier leur économie de façon durable et inclusive</w:t>
            </w:r>
            <w:r w:rsidRPr="00B57B08">
              <w:rPr>
                <w:b/>
                <w:bCs/>
                <w:color w:val="000000" w:themeColor="text1"/>
                <w:sz w:val="22"/>
                <w:szCs w:val="22"/>
                <w:lang w:val="fr-CA"/>
              </w:rPr>
              <w:t>.</w:t>
            </w:r>
          </w:p>
        </w:tc>
      </w:tr>
      <w:tr w:rsidR="005D65E0" w:rsidRPr="00B57B08"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6"/>
        </w:trPr>
        <w:tc>
          <w:tcPr>
            <w:tcW w:w="14778" w:type="dxa"/>
            <w:gridSpan w:val="8"/>
            <w:shd w:val="clear" w:color="000000" w:fill="F2F2F2"/>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Science</w:t>
            </w:r>
            <w:r>
              <w:rPr>
                <w:b/>
                <w:bCs/>
                <w:color w:val="000000" w:themeColor="text1"/>
                <w:sz w:val="22"/>
                <w:szCs w:val="22"/>
                <w:lang w:val="fr-CA"/>
              </w:rPr>
              <w:t xml:space="preserve"> et technologie </w:t>
            </w:r>
            <w:r w:rsidRPr="00B57B08">
              <w:rPr>
                <w:b/>
                <w:bCs/>
                <w:color w:val="000000" w:themeColor="text1"/>
                <w:sz w:val="22"/>
                <w:szCs w:val="22"/>
                <w:lang w:val="fr-CA"/>
              </w:rPr>
              <w:t>:</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8"/>
        </w:trPr>
        <w:tc>
          <w:tcPr>
            <w:tcW w:w="2448" w:type="dxa"/>
            <w:shd w:val="clear" w:color="auto" w:fill="auto"/>
            <w:hideMark/>
          </w:tcPr>
          <w:p w:rsidR="005D65E0" w:rsidRPr="00B57B08" w:rsidRDefault="005D65E0" w:rsidP="001F5AA6">
            <w:pPr>
              <w:rPr>
                <w:color w:val="000000" w:themeColor="text1"/>
                <w:sz w:val="22"/>
                <w:szCs w:val="22"/>
                <w:lang w:val="fr-CA"/>
              </w:rPr>
            </w:pPr>
            <w:r>
              <w:rPr>
                <w:rFonts w:eastAsia="Calibri"/>
                <w:b/>
                <w:bCs/>
                <w:color w:val="000000" w:themeColor="text1"/>
                <w:sz w:val="22"/>
                <w:szCs w:val="22"/>
                <w:lang w:val="fr-CA"/>
              </w:rPr>
              <w:t>DIALOGUE EN MATIÈRE DE POLITIQUES </w:t>
            </w:r>
            <w:r w:rsidRPr="00B57B08">
              <w:rPr>
                <w:rFonts w:eastAsia="Calibri"/>
                <w:b/>
                <w:bCs/>
                <w:color w:val="000000" w:themeColor="text1"/>
                <w:sz w:val="22"/>
                <w:szCs w:val="22"/>
                <w:lang w:val="fr-CA"/>
              </w:rPr>
              <w:t>:</w:t>
            </w:r>
            <w:r>
              <w:rPr>
                <w:rFonts w:eastAsia="Calibri"/>
                <w:color w:val="000000" w:themeColor="text1"/>
                <w:sz w:val="22"/>
                <w:szCs w:val="22"/>
                <w:lang w:val="fr-CA"/>
              </w:rPr>
              <w:t xml:space="preserve"> Sixième Réunion des ministres et des hauts fonctionnaires chargés de la science et de la technologie.</w:t>
            </w:r>
            <w:r w:rsidRPr="00B57B08">
              <w:rPr>
                <w:rFonts w:eastAsia="Calibri"/>
                <w:color w:val="000000" w:themeColor="text1"/>
                <w:sz w:val="22"/>
                <w:szCs w:val="22"/>
                <w:lang w:val="fr-CA"/>
              </w:rPr>
              <w:t xml:space="preserve"> </w:t>
            </w:r>
            <w:r>
              <w:rPr>
                <w:rFonts w:eastAsia="Calibri"/>
                <w:color w:val="000000" w:themeColor="text1"/>
                <w:sz w:val="22"/>
                <w:szCs w:val="22"/>
                <w:lang w:val="fr-CA"/>
              </w:rPr>
              <w:t>Thè</w:t>
            </w:r>
            <w:r w:rsidRPr="00B57B08">
              <w:rPr>
                <w:rFonts w:eastAsia="Calibri"/>
                <w:color w:val="000000" w:themeColor="text1"/>
                <w:sz w:val="22"/>
                <w:szCs w:val="22"/>
                <w:lang w:val="fr-CA"/>
              </w:rPr>
              <w:t>me</w:t>
            </w:r>
            <w:r>
              <w:rPr>
                <w:rFonts w:eastAsia="Calibri"/>
                <w:color w:val="000000" w:themeColor="text1"/>
                <w:sz w:val="22"/>
                <w:szCs w:val="22"/>
                <w:lang w:val="fr-CA"/>
              </w:rPr>
              <w:t> </w:t>
            </w:r>
            <w:r w:rsidRPr="00B57B08">
              <w:rPr>
                <w:rFonts w:eastAsia="Calibri"/>
                <w:color w:val="000000" w:themeColor="text1"/>
                <w:sz w:val="22"/>
                <w:szCs w:val="22"/>
                <w:lang w:val="fr-CA"/>
              </w:rPr>
              <w:t>: “Harn</w:t>
            </w:r>
            <w:r>
              <w:rPr>
                <w:rFonts w:eastAsia="Calibri"/>
                <w:color w:val="000000" w:themeColor="text1"/>
                <w:sz w:val="22"/>
                <w:szCs w:val="22"/>
                <w:lang w:val="fr-CA"/>
              </w:rPr>
              <w:t>acher la puissance des sciences et technologies transformatrices pour faire progresser nos communautés</w:t>
            </w:r>
            <w:r w:rsidRPr="00B57B08">
              <w:rPr>
                <w:rFonts w:eastAsia="Calibri"/>
                <w:color w:val="000000" w:themeColor="text1"/>
                <w:sz w:val="22"/>
                <w:szCs w:val="22"/>
                <w:lang w:val="fr-CA"/>
              </w:rPr>
              <w:t>”</w:t>
            </w:r>
            <w:r w:rsidRPr="00B57B08">
              <w:rPr>
                <w:rFonts w:eastAsia="Calibri"/>
                <w:color w:val="000000" w:themeColor="text1"/>
                <w:sz w:val="22"/>
                <w:szCs w:val="22"/>
                <w:lang w:val="fr-CA"/>
              </w:rPr>
              <w:br/>
            </w:r>
            <w:r w:rsidRPr="00B57B08">
              <w:rPr>
                <w:rFonts w:eastAsia="Calibri"/>
                <w:color w:val="000000" w:themeColor="text1"/>
                <w:sz w:val="22"/>
                <w:szCs w:val="22"/>
                <w:lang w:val="fr-CA"/>
              </w:rPr>
              <w:br/>
            </w:r>
            <w:r>
              <w:rPr>
                <w:rFonts w:eastAsia="Calibri"/>
                <w:color w:val="000000" w:themeColor="text1"/>
                <w:sz w:val="22"/>
                <w:szCs w:val="22"/>
                <w:lang w:val="fr-CA"/>
              </w:rPr>
              <w:t xml:space="preserve">Groupes de travail de la </w:t>
            </w:r>
            <w:r w:rsidRPr="00B57B08">
              <w:rPr>
                <w:rFonts w:eastAsia="Calibri"/>
                <w:color w:val="000000" w:themeColor="text1"/>
                <w:sz w:val="22"/>
                <w:szCs w:val="22"/>
                <w:lang w:val="fr-CA"/>
              </w:rPr>
              <w:t>COMCYT</w:t>
            </w:r>
            <w:r>
              <w:rPr>
                <w:rFonts w:eastAsia="Calibri"/>
                <w:color w:val="000000" w:themeColor="text1"/>
                <w:sz w:val="22"/>
                <w:szCs w:val="22"/>
                <w:lang w:val="fr-CA"/>
              </w:rPr>
              <w:t xml:space="preserve"> sur a) l’innovation; b) l’enseignement en génie; c) l’infrastructure nationale de qualité; d) le développement technologique</w:t>
            </w:r>
            <w:r w:rsidRPr="00B57B08">
              <w:rPr>
                <w:rFonts w:eastAsia="Calibri"/>
                <w:color w:val="000000" w:themeColor="text1"/>
                <w:sz w:val="22"/>
                <w:szCs w:val="22"/>
                <w:lang w:val="fr-CA"/>
              </w:rPr>
              <w:t>.</w:t>
            </w:r>
          </w:p>
        </w:tc>
        <w:tc>
          <w:tcPr>
            <w:tcW w:w="2700" w:type="dxa"/>
            <w:gridSpan w:val="2"/>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Des défis à l’échelle régionale pour “accroitre la résilience</w:t>
            </w:r>
            <w:r w:rsidRPr="00B57B08">
              <w:rPr>
                <w:rFonts w:eastAsia="Calibri"/>
                <w:color w:val="000000" w:themeColor="text1"/>
                <w:sz w:val="22"/>
                <w:szCs w:val="22"/>
                <w:lang w:val="fr-CA"/>
              </w:rPr>
              <w:t>”</w:t>
            </w:r>
            <w:r>
              <w:rPr>
                <w:rFonts w:eastAsia="Calibri"/>
                <w:color w:val="000000" w:themeColor="text1"/>
                <w:sz w:val="22"/>
                <w:szCs w:val="22"/>
                <w:lang w:val="fr-CA"/>
              </w:rPr>
              <w:t xml:space="preserve"> seront présentés à la conférence ministérielle de même qu’à la deuxième édition de</w:t>
            </w:r>
            <w:r w:rsidRPr="00B57B08">
              <w:rPr>
                <w:rFonts w:eastAsia="Calibri"/>
                <w:color w:val="000000" w:themeColor="text1"/>
                <w:sz w:val="22"/>
                <w:szCs w:val="22"/>
                <w:lang w:val="fr-CA"/>
              </w:rPr>
              <w:t xml:space="preserve"> Prospecta Americas,</w:t>
            </w:r>
            <w:r>
              <w:rPr>
                <w:rFonts w:eastAsia="Calibri"/>
                <w:color w:val="000000" w:themeColor="text1"/>
                <w:sz w:val="22"/>
                <w:szCs w:val="22"/>
                <w:lang w:val="fr-CA"/>
              </w:rPr>
              <w:t xml:space="preserve"> pour tenter de trouver des solutions à la fine pointe de la technologie</w:t>
            </w:r>
            <w:r w:rsidRPr="00B57B08">
              <w:rPr>
                <w:rFonts w:eastAsia="Calibri"/>
                <w:color w:val="000000" w:themeColor="text1"/>
                <w:sz w:val="22"/>
                <w:szCs w:val="22"/>
                <w:lang w:val="fr-CA"/>
              </w:rPr>
              <w:t xml:space="preserve">. </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La conférence ministérielle est une occasion d’examiner à la lumière du développement la plateforme permettant de faire des prévisions et de soumettre les résultats aux chefs d’État à l’occasion du Sommet des Amériques</w:t>
            </w:r>
            <w:r w:rsidRPr="00B57B08">
              <w:rPr>
                <w:rFonts w:eastAsia="Calibri"/>
                <w:color w:val="000000" w:themeColor="text1"/>
                <w:sz w:val="22"/>
                <w:szCs w:val="22"/>
                <w:lang w:val="fr-CA"/>
              </w:rPr>
              <w:t>.</w:t>
            </w:r>
          </w:p>
        </w:tc>
        <w:tc>
          <w:tcPr>
            <w:tcW w:w="2787" w:type="dxa"/>
            <w:gridSpan w:val="2"/>
            <w:vMerge w:val="restart"/>
            <w:shd w:val="clear" w:color="auto" w:fill="auto"/>
            <w:hideMark/>
          </w:tcPr>
          <w:p w:rsidR="005D65E0" w:rsidRPr="00B57B08" w:rsidRDefault="005D65E0" w:rsidP="001F5AA6">
            <w:pPr>
              <w:contextualSpacing/>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sidRPr="00B57B08">
              <w:rPr>
                <w:color w:val="000000" w:themeColor="text1"/>
                <w:sz w:val="22"/>
                <w:szCs w:val="22"/>
                <w:lang w:val="fr-CA"/>
              </w:rPr>
              <w:t xml:space="preserve"> </w:t>
            </w:r>
            <w:r>
              <w:rPr>
                <w:color w:val="000000" w:themeColor="text1"/>
                <w:sz w:val="22"/>
                <w:szCs w:val="22"/>
                <w:lang w:val="fr-CA"/>
              </w:rPr>
              <w:t xml:space="preserve">Bureau de direction du </w:t>
            </w:r>
            <w:r w:rsidRPr="00B57B08">
              <w:rPr>
                <w:color w:val="000000" w:themeColor="text1"/>
                <w:sz w:val="22"/>
                <w:szCs w:val="22"/>
                <w:lang w:val="fr-CA"/>
              </w:rPr>
              <w:t>SEDI</w:t>
            </w:r>
            <w:r>
              <w:rPr>
                <w:color w:val="000000" w:themeColor="text1"/>
                <w:sz w:val="22"/>
                <w:szCs w:val="22"/>
                <w:lang w:val="fr-CA"/>
              </w:rPr>
              <w:t xml:space="preserve"> et départements du</w:t>
            </w:r>
            <w:r w:rsidRPr="00B57B08">
              <w:rPr>
                <w:color w:val="000000" w:themeColor="text1"/>
                <w:sz w:val="22"/>
                <w:szCs w:val="22"/>
                <w:lang w:val="fr-CA"/>
              </w:rPr>
              <w:t xml:space="preserve"> SEDI. </w:t>
            </w:r>
          </w:p>
          <w:p w:rsidR="005D65E0" w:rsidRPr="00B57B08" w:rsidRDefault="005D65E0" w:rsidP="001F5AA6">
            <w:pPr>
              <w:contextualSpacing/>
              <w:rPr>
                <w:color w:val="000000" w:themeColor="text1"/>
                <w:sz w:val="22"/>
                <w:szCs w:val="22"/>
                <w:lang w:val="fr-CA"/>
              </w:rPr>
            </w:pPr>
          </w:p>
          <w:p w:rsidR="005D65E0" w:rsidRPr="00B57B08" w:rsidRDefault="005D65E0" w:rsidP="001F5AA6">
            <w:pPr>
              <w:contextualSpacing/>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w:t>
            </w:r>
            <w:r>
              <w:rPr>
                <w:color w:val="000000" w:themeColor="text1"/>
                <w:sz w:val="22"/>
                <w:szCs w:val="22"/>
                <w:lang w:val="fr-CA"/>
              </w:rPr>
              <w:t xml:space="preserve"> NCST-Jamaïque</w:t>
            </w:r>
            <w:r w:rsidRPr="00B57B08">
              <w:rPr>
                <w:color w:val="000000" w:themeColor="text1"/>
                <w:sz w:val="22"/>
                <w:szCs w:val="22"/>
                <w:lang w:val="fr-CA"/>
              </w:rPr>
              <w:t>, CONCYTE</w:t>
            </w:r>
            <w:r>
              <w:rPr>
                <w:color w:val="000000" w:themeColor="text1"/>
                <w:sz w:val="22"/>
                <w:szCs w:val="22"/>
                <w:lang w:val="fr-CA"/>
              </w:rPr>
              <w:t>C, Purdue University, Université de</w:t>
            </w:r>
            <w:r w:rsidRPr="00B57B08">
              <w:rPr>
                <w:color w:val="000000" w:themeColor="text1"/>
                <w:sz w:val="22"/>
                <w:szCs w:val="22"/>
                <w:lang w:val="fr-CA"/>
              </w:rPr>
              <w:t xml:space="preserve"> Sao Paolo, UNAM, PUCP-P</w:t>
            </w:r>
            <w:r>
              <w:rPr>
                <w:color w:val="000000" w:themeColor="text1"/>
                <w:sz w:val="22"/>
                <w:szCs w:val="22"/>
                <w:lang w:val="fr-CA"/>
              </w:rPr>
              <w:t>érou</w:t>
            </w:r>
            <w:r w:rsidRPr="00B57B08">
              <w:rPr>
                <w:color w:val="000000" w:themeColor="text1"/>
                <w:sz w:val="22"/>
                <w:szCs w:val="22"/>
                <w:lang w:val="fr-CA"/>
              </w:rPr>
              <w:t>, ElementAI (Canada), U</w:t>
            </w:r>
            <w:r>
              <w:rPr>
                <w:color w:val="000000" w:themeColor="text1"/>
                <w:sz w:val="22"/>
                <w:szCs w:val="22"/>
                <w:lang w:val="fr-CA"/>
              </w:rPr>
              <w:t>niversité Externado de Colombie</w:t>
            </w:r>
            <w:r w:rsidRPr="00B57B08">
              <w:rPr>
                <w:color w:val="000000" w:themeColor="text1"/>
                <w:sz w:val="22"/>
                <w:szCs w:val="22"/>
                <w:lang w:val="fr-CA"/>
              </w:rPr>
              <w:t xml:space="preserve">, Illinois Institute of Technology, </w:t>
            </w:r>
            <w:r>
              <w:rPr>
                <w:color w:val="000000" w:themeColor="text1"/>
                <w:sz w:val="22"/>
                <w:szCs w:val="22"/>
                <w:lang w:val="fr-CA"/>
              </w:rPr>
              <w:t>Université Georgetown</w:t>
            </w:r>
            <w:r w:rsidRPr="00B57B08">
              <w:rPr>
                <w:color w:val="000000" w:themeColor="text1"/>
                <w:sz w:val="22"/>
                <w:szCs w:val="22"/>
                <w:lang w:val="fr-CA"/>
              </w:rPr>
              <w:t>, AWS</w:t>
            </w:r>
            <w:r>
              <w:rPr>
                <w:color w:val="000000" w:themeColor="text1"/>
                <w:sz w:val="22"/>
                <w:szCs w:val="22"/>
                <w:lang w:val="fr-CA"/>
              </w:rPr>
              <w:t xml:space="preserve"> et d’autres partenaires du secteur privé et du monde universitaire</w:t>
            </w:r>
            <w:r w:rsidRPr="00B57B08">
              <w:rPr>
                <w:color w:val="000000" w:themeColor="text1"/>
                <w:sz w:val="22"/>
                <w:szCs w:val="22"/>
                <w:lang w:val="fr-CA"/>
              </w:rPr>
              <w:t>.</w:t>
            </w:r>
          </w:p>
        </w:tc>
        <w:tc>
          <w:tcPr>
            <w:tcW w:w="3603" w:type="dxa"/>
            <w:vMerge w:val="restart"/>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Ressources technologiques pour tous </w:t>
            </w:r>
            <w:r w:rsidRPr="00B57B08">
              <w:rPr>
                <w:b/>
                <w:bCs/>
                <w:color w:val="000000" w:themeColor="text1"/>
                <w:sz w:val="22"/>
                <w:szCs w:val="22"/>
                <w:lang w:val="fr-CA"/>
              </w:rPr>
              <w:t>:</w:t>
            </w:r>
            <w:r w:rsidRPr="00B57B08">
              <w:rPr>
                <w:b/>
                <w:bCs/>
                <w:color w:val="000000" w:themeColor="text1"/>
                <w:sz w:val="22"/>
                <w:szCs w:val="22"/>
                <w:lang w:val="fr-CA"/>
              </w:rPr>
              <w:br/>
            </w:r>
            <w:r>
              <w:rPr>
                <w:color w:val="000000" w:themeColor="text1"/>
                <w:sz w:val="22"/>
                <w:szCs w:val="22"/>
                <w:lang w:val="fr-CA"/>
              </w:rPr>
              <w:t xml:space="preserve">La prochaine Réunion des ministres et des hauts fonctionnaires </w:t>
            </w:r>
            <w:r w:rsidRPr="00B57B08">
              <w:rPr>
                <w:color w:val="000000" w:themeColor="text1"/>
                <w:sz w:val="22"/>
                <w:szCs w:val="22"/>
                <w:lang w:val="fr-CA"/>
              </w:rPr>
              <w:t>(REMCYT) (Jama</w:t>
            </w:r>
            <w:r>
              <w:rPr>
                <w:color w:val="000000" w:themeColor="text1"/>
                <w:sz w:val="22"/>
                <w:szCs w:val="22"/>
                <w:lang w:val="fr-CA"/>
              </w:rPr>
              <w:t>ïque</w:t>
            </w:r>
            <w:r w:rsidRPr="00B57B08">
              <w:rPr>
                <w:color w:val="000000" w:themeColor="text1"/>
                <w:sz w:val="22"/>
                <w:szCs w:val="22"/>
                <w:lang w:val="fr-CA"/>
              </w:rPr>
              <w:t>,</w:t>
            </w:r>
            <w:r>
              <w:rPr>
                <w:color w:val="000000" w:themeColor="text1"/>
                <w:sz w:val="22"/>
                <w:szCs w:val="22"/>
                <w:lang w:val="fr-CA"/>
              </w:rPr>
              <w:t xml:space="preserve"> novembre</w:t>
            </w:r>
            <w:r w:rsidRPr="00B57B08">
              <w:rPr>
                <w:color w:val="000000" w:themeColor="text1"/>
                <w:sz w:val="22"/>
                <w:szCs w:val="22"/>
                <w:lang w:val="fr-CA"/>
              </w:rPr>
              <w:t xml:space="preserve"> 2020)</w:t>
            </w:r>
            <w:r>
              <w:rPr>
                <w:color w:val="000000" w:themeColor="text1"/>
                <w:sz w:val="22"/>
                <w:szCs w:val="22"/>
                <w:lang w:val="fr-CA"/>
              </w:rPr>
              <w:t xml:space="preserve"> portera principalement sur des solutions en matière de science et de technologie aux défis les plus pressants des États membres relatifs à la</w:t>
            </w:r>
            <w:r w:rsidRPr="00B57B08">
              <w:rPr>
                <w:color w:val="000000" w:themeColor="text1"/>
                <w:sz w:val="22"/>
                <w:szCs w:val="22"/>
                <w:lang w:val="fr-CA"/>
              </w:rPr>
              <w:t xml:space="preserve"> COVID-19.</w:t>
            </w:r>
            <w:r w:rsidRPr="00B57B08">
              <w:rPr>
                <w:color w:val="000000" w:themeColor="text1"/>
                <w:sz w:val="22"/>
                <w:szCs w:val="22"/>
                <w:lang w:val="fr-CA"/>
              </w:rPr>
              <w:br/>
            </w:r>
            <w:r w:rsidRPr="00B57B08">
              <w:rPr>
                <w:color w:val="000000" w:themeColor="text1"/>
                <w:sz w:val="22"/>
                <w:szCs w:val="22"/>
                <w:lang w:val="fr-CA"/>
              </w:rPr>
              <w:br/>
            </w:r>
            <w:r>
              <w:rPr>
                <w:color w:val="000000" w:themeColor="text1"/>
                <w:sz w:val="22"/>
                <w:szCs w:val="22"/>
                <w:lang w:val="fr-CA"/>
              </w:rPr>
              <w:t xml:space="preserve">Le </w:t>
            </w:r>
            <w:r w:rsidRPr="00B57B08">
              <w:rPr>
                <w:color w:val="000000" w:themeColor="text1"/>
                <w:sz w:val="22"/>
                <w:szCs w:val="22"/>
                <w:lang w:val="fr-CA"/>
              </w:rPr>
              <w:t>SEDI</w:t>
            </w:r>
            <w:r>
              <w:rPr>
                <w:color w:val="000000" w:themeColor="text1"/>
                <w:sz w:val="22"/>
                <w:szCs w:val="22"/>
                <w:lang w:val="fr-CA"/>
              </w:rPr>
              <w:t xml:space="preserve"> travaille avec la</w:t>
            </w:r>
            <w:r w:rsidRPr="00B57B08">
              <w:rPr>
                <w:color w:val="000000" w:themeColor="text1"/>
                <w:sz w:val="22"/>
                <w:szCs w:val="22"/>
                <w:lang w:val="fr-CA"/>
              </w:rPr>
              <w:t xml:space="preserve"> COMCYT</w:t>
            </w:r>
            <w:r>
              <w:rPr>
                <w:color w:val="000000" w:themeColor="text1"/>
                <w:sz w:val="22"/>
                <w:szCs w:val="22"/>
                <w:lang w:val="fr-CA"/>
              </w:rPr>
              <w:t xml:space="preserve"> pour apporter des réponses novatrices et basées sur la technologie aux défis actuels et éventuels découlant de la </w:t>
            </w:r>
            <w:r w:rsidRPr="00B57B08">
              <w:rPr>
                <w:color w:val="000000" w:themeColor="text1"/>
                <w:sz w:val="22"/>
                <w:szCs w:val="22"/>
                <w:lang w:val="fr-CA"/>
              </w:rPr>
              <w:t>COVID-19,</w:t>
            </w:r>
            <w:r>
              <w:rPr>
                <w:color w:val="000000" w:themeColor="text1"/>
                <w:sz w:val="22"/>
                <w:szCs w:val="22"/>
                <w:lang w:val="fr-CA"/>
              </w:rPr>
              <w:t xml:space="preserve"> comme un réseau interaméricain de modélisation et de simulation pour les situations d’urgence, dans le cadre de</w:t>
            </w:r>
            <w:r w:rsidRPr="00B57B08">
              <w:rPr>
                <w:color w:val="000000" w:themeColor="text1"/>
                <w:sz w:val="22"/>
                <w:szCs w:val="22"/>
                <w:lang w:val="fr-CA"/>
              </w:rPr>
              <w:t xml:space="preserve"> Prospecta Americas.</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2448" w:type="dxa"/>
            <w:vMerge w:val="restart"/>
            <w:shd w:val="clear" w:color="auto" w:fill="auto"/>
            <w:hideMark/>
          </w:tcPr>
          <w:p w:rsidR="005D65E0" w:rsidRPr="00B57B08" w:rsidRDefault="005D65E0" w:rsidP="001F5AA6">
            <w:pPr>
              <w:rPr>
                <w:color w:val="000000" w:themeColor="text1"/>
                <w:sz w:val="22"/>
                <w:szCs w:val="22"/>
                <w:lang w:val="fr-CA"/>
              </w:rPr>
            </w:pPr>
            <w:r w:rsidRPr="00B57B08">
              <w:rPr>
                <w:rFonts w:eastAsia="Calibri"/>
                <w:b/>
                <w:bCs/>
                <w:color w:val="000000" w:themeColor="text1"/>
                <w:sz w:val="22"/>
                <w:szCs w:val="22"/>
                <w:lang w:val="fr-CA"/>
              </w:rPr>
              <w:lastRenderedPageBreak/>
              <w:t>Prospecta Americas</w:t>
            </w:r>
            <w:r>
              <w:rPr>
                <w:rFonts w:eastAsia="Calibri"/>
                <w:b/>
                <w:bCs/>
                <w:color w:val="000000" w:themeColor="text1"/>
                <w:sz w:val="22"/>
                <w:szCs w:val="22"/>
                <w:lang w:val="fr-CA"/>
              </w:rPr>
              <w:t> </w:t>
            </w:r>
            <w:r w:rsidRPr="00B57B08">
              <w:rPr>
                <w:rFonts w:eastAsia="Calibri"/>
                <w:color w:val="000000" w:themeColor="text1"/>
                <w:sz w:val="22"/>
                <w:szCs w:val="22"/>
                <w:lang w:val="fr-CA"/>
              </w:rPr>
              <w:t xml:space="preserve">: </w:t>
            </w:r>
            <w:r>
              <w:rPr>
                <w:rFonts w:eastAsia="Calibri"/>
                <w:color w:val="000000" w:themeColor="text1"/>
                <w:sz w:val="22"/>
                <w:szCs w:val="22"/>
                <w:lang w:val="fr-CA"/>
              </w:rPr>
              <w:t>Plateforme de prévision portant sur les technologies transformatrices et les technologies émergentes</w:t>
            </w:r>
            <w:r w:rsidRPr="00B57B08">
              <w:rPr>
                <w:rFonts w:eastAsia="Calibri"/>
                <w:color w:val="000000" w:themeColor="text1"/>
                <w:sz w:val="22"/>
                <w:szCs w:val="22"/>
                <w:lang w:val="fr-CA"/>
              </w:rPr>
              <w:t>.</w:t>
            </w:r>
          </w:p>
        </w:tc>
        <w:tc>
          <w:tcPr>
            <w:tcW w:w="2700" w:type="dxa"/>
            <w:gridSpan w:val="2"/>
            <w:vMerge w:val="restart"/>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R</w:t>
            </w:r>
            <w:r>
              <w:rPr>
                <w:rFonts w:eastAsia="Calibri"/>
                <w:color w:val="000000" w:themeColor="text1"/>
                <w:sz w:val="22"/>
                <w:szCs w:val="22"/>
                <w:lang w:val="fr-CA"/>
              </w:rPr>
              <w:t xml:space="preserve">éviser les 10 technologies identifiées et en identifier l’incidence potentielle sur tous les services du </w:t>
            </w:r>
            <w:r w:rsidRPr="00B57B08">
              <w:rPr>
                <w:rFonts w:eastAsia="Calibri"/>
                <w:color w:val="000000" w:themeColor="text1"/>
                <w:sz w:val="22"/>
                <w:szCs w:val="22"/>
                <w:lang w:val="fr-CA"/>
              </w:rPr>
              <w:t>SEDI.</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Début du processus visant à établir des centres d’excellence de prospective interaméricains sur deux des dix technologies transformatrices</w:t>
            </w:r>
            <w:r w:rsidRPr="00B57B08">
              <w:rPr>
                <w:color w:val="000000" w:themeColor="text1"/>
                <w:sz w:val="22"/>
                <w:szCs w:val="22"/>
                <w:lang w:val="fr-CA"/>
              </w:rPr>
              <w:t>.</w:t>
            </w:r>
            <w:r w:rsidRPr="00B57B08">
              <w:rPr>
                <w:color w:val="000000" w:themeColor="text1"/>
                <w:sz w:val="22"/>
                <w:szCs w:val="22"/>
                <w:lang w:val="fr-CA"/>
              </w:rPr>
              <w:br/>
              <w:t>1. N</w:t>
            </w:r>
            <w:r>
              <w:rPr>
                <w:color w:val="000000" w:themeColor="text1"/>
                <w:sz w:val="22"/>
                <w:szCs w:val="22"/>
                <w:lang w:val="fr-CA"/>
              </w:rPr>
              <w:t>anomatériaux/nouveaux matériaux; 2.  Robotique – satellites; 3. Biologie synthétique; 4. Génie biomédical; 5. Mégadonnées; 6. Chaine de blocs; 7. Ordinateurs quantiques; 8. Réalité amplifiée; 9. Réalité virtuelle; 10. Intelligence artificielle</w:t>
            </w:r>
            <w:r w:rsidRPr="00B57B08">
              <w:rPr>
                <w:color w:val="000000" w:themeColor="text1"/>
                <w:sz w:val="22"/>
                <w:szCs w:val="22"/>
                <w:lang w:val="fr-CA"/>
              </w:rPr>
              <w:t xml:space="preserv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5"/>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Examine</w:t>
            </w:r>
            <w:r>
              <w:rPr>
                <w:color w:val="000000" w:themeColor="text1"/>
                <w:sz w:val="22"/>
                <w:szCs w:val="22"/>
                <w:lang w:val="fr-CA"/>
              </w:rPr>
              <w:t>r l’état de préparation, les tendances, de même que l’incidence potentielle des technologies émergentes sur le secteur de la production et sur l’économie</w:t>
            </w:r>
            <w:r w:rsidRPr="00B57B08">
              <w:rPr>
                <w:color w:val="000000" w:themeColor="text1"/>
                <w:sz w:val="22"/>
                <w:szCs w:val="22"/>
                <w:lang w:val="fr-CA"/>
              </w:rPr>
              <w:t>.</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Chercher des solutions à des défis en matière de développement en utilisant des technologies émergentes</w:t>
            </w:r>
            <w:r w:rsidRPr="00B57B08">
              <w:rPr>
                <w:color w:val="000000" w:themeColor="text1"/>
                <w:sz w:val="22"/>
                <w:szCs w:val="22"/>
                <w:lang w:val="fr-CA"/>
              </w:rPr>
              <w:t xml:space="preserv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Centre de commercialis</w:t>
            </w:r>
            <w:r w:rsidRPr="00B57B08">
              <w:rPr>
                <w:rFonts w:eastAsia="Calibri"/>
                <w:b/>
                <w:bCs/>
                <w:color w:val="000000" w:themeColor="text1"/>
                <w:sz w:val="22"/>
                <w:szCs w:val="22"/>
                <w:lang w:val="fr-CA"/>
              </w:rPr>
              <w:t>ation</w:t>
            </w:r>
            <w:r>
              <w:rPr>
                <w:rFonts w:eastAsia="Calibri"/>
                <w:b/>
                <w:bCs/>
                <w:color w:val="000000" w:themeColor="text1"/>
                <w:sz w:val="22"/>
                <w:szCs w:val="22"/>
                <w:lang w:val="fr-CA"/>
              </w:rPr>
              <w:t xml:space="preserve"> et de transfert de technologie des Amériques</w:t>
            </w:r>
            <w:r w:rsidRPr="00B57B08">
              <w:rPr>
                <w:rFonts w:eastAsia="Calibri"/>
                <w:b/>
                <w:bCs/>
                <w:color w:val="000000" w:themeColor="text1"/>
                <w:sz w:val="22"/>
                <w:szCs w:val="22"/>
                <w:lang w:val="fr-CA"/>
              </w:rPr>
              <w:t xml:space="preserve"> </w:t>
            </w:r>
          </w:p>
        </w:tc>
        <w:tc>
          <w:tcPr>
            <w:tcW w:w="2700" w:type="dxa"/>
            <w:gridSpan w:val="2"/>
            <w:shd w:val="clear" w:color="auto" w:fill="auto"/>
            <w:noWrap/>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Aider à accélérer 10 technologies dans des domaines où elles font le plus défaut, en les accompagnant de leur conception à la mise en marché</w:t>
            </w:r>
            <w:r w:rsidRPr="00B57B08">
              <w:rPr>
                <w:color w:val="000000" w:themeColor="text1"/>
                <w:sz w:val="22"/>
                <w:szCs w:val="22"/>
                <w:lang w:val="fr-CA"/>
              </w:rPr>
              <w:t>.</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8"/>
        </w:trPr>
        <w:tc>
          <w:tcPr>
            <w:tcW w:w="2448"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2330" w:type="dxa"/>
            <w:gridSpan w:val="7"/>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1</w:t>
            </w:r>
            <w:r>
              <w:rPr>
                <w:b/>
                <w:bCs/>
                <w:color w:val="000000" w:themeColor="text1"/>
                <w:sz w:val="22"/>
                <w:szCs w:val="22"/>
                <w:lang w:val="fr-CA"/>
              </w:rPr>
              <w:t xml:space="preserve">.4. Appuyer les États membres dans le renforcement des capacités d’institutions qui encouragent la création d’activités économiques durables dans les secteurs du tourisme et de la culture </w:t>
            </w:r>
          </w:p>
        </w:tc>
      </w:tr>
      <w:tr w:rsidR="005D65E0" w:rsidRPr="00B57B08"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4778" w:type="dxa"/>
            <w:gridSpan w:val="8"/>
            <w:shd w:val="clear" w:color="000000" w:fill="F2F2F2"/>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Tourism</w:t>
            </w:r>
            <w:r>
              <w:rPr>
                <w:b/>
                <w:bCs/>
                <w:color w:val="000000" w:themeColor="text1"/>
                <w:sz w:val="22"/>
                <w:szCs w:val="22"/>
                <w:lang w:val="fr-CA"/>
              </w:rPr>
              <w:t>e </w:t>
            </w:r>
            <w:r w:rsidRPr="00B57B08">
              <w:rPr>
                <w:b/>
                <w:bCs/>
                <w:color w:val="000000" w:themeColor="text1"/>
                <w:sz w:val="22"/>
                <w:szCs w:val="22"/>
                <w:lang w:val="fr-CA"/>
              </w:rPr>
              <w:t>:</w:t>
            </w:r>
            <w:r w:rsidRPr="00B57B08">
              <w:rPr>
                <w:color w:val="000000" w:themeColor="text1"/>
                <w:sz w:val="22"/>
                <w:szCs w:val="22"/>
                <w:lang w:val="fr-CA"/>
              </w:rPr>
              <w:t> </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5"/>
        </w:trPr>
        <w:tc>
          <w:tcPr>
            <w:tcW w:w="2448" w:type="dxa"/>
            <w:vMerge w:val="restart"/>
            <w:shd w:val="clear" w:color="auto" w:fill="auto"/>
            <w:hideMark/>
          </w:tcPr>
          <w:p w:rsidR="005D65E0" w:rsidRPr="00B57B08" w:rsidRDefault="005D65E0" w:rsidP="001F5AA6">
            <w:pPr>
              <w:rPr>
                <w:color w:val="000000" w:themeColor="text1"/>
                <w:sz w:val="22"/>
                <w:szCs w:val="22"/>
                <w:lang w:val="fr-CA"/>
              </w:rPr>
            </w:pPr>
            <w:r w:rsidRPr="00B57B08">
              <w:rPr>
                <w:rFonts w:eastAsia="Calibri"/>
                <w:b/>
                <w:bCs/>
                <w:color w:val="000000" w:themeColor="text1"/>
                <w:sz w:val="22"/>
                <w:szCs w:val="22"/>
                <w:lang w:val="fr-CA"/>
              </w:rPr>
              <w:t>DIALOGUE</w:t>
            </w:r>
            <w:r>
              <w:rPr>
                <w:rFonts w:eastAsia="Calibri"/>
                <w:b/>
                <w:bCs/>
                <w:color w:val="000000" w:themeColor="text1"/>
                <w:sz w:val="22"/>
                <w:szCs w:val="22"/>
                <w:lang w:val="fr-CA"/>
              </w:rPr>
              <w:t xml:space="preserve"> EN MATIÈRE DE POLITIQUES </w:t>
            </w:r>
            <w:r w:rsidRPr="00B57B08">
              <w:rPr>
                <w:rFonts w:eastAsia="Calibri"/>
                <w:b/>
                <w:bCs/>
                <w:color w:val="000000" w:themeColor="text1"/>
                <w:sz w:val="22"/>
                <w:szCs w:val="22"/>
                <w:lang w:val="fr-CA"/>
              </w:rPr>
              <w:t xml:space="preserve">: </w:t>
            </w:r>
            <w:r>
              <w:rPr>
                <w:rFonts w:eastAsia="Calibri"/>
                <w:color w:val="000000" w:themeColor="text1"/>
                <w:sz w:val="22"/>
                <w:szCs w:val="22"/>
                <w:lang w:val="fr-CA"/>
              </w:rPr>
              <w:t xml:space="preserve">Processus ministériel et Commission interaméricaine du </w:t>
            </w:r>
            <w:r>
              <w:rPr>
                <w:rFonts w:eastAsia="Calibri"/>
                <w:color w:val="000000" w:themeColor="text1"/>
                <w:sz w:val="22"/>
                <w:szCs w:val="22"/>
                <w:lang w:val="fr-CA"/>
              </w:rPr>
              <w:lastRenderedPageBreak/>
              <w:t>tourisme</w:t>
            </w:r>
            <w:r w:rsidRPr="00B57B08">
              <w:rPr>
                <w:rFonts w:eastAsia="Calibri"/>
                <w:color w:val="000000" w:themeColor="text1"/>
                <w:sz w:val="22"/>
                <w:szCs w:val="22"/>
                <w:lang w:val="fr-CA"/>
              </w:rPr>
              <w:t xml:space="preserve"> (CITUR) </w:t>
            </w:r>
          </w:p>
        </w:tc>
        <w:tc>
          <w:tcPr>
            <w:tcW w:w="2700" w:type="dxa"/>
            <w:gridSpan w:val="2"/>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lastRenderedPageBreak/>
              <w:t>Diriger le travail dans le secteur du tourisme vers des PME afin de soutenir l’économie locale et de la rendre résiliente et compétitive</w:t>
            </w:r>
            <w:r w:rsidRPr="00B57B08">
              <w:rPr>
                <w:rFonts w:eastAsia="Calibri"/>
                <w:color w:val="000000" w:themeColor="text1"/>
                <w:sz w:val="22"/>
                <w:szCs w:val="22"/>
                <w:lang w:val="fr-CA"/>
              </w:rPr>
              <w:t>.</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Réunions virtuelles du bureau de la</w:t>
            </w:r>
            <w:r w:rsidRPr="00B57B08">
              <w:rPr>
                <w:color w:val="000000" w:themeColor="text1"/>
                <w:sz w:val="22"/>
                <w:szCs w:val="22"/>
                <w:lang w:val="fr-CA"/>
              </w:rPr>
              <w:t xml:space="preserve"> CITUR</w:t>
            </w:r>
            <w:r>
              <w:rPr>
                <w:color w:val="000000" w:themeColor="text1"/>
                <w:sz w:val="22"/>
                <w:szCs w:val="22"/>
                <w:lang w:val="fr-CA"/>
              </w:rPr>
              <w:t>, de la</w:t>
            </w:r>
            <w:r w:rsidRPr="00B57B08">
              <w:rPr>
                <w:color w:val="000000" w:themeColor="text1"/>
                <w:sz w:val="22"/>
                <w:szCs w:val="22"/>
                <w:lang w:val="fr-CA"/>
              </w:rPr>
              <w:t xml:space="preserve"> </w:t>
            </w:r>
            <w:r>
              <w:rPr>
                <w:color w:val="000000" w:themeColor="text1"/>
                <w:sz w:val="22"/>
                <w:szCs w:val="22"/>
                <w:lang w:val="fr-CA"/>
              </w:rPr>
              <w:t>Troïka et de ses groupes de travail</w:t>
            </w:r>
          </w:p>
        </w:tc>
        <w:tc>
          <w:tcPr>
            <w:tcW w:w="2787" w:type="dxa"/>
            <w:gridSpan w:val="2"/>
            <w:vMerge w:val="restart"/>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Bureau de direction du SEDI,,</w:t>
            </w:r>
            <w:r w:rsidRPr="00B57B08">
              <w:rPr>
                <w:color w:val="000000" w:themeColor="text1"/>
                <w:sz w:val="22"/>
                <w:szCs w:val="22"/>
                <w:lang w:val="fr-CA"/>
              </w:rPr>
              <w:t>– CooperaNet, D</w:t>
            </w:r>
            <w:r>
              <w:rPr>
                <w:color w:val="000000" w:themeColor="text1"/>
                <w:sz w:val="22"/>
                <w:szCs w:val="22"/>
                <w:lang w:val="fr-CA"/>
              </w:rPr>
              <w:t>épartement du développement durable</w:t>
            </w:r>
            <w:r w:rsidRPr="00B57B08">
              <w:rPr>
                <w:color w:val="000000" w:themeColor="text1"/>
                <w:sz w:val="22"/>
                <w:szCs w:val="22"/>
                <w:lang w:val="fr-CA"/>
              </w:rPr>
              <w:t>,</w:t>
            </w:r>
            <w:r>
              <w:rPr>
                <w:color w:val="000000" w:themeColor="text1"/>
                <w:sz w:val="22"/>
                <w:szCs w:val="22"/>
                <w:lang w:val="fr-CA"/>
              </w:rPr>
              <w:t xml:space="preserve"> Portail éducatif des Amériques</w:t>
            </w:r>
            <w:r w:rsidRPr="00B57B08">
              <w:rPr>
                <w:color w:val="000000" w:themeColor="text1"/>
                <w:sz w:val="22"/>
                <w:szCs w:val="22"/>
                <w:lang w:val="fr-CA"/>
              </w:rPr>
              <w:t xml:space="preserve">. </w:t>
            </w:r>
            <w:r w:rsidRPr="00B57B08">
              <w:rPr>
                <w:color w:val="000000" w:themeColor="text1"/>
                <w:sz w:val="22"/>
                <w:szCs w:val="22"/>
                <w:lang w:val="fr-CA"/>
              </w:rPr>
              <w:br/>
            </w:r>
            <w:r w:rsidRPr="00B57B08">
              <w:rPr>
                <w:color w:val="000000" w:themeColor="text1"/>
                <w:sz w:val="22"/>
                <w:szCs w:val="22"/>
                <w:lang w:val="fr-CA"/>
              </w:rPr>
              <w:lastRenderedPageBreak/>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Campus Cave Hill de l’Université des Indes occidentales à la Barbade, Banque de développement des Caraïbes, Accord André</w:t>
            </w:r>
            <w:r w:rsidRPr="00B57B08">
              <w:rPr>
                <w:color w:val="000000" w:themeColor="text1"/>
                <w:sz w:val="22"/>
                <w:szCs w:val="22"/>
                <w:lang w:val="fr-CA"/>
              </w:rPr>
              <w:t>s Bello,</w:t>
            </w:r>
            <w:r>
              <w:rPr>
                <w:color w:val="000000" w:themeColor="text1"/>
                <w:sz w:val="22"/>
                <w:szCs w:val="22"/>
                <w:lang w:val="fr-CA"/>
              </w:rPr>
              <w:t xml:space="preserve"> Université</w:t>
            </w:r>
            <w:r w:rsidRPr="00B57B08">
              <w:rPr>
                <w:color w:val="000000" w:themeColor="text1"/>
                <w:sz w:val="22"/>
                <w:szCs w:val="22"/>
                <w:lang w:val="fr-CA"/>
              </w:rPr>
              <w:t xml:space="preserve"> George Washington</w:t>
            </w:r>
            <w:r>
              <w:rPr>
                <w:color w:val="000000" w:themeColor="text1"/>
                <w:sz w:val="22"/>
                <w:szCs w:val="22"/>
                <w:lang w:val="fr-CA"/>
              </w:rPr>
              <w:t xml:space="preserve"> et Bureau des Affaires indiennes des États-Unis</w:t>
            </w:r>
            <w:r w:rsidRPr="00B57B08">
              <w:rPr>
                <w:color w:val="000000" w:themeColor="text1"/>
                <w:sz w:val="22"/>
                <w:szCs w:val="22"/>
                <w:lang w:val="fr-CA"/>
              </w:rPr>
              <w:t>.</w:t>
            </w:r>
          </w:p>
        </w:tc>
        <w:tc>
          <w:tcPr>
            <w:tcW w:w="3603" w:type="dxa"/>
            <w:vMerge w:val="restart"/>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lastRenderedPageBreak/>
              <w:t>Partage de connaissances et échange de bonnes pratiques </w:t>
            </w:r>
            <w:r w:rsidRPr="00B57B08">
              <w:rPr>
                <w:b/>
                <w:bCs/>
                <w:color w:val="000000" w:themeColor="text1"/>
                <w:sz w:val="22"/>
                <w:szCs w:val="22"/>
                <w:lang w:val="fr-CA"/>
              </w:rPr>
              <w:t>:</w:t>
            </w:r>
            <w:r>
              <w:rPr>
                <w:color w:val="000000" w:themeColor="text1"/>
                <w:sz w:val="22"/>
                <w:szCs w:val="22"/>
                <w:lang w:val="fr-CA"/>
              </w:rPr>
              <w:t xml:space="preserve"> Les États membres ont accès à des opportunités d’apprentissage, de partage de projets, de données d’expériences et d’autres ressources </w:t>
            </w:r>
            <w:r>
              <w:rPr>
                <w:color w:val="000000" w:themeColor="text1"/>
                <w:sz w:val="22"/>
                <w:szCs w:val="22"/>
                <w:lang w:val="fr-CA"/>
              </w:rPr>
              <w:lastRenderedPageBreak/>
              <w:t xml:space="preserve">qui peuvent aider à déployer, répliquer ou adapter des initiatives visant à mitiger les défis que pose la </w:t>
            </w:r>
            <w:r w:rsidRPr="00B57B08">
              <w:rPr>
                <w:color w:val="000000" w:themeColor="text1"/>
                <w:sz w:val="22"/>
                <w:szCs w:val="22"/>
                <w:lang w:val="fr-CA"/>
              </w:rPr>
              <w:t>COVID-19.</w:t>
            </w:r>
            <w:r w:rsidRPr="00B57B08">
              <w:rPr>
                <w:color w:val="000000" w:themeColor="text1"/>
                <w:sz w:val="22"/>
                <w:szCs w:val="22"/>
                <w:lang w:val="fr-CA"/>
              </w:rPr>
              <w:br/>
            </w:r>
            <w:r w:rsidRPr="00B57B08">
              <w:rPr>
                <w:color w:val="000000" w:themeColor="text1"/>
                <w:sz w:val="22"/>
                <w:szCs w:val="22"/>
                <w:lang w:val="fr-CA"/>
              </w:rPr>
              <w:br/>
              <w:t xml:space="preserve">- Participation </w:t>
            </w:r>
            <w:r>
              <w:rPr>
                <w:color w:val="000000" w:themeColor="text1"/>
                <w:sz w:val="22"/>
                <w:szCs w:val="22"/>
                <w:lang w:val="fr-CA"/>
              </w:rPr>
              <w:t>à des séries de réunions virtuelles, de webinaires et d’ateliers virtuels</w:t>
            </w:r>
            <w:r w:rsidRPr="00B57B08">
              <w:rPr>
                <w:color w:val="000000" w:themeColor="text1"/>
                <w:sz w:val="22"/>
                <w:szCs w:val="22"/>
                <w:lang w:val="fr-CA"/>
              </w:rPr>
              <w:t>.</w:t>
            </w:r>
            <w:r w:rsidRPr="00B57B08">
              <w:rPr>
                <w:color w:val="000000" w:themeColor="text1"/>
                <w:sz w:val="22"/>
                <w:szCs w:val="22"/>
                <w:lang w:val="fr-CA"/>
              </w:rPr>
              <w:br/>
              <w:t>- Port</w:t>
            </w:r>
            <w:r>
              <w:rPr>
                <w:color w:val="000000" w:themeColor="text1"/>
                <w:sz w:val="22"/>
                <w:szCs w:val="22"/>
                <w:lang w:val="fr-CA"/>
              </w:rPr>
              <w:t>efeuille de ressources en matière de développement et de réponses des États membres à la COVID-19 dans le domaine du tourisme</w:t>
            </w:r>
            <w:r w:rsidRPr="00B57B08">
              <w:rPr>
                <w:color w:val="000000" w:themeColor="text1"/>
                <w:sz w:val="22"/>
                <w:szCs w:val="22"/>
                <w:lang w:val="fr-CA"/>
              </w:rPr>
              <w:t>.</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Renforcer les raisons qui sous-tendent le renforcement de la résilience dans le domaine du tourisme, en particulier dans les Caraïbes</w:t>
            </w:r>
            <w:r w:rsidRPr="00B57B08">
              <w:rPr>
                <w:rFonts w:eastAsia="Calibri"/>
                <w:color w:val="000000" w:themeColor="text1"/>
                <w:sz w:val="22"/>
                <w:szCs w:val="22"/>
                <w:lang w:val="fr-CA"/>
              </w:rPr>
              <w:t>.</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Mise en œuvre du Plan de travail de la </w:t>
            </w:r>
            <w:r w:rsidRPr="00B57B08">
              <w:rPr>
                <w:color w:val="000000" w:themeColor="text1"/>
                <w:sz w:val="22"/>
                <w:szCs w:val="22"/>
                <w:lang w:val="fr-CA"/>
              </w:rPr>
              <w:t>CITUR</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8"/>
        </w:trPr>
        <w:tc>
          <w:tcPr>
            <w:tcW w:w="2448" w:type="dxa"/>
            <w:vMerge w:val="restart"/>
            <w:shd w:val="clear" w:color="auto" w:fill="auto"/>
            <w:hideMark/>
          </w:tcPr>
          <w:p w:rsidR="005D65E0" w:rsidRPr="00B57B08" w:rsidRDefault="005D65E0" w:rsidP="001F5AA6">
            <w:pPr>
              <w:contextualSpacing/>
              <w:rPr>
                <w:b/>
                <w:bCs/>
                <w:color w:val="000000" w:themeColor="text1"/>
                <w:sz w:val="22"/>
                <w:szCs w:val="22"/>
                <w:lang w:val="fr-CA"/>
              </w:rPr>
            </w:pPr>
            <w:r>
              <w:rPr>
                <w:b/>
                <w:bCs/>
                <w:color w:val="000000" w:themeColor="text1"/>
                <w:sz w:val="22"/>
                <w:szCs w:val="22"/>
                <w:lang w:val="fr-CA"/>
              </w:rPr>
              <w:lastRenderedPageBreak/>
              <w:t xml:space="preserve">Modèle de gestion du développement du tourisme communautaire durable pour les Amériques </w:t>
            </w:r>
          </w:p>
        </w:tc>
        <w:tc>
          <w:tcPr>
            <w:tcW w:w="2700" w:type="dxa"/>
            <w:gridSpan w:val="2"/>
            <w:vMerge w:val="restart"/>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Lien entre le travail dans le domaine du tourisme et les PME dans le but de soutenir l’économie locale et la résilience et la compétitivité </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Conscientisation accrue sur le renforcement de la résilience pour le tourisme, en particulier dans les Caraïbes</w:t>
            </w:r>
            <w:r w:rsidRPr="00B57B08">
              <w:rPr>
                <w:color w:val="000000" w:themeColor="text1"/>
                <w:sz w:val="22"/>
                <w:szCs w:val="22"/>
                <w:lang w:val="fr-CA"/>
              </w:rPr>
              <w:t>.</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vMerge/>
            <w:vAlign w:val="center"/>
            <w:hideMark/>
          </w:tcPr>
          <w:p w:rsidR="005D65E0" w:rsidRPr="00B57B08" w:rsidRDefault="005D65E0" w:rsidP="001F5AA6">
            <w:pPr>
              <w:rPr>
                <w:b/>
                <w:bCs/>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Cours en ligne sur la résilience du tourisme donné par le biais du Portail éducatif des Amériques</w:t>
            </w:r>
            <w:r w:rsidRPr="00B57B08">
              <w:rPr>
                <w:i/>
                <w:iCs/>
                <w:color w:val="000000" w:themeColor="text1"/>
                <w:sz w:val="22"/>
                <w:szCs w:val="22"/>
                <w:lang w:val="fr-CA"/>
              </w:rPr>
              <w:t>.</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Symbol" w:cs="Symbol"/>
                <w:b/>
                <w:bCs/>
                <w:color w:val="000000" w:themeColor="text1"/>
                <w:sz w:val="22"/>
                <w:szCs w:val="22"/>
                <w:lang w:val="fr-CA"/>
              </w:rPr>
              <w:t xml:space="preserve">Réseau sur le tourisme rural basé sur la communauté </w:t>
            </w:r>
          </w:p>
        </w:tc>
        <w:tc>
          <w:tcPr>
            <w:tcW w:w="2700" w:type="dxa"/>
            <w:gridSpan w:val="2"/>
            <w:shd w:val="clear" w:color="auto" w:fill="auto"/>
            <w:noWrap/>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de lignes directrices pour le tourisme rural basé sur la communauté</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0"/>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 xml:space="preserve">Renforcement de la résilience aux catastrophes des petites entreprises des Caraïbes dans le domaine du tourisme </w:t>
            </w:r>
          </w:p>
        </w:tc>
        <w:tc>
          <w:tcPr>
            <w:tcW w:w="2700" w:type="dxa"/>
            <w:gridSpan w:val="2"/>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Exploration du potentiel d’élaboration d’un cours en ligne sur la résilience dans le domaine du tourisme, sur le Portail éducatif des Amériques </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Développement de compétences numériques au sein des PME dans le domaine du tourisme</w:t>
            </w:r>
            <w:r w:rsidRPr="00B57B08">
              <w:rPr>
                <w:color w:val="000000" w:themeColor="text1"/>
                <w:sz w:val="22"/>
                <w:szCs w:val="22"/>
                <w:lang w:val="fr-CA"/>
              </w:rPr>
              <w:t xml:space="preserv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Fonds continental du tourisme</w:t>
            </w:r>
          </w:p>
        </w:tc>
        <w:tc>
          <w:tcPr>
            <w:tcW w:w="2700" w:type="dxa"/>
            <w:gridSpan w:val="2"/>
            <w:shd w:val="clear" w:color="auto" w:fill="auto"/>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Lancement du quatrième cycle de programmation et choix d’au moins 2 projets qui recevront un financement</w:t>
            </w:r>
            <w:r w:rsidRPr="00B57B08">
              <w:rPr>
                <w:color w:val="000000" w:themeColor="text1"/>
                <w:sz w:val="22"/>
                <w:szCs w:val="22"/>
                <w:lang w:val="fr-CA"/>
              </w:rPr>
              <w:t xml:space="preserv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vAlign w:val="center"/>
            <w:hideMark/>
          </w:tcPr>
          <w:p w:rsidR="005D65E0" w:rsidRPr="00B57B08" w:rsidRDefault="005D65E0" w:rsidP="001F5AA6">
            <w:pPr>
              <w:rPr>
                <w:color w:val="000000" w:themeColor="text1"/>
                <w:sz w:val="22"/>
                <w:szCs w:val="22"/>
                <w:lang w:val="fr-CA"/>
              </w:rPr>
            </w:pPr>
          </w:p>
        </w:tc>
      </w:tr>
      <w:tr w:rsidR="005D65E0" w:rsidRPr="00B57B08"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4778" w:type="dxa"/>
            <w:gridSpan w:val="8"/>
            <w:shd w:val="clear" w:color="000000" w:fill="F2F2F2"/>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Culture</w:t>
            </w:r>
            <w:r>
              <w:rPr>
                <w:b/>
                <w:bCs/>
                <w:color w:val="000000" w:themeColor="text1"/>
                <w:sz w:val="22"/>
                <w:szCs w:val="22"/>
                <w:lang w:val="fr-CA"/>
              </w:rPr>
              <w:t> </w:t>
            </w:r>
            <w:r w:rsidRPr="00B57B08">
              <w:rPr>
                <w:b/>
                <w:bCs/>
                <w:color w:val="000000" w:themeColor="text1"/>
                <w:sz w:val="22"/>
                <w:szCs w:val="22"/>
                <w:lang w:val="fr-CA"/>
              </w:rPr>
              <w:t>:</w:t>
            </w:r>
            <w:r w:rsidRPr="00B57B08">
              <w:rPr>
                <w:color w:val="000000" w:themeColor="text1"/>
                <w:sz w:val="22"/>
                <w:szCs w:val="22"/>
                <w:lang w:val="fr-CA"/>
              </w:rPr>
              <w:t> </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0"/>
        </w:trPr>
        <w:tc>
          <w:tcPr>
            <w:tcW w:w="2448" w:type="dxa"/>
            <w:vMerge w:val="restart"/>
            <w:shd w:val="clear" w:color="auto" w:fill="auto"/>
            <w:hideMark/>
          </w:tcPr>
          <w:p w:rsidR="005D65E0" w:rsidRPr="00B57B08" w:rsidRDefault="005D65E0" w:rsidP="001F5AA6">
            <w:pPr>
              <w:rPr>
                <w:color w:val="000000" w:themeColor="text1"/>
                <w:sz w:val="22"/>
                <w:szCs w:val="22"/>
                <w:lang w:val="fr-CA"/>
              </w:rPr>
            </w:pPr>
            <w:r>
              <w:rPr>
                <w:rFonts w:eastAsia="Calibri"/>
                <w:b/>
                <w:bCs/>
                <w:color w:val="000000" w:themeColor="text1"/>
                <w:sz w:val="22"/>
                <w:szCs w:val="22"/>
                <w:lang w:val="fr-CA"/>
              </w:rPr>
              <w:t>DIALOGUE EN MATIÈRE DE POLITIQUES </w:t>
            </w:r>
            <w:r w:rsidRPr="00B57B08">
              <w:rPr>
                <w:rFonts w:eastAsia="Calibri"/>
                <w:b/>
                <w:bCs/>
                <w:color w:val="000000" w:themeColor="text1"/>
                <w:sz w:val="22"/>
                <w:szCs w:val="22"/>
                <w:lang w:val="fr-CA"/>
              </w:rPr>
              <w:t>:</w:t>
            </w:r>
            <w:r>
              <w:rPr>
                <w:rFonts w:eastAsia="Calibri"/>
                <w:color w:val="000000" w:themeColor="text1"/>
                <w:sz w:val="22"/>
                <w:szCs w:val="22"/>
                <w:lang w:val="fr-CA"/>
              </w:rPr>
              <w:t xml:space="preserve"> Processus ministériel et Commission interaméricaine de la culture</w:t>
            </w:r>
            <w:r w:rsidRPr="00B57B08">
              <w:rPr>
                <w:rFonts w:eastAsia="Calibri"/>
                <w:color w:val="000000" w:themeColor="text1"/>
                <w:sz w:val="22"/>
                <w:szCs w:val="22"/>
                <w:lang w:val="fr-CA"/>
              </w:rPr>
              <w:t xml:space="preserve"> (CIC). </w:t>
            </w:r>
          </w:p>
        </w:tc>
        <w:tc>
          <w:tcPr>
            <w:tcW w:w="2700" w:type="dxa"/>
            <w:gridSpan w:val="2"/>
            <w:vMerge w:val="restart"/>
            <w:shd w:val="clear" w:color="auto" w:fill="auto"/>
            <w:noWrap/>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Préparation d’au moins deux réunions virtuelles du groupe de travail sur les comptes satellite de la culture </w:t>
            </w:r>
          </w:p>
        </w:tc>
        <w:tc>
          <w:tcPr>
            <w:tcW w:w="2787" w:type="dxa"/>
            <w:gridSpan w:val="2"/>
            <w:vMerge w:val="restart"/>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Bureau de direction du SEDI</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Campus Cave Hill de l’Université des Indes occidentales à la Barbade, Banque de développement des Caraïbes, Accord André</w:t>
            </w:r>
            <w:r w:rsidRPr="00B57B08">
              <w:rPr>
                <w:color w:val="000000" w:themeColor="text1"/>
                <w:sz w:val="22"/>
                <w:szCs w:val="22"/>
                <w:lang w:val="fr-CA"/>
              </w:rPr>
              <w:t>s Bello.</w:t>
            </w:r>
          </w:p>
        </w:tc>
        <w:tc>
          <w:tcPr>
            <w:tcW w:w="3603" w:type="dxa"/>
            <w:vMerge w:val="restart"/>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Méthodologie relative aux comptes satellite de la culture adaptée pour les Caraïbes par l’Accord André</w:t>
            </w:r>
            <w:r w:rsidRPr="00B57B08">
              <w:rPr>
                <w:color w:val="000000" w:themeColor="text1"/>
                <w:sz w:val="22"/>
                <w:szCs w:val="22"/>
                <w:lang w:val="fr-CA"/>
              </w:rPr>
              <w:t xml:space="preserve">s Bello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Exécution du Plan de travail de la CIC</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vMerge/>
            <w:vAlign w:val="center"/>
            <w:hideMark/>
          </w:tcPr>
          <w:p w:rsidR="005D65E0" w:rsidRPr="00B57B08" w:rsidRDefault="005D65E0" w:rsidP="001F5AA6">
            <w:pPr>
              <w:rPr>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Fin de la première édition du cours en ligne sur la culture et </w:t>
            </w:r>
            <w:r>
              <w:rPr>
                <w:color w:val="000000" w:themeColor="text1"/>
                <w:sz w:val="22"/>
                <w:szCs w:val="22"/>
                <w:lang w:val="fr-CA"/>
              </w:rPr>
              <w:lastRenderedPageBreak/>
              <w:t xml:space="preserve">l’économie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2448" w:type="dxa"/>
            <w:vMerge w:val="restart"/>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lastRenderedPageBreak/>
              <w:t>Lien entre les industries créatives et de la culture et les PME</w:t>
            </w:r>
            <w:r w:rsidRPr="00B57B08">
              <w:rPr>
                <w:b/>
                <w:bCs/>
                <w:color w:val="000000" w:themeColor="text1"/>
                <w:sz w:val="22"/>
                <w:szCs w:val="22"/>
                <w:lang w:val="fr-CA"/>
              </w:rPr>
              <w:t>.</w:t>
            </w:r>
          </w:p>
        </w:tc>
        <w:tc>
          <w:tcPr>
            <w:tcW w:w="2700" w:type="dxa"/>
            <w:gridSpan w:val="2"/>
            <w:vMerge w:val="restart"/>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Faire porter la culture sur les industries créatives liées à des PME</w:t>
            </w:r>
            <w:r w:rsidRPr="00B57B08">
              <w:rPr>
                <w:rFonts w:eastAsia="Calibri"/>
                <w:color w:val="000000" w:themeColor="text1"/>
                <w:sz w:val="22"/>
                <w:szCs w:val="22"/>
                <w:lang w:val="fr-CA"/>
              </w:rPr>
              <w:t xml:space="preserve"> </w:t>
            </w: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Fin du cours en ligne sur la culture et l’économie</w:t>
            </w:r>
            <w:r w:rsidRPr="00B57B08">
              <w:rPr>
                <w:color w:val="000000" w:themeColor="text1"/>
                <w:sz w:val="22"/>
                <w:szCs w:val="22"/>
                <w:lang w:val="fr-CA"/>
              </w:rPr>
              <w:t xml:space="preserve">. </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448" w:type="dxa"/>
            <w:vMerge/>
            <w:vAlign w:val="center"/>
            <w:hideMark/>
          </w:tcPr>
          <w:p w:rsidR="005D65E0" w:rsidRPr="00B57B08" w:rsidRDefault="005D65E0" w:rsidP="001F5AA6">
            <w:pPr>
              <w:rPr>
                <w:b/>
                <w:bCs/>
                <w:color w:val="000000" w:themeColor="text1"/>
                <w:sz w:val="22"/>
                <w:szCs w:val="22"/>
                <w:lang w:val="fr-CA"/>
              </w:rPr>
            </w:pPr>
          </w:p>
        </w:tc>
        <w:tc>
          <w:tcPr>
            <w:tcW w:w="2700" w:type="dxa"/>
            <w:gridSpan w:val="2"/>
            <w:vMerge/>
            <w:vAlign w:val="center"/>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Adaptation aux Caraïbes de la méthodologie de l’Accord André</w:t>
            </w:r>
            <w:r w:rsidRPr="00B57B08">
              <w:rPr>
                <w:color w:val="000000" w:themeColor="text1"/>
                <w:sz w:val="22"/>
                <w:szCs w:val="22"/>
                <w:lang w:val="fr-CA"/>
              </w:rPr>
              <w:t>s Bello</w:t>
            </w:r>
            <w:r>
              <w:rPr>
                <w:color w:val="000000" w:themeColor="text1"/>
                <w:sz w:val="22"/>
                <w:szCs w:val="22"/>
                <w:lang w:val="fr-CA"/>
              </w:rPr>
              <w:t xml:space="preserve"> sur les comptes satellite de la culture</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2448" w:type="dxa"/>
            <w:shd w:val="clear" w:color="auto" w:fill="auto"/>
            <w:hideMark/>
          </w:tcPr>
          <w:p w:rsidR="005D65E0" w:rsidRPr="00B57B08" w:rsidRDefault="005D65E0" w:rsidP="001F5AA6">
            <w:pPr>
              <w:rPr>
                <w:b/>
                <w:bCs/>
                <w:color w:val="000000" w:themeColor="text1"/>
                <w:sz w:val="22"/>
                <w:szCs w:val="22"/>
                <w:lang w:val="fr-CA"/>
              </w:rPr>
            </w:pPr>
            <w:r>
              <w:rPr>
                <w:rFonts w:eastAsia="Symbol" w:cs="Symbol"/>
                <w:b/>
                <w:bCs/>
                <w:color w:val="000000" w:themeColor="text1"/>
                <w:sz w:val="22"/>
                <w:szCs w:val="22"/>
                <w:lang w:val="fr-CA"/>
              </w:rPr>
              <w:t xml:space="preserve">Réseau du patrimoine de la Caraïbe </w:t>
            </w:r>
          </w:p>
        </w:tc>
        <w:tc>
          <w:tcPr>
            <w:tcW w:w="2700" w:type="dxa"/>
            <w:gridSpan w:val="2"/>
            <w:shd w:val="clear" w:color="auto" w:fill="auto"/>
            <w:hideMark/>
          </w:tcPr>
          <w:p w:rsidR="005D65E0" w:rsidRPr="00B57B08" w:rsidRDefault="005D65E0" w:rsidP="001F5AA6">
            <w:pPr>
              <w:rPr>
                <w:color w:val="000000" w:themeColor="text1"/>
                <w:sz w:val="22"/>
                <w:szCs w:val="22"/>
                <w:lang w:val="fr-CA"/>
              </w:rPr>
            </w:pPr>
          </w:p>
        </w:tc>
        <w:tc>
          <w:tcPr>
            <w:tcW w:w="3240" w:type="dxa"/>
            <w:gridSpan w:val="2"/>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Mise en œuvre en cours du plan de durabilité du Réseau du patrimoine de la Caraïbe. Le Réseau sera géré par le Département d’histoire de l’Université des Indes occidentales après la réalisation du projet</w:t>
            </w:r>
            <w:r w:rsidRPr="00B57B08">
              <w:rPr>
                <w:color w:val="000000" w:themeColor="text1"/>
                <w:sz w:val="22"/>
                <w:szCs w:val="22"/>
                <w:lang w:val="fr-CA"/>
              </w:rPr>
              <w:t>.</w:t>
            </w:r>
          </w:p>
        </w:tc>
        <w:tc>
          <w:tcPr>
            <w:tcW w:w="2787" w:type="dxa"/>
            <w:gridSpan w:val="2"/>
            <w:vMerge/>
            <w:vAlign w:val="center"/>
            <w:hideMark/>
          </w:tcPr>
          <w:p w:rsidR="005D65E0" w:rsidRPr="00B57B08" w:rsidRDefault="005D65E0" w:rsidP="001F5AA6">
            <w:pPr>
              <w:rPr>
                <w:color w:val="000000" w:themeColor="text1"/>
                <w:sz w:val="22"/>
                <w:szCs w:val="22"/>
                <w:lang w:val="fr-CA"/>
              </w:rPr>
            </w:pPr>
          </w:p>
        </w:tc>
        <w:tc>
          <w:tcPr>
            <w:tcW w:w="3603" w:type="dxa"/>
            <w:vMerge/>
            <w:shd w:val="clear" w:color="auto" w:fill="auto"/>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b/>
          <w:color w:val="000000" w:themeColor="text1"/>
          <w:sz w:val="22"/>
          <w:szCs w:val="22"/>
          <w:u w:val="single"/>
          <w:lang w:val="fr-CA"/>
        </w:rPr>
      </w:pPr>
    </w:p>
    <w:p w:rsidR="005D65E0" w:rsidRPr="00B57B08" w:rsidRDefault="005D65E0" w:rsidP="005D65E0">
      <w:pPr>
        <w:rPr>
          <w:b/>
          <w:color w:val="000000" w:themeColor="text1"/>
          <w:sz w:val="22"/>
          <w:szCs w:val="22"/>
          <w:u w:val="single"/>
          <w:lang w:val="fr-CA"/>
        </w:rPr>
      </w:pPr>
      <w:r w:rsidRPr="00B57B08">
        <w:rPr>
          <w:b/>
          <w:color w:val="000000" w:themeColor="text1"/>
          <w:sz w:val="22"/>
          <w:szCs w:val="22"/>
          <w:u w:val="single"/>
          <w:lang w:val="fr-CA"/>
        </w:rPr>
        <w:br w:type="page"/>
      </w:r>
      <w:r>
        <w:rPr>
          <w:b/>
          <w:color w:val="000000" w:themeColor="text1"/>
          <w:sz w:val="22"/>
          <w:szCs w:val="22"/>
          <w:u w:val="single"/>
          <w:lang w:val="fr-CA"/>
        </w:rPr>
        <w:lastRenderedPageBreak/>
        <w:t xml:space="preserve"> </w:t>
      </w:r>
    </w:p>
    <w:tbl>
      <w:tblPr>
        <w:tblW w:w="0" w:type="auto"/>
        <w:tblLayout w:type="fixed"/>
        <w:tblLook w:val="04A0" w:firstRow="1" w:lastRow="0" w:firstColumn="1" w:lastColumn="0" w:noHBand="0" w:noVBand="1"/>
      </w:tblPr>
      <w:tblGrid>
        <w:gridCol w:w="2964"/>
        <w:gridCol w:w="3204"/>
        <w:gridCol w:w="3619"/>
        <w:gridCol w:w="2561"/>
        <w:gridCol w:w="2268"/>
      </w:tblGrid>
      <w:tr w:rsidR="005D65E0" w:rsidRPr="005C1AAB" w:rsidTr="001F5AA6">
        <w:trPr>
          <w:trHeight w:val="570"/>
        </w:trPr>
        <w:tc>
          <w:tcPr>
            <w:tcW w:w="9787" w:type="dxa"/>
            <w:gridSpan w:val="3"/>
            <w:tcBorders>
              <w:top w:val="nil"/>
              <w:left w:val="nil"/>
              <w:bottom w:val="single" w:sz="4" w:space="0" w:color="000000"/>
              <w:right w:val="nil"/>
            </w:tcBorders>
            <w:shd w:val="clear" w:color="auto" w:fill="auto"/>
            <w:noWrap/>
            <w:vAlign w:val="center"/>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DÉ</w:t>
            </w:r>
            <w:r w:rsidRPr="00B57B08">
              <w:rPr>
                <w:b/>
                <w:bCs/>
                <w:color w:val="000000" w:themeColor="text1"/>
                <w:sz w:val="22"/>
                <w:szCs w:val="22"/>
                <w:lang w:val="fr-CA"/>
              </w:rPr>
              <w:t>PART</w:t>
            </w:r>
            <w:r>
              <w:rPr>
                <w:b/>
                <w:bCs/>
                <w:color w:val="000000" w:themeColor="text1"/>
                <w:sz w:val="22"/>
                <w:szCs w:val="22"/>
                <w:lang w:val="fr-CA"/>
              </w:rPr>
              <w:t>E</w:t>
            </w:r>
            <w:r w:rsidRPr="00B57B08">
              <w:rPr>
                <w:b/>
                <w:bCs/>
                <w:color w:val="000000" w:themeColor="text1"/>
                <w:sz w:val="22"/>
                <w:szCs w:val="22"/>
                <w:lang w:val="fr-CA"/>
              </w:rPr>
              <w:t>MENT/SECTION</w:t>
            </w:r>
            <w:r>
              <w:rPr>
                <w:b/>
                <w:bCs/>
                <w:color w:val="000000" w:themeColor="text1"/>
                <w:sz w:val="22"/>
                <w:szCs w:val="22"/>
                <w:lang w:val="fr-CA"/>
              </w:rPr>
              <w:t> :   COMMISSION INTERAMÉRICAINE DES PORTS</w:t>
            </w:r>
            <w:r w:rsidRPr="00B57B08">
              <w:rPr>
                <w:b/>
                <w:bCs/>
                <w:color w:val="000000" w:themeColor="text1"/>
                <w:sz w:val="22"/>
                <w:szCs w:val="22"/>
                <w:lang w:val="fr-CA"/>
              </w:rPr>
              <w:t xml:space="preserve"> (CIP)</w:t>
            </w:r>
          </w:p>
        </w:tc>
        <w:tc>
          <w:tcPr>
            <w:tcW w:w="2561" w:type="dxa"/>
            <w:tcBorders>
              <w:top w:val="nil"/>
              <w:left w:val="nil"/>
              <w:bottom w:val="single" w:sz="4" w:space="0" w:color="000000"/>
              <w:right w:val="nil"/>
            </w:tcBorders>
            <w:shd w:val="clear" w:color="auto" w:fill="auto"/>
            <w:noWrap/>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w:t>
            </w:r>
          </w:p>
        </w:tc>
        <w:tc>
          <w:tcPr>
            <w:tcW w:w="2268" w:type="dxa"/>
            <w:tcBorders>
              <w:top w:val="nil"/>
              <w:left w:val="nil"/>
              <w:bottom w:val="single" w:sz="4" w:space="0" w:color="000000"/>
              <w:right w:val="nil"/>
            </w:tcBorders>
            <w:shd w:val="clear" w:color="auto" w:fill="auto"/>
            <w:noWrap/>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w:t>
            </w:r>
          </w:p>
        </w:tc>
      </w:tr>
      <w:tr w:rsidR="005D65E0" w:rsidRPr="005C1AAB" w:rsidTr="001F5AA6">
        <w:trPr>
          <w:trHeight w:val="540"/>
        </w:trPr>
        <w:tc>
          <w:tcPr>
            <w:tcW w:w="2964"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INITIATIVES / ACTIVIT</w:t>
            </w:r>
            <w:r>
              <w:rPr>
                <w:b/>
                <w:bCs/>
                <w:color w:val="000000" w:themeColor="text1"/>
                <w:sz w:val="22"/>
                <w:szCs w:val="22"/>
                <w:lang w:val="fr-CA"/>
              </w:rPr>
              <w:t>É</w:t>
            </w:r>
            <w:r w:rsidRPr="00B57B08">
              <w:rPr>
                <w:b/>
                <w:bCs/>
                <w:color w:val="000000" w:themeColor="text1"/>
                <w:sz w:val="22"/>
                <w:szCs w:val="22"/>
                <w:lang w:val="fr-CA"/>
              </w:rPr>
              <w:t>S</w:t>
            </w:r>
            <w:r>
              <w:rPr>
                <w:b/>
                <w:bCs/>
                <w:color w:val="000000" w:themeColor="text1"/>
                <w:sz w:val="22"/>
                <w:szCs w:val="22"/>
                <w:lang w:val="fr-CA"/>
              </w:rPr>
              <w:t> </w:t>
            </w:r>
            <w:r w:rsidRPr="00B57B08">
              <w:rPr>
                <w:b/>
                <w:bCs/>
                <w:color w:val="000000" w:themeColor="text1"/>
                <w:sz w:val="22"/>
                <w:szCs w:val="22"/>
                <w:lang w:val="fr-CA"/>
              </w:rPr>
              <w:t>:</w:t>
            </w:r>
          </w:p>
        </w:tc>
        <w:tc>
          <w:tcPr>
            <w:tcW w:w="3204" w:type="dxa"/>
            <w:tcBorders>
              <w:top w:val="single" w:sz="4" w:space="0" w:color="000000"/>
              <w:left w:val="single" w:sz="4" w:space="0" w:color="000000"/>
              <w:bottom w:val="single" w:sz="4" w:space="0" w:color="000000"/>
              <w:right w:val="single" w:sz="4" w:space="0" w:color="000000"/>
            </w:tcBorders>
            <w:shd w:val="clear" w:color="000000" w:fill="D9E2F3"/>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CONTRIBUTION</w:t>
            </w:r>
            <w:r>
              <w:rPr>
                <w:b/>
                <w:bCs/>
                <w:color w:val="000000" w:themeColor="text1"/>
                <w:sz w:val="22"/>
                <w:szCs w:val="22"/>
                <w:lang w:val="fr-CA"/>
              </w:rPr>
              <w:t xml:space="preserve"> À LA RÉSILIENCE ET À LA COMPÉTITIVITÉ</w:t>
            </w:r>
          </w:p>
        </w:tc>
        <w:tc>
          <w:tcPr>
            <w:tcW w:w="3619"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RÉSULTATS / CONCLUSIONS ATTENDUS</w:t>
            </w:r>
            <w:r w:rsidRPr="00B57B08">
              <w:rPr>
                <w:b/>
                <w:bCs/>
                <w:color w:val="000000" w:themeColor="text1"/>
                <w:sz w:val="22"/>
                <w:szCs w:val="22"/>
                <w:lang w:val="fr-C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w:t>
            </w:r>
            <w:r>
              <w:rPr>
                <w:b/>
                <w:bCs/>
                <w:color w:val="000000" w:themeColor="text1"/>
                <w:sz w:val="22"/>
                <w:szCs w:val="22"/>
                <w:lang w:val="fr-CA"/>
              </w:rPr>
              <w:t>OOPÉRATION ET PARTENARIATS</w:t>
            </w:r>
          </w:p>
        </w:tc>
        <w:tc>
          <w:tcPr>
            <w:tcW w:w="2268" w:type="dxa"/>
            <w:tcBorders>
              <w:top w:val="single" w:sz="4" w:space="0" w:color="000000"/>
              <w:left w:val="single" w:sz="4" w:space="0" w:color="000000"/>
              <w:bottom w:val="single" w:sz="4" w:space="0" w:color="000000"/>
              <w:right w:val="single" w:sz="4" w:space="0" w:color="000000"/>
            </w:tcBorders>
            <w:shd w:val="clear" w:color="000000" w:fill="FFFF00"/>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 xml:space="preserve">RÉPONSE / ADAPTATION À LA </w:t>
            </w:r>
            <w:r w:rsidRPr="00B57B08">
              <w:rPr>
                <w:b/>
                <w:bCs/>
                <w:color w:val="000000" w:themeColor="text1"/>
                <w:sz w:val="22"/>
                <w:szCs w:val="22"/>
                <w:lang w:val="fr-CA"/>
              </w:rPr>
              <w:t xml:space="preserve">COVID-19 </w:t>
            </w:r>
          </w:p>
        </w:tc>
      </w:tr>
      <w:tr w:rsidR="005D65E0" w:rsidRPr="005C1AAB" w:rsidTr="001F5AA6">
        <w:trPr>
          <w:trHeight w:val="278"/>
        </w:trPr>
        <w:tc>
          <w:tcPr>
            <w:tcW w:w="2964" w:type="dxa"/>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1652" w:type="dxa"/>
            <w:gridSpan w:val="4"/>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2. </w:t>
            </w:r>
            <w:r>
              <w:rPr>
                <w:b/>
                <w:bCs/>
                <w:color w:val="000000" w:themeColor="text1"/>
                <w:sz w:val="22"/>
                <w:szCs w:val="22"/>
                <w:lang w:val="fr-CA"/>
              </w:rPr>
              <w:t xml:space="preserve">Renforcer la mise en œuvre d’objectifs en matière de développement durable, conformément au Programme interaméricain de développement durable </w:t>
            </w:r>
            <w:r w:rsidRPr="00B57B08">
              <w:rPr>
                <w:b/>
                <w:bCs/>
                <w:color w:val="000000" w:themeColor="text1"/>
                <w:sz w:val="22"/>
                <w:szCs w:val="22"/>
                <w:lang w:val="fr-CA"/>
              </w:rPr>
              <w:t>(PIDS) 2016-2021</w:t>
            </w:r>
          </w:p>
        </w:tc>
      </w:tr>
      <w:tr w:rsidR="005D65E0" w:rsidRPr="005C1AAB" w:rsidTr="001F5AA6">
        <w:trPr>
          <w:trHeight w:val="278"/>
        </w:trPr>
        <w:tc>
          <w:tcPr>
            <w:tcW w:w="2964" w:type="dxa"/>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52" w:type="dxa"/>
            <w:gridSpan w:val="4"/>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 xml:space="preserve">.1. Renforcer les capacités des États membres dans le domaine de la gestion des risques de catastrophe, conformément aux objectifs et aux mesures stratégiques contenus dans la </w:t>
            </w:r>
            <w:r w:rsidRPr="00B57B08">
              <w:rPr>
                <w:b/>
                <w:bCs/>
                <w:color w:val="000000" w:themeColor="text1"/>
                <w:sz w:val="22"/>
                <w:szCs w:val="22"/>
                <w:lang w:val="fr-CA"/>
              </w:rPr>
              <w:t xml:space="preserve">section 3.1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B57B08" w:rsidTr="001F5AA6">
        <w:trPr>
          <w:trHeight w:val="278"/>
        </w:trPr>
        <w:tc>
          <w:tcPr>
            <w:tcW w:w="14616" w:type="dxa"/>
            <w:gridSpan w:val="5"/>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5D65E0" w:rsidRPr="00B57B08" w:rsidRDefault="005D65E0" w:rsidP="001F5AA6">
            <w:pPr>
              <w:contextualSpacing/>
              <w:rPr>
                <w:b/>
                <w:bCs/>
                <w:color w:val="000000" w:themeColor="text1"/>
                <w:sz w:val="22"/>
                <w:szCs w:val="22"/>
                <w:lang w:val="fr-CA"/>
              </w:rPr>
            </w:pPr>
            <w:r w:rsidRPr="00B57B08">
              <w:rPr>
                <w:b/>
                <w:bCs/>
                <w:color w:val="000000" w:themeColor="text1"/>
                <w:sz w:val="22"/>
                <w:szCs w:val="22"/>
                <w:lang w:val="fr-CA"/>
              </w:rPr>
              <w:t>Ports</w:t>
            </w:r>
            <w:r>
              <w:rPr>
                <w:b/>
                <w:bCs/>
                <w:color w:val="000000" w:themeColor="text1"/>
                <w:sz w:val="22"/>
                <w:szCs w:val="22"/>
                <w:lang w:val="fr-CA"/>
              </w:rPr>
              <w:t> </w:t>
            </w:r>
            <w:r w:rsidRPr="00B57B08">
              <w:rPr>
                <w:b/>
                <w:bCs/>
                <w:color w:val="000000" w:themeColor="text1"/>
                <w:sz w:val="22"/>
                <w:szCs w:val="22"/>
                <w:lang w:val="fr-CA"/>
              </w:rPr>
              <w:t>:</w:t>
            </w:r>
          </w:p>
        </w:tc>
      </w:tr>
      <w:tr w:rsidR="005D65E0" w:rsidRPr="005C1AAB" w:rsidTr="001F5AA6">
        <w:trPr>
          <w:trHeight w:val="885"/>
        </w:trPr>
        <w:tc>
          <w:tcPr>
            <w:tcW w:w="29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contextualSpacing/>
              <w:rPr>
                <w:b/>
                <w:bCs/>
                <w:color w:val="000000" w:themeColor="text1"/>
                <w:sz w:val="22"/>
                <w:szCs w:val="22"/>
                <w:lang w:val="fr-CA"/>
              </w:rPr>
            </w:pPr>
            <w:r>
              <w:rPr>
                <w:b/>
                <w:bCs/>
                <w:color w:val="000000" w:themeColor="text1"/>
                <w:sz w:val="22"/>
                <w:szCs w:val="22"/>
                <w:lang w:val="fr-CA"/>
              </w:rPr>
              <w:t>Gestion des risques de catastrophe pour les ports des Caraïbes</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Renforcement de la capacité des États membres de la Caraïbe de répondre à des situations d’urgence et à des risques de catastrophe afin de réduire l’incidence de catastrophes naturelles et de catastrophes provoquées par l’homme sur la poursuite des activités commerciales et d’accroitre la résilience des ports</w:t>
            </w:r>
            <w:r w:rsidRPr="00B57B08">
              <w:rPr>
                <w:rFonts w:eastAsia="Calibri"/>
                <w:color w:val="000000" w:themeColor="text1"/>
                <w:sz w:val="22"/>
                <w:szCs w:val="22"/>
                <w:lang w:val="fr-CA"/>
              </w:rPr>
              <w:t>.</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Mise sur pied d’un projet visant à obtenir du financement et à établir des modalités d’exécution (États-Unis – Pays-Bas USD $500 </w:t>
            </w:r>
            <w:r w:rsidRPr="00B57B08">
              <w:rPr>
                <w:color w:val="000000" w:themeColor="text1"/>
                <w:sz w:val="22"/>
                <w:szCs w:val="22"/>
                <w:lang w:val="fr-CA"/>
              </w:rPr>
              <w:t>000).</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Pr>
                <w:color w:val="000000" w:themeColor="text1"/>
                <w:sz w:val="22"/>
                <w:szCs w:val="22"/>
                <w:lang w:val="fr-CA"/>
              </w:rPr>
              <w:t xml:space="preserve"> Département du développement durable</w:t>
            </w:r>
            <w:r w:rsidRPr="00B57B08">
              <w:rPr>
                <w:color w:val="000000" w:themeColor="text1"/>
                <w:sz w:val="22"/>
                <w:szCs w:val="22"/>
                <w:lang w:val="fr-CA"/>
              </w:rPr>
              <w:t xml:space="preserve">. </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sidRPr="00B57B08">
              <w:rPr>
                <w:color w:val="000000" w:themeColor="text1"/>
                <w:sz w:val="22"/>
                <w:szCs w:val="22"/>
                <w:lang w:val="fr-CA"/>
              </w:rPr>
              <w:t>CEDEMA</w:t>
            </w:r>
            <w:r>
              <w:rPr>
                <w:color w:val="000000" w:themeColor="text1"/>
                <w:sz w:val="22"/>
                <w:szCs w:val="22"/>
                <w:lang w:val="fr-CA"/>
              </w:rPr>
              <w:t xml:space="preserve"> (agence caribéenne de gestion des situations d’urgence et des catastrophes)</w:t>
            </w:r>
            <w:r w:rsidRPr="00B57B08">
              <w:rPr>
                <w:color w:val="000000" w:themeColor="text1"/>
                <w:sz w:val="22"/>
                <w:szCs w:val="22"/>
                <w:lang w:val="fr-CA"/>
              </w:rPr>
              <w:t>,</w:t>
            </w:r>
            <w:r>
              <w:rPr>
                <w:color w:val="000000" w:themeColor="text1"/>
                <w:sz w:val="22"/>
                <w:szCs w:val="22"/>
                <w:lang w:val="fr-CA"/>
              </w:rPr>
              <w:t xml:space="preserve"> garde côtière des États-Unis</w:t>
            </w:r>
            <w:r w:rsidRPr="00B57B08">
              <w:rPr>
                <w:color w:val="000000" w:themeColor="text1"/>
                <w:sz w:val="22"/>
                <w:szCs w:val="22"/>
                <w:lang w:val="fr-CA"/>
              </w:rPr>
              <w:t>,</w:t>
            </w:r>
            <w:r>
              <w:rPr>
                <w:color w:val="000000" w:themeColor="text1"/>
                <w:sz w:val="22"/>
                <w:szCs w:val="22"/>
                <w:lang w:val="fr-CA"/>
              </w:rPr>
              <w:t xml:space="preserve"> OMI (Organisation maritime internationale)</w:t>
            </w:r>
            <w:r w:rsidRPr="00B57B08">
              <w:rPr>
                <w:color w:val="000000" w:themeColor="text1"/>
                <w:sz w:val="22"/>
                <w:szCs w:val="22"/>
                <w:lang w:val="fr-CA"/>
              </w:rPr>
              <w:t xml:space="preserve">, ASA, Hudson Analytix, </w:t>
            </w:r>
            <w:r>
              <w:rPr>
                <w:color w:val="000000" w:themeColor="text1"/>
                <w:sz w:val="22"/>
                <w:szCs w:val="22"/>
                <w:lang w:val="fr-CA"/>
              </w:rPr>
              <w:t>autorités nationales des ports de la Caraïbe</w:t>
            </w:r>
            <w:r w:rsidRPr="00B57B08">
              <w:rPr>
                <w:color w:val="000000" w:themeColor="text1"/>
                <w:sz w:val="22"/>
                <w:szCs w:val="22"/>
                <w:lang w:val="fr-CA"/>
              </w:rPr>
              <w:t>, FEMA</w:t>
            </w:r>
            <w:r>
              <w:rPr>
                <w:color w:val="000000" w:themeColor="text1"/>
                <w:sz w:val="22"/>
                <w:szCs w:val="22"/>
                <w:lang w:val="fr-CA"/>
              </w:rPr>
              <w:t xml:space="preserve"> (agence fédérale de gestion des situations d’urgence des États-Unis)</w:t>
            </w:r>
            <w:r w:rsidRPr="00B57B08">
              <w:rPr>
                <w:color w:val="000000" w:themeColor="text1"/>
                <w:sz w:val="22"/>
                <w:szCs w:val="22"/>
                <w:lang w:val="fr-CA"/>
              </w:rPr>
              <w:t>, PMAC</w:t>
            </w:r>
            <w:r>
              <w:rPr>
                <w:color w:val="000000" w:themeColor="text1"/>
                <w:sz w:val="22"/>
                <w:szCs w:val="22"/>
                <w:lang w:val="fr-CA"/>
              </w:rPr>
              <w:t xml:space="preserve"> (association de gestion portuaire de la Caraïbe) et T&amp;T Salvage se sont dits intéressés par</w:t>
            </w:r>
            <w:r w:rsidRPr="00B57B08">
              <w:rPr>
                <w:color w:val="000000" w:themeColor="text1"/>
                <w:sz w:val="22"/>
                <w:szCs w:val="22"/>
                <w:lang w:val="fr-CA"/>
              </w:rPr>
              <w:t xml:space="preserve"> MAESK.</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00"/>
            <w:hideMark/>
          </w:tcPr>
          <w:p w:rsidR="005D65E0" w:rsidRDefault="005D65E0" w:rsidP="001F5AA6">
            <w:pPr>
              <w:rPr>
                <w:color w:val="000000" w:themeColor="text1"/>
                <w:sz w:val="22"/>
                <w:szCs w:val="22"/>
                <w:lang w:val="fr-CA"/>
              </w:rPr>
            </w:pPr>
            <w:r>
              <w:rPr>
                <w:b/>
                <w:bCs/>
                <w:color w:val="000000" w:themeColor="text1"/>
                <w:sz w:val="22"/>
                <w:szCs w:val="22"/>
                <w:lang w:val="fr-CA"/>
              </w:rPr>
              <w:t>Partage de connaissances et échange de bonnes pratiques :</w:t>
            </w:r>
            <w:r w:rsidRPr="00B57B08">
              <w:rPr>
                <w:b/>
                <w:bCs/>
                <w:color w:val="000000" w:themeColor="text1"/>
                <w:sz w:val="22"/>
                <w:szCs w:val="22"/>
                <w:lang w:val="fr-CA"/>
              </w:rPr>
              <w:t xml:space="preserve"> </w:t>
            </w:r>
          </w:p>
          <w:p w:rsidR="005D65E0" w:rsidRPr="00B57B08" w:rsidRDefault="005D65E0" w:rsidP="001F5AA6">
            <w:pPr>
              <w:rPr>
                <w:color w:val="000000" w:themeColor="text1"/>
                <w:sz w:val="22"/>
                <w:szCs w:val="22"/>
                <w:lang w:val="fr-CA"/>
              </w:rPr>
            </w:pPr>
            <w:r>
              <w:rPr>
                <w:color w:val="000000" w:themeColor="text1"/>
                <w:sz w:val="22"/>
                <w:szCs w:val="22"/>
                <w:lang w:val="fr-CA"/>
              </w:rPr>
              <w:t xml:space="preserve">Les États membres ont accès à des opportunités d’apprentissage, de partage de projets, de données d’expériences et d’autres ressources qui peuvent aider à déployer, répliquer ou adapter des initiatives visant à mitiger les défis que pose la </w:t>
            </w:r>
            <w:r w:rsidRPr="00B57B08">
              <w:rPr>
                <w:color w:val="000000" w:themeColor="text1"/>
                <w:sz w:val="22"/>
                <w:szCs w:val="22"/>
                <w:lang w:val="fr-CA"/>
              </w:rPr>
              <w:t>COVID-19.</w:t>
            </w:r>
            <w:r w:rsidRPr="00B57B08">
              <w:rPr>
                <w:color w:val="000000" w:themeColor="text1"/>
                <w:sz w:val="22"/>
                <w:szCs w:val="22"/>
                <w:lang w:val="fr-CA"/>
              </w:rPr>
              <w:br/>
            </w:r>
            <w:r w:rsidRPr="00B57B08">
              <w:rPr>
                <w:color w:val="000000" w:themeColor="text1"/>
                <w:sz w:val="22"/>
                <w:szCs w:val="22"/>
                <w:lang w:val="fr-CA"/>
              </w:rPr>
              <w:br/>
              <w:t xml:space="preserve">- Participation </w:t>
            </w:r>
            <w:r>
              <w:rPr>
                <w:color w:val="000000" w:themeColor="text1"/>
                <w:sz w:val="22"/>
                <w:szCs w:val="22"/>
                <w:lang w:val="fr-CA"/>
              </w:rPr>
              <w:t>à des séries de réunions virtuelles, de webinaires et d’ateliers virtuels</w:t>
            </w:r>
            <w:r w:rsidRPr="00B57B08">
              <w:rPr>
                <w:color w:val="000000" w:themeColor="text1"/>
                <w:sz w:val="22"/>
                <w:szCs w:val="22"/>
                <w:lang w:val="fr-CA"/>
              </w:rPr>
              <w:t>.</w:t>
            </w:r>
            <w:r w:rsidRPr="00B57B08">
              <w:rPr>
                <w:color w:val="000000" w:themeColor="text1"/>
                <w:sz w:val="22"/>
                <w:szCs w:val="22"/>
                <w:lang w:val="fr-CA"/>
              </w:rPr>
              <w:br/>
              <w:t>- Port</w:t>
            </w:r>
            <w:r>
              <w:rPr>
                <w:color w:val="000000" w:themeColor="text1"/>
                <w:sz w:val="22"/>
                <w:szCs w:val="22"/>
                <w:lang w:val="fr-CA"/>
              </w:rPr>
              <w:t xml:space="preserve">efeuille de ressources en matière de développement et de réponses des États </w:t>
            </w:r>
            <w:r>
              <w:rPr>
                <w:color w:val="000000" w:themeColor="text1"/>
                <w:sz w:val="22"/>
                <w:szCs w:val="22"/>
                <w:lang w:val="fr-CA"/>
              </w:rPr>
              <w:lastRenderedPageBreak/>
              <w:t>membres à la COVID-19 dans le domaine des ports</w:t>
            </w:r>
            <w:r w:rsidRPr="00B57B08">
              <w:rPr>
                <w:color w:val="000000" w:themeColor="text1"/>
                <w:sz w:val="22"/>
                <w:szCs w:val="22"/>
                <w:lang w:val="fr-CA"/>
              </w:rPr>
              <w:t>.</w:t>
            </w:r>
          </w:p>
        </w:tc>
      </w:tr>
      <w:tr w:rsidR="005D65E0" w:rsidRPr="005C1AAB" w:rsidTr="001F5AA6">
        <w:trPr>
          <w:trHeight w:val="1185"/>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204"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Réalisation d’une évaluation (du risque et des capacités), y compris une révision des plans actuels d’intervention en cas d’urgence dans les ports de la Caraïbe et établissement d’une base de compétences</w:t>
            </w:r>
            <w:r w:rsidRPr="00B57B08">
              <w:rPr>
                <w:color w:val="000000" w:themeColor="text1"/>
                <w:sz w:val="22"/>
                <w:szCs w:val="22"/>
                <w:lang w:val="fr-CA"/>
              </w:rPr>
              <w:t xml:space="preserve">. </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B57B08" w:rsidTr="001F5AA6">
        <w:trPr>
          <w:trHeight w:val="1958"/>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Étant donné que le commerce et le tourisme sont le principal moteur de l’économie de la région, une continuité commerciale accrue amène une durabilité économique et une plus grande compétitivité</w:t>
            </w:r>
            <w:r w:rsidRPr="00B57B08">
              <w:rPr>
                <w:color w:val="000000" w:themeColor="text1"/>
                <w:sz w:val="22"/>
                <w:szCs w:val="22"/>
                <w:lang w:val="fr-CA"/>
              </w:rPr>
              <w:t>.</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Rédaction d’un Plan modèle pour les interventions d’urgence pour les ports de la Caraïbe. Élaboration ou mise à jour de plans pour les interventions d’urgence à l’intention des ports, portant principalement sur la Caraïbe</w:t>
            </w:r>
            <w:r w:rsidRPr="00B57B08">
              <w:rPr>
                <w:color w:val="000000" w:themeColor="text1"/>
                <w:sz w:val="22"/>
                <w:szCs w:val="22"/>
                <w:lang w:val="fr-CA"/>
              </w:rPr>
              <w:t>.</w:t>
            </w:r>
            <w:r>
              <w:rPr>
                <w:color w:val="000000" w:themeColor="text1"/>
                <w:sz w:val="22"/>
                <w:szCs w:val="22"/>
                <w:lang w:val="fr-CA"/>
              </w:rPr>
              <w:t xml:space="preserve"> Approche par étapes : évaluation de référence; conception d’un modèle de plan que chaque pays peut adapter; formation; exercices dans les ports.</w:t>
            </w:r>
            <w:r w:rsidRPr="00B57B08">
              <w:rPr>
                <w:color w:val="000000" w:themeColor="text1"/>
                <w:sz w:val="22"/>
                <w:szCs w:val="22"/>
                <w:lang w:val="fr-CA"/>
              </w:rPr>
              <w:t xml:space="preserve"> </w:t>
            </w:r>
            <w:r>
              <w:rPr>
                <w:color w:val="000000" w:themeColor="text1"/>
                <w:sz w:val="22"/>
                <w:szCs w:val="22"/>
                <w:lang w:val="fr-CA"/>
              </w:rPr>
              <w:t>Recomma</w:t>
            </w:r>
            <w:r w:rsidRPr="00B57B08">
              <w:rPr>
                <w:color w:val="000000" w:themeColor="text1"/>
                <w:sz w:val="22"/>
                <w:szCs w:val="22"/>
                <w:lang w:val="fr-CA"/>
              </w:rPr>
              <w:t xml:space="preserve">ndation – </w:t>
            </w:r>
            <w:r>
              <w:rPr>
                <w:color w:val="000000" w:themeColor="text1"/>
                <w:sz w:val="22"/>
                <w:szCs w:val="22"/>
                <w:lang w:val="fr-CA"/>
              </w:rPr>
              <w:t>mises à jour des lois nationales</w:t>
            </w:r>
            <w:r w:rsidRPr="00B57B08">
              <w:rPr>
                <w:color w:val="000000" w:themeColor="text1"/>
                <w:sz w:val="22"/>
                <w:szCs w:val="22"/>
                <w:lang w:val="fr-CA"/>
              </w:rPr>
              <w:t>.</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964"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204"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Quatre ateliers régionaux de formation en gestion des risques de catastrophe dans les ports ont été donnés à 15 agents portuaires.</w:t>
            </w: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964" w:type="dxa"/>
            <w:vMerge/>
            <w:tcBorders>
              <w:top w:val="single" w:sz="4" w:space="0" w:color="000000"/>
              <w:left w:val="nil"/>
              <w:bottom w:val="single" w:sz="4" w:space="0" w:color="000000"/>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3204" w:type="dxa"/>
            <w:vMerge/>
            <w:tcBorders>
              <w:top w:val="single" w:sz="4" w:space="0" w:color="000000"/>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619" w:type="dxa"/>
            <w:tcBorders>
              <w:top w:val="single" w:sz="4" w:space="0" w:color="000000"/>
              <w:left w:val="nil"/>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Réalisation d’un exercice de simulation d’une situation d’urgence dans deux (2) ports </w:t>
            </w:r>
            <w:r w:rsidRPr="00B57B08">
              <w:rPr>
                <w:color w:val="000000" w:themeColor="text1"/>
                <w:sz w:val="22"/>
                <w:szCs w:val="22"/>
                <w:lang w:val="fr-CA"/>
              </w:rPr>
              <w:t>(</w:t>
            </w:r>
            <w:r>
              <w:rPr>
                <w:color w:val="000000" w:themeColor="text1"/>
                <w:sz w:val="22"/>
                <w:szCs w:val="22"/>
                <w:lang w:val="fr-CA"/>
              </w:rPr>
              <w:t>quatrième étape, mise en œuvre prévue pour</w:t>
            </w:r>
            <w:r w:rsidRPr="00B57B08">
              <w:rPr>
                <w:color w:val="000000" w:themeColor="text1"/>
                <w:sz w:val="22"/>
                <w:szCs w:val="22"/>
                <w:lang w:val="fr-CA"/>
              </w:rPr>
              <w:t xml:space="preserve"> 2021) </w:t>
            </w:r>
          </w:p>
        </w:tc>
        <w:tc>
          <w:tcPr>
            <w:tcW w:w="2561" w:type="dxa"/>
            <w:vMerge/>
            <w:tcBorders>
              <w:top w:val="single" w:sz="4" w:space="0" w:color="000000"/>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268" w:type="dxa"/>
            <w:vMerge/>
            <w:tcBorders>
              <w:top w:val="single" w:sz="4" w:space="0" w:color="000000"/>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color w:val="000000" w:themeColor="text1"/>
          <w:lang w:val="fr-CA"/>
        </w:rPr>
      </w:pPr>
    </w:p>
    <w:tbl>
      <w:tblPr>
        <w:tblW w:w="0" w:type="auto"/>
        <w:tblLayout w:type="fixed"/>
        <w:tblLook w:val="04A0" w:firstRow="1" w:lastRow="0" w:firstColumn="1" w:lastColumn="0" w:noHBand="0" w:noVBand="1"/>
      </w:tblPr>
      <w:tblGrid>
        <w:gridCol w:w="2964"/>
        <w:gridCol w:w="3204"/>
        <w:gridCol w:w="3619"/>
        <w:gridCol w:w="2678"/>
        <w:gridCol w:w="2151"/>
      </w:tblGrid>
      <w:tr w:rsidR="005D65E0" w:rsidRPr="005C1AAB" w:rsidTr="001F5AA6">
        <w:trPr>
          <w:trHeight w:val="278"/>
        </w:trPr>
        <w:tc>
          <w:tcPr>
            <w:tcW w:w="2964"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1652"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3. </w:t>
            </w:r>
            <w:r>
              <w:rPr>
                <w:b/>
                <w:bCs/>
                <w:color w:val="000000" w:themeColor="text1"/>
                <w:sz w:val="22"/>
                <w:szCs w:val="22"/>
                <w:lang w:val="fr-CA"/>
              </w:rPr>
              <w:t>Promotion de l’éducation et du développement humain dans les Amériques</w:t>
            </w:r>
          </w:p>
        </w:tc>
      </w:tr>
      <w:tr w:rsidR="005D65E0" w:rsidRPr="005C1AAB" w:rsidTr="001F5AA6">
        <w:trPr>
          <w:trHeight w:val="278"/>
        </w:trPr>
        <w:tc>
          <w:tcPr>
            <w:tcW w:w="2964"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52"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w:t>
            </w:r>
            <w:r>
              <w:rPr>
                <w:b/>
                <w:bCs/>
                <w:color w:val="000000" w:themeColor="text1"/>
                <w:sz w:val="22"/>
                <w:szCs w:val="22"/>
                <w:lang w:val="fr-CA"/>
              </w:rPr>
              <w:t xml:space="preserve">.4. Encourager l’accès, dans les États membres, à la possibilité de faire des études équitables, inclusives et de qualité à tous les niveaux, selon toutes les modalités, dans les quatre langues officielles de l’Organisation </w:t>
            </w:r>
          </w:p>
        </w:tc>
      </w:tr>
      <w:tr w:rsidR="005D65E0" w:rsidRPr="005C1AAB" w:rsidTr="001F5AA6">
        <w:trPr>
          <w:trHeight w:val="278"/>
        </w:trPr>
        <w:tc>
          <w:tcPr>
            <w:tcW w:w="14616" w:type="dxa"/>
            <w:gridSpan w:val="5"/>
            <w:tcBorders>
              <w:top w:val="single" w:sz="4" w:space="0" w:color="auto"/>
              <w:left w:val="single" w:sz="4" w:space="0" w:color="auto"/>
              <w:bottom w:val="single" w:sz="4" w:space="0" w:color="auto"/>
              <w:right w:val="nil"/>
            </w:tcBorders>
            <w:shd w:val="clear" w:color="000000" w:fill="F2F2F2"/>
            <w:vAlign w:val="center"/>
            <w:hideMark/>
          </w:tcPr>
          <w:p w:rsidR="005D65E0" w:rsidRPr="00B57B08" w:rsidRDefault="005D65E0" w:rsidP="001F5AA6">
            <w:pPr>
              <w:contextualSpacing/>
              <w:rPr>
                <w:b/>
                <w:bCs/>
                <w:color w:val="000000" w:themeColor="text1"/>
                <w:sz w:val="22"/>
                <w:szCs w:val="22"/>
                <w:lang w:val="fr-CA"/>
              </w:rPr>
            </w:pPr>
            <w:r>
              <w:rPr>
                <w:b/>
                <w:bCs/>
                <w:color w:val="000000" w:themeColor="text1"/>
                <w:sz w:val="22"/>
                <w:szCs w:val="22"/>
                <w:lang w:val="fr-CA"/>
              </w:rPr>
              <w:t xml:space="preserve">Programme de bourses d’études, de perfectionnement et de renforcement des compétences de la </w:t>
            </w:r>
            <w:r w:rsidRPr="00B57B08">
              <w:rPr>
                <w:b/>
                <w:bCs/>
                <w:color w:val="000000" w:themeColor="text1"/>
                <w:sz w:val="22"/>
                <w:szCs w:val="22"/>
                <w:lang w:val="fr-CA"/>
              </w:rPr>
              <w:t xml:space="preserve">CIP </w:t>
            </w:r>
          </w:p>
        </w:tc>
      </w:tr>
      <w:tr w:rsidR="005D65E0" w:rsidRPr="005C1AAB" w:rsidTr="001F5AA6">
        <w:trPr>
          <w:trHeight w:val="1110"/>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Consolider le Programme de bourses d’études et de perfectionnement de la</w:t>
            </w:r>
            <w:r w:rsidRPr="00B57B08">
              <w:rPr>
                <w:rFonts w:eastAsia="Symbol" w:cs="Symbol"/>
                <w:color w:val="000000" w:themeColor="text1"/>
                <w:sz w:val="22"/>
                <w:szCs w:val="22"/>
                <w:lang w:val="fr-CA"/>
              </w:rPr>
              <w:t xml:space="preserve"> CIP </w:t>
            </w:r>
            <w:r>
              <w:rPr>
                <w:rFonts w:eastAsia="Symbol" w:cs="Symbol"/>
                <w:color w:val="000000" w:themeColor="text1"/>
                <w:sz w:val="22"/>
                <w:szCs w:val="22"/>
                <w:lang w:val="fr-CA"/>
              </w:rPr>
              <w:t>et offrir en outre une formation portant principalement sur la résilience des ports</w:t>
            </w:r>
            <w:r w:rsidRPr="00B57B08">
              <w:rPr>
                <w:rFonts w:eastAsia="Symbol" w:cs="Symbol"/>
                <w:color w:val="000000" w:themeColor="text1"/>
                <w:sz w:val="22"/>
                <w:szCs w:val="22"/>
                <w:lang w:val="fr-CA"/>
              </w:rPr>
              <w:t xml:space="preserve">. </w:t>
            </w:r>
          </w:p>
        </w:tc>
        <w:tc>
          <w:tcPr>
            <w:tcW w:w="3204" w:type="dxa"/>
            <w:vMerge w:val="restart"/>
            <w:tcBorders>
              <w:top w:val="nil"/>
              <w:left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Offre d’une formation continue sur les pratiques en matière de résilience à l’intention de la Caraïbe anglophone; offre de cours similaires aux États membres hispanophones</w:t>
            </w:r>
            <w:r w:rsidRPr="00B57B08">
              <w:rPr>
                <w:color w:val="000000" w:themeColor="text1"/>
                <w:sz w:val="22"/>
                <w:szCs w:val="22"/>
                <w:lang w:val="fr-CA"/>
              </w:rPr>
              <w:t>.</w:t>
            </w:r>
          </w:p>
          <w:p w:rsidR="005D65E0" w:rsidRPr="00B57B08"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r>
              <w:rPr>
                <w:color w:val="000000" w:themeColor="text1"/>
                <w:sz w:val="22"/>
                <w:szCs w:val="22"/>
                <w:lang w:val="fr-CA"/>
              </w:rPr>
              <w:t>La résilience et la continuité du commerce seront inclus dans cette formation en tant que l’un des thèmes importants</w:t>
            </w:r>
            <w:r w:rsidRPr="00B57B08">
              <w:rPr>
                <w:color w:val="000000" w:themeColor="text1"/>
                <w:sz w:val="22"/>
                <w:szCs w:val="22"/>
                <w:lang w:val="fr-CA"/>
              </w:rPr>
              <w:t>.</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361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Au moins 180 agents portuaires ont reçu une formation, y compris en gestion des risques de catastrophe et résilience, de même qu’en matière de compétitivité</w:t>
            </w:r>
            <w:r w:rsidRPr="00B57B08">
              <w:rPr>
                <w:color w:val="000000" w:themeColor="text1"/>
                <w:sz w:val="22"/>
                <w:szCs w:val="22"/>
                <w:lang w:val="fr-CA"/>
              </w:rPr>
              <w:t>.</w:t>
            </w:r>
          </w:p>
        </w:tc>
        <w:tc>
          <w:tcPr>
            <w:tcW w:w="2678"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E</w:t>
            </w:r>
            <w:r>
              <w:rPr>
                <w:b/>
                <w:bCs/>
                <w:color w:val="000000" w:themeColor="text1"/>
                <w:sz w:val="22"/>
                <w:szCs w:val="22"/>
                <w:lang w:val="fr-CA"/>
              </w:rPr>
              <w:t>xterne </w:t>
            </w:r>
            <w:r w:rsidRPr="00B57B08">
              <w:rPr>
                <w:b/>
                <w:bCs/>
                <w:color w:val="000000" w:themeColor="text1"/>
                <w:sz w:val="22"/>
                <w:szCs w:val="22"/>
                <w:lang w:val="fr-CA"/>
              </w:rPr>
              <w:t xml:space="preserve">: </w:t>
            </w:r>
            <w:r w:rsidRPr="00B57B08">
              <w:rPr>
                <w:color w:val="000000" w:themeColor="text1"/>
                <w:sz w:val="22"/>
                <w:szCs w:val="22"/>
                <w:lang w:val="fr-CA"/>
              </w:rPr>
              <w:t>Puertos del Estado (</w:t>
            </w:r>
            <w:r>
              <w:rPr>
                <w:color w:val="000000" w:themeColor="text1"/>
                <w:sz w:val="22"/>
                <w:szCs w:val="22"/>
                <w:lang w:val="fr-CA"/>
              </w:rPr>
              <w:t>Espagne</w:t>
            </w:r>
            <w:r w:rsidRPr="00B57B08">
              <w:rPr>
                <w:color w:val="000000" w:themeColor="text1"/>
                <w:sz w:val="22"/>
                <w:szCs w:val="22"/>
                <w:lang w:val="fr-CA"/>
              </w:rPr>
              <w:t>),</w:t>
            </w:r>
            <w:r>
              <w:rPr>
                <w:color w:val="000000" w:themeColor="text1"/>
                <w:sz w:val="22"/>
                <w:szCs w:val="22"/>
                <w:lang w:val="fr-CA"/>
              </w:rPr>
              <w:t xml:space="preserve"> autorité portuaire nationale du Pérou</w:t>
            </w:r>
            <w:r w:rsidRPr="00B57B08">
              <w:rPr>
                <w:color w:val="000000" w:themeColor="text1"/>
                <w:sz w:val="22"/>
                <w:szCs w:val="22"/>
                <w:lang w:val="fr-CA"/>
              </w:rPr>
              <w:t xml:space="preserve"> (APN),</w:t>
            </w:r>
            <w:r>
              <w:rPr>
                <w:color w:val="000000" w:themeColor="text1"/>
                <w:sz w:val="22"/>
                <w:szCs w:val="22"/>
                <w:lang w:val="fr-CA"/>
              </w:rPr>
              <w:t xml:space="preserve"> Organisation maritime internationale (OMI), garde côtière des États-Unis</w:t>
            </w:r>
            <w:r w:rsidRPr="00B57B08">
              <w:rPr>
                <w:color w:val="000000" w:themeColor="text1"/>
                <w:sz w:val="22"/>
                <w:szCs w:val="22"/>
                <w:lang w:val="fr-CA"/>
              </w:rPr>
              <w:t xml:space="preserve"> (USCG),</w:t>
            </w:r>
            <w:r>
              <w:rPr>
                <w:color w:val="000000" w:themeColor="text1"/>
                <w:sz w:val="22"/>
                <w:szCs w:val="22"/>
                <w:lang w:val="fr-CA"/>
              </w:rPr>
              <w:t xml:space="preserve"> autorité portuaire de</w:t>
            </w:r>
            <w:r w:rsidRPr="00B57B08">
              <w:rPr>
                <w:color w:val="000000" w:themeColor="text1"/>
                <w:sz w:val="22"/>
                <w:szCs w:val="22"/>
                <w:lang w:val="fr-CA"/>
              </w:rPr>
              <w:t xml:space="preserve"> Busan (</w:t>
            </w:r>
            <w:r>
              <w:rPr>
                <w:color w:val="000000" w:themeColor="text1"/>
                <w:sz w:val="22"/>
                <w:szCs w:val="22"/>
                <w:lang w:val="fr-CA"/>
              </w:rPr>
              <w:t>Corée</w:t>
            </w:r>
            <w:r w:rsidRPr="00B57B08">
              <w:rPr>
                <w:color w:val="000000" w:themeColor="text1"/>
                <w:sz w:val="22"/>
                <w:szCs w:val="22"/>
                <w:lang w:val="fr-CA"/>
              </w:rPr>
              <w:t>), Fundación ValenciaPort (</w:t>
            </w:r>
            <w:r>
              <w:rPr>
                <w:color w:val="000000" w:themeColor="text1"/>
                <w:sz w:val="22"/>
                <w:szCs w:val="22"/>
                <w:lang w:val="fr-CA"/>
              </w:rPr>
              <w:t>Espagne</w:t>
            </w:r>
            <w:r w:rsidRPr="00B57B08">
              <w:rPr>
                <w:color w:val="000000" w:themeColor="text1"/>
                <w:sz w:val="22"/>
                <w:szCs w:val="22"/>
                <w:lang w:val="fr-CA"/>
              </w:rPr>
              <w:t xml:space="preserve">), </w:t>
            </w:r>
            <w:r>
              <w:rPr>
                <w:color w:val="000000" w:themeColor="text1"/>
                <w:sz w:val="22"/>
                <w:szCs w:val="22"/>
                <w:lang w:val="fr-CA"/>
              </w:rPr>
              <w:t>port de</w:t>
            </w:r>
            <w:r w:rsidRPr="00B57B08">
              <w:rPr>
                <w:color w:val="000000" w:themeColor="text1"/>
                <w:sz w:val="22"/>
                <w:szCs w:val="22"/>
                <w:lang w:val="fr-CA"/>
              </w:rPr>
              <w:t xml:space="preserve"> Buen</w:t>
            </w:r>
            <w:r>
              <w:rPr>
                <w:color w:val="000000" w:themeColor="text1"/>
                <w:sz w:val="22"/>
                <w:szCs w:val="22"/>
                <w:lang w:val="fr-CA"/>
              </w:rPr>
              <w:t>os Aires (Argentine</w:t>
            </w:r>
            <w:r w:rsidRPr="00B57B08">
              <w:rPr>
                <w:color w:val="000000" w:themeColor="text1"/>
                <w:sz w:val="22"/>
                <w:szCs w:val="22"/>
                <w:lang w:val="fr-CA"/>
              </w:rPr>
              <w:t>), American Association of Port Authorities (AAPA), Piedroba Consulting Group, International Association of Dredging Companies (IADC), SOGET (France).</w:t>
            </w:r>
          </w:p>
        </w:tc>
        <w:tc>
          <w:tcPr>
            <w:tcW w:w="2151"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r w:rsidR="005D65E0" w:rsidRPr="005C1AAB" w:rsidTr="001F5AA6">
        <w:trPr>
          <w:trHeight w:val="555"/>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Ateliers sur la sécurité portuaire avec la Caraïbe</w:t>
            </w:r>
            <w:r w:rsidRPr="00B57B08">
              <w:rPr>
                <w:rFonts w:eastAsia="Symbol" w:cs="Symbol"/>
                <w:color w:val="000000" w:themeColor="text1"/>
                <w:sz w:val="22"/>
                <w:szCs w:val="22"/>
                <w:lang w:val="fr-CA"/>
              </w:rPr>
              <w:t xml:space="preserve"> </w:t>
            </w:r>
          </w:p>
        </w:tc>
        <w:tc>
          <w:tcPr>
            <w:tcW w:w="3204" w:type="dxa"/>
            <w:vMerge/>
            <w:tcBorders>
              <w:left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p>
        </w:tc>
        <w:tc>
          <w:tcPr>
            <w:tcW w:w="361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78"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15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Cours en ligne sur la logistique portuaire et la compétitivité des ports</w:t>
            </w:r>
            <w:r w:rsidRPr="00B57B08">
              <w:rPr>
                <w:rFonts w:eastAsia="Symbol" w:cs="Symbol"/>
                <w:color w:val="000000" w:themeColor="text1"/>
                <w:sz w:val="22"/>
                <w:szCs w:val="22"/>
                <w:lang w:val="fr-CA"/>
              </w:rPr>
              <w:t>.</w:t>
            </w:r>
          </w:p>
        </w:tc>
        <w:tc>
          <w:tcPr>
            <w:tcW w:w="3204" w:type="dxa"/>
            <w:vMerge/>
            <w:tcBorders>
              <w:left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p>
        </w:tc>
        <w:tc>
          <w:tcPr>
            <w:tcW w:w="3619" w:type="dxa"/>
            <w:tcBorders>
              <w:top w:val="nil"/>
              <w:left w:val="nil"/>
              <w:bottom w:val="nil"/>
              <w:right w:val="nil"/>
            </w:tcBorders>
            <w:shd w:val="clear" w:color="auto" w:fill="auto"/>
            <w:noWrap/>
            <w:hideMark/>
          </w:tcPr>
          <w:p w:rsidR="005D65E0" w:rsidRPr="00B57B08" w:rsidRDefault="005D65E0" w:rsidP="001F5AA6">
            <w:pPr>
              <w:rPr>
                <w:color w:val="000000" w:themeColor="text1"/>
                <w:sz w:val="22"/>
                <w:szCs w:val="22"/>
                <w:lang w:val="fr-CA"/>
              </w:rPr>
            </w:pPr>
          </w:p>
        </w:tc>
        <w:tc>
          <w:tcPr>
            <w:tcW w:w="2678"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15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 xml:space="preserve">Études de maîtrise sur la gestion des ports et le transport intermodal </w:t>
            </w:r>
          </w:p>
        </w:tc>
        <w:tc>
          <w:tcPr>
            <w:tcW w:w="3204" w:type="dxa"/>
            <w:vMerge/>
            <w:tcBorders>
              <w:left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p>
        </w:tc>
        <w:tc>
          <w:tcPr>
            <w:tcW w:w="3619" w:type="dxa"/>
            <w:tcBorders>
              <w:top w:val="single" w:sz="4" w:space="0" w:color="auto"/>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Au moins une bourse d’études complète a été accordée à un agent portuaire pour une maîtrise en gestion portuaire</w:t>
            </w:r>
            <w:r w:rsidRPr="00B57B08">
              <w:rPr>
                <w:color w:val="000000" w:themeColor="text1"/>
                <w:sz w:val="22"/>
                <w:szCs w:val="22"/>
                <w:lang w:val="fr-CA"/>
              </w:rPr>
              <w:t>.</w:t>
            </w:r>
          </w:p>
        </w:tc>
        <w:tc>
          <w:tcPr>
            <w:tcW w:w="2678"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15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Conférences techniques continentales sur la sécurité portuaire, la gestion durable, la parité hommes-femmes, la responsabilité sociale et la relation port-ville</w:t>
            </w:r>
            <w:r w:rsidRPr="00B57B08">
              <w:rPr>
                <w:rFonts w:eastAsia="Symbol" w:cs="Symbol"/>
                <w:color w:val="000000" w:themeColor="text1"/>
                <w:sz w:val="22"/>
                <w:szCs w:val="22"/>
                <w:lang w:val="fr-CA"/>
              </w:rPr>
              <w:t>.</w:t>
            </w:r>
          </w:p>
        </w:tc>
        <w:tc>
          <w:tcPr>
            <w:tcW w:w="3204" w:type="dxa"/>
            <w:vMerge/>
            <w:tcBorders>
              <w:left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p>
        </w:tc>
        <w:tc>
          <w:tcPr>
            <w:tcW w:w="361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Au moins 300 agents portuaires et de l’industrie maritime ont reçu des renseignements sur des pratiques réussies en matière de gestion –portuaire intégrée dans trois (3) conférences continentales et un (1) forum sur les pratiques qui ont réussi en matière de développement portuaire</w:t>
            </w:r>
            <w:r w:rsidRPr="00B57B08">
              <w:rPr>
                <w:color w:val="000000" w:themeColor="text1"/>
                <w:sz w:val="22"/>
                <w:szCs w:val="22"/>
                <w:lang w:val="fr-CA"/>
              </w:rPr>
              <w:t xml:space="preserve">. </w:t>
            </w:r>
          </w:p>
        </w:tc>
        <w:tc>
          <w:tcPr>
            <w:tcW w:w="2678"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15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2964"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 xml:space="preserve">Un recueil et du matériel de formation sur la logistique portuaire, l’innovation et la compétitivité seront élaborés dans le cadre du Groupe de conseillers techniques (GCT) </w:t>
            </w:r>
            <w:r>
              <w:rPr>
                <w:rFonts w:eastAsia="Symbol" w:cs="Symbol"/>
                <w:color w:val="000000" w:themeColor="text1"/>
                <w:sz w:val="22"/>
                <w:szCs w:val="22"/>
                <w:lang w:val="fr-CA"/>
              </w:rPr>
              <w:lastRenderedPageBreak/>
              <w:t>de la CIP sur la logistique, l’innovation et la compétitivité</w:t>
            </w:r>
            <w:r w:rsidRPr="00B57B08">
              <w:rPr>
                <w:rFonts w:eastAsia="Symbol" w:cs="Symbol"/>
                <w:color w:val="000000" w:themeColor="text1"/>
                <w:sz w:val="22"/>
                <w:szCs w:val="22"/>
                <w:lang w:val="fr-CA"/>
              </w:rPr>
              <w:t xml:space="preserve">. </w:t>
            </w:r>
          </w:p>
        </w:tc>
        <w:tc>
          <w:tcPr>
            <w:tcW w:w="3204" w:type="dxa"/>
            <w:vMerge/>
            <w:tcBorders>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p>
        </w:tc>
        <w:tc>
          <w:tcPr>
            <w:tcW w:w="361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Collecte de m</w:t>
            </w:r>
            <w:r w:rsidRPr="00B57B08">
              <w:rPr>
                <w:color w:val="000000" w:themeColor="text1"/>
                <w:sz w:val="22"/>
                <w:szCs w:val="22"/>
                <w:lang w:val="fr-CA"/>
              </w:rPr>
              <w:t>at</w:t>
            </w:r>
            <w:r>
              <w:rPr>
                <w:color w:val="000000" w:themeColor="text1"/>
                <w:sz w:val="22"/>
                <w:szCs w:val="22"/>
                <w:lang w:val="fr-CA"/>
              </w:rPr>
              <w:t>ériel et de pratiques qui ont réussi en vue d’éventuelles formations en logistique portuaire, en innovation et en compétitivité.</w:t>
            </w:r>
            <w:r w:rsidRPr="00B57B08">
              <w:rPr>
                <w:color w:val="000000" w:themeColor="text1"/>
                <w:sz w:val="22"/>
                <w:szCs w:val="22"/>
                <w:lang w:val="fr-CA"/>
              </w:rPr>
              <w:t xml:space="preserve"> </w:t>
            </w:r>
          </w:p>
        </w:tc>
        <w:tc>
          <w:tcPr>
            <w:tcW w:w="2678"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15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color w:val="000000" w:themeColor="text1"/>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3204"/>
        <w:gridCol w:w="3619"/>
        <w:gridCol w:w="2678"/>
        <w:gridCol w:w="2151"/>
      </w:tblGrid>
      <w:tr w:rsidR="005D65E0" w:rsidRPr="005C1AAB" w:rsidTr="001F5AA6">
        <w:trPr>
          <w:trHeight w:val="278"/>
        </w:trPr>
        <w:tc>
          <w:tcPr>
            <w:tcW w:w="2964" w:type="dxa"/>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1652" w:type="dxa"/>
            <w:gridSpan w:val="4"/>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6. </w:t>
            </w:r>
            <w:r>
              <w:rPr>
                <w:b/>
                <w:bCs/>
                <w:color w:val="000000" w:themeColor="text1"/>
                <w:sz w:val="22"/>
                <w:szCs w:val="22"/>
                <w:lang w:val="fr-CA"/>
              </w:rPr>
              <w:t>Promotion de la coopération en matière de développement et des partenariats</w:t>
            </w:r>
          </w:p>
        </w:tc>
      </w:tr>
      <w:tr w:rsidR="005D65E0" w:rsidRPr="005C1AAB" w:rsidTr="001F5AA6">
        <w:trPr>
          <w:trHeight w:val="278"/>
        </w:trPr>
        <w:tc>
          <w:tcPr>
            <w:tcW w:w="2964"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52" w:type="dxa"/>
            <w:gridSpan w:val="4"/>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6</w:t>
            </w:r>
            <w:r>
              <w:rPr>
                <w:b/>
                <w:bCs/>
                <w:color w:val="000000" w:themeColor="text1"/>
                <w:sz w:val="22"/>
                <w:szCs w:val="22"/>
                <w:lang w:val="fr-CA"/>
              </w:rPr>
              <w:t>.1. Promotion de la coopération bilatérale, sud-sud, triangulaire et internationale dans le Continent américain</w:t>
            </w:r>
          </w:p>
        </w:tc>
      </w:tr>
      <w:tr w:rsidR="005D65E0" w:rsidRPr="005C1AAB" w:rsidTr="001F5AA6">
        <w:trPr>
          <w:trHeight w:val="1388"/>
        </w:trPr>
        <w:tc>
          <w:tcPr>
            <w:tcW w:w="2964" w:type="dxa"/>
            <w:vMerge w:val="restart"/>
            <w:shd w:val="clear" w:color="auto" w:fill="auto"/>
            <w:hideMark/>
          </w:tcPr>
          <w:p w:rsidR="005D65E0" w:rsidRPr="00B57B08" w:rsidRDefault="005D65E0" w:rsidP="001F5AA6">
            <w:pPr>
              <w:rPr>
                <w:color w:val="000000" w:themeColor="text1"/>
                <w:sz w:val="22"/>
                <w:szCs w:val="22"/>
                <w:lang w:val="fr-CA"/>
              </w:rPr>
            </w:pPr>
            <w:r w:rsidRPr="00B57B08">
              <w:rPr>
                <w:rFonts w:eastAsia="Symbol"/>
                <w:b/>
                <w:bCs/>
                <w:color w:val="000000" w:themeColor="text1"/>
                <w:sz w:val="22"/>
                <w:szCs w:val="22"/>
                <w:lang w:val="fr-CA"/>
              </w:rPr>
              <w:t>DIALOGUE</w:t>
            </w:r>
            <w:r>
              <w:rPr>
                <w:rFonts w:eastAsia="Symbol"/>
                <w:b/>
                <w:bCs/>
                <w:color w:val="000000" w:themeColor="text1"/>
                <w:sz w:val="22"/>
                <w:szCs w:val="22"/>
                <w:lang w:val="fr-CA"/>
              </w:rPr>
              <w:t xml:space="preserve"> EN MATIÈRE DE POLITIQUES </w:t>
            </w:r>
            <w:r w:rsidRPr="00B57B08">
              <w:rPr>
                <w:rFonts w:eastAsia="Symbol"/>
                <w:b/>
                <w:bCs/>
                <w:color w:val="000000" w:themeColor="text1"/>
                <w:sz w:val="22"/>
                <w:szCs w:val="22"/>
                <w:lang w:val="fr-CA"/>
              </w:rPr>
              <w:t xml:space="preserve">: </w:t>
            </w:r>
            <w:r>
              <w:rPr>
                <w:rFonts w:eastAsia="Symbol"/>
                <w:color w:val="000000" w:themeColor="text1"/>
                <w:sz w:val="22"/>
                <w:szCs w:val="22"/>
                <w:lang w:val="fr-CA"/>
              </w:rPr>
              <w:t>Douzième Réunion ordinaire de la</w:t>
            </w:r>
            <w:r w:rsidRPr="00B57B08">
              <w:rPr>
                <w:rFonts w:eastAsia="Symbol"/>
                <w:color w:val="000000" w:themeColor="text1"/>
                <w:sz w:val="22"/>
                <w:szCs w:val="22"/>
                <w:lang w:val="fr-CA"/>
              </w:rPr>
              <w:t xml:space="preserve"> CIP </w:t>
            </w:r>
          </w:p>
        </w:tc>
        <w:tc>
          <w:tcPr>
            <w:tcW w:w="3204"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Inclusion, dans la Résolution de Buenos Aires, de la ré</w:t>
            </w:r>
            <w:r w:rsidRPr="00B57B08">
              <w:rPr>
                <w:color w:val="000000" w:themeColor="text1"/>
                <w:sz w:val="22"/>
                <w:szCs w:val="22"/>
                <w:lang w:val="fr-CA"/>
              </w:rPr>
              <w:t>silience</w:t>
            </w:r>
            <w:r>
              <w:rPr>
                <w:color w:val="000000" w:themeColor="text1"/>
                <w:sz w:val="22"/>
                <w:szCs w:val="22"/>
                <w:lang w:val="fr-CA"/>
              </w:rPr>
              <w:t>, en tant que domaine dans lequel la collaboration sera accrue entre les ports de la région, en ce qui concerne la gestion des risques de catastrophe et la continuité du commerce</w:t>
            </w:r>
            <w:r w:rsidRPr="00B57B08">
              <w:rPr>
                <w:color w:val="000000" w:themeColor="text1"/>
                <w:sz w:val="22"/>
                <w:szCs w:val="22"/>
                <w:lang w:val="fr-CA"/>
              </w:rPr>
              <w:t>.</w:t>
            </w:r>
          </w:p>
        </w:tc>
        <w:tc>
          <w:tcPr>
            <w:tcW w:w="3619"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Élection d’un nouveau Comité exécutif de la</w:t>
            </w:r>
            <w:r w:rsidRPr="00B57B08">
              <w:rPr>
                <w:color w:val="000000" w:themeColor="text1"/>
                <w:sz w:val="22"/>
                <w:szCs w:val="22"/>
                <w:lang w:val="fr-CA"/>
              </w:rPr>
              <w:t xml:space="preserve"> CIP </w:t>
            </w:r>
          </w:p>
        </w:tc>
        <w:tc>
          <w:tcPr>
            <w:tcW w:w="2678" w:type="dxa"/>
            <w:vMerge w:val="restart"/>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151" w:type="dxa"/>
            <w:vMerge w:val="restart"/>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r w:rsidR="005D65E0" w:rsidRPr="005C1AAB" w:rsidTr="001F5AA6">
        <w:trPr>
          <w:trHeight w:val="1110"/>
        </w:trPr>
        <w:tc>
          <w:tcPr>
            <w:tcW w:w="2964" w:type="dxa"/>
            <w:vMerge/>
            <w:hideMark/>
          </w:tcPr>
          <w:p w:rsidR="005D65E0" w:rsidRPr="00B57B08" w:rsidRDefault="005D65E0" w:rsidP="001F5AA6">
            <w:pPr>
              <w:rPr>
                <w:color w:val="000000" w:themeColor="text1"/>
                <w:sz w:val="22"/>
                <w:szCs w:val="22"/>
                <w:lang w:val="fr-CA"/>
              </w:rPr>
            </w:pPr>
          </w:p>
        </w:tc>
        <w:tc>
          <w:tcPr>
            <w:tcW w:w="3204"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La Résolution de</w:t>
            </w:r>
            <w:r w:rsidRPr="00B57B08">
              <w:rPr>
                <w:color w:val="000000" w:themeColor="text1"/>
                <w:sz w:val="22"/>
                <w:szCs w:val="22"/>
                <w:lang w:val="fr-CA"/>
              </w:rPr>
              <w:t xml:space="preserve"> Buenos Aires</w:t>
            </w:r>
            <w:r>
              <w:rPr>
                <w:color w:val="000000" w:themeColor="text1"/>
                <w:sz w:val="22"/>
                <w:szCs w:val="22"/>
                <w:lang w:val="fr-CA"/>
              </w:rPr>
              <w:t>comprend la compétitivité des ports en tant que domaine prioritaire, soulignant l’importance de celle-ci pour le développement socio-économique dans les États membres</w:t>
            </w:r>
            <w:r w:rsidRPr="00B57B08">
              <w:rPr>
                <w:color w:val="000000" w:themeColor="text1"/>
                <w:sz w:val="22"/>
                <w:szCs w:val="22"/>
                <w:lang w:val="fr-CA"/>
              </w:rPr>
              <w:t xml:space="preserve">. </w:t>
            </w:r>
          </w:p>
        </w:tc>
        <w:tc>
          <w:tcPr>
            <w:tcW w:w="3619"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Approbation d’une résolution ainsi que du Plan d’action</w:t>
            </w:r>
            <w:r w:rsidRPr="00B57B08">
              <w:rPr>
                <w:color w:val="000000" w:themeColor="text1"/>
                <w:sz w:val="22"/>
                <w:szCs w:val="22"/>
                <w:lang w:val="fr-CA"/>
              </w:rPr>
              <w:t xml:space="preserve"> 2020-2022</w:t>
            </w:r>
            <w:r>
              <w:rPr>
                <w:color w:val="000000" w:themeColor="text1"/>
                <w:sz w:val="22"/>
                <w:szCs w:val="22"/>
                <w:lang w:val="fr-CA"/>
              </w:rPr>
              <w:t xml:space="preserve"> et du budget correspondant</w:t>
            </w:r>
            <w:r w:rsidRPr="00B57B08">
              <w:rPr>
                <w:color w:val="000000" w:themeColor="text1"/>
                <w:sz w:val="22"/>
                <w:szCs w:val="22"/>
                <w:lang w:val="fr-CA"/>
              </w:rPr>
              <w:t xml:space="preserve">.  </w:t>
            </w:r>
          </w:p>
        </w:tc>
        <w:tc>
          <w:tcPr>
            <w:tcW w:w="2678" w:type="dxa"/>
            <w:vMerge/>
            <w:hideMark/>
          </w:tcPr>
          <w:p w:rsidR="005D65E0" w:rsidRPr="00B57B08" w:rsidRDefault="005D65E0" w:rsidP="001F5AA6">
            <w:pPr>
              <w:rPr>
                <w:color w:val="000000" w:themeColor="text1"/>
                <w:sz w:val="22"/>
                <w:szCs w:val="22"/>
                <w:lang w:val="fr-CA"/>
              </w:rPr>
            </w:pPr>
          </w:p>
        </w:tc>
        <w:tc>
          <w:tcPr>
            <w:tcW w:w="2151" w:type="dxa"/>
            <w:vMerge/>
            <w:hideMark/>
          </w:tcPr>
          <w:p w:rsidR="005D65E0" w:rsidRPr="00B57B08" w:rsidRDefault="005D65E0" w:rsidP="001F5AA6">
            <w:pPr>
              <w:rPr>
                <w:color w:val="000000" w:themeColor="text1"/>
                <w:sz w:val="22"/>
                <w:szCs w:val="22"/>
                <w:lang w:val="fr-CA"/>
              </w:rPr>
            </w:pPr>
          </w:p>
        </w:tc>
      </w:tr>
      <w:tr w:rsidR="005D65E0" w:rsidRPr="005C1AAB" w:rsidTr="001F5AA6">
        <w:trPr>
          <w:trHeight w:val="1110"/>
        </w:trPr>
        <w:tc>
          <w:tcPr>
            <w:tcW w:w="2964" w:type="dxa"/>
            <w:vMerge w:val="restart"/>
            <w:shd w:val="clear" w:color="auto" w:fill="auto"/>
            <w:hideMark/>
          </w:tcPr>
          <w:p w:rsidR="005D65E0" w:rsidRPr="00B57B08" w:rsidRDefault="005D65E0" w:rsidP="001F5AA6">
            <w:pPr>
              <w:rPr>
                <w:b/>
                <w:bCs/>
                <w:color w:val="000000" w:themeColor="text1"/>
                <w:sz w:val="22"/>
                <w:szCs w:val="22"/>
                <w:lang w:val="fr-CA"/>
              </w:rPr>
            </w:pPr>
            <w:r w:rsidRPr="00B57B08">
              <w:rPr>
                <w:rFonts w:eastAsia="Symbol" w:cs="Symbol"/>
                <w:b/>
                <w:bCs/>
                <w:color w:val="000000" w:themeColor="text1"/>
                <w:sz w:val="22"/>
                <w:szCs w:val="22"/>
                <w:lang w:val="fr-CA"/>
              </w:rPr>
              <w:t>Activit</w:t>
            </w:r>
            <w:r>
              <w:rPr>
                <w:rFonts w:eastAsia="Symbol" w:cs="Symbol"/>
                <w:b/>
                <w:bCs/>
                <w:color w:val="000000" w:themeColor="text1"/>
                <w:sz w:val="22"/>
                <w:szCs w:val="22"/>
                <w:lang w:val="fr-CA"/>
              </w:rPr>
              <w:t xml:space="preserve">és visant à obtenir des membres associés et des donateurs additionnels. </w:t>
            </w:r>
          </w:p>
        </w:tc>
        <w:tc>
          <w:tcPr>
            <w:tcW w:w="3204"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Une collaboration public-privé par le biais de membres associés favorise des partenariats stratégiques durables en vue d’un développement efficient et compétitif des ports</w:t>
            </w:r>
            <w:r w:rsidRPr="00B57B08">
              <w:rPr>
                <w:color w:val="000000" w:themeColor="text1"/>
                <w:sz w:val="22"/>
                <w:szCs w:val="22"/>
                <w:lang w:val="fr-CA"/>
              </w:rPr>
              <w:t xml:space="preserve">. </w:t>
            </w:r>
          </w:p>
        </w:tc>
        <w:tc>
          <w:tcPr>
            <w:tcW w:w="3619"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Obtention et officialisation d’un soutien pour des domaines prioritaires de la CIP, dont la résilience et la compétitivité</w:t>
            </w:r>
            <w:r w:rsidRPr="00B57B08">
              <w:rPr>
                <w:color w:val="000000" w:themeColor="text1"/>
                <w:sz w:val="22"/>
                <w:szCs w:val="22"/>
                <w:lang w:val="fr-CA"/>
              </w:rPr>
              <w:t xml:space="preserve">. </w:t>
            </w:r>
          </w:p>
        </w:tc>
        <w:tc>
          <w:tcPr>
            <w:tcW w:w="2678" w:type="dxa"/>
            <w:vMerge/>
            <w:hideMark/>
          </w:tcPr>
          <w:p w:rsidR="005D65E0" w:rsidRPr="00B57B08" w:rsidRDefault="005D65E0" w:rsidP="001F5AA6">
            <w:pPr>
              <w:rPr>
                <w:color w:val="000000" w:themeColor="text1"/>
                <w:sz w:val="22"/>
                <w:szCs w:val="22"/>
                <w:lang w:val="fr-CA"/>
              </w:rPr>
            </w:pPr>
          </w:p>
        </w:tc>
        <w:tc>
          <w:tcPr>
            <w:tcW w:w="2151" w:type="dxa"/>
            <w:vMerge/>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2964" w:type="dxa"/>
            <w:vMerge/>
            <w:hideMark/>
          </w:tcPr>
          <w:p w:rsidR="005D65E0" w:rsidRPr="00B57B08" w:rsidRDefault="005D65E0" w:rsidP="001F5AA6">
            <w:pPr>
              <w:rPr>
                <w:b/>
                <w:bCs/>
                <w:color w:val="000000" w:themeColor="text1"/>
                <w:sz w:val="22"/>
                <w:szCs w:val="22"/>
                <w:lang w:val="fr-CA"/>
              </w:rPr>
            </w:pPr>
          </w:p>
        </w:tc>
        <w:tc>
          <w:tcPr>
            <w:tcW w:w="3204"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Obtention et officialisation d’un soutien pour des domaines prioritaires de la CIP, dont la résilience et la compétitivité</w:t>
            </w:r>
            <w:r w:rsidRPr="00B57B08">
              <w:rPr>
                <w:color w:val="000000" w:themeColor="text1"/>
                <w:sz w:val="22"/>
                <w:szCs w:val="22"/>
                <w:lang w:val="fr-CA"/>
              </w:rPr>
              <w:t xml:space="preserve">. </w:t>
            </w:r>
          </w:p>
        </w:tc>
        <w:tc>
          <w:tcPr>
            <w:tcW w:w="3619"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Identification de nouveaux partenaires stratégique, de nouveaux membres </w:t>
            </w:r>
            <w:r w:rsidR="005C1AAB">
              <w:rPr>
                <w:color w:val="000000" w:themeColor="text1"/>
                <w:sz w:val="22"/>
                <w:szCs w:val="22"/>
                <w:lang w:val="fr-CA"/>
              </w:rPr>
              <w:t>associés</w:t>
            </w:r>
            <w:r>
              <w:rPr>
                <w:color w:val="000000" w:themeColor="text1"/>
                <w:sz w:val="22"/>
                <w:szCs w:val="22"/>
                <w:lang w:val="fr-CA"/>
              </w:rPr>
              <w:t xml:space="preserve"> de la CIP et de nouveaux donateurs potentiels. </w:t>
            </w:r>
          </w:p>
        </w:tc>
        <w:tc>
          <w:tcPr>
            <w:tcW w:w="2678" w:type="dxa"/>
            <w:vMerge/>
            <w:hideMark/>
          </w:tcPr>
          <w:p w:rsidR="005D65E0" w:rsidRPr="00B57B08" w:rsidRDefault="005D65E0" w:rsidP="001F5AA6">
            <w:pPr>
              <w:rPr>
                <w:color w:val="000000" w:themeColor="text1"/>
                <w:sz w:val="22"/>
                <w:szCs w:val="22"/>
                <w:lang w:val="fr-CA"/>
              </w:rPr>
            </w:pPr>
          </w:p>
        </w:tc>
        <w:tc>
          <w:tcPr>
            <w:tcW w:w="2151" w:type="dxa"/>
            <w:vMerge/>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b/>
          <w:color w:val="000000" w:themeColor="text1"/>
          <w:sz w:val="22"/>
          <w:szCs w:val="22"/>
          <w:u w:val="single"/>
          <w:lang w:val="fr-CA"/>
        </w:rPr>
      </w:pPr>
    </w:p>
    <w:p w:rsidR="005D65E0" w:rsidRPr="00B57B08" w:rsidRDefault="005D65E0" w:rsidP="005D65E0">
      <w:pPr>
        <w:rPr>
          <w:b/>
          <w:color w:val="000000" w:themeColor="text1"/>
          <w:sz w:val="22"/>
          <w:szCs w:val="22"/>
          <w:u w:val="single"/>
          <w:lang w:val="fr-CA"/>
        </w:rPr>
      </w:pPr>
      <w:r w:rsidRPr="00B57B08">
        <w:rPr>
          <w:b/>
          <w:color w:val="000000" w:themeColor="text1"/>
          <w:sz w:val="22"/>
          <w:szCs w:val="22"/>
          <w:u w:val="single"/>
          <w:lang w:val="fr-CA"/>
        </w:rPr>
        <w:br w:type="page"/>
      </w:r>
    </w:p>
    <w:tbl>
      <w:tblPr>
        <w:tblW w:w="0" w:type="auto"/>
        <w:tblLayout w:type="fixed"/>
        <w:tblLook w:val="04A0" w:firstRow="1" w:lastRow="0" w:firstColumn="1" w:lastColumn="0" w:noHBand="0" w:noVBand="1"/>
      </w:tblPr>
      <w:tblGrid>
        <w:gridCol w:w="3438"/>
        <w:gridCol w:w="3150"/>
        <w:gridCol w:w="2635"/>
        <w:gridCol w:w="2669"/>
        <w:gridCol w:w="2502"/>
      </w:tblGrid>
      <w:tr w:rsidR="005D65E0" w:rsidRPr="005C1AAB" w:rsidTr="001F5AA6">
        <w:trPr>
          <w:trHeight w:val="278"/>
        </w:trPr>
        <w:tc>
          <w:tcPr>
            <w:tcW w:w="14394" w:type="dxa"/>
            <w:gridSpan w:val="5"/>
            <w:tcBorders>
              <w:top w:val="nil"/>
              <w:left w:val="nil"/>
              <w:bottom w:val="single" w:sz="4" w:space="0" w:color="auto"/>
              <w:right w:val="nil"/>
            </w:tcBorders>
            <w:shd w:val="clear" w:color="auto" w:fill="auto"/>
            <w:noWrap/>
            <w:hideMark/>
          </w:tcPr>
          <w:p w:rsidR="005D65E0" w:rsidRDefault="005D65E0" w:rsidP="001F5AA6">
            <w:pPr>
              <w:rPr>
                <w:b/>
                <w:bCs/>
                <w:color w:val="000000" w:themeColor="text1"/>
                <w:sz w:val="22"/>
                <w:szCs w:val="22"/>
                <w:lang w:val="fr-CA"/>
              </w:rPr>
            </w:pPr>
            <w:r w:rsidRPr="00B57B08">
              <w:rPr>
                <w:b/>
                <w:bCs/>
                <w:color w:val="000000" w:themeColor="text1"/>
                <w:sz w:val="22"/>
                <w:szCs w:val="22"/>
                <w:lang w:val="fr-CA"/>
              </w:rPr>
              <w:lastRenderedPageBreak/>
              <w:t>D</w:t>
            </w:r>
            <w:r>
              <w:rPr>
                <w:b/>
                <w:bCs/>
                <w:color w:val="000000" w:themeColor="text1"/>
                <w:sz w:val="22"/>
                <w:szCs w:val="22"/>
                <w:lang w:val="fr-CA"/>
              </w:rPr>
              <w:t xml:space="preserve">ÉPARTEMENT </w:t>
            </w:r>
            <w:r w:rsidRPr="00B57B08">
              <w:rPr>
                <w:b/>
                <w:bCs/>
                <w:color w:val="000000" w:themeColor="text1"/>
                <w:sz w:val="22"/>
                <w:szCs w:val="22"/>
                <w:lang w:val="fr-CA"/>
              </w:rPr>
              <w:t>/</w:t>
            </w:r>
            <w:r>
              <w:rPr>
                <w:b/>
                <w:bCs/>
                <w:color w:val="000000" w:themeColor="text1"/>
                <w:sz w:val="22"/>
                <w:szCs w:val="22"/>
                <w:lang w:val="fr-CA"/>
              </w:rPr>
              <w:t xml:space="preserve"> </w:t>
            </w:r>
            <w:r w:rsidRPr="00B57B08">
              <w:rPr>
                <w:b/>
                <w:bCs/>
                <w:color w:val="000000" w:themeColor="text1"/>
                <w:sz w:val="22"/>
                <w:szCs w:val="22"/>
                <w:lang w:val="fr-CA"/>
              </w:rPr>
              <w:t>SECTION</w:t>
            </w:r>
            <w:r>
              <w:rPr>
                <w:b/>
                <w:bCs/>
                <w:color w:val="000000" w:themeColor="text1"/>
                <w:sz w:val="22"/>
                <w:szCs w:val="22"/>
                <w:lang w:val="fr-CA"/>
              </w:rPr>
              <w:t> :  DÉVELOPPEMENT DURABLE (DD</w:t>
            </w:r>
            <w:r w:rsidRPr="00B57B08">
              <w:rPr>
                <w:b/>
                <w:bCs/>
                <w:color w:val="000000" w:themeColor="text1"/>
                <w:sz w:val="22"/>
                <w:szCs w:val="22"/>
                <w:lang w:val="fr-CA"/>
              </w:rPr>
              <w:t>D)</w:t>
            </w:r>
          </w:p>
          <w:p w:rsidR="005D65E0" w:rsidRPr="00B57B08" w:rsidRDefault="005D65E0" w:rsidP="001F5AA6">
            <w:pPr>
              <w:rPr>
                <w:b/>
                <w:bCs/>
                <w:color w:val="000000" w:themeColor="text1"/>
                <w:sz w:val="22"/>
                <w:szCs w:val="22"/>
                <w:lang w:val="fr-CA"/>
              </w:rPr>
            </w:pPr>
          </w:p>
        </w:tc>
      </w:tr>
      <w:tr w:rsidR="005D65E0" w:rsidRPr="005C1AAB" w:rsidTr="001F5AA6">
        <w:trPr>
          <w:trHeight w:val="540"/>
        </w:trPr>
        <w:tc>
          <w:tcPr>
            <w:tcW w:w="3438" w:type="dxa"/>
            <w:tcBorders>
              <w:top w:val="nil"/>
              <w:left w:val="single" w:sz="4" w:space="0" w:color="auto"/>
              <w:bottom w:val="single" w:sz="4" w:space="0" w:color="auto"/>
              <w:right w:val="single" w:sz="4" w:space="0" w:color="auto"/>
            </w:tcBorders>
            <w:shd w:val="clear" w:color="000000" w:fill="DBE5F1"/>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INITIATIVES / ACTIVIT</w:t>
            </w:r>
            <w:r>
              <w:rPr>
                <w:b/>
                <w:bCs/>
                <w:color w:val="000000" w:themeColor="text1"/>
                <w:sz w:val="22"/>
                <w:szCs w:val="22"/>
                <w:lang w:val="fr-CA"/>
              </w:rPr>
              <w:t>ÉS </w:t>
            </w:r>
            <w:r w:rsidRPr="00B57B08">
              <w:rPr>
                <w:b/>
                <w:bCs/>
                <w:color w:val="000000" w:themeColor="text1"/>
                <w:sz w:val="22"/>
                <w:szCs w:val="22"/>
                <w:lang w:val="fr-CA"/>
              </w:rPr>
              <w:t>:</w:t>
            </w:r>
          </w:p>
        </w:tc>
        <w:tc>
          <w:tcPr>
            <w:tcW w:w="3150" w:type="dxa"/>
            <w:tcBorders>
              <w:top w:val="nil"/>
              <w:left w:val="nil"/>
              <w:bottom w:val="single" w:sz="4" w:space="0" w:color="auto"/>
              <w:right w:val="single" w:sz="4" w:space="0" w:color="auto"/>
            </w:tcBorders>
            <w:shd w:val="clear" w:color="000000" w:fill="D9E2F3"/>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CONTRIBUTION</w:t>
            </w:r>
            <w:r>
              <w:rPr>
                <w:b/>
                <w:bCs/>
                <w:color w:val="000000" w:themeColor="text1"/>
                <w:sz w:val="22"/>
                <w:szCs w:val="22"/>
                <w:lang w:val="fr-CA"/>
              </w:rPr>
              <w:t xml:space="preserve"> À LA RÉSILIENCE ET À LA COMPÉTITIVITÉ</w:t>
            </w:r>
          </w:p>
        </w:tc>
        <w:tc>
          <w:tcPr>
            <w:tcW w:w="2635" w:type="dxa"/>
            <w:tcBorders>
              <w:top w:val="nil"/>
              <w:left w:val="nil"/>
              <w:bottom w:val="single" w:sz="4" w:space="0" w:color="auto"/>
              <w:right w:val="single" w:sz="4" w:space="0" w:color="auto"/>
            </w:tcBorders>
            <w:shd w:val="clear" w:color="000000" w:fill="DBE5F1"/>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RÉSULTATS / CONCLUSIONS ATTENDUS</w:t>
            </w:r>
            <w:r w:rsidRPr="00B57B08">
              <w:rPr>
                <w:b/>
                <w:bCs/>
                <w:color w:val="000000" w:themeColor="text1"/>
                <w:sz w:val="22"/>
                <w:szCs w:val="22"/>
                <w:lang w:val="fr-CA"/>
              </w:rPr>
              <w:t xml:space="preserve"> </w:t>
            </w:r>
          </w:p>
        </w:tc>
        <w:tc>
          <w:tcPr>
            <w:tcW w:w="2669" w:type="dxa"/>
            <w:tcBorders>
              <w:top w:val="nil"/>
              <w:left w:val="nil"/>
              <w:bottom w:val="single" w:sz="4" w:space="0" w:color="auto"/>
              <w:right w:val="single" w:sz="4" w:space="0" w:color="auto"/>
            </w:tcBorders>
            <w:shd w:val="clear" w:color="000000" w:fill="DBE5F1"/>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w:t>
            </w:r>
            <w:r>
              <w:rPr>
                <w:b/>
                <w:bCs/>
                <w:color w:val="000000" w:themeColor="text1"/>
                <w:sz w:val="22"/>
                <w:szCs w:val="22"/>
                <w:lang w:val="fr-CA"/>
              </w:rPr>
              <w:t>OOPÉ</w:t>
            </w:r>
            <w:r w:rsidRPr="00B57B08">
              <w:rPr>
                <w:b/>
                <w:bCs/>
                <w:color w:val="000000" w:themeColor="text1"/>
                <w:sz w:val="22"/>
                <w:szCs w:val="22"/>
                <w:lang w:val="fr-CA"/>
              </w:rPr>
              <w:t>RATION</w:t>
            </w:r>
            <w:r>
              <w:rPr>
                <w:b/>
                <w:bCs/>
                <w:color w:val="000000" w:themeColor="text1"/>
                <w:sz w:val="22"/>
                <w:szCs w:val="22"/>
                <w:lang w:val="fr-CA"/>
              </w:rPr>
              <w:t xml:space="preserve"> ET PARTENARIAT</w:t>
            </w:r>
          </w:p>
        </w:tc>
        <w:tc>
          <w:tcPr>
            <w:tcW w:w="2502" w:type="dxa"/>
            <w:tcBorders>
              <w:top w:val="nil"/>
              <w:left w:val="nil"/>
              <w:bottom w:val="single" w:sz="4" w:space="0" w:color="auto"/>
              <w:right w:val="single" w:sz="4" w:space="0" w:color="auto"/>
            </w:tcBorders>
            <w:shd w:val="clear" w:color="000000" w:fill="FFFF00"/>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RÉPONSE / ADAPTATION À LA </w:t>
            </w:r>
            <w:r w:rsidRPr="00B57B08">
              <w:rPr>
                <w:b/>
                <w:bCs/>
                <w:color w:val="000000" w:themeColor="text1"/>
                <w:sz w:val="22"/>
                <w:szCs w:val="22"/>
                <w:lang w:val="fr-CA"/>
              </w:rPr>
              <w:t>COVID</w:t>
            </w:r>
            <w:r>
              <w:rPr>
                <w:b/>
                <w:bCs/>
                <w:color w:val="000000" w:themeColor="text1"/>
                <w:sz w:val="22"/>
                <w:szCs w:val="22"/>
                <w:lang w:val="fr-CA"/>
              </w:rPr>
              <w:t>-</w:t>
            </w:r>
            <w:r w:rsidRPr="00B57B08">
              <w:rPr>
                <w:b/>
                <w:bCs/>
                <w:color w:val="000000" w:themeColor="text1"/>
                <w:sz w:val="22"/>
                <w:szCs w:val="22"/>
                <w:lang w:val="fr-CA"/>
              </w:rPr>
              <w:t xml:space="preserve">19 </w:t>
            </w:r>
          </w:p>
        </w:tc>
      </w:tr>
      <w:tr w:rsidR="005D65E0" w:rsidRPr="005C1AAB" w:rsidTr="001F5AA6">
        <w:trPr>
          <w:trHeight w:val="278"/>
        </w:trPr>
        <w:tc>
          <w:tcPr>
            <w:tcW w:w="3438"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0956"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2. </w:t>
            </w:r>
            <w:r>
              <w:rPr>
                <w:b/>
                <w:bCs/>
                <w:color w:val="000000" w:themeColor="text1"/>
                <w:sz w:val="22"/>
                <w:szCs w:val="22"/>
                <w:lang w:val="fr-CA"/>
              </w:rPr>
              <w:t xml:space="preserve">Renforcement de la mise en œuvre des objectifs de développement durable conformément au Programme interaméricain de développement durable </w:t>
            </w:r>
            <w:r w:rsidRPr="00B57B08">
              <w:rPr>
                <w:b/>
                <w:bCs/>
                <w:color w:val="000000" w:themeColor="text1"/>
                <w:sz w:val="22"/>
                <w:szCs w:val="22"/>
                <w:lang w:val="fr-CA"/>
              </w:rPr>
              <w:t>(PIDS) 2016-2021</w:t>
            </w:r>
          </w:p>
        </w:tc>
      </w:tr>
      <w:tr w:rsidR="005D65E0" w:rsidRPr="005C1AAB" w:rsidTr="001F5AA6">
        <w:trPr>
          <w:trHeight w:val="278"/>
        </w:trPr>
        <w:tc>
          <w:tcPr>
            <w:tcW w:w="3438"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0956"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.1. Amélioration des capacités des États membres dans le domaine de la gestion du risque de catastrophe en accord avec les buts et les mesures stratégiques figurant dans la</w:t>
            </w:r>
            <w:r w:rsidRPr="00B57B08">
              <w:rPr>
                <w:b/>
                <w:bCs/>
                <w:color w:val="000000" w:themeColor="text1"/>
                <w:sz w:val="22"/>
                <w:szCs w:val="22"/>
                <w:lang w:val="fr-CA"/>
              </w:rPr>
              <w:t xml:space="preserve"> section 3.1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5C1AAB" w:rsidTr="001F5AA6">
        <w:trPr>
          <w:trHeight w:val="278"/>
        </w:trPr>
        <w:tc>
          <w:tcPr>
            <w:tcW w:w="14394" w:type="dxa"/>
            <w:gridSpan w:val="5"/>
            <w:tcBorders>
              <w:top w:val="single" w:sz="4" w:space="0" w:color="auto"/>
              <w:left w:val="single" w:sz="4" w:space="0" w:color="auto"/>
              <w:bottom w:val="single" w:sz="4" w:space="0" w:color="auto"/>
              <w:right w:val="single" w:sz="4" w:space="0" w:color="000000"/>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Gestion des risques de catastrophe </w:t>
            </w:r>
            <w:r w:rsidRPr="00B57B08">
              <w:rPr>
                <w:b/>
                <w:bCs/>
                <w:color w:val="000000" w:themeColor="text1"/>
                <w:sz w:val="22"/>
                <w:szCs w:val="22"/>
                <w:lang w:val="fr-CA"/>
              </w:rPr>
              <w:t>:</w:t>
            </w:r>
          </w:p>
        </w:tc>
      </w:tr>
      <w:tr w:rsidR="005D65E0" w:rsidRPr="005C1AAB" w:rsidTr="001F5AA6">
        <w:trPr>
          <w:trHeight w:val="1995"/>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P</w:t>
            </w:r>
            <w:r>
              <w:rPr>
                <w:color w:val="000000" w:themeColor="text1"/>
                <w:sz w:val="22"/>
                <w:szCs w:val="22"/>
                <w:lang w:val="fr-CA"/>
              </w:rPr>
              <w:t xml:space="preserve">rogramme destiné à des équipes communautaires régionales d’intervention en cas d’urgence selon une approche à la résilience fondée sur la communauté tout entière.  </w:t>
            </w:r>
          </w:p>
        </w:tc>
        <w:tc>
          <w:tcPr>
            <w:tcW w:w="315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Renforcer la résilience chez les PME liées au tourisme, à partir du modèle des équipes communautaires régionales d’intervention en cas d’urgence. Il s’agit d’une tentative de construire une approche à la résilience fondée sur la communauté tout entière, y compris en demandant aux commerces de s’engager à long terme envers la résilience de la communauté</w:t>
            </w:r>
            <w:r w:rsidRPr="00B57B08">
              <w:rPr>
                <w:color w:val="000000" w:themeColor="text1"/>
                <w:sz w:val="22"/>
                <w:szCs w:val="22"/>
                <w:lang w:val="fr-CA"/>
              </w:rPr>
              <w:t>.</w:t>
            </w:r>
          </w:p>
        </w:tc>
        <w:tc>
          <w:tcPr>
            <w:tcW w:w="2635"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de références (webinaires, ateliers, et publication de livres blancs) en matière de connaissances et de compétences pour les interventions communautaires en cas d’urgence dans les États membres de la CARICOM et au-delà.</w:t>
            </w:r>
          </w:p>
        </w:tc>
        <w:tc>
          <w:tcPr>
            <w:tcW w:w="2669"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Réseau interaméricain d’atténuation des effets des catastrophes (RIMD</w:t>
            </w:r>
            <w:r w:rsidRPr="00B57B08">
              <w:rPr>
                <w:color w:val="000000" w:themeColor="text1"/>
                <w:sz w:val="22"/>
                <w:szCs w:val="22"/>
                <w:lang w:val="fr-CA"/>
              </w:rPr>
              <w:t xml:space="preserve">), </w:t>
            </w:r>
            <w:r>
              <w:rPr>
                <w:color w:val="000000" w:themeColor="text1"/>
                <w:sz w:val="22"/>
                <w:szCs w:val="22"/>
                <w:lang w:val="fr-CA"/>
              </w:rPr>
              <w:t>Bureau exécutif du SEDI, Département du développement humain, de l’éducation et de l’emploi, CIP, SSM</w:t>
            </w:r>
            <w:r w:rsidRPr="00B57B08">
              <w:rPr>
                <w:color w:val="000000" w:themeColor="text1"/>
                <w:sz w:val="22"/>
                <w:szCs w:val="22"/>
                <w:lang w:val="fr-CA"/>
              </w:rPr>
              <w:t>, S</w:t>
            </w:r>
            <w:r>
              <w:rPr>
                <w:color w:val="000000" w:themeColor="text1"/>
                <w:sz w:val="22"/>
                <w:szCs w:val="22"/>
                <w:lang w:val="fr-CA"/>
              </w:rPr>
              <w:t>ecrétariat au renforcement de la démocratie</w:t>
            </w:r>
            <w:r w:rsidRPr="00B57B08">
              <w:rPr>
                <w:color w:val="000000" w:themeColor="text1"/>
                <w:sz w:val="22"/>
                <w:szCs w:val="22"/>
                <w:lang w:val="fr-CA"/>
              </w:rPr>
              <w:t>,</w:t>
            </w:r>
            <w:r>
              <w:rPr>
                <w:color w:val="000000" w:themeColor="text1"/>
                <w:sz w:val="22"/>
                <w:szCs w:val="22"/>
                <w:lang w:val="fr-CA"/>
              </w:rPr>
              <w:t xml:space="preserve"> JID</w:t>
            </w:r>
            <w:r w:rsidRPr="00B57B08">
              <w:rPr>
                <w:color w:val="000000" w:themeColor="text1"/>
                <w:sz w:val="22"/>
                <w:szCs w:val="22"/>
                <w:lang w:val="fr-CA"/>
              </w:rPr>
              <w:t>,</w:t>
            </w:r>
            <w:r>
              <w:rPr>
                <w:color w:val="000000" w:themeColor="text1"/>
                <w:sz w:val="22"/>
                <w:szCs w:val="22"/>
                <w:lang w:val="fr-CA"/>
              </w:rPr>
              <w:t xml:space="preserve"> Bureau du SGA</w:t>
            </w:r>
            <w:r w:rsidRPr="00B57B08">
              <w:rPr>
                <w:color w:val="000000" w:themeColor="text1"/>
                <w:sz w:val="22"/>
                <w:szCs w:val="22"/>
                <w:lang w:val="fr-CA"/>
              </w:rPr>
              <w:t xml:space="preserve">. </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w:t>
            </w:r>
            <w:r>
              <w:rPr>
                <w:color w:val="000000" w:themeColor="text1"/>
                <w:sz w:val="22"/>
                <w:szCs w:val="22"/>
                <w:lang w:val="fr-CA"/>
              </w:rPr>
              <w:t xml:space="preserve"> La</w:t>
            </w:r>
            <w:r w:rsidRPr="00B57B08">
              <w:rPr>
                <w:color w:val="000000" w:themeColor="text1"/>
                <w:sz w:val="22"/>
                <w:szCs w:val="22"/>
                <w:lang w:val="fr-CA"/>
              </w:rPr>
              <w:t xml:space="preserve"> Federal Emergency Management Agency (FEMA)</w:t>
            </w:r>
            <w:r>
              <w:rPr>
                <w:color w:val="000000" w:themeColor="text1"/>
                <w:sz w:val="22"/>
                <w:szCs w:val="22"/>
                <w:lang w:val="fr-CA"/>
              </w:rPr>
              <w:t xml:space="preserve"> des États-Unis (agence fédérale de gestion des situations d’urgence) a été identifiée comme un partenaire potentiel incontournable pour la mise en œuvre de l’approche utilisée par les équipes communautaires régionales d’intervention en cas d’urgence dans l’ensemble du Continent américain. Les équipes </w:t>
            </w:r>
            <w:r>
              <w:rPr>
                <w:color w:val="000000" w:themeColor="text1"/>
                <w:sz w:val="22"/>
                <w:szCs w:val="22"/>
                <w:lang w:val="fr-CA"/>
              </w:rPr>
              <w:lastRenderedPageBreak/>
              <w:t>communautaires régionales d’intervention en cas d’urgence ont également établi des partenariats locaux. Les services Web d’Amazon, la NASA</w:t>
            </w:r>
            <w:r w:rsidRPr="00B57B08">
              <w:rPr>
                <w:color w:val="000000" w:themeColor="text1"/>
                <w:sz w:val="22"/>
                <w:szCs w:val="22"/>
                <w:lang w:val="fr-CA"/>
              </w:rPr>
              <w:t>, NOAA</w:t>
            </w:r>
            <w:r>
              <w:rPr>
                <w:color w:val="000000" w:themeColor="text1"/>
                <w:sz w:val="22"/>
                <w:szCs w:val="22"/>
                <w:lang w:val="fr-CA"/>
              </w:rPr>
              <w:t xml:space="preserve"> (National Oceanic and Atmospheric Administration des États-Unis)</w:t>
            </w:r>
            <w:r w:rsidRPr="00B57B08">
              <w:rPr>
                <w:color w:val="000000" w:themeColor="text1"/>
                <w:sz w:val="22"/>
                <w:szCs w:val="22"/>
                <w:lang w:val="fr-CA"/>
              </w:rPr>
              <w:t>.</w:t>
            </w:r>
          </w:p>
        </w:tc>
        <w:tc>
          <w:tcPr>
            <w:tcW w:w="2502" w:type="dxa"/>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lastRenderedPageBreak/>
              <w:t>Partage de connaissances </w:t>
            </w:r>
            <w:r w:rsidRPr="00B57B08">
              <w:rPr>
                <w:b/>
                <w:bCs/>
                <w:color w:val="000000" w:themeColor="text1"/>
                <w:sz w:val="22"/>
                <w:szCs w:val="22"/>
                <w:lang w:val="fr-CA"/>
              </w:rPr>
              <w:t>:</w:t>
            </w:r>
            <w:r w:rsidRPr="00B57B08">
              <w:rPr>
                <w:b/>
                <w:bCs/>
                <w:color w:val="000000" w:themeColor="text1"/>
                <w:sz w:val="22"/>
                <w:szCs w:val="22"/>
                <w:lang w:val="fr-CA"/>
              </w:rPr>
              <w:br/>
            </w:r>
            <w:r>
              <w:rPr>
                <w:color w:val="000000" w:themeColor="text1"/>
                <w:sz w:val="22"/>
                <w:szCs w:val="22"/>
                <w:lang w:val="fr-CA"/>
              </w:rPr>
              <w:br/>
              <w:t>Publication de nouveaux articles par nos spécialistes sur les façons d’aborder les défis en matière de développement durable liés à la pandémie</w:t>
            </w:r>
            <w:r w:rsidRPr="00B57B08">
              <w:rPr>
                <w:color w:val="000000" w:themeColor="text1"/>
                <w:sz w:val="22"/>
                <w:szCs w:val="22"/>
                <w:lang w:val="fr-CA"/>
              </w:rPr>
              <w:t xml:space="preserve"> (sp</w:t>
            </w:r>
            <w:r>
              <w:rPr>
                <w:color w:val="000000" w:themeColor="text1"/>
                <w:sz w:val="22"/>
                <w:szCs w:val="22"/>
                <w:lang w:val="fr-CA"/>
              </w:rPr>
              <w:t xml:space="preserve">écifiquement sur le </w:t>
            </w:r>
            <w:r w:rsidRPr="00B57B08">
              <w:rPr>
                <w:color w:val="000000" w:themeColor="text1"/>
                <w:sz w:val="22"/>
                <w:szCs w:val="22"/>
                <w:lang w:val="fr-CA"/>
              </w:rPr>
              <w:t>PIDS</w:t>
            </w:r>
            <w:r>
              <w:rPr>
                <w:color w:val="000000" w:themeColor="text1"/>
                <w:sz w:val="22"/>
                <w:szCs w:val="22"/>
                <w:lang w:val="fr-CA"/>
              </w:rPr>
              <w:t xml:space="preserve"> et l’atténuation des effets des catastrophes</w:t>
            </w:r>
            <w:r w:rsidRPr="00B57B08">
              <w:rPr>
                <w:color w:val="000000" w:themeColor="text1"/>
                <w:sz w:val="22"/>
                <w:szCs w:val="22"/>
                <w:lang w:val="fr-CA"/>
              </w:rPr>
              <w:t>).</w:t>
            </w:r>
          </w:p>
        </w:tc>
      </w:tr>
      <w:tr w:rsidR="005D65E0" w:rsidRPr="005C1AAB" w:rsidTr="001F5AA6">
        <w:trPr>
          <w:trHeight w:val="1110"/>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Politiques et programmes dirigés vers les données et la science à l’intention des décideurs </w:t>
            </w:r>
          </w:p>
        </w:tc>
        <w:tc>
          <w:tcPr>
            <w:tcW w:w="3150" w:type="dxa"/>
            <w:tcBorders>
              <w:top w:val="nil"/>
              <w:left w:val="nil"/>
              <w:bottom w:val="single" w:sz="4" w:space="0" w:color="auto"/>
              <w:right w:val="single" w:sz="4" w:space="0" w:color="auto"/>
            </w:tcBorders>
            <w:shd w:val="clear" w:color="auto" w:fill="auto"/>
            <w:noWrap/>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r>
              <w:rPr>
                <w:color w:val="000000" w:themeColor="text1"/>
                <w:sz w:val="22"/>
                <w:szCs w:val="22"/>
                <w:lang w:val="fr-CA"/>
              </w:rPr>
              <w:t>Conscientiser les décideurs à la pertinence de suivre une approche dirigée vers les données dans l’élaboration de programmes et de politiques visant le renforcement de la résilience</w:t>
            </w:r>
            <w:r w:rsidRPr="00B57B08">
              <w:rPr>
                <w:color w:val="000000" w:themeColor="text1"/>
                <w:sz w:val="22"/>
                <w:szCs w:val="22"/>
                <w:lang w:val="fr-CA"/>
              </w:rPr>
              <w:t>.</w:t>
            </w:r>
          </w:p>
        </w:tc>
        <w:tc>
          <w:tcPr>
            <w:tcW w:w="2635" w:type="dxa"/>
            <w:tcBorders>
              <w:top w:val="nil"/>
              <w:left w:val="nil"/>
              <w:bottom w:val="single" w:sz="4" w:space="0" w:color="auto"/>
              <w:right w:val="single" w:sz="4" w:space="0" w:color="auto"/>
            </w:tcBorders>
            <w:shd w:val="clear" w:color="auto" w:fill="auto"/>
            <w:hideMark/>
          </w:tcPr>
          <w:p w:rsidR="005D65E0" w:rsidRPr="00B57B08" w:rsidRDefault="005D65E0" w:rsidP="001F5AA6">
            <w:pPr>
              <w:contextualSpacing/>
              <w:rPr>
                <w:color w:val="000000" w:themeColor="text1"/>
                <w:sz w:val="22"/>
                <w:szCs w:val="22"/>
                <w:lang w:val="fr-CA"/>
              </w:rPr>
            </w:pPr>
            <w:r>
              <w:rPr>
                <w:color w:val="000000" w:themeColor="text1"/>
                <w:sz w:val="22"/>
                <w:szCs w:val="22"/>
                <w:lang w:val="fr-CA"/>
              </w:rPr>
              <w:t>Atelier de conscientisation et de compréhension des façons dont la science et les données peuvent orienter les politiques et les programmes visant à renforcer la résilience et la gestion des risques de catastrophe</w:t>
            </w:r>
            <w:r w:rsidRPr="00B57B08">
              <w:rPr>
                <w:color w:val="000000" w:themeColor="text1"/>
                <w:sz w:val="22"/>
                <w:szCs w:val="22"/>
                <w:lang w:val="fr-CA"/>
              </w:rPr>
              <w:t>.</w:t>
            </w:r>
          </w:p>
        </w:tc>
        <w:tc>
          <w:tcPr>
            <w:tcW w:w="266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2"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110"/>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Symbol" w:cs="Symbol"/>
                <w:color w:val="000000" w:themeColor="text1"/>
                <w:sz w:val="22"/>
                <w:szCs w:val="22"/>
                <w:lang w:val="fr-CA"/>
              </w:rPr>
              <w:t>Proje</w:t>
            </w:r>
            <w:r w:rsidRPr="00B57B08">
              <w:rPr>
                <w:rFonts w:eastAsia="Symbol" w:cs="Symbol"/>
                <w:color w:val="000000" w:themeColor="text1"/>
                <w:sz w:val="22"/>
                <w:szCs w:val="22"/>
                <w:lang w:val="fr-CA"/>
              </w:rPr>
              <w:t>t “</w:t>
            </w:r>
            <w:r>
              <w:rPr>
                <w:rFonts w:eastAsia="Symbol" w:cs="Symbol"/>
                <w:color w:val="000000" w:themeColor="text1"/>
                <w:sz w:val="22"/>
                <w:szCs w:val="22"/>
                <w:lang w:val="fr-CA"/>
              </w:rPr>
              <w:t>Renforcement de la résilience aux catastrophes des petites entreprises touristiques de la Caraïbe</w:t>
            </w:r>
            <w:r w:rsidRPr="00B57B08">
              <w:rPr>
                <w:rFonts w:eastAsia="Symbol" w:cs="Symbol"/>
                <w:color w:val="000000" w:themeColor="text1"/>
                <w:sz w:val="22"/>
                <w:szCs w:val="22"/>
                <w:lang w:val="fr-CA"/>
              </w:rPr>
              <w:t>”;</w:t>
            </w:r>
          </w:p>
        </w:tc>
        <w:tc>
          <w:tcPr>
            <w:tcW w:w="315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Des ateliers aideront à identifier des partenariats potentiels pour rendre les plans opérationnels, sur la base des vulnérabilités, des expositions et des chaines d’approvisionnement locales</w:t>
            </w:r>
            <w:r w:rsidRPr="00B57B08">
              <w:rPr>
                <w:color w:val="000000" w:themeColor="text1"/>
                <w:sz w:val="22"/>
                <w:szCs w:val="22"/>
                <w:lang w:val="fr-CA"/>
              </w:rPr>
              <w:t>.</w:t>
            </w:r>
          </w:p>
        </w:tc>
        <w:tc>
          <w:tcPr>
            <w:tcW w:w="2635"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6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2"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Symbol" w:cs="Symbol"/>
                <w:color w:val="000000" w:themeColor="text1"/>
                <w:sz w:val="22"/>
                <w:szCs w:val="22"/>
                <w:lang w:val="fr-CA"/>
              </w:rPr>
              <w:lastRenderedPageBreak/>
              <w:t>Webina</w:t>
            </w:r>
            <w:r>
              <w:rPr>
                <w:rFonts w:eastAsia="Symbol" w:cs="Symbol"/>
                <w:color w:val="000000" w:themeColor="text1"/>
                <w:sz w:val="22"/>
                <w:szCs w:val="22"/>
                <w:lang w:val="fr-CA"/>
              </w:rPr>
              <w:t xml:space="preserve">ires, ateliers et publication de livres blancs sur des applications des systèmes basés sur le nuage et de ceux basés sur l’Internet pour  </w:t>
            </w:r>
            <w:r w:rsidRPr="00B57B08">
              <w:rPr>
                <w:rFonts w:eastAsia="Symbol" w:cs="Symbol"/>
                <w:color w:val="000000" w:themeColor="text1"/>
                <w:sz w:val="22"/>
                <w:szCs w:val="22"/>
                <w:lang w:val="fr-CA"/>
              </w:rPr>
              <w:t>“</w:t>
            </w:r>
            <w:r>
              <w:rPr>
                <w:rFonts w:eastAsia="Symbol" w:cs="Symbol"/>
                <w:color w:val="000000" w:themeColor="text1"/>
                <w:sz w:val="22"/>
                <w:szCs w:val="22"/>
                <w:lang w:val="fr-CA"/>
              </w:rPr>
              <w:t>la prévention de catastrophes, la résilience et les secours</w:t>
            </w:r>
            <w:r w:rsidRPr="00B57B08">
              <w:rPr>
                <w:rFonts w:eastAsia="Symbol" w:cs="Symbol"/>
                <w:color w:val="000000" w:themeColor="text1"/>
                <w:sz w:val="22"/>
                <w:szCs w:val="22"/>
                <w:lang w:val="fr-CA"/>
              </w:rPr>
              <w:t>”</w:t>
            </w:r>
            <w:r>
              <w:rPr>
                <w:rFonts w:eastAsia="Symbol" w:cs="Symbol"/>
                <w:color w:val="000000" w:themeColor="text1"/>
                <w:sz w:val="22"/>
                <w:szCs w:val="22"/>
                <w:lang w:val="fr-CA"/>
              </w:rPr>
              <w:t>.</w:t>
            </w:r>
          </w:p>
        </w:tc>
        <w:tc>
          <w:tcPr>
            <w:tcW w:w="315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35"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Réduction de la perte de la part du marché à cause d’interruptions dues à des catastrophes </w:t>
            </w:r>
          </w:p>
        </w:tc>
        <w:tc>
          <w:tcPr>
            <w:tcW w:w="266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2"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40"/>
        </w:trPr>
        <w:tc>
          <w:tcPr>
            <w:tcW w:w="3438" w:type="dxa"/>
            <w:tcBorders>
              <w:top w:val="nil"/>
              <w:left w:val="single" w:sz="4" w:space="0" w:color="auto"/>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Symbol" w:cs="Symbol"/>
                <w:color w:val="000000" w:themeColor="text1"/>
                <w:sz w:val="22"/>
                <w:szCs w:val="22"/>
                <w:lang w:val="fr-CA"/>
              </w:rPr>
              <w:lastRenderedPageBreak/>
              <w:t>C</w:t>
            </w:r>
            <w:r>
              <w:rPr>
                <w:rFonts w:eastAsia="Symbol" w:cs="Symbol"/>
                <w:color w:val="000000" w:themeColor="text1"/>
                <w:sz w:val="22"/>
                <w:szCs w:val="22"/>
                <w:lang w:val="fr-CA"/>
              </w:rPr>
              <w:t>ours à l’intention d’</w:t>
            </w:r>
            <w:r>
              <w:rPr>
                <w:color w:val="000000" w:themeColor="text1"/>
                <w:sz w:val="22"/>
                <w:szCs w:val="22"/>
                <w:lang w:val="fr-CA"/>
              </w:rPr>
              <w:t xml:space="preserve">équipes communautaires régionales d’intervention en cas d’urgence : cours de base, formation des formateurs et gestionnaires de programmes </w:t>
            </w:r>
            <w:r w:rsidRPr="00B57B08">
              <w:rPr>
                <w:rFonts w:eastAsia="Symbol" w:cs="Symbol"/>
                <w:color w:val="000000" w:themeColor="text1"/>
                <w:sz w:val="22"/>
                <w:szCs w:val="22"/>
                <w:lang w:val="fr-CA"/>
              </w:rPr>
              <w:t>(</w:t>
            </w:r>
            <w:r>
              <w:rPr>
                <w:rFonts w:eastAsia="Symbol" w:cs="Symbol"/>
                <w:color w:val="000000" w:themeColor="text1"/>
                <w:sz w:val="22"/>
                <w:szCs w:val="22"/>
                <w:lang w:val="fr-CA"/>
              </w:rPr>
              <w:t>dans certains États membres</w:t>
            </w:r>
            <w:r w:rsidRPr="00B57B08">
              <w:rPr>
                <w:rFonts w:eastAsia="Symbol" w:cs="Symbol"/>
                <w:color w:val="000000" w:themeColor="text1"/>
                <w:sz w:val="22"/>
                <w:szCs w:val="22"/>
                <w:lang w:val="fr-CA"/>
              </w:rPr>
              <w:t>)</w:t>
            </w:r>
          </w:p>
        </w:tc>
        <w:tc>
          <w:tcPr>
            <w:tcW w:w="3150" w:type="dxa"/>
            <w:tcBorders>
              <w:top w:val="nil"/>
              <w:left w:val="nil"/>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35" w:type="dxa"/>
            <w:tcBorders>
              <w:top w:val="nil"/>
              <w:left w:val="nil"/>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Réduction du nombre d’interruptions d’opérations commerciales dans domaine du tourisme dues à des catastrophes</w:t>
            </w:r>
            <w:r w:rsidRPr="00B57B08">
              <w:rPr>
                <w:color w:val="000000" w:themeColor="text1"/>
                <w:sz w:val="22"/>
                <w:szCs w:val="22"/>
                <w:lang w:val="fr-CA"/>
              </w:rPr>
              <w:t xml:space="preserve"> </w:t>
            </w:r>
          </w:p>
        </w:tc>
        <w:tc>
          <w:tcPr>
            <w:tcW w:w="2669"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2"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Rationalisation</w:t>
            </w:r>
            <w:r>
              <w:rPr>
                <w:color w:val="000000" w:themeColor="text1"/>
                <w:sz w:val="22"/>
                <w:szCs w:val="22"/>
                <w:lang w:val="fr-CA"/>
              </w:rPr>
              <w:t xml:space="preserve"> des</w:t>
            </w:r>
            <w:r w:rsidRPr="00B57B08">
              <w:rPr>
                <w:color w:val="000000" w:themeColor="text1"/>
                <w:sz w:val="22"/>
                <w:szCs w:val="22"/>
                <w:lang w:val="fr-CA"/>
              </w:rPr>
              <w:t xml:space="preserve"> </w:t>
            </w:r>
            <w:r>
              <w:rPr>
                <w:b/>
                <w:bCs/>
                <w:color w:val="000000" w:themeColor="text1"/>
                <w:sz w:val="22"/>
                <w:szCs w:val="22"/>
                <w:lang w:val="fr-CA"/>
              </w:rPr>
              <w:t>o</w:t>
            </w:r>
            <w:r w:rsidRPr="00B57B08">
              <w:rPr>
                <w:b/>
                <w:bCs/>
                <w:color w:val="000000" w:themeColor="text1"/>
                <w:sz w:val="22"/>
                <w:szCs w:val="22"/>
                <w:lang w:val="fr-CA"/>
              </w:rPr>
              <w:t>bjecti</w:t>
            </w:r>
            <w:r>
              <w:rPr>
                <w:b/>
                <w:bCs/>
                <w:color w:val="000000" w:themeColor="text1"/>
                <w:sz w:val="22"/>
                <w:szCs w:val="22"/>
                <w:lang w:val="fr-CA"/>
              </w:rPr>
              <w:t>fs</w:t>
            </w:r>
            <w:r>
              <w:rPr>
                <w:color w:val="000000" w:themeColor="text1"/>
                <w:sz w:val="22"/>
                <w:szCs w:val="22"/>
                <w:lang w:val="fr-CA"/>
              </w:rPr>
              <w:t xml:space="preserve"> en matière de</w:t>
            </w:r>
            <w:r w:rsidRPr="00B57B08">
              <w:rPr>
                <w:color w:val="000000" w:themeColor="text1"/>
                <w:sz w:val="22"/>
                <w:szCs w:val="22"/>
                <w:lang w:val="fr-CA"/>
              </w:rPr>
              <w:t xml:space="preserve"> </w:t>
            </w:r>
            <w:r>
              <w:rPr>
                <w:b/>
                <w:bCs/>
                <w:color w:val="000000" w:themeColor="text1"/>
                <w:sz w:val="22"/>
                <w:szCs w:val="22"/>
                <w:lang w:val="fr-CA"/>
              </w:rPr>
              <w:t>gestion des risques de catastrophe</w:t>
            </w:r>
            <w:r>
              <w:rPr>
                <w:color w:val="000000" w:themeColor="text1"/>
                <w:sz w:val="22"/>
                <w:szCs w:val="22"/>
                <w:lang w:val="fr-CA"/>
              </w:rPr>
              <w:t xml:space="preserve"> dans tous les piliers de la Charte de l’OEA et dans tous les services du Secrétariat général, en particulier au sein du SEDI. Apporter un soutien technique  aux services suivants :</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35"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Intégration des objectifs en matière de gestion des risques de catastrophe dans tous les services du Secrétariat général</w:t>
            </w:r>
            <w:r w:rsidRPr="00B57B08">
              <w:rPr>
                <w:color w:val="000000" w:themeColor="text1"/>
                <w:sz w:val="22"/>
                <w:szCs w:val="22"/>
                <w:lang w:val="fr-CA"/>
              </w:rPr>
              <w:t>.</w:t>
            </w: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Révision de projets soumis au Programme spécial de formation (PEC) en vue de rationaliser les objectifs en matière de gestion des risques de catastrophe.</w:t>
            </w: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Formulation de projets qui abordent des facettes spécifiques de la gestion des risques de catastrophe et un service spécifique. </w:t>
            </w: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78"/>
        </w:trPr>
        <w:tc>
          <w:tcPr>
            <w:tcW w:w="34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Default="005D65E0" w:rsidP="001F5AA6">
            <w:pPr>
              <w:rPr>
                <w:b/>
                <w:bCs/>
                <w:color w:val="000000" w:themeColor="text1"/>
                <w:sz w:val="22"/>
                <w:szCs w:val="22"/>
                <w:lang w:val="fr-CA"/>
              </w:rPr>
            </w:pPr>
            <w:r>
              <w:rPr>
                <w:b/>
                <w:bCs/>
                <w:color w:val="000000" w:themeColor="text1"/>
                <w:sz w:val="22"/>
                <w:szCs w:val="22"/>
                <w:lang w:val="fr-CA"/>
              </w:rPr>
              <w:t>Partage de renseignements et de connaissances : entretien de la base de données en ligne du Réseau interaméricain d’atténuation des effets des catastrophes (RIMD), et publication de</w:t>
            </w:r>
            <w:r w:rsidRPr="00B57B08">
              <w:rPr>
                <w:b/>
                <w:bCs/>
                <w:color w:val="000000" w:themeColor="text1"/>
                <w:sz w:val="22"/>
                <w:szCs w:val="22"/>
                <w:lang w:val="fr-CA"/>
              </w:rPr>
              <w:t xml:space="preserve"> </w:t>
            </w:r>
            <w:r>
              <w:rPr>
                <w:b/>
                <w:bCs/>
                <w:color w:val="000000" w:themeColor="text1"/>
                <w:sz w:val="22"/>
                <w:szCs w:val="22"/>
                <w:lang w:val="fr-CA"/>
              </w:rPr>
              <w:t>« </w:t>
            </w:r>
            <w:r w:rsidRPr="00B57B08">
              <w:rPr>
                <w:b/>
                <w:bCs/>
                <w:color w:val="000000" w:themeColor="text1"/>
                <w:sz w:val="22"/>
                <w:szCs w:val="22"/>
                <w:lang w:val="fr-CA"/>
              </w:rPr>
              <w:t>Disasters This Week</w:t>
            </w:r>
            <w:r>
              <w:rPr>
                <w:b/>
                <w:bCs/>
                <w:color w:val="000000" w:themeColor="text1"/>
                <w:sz w:val="22"/>
                <w:szCs w:val="22"/>
                <w:lang w:val="fr-CA"/>
              </w:rPr>
              <w:t> »</w:t>
            </w:r>
            <w:r w:rsidRPr="00B57B08">
              <w:rPr>
                <w:b/>
                <w:bCs/>
                <w:color w:val="000000" w:themeColor="text1"/>
                <w:sz w:val="22"/>
                <w:szCs w:val="22"/>
                <w:lang w:val="fr-CA"/>
              </w:rPr>
              <w:t>.</w:t>
            </w:r>
          </w:p>
          <w:p w:rsidR="005C1AAB" w:rsidRDefault="005C1AAB" w:rsidP="001F5AA6">
            <w:pPr>
              <w:rPr>
                <w:b/>
                <w:bCs/>
                <w:color w:val="000000" w:themeColor="text1"/>
                <w:sz w:val="22"/>
                <w:szCs w:val="22"/>
                <w:lang w:val="fr-CA"/>
              </w:rPr>
            </w:pPr>
          </w:p>
          <w:p w:rsidR="005C1AAB" w:rsidRDefault="005C1AAB" w:rsidP="001F5AA6">
            <w:pPr>
              <w:rPr>
                <w:b/>
                <w:bCs/>
                <w:color w:val="000000" w:themeColor="text1"/>
                <w:sz w:val="22"/>
                <w:szCs w:val="22"/>
                <w:lang w:val="fr-CA"/>
              </w:rPr>
            </w:pPr>
          </w:p>
          <w:p w:rsidR="005C1AAB" w:rsidRPr="00B57B08" w:rsidRDefault="005C1AAB" w:rsidP="001F5AA6">
            <w:pPr>
              <w:rPr>
                <w:b/>
                <w:bCs/>
                <w:color w:val="000000" w:themeColor="text1"/>
                <w:sz w:val="22"/>
                <w:szCs w:val="22"/>
                <w:lang w:val="fr-CA"/>
              </w:rPr>
            </w:pP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Mise à jour de la base de données en ligne du Réseau interaméricain d’atténuation des effets des catastrophes (RIMD) et publication à des intervals réguliers de</w:t>
            </w:r>
            <w:r w:rsidRPr="00B57B08">
              <w:rPr>
                <w:rFonts w:eastAsia="Calibri"/>
                <w:color w:val="000000" w:themeColor="text1"/>
                <w:sz w:val="22"/>
                <w:szCs w:val="22"/>
                <w:lang w:val="fr-CA"/>
              </w:rPr>
              <w:t xml:space="preserve"> </w:t>
            </w:r>
            <w:r>
              <w:rPr>
                <w:rFonts w:eastAsia="Calibri"/>
                <w:color w:val="000000" w:themeColor="text1"/>
                <w:sz w:val="22"/>
                <w:szCs w:val="22"/>
                <w:lang w:val="fr-CA"/>
              </w:rPr>
              <w:t>« </w:t>
            </w:r>
            <w:r w:rsidRPr="00B57B08">
              <w:rPr>
                <w:rFonts w:eastAsia="Calibri"/>
                <w:color w:val="000000" w:themeColor="text1"/>
                <w:sz w:val="22"/>
                <w:szCs w:val="22"/>
                <w:lang w:val="fr-CA"/>
              </w:rPr>
              <w:t>Disaste</w:t>
            </w:r>
            <w:r>
              <w:rPr>
                <w:rFonts w:eastAsia="Calibri"/>
                <w:color w:val="000000" w:themeColor="text1"/>
                <w:sz w:val="22"/>
                <w:szCs w:val="22"/>
                <w:lang w:val="fr-CA"/>
              </w:rPr>
              <w:t>rs This Week »</w:t>
            </w:r>
            <w:r w:rsidRPr="00B57B08">
              <w:rPr>
                <w:rFonts w:eastAsia="Calibri"/>
                <w:color w:val="000000" w:themeColor="text1"/>
                <w:sz w:val="22"/>
                <w:szCs w:val="22"/>
                <w:lang w:val="fr-CA"/>
              </w:rPr>
              <w:t>.</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78"/>
        </w:trPr>
        <w:tc>
          <w:tcPr>
            <w:tcW w:w="3438"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b/>
                <w:bCs/>
                <w:color w:val="000000" w:themeColor="text1"/>
                <w:sz w:val="22"/>
                <w:szCs w:val="22"/>
                <w:lang w:val="fr-CA"/>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635"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669"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c>
          <w:tcPr>
            <w:tcW w:w="2502" w:type="dxa"/>
            <w:vMerge/>
            <w:tcBorders>
              <w:top w:val="single" w:sz="4" w:space="0" w:color="000000"/>
              <w:left w:val="single" w:sz="4" w:space="0" w:color="000000"/>
              <w:bottom w:val="single" w:sz="4" w:space="0" w:color="000000"/>
              <w:right w:val="single" w:sz="4" w:space="0" w:color="000000"/>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78"/>
        </w:trPr>
        <w:tc>
          <w:tcPr>
            <w:tcW w:w="3438" w:type="dxa"/>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OBJECTIF STRATÉGIQUE</w:t>
            </w:r>
          </w:p>
        </w:tc>
        <w:tc>
          <w:tcPr>
            <w:tcW w:w="10956" w:type="dxa"/>
            <w:gridSpan w:val="4"/>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 xml:space="preserve">.2. Renforcer les capacités des États membres dans le domaine de la gestion durable d’écosystèmes suivant les objectifs et les mesures stratégiques énoncés dans la </w:t>
            </w:r>
            <w:r w:rsidRPr="00B57B08">
              <w:rPr>
                <w:b/>
                <w:bCs/>
                <w:color w:val="000000" w:themeColor="text1"/>
                <w:sz w:val="22"/>
                <w:szCs w:val="22"/>
                <w:lang w:val="fr-CA"/>
              </w:rPr>
              <w:t xml:space="preserve">section 3.2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B57B08" w:rsidTr="001F5AA6">
        <w:trPr>
          <w:trHeight w:val="278"/>
        </w:trPr>
        <w:tc>
          <w:tcPr>
            <w:tcW w:w="14394" w:type="dxa"/>
            <w:gridSpan w:val="5"/>
            <w:tcBorders>
              <w:top w:val="single" w:sz="4" w:space="0" w:color="000000"/>
              <w:left w:val="single" w:sz="4" w:space="0" w:color="000000"/>
              <w:bottom w:val="single" w:sz="4" w:space="0" w:color="000000"/>
              <w:right w:val="single" w:sz="4" w:space="0" w:color="000000"/>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Gestion durable des écosystèmes </w:t>
            </w:r>
            <w:r w:rsidRPr="00B57B08">
              <w:rPr>
                <w:b/>
                <w:bCs/>
                <w:color w:val="000000" w:themeColor="text1"/>
                <w:sz w:val="22"/>
                <w:szCs w:val="22"/>
                <w:lang w:val="fr-CA"/>
              </w:rPr>
              <w:t>:</w:t>
            </w:r>
          </w:p>
        </w:tc>
      </w:tr>
      <w:tr w:rsidR="005D65E0" w:rsidRPr="00B57B08" w:rsidTr="001F5AA6">
        <w:trPr>
          <w:trHeight w:val="3660"/>
        </w:trPr>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Appuyer les États membres dans les efforts qu’ils déploient pour atteindre l’ODD 15 de </w:t>
            </w:r>
            <w:r w:rsidRPr="00B57B08">
              <w:rPr>
                <w:rFonts w:eastAsia="Calibri"/>
                <w:color w:val="000000" w:themeColor="text1"/>
                <w:sz w:val="22"/>
                <w:szCs w:val="22"/>
                <w:lang w:val="fr-CA"/>
              </w:rPr>
              <w:t>“Pr</w:t>
            </w:r>
            <w:r>
              <w:rPr>
                <w:rFonts w:eastAsia="Calibri"/>
                <w:color w:val="000000" w:themeColor="text1"/>
                <w:sz w:val="22"/>
                <w:szCs w:val="22"/>
                <w:lang w:val="fr-CA"/>
              </w:rPr>
              <w:t>éserver et restaurer les écosystèmes terrestres, en veillant à les exploiter de façon durable, gérer durablement les forêts, lutter contre la désertification, enrayer et renverser le processus de dégradation des sols et mettre fin à l’appauvrissement de la biodiversité</w:t>
            </w:r>
            <w:r w:rsidRPr="00B57B08">
              <w:rPr>
                <w:rFonts w:eastAsia="Calibri"/>
                <w:color w:val="000000" w:themeColor="text1"/>
                <w:sz w:val="22"/>
                <w:szCs w:val="22"/>
                <w:lang w:val="fr-CA"/>
              </w:rPr>
              <w:t>”,</w:t>
            </w:r>
            <w:r>
              <w:rPr>
                <w:rFonts w:eastAsia="Calibri"/>
                <w:color w:val="000000" w:themeColor="text1"/>
                <w:sz w:val="22"/>
                <w:szCs w:val="22"/>
                <w:lang w:val="fr-CA"/>
              </w:rPr>
              <w:t xml:space="preserve"> dans le but primordial de renforcer la résilience des communautés</w:t>
            </w:r>
            <w:r w:rsidRPr="00B57B08">
              <w:rPr>
                <w:rFonts w:eastAsia="Calibri"/>
                <w:color w:val="000000" w:themeColor="text1"/>
                <w:sz w:val="22"/>
                <w:szCs w:val="22"/>
                <w:lang w:val="fr-CA"/>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rFonts w:cs="Tahoma"/>
                <w:color w:val="000000" w:themeColor="text1"/>
                <w:sz w:val="22"/>
                <w:szCs w:val="22"/>
                <w:lang w:val="fr-CA"/>
              </w:rPr>
              <w:t>Les écosystèmes en bonne santé sont à la base d’économies compétitives et résilientes. Les écosystèmes résilients ont une corrélation positive avec divers facteurs de production tels : la santé et la productivité des travailleurs, des chaines d’approvisionnement basées sur des ressources provenant d’écosystèmes locaux et la santé des actifs côtiers sur lesquels dépendent des secteurs comme le tourisme. Des écosystèmes résilients comme les récifs de corail et les mangroves accroissent la résilience des villes et des communautés côtières aux catastrophes</w:t>
            </w:r>
            <w:r w:rsidRPr="00B57B08">
              <w:rPr>
                <w:rFonts w:cs="Tahoma"/>
                <w:color w:val="000000" w:themeColor="text1"/>
                <w:sz w:val="22"/>
                <w:szCs w:val="22"/>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Obtention de financement et établissement des modalités d’exécution des projets. </w:t>
            </w:r>
          </w:p>
        </w:tc>
        <w:tc>
          <w:tcPr>
            <w:tcW w:w="2669"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 xml:space="preserve">Villes durables, résilience et gestion des risques en </w:t>
            </w:r>
            <w:r w:rsidRPr="00B57B08">
              <w:rPr>
                <w:color w:val="000000" w:themeColor="text1"/>
                <w:sz w:val="22"/>
                <w:szCs w:val="22"/>
                <w:lang w:val="fr-CA"/>
              </w:rPr>
              <w:t>collaboration</w:t>
            </w:r>
            <w:r>
              <w:rPr>
                <w:color w:val="000000" w:themeColor="text1"/>
                <w:sz w:val="22"/>
                <w:szCs w:val="22"/>
                <w:lang w:val="fr-CA"/>
              </w:rPr>
              <w:t xml:space="preserve"> avec d’autres services du Département du développement durable, Département du développement économique</w:t>
            </w:r>
            <w:r w:rsidRPr="00B57B08">
              <w:rPr>
                <w:color w:val="000000" w:themeColor="text1"/>
                <w:sz w:val="22"/>
                <w:szCs w:val="22"/>
                <w:lang w:val="fr-CA"/>
              </w:rPr>
              <w:t>, CICTE, CIP.</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Association andine de développement</w:t>
            </w:r>
            <w:r w:rsidRPr="00B57B08">
              <w:rPr>
                <w:color w:val="000000" w:themeColor="text1"/>
                <w:sz w:val="22"/>
                <w:szCs w:val="22"/>
                <w:lang w:val="fr-CA"/>
              </w:rPr>
              <w:t xml:space="preserve">, </w:t>
            </w:r>
            <w:r>
              <w:rPr>
                <w:color w:val="000000" w:themeColor="text1"/>
                <w:sz w:val="22"/>
                <w:szCs w:val="22"/>
                <w:lang w:val="fr-CA"/>
              </w:rPr>
              <w:t>Global Environment Facility (</w:t>
            </w:r>
            <w:r w:rsidRPr="00B57B08">
              <w:rPr>
                <w:color w:val="000000" w:themeColor="text1"/>
                <w:sz w:val="22"/>
                <w:szCs w:val="22"/>
                <w:lang w:val="fr-CA"/>
              </w:rPr>
              <w:t>GEF</w:t>
            </w:r>
            <w:r>
              <w:rPr>
                <w:color w:val="000000" w:themeColor="text1"/>
                <w:sz w:val="22"/>
                <w:szCs w:val="22"/>
                <w:lang w:val="fr-CA"/>
              </w:rPr>
              <w:t>)</w:t>
            </w:r>
            <w:r w:rsidRPr="00B57B08">
              <w:rPr>
                <w:color w:val="000000" w:themeColor="text1"/>
                <w:sz w:val="22"/>
                <w:szCs w:val="22"/>
                <w:lang w:val="fr-CA"/>
              </w:rPr>
              <w:t>.</w:t>
            </w:r>
          </w:p>
        </w:tc>
        <w:tc>
          <w:tcPr>
            <w:tcW w:w="2502"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bl>
    <w:p w:rsidR="005D65E0" w:rsidRPr="00B57B08" w:rsidRDefault="005D65E0" w:rsidP="005D65E0">
      <w:pPr>
        <w:rPr>
          <w:color w:val="000000" w:themeColor="text1"/>
          <w:lang w:val="fr-CA"/>
        </w:rPr>
      </w:pPr>
    </w:p>
    <w:tbl>
      <w:tblPr>
        <w:tblW w:w="14617" w:type="dxa"/>
        <w:tblLayout w:type="fixed"/>
        <w:tblLook w:val="04A0" w:firstRow="1" w:lastRow="0" w:firstColumn="1" w:lastColumn="0" w:noHBand="0" w:noVBand="1"/>
      </w:tblPr>
      <w:tblGrid>
        <w:gridCol w:w="3438"/>
        <w:gridCol w:w="3240"/>
        <w:gridCol w:w="2970"/>
        <w:gridCol w:w="2160"/>
        <w:gridCol w:w="2809"/>
      </w:tblGrid>
      <w:tr w:rsidR="005D65E0" w:rsidRPr="005C1AAB" w:rsidTr="001F5AA6">
        <w:trPr>
          <w:trHeight w:val="278"/>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179" w:type="dxa"/>
            <w:gridSpan w:val="4"/>
            <w:tcBorders>
              <w:top w:val="single" w:sz="4" w:space="0" w:color="auto"/>
              <w:left w:val="nil"/>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2.3. Renforcer les capacités des États membres dans le domaine de la gestion intégrée des ressources hydriques suivant les objectifs et les mesures stratégiques énoncés dans la </w:t>
            </w:r>
            <w:r w:rsidRPr="00B57B08">
              <w:rPr>
                <w:b/>
                <w:bCs/>
                <w:color w:val="000000" w:themeColor="text1"/>
                <w:sz w:val="22"/>
                <w:szCs w:val="22"/>
                <w:lang w:val="fr-CA"/>
              </w:rPr>
              <w:t xml:space="preserve">section 3.3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B57B08" w:rsidTr="001F5AA6">
        <w:trPr>
          <w:trHeight w:val="278"/>
        </w:trPr>
        <w:tc>
          <w:tcPr>
            <w:tcW w:w="1461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Eau </w:t>
            </w:r>
            <w:r w:rsidRPr="00B57B08">
              <w:rPr>
                <w:b/>
                <w:bCs/>
                <w:color w:val="000000" w:themeColor="text1"/>
                <w:sz w:val="22"/>
                <w:szCs w:val="22"/>
                <w:lang w:val="fr-CA"/>
              </w:rPr>
              <w:t>:</w:t>
            </w:r>
          </w:p>
        </w:tc>
      </w:tr>
      <w:tr w:rsidR="005D65E0" w:rsidRPr="005C1AAB" w:rsidTr="001F5AA6">
        <w:trPr>
          <w:trHeight w:val="890"/>
        </w:trPr>
        <w:tc>
          <w:tcPr>
            <w:tcW w:w="3438" w:type="dxa"/>
            <w:vMerge w:val="restart"/>
            <w:tcBorders>
              <w:top w:val="nil"/>
              <w:left w:val="single" w:sz="4" w:space="0" w:color="auto"/>
              <w:bottom w:val="single" w:sz="4" w:space="0" w:color="auto"/>
              <w:right w:val="single" w:sz="4" w:space="0" w:color="auto"/>
            </w:tcBorders>
            <w:shd w:val="clear" w:color="auto" w:fill="auto"/>
            <w:hideMark/>
          </w:tcPr>
          <w:p w:rsidR="005D65E0" w:rsidRDefault="005D65E0" w:rsidP="001F5AA6">
            <w:pPr>
              <w:rPr>
                <w:color w:val="000000" w:themeColor="text1"/>
                <w:sz w:val="22"/>
                <w:szCs w:val="22"/>
                <w:lang w:val="fr-CA"/>
              </w:rPr>
            </w:pPr>
            <w:r w:rsidRPr="00B57B08">
              <w:rPr>
                <w:color w:val="000000" w:themeColor="text1"/>
                <w:sz w:val="22"/>
                <w:szCs w:val="22"/>
                <w:lang w:val="fr-CA"/>
              </w:rPr>
              <w:t>Port</w:t>
            </w:r>
            <w:r>
              <w:rPr>
                <w:color w:val="000000" w:themeColor="text1"/>
                <w:sz w:val="22"/>
                <w:szCs w:val="22"/>
                <w:lang w:val="fr-CA"/>
              </w:rPr>
              <w:t>efeuille de projets abordant des chocs précis relatifs à l’eau qui affectent le secteur (bassin du fleuve</w:t>
            </w:r>
            <w:r w:rsidRPr="00B57B08">
              <w:rPr>
                <w:color w:val="000000" w:themeColor="text1"/>
                <w:sz w:val="22"/>
                <w:szCs w:val="22"/>
                <w:lang w:val="fr-CA"/>
              </w:rPr>
              <w:t xml:space="preserve"> Lempa</w:t>
            </w:r>
            <w:r>
              <w:rPr>
                <w:color w:val="000000" w:themeColor="text1"/>
                <w:sz w:val="22"/>
                <w:szCs w:val="22"/>
                <w:lang w:val="fr-CA"/>
              </w:rPr>
              <w:t xml:space="preserve"> </w:t>
            </w:r>
            <w:r w:rsidRPr="00B57B08">
              <w:rPr>
                <w:color w:val="000000" w:themeColor="text1"/>
                <w:sz w:val="22"/>
                <w:szCs w:val="22"/>
                <w:lang w:val="fr-CA"/>
              </w:rPr>
              <w:t>-</w:t>
            </w:r>
            <w:r>
              <w:rPr>
                <w:color w:val="000000" w:themeColor="text1"/>
                <w:sz w:val="22"/>
                <w:szCs w:val="22"/>
                <w:lang w:val="fr-CA"/>
              </w:rPr>
              <w:t xml:space="preserve"> </w:t>
            </w:r>
            <w:r w:rsidRPr="00B57B08">
              <w:rPr>
                <w:color w:val="000000" w:themeColor="text1"/>
                <w:sz w:val="22"/>
                <w:szCs w:val="22"/>
                <w:lang w:val="fr-CA"/>
              </w:rPr>
              <w:t xml:space="preserve">Trifinio, </w:t>
            </w:r>
            <w:r>
              <w:rPr>
                <w:color w:val="000000" w:themeColor="text1"/>
                <w:sz w:val="22"/>
                <w:szCs w:val="22"/>
                <w:lang w:val="fr-CA"/>
              </w:rPr>
              <w:t>bassin du Plata</w:t>
            </w:r>
            <w:r w:rsidRPr="00B57B08">
              <w:rPr>
                <w:color w:val="000000" w:themeColor="text1"/>
                <w:sz w:val="22"/>
                <w:szCs w:val="22"/>
                <w:lang w:val="fr-CA"/>
              </w:rPr>
              <w:t>,</w:t>
            </w:r>
            <w:r>
              <w:rPr>
                <w:color w:val="000000" w:themeColor="text1"/>
                <w:sz w:val="22"/>
                <w:szCs w:val="22"/>
                <w:lang w:val="fr-CA"/>
              </w:rPr>
              <w:t xml:space="preserve"> fleuve Bravo)</w:t>
            </w:r>
            <w:r>
              <w:rPr>
                <w:color w:val="000000" w:themeColor="text1"/>
                <w:sz w:val="22"/>
                <w:szCs w:val="22"/>
                <w:lang w:val="fr-CA"/>
              </w:rPr>
              <w:br/>
            </w:r>
            <w:r>
              <w:rPr>
                <w:color w:val="000000" w:themeColor="text1"/>
                <w:sz w:val="22"/>
                <w:szCs w:val="22"/>
                <w:lang w:val="fr-CA"/>
              </w:rPr>
              <w:br/>
              <w:t>1. Changements dans l’approvisionnement en eau, liés à la variabilité du climat et au changement climatique</w:t>
            </w:r>
            <w:r w:rsidRPr="00B57B08">
              <w:rPr>
                <w:color w:val="000000" w:themeColor="text1"/>
                <w:sz w:val="22"/>
                <w:szCs w:val="22"/>
                <w:lang w:val="fr-CA"/>
              </w:rPr>
              <w:t>.</w:t>
            </w:r>
            <w:r>
              <w:rPr>
                <w:color w:val="000000" w:themeColor="text1"/>
                <w:sz w:val="22"/>
                <w:szCs w:val="22"/>
                <w:lang w:val="fr-CA"/>
              </w:rPr>
              <w:br/>
              <w:t>2. Qualité de l’eau liée à la pollution</w:t>
            </w:r>
            <w:r w:rsidRPr="00B57B08">
              <w:rPr>
                <w:color w:val="000000" w:themeColor="text1"/>
                <w:sz w:val="22"/>
                <w:szCs w:val="22"/>
                <w:lang w:val="fr-CA"/>
              </w:rPr>
              <w:t xml:space="preserve"> </w:t>
            </w:r>
            <w:r>
              <w:rPr>
                <w:color w:val="000000" w:themeColor="text1"/>
                <w:sz w:val="22"/>
                <w:szCs w:val="22"/>
                <w:lang w:val="fr-CA"/>
              </w:rPr>
              <w:br/>
              <w:t>3. Confli</w:t>
            </w:r>
            <w:r w:rsidRPr="00B57B08">
              <w:rPr>
                <w:color w:val="000000" w:themeColor="text1"/>
                <w:sz w:val="22"/>
                <w:szCs w:val="22"/>
                <w:lang w:val="fr-CA"/>
              </w:rPr>
              <w:t>ts</w:t>
            </w:r>
            <w:r>
              <w:rPr>
                <w:color w:val="000000" w:themeColor="text1"/>
                <w:sz w:val="22"/>
                <w:szCs w:val="22"/>
                <w:lang w:val="fr-CA"/>
              </w:rPr>
              <w:t xml:space="preserve"> relatifs aux eaux transfrontalières. </w:t>
            </w:r>
            <w:r>
              <w:rPr>
                <w:color w:val="000000" w:themeColor="text1"/>
                <w:sz w:val="22"/>
                <w:szCs w:val="22"/>
                <w:lang w:val="fr-CA"/>
              </w:rPr>
              <w:br/>
            </w:r>
            <w:r>
              <w:rPr>
                <w:color w:val="000000" w:themeColor="text1"/>
                <w:sz w:val="22"/>
                <w:szCs w:val="22"/>
                <w:lang w:val="fr-CA"/>
              </w:rPr>
              <w:lastRenderedPageBreak/>
              <w:t>4. Limites du point de référence en matière d’information et de connaissances relatives au renforcement de la résilience dans le secteur hydrique</w:t>
            </w:r>
            <w:r w:rsidRPr="00B57B08">
              <w:rPr>
                <w:color w:val="000000" w:themeColor="text1"/>
                <w:sz w:val="22"/>
                <w:szCs w:val="22"/>
                <w:lang w:val="fr-CA"/>
              </w:rPr>
              <w:t>.</w:t>
            </w:r>
          </w:p>
          <w:p w:rsidR="005D65E0" w:rsidRPr="00586454" w:rsidRDefault="005D65E0" w:rsidP="001F5AA6">
            <w:pPr>
              <w:rPr>
                <w:sz w:val="22"/>
                <w:szCs w:val="22"/>
                <w:lang w:val="fr-CA"/>
              </w:rPr>
            </w:pPr>
          </w:p>
          <w:p w:rsidR="005D65E0" w:rsidRPr="00586454" w:rsidRDefault="005D65E0" w:rsidP="001F5AA6">
            <w:pPr>
              <w:rPr>
                <w:sz w:val="22"/>
                <w:szCs w:val="22"/>
                <w:lang w:val="fr-CA"/>
              </w:rPr>
            </w:pPr>
          </w:p>
          <w:p w:rsidR="005D65E0" w:rsidRPr="00586454" w:rsidRDefault="005D65E0" w:rsidP="001F5AA6">
            <w:pPr>
              <w:rPr>
                <w:sz w:val="22"/>
                <w:szCs w:val="22"/>
                <w:lang w:val="fr-CA"/>
              </w:rPr>
            </w:pPr>
          </w:p>
          <w:p w:rsidR="005D65E0" w:rsidRPr="00586454" w:rsidRDefault="005D65E0" w:rsidP="001F5AA6">
            <w:pPr>
              <w:rPr>
                <w:sz w:val="22"/>
                <w:szCs w:val="22"/>
                <w:lang w:val="fr-CA"/>
              </w:rPr>
            </w:pPr>
          </w:p>
          <w:p w:rsidR="005D65E0" w:rsidRDefault="005D65E0" w:rsidP="001F5AA6">
            <w:pPr>
              <w:rPr>
                <w:sz w:val="22"/>
                <w:szCs w:val="22"/>
                <w:lang w:val="fr-CA"/>
              </w:rPr>
            </w:pPr>
          </w:p>
          <w:p w:rsidR="005D65E0" w:rsidRPr="00586454" w:rsidRDefault="005D65E0" w:rsidP="001F5AA6">
            <w:pPr>
              <w:jc w:val="right"/>
              <w:rPr>
                <w:sz w:val="22"/>
                <w:szCs w:val="22"/>
                <w:lang w:val="fr-CA"/>
              </w:rPr>
            </w:pPr>
          </w:p>
        </w:tc>
        <w:tc>
          <w:tcPr>
            <w:tcW w:w="3240"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lastRenderedPageBreak/>
              <w:t xml:space="preserve">Le renforcement de la résilience et la compétitivité peuvent être minés par des changements dans l’approvisionnement en eau, liés au changement climatique et à la variabilité du climat; par la réduction de la qualité de l’eau à cause de sources de pollution terrestres; enfin, par des conflits sociaux, en particulier près de sources d’eau transfrontalières.  </w:t>
            </w:r>
            <w:r>
              <w:rPr>
                <w:color w:val="000000" w:themeColor="text1"/>
                <w:sz w:val="22"/>
                <w:szCs w:val="22"/>
                <w:lang w:val="fr-CA"/>
              </w:rPr>
              <w:br/>
            </w:r>
            <w:r>
              <w:rPr>
                <w:color w:val="000000" w:themeColor="text1"/>
                <w:sz w:val="22"/>
                <w:szCs w:val="22"/>
                <w:lang w:val="fr-CA"/>
              </w:rPr>
              <w:br/>
              <w:t>La ré</w:t>
            </w:r>
            <w:r w:rsidRPr="00B57B08">
              <w:rPr>
                <w:color w:val="000000" w:themeColor="text1"/>
                <w:sz w:val="22"/>
                <w:szCs w:val="22"/>
                <w:lang w:val="fr-CA"/>
              </w:rPr>
              <w:t>silience</w:t>
            </w:r>
            <w:r>
              <w:rPr>
                <w:color w:val="000000" w:themeColor="text1"/>
                <w:sz w:val="22"/>
                <w:szCs w:val="22"/>
                <w:lang w:val="fr-CA"/>
              </w:rPr>
              <w:t xml:space="preserve"> et la compétitivité </w:t>
            </w:r>
            <w:r>
              <w:rPr>
                <w:color w:val="000000" w:themeColor="text1"/>
                <w:sz w:val="22"/>
                <w:szCs w:val="22"/>
                <w:lang w:val="fr-CA"/>
              </w:rPr>
              <w:lastRenderedPageBreak/>
              <w:t>peuvent être accrus par l’accès à une technologie appropriée; l’efficacité hydrique; la gestion de la demande en eau et l’utilisation de systèmes d’approvisionnement en eau résilients</w:t>
            </w:r>
            <w:r w:rsidRPr="00B57B08">
              <w:rPr>
                <w:color w:val="000000" w:themeColor="text1"/>
                <w:sz w:val="22"/>
                <w:szCs w:val="22"/>
                <w:lang w:val="fr-CA"/>
              </w:rPr>
              <w:t xml:space="preserve">. </w:t>
            </w: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lastRenderedPageBreak/>
              <w:t xml:space="preserve">Développement de systèmes d’alerte rapide pour les sécheresses </w:t>
            </w:r>
            <w:r w:rsidRPr="00B57B08">
              <w:rPr>
                <w:color w:val="000000" w:themeColor="text1"/>
                <w:sz w:val="22"/>
                <w:szCs w:val="22"/>
                <w:lang w:val="fr-CA"/>
              </w:rPr>
              <w:t>(</w:t>
            </w:r>
            <w:r>
              <w:rPr>
                <w:color w:val="000000" w:themeColor="text1"/>
                <w:sz w:val="22"/>
                <w:szCs w:val="22"/>
                <w:lang w:val="fr-CA"/>
              </w:rPr>
              <w:t xml:space="preserve">politique continentale en matière de sécheresses, systèmes d’aide à la prise de décision, soutien à la  décisions, </w:t>
            </w:r>
            <w:r w:rsidRPr="00B57B08">
              <w:rPr>
                <w:color w:val="000000" w:themeColor="text1"/>
                <w:sz w:val="22"/>
                <w:szCs w:val="22"/>
                <w:lang w:val="fr-CA"/>
              </w:rPr>
              <w:t xml:space="preserve">hemispheric policy on droughts, </w:t>
            </w:r>
            <w:r>
              <w:rPr>
                <w:color w:val="000000" w:themeColor="text1"/>
                <w:sz w:val="22"/>
                <w:szCs w:val="22"/>
                <w:lang w:val="fr-CA"/>
              </w:rPr>
              <w:t>Decision Support systems, PIACT</w:t>
            </w:r>
            <w:r w:rsidRPr="00B57B08">
              <w:rPr>
                <w:color w:val="000000" w:themeColor="text1"/>
                <w:sz w:val="22"/>
                <w:szCs w:val="22"/>
                <w:lang w:val="fr-CA"/>
              </w:rPr>
              <w:t>),</w:t>
            </w:r>
          </w:p>
        </w:tc>
        <w:tc>
          <w:tcPr>
            <w:tcW w:w="2160"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Questions politiques</w:t>
            </w:r>
            <w:r w:rsidRPr="00B57B08">
              <w:rPr>
                <w:color w:val="000000" w:themeColor="text1"/>
                <w:sz w:val="22"/>
                <w:szCs w:val="22"/>
                <w:lang w:val="fr-CA"/>
              </w:rPr>
              <w:t xml:space="preserve">, CICTE, CIDH, CIM. </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 xml:space="preserve">Stratégie de la BID relative aux eaux transfrontalières, panel mondial sur l’eau et Convention sur l’eau des Nations Unies, IAI, SICA, CARICOM, CIC, </w:t>
            </w:r>
            <w:r>
              <w:rPr>
                <w:color w:val="000000" w:themeColor="text1"/>
                <w:sz w:val="22"/>
                <w:szCs w:val="22"/>
                <w:lang w:val="fr-CA"/>
              </w:rPr>
              <w:lastRenderedPageBreak/>
              <w:t>BID</w:t>
            </w:r>
            <w:r w:rsidRPr="00B57B08">
              <w:rPr>
                <w:color w:val="000000" w:themeColor="text1"/>
                <w:sz w:val="22"/>
                <w:szCs w:val="22"/>
                <w:lang w:val="fr-CA"/>
              </w:rPr>
              <w:t>, CWWA</w:t>
            </w:r>
            <w:r>
              <w:rPr>
                <w:color w:val="000000" w:themeColor="text1"/>
                <w:sz w:val="22"/>
                <w:szCs w:val="22"/>
                <w:lang w:val="fr-CA"/>
              </w:rPr>
              <w:t xml:space="preserve"> (Carribbean Water and Wastewater Association)</w:t>
            </w:r>
            <w:r w:rsidRPr="00B57B08">
              <w:rPr>
                <w:color w:val="000000" w:themeColor="text1"/>
                <w:sz w:val="22"/>
                <w:szCs w:val="22"/>
                <w:lang w:val="fr-CA"/>
              </w:rPr>
              <w:t>, Geneva Water Hub</w:t>
            </w:r>
            <w:r>
              <w:rPr>
                <w:color w:val="000000" w:themeColor="text1"/>
                <w:sz w:val="22"/>
                <w:szCs w:val="22"/>
                <w:lang w:val="fr-CA"/>
              </w:rPr>
              <w:t xml:space="preserve"> for Cooperation, OPS</w:t>
            </w:r>
            <w:r w:rsidRPr="00B57B08">
              <w:rPr>
                <w:color w:val="000000" w:themeColor="text1"/>
                <w:sz w:val="22"/>
                <w:szCs w:val="22"/>
                <w:lang w:val="fr-CA"/>
              </w:rPr>
              <w:t>, COSUDE,</w:t>
            </w:r>
            <w:r>
              <w:rPr>
                <w:color w:val="000000" w:themeColor="text1"/>
                <w:sz w:val="22"/>
                <w:szCs w:val="22"/>
                <w:lang w:val="fr-CA"/>
              </w:rPr>
              <w:t xml:space="preserve"> Association andine de développement</w:t>
            </w:r>
            <w:r w:rsidRPr="00B57B08">
              <w:rPr>
                <w:color w:val="000000" w:themeColor="text1"/>
                <w:sz w:val="22"/>
                <w:szCs w:val="22"/>
                <w:lang w:val="fr-CA"/>
              </w:rPr>
              <w:t>,</w:t>
            </w:r>
            <w:r>
              <w:rPr>
                <w:color w:val="000000" w:themeColor="text1"/>
                <w:sz w:val="22"/>
                <w:szCs w:val="22"/>
                <w:lang w:val="fr-CA"/>
              </w:rPr>
              <w:t xml:space="preserve"> Université internationale de la Floride, Université de</w:t>
            </w:r>
            <w:r w:rsidRPr="00B57B08">
              <w:rPr>
                <w:color w:val="000000" w:themeColor="text1"/>
                <w:sz w:val="22"/>
                <w:szCs w:val="22"/>
                <w:lang w:val="fr-CA"/>
              </w:rPr>
              <w:t xml:space="preserve"> San Luis Potosi (Mexi</w:t>
            </w:r>
            <w:r>
              <w:rPr>
                <w:color w:val="000000" w:themeColor="text1"/>
                <w:sz w:val="22"/>
                <w:szCs w:val="22"/>
                <w:lang w:val="fr-CA"/>
              </w:rPr>
              <w:t>que), CODIA, Programme des Nations Unies pour l’environnement</w:t>
            </w:r>
            <w:r w:rsidRPr="00B57B08">
              <w:rPr>
                <w:color w:val="000000" w:themeColor="text1"/>
                <w:sz w:val="22"/>
                <w:szCs w:val="22"/>
                <w:lang w:val="fr-CA"/>
              </w:rPr>
              <w:t>,</w:t>
            </w:r>
            <w:r>
              <w:rPr>
                <w:color w:val="000000" w:themeColor="text1"/>
                <w:sz w:val="22"/>
                <w:szCs w:val="22"/>
                <w:lang w:val="fr-CA"/>
              </w:rPr>
              <w:t xml:space="preserve"> Programme hydrologique intergouvernemental de l’</w:t>
            </w:r>
            <w:r w:rsidRPr="00B57B08">
              <w:rPr>
                <w:color w:val="000000" w:themeColor="text1"/>
                <w:sz w:val="22"/>
                <w:szCs w:val="22"/>
                <w:lang w:val="fr-CA"/>
              </w:rPr>
              <w:t xml:space="preserve">UNESCO, </w:t>
            </w:r>
            <w:r>
              <w:rPr>
                <w:color w:val="000000" w:themeColor="text1"/>
                <w:sz w:val="22"/>
                <w:szCs w:val="22"/>
                <w:lang w:val="fr-CA"/>
              </w:rPr>
              <w:t>OMM</w:t>
            </w:r>
            <w:r w:rsidRPr="00B57B08">
              <w:rPr>
                <w:color w:val="000000" w:themeColor="text1"/>
                <w:sz w:val="22"/>
                <w:szCs w:val="22"/>
                <w:lang w:val="fr-CA"/>
              </w:rPr>
              <w:t>.</w:t>
            </w:r>
          </w:p>
        </w:tc>
        <w:tc>
          <w:tcPr>
            <w:tcW w:w="2809" w:type="dxa"/>
            <w:vMerge w:val="restart"/>
            <w:tcBorders>
              <w:top w:val="nil"/>
              <w:left w:val="single" w:sz="4" w:space="0" w:color="auto"/>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lastRenderedPageBreak/>
              <w:t>I</w:t>
            </w:r>
            <w:r>
              <w:rPr>
                <w:b/>
                <w:bCs/>
                <w:color w:val="000000" w:themeColor="text1"/>
                <w:sz w:val="22"/>
                <w:szCs w:val="22"/>
                <w:lang w:val="fr-CA"/>
              </w:rPr>
              <w:t xml:space="preserve">ncorporation de pratiques et d’approches relatives au développement durable à la réponse apportée à la </w:t>
            </w:r>
            <w:r w:rsidRPr="00B57B08">
              <w:rPr>
                <w:b/>
                <w:bCs/>
                <w:color w:val="000000" w:themeColor="text1"/>
                <w:sz w:val="22"/>
                <w:szCs w:val="22"/>
                <w:lang w:val="fr-CA"/>
              </w:rPr>
              <w:t>COVID-19</w:t>
            </w:r>
            <w:r>
              <w:rPr>
                <w:b/>
                <w:bCs/>
                <w:color w:val="000000" w:themeColor="text1"/>
                <w:sz w:val="22"/>
                <w:szCs w:val="22"/>
                <w:lang w:val="fr-CA"/>
              </w:rPr>
              <w:t> </w:t>
            </w:r>
            <w:r w:rsidRPr="00B57B08">
              <w:rPr>
                <w:b/>
                <w:bCs/>
                <w:color w:val="000000" w:themeColor="text1"/>
                <w:sz w:val="22"/>
                <w:szCs w:val="22"/>
                <w:lang w:val="fr-CA"/>
              </w:rPr>
              <w:t>:</w:t>
            </w:r>
            <w:r>
              <w:rPr>
                <w:color w:val="000000" w:themeColor="text1"/>
                <w:sz w:val="22"/>
                <w:szCs w:val="22"/>
                <w:lang w:val="fr-CA"/>
              </w:rPr>
              <w:br/>
            </w:r>
            <w:r>
              <w:rPr>
                <w:color w:val="000000" w:themeColor="text1"/>
                <w:sz w:val="22"/>
                <w:szCs w:val="22"/>
                <w:lang w:val="fr-CA"/>
              </w:rPr>
              <w:br/>
              <w:t xml:space="preserve">Groupe de travail pour élaborer des interventions en matière de gestion hydrique dans des zones rurales pour après la COVID, composé d’experts en gestion des risques pour la santé de </w:t>
            </w:r>
            <w:r>
              <w:rPr>
                <w:color w:val="000000" w:themeColor="text1"/>
                <w:sz w:val="22"/>
                <w:szCs w:val="22"/>
                <w:lang w:val="fr-CA"/>
              </w:rPr>
              <w:lastRenderedPageBreak/>
              <w:t xml:space="preserve">l’Université de </w:t>
            </w:r>
            <w:r w:rsidRPr="00B57B08">
              <w:rPr>
                <w:color w:val="000000" w:themeColor="text1"/>
                <w:sz w:val="22"/>
                <w:szCs w:val="22"/>
                <w:lang w:val="fr-CA"/>
              </w:rPr>
              <w:t>San Luiz Potosí,</w:t>
            </w:r>
            <w:r>
              <w:rPr>
                <w:color w:val="000000" w:themeColor="text1"/>
                <w:sz w:val="22"/>
                <w:szCs w:val="22"/>
                <w:lang w:val="fr-CA"/>
              </w:rPr>
              <w:t xml:space="preserve"> au</w:t>
            </w:r>
            <w:r w:rsidRPr="00B57B08">
              <w:rPr>
                <w:color w:val="000000" w:themeColor="text1"/>
                <w:sz w:val="22"/>
                <w:szCs w:val="22"/>
                <w:lang w:val="fr-CA"/>
              </w:rPr>
              <w:t xml:space="preserve"> Mexi</w:t>
            </w:r>
            <w:r>
              <w:rPr>
                <w:color w:val="000000" w:themeColor="text1"/>
                <w:sz w:val="22"/>
                <w:szCs w:val="22"/>
                <w:lang w:val="fr-CA"/>
              </w:rPr>
              <w:t>que</w:t>
            </w:r>
            <w:r w:rsidRPr="00B57B08">
              <w:rPr>
                <w:color w:val="000000" w:themeColor="text1"/>
                <w:sz w:val="22"/>
                <w:szCs w:val="22"/>
                <w:lang w:val="fr-CA"/>
              </w:rPr>
              <w:t xml:space="preserve"> (UASLP)</w:t>
            </w:r>
            <w:r>
              <w:rPr>
                <w:color w:val="000000" w:themeColor="text1"/>
                <w:sz w:val="22"/>
                <w:szCs w:val="22"/>
                <w:lang w:val="fr-CA"/>
              </w:rPr>
              <w:t xml:space="preserve"> et de spécialistes de l’équipe hydrique de l’OEA. </w:t>
            </w:r>
            <w:r w:rsidRPr="00B57B08">
              <w:rPr>
                <w:color w:val="000000" w:themeColor="text1"/>
                <w:sz w:val="22"/>
                <w:szCs w:val="22"/>
                <w:lang w:val="fr-CA"/>
              </w:rPr>
              <w:t xml:space="preserve"> </w:t>
            </w:r>
            <w:r w:rsidRPr="00B57B08">
              <w:rPr>
                <w:color w:val="000000" w:themeColor="text1"/>
                <w:sz w:val="22"/>
                <w:szCs w:val="22"/>
                <w:lang w:val="fr-CA"/>
              </w:rPr>
              <w:br/>
            </w:r>
            <w:r w:rsidRPr="00B57B08">
              <w:rPr>
                <w:color w:val="000000" w:themeColor="text1"/>
                <w:sz w:val="22"/>
                <w:szCs w:val="22"/>
                <w:lang w:val="fr-CA"/>
              </w:rPr>
              <w:br/>
            </w:r>
            <w:r>
              <w:rPr>
                <w:color w:val="000000" w:themeColor="text1"/>
                <w:sz w:val="22"/>
                <w:szCs w:val="22"/>
                <w:lang w:val="fr-CA"/>
              </w:rPr>
              <w:t xml:space="preserve">Le </w:t>
            </w:r>
            <w:r w:rsidRPr="00B57B08">
              <w:rPr>
                <w:color w:val="000000" w:themeColor="text1"/>
                <w:sz w:val="22"/>
                <w:szCs w:val="22"/>
                <w:lang w:val="fr-CA"/>
              </w:rPr>
              <w:t>SEDI</w:t>
            </w:r>
            <w:r>
              <w:rPr>
                <w:color w:val="000000" w:themeColor="text1"/>
                <w:sz w:val="22"/>
                <w:szCs w:val="22"/>
                <w:lang w:val="fr-CA"/>
              </w:rPr>
              <w:t xml:space="preserve"> explore également une possible collaboration avec le Programme des Nations Unies pour l’environnement et l’Université d’État de la Georgie pour la conception d’un Plan d’action destiné à aider les États membres de la Caraïbe à institutionnaliser l’utilisation de systèmes d’information géographique (SIG) pour la surveillance épidémiologique</w:t>
            </w:r>
            <w:r w:rsidRPr="00B57B08">
              <w:rPr>
                <w:color w:val="000000" w:themeColor="text1"/>
                <w:sz w:val="22"/>
                <w:szCs w:val="22"/>
                <w:lang w:val="fr-CA"/>
              </w:rPr>
              <w:t>.</w:t>
            </w:r>
            <w:r w:rsidRPr="00B57B08">
              <w:rPr>
                <w:color w:val="000000" w:themeColor="text1"/>
                <w:sz w:val="22"/>
                <w:szCs w:val="22"/>
                <w:lang w:val="fr-CA"/>
              </w:rPr>
              <w:br/>
            </w:r>
            <w:r w:rsidRPr="00B57B08">
              <w:rPr>
                <w:color w:val="000000" w:themeColor="text1"/>
                <w:sz w:val="22"/>
                <w:szCs w:val="22"/>
                <w:lang w:val="fr-CA"/>
              </w:rPr>
              <w:br/>
            </w:r>
            <w:r>
              <w:rPr>
                <w:color w:val="000000" w:themeColor="text1"/>
                <w:sz w:val="22"/>
                <w:szCs w:val="22"/>
                <w:lang w:val="fr-CA"/>
              </w:rPr>
              <w:t xml:space="preserve">Le </w:t>
            </w:r>
            <w:r w:rsidRPr="00B57B08">
              <w:rPr>
                <w:color w:val="000000" w:themeColor="text1"/>
                <w:sz w:val="22"/>
                <w:szCs w:val="22"/>
                <w:lang w:val="fr-CA"/>
              </w:rPr>
              <w:t>SEDI</w:t>
            </w:r>
            <w:r>
              <w:rPr>
                <w:color w:val="000000" w:themeColor="text1"/>
                <w:sz w:val="22"/>
                <w:szCs w:val="22"/>
                <w:lang w:val="fr-CA"/>
              </w:rPr>
              <w:t xml:space="preserve"> négocie avec des donateurs</w:t>
            </w:r>
            <w:r w:rsidRPr="00B57B08">
              <w:rPr>
                <w:color w:val="000000" w:themeColor="text1"/>
                <w:sz w:val="22"/>
                <w:szCs w:val="22"/>
                <w:lang w:val="fr-CA"/>
              </w:rPr>
              <w:t xml:space="preserve">* </w:t>
            </w:r>
            <w:r>
              <w:rPr>
                <w:color w:val="000000" w:themeColor="text1"/>
                <w:sz w:val="22"/>
                <w:szCs w:val="22"/>
                <w:lang w:val="fr-CA"/>
              </w:rPr>
              <w:t xml:space="preserve">pour renforcer les capacités des pays participant aux projets hydriques du SEDI </w:t>
            </w:r>
            <w:r w:rsidRPr="00B57B08">
              <w:rPr>
                <w:color w:val="000000" w:themeColor="text1"/>
                <w:sz w:val="22"/>
                <w:szCs w:val="22"/>
                <w:lang w:val="fr-CA"/>
              </w:rPr>
              <w:t>(</w:t>
            </w:r>
            <w:r>
              <w:rPr>
                <w:color w:val="000000" w:themeColor="text1"/>
                <w:sz w:val="22"/>
                <w:szCs w:val="22"/>
                <w:lang w:val="fr-CA"/>
              </w:rPr>
              <w:t>aux fleuves</w:t>
            </w:r>
            <w:r w:rsidRPr="00B57B08">
              <w:rPr>
                <w:color w:val="000000" w:themeColor="text1"/>
                <w:sz w:val="22"/>
                <w:szCs w:val="22"/>
                <w:lang w:val="fr-CA"/>
              </w:rPr>
              <w:t xml:space="preserve"> Bravo, La Plata</w:t>
            </w:r>
            <w:r>
              <w:rPr>
                <w:color w:val="000000" w:themeColor="text1"/>
                <w:sz w:val="22"/>
                <w:szCs w:val="22"/>
                <w:lang w:val="fr-CA"/>
              </w:rPr>
              <w:t xml:space="preserve"> et dans la région de Trifinio</w:t>
            </w:r>
            <w:r w:rsidRPr="00B57B08">
              <w:rPr>
                <w:color w:val="000000" w:themeColor="text1"/>
                <w:sz w:val="22"/>
                <w:szCs w:val="22"/>
                <w:lang w:val="fr-CA"/>
              </w:rPr>
              <w:t>),</w:t>
            </w:r>
            <w:r>
              <w:rPr>
                <w:color w:val="000000" w:themeColor="text1"/>
                <w:sz w:val="22"/>
                <w:szCs w:val="22"/>
                <w:lang w:val="fr-CA"/>
              </w:rPr>
              <w:t xml:space="preserve"> lesquels ont une incidence direct sur la mitigation de la crise de la crise de la</w:t>
            </w:r>
            <w:r w:rsidRPr="00B57B08">
              <w:rPr>
                <w:color w:val="000000" w:themeColor="text1"/>
                <w:sz w:val="22"/>
                <w:szCs w:val="22"/>
                <w:lang w:val="fr-CA"/>
              </w:rPr>
              <w:t xml:space="preserve"> COVID-19</w:t>
            </w:r>
            <w:r>
              <w:rPr>
                <w:color w:val="000000" w:themeColor="text1"/>
                <w:sz w:val="22"/>
                <w:szCs w:val="22"/>
                <w:lang w:val="fr-CA"/>
              </w:rPr>
              <w:t xml:space="preserve"> en se préparant pour les saisons sèches</w:t>
            </w:r>
            <w:r w:rsidRPr="00B57B08">
              <w:rPr>
                <w:color w:val="000000" w:themeColor="text1"/>
                <w:sz w:val="22"/>
                <w:szCs w:val="22"/>
                <w:lang w:val="fr-CA"/>
              </w:rPr>
              <w:t xml:space="preserve"> </w:t>
            </w:r>
            <w:r>
              <w:rPr>
                <w:color w:val="000000" w:themeColor="text1"/>
                <w:sz w:val="22"/>
                <w:szCs w:val="22"/>
                <w:lang w:val="fr-CA"/>
              </w:rPr>
              <w:t>ou de sécheresse, quand une quantité moindre d’eau est disponible pour le lavage des mains</w:t>
            </w:r>
            <w:r w:rsidRPr="00B57B08">
              <w:rPr>
                <w:color w:val="000000" w:themeColor="text1"/>
                <w:sz w:val="22"/>
                <w:szCs w:val="22"/>
                <w:lang w:val="fr-CA"/>
              </w:rPr>
              <w:t xml:space="preserve"> (*Global environment facility (GEF),</w:t>
            </w:r>
            <w:r>
              <w:rPr>
                <w:color w:val="000000" w:themeColor="text1"/>
                <w:sz w:val="22"/>
                <w:szCs w:val="22"/>
                <w:lang w:val="fr-CA"/>
              </w:rPr>
              <w:t xml:space="preserve"> Association andine de développement</w:t>
            </w:r>
            <w:r w:rsidRPr="00B57B08">
              <w:rPr>
                <w:color w:val="000000" w:themeColor="text1"/>
                <w:sz w:val="22"/>
                <w:szCs w:val="22"/>
                <w:lang w:val="fr-CA"/>
              </w:rPr>
              <w:t>,</w:t>
            </w:r>
            <w:r>
              <w:rPr>
                <w:color w:val="000000" w:themeColor="text1"/>
                <w:sz w:val="22"/>
                <w:szCs w:val="22"/>
                <w:lang w:val="fr-CA"/>
              </w:rPr>
              <w:t xml:space="preserve"> et </w:t>
            </w:r>
            <w:r>
              <w:rPr>
                <w:color w:val="000000" w:themeColor="text1"/>
                <w:sz w:val="22"/>
                <w:szCs w:val="22"/>
                <w:lang w:val="fr-CA"/>
              </w:rPr>
              <w:lastRenderedPageBreak/>
              <w:t>Programme des Nations Unies pour le développement</w:t>
            </w:r>
            <w:r w:rsidRPr="00B57B08">
              <w:rPr>
                <w:color w:val="000000" w:themeColor="text1"/>
                <w:sz w:val="22"/>
                <w:szCs w:val="22"/>
                <w:lang w:val="fr-CA"/>
              </w:rPr>
              <w:t>).</w:t>
            </w:r>
          </w:p>
        </w:tc>
      </w:tr>
      <w:tr w:rsidR="005D65E0" w:rsidRPr="005C1AAB" w:rsidTr="001F5AA6">
        <w:trPr>
          <w:trHeight w:val="1193"/>
        </w:trPr>
        <w:tc>
          <w:tcPr>
            <w:tcW w:w="3438"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Élaboration d’un plan directeur sur l’infrastructure hydraulique stratégique </w:t>
            </w:r>
            <w:r w:rsidRPr="00B57B08">
              <w:rPr>
                <w:color w:val="000000" w:themeColor="text1"/>
                <w:sz w:val="22"/>
                <w:szCs w:val="22"/>
                <w:lang w:val="fr-CA"/>
              </w:rPr>
              <w:t>(</w:t>
            </w:r>
            <w:r>
              <w:rPr>
                <w:color w:val="000000" w:themeColor="text1"/>
                <w:sz w:val="22"/>
                <w:szCs w:val="22"/>
                <w:lang w:val="fr-CA"/>
              </w:rPr>
              <w:t xml:space="preserve">usines d’eau </w:t>
            </w:r>
            <w:r w:rsidRPr="00B57B08">
              <w:rPr>
                <w:color w:val="000000" w:themeColor="text1"/>
                <w:sz w:val="22"/>
                <w:szCs w:val="22"/>
                <w:lang w:val="fr-CA"/>
              </w:rPr>
              <w:t>potable</w:t>
            </w:r>
            <w:r>
              <w:rPr>
                <w:color w:val="000000" w:themeColor="text1"/>
                <w:sz w:val="22"/>
                <w:szCs w:val="22"/>
                <w:lang w:val="fr-CA"/>
              </w:rPr>
              <w:t xml:space="preserve"> et de traitement </w:t>
            </w:r>
            <w:r>
              <w:rPr>
                <w:color w:val="000000" w:themeColor="text1"/>
                <w:sz w:val="22"/>
                <w:szCs w:val="22"/>
                <w:lang w:val="fr-CA"/>
              </w:rPr>
              <w:lastRenderedPageBreak/>
              <w:t>des eaux</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3438"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de scénarios pour des bilans et pour des contrats à terme sur l’eau</w:t>
            </w:r>
            <w:r w:rsidRPr="00B57B08">
              <w:rPr>
                <w:color w:val="000000" w:themeColor="text1"/>
                <w:sz w:val="22"/>
                <w:szCs w:val="22"/>
                <w:lang w:val="fr-CA"/>
              </w:rPr>
              <w:t xml:space="preserve"> </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3438"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Création d’un modèle de partenariats public-privé et d’un portefeuille d’investissements à partir du Plan d’action stratégique (celui de Global Environment Facility (</w:t>
            </w:r>
            <w:r w:rsidRPr="00B57B08">
              <w:rPr>
                <w:color w:val="000000" w:themeColor="text1"/>
                <w:sz w:val="22"/>
                <w:szCs w:val="22"/>
                <w:lang w:val="fr-CA"/>
              </w:rPr>
              <w:t>GEF</w:t>
            </w:r>
            <w:r>
              <w:rPr>
                <w:color w:val="000000" w:themeColor="text1"/>
                <w:sz w:val="22"/>
                <w:szCs w:val="22"/>
                <w:lang w:val="fr-CA"/>
              </w:rPr>
              <w:t>)</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Tenue d’ateliers régionaux, de conférences visant le partage de connaissances et réalisation d’apprentissage à distance</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Présentation de stratégies régionales visant la conservation et l’utilisation durable de ressources marines</w:t>
            </w:r>
            <w:r w:rsidRPr="00B57B08">
              <w:rPr>
                <w:color w:val="000000" w:themeColor="text1"/>
                <w:sz w:val="22"/>
                <w:szCs w:val="22"/>
                <w:lang w:val="fr-CA"/>
              </w:rPr>
              <w:t xml:space="preserve"> (</w:t>
            </w:r>
            <w:r>
              <w:rPr>
                <w:color w:val="000000" w:themeColor="text1"/>
                <w:sz w:val="22"/>
                <w:szCs w:val="22"/>
                <w:lang w:val="fr-CA"/>
              </w:rPr>
              <w:t>économie bleue</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110"/>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d’un ordre du jour commun sur la gestion de l’eau avec des organismes politiques sous-régionaux </w:t>
            </w:r>
            <w:r w:rsidRPr="00B57B08">
              <w:rPr>
                <w:color w:val="000000" w:themeColor="text1"/>
                <w:sz w:val="22"/>
                <w:szCs w:val="22"/>
                <w:lang w:val="fr-CA"/>
              </w:rPr>
              <w:t>:</w:t>
            </w: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Conception et mise en œuvre d’un modèle de partenariat public-privé pour l’eau potable et le traitement des eaux </w:t>
            </w:r>
            <w:r w:rsidRPr="00B57B08">
              <w:rPr>
                <w:color w:val="000000" w:themeColor="text1"/>
                <w:sz w:val="22"/>
                <w:szCs w:val="22"/>
                <w:lang w:val="fr-CA"/>
              </w:rPr>
              <w:t>(</w:t>
            </w:r>
            <w:r>
              <w:rPr>
                <w:color w:val="000000" w:themeColor="text1"/>
                <w:sz w:val="22"/>
                <w:szCs w:val="22"/>
                <w:lang w:val="fr-CA"/>
              </w:rPr>
              <w:t>Santé et santé humaine</w:t>
            </w:r>
            <w:r w:rsidRPr="00B57B08">
              <w:rPr>
                <w:color w:val="000000" w:themeColor="text1"/>
                <w:sz w:val="22"/>
                <w:szCs w:val="22"/>
                <w:lang w:val="fr-CA"/>
              </w:rPr>
              <w:t>)</w:t>
            </w:r>
            <w:r>
              <w:rPr>
                <w:color w:val="000000" w:themeColor="text1"/>
                <w:sz w:val="22"/>
                <w:szCs w:val="22"/>
                <w:lang w:val="fr-CA"/>
              </w:rPr>
              <w:t xml:space="preserve"> au sein de l’OEA</w:t>
            </w:r>
            <w:r w:rsidRPr="00B57B08">
              <w:rPr>
                <w:color w:val="000000" w:themeColor="text1"/>
                <w:sz w:val="22"/>
                <w:szCs w:val="22"/>
                <w:lang w:val="fr-CA"/>
              </w:rPr>
              <w:t xml:space="preserve">; </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Mise en œuvre d’un mécanisme virtuel de coordination et de partage d’information sur la gestion des ressources hydriques. </w:t>
            </w: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de lignes directrices en matière d’eau et de cybersécurité pour des institutions d’eau potable et de traitement des eaux</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110"/>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Dialogue</w:t>
            </w:r>
            <w:r>
              <w:rPr>
                <w:color w:val="000000" w:themeColor="text1"/>
                <w:sz w:val="22"/>
                <w:szCs w:val="22"/>
                <w:lang w:val="fr-CA"/>
              </w:rPr>
              <w:t xml:space="preserve"> avec des partenaires mondiaux et régionaux dans le domaine de l’eau : ONG, secteur privé et secteur universitaire pour identifier des occasions d’aider les </w:t>
            </w:r>
            <w:r>
              <w:rPr>
                <w:color w:val="000000" w:themeColor="text1"/>
                <w:sz w:val="22"/>
                <w:szCs w:val="22"/>
                <w:lang w:val="fr-CA"/>
              </w:rPr>
              <w:lastRenderedPageBreak/>
              <w:t>États membres à faire face à leurs défis relatifs à l’eau</w:t>
            </w:r>
            <w:r w:rsidRPr="00B57B08">
              <w:rPr>
                <w:color w:val="000000" w:themeColor="text1"/>
                <w:sz w:val="22"/>
                <w:szCs w:val="22"/>
                <w:lang w:val="fr-CA"/>
              </w:rPr>
              <w:t>.</w:t>
            </w: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d’accords techniques et de protocoles de travail sur la gestion des eaux</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lastRenderedPageBreak/>
              <w:t>Conception et mise en œuvre de programmes multidisciplinaires visant à accroitre la participation de la population, en particulier les femmes, les jeunes et les groupes autochtones à des initiatives nationales et régionales sur l’eau, dont l’adaptation au changement climatique</w:t>
            </w:r>
            <w:r w:rsidRPr="00B57B08">
              <w:rPr>
                <w:color w:val="000000" w:themeColor="text1"/>
                <w:sz w:val="22"/>
                <w:szCs w:val="22"/>
                <w:lang w:val="fr-CA"/>
              </w:rPr>
              <w:t>.</w:t>
            </w: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Accroissement de la participation de la population à des initiatives nationales et régionales relatives à l’eau, dont l’application au changement climatique</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Mesures préalables visant à permettre au SG/OEA d’avoir accès à des ressources du </w:t>
            </w:r>
            <w:r w:rsidRPr="00B57B08">
              <w:rPr>
                <w:color w:val="000000" w:themeColor="text1"/>
                <w:sz w:val="22"/>
                <w:szCs w:val="22"/>
                <w:lang w:val="fr-CA"/>
              </w:rPr>
              <w:t>Green Climate Fund (GCF)</w:t>
            </w:r>
            <w:r>
              <w:rPr>
                <w:color w:val="000000" w:themeColor="text1"/>
                <w:sz w:val="22"/>
                <w:szCs w:val="22"/>
                <w:lang w:val="fr-CA"/>
              </w:rPr>
              <w:t xml:space="preserve"> ainsi que d’autres organisations et mécanismes de financement</w:t>
            </w:r>
            <w:r w:rsidRPr="00B57B08">
              <w:rPr>
                <w:color w:val="000000" w:themeColor="text1"/>
                <w:sz w:val="22"/>
                <w:szCs w:val="22"/>
                <w:lang w:val="fr-CA"/>
              </w:rPr>
              <w:t>.</w:t>
            </w:r>
          </w:p>
        </w:tc>
        <w:tc>
          <w:tcPr>
            <w:tcW w:w="324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Établissement de nouveaux partenariats stratégiques avec des partenaires internationaux et extension de partenariats stratégiques actuels</w:t>
            </w:r>
            <w:r w:rsidRPr="00B57B08">
              <w:rPr>
                <w:color w:val="000000" w:themeColor="text1"/>
                <w:sz w:val="22"/>
                <w:szCs w:val="22"/>
                <w:lang w:val="fr-CA"/>
              </w:rPr>
              <w:t>.</w:t>
            </w:r>
          </w:p>
        </w:tc>
        <w:tc>
          <w:tcPr>
            <w:tcW w:w="2160" w:type="dxa"/>
            <w:vMerge/>
            <w:tcBorders>
              <w:top w:val="nil"/>
              <w:left w:val="single" w:sz="4" w:space="0" w:color="auto"/>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tcBorders>
              <w:top w:val="nil"/>
              <w:left w:val="single" w:sz="4" w:space="0" w:color="auto"/>
              <w:bottom w:val="single" w:sz="4" w:space="0" w:color="000000"/>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78"/>
        </w:trPr>
        <w:tc>
          <w:tcPr>
            <w:tcW w:w="3438" w:type="dxa"/>
            <w:tcBorders>
              <w:top w:val="single" w:sz="4" w:space="0" w:color="auto"/>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179" w:type="dxa"/>
            <w:gridSpan w:val="4"/>
            <w:tcBorders>
              <w:top w:val="single" w:sz="4" w:space="0" w:color="auto"/>
              <w:left w:val="nil"/>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 xml:space="preserve">.4. Renforcer les capacités des États membres dans le domaine des villes et communautés durables en accord avec les buts et les mesures stratégiques énoncés dans la </w:t>
            </w:r>
            <w:r w:rsidRPr="00B57B08">
              <w:rPr>
                <w:b/>
                <w:bCs/>
                <w:color w:val="000000" w:themeColor="text1"/>
                <w:sz w:val="22"/>
                <w:szCs w:val="22"/>
                <w:lang w:val="fr-CA"/>
              </w:rPr>
              <w:t xml:space="preserve">section 3.4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B57B08" w:rsidTr="001F5AA6">
        <w:trPr>
          <w:trHeight w:val="278"/>
        </w:trPr>
        <w:tc>
          <w:tcPr>
            <w:tcW w:w="1461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Villes durables </w:t>
            </w:r>
            <w:r w:rsidRPr="00B57B08">
              <w:rPr>
                <w:b/>
                <w:bCs/>
                <w:color w:val="000000" w:themeColor="text1"/>
                <w:sz w:val="22"/>
                <w:szCs w:val="22"/>
                <w:lang w:val="fr-CA"/>
              </w:rPr>
              <w:t>:</w:t>
            </w:r>
          </w:p>
        </w:tc>
      </w:tr>
      <w:tr w:rsidR="005D65E0" w:rsidRPr="005C1AAB" w:rsidTr="001F5AA6">
        <w:trPr>
          <w:trHeight w:val="2843"/>
        </w:trPr>
        <w:tc>
          <w:tcPr>
            <w:tcW w:w="3438" w:type="dxa"/>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contextualSpacing/>
              <w:rPr>
                <w:color w:val="000000" w:themeColor="text1"/>
                <w:sz w:val="22"/>
                <w:szCs w:val="22"/>
                <w:lang w:val="fr-CA"/>
              </w:rPr>
            </w:pPr>
            <w:r>
              <w:rPr>
                <w:color w:val="000000" w:themeColor="text1"/>
                <w:sz w:val="22"/>
                <w:szCs w:val="22"/>
                <w:lang w:val="fr-CA"/>
              </w:rPr>
              <w:t xml:space="preserve">Formation de fonctionnaires et de jeunes sur les façons d’amener des changements pour obtenir des villes et des communautés durables </w:t>
            </w:r>
          </w:p>
        </w:tc>
        <w:tc>
          <w:tcPr>
            <w:tcW w:w="3240" w:type="dxa"/>
            <w:tcBorders>
              <w:top w:val="nil"/>
              <w:left w:val="nil"/>
              <w:bottom w:val="single" w:sz="4" w:space="0" w:color="auto"/>
              <w:right w:val="single" w:sz="4" w:space="0" w:color="auto"/>
            </w:tcBorders>
            <w:shd w:val="clear" w:color="auto" w:fill="auto"/>
            <w:hideMark/>
          </w:tcPr>
          <w:p w:rsidR="005D65E0" w:rsidRDefault="005D65E0" w:rsidP="001F5AA6">
            <w:pPr>
              <w:rPr>
                <w:rFonts w:cs="Tahoma"/>
                <w:color w:val="000000" w:themeColor="text1"/>
                <w:sz w:val="22"/>
                <w:szCs w:val="22"/>
                <w:lang w:val="fr-CA"/>
              </w:rPr>
            </w:pPr>
            <w:r>
              <w:rPr>
                <w:rFonts w:cs="Tahoma"/>
                <w:color w:val="000000" w:themeColor="text1"/>
                <w:sz w:val="22"/>
                <w:szCs w:val="22"/>
                <w:lang w:val="fr-CA"/>
              </w:rPr>
              <w:t>Appuyer les États membres dans les efforts qu’ils déploient pour mettre en œuvre des approches intégrées dans des milieux urbains, en abordant des défis en matière de transport et de mobilité, d’efficience énergétique, d’eau et de traitement des eaux, de gestion des déchets, de santé et d’éducation, en facilitant la redondance et la résilience des services de base, en protégeant les écosystèmes urbain et en apportant des solutions socialement inclusives</w:t>
            </w:r>
            <w:r w:rsidRPr="00B57B08">
              <w:rPr>
                <w:rFonts w:cs="Tahoma"/>
                <w:color w:val="000000" w:themeColor="text1"/>
                <w:sz w:val="22"/>
                <w:szCs w:val="22"/>
                <w:lang w:val="fr-CA"/>
              </w:rPr>
              <w:t>.</w:t>
            </w:r>
          </w:p>
          <w:p w:rsidR="005C1AAB" w:rsidRPr="00B57B08" w:rsidRDefault="005C1AAB" w:rsidP="001F5AA6">
            <w:pPr>
              <w:rPr>
                <w:color w:val="000000" w:themeColor="text1"/>
                <w:sz w:val="22"/>
                <w:szCs w:val="22"/>
                <w:lang w:val="fr-CA"/>
              </w:rPr>
            </w:pPr>
          </w:p>
        </w:tc>
        <w:tc>
          <w:tcPr>
            <w:tcW w:w="2970"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Révision des dispositions relatives à un cours en ligne ouvert à tous sur les villes durables et à un projet à cet égard.  </w:t>
            </w:r>
          </w:p>
        </w:tc>
        <w:tc>
          <w:tcPr>
            <w:tcW w:w="2160" w:type="dxa"/>
            <w:tcBorders>
              <w:top w:val="nil"/>
              <w:left w:val="nil"/>
              <w:bottom w:val="single" w:sz="4" w:space="0" w:color="auto"/>
              <w:right w:val="single" w:sz="4" w:space="0" w:color="auto"/>
            </w:tcBorders>
            <w:shd w:val="clear" w:color="auto" w:fill="auto"/>
            <w:hideMark/>
          </w:tcPr>
          <w:p w:rsidR="005D65E0" w:rsidRPr="00B57B08" w:rsidRDefault="005D65E0" w:rsidP="001F5AA6">
            <w:pPr>
              <w:contextualSpacing/>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Pr>
                <w:color w:val="000000" w:themeColor="text1"/>
                <w:sz w:val="22"/>
                <w:szCs w:val="22"/>
                <w:lang w:val="fr-CA"/>
              </w:rPr>
              <w:t xml:space="preserve"> Portail éducatif des Amériques</w:t>
            </w:r>
            <w:r w:rsidRPr="00B57B08">
              <w:rPr>
                <w:color w:val="000000" w:themeColor="text1"/>
                <w:sz w:val="22"/>
                <w:szCs w:val="22"/>
                <w:lang w:val="fr-CA"/>
              </w:rPr>
              <w:t xml:space="preserve">. </w:t>
            </w:r>
          </w:p>
          <w:p w:rsidR="005D65E0" w:rsidRPr="00B57B08" w:rsidRDefault="005D65E0" w:rsidP="001F5AA6">
            <w:pPr>
              <w:contextualSpacing/>
              <w:rPr>
                <w:color w:val="000000" w:themeColor="text1"/>
                <w:sz w:val="22"/>
                <w:szCs w:val="22"/>
                <w:lang w:val="fr-CA"/>
              </w:rPr>
            </w:pPr>
          </w:p>
          <w:p w:rsidR="005D65E0" w:rsidRPr="00B57B08" w:rsidRDefault="005D65E0" w:rsidP="001F5AA6">
            <w:pPr>
              <w:contextualSpacing/>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w:t>
            </w:r>
            <w:r w:rsidRPr="00B57B08">
              <w:rPr>
                <w:color w:val="000000" w:themeColor="text1"/>
                <w:sz w:val="22"/>
                <w:szCs w:val="22"/>
                <w:lang w:val="fr-CA"/>
              </w:rPr>
              <w:t xml:space="preserve"> GEF,</w:t>
            </w:r>
            <w:r>
              <w:rPr>
                <w:color w:val="000000" w:themeColor="text1"/>
                <w:sz w:val="22"/>
                <w:szCs w:val="22"/>
                <w:lang w:val="fr-CA"/>
              </w:rPr>
              <w:t xml:space="preserve"> tous les domaines d’action ainsi que le programme-choc Villes durables ont été identifiés comme des partenaires potentiels</w:t>
            </w:r>
            <w:r w:rsidRPr="00B57B08">
              <w:rPr>
                <w:color w:val="000000" w:themeColor="text1"/>
                <w:sz w:val="22"/>
                <w:szCs w:val="22"/>
                <w:lang w:val="fr-CA"/>
              </w:rPr>
              <w:t>.</w:t>
            </w:r>
          </w:p>
        </w:tc>
        <w:tc>
          <w:tcPr>
            <w:tcW w:w="280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3438"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OBJECTIF STRATÉGIQUE</w:t>
            </w:r>
          </w:p>
        </w:tc>
        <w:tc>
          <w:tcPr>
            <w:tcW w:w="11179" w:type="dxa"/>
            <w:gridSpan w:val="4"/>
            <w:shd w:val="clear" w:color="auto" w:fill="auto"/>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.5. Renforcer les capacités des États membres dans le domaine de la gestion de l’énergie durable, accordant la priorité à la promotion de l’énergie propre, renouvelable et durable sur le plan environnemental de même qu’à l’efficience énergétique, en accord avec les buts et les mesures stratégiques présentés dans la section 3.5 du</w:t>
            </w:r>
            <w:r w:rsidRPr="00B57B08">
              <w:rPr>
                <w:b/>
                <w:bCs/>
                <w:color w:val="000000" w:themeColor="text1"/>
                <w:sz w:val="22"/>
                <w:szCs w:val="22"/>
                <w:lang w:val="fr-CA"/>
              </w:rPr>
              <w:t xml:space="preserve"> PIDS.</w:t>
            </w:r>
          </w:p>
        </w:tc>
      </w:tr>
      <w:tr w:rsidR="005D65E0" w:rsidRPr="00B57B08"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617" w:type="dxa"/>
            <w:gridSpan w:val="5"/>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Énergie</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0"/>
        </w:trPr>
        <w:tc>
          <w:tcPr>
            <w:tcW w:w="3438" w:type="dxa"/>
            <w:vMerge w:val="restart"/>
            <w:shd w:val="clear" w:color="auto" w:fill="auto"/>
            <w:hideMark/>
          </w:tcPr>
          <w:p w:rsidR="005D65E0" w:rsidRPr="00B57B08" w:rsidRDefault="005D65E0" w:rsidP="001F5AA6">
            <w:pPr>
              <w:rPr>
                <w:color w:val="000000" w:themeColor="text1"/>
                <w:sz w:val="22"/>
                <w:szCs w:val="22"/>
                <w:lang w:val="fr-CA"/>
              </w:rPr>
            </w:pPr>
            <w:r w:rsidRPr="004A3F4C">
              <w:rPr>
                <w:rFonts w:eastAsia="Calibri"/>
                <w:bCs/>
                <w:color w:val="000000" w:themeColor="text1"/>
                <w:sz w:val="22"/>
                <w:szCs w:val="22"/>
                <w:lang w:val="fr-CA"/>
              </w:rPr>
              <w:t>Quatrième Réunion ministérie</w:t>
            </w:r>
            <w:r>
              <w:rPr>
                <w:rFonts w:eastAsia="Calibri"/>
                <w:bCs/>
                <w:color w:val="000000" w:themeColor="text1"/>
                <w:sz w:val="22"/>
                <w:szCs w:val="22"/>
                <w:lang w:val="fr-CA"/>
              </w:rPr>
              <w:t>lle</w:t>
            </w:r>
            <w:r>
              <w:rPr>
                <w:rFonts w:eastAsia="Calibri"/>
                <w:b/>
                <w:bCs/>
                <w:color w:val="000000" w:themeColor="text1"/>
                <w:sz w:val="22"/>
                <w:szCs w:val="22"/>
                <w:lang w:val="fr-CA"/>
              </w:rPr>
              <w:t xml:space="preserve"> de l’énergie et du climat du Partenariat des Amériques sur l’énergie et le climat </w:t>
            </w:r>
            <w:r w:rsidRPr="00B57B08">
              <w:rPr>
                <w:rFonts w:eastAsia="Calibri"/>
                <w:b/>
                <w:bCs/>
                <w:color w:val="000000" w:themeColor="text1"/>
                <w:sz w:val="22"/>
                <w:szCs w:val="22"/>
                <w:lang w:val="fr-CA"/>
              </w:rPr>
              <w:t>(ECPA)</w:t>
            </w:r>
            <w:r w:rsidRPr="00B57B08">
              <w:rPr>
                <w:rFonts w:eastAsia="Calibri"/>
                <w:color w:val="000000" w:themeColor="text1"/>
                <w:sz w:val="22"/>
                <w:szCs w:val="22"/>
                <w:lang w:val="fr-CA"/>
              </w:rPr>
              <w:t xml:space="preserve"> </w:t>
            </w:r>
            <w:r w:rsidRPr="00B57B08">
              <w:rPr>
                <w:rFonts w:eastAsia="Calibri"/>
                <w:color w:val="000000" w:themeColor="text1"/>
                <w:sz w:val="22"/>
                <w:szCs w:val="22"/>
                <w:lang w:val="fr-CA"/>
              </w:rPr>
              <w:br/>
            </w:r>
            <w:r>
              <w:rPr>
                <w:rFonts w:eastAsia="Calibri"/>
                <w:i/>
                <w:iCs/>
                <w:color w:val="000000" w:themeColor="text1"/>
                <w:sz w:val="22"/>
                <w:szCs w:val="22"/>
                <w:lang w:val="fr-CA"/>
              </w:rPr>
              <w:t>(la suite et l’intérêt de l’ECPA devraient être établis lors de la réunion ministérielle</w:t>
            </w:r>
            <w:r w:rsidRPr="00B57B08">
              <w:rPr>
                <w:rFonts w:eastAsia="Calibri"/>
                <w:i/>
                <w:iCs/>
                <w:color w:val="000000" w:themeColor="text1"/>
                <w:sz w:val="22"/>
                <w:szCs w:val="22"/>
                <w:lang w:val="fr-CA"/>
              </w:rPr>
              <w:t>)</w:t>
            </w:r>
          </w:p>
        </w:tc>
        <w:tc>
          <w:tcPr>
            <w:tcW w:w="3240" w:type="dxa"/>
            <w:vMerge w:val="restart"/>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Le prix élevé de l’électricité est la principale menace à la compétitivité économique. Une augmentation de la part de l’énergie renouvelable dans les matrices nationales en matière d’énergie est fondamental si l’on veut améliorer la compétitivité et la résilience des commerces tout en élargissant la résilience économique, sociale et environnementale. Notre niche potentielle : surmonter les barrières en matière de politiques et de réglementations</w:t>
            </w:r>
            <w:r w:rsidRPr="00B57B08">
              <w:rPr>
                <w:color w:val="000000" w:themeColor="text1"/>
                <w:sz w:val="22"/>
                <w:szCs w:val="22"/>
                <w:lang w:val="fr-CA"/>
              </w:rPr>
              <w:t>.</w:t>
            </w:r>
          </w:p>
        </w:tc>
        <w:tc>
          <w:tcPr>
            <w:tcW w:w="297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w:t>
            </w:r>
            <w:r w:rsidRPr="00B57B08">
              <w:rPr>
                <w:color w:val="000000" w:themeColor="text1"/>
                <w:sz w:val="22"/>
                <w:szCs w:val="22"/>
                <w:lang w:val="fr-CA"/>
              </w:rPr>
              <w:t>ECPA</w:t>
            </w:r>
            <w:r>
              <w:rPr>
                <w:color w:val="000000" w:themeColor="text1"/>
                <w:sz w:val="22"/>
                <w:szCs w:val="22"/>
                <w:lang w:val="fr-CA"/>
              </w:rPr>
              <w:t xml:space="preserve"> continuera à identifier et à surmonter les barrières en matière de politiques et de réglementation, et à partager de bonnes pratiques ainsi que des</w:t>
            </w:r>
            <w:r w:rsidRPr="00B57B08">
              <w:rPr>
                <w:color w:val="000000" w:themeColor="text1"/>
                <w:sz w:val="22"/>
                <w:szCs w:val="22"/>
                <w:lang w:val="fr-CA"/>
              </w:rPr>
              <w:t xml:space="preserve"> solutions.</w:t>
            </w:r>
            <w:r>
              <w:rPr>
                <w:color w:val="000000" w:themeColor="text1"/>
                <w:sz w:val="22"/>
                <w:szCs w:val="22"/>
                <w:lang w:val="fr-CA"/>
              </w:rPr>
              <w:t xml:space="preserve"> Aider les États membres à élaborer leur propre réponse, basée sur les besoins et les ressources locaux. Résultats spécifiques attendus :</w:t>
            </w:r>
            <w:r w:rsidRPr="00B57B08">
              <w:rPr>
                <w:color w:val="000000" w:themeColor="text1"/>
                <w:sz w:val="22"/>
                <w:szCs w:val="22"/>
                <w:lang w:val="fr-CA"/>
              </w:rPr>
              <w:t xml:space="preserve"> </w:t>
            </w:r>
          </w:p>
        </w:tc>
        <w:tc>
          <w:tcPr>
            <w:tcW w:w="2160" w:type="dxa"/>
            <w:vMerge w:val="restart"/>
            <w:shd w:val="clear" w:color="auto" w:fill="auto"/>
            <w:hideMark/>
          </w:tcPr>
          <w:p w:rsidR="005D65E0" w:rsidRPr="00B57B08" w:rsidRDefault="005D65E0" w:rsidP="001F5AA6">
            <w:pPr>
              <w:contextualSpacing/>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w:t>
            </w:r>
            <w:r w:rsidRPr="00B57B08">
              <w:rPr>
                <w:b/>
                <w:bCs/>
                <w:color w:val="000000" w:themeColor="text1"/>
                <w:sz w:val="22"/>
                <w:szCs w:val="22"/>
                <w:lang w:val="fr-CA"/>
              </w:rPr>
              <w:t xml:space="preserve"> (O</w:t>
            </w:r>
            <w:r>
              <w:rPr>
                <w:b/>
                <w:bCs/>
                <w:color w:val="000000" w:themeColor="text1"/>
                <w:sz w:val="22"/>
                <w:szCs w:val="22"/>
                <w:lang w:val="fr-CA"/>
              </w:rPr>
              <w:t>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Pr>
                <w:color w:val="000000" w:themeColor="text1"/>
                <w:sz w:val="22"/>
                <w:szCs w:val="22"/>
                <w:lang w:val="fr-CA"/>
              </w:rPr>
              <w:t xml:space="preserve"> Le Département de l’énergie durable du SEDI, (possibilité de collaboration avec </w:t>
            </w:r>
            <w:r w:rsidRPr="00B57B08">
              <w:rPr>
                <w:color w:val="000000" w:themeColor="text1"/>
                <w:sz w:val="22"/>
                <w:szCs w:val="22"/>
                <w:lang w:val="fr-CA"/>
              </w:rPr>
              <w:t>ACF/ACE,</w:t>
            </w:r>
            <w:r>
              <w:rPr>
                <w:color w:val="000000" w:themeColor="text1"/>
                <w:sz w:val="22"/>
                <w:szCs w:val="22"/>
                <w:lang w:val="fr-CA"/>
              </w:rPr>
              <w:t xml:space="preserve"> réunion ministérielle de science et de technologie et petits centres d’affaires</w:t>
            </w:r>
            <w:r w:rsidRPr="00B57B08">
              <w:rPr>
                <w:color w:val="000000" w:themeColor="text1"/>
                <w:sz w:val="22"/>
                <w:szCs w:val="22"/>
                <w:lang w:val="fr-CA"/>
              </w:rPr>
              <w:t xml:space="preserve">), CICTE. </w:t>
            </w:r>
          </w:p>
          <w:p w:rsidR="005D65E0" w:rsidRPr="00B57B08" w:rsidRDefault="005D65E0" w:rsidP="001F5AA6">
            <w:pPr>
              <w:contextualSpacing/>
              <w:rPr>
                <w:color w:val="000000" w:themeColor="text1"/>
                <w:sz w:val="22"/>
                <w:szCs w:val="22"/>
                <w:lang w:val="fr-CA"/>
              </w:rPr>
            </w:pPr>
          </w:p>
          <w:p w:rsidR="005D65E0" w:rsidRPr="00B57B08" w:rsidRDefault="005D65E0" w:rsidP="001F5AA6">
            <w:pPr>
              <w:contextualSpacing/>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w:t>
            </w:r>
            <w:r w:rsidRPr="00B57B08">
              <w:rPr>
                <w:color w:val="000000" w:themeColor="text1"/>
                <w:sz w:val="22"/>
                <w:szCs w:val="22"/>
                <w:lang w:val="fr-CA"/>
              </w:rPr>
              <w:t xml:space="preserve"> </w:t>
            </w:r>
            <w:r w:rsidRPr="00D054B5">
              <w:rPr>
                <w:i/>
                <w:color w:val="000000" w:themeColor="text1"/>
                <w:sz w:val="22"/>
                <w:szCs w:val="22"/>
                <w:lang w:val="fr-CA"/>
              </w:rPr>
              <w:t>Compete Caribbean</w:t>
            </w:r>
            <w:r>
              <w:rPr>
                <w:color w:val="000000" w:themeColor="text1"/>
                <w:sz w:val="22"/>
                <w:szCs w:val="22"/>
                <w:lang w:val="fr-CA"/>
              </w:rPr>
              <w:t>, de la BID, est un partenaire potentiel</w:t>
            </w:r>
            <w:r w:rsidRPr="00B57B08">
              <w:rPr>
                <w:color w:val="000000" w:themeColor="text1"/>
                <w:sz w:val="22"/>
                <w:szCs w:val="22"/>
                <w:lang w:val="fr-CA"/>
              </w:rPr>
              <w:t>.</w:t>
            </w:r>
          </w:p>
        </w:tc>
        <w:tc>
          <w:tcPr>
            <w:tcW w:w="2809" w:type="dxa"/>
            <w:vMerge w:val="restart"/>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Partage de connaissances et de bonnes pratiques </w:t>
            </w:r>
            <w:r w:rsidRPr="00B57B08">
              <w:rPr>
                <w:b/>
                <w:bCs/>
                <w:color w:val="000000" w:themeColor="text1"/>
                <w:sz w:val="22"/>
                <w:szCs w:val="22"/>
                <w:lang w:val="fr-CA"/>
              </w:rPr>
              <w:t xml:space="preserve">: </w:t>
            </w:r>
            <w:r w:rsidRPr="00B57B08">
              <w:rPr>
                <w:color w:val="000000" w:themeColor="text1"/>
                <w:sz w:val="22"/>
                <w:szCs w:val="22"/>
                <w:lang w:val="fr-CA"/>
              </w:rPr>
              <w:br/>
              <w:t>- Participation</w:t>
            </w:r>
            <w:r>
              <w:rPr>
                <w:color w:val="000000" w:themeColor="text1"/>
                <w:sz w:val="22"/>
                <w:szCs w:val="22"/>
                <w:lang w:val="fr-CA"/>
              </w:rPr>
              <w:t xml:space="preserve"> à des séries de réunions virtuelles, de webinaires et d’ateliers virtuels</w:t>
            </w:r>
            <w:r w:rsidRPr="00B57B08">
              <w:rPr>
                <w:color w:val="000000" w:themeColor="text1"/>
                <w:sz w:val="22"/>
                <w:szCs w:val="22"/>
                <w:lang w:val="fr-CA"/>
              </w:rPr>
              <w:t>.</w:t>
            </w: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438"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97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Élaboration et adoption d’un cadre stratégique et de politiques pour les véhicules électriques </w:t>
            </w:r>
          </w:p>
        </w:tc>
        <w:tc>
          <w:tcPr>
            <w:tcW w:w="216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438"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97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Amélioration de la résilience et de la fiabilité des systèmes énergétiques</w:t>
            </w:r>
          </w:p>
        </w:tc>
        <w:tc>
          <w:tcPr>
            <w:tcW w:w="216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438"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4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97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Renforcement des normes relatives aux électroménagers</w:t>
            </w:r>
          </w:p>
        </w:tc>
        <w:tc>
          <w:tcPr>
            <w:tcW w:w="216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438" w:type="dxa"/>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Vérifications énergétiques. Cybersécurité et énergie</w:t>
            </w:r>
            <w:r w:rsidRPr="00B57B08">
              <w:rPr>
                <w:rFonts w:eastAsia="Calibri"/>
                <w:color w:val="000000" w:themeColor="text1"/>
                <w:sz w:val="22"/>
                <w:szCs w:val="22"/>
                <w:lang w:val="fr-CA"/>
              </w:rPr>
              <w:t xml:space="preserve">.  </w:t>
            </w:r>
          </w:p>
        </w:tc>
        <w:tc>
          <w:tcPr>
            <w:tcW w:w="324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970" w:type="dxa"/>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P</w:t>
            </w:r>
            <w:r>
              <w:rPr>
                <w:color w:val="000000" w:themeColor="text1"/>
                <w:sz w:val="22"/>
                <w:szCs w:val="22"/>
                <w:lang w:val="fr-CA"/>
              </w:rPr>
              <w:t>artenariat inter-secrétariats avec le</w:t>
            </w:r>
            <w:r w:rsidRPr="00B57B08">
              <w:rPr>
                <w:color w:val="000000" w:themeColor="text1"/>
                <w:sz w:val="22"/>
                <w:szCs w:val="22"/>
                <w:lang w:val="fr-CA"/>
              </w:rPr>
              <w:t xml:space="preserve"> CICTE.</w:t>
            </w:r>
          </w:p>
        </w:tc>
        <w:tc>
          <w:tcPr>
            <w:tcW w:w="216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09" w:type="dxa"/>
            <w:vMerge/>
            <w:shd w:val="clear" w:color="auto" w:fill="auto"/>
            <w:vAlign w:val="center"/>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color w:val="000000" w:themeColor="text1"/>
          <w:lang w:val="fr-CA"/>
        </w:rPr>
      </w:pPr>
      <w:r w:rsidRPr="00B57B08">
        <w:rPr>
          <w:color w:val="000000" w:themeColor="text1"/>
          <w:lang w:val="fr-CA"/>
        </w:rPr>
        <w:br w:type="page"/>
      </w:r>
    </w:p>
    <w:tbl>
      <w:tblPr>
        <w:tblW w:w="14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2813"/>
        <w:gridCol w:w="5940"/>
        <w:gridCol w:w="1710"/>
        <w:gridCol w:w="2269"/>
      </w:tblGrid>
      <w:tr w:rsidR="005D65E0" w:rsidRPr="005C1AAB" w:rsidTr="001F5AA6">
        <w:trPr>
          <w:trHeight w:val="278"/>
        </w:trPr>
        <w:tc>
          <w:tcPr>
            <w:tcW w:w="1885"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OBJECTIF STRATÉGIQUE</w:t>
            </w:r>
          </w:p>
        </w:tc>
        <w:tc>
          <w:tcPr>
            <w:tcW w:w="12732" w:type="dxa"/>
            <w:gridSpan w:val="4"/>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2</w:t>
            </w:r>
            <w:r>
              <w:rPr>
                <w:b/>
                <w:bCs/>
                <w:color w:val="000000" w:themeColor="text1"/>
                <w:sz w:val="22"/>
                <w:szCs w:val="22"/>
                <w:lang w:val="fr-CA"/>
              </w:rPr>
              <w:t xml:space="preserve">.6. Renforcement des capacités des États membres d’obtenir des institutions efficiences, effectives, responsables et inclusives qui permettent le développement durable, conformément aux buts et mesures stratégiques énoncés dans la </w:t>
            </w:r>
            <w:r w:rsidRPr="00B57B08">
              <w:rPr>
                <w:b/>
                <w:bCs/>
                <w:color w:val="000000" w:themeColor="text1"/>
                <w:sz w:val="22"/>
                <w:szCs w:val="22"/>
                <w:lang w:val="fr-CA"/>
              </w:rPr>
              <w:t xml:space="preserve">section 3.6 </w:t>
            </w:r>
            <w:r>
              <w:rPr>
                <w:b/>
                <w:bCs/>
                <w:color w:val="000000" w:themeColor="text1"/>
                <w:sz w:val="22"/>
                <w:szCs w:val="22"/>
                <w:lang w:val="fr-CA"/>
              </w:rPr>
              <w:t>du</w:t>
            </w:r>
            <w:r w:rsidRPr="00B57B08">
              <w:rPr>
                <w:b/>
                <w:bCs/>
                <w:color w:val="000000" w:themeColor="text1"/>
                <w:sz w:val="22"/>
                <w:szCs w:val="22"/>
                <w:lang w:val="fr-CA"/>
              </w:rPr>
              <w:t xml:space="preserve"> PIDS.</w:t>
            </w:r>
          </w:p>
        </w:tc>
      </w:tr>
      <w:tr w:rsidR="005D65E0" w:rsidRPr="00B57B08" w:rsidTr="001F5AA6">
        <w:trPr>
          <w:trHeight w:val="278"/>
        </w:trPr>
        <w:tc>
          <w:tcPr>
            <w:tcW w:w="14617" w:type="dxa"/>
            <w:gridSpan w:val="5"/>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Commerce et environnement </w:t>
            </w:r>
            <w:r w:rsidRPr="00B57B08">
              <w:rPr>
                <w:b/>
                <w:bCs/>
                <w:color w:val="000000" w:themeColor="text1"/>
                <w:sz w:val="22"/>
                <w:szCs w:val="22"/>
                <w:lang w:val="fr-CA"/>
              </w:rPr>
              <w:t>:</w:t>
            </w:r>
          </w:p>
        </w:tc>
      </w:tr>
      <w:tr w:rsidR="005D65E0" w:rsidRPr="00B57B08" w:rsidTr="001F5AA6">
        <w:trPr>
          <w:trHeight w:val="1250"/>
        </w:trPr>
        <w:tc>
          <w:tcPr>
            <w:tcW w:w="1885" w:type="dxa"/>
            <w:vMerge w:val="restart"/>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Accord de coopération avec l’Accord de libre-échange entre l’Amérique centrale et la République dominicaine</w:t>
            </w:r>
            <w:r w:rsidRPr="00B57B08">
              <w:rPr>
                <w:rFonts w:eastAsia="Calibri"/>
                <w:b/>
                <w:bCs/>
                <w:color w:val="000000" w:themeColor="text1"/>
                <w:sz w:val="22"/>
                <w:szCs w:val="22"/>
                <w:lang w:val="fr-CA"/>
              </w:rPr>
              <w:t xml:space="preserve"> </w:t>
            </w:r>
          </w:p>
        </w:tc>
        <w:tc>
          <w:tcPr>
            <w:tcW w:w="2813" w:type="dxa"/>
            <w:vMerge w:val="restart"/>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Le commerce respectueux de l’environnement stimule grandement la compétitivité ainsi que la résilience sociale, économique et environnementale. Un plus grand respect des normes environnementales appuyé de façon soutenue par la société civile aide à établir des paramètres clairs qui rendent le commerce possible.  </w:t>
            </w:r>
          </w:p>
        </w:tc>
        <w:tc>
          <w:tcPr>
            <w:tcW w:w="5940" w:type="dxa"/>
            <w:shd w:val="clear" w:color="auto" w:fill="auto"/>
            <w:hideMark/>
          </w:tcPr>
          <w:p w:rsidR="005D65E0" w:rsidRPr="00B57B08" w:rsidRDefault="005D65E0" w:rsidP="001F5AA6">
            <w:pPr>
              <w:spacing w:after="240"/>
              <w:rPr>
                <w:color w:val="000000" w:themeColor="text1"/>
                <w:sz w:val="22"/>
                <w:szCs w:val="22"/>
                <w:lang w:val="fr-CA"/>
              </w:rPr>
            </w:pPr>
            <w:r>
              <w:rPr>
                <w:color w:val="000000" w:themeColor="text1"/>
                <w:sz w:val="22"/>
                <w:szCs w:val="22"/>
                <w:lang w:val="fr-CA"/>
              </w:rPr>
              <w:t xml:space="preserve">Suivi du cadre élaboré pour évaluer la situation des pays dans le programe. </w:t>
            </w:r>
            <w:r>
              <w:rPr>
                <w:color w:val="000000" w:themeColor="text1"/>
                <w:sz w:val="22"/>
                <w:szCs w:val="22"/>
                <w:lang w:val="fr-CA"/>
              </w:rPr>
              <w:br/>
              <w:t xml:space="preserve"> Analyse et compilation de renseignements sur la coopération environnementale et de renseignements complémentaires</w:t>
            </w:r>
            <w:r w:rsidRPr="00B57B08">
              <w:rPr>
                <w:color w:val="000000" w:themeColor="text1"/>
                <w:sz w:val="22"/>
                <w:szCs w:val="22"/>
                <w:lang w:val="fr-CA"/>
              </w:rPr>
              <w:t>.</w:t>
            </w:r>
          </w:p>
        </w:tc>
        <w:tc>
          <w:tcPr>
            <w:tcW w:w="1710" w:type="dxa"/>
            <w:vMerge w:val="restart"/>
            <w:shd w:val="clear" w:color="000000" w:fill="FFFFFF"/>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Interne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Département du développement économique</w:t>
            </w:r>
            <w:r w:rsidRPr="00B57B08">
              <w:rPr>
                <w:color w:val="000000" w:themeColor="text1"/>
                <w:sz w:val="22"/>
                <w:szCs w:val="22"/>
                <w:lang w:val="fr-CA"/>
              </w:rPr>
              <w:t xml:space="preserve">. </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CENPROMYPE</w:t>
            </w:r>
            <w:r w:rsidRPr="00B57B08">
              <w:rPr>
                <w:color w:val="000000" w:themeColor="text1"/>
                <w:sz w:val="22"/>
                <w:szCs w:val="22"/>
                <w:lang w:val="fr-CA"/>
              </w:rPr>
              <w:t xml:space="preserve"> </w:t>
            </w:r>
          </w:p>
        </w:tc>
        <w:tc>
          <w:tcPr>
            <w:tcW w:w="2269" w:type="dxa"/>
            <w:vMerge w:val="restart"/>
            <w:shd w:val="clear" w:color="000000" w:fill="FFFFFF"/>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r>
      <w:tr w:rsidR="005D65E0" w:rsidRPr="005C1AAB" w:rsidTr="001F5AA6">
        <w:trPr>
          <w:trHeight w:val="845"/>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vAlign w:val="center"/>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Conception et réalisation de visites sur les lieux et d’entrevues avec des personnes intéressées dans les pays qui font partie de l’accord de libre-échange CAFTA-DR </w:t>
            </w:r>
            <w:r w:rsidRPr="00B57B08">
              <w:rPr>
                <w:rFonts w:eastAsia="Calibri"/>
                <w:color w:val="000000" w:themeColor="text1"/>
                <w:sz w:val="22"/>
                <w:szCs w:val="22"/>
                <w:lang w:val="fr-CA"/>
              </w:rPr>
              <w:t xml:space="preserve">(Costa Rica, El Salvador, Guatemala, Honduras, </w:t>
            </w:r>
            <w:r>
              <w:rPr>
                <w:rFonts w:eastAsia="Calibri"/>
                <w:color w:val="000000" w:themeColor="text1"/>
                <w:sz w:val="22"/>
                <w:szCs w:val="22"/>
                <w:lang w:val="fr-CA"/>
              </w:rPr>
              <w:t>Nicaragua et République dominicaine</w:t>
            </w:r>
            <w:r w:rsidRPr="00B57B08">
              <w:rPr>
                <w:rFonts w:eastAsia="Calibri"/>
                <w:color w:val="000000" w:themeColor="text1"/>
                <w:sz w:val="22"/>
                <w:szCs w:val="22"/>
                <w:lang w:val="fr-CA"/>
              </w:rPr>
              <w:t xml:space="preserve">) </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241"/>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vAlign w:val="center"/>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Large diffusion des résultats du Programme de coopération environnementale du</w:t>
            </w:r>
            <w:r w:rsidRPr="00B57B08">
              <w:rPr>
                <w:color w:val="000000" w:themeColor="text1"/>
                <w:sz w:val="22"/>
                <w:szCs w:val="22"/>
                <w:lang w:val="fr-CA"/>
              </w:rPr>
              <w:t xml:space="preserve"> CAFTA</w:t>
            </w:r>
            <w:r>
              <w:rPr>
                <w:color w:val="000000" w:themeColor="text1"/>
                <w:sz w:val="22"/>
                <w:szCs w:val="22"/>
                <w:lang w:val="fr-CA"/>
              </w:rPr>
              <w:t>-</w:t>
            </w:r>
            <w:r w:rsidRPr="00B57B08">
              <w:rPr>
                <w:color w:val="000000" w:themeColor="text1"/>
                <w:sz w:val="22"/>
                <w:szCs w:val="22"/>
                <w:lang w:val="fr-CA"/>
              </w:rPr>
              <w:t>DR</w:t>
            </w:r>
            <w:r>
              <w:rPr>
                <w:color w:val="000000" w:themeColor="text1"/>
                <w:sz w:val="22"/>
                <w:szCs w:val="22"/>
                <w:lang w:val="fr-CA"/>
              </w:rPr>
              <w:t xml:space="preserve"> : </w:t>
            </w:r>
            <w:r>
              <w:rPr>
                <w:color w:val="000000" w:themeColor="text1"/>
                <w:sz w:val="22"/>
                <w:szCs w:val="22"/>
                <w:lang w:val="fr-CA"/>
              </w:rPr>
              <w:br/>
              <w:t xml:space="preserve"> Utilisation accrue des médias sociaux et autres médias numériques pour communiquer les résultats</w:t>
            </w:r>
            <w:r w:rsidRPr="00B57B08">
              <w:rPr>
                <w:color w:val="000000" w:themeColor="text1"/>
                <w:sz w:val="22"/>
                <w:szCs w:val="22"/>
                <w:lang w:val="fr-CA"/>
              </w:rPr>
              <w:t>.</w:t>
            </w:r>
            <w:r w:rsidRPr="00B57B08">
              <w:rPr>
                <w:color w:val="000000" w:themeColor="text1"/>
                <w:sz w:val="22"/>
                <w:szCs w:val="22"/>
                <w:lang w:val="fr-CA"/>
              </w:rPr>
              <w:br/>
              <w:t xml:space="preserve"> Pr</w:t>
            </w:r>
            <w:r>
              <w:rPr>
                <w:color w:val="000000" w:themeColor="text1"/>
                <w:sz w:val="22"/>
                <w:szCs w:val="22"/>
                <w:lang w:val="fr-CA"/>
              </w:rPr>
              <w:t>éparation d’infographies ou de visualisation de données qui reflètent les résultats et les réalisations du Programme de coopération environnementale</w:t>
            </w:r>
            <w:r w:rsidRPr="00B57B08">
              <w:rPr>
                <w:color w:val="000000" w:themeColor="text1"/>
                <w:sz w:val="22"/>
                <w:szCs w:val="22"/>
                <w:lang w:val="fr-CA"/>
              </w:rPr>
              <w:t>.</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683"/>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val="restart"/>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Dans le cadre de l’Accord de coopération environnementale, des étudiants recevront une formation qui leur permettra d’évaluer la résilience de PME. Le Centre régional de promotion de la micro, petite et moyenne entreprise (</w:t>
            </w:r>
            <w:r w:rsidRPr="00B57B08">
              <w:rPr>
                <w:color w:val="000000" w:themeColor="text1"/>
                <w:sz w:val="22"/>
                <w:szCs w:val="22"/>
                <w:lang w:val="fr-CA"/>
              </w:rPr>
              <w:t>CENPROMYPE</w:t>
            </w:r>
            <w:r>
              <w:rPr>
                <w:color w:val="000000" w:themeColor="text1"/>
                <w:sz w:val="22"/>
                <w:szCs w:val="22"/>
                <w:lang w:val="fr-CA"/>
              </w:rPr>
              <w:t>) travaille à mettre sur pied un programme d’établissement d’indicateurs de la résilience</w:t>
            </w:r>
            <w:r w:rsidRPr="00B57B08">
              <w:rPr>
                <w:color w:val="000000" w:themeColor="text1"/>
                <w:sz w:val="22"/>
                <w:szCs w:val="22"/>
                <w:lang w:val="fr-CA"/>
              </w:rPr>
              <w:t xml:space="preserve">. </w:t>
            </w: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Formation d’ét</w:t>
            </w:r>
            <w:r w:rsidR="005C1AAB">
              <w:rPr>
                <w:color w:val="000000" w:themeColor="text1"/>
                <w:sz w:val="22"/>
                <w:szCs w:val="22"/>
                <w:lang w:val="fr-CA"/>
              </w:rPr>
              <w:t>udiants pour qu’ils puissent év</w:t>
            </w:r>
            <w:r>
              <w:rPr>
                <w:color w:val="000000" w:themeColor="text1"/>
                <w:sz w:val="22"/>
                <w:szCs w:val="22"/>
                <w:lang w:val="fr-CA"/>
              </w:rPr>
              <w:t>aluer la résilience de PME</w:t>
            </w:r>
            <w:r w:rsidRPr="00B57B08">
              <w:rPr>
                <w:color w:val="000000" w:themeColor="text1"/>
                <w:sz w:val="22"/>
                <w:szCs w:val="22"/>
                <w:lang w:val="fr-CA"/>
              </w:rPr>
              <w:t xml:space="preserve">. </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vAlign w:val="center"/>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Default="005D65E0" w:rsidP="001F5AA6">
            <w:pPr>
              <w:rPr>
                <w:color w:val="000000" w:themeColor="text1"/>
                <w:sz w:val="22"/>
                <w:szCs w:val="22"/>
                <w:lang w:val="fr-CA"/>
              </w:rPr>
            </w:pPr>
            <w:r>
              <w:rPr>
                <w:color w:val="000000" w:themeColor="text1"/>
                <w:sz w:val="22"/>
                <w:szCs w:val="22"/>
                <w:lang w:val="fr-CA"/>
              </w:rPr>
              <w:t>Transfert de l</w:t>
            </w:r>
            <w:r w:rsidRPr="00B57B08">
              <w:rPr>
                <w:color w:val="000000" w:themeColor="text1"/>
                <w:sz w:val="22"/>
                <w:szCs w:val="22"/>
                <w:lang w:val="fr-CA"/>
              </w:rPr>
              <w:t>e</w:t>
            </w:r>
            <w:r>
              <w:rPr>
                <w:color w:val="000000" w:themeColor="text1"/>
                <w:sz w:val="22"/>
                <w:szCs w:val="22"/>
                <w:lang w:val="fr-CA"/>
              </w:rPr>
              <w:t xml:space="preserve">çons tirées à des programmes pour les PME gérés par le Département du développement économique. </w:t>
            </w:r>
          </w:p>
          <w:p w:rsidR="005D65E0" w:rsidRPr="000B2248" w:rsidRDefault="005D65E0" w:rsidP="001F5AA6">
            <w:pPr>
              <w:rPr>
                <w:sz w:val="22"/>
                <w:szCs w:val="22"/>
                <w:lang w:val="fr-CA"/>
              </w:rPr>
            </w:pPr>
          </w:p>
          <w:p w:rsidR="005D65E0" w:rsidRDefault="005D65E0" w:rsidP="001F5AA6">
            <w:pPr>
              <w:rPr>
                <w:sz w:val="22"/>
                <w:szCs w:val="22"/>
                <w:lang w:val="fr-CA"/>
              </w:rPr>
            </w:pPr>
          </w:p>
          <w:p w:rsidR="005D65E0" w:rsidRPr="000B2248" w:rsidRDefault="005D65E0" w:rsidP="001F5AA6">
            <w:pPr>
              <w:jc w:val="center"/>
              <w:rPr>
                <w:sz w:val="22"/>
                <w:szCs w:val="22"/>
                <w:lang w:val="fr-CA"/>
              </w:rPr>
            </w:pP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503"/>
        </w:trPr>
        <w:tc>
          <w:tcPr>
            <w:tcW w:w="1885" w:type="dxa"/>
            <w:vMerge w:val="restart"/>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Accord de libre-échange entre les États-Unis et le Pérou</w:t>
            </w:r>
          </w:p>
        </w:tc>
        <w:tc>
          <w:tcPr>
            <w:tcW w:w="2813" w:type="dxa"/>
            <w:vMerge w:val="restart"/>
            <w:shd w:val="clear" w:color="auto" w:fill="auto"/>
            <w:hideMark/>
          </w:tcPr>
          <w:p w:rsidR="005D65E0" w:rsidRPr="00B57B08"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Appui aux opérations du Secrétariat pour des demandes relatives à des questions portant sur le respect des normes environnementales dans le cadre de l’Accord de libre-échange </w:t>
            </w:r>
          </w:p>
        </w:tc>
        <w:tc>
          <w:tcPr>
            <w:tcW w:w="1710" w:type="dxa"/>
            <w:vMerge w:val="restart"/>
            <w:vAlign w:val="center"/>
            <w:hideMark/>
          </w:tcPr>
          <w:p w:rsidR="005D65E0" w:rsidRPr="00B57B08" w:rsidRDefault="005D65E0" w:rsidP="001F5AA6">
            <w:pPr>
              <w:rPr>
                <w:color w:val="000000" w:themeColor="text1"/>
                <w:sz w:val="22"/>
                <w:szCs w:val="22"/>
                <w:lang w:val="fr-CA"/>
              </w:rPr>
            </w:pPr>
          </w:p>
        </w:tc>
        <w:tc>
          <w:tcPr>
            <w:tcW w:w="2269" w:type="dxa"/>
            <w:vMerge w:val="restart"/>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070"/>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shd w:val="clear" w:color="auto" w:fill="auto"/>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d’un plan stratégique ainsi que d’une stratégie de divulgation des mises à jour : conscientisation plus grande relativement au Secrétariat ainsi qu’à son rôle et ses fonctions, de même qu’au processus continu d’appels d’offres destinés à des personnes intéressées du Pérou et des États-Unis</w:t>
            </w:r>
            <w:r w:rsidRPr="00B57B08">
              <w:rPr>
                <w:color w:val="000000" w:themeColor="text1"/>
                <w:sz w:val="22"/>
                <w:szCs w:val="22"/>
                <w:lang w:val="fr-CA"/>
              </w:rPr>
              <w:t>.</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070"/>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shd w:val="clear" w:color="auto" w:fill="auto"/>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Réception et traitement de soumissions présentées aux termes de l’</w:t>
            </w:r>
            <w:r w:rsidRPr="00B57B08">
              <w:rPr>
                <w:color w:val="000000" w:themeColor="text1"/>
                <w:sz w:val="22"/>
                <w:szCs w:val="22"/>
                <w:lang w:val="fr-CA"/>
              </w:rPr>
              <w:t>article 18.8</w:t>
            </w:r>
            <w:r>
              <w:rPr>
                <w:color w:val="000000" w:themeColor="text1"/>
                <w:sz w:val="22"/>
                <w:szCs w:val="22"/>
                <w:lang w:val="fr-CA"/>
              </w:rPr>
              <w:t xml:space="preserve"> et élaboration de registres sur des faits aux termes de l’</w:t>
            </w:r>
            <w:r w:rsidRPr="00B57B08">
              <w:rPr>
                <w:color w:val="000000" w:themeColor="text1"/>
                <w:sz w:val="22"/>
                <w:szCs w:val="22"/>
                <w:lang w:val="fr-CA"/>
              </w:rPr>
              <w:t>article 18.9</w:t>
            </w:r>
            <w:r>
              <w:rPr>
                <w:color w:val="000000" w:themeColor="text1"/>
                <w:sz w:val="22"/>
                <w:szCs w:val="22"/>
                <w:lang w:val="fr-CA"/>
              </w:rPr>
              <w:t xml:space="preserve"> de l’Accord de coopération environnementale entre les États-Unis et le Pérou</w:t>
            </w:r>
            <w:r w:rsidRPr="00B57B08">
              <w:rPr>
                <w:color w:val="000000" w:themeColor="text1"/>
                <w:sz w:val="22"/>
                <w:szCs w:val="22"/>
                <w:lang w:val="fr-CA"/>
              </w:rPr>
              <w:t>.</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833"/>
        </w:trPr>
        <w:tc>
          <w:tcPr>
            <w:tcW w:w="1885" w:type="dxa"/>
            <w:vMerge/>
            <w:vAlign w:val="center"/>
            <w:hideMark/>
          </w:tcPr>
          <w:p w:rsidR="005D65E0" w:rsidRPr="00B57B08" w:rsidRDefault="005D65E0" w:rsidP="001F5AA6">
            <w:pPr>
              <w:rPr>
                <w:b/>
                <w:bCs/>
                <w:color w:val="000000" w:themeColor="text1"/>
                <w:sz w:val="22"/>
                <w:szCs w:val="22"/>
                <w:lang w:val="fr-CA"/>
              </w:rPr>
            </w:pPr>
          </w:p>
        </w:tc>
        <w:tc>
          <w:tcPr>
            <w:tcW w:w="2813" w:type="dxa"/>
            <w:vMerge/>
            <w:shd w:val="clear" w:color="auto" w:fill="auto"/>
            <w:hideMark/>
          </w:tcPr>
          <w:p w:rsidR="005D65E0" w:rsidRPr="00B57B08" w:rsidRDefault="005D65E0" w:rsidP="001F5AA6">
            <w:pPr>
              <w:rPr>
                <w:color w:val="000000" w:themeColor="text1"/>
                <w:sz w:val="22"/>
                <w:szCs w:val="22"/>
                <w:lang w:val="fr-CA"/>
              </w:rPr>
            </w:pPr>
          </w:p>
        </w:tc>
        <w:tc>
          <w:tcPr>
            <w:tcW w:w="5940" w:type="dxa"/>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Amélioration de la gouvernance en matière environnementale et de la responsabilisation au Pérou et aux États-Unis, en conformité avec l’Accord de libre-échange entre les États-Unis et le Pérou.</w:t>
            </w:r>
          </w:p>
        </w:tc>
        <w:tc>
          <w:tcPr>
            <w:tcW w:w="1710" w:type="dxa"/>
            <w:vMerge/>
            <w:vAlign w:val="center"/>
            <w:hideMark/>
          </w:tcPr>
          <w:p w:rsidR="005D65E0" w:rsidRPr="00B57B08" w:rsidRDefault="005D65E0" w:rsidP="001F5AA6">
            <w:pPr>
              <w:rPr>
                <w:color w:val="000000" w:themeColor="text1"/>
                <w:sz w:val="22"/>
                <w:szCs w:val="22"/>
                <w:lang w:val="fr-CA"/>
              </w:rPr>
            </w:pPr>
          </w:p>
        </w:tc>
        <w:tc>
          <w:tcPr>
            <w:tcW w:w="2269" w:type="dxa"/>
            <w:vMerge/>
            <w:vAlign w:val="center"/>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b/>
          <w:color w:val="000000" w:themeColor="text1"/>
          <w:sz w:val="22"/>
          <w:szCs w:val="22"/>
          <w:u w:val="single"/>
          <w:lang w:val="fr-CA"/>
        </w:rPr>
      </w:pPr>
    </w:p>
    <w:tbl>
      <w:tblPr>
        <w:tblW w:w="14740" w:type="dxa"/>
        <w:tblInd w:w="113" w:type="dxa"/>
        <w:tblLayout w:type="fixed"/>
        <w:tblLook w:val="04A0" w:firstRow="1" w:lastRow="0" w:firstColumn="1" w:lastColumn="0" w:noHBand="0" w:noVBand="1"/>
      </w:tblPr>
      <w:tblGrid>
        <w:gridCol w:w="3100"/>
        <w:gridCol w:w="3160"/>
        <w:gridCol w:w="2880"/>
        <w:gridCol w:w="2900"/>
        <w:gridCol w:w="2700"/>
      </w:tblGrid>
      <w:tr w:rsidR="005D65E0" w:rsidRPr="005C1AAB" w:rsidTr="001F5AA6">
        <w:trPr>
          <w:trHeight w:val="278"/>
        </w:trPr>
        <w:tc>
          <w:tcPr>
            <w:tcW w:w="14740" w:type="dxa"/>
            <w:gridSpan w:val="5"/>
            <w:tcBorders>
              <w:bottom w:val="single" w:sz="4" w:space="0" w:color="000000"/>
            </w:tcBorders>
            <w:shd w:val="clear" w:color="auto" w:fill="auto"/>
            <w:noWrap/>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D</w:t>
            </w:r>
            <w:r>
              <w:rPr>
                <w:b/>
                <w:bCs/>
                <w:color w:val="000000" w:themeColor="text1"/>
                <w:sz w:val="22"/>
                <w:szCs w:val="22"/>
                <w:lang w:val="fr-CA"/>
              </w:rPr>
              <w:t xml:space="preserve">ÉPARTEMENT </w:t>
            </w:r>
            <w:r w:rsidRPr="00B57B08">
              <w:rPr>
                <w:b/>
                <w:bCs/>
                <w:color w:val="000000" w:themeColor="text1"/>
                <w:sz w:val="22"/>
                <w:szCs w:val="22"/>
                <w:lang w:val="fr-CA"/>
              </w:rPr>
              <w:t>/</w:t>
            </w:r>
            <w:r>
              <w:rPr>
                <w:b/>
                <w:bCs/>
                <w:color w:val="000000" w:themeColor="text1"/>
                <w:sz w:val="22"/>
                <w:szCs w:val="22"/>
                <w:lang w:val="fr-CA"/>
              </w:rPr>
              <w:t xml:space="preserve"> </w:t>
            </w:r>
            <w:r w:rsidRPr="00B57B08">
              <w:rPr>
                <w:b/>
                <w:bCs/>
                <w:color w:val="000000" w:themeColor="text1"/>
                <w:sz w:val="22"/>
                <w:szCs w:val="22"/>
                <w:lang w:val="fr-CA"/>
              </w:rPr>
              <w:t>SECTION</w:t>
            </w:r>
            <w:r>
              <w:rPr>
                <w:b/>
                <w:bCs/>
                <w:color w:val="000000" w:themeColor="text1"/>
                <w:sz w:val="22"/>
                <w:szCs w:val="22"/>
                <w:lang w:val="fr-CA"/>
              </w:rPr>
              <w:t> </w:t>
            </w:r>
            <w:r w:rsidRPr="00B57B08">
              <w:rPr>
                <w:b/>
                <w:bCs/>
                <w:color w:val="000000" w:themeColor="text1"/>
                <w:sz w:val="22"/>
                <w:szCs w:val="22"/>
                <w:lang w:val="fr-CA"/>
              </w:rPr>
              <w:t xml:space="preserve">:  </w:t>
            </w:r>
            <w:r>
              <w:rPr>
                <w:b/>
                <w:bCs/>
                <w:color w:val="000000" w:themeColor="text1"/>
                <w:sz w:val="22"/>
                <w:szCs w:val="22"/>
                <w:lang w:val="fr-CA"/>
              </w:rPr>
              <w:t>DÉVELOPPEMENT HUMAIN, ÉDUCATION ET EMPLOI</w:t>
            </w:r>
          </w:p>
          <w:p w:rsidR="005D65E0" w:rsidRPr="00B57B08" w:rsidRDefault="005D65E0" w:rsidP="001F5AA6">
            <w:pPr>
              <w:rPr>
                <w:b/>
                <w:bCs/>
                <w:color w:val="000000" w:themeColor="text1"/>
                <w:sz w:val="22"/>
                <w:szCs w:val="22"/>
                <w:lang w:val="fr-CA"/>
              </w:rPr>
            </w:pPr>
          </w:p>
        </w:tc>
      </w:tr>
      <w:tr w:rsidR="005D65E0" w:rsidRPr="005C1AAB" w:rsidTr="001F5AA6">
        <w:trPr>
          <w:trHeight w:val="810"/>
        </w:trPr>
        <w:tc>
          <w:tcPr>
            <w:tcW w:w="3100"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INITIATIVES / ACTIVIT</w:t>
            </w:r>
            <w:r>
              <w:rPr>
                <w:b/>
                <w:bCs/>
                <w:color w:val="000000" w:themeColor="text1"/>
                <w:sz w:val="22"/>
                <w:szCs w:val="22"/>
                <w:lang w:val="fr-CA"/>
              </w:rPr>
              <w:t>É</w:t>
            </w:r>
            <w:r w:rsidRPr="00B57B08">
              <w:rPr>
                <w:b/>
                <w:bCs/>
                <w:color w:val="000000" w:themeColor="text1"/>
                <w:sz w:val="22"/>
                <w:szCs w:val="22"/>
                <w:lang w:val="fr-CA"/>
              </w:rPr>
              <w:t>S</w:t>
            </w:r>
            <w:r>
              <w:rPr>
                <w:b/>
                <w:bCs/>
                <w:color w:val="000000" w:themeColor="text1"/>
                <w:sz w:val="22"/>
                <w:szCs w:val="22"/>
                <w:lang w:val="fr-CA"/>
              </w:rPr>
              <w:t> </w:t>
            </w:r>
            <w:r w:rsidRPr="00B57B08">
              <w:rPr>
                <w:b/>
                <w:bCs/>
                <w:color w:val="000000" w:themeColor="text1"/>
                <w:sz w:val="22"/>
                <w:szCs w:val="22"/>
                <w:lang w:val="fr-CA"/>
              </w:rPr>
              <w:t>:</w:t>
            </w:r>
          </w:p>
        </w:tc>
        <w:tc>
          <w:tcPr>
            <w:tcW w:w="3160" w:type="dxa"/>
            <w:tcBorders>
              <w:top w:val="single" w:sz="4" w:space="0" w:color="000000"/>
              <w:left w:val="single" w:sz="4" w:space="0" w:color="000000"/>
              <w:bottom w:val="single" w:sz="4" w:space="0" w:color="000000"/>
              <w:right w:val="single" w:sz="4" w:space="0" w:color="000000"/>
            </w:tcBorders>
            <w:shd w:val="clear" w:color="000000" w:fill="D9E2F3"/>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CONTRIBUTION</w:t>
            </w:r>
            <w:r>
              <w:rPr>
                <w:b/>
                <w:bCs/>
                <w:color w:val="000000" w:themeColor="text1"/>
                <w:sz w:val="22"/>
                <w:szCs w:val="22"/>
                <w:lang w:val="fr-CA"/>
              </w:rPr>
              <w:t xml:space="preserve"> À LA RÉSILIENCE ET À LA COMPÉTITIVITÉ</w:t>
            </w:r>
          </w:p>
        </w:tc>
        <w:tc>
          <w:tcPr>
            <w:tcW w:w="2880"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RÉSULTATS / CONCLUSIONS ATTENDUS</w:t>
            </w:r>
            <w:r w:rsidRPr="00B57B08">
              <w:rPr>
                <w:b/>
                <w:bCs/>
                <w:color w:val="000000" w:themeColor="text1"/>
                <w:sz w:val="22"/>
                <w:szCs w:val="22"/>
                <w:lang w:val="fr-CA"/>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w:t>
            </w:r>
            <w:r>
              <w:rPr>
                <w:b/>
                <w:bCs/>
                <w:color w:val="000000" w:themeColor="text1"/>
                <w:sz w:val="22"/>
                <w:szCs w:val="22"/>
                <w:lang w:val="fr-CA"/>
              </w:rPr>
              <w:t>OOPÉ</w:t>
            </w:r>
            <w:r w:rsidRPr="00B57B08">
              <w:rPr>
                <w:b/>
                <w:bCs/>
                <w:color w:val="000000" w:themeColor="text1"/>
                <w:sz w:val="22"/>
                <w:szCs w:val="22"/>
                <w:lang w:val="fr-CA"/>
              </w:rPr>
              <w:t>RATION</w:t>
            </w:r>
            <w:r>
              <w:rPr>
                <w:b/>
                <w:bCs/>
                <w:color w:val="000000" w:themeColor="text1"/>
                <w:sz w:val="22"/>
                <w:szCs w:val="22"/>
                <w:lang w:val="fr-CA"/>
              </w:rPr>
              <w:t xml:space="preserve"> ET PARTENARIATS</w:t>
            </w:r>
          </w:p>
        </w:tc>
        <w:tc>
          <w:tcPr>
            <w:tcW w:w="2700" w:type="dxa"/>
            <w:tcBorders>
              <w:top w:val="single" w:sz="4" w:space="0" w:color="000000"/>
              <w:left w:val="single" w:sz="4" w:space="0" w:color="000000"/>
              <w:bottom w:val="single" w:sz="4" w:space="0" w:color="000000"/>
              <w:right w:val="single" w:sz="4" w:space="0" w:color="000000"/>
            </w:tcBorders>
            <w:shd w:val="clear" w:color="000000" w:fill="FFFF00"/>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RÉPONSE / ADAPTATION À LA </w:t>
            </w:r>
            <w:r w:rsidRPr="00B57B08">
              <w:rPr>
                <w:b/>
                <w:bCs/>
                <w:color w:val="000000" w:themeColor="text1"/>
                <w:sz w:val="22"/>
                <w:szCs w:val="22"/>
                <w:lang w:val="fr-CA"/>
              </w:rPr>
              <w:t xml:space="preserve">COVID19 </w:t>
            </w:r>
          </w:p>
        </w:tc>
      </w:tr>
      <w:tr w:rsidR="005D65E0" w:rsidRPr="005C1AAB" w:rsidTr="001F5AA6">
        <w:trPr>
          <w:trHeight w:val="278"/>
        </w:trPr>
        <w:tc>
          <w:tcPr>
            <w:tcW w:w="3100" w:type="dxa"/>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1640" w:type="dxa"/>
            <w:gridSpan w:val="4"/>
            <w:tcBorders>
              <w:top w:val="single" w:sz="4" w:space="0" w:color="000000"/>
              <w:left w:val="single" w:sz="4" w:space="0" w:color="000000"/>
              <w:bottom w:val="single" w:sz="4" w:space="0" w:color="000000"/>
              <w:right w:val="single" w:sz="4" w:space="0" w:color="000000"/>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w:t>
            </w:r>
            <w:r>
              <w:rPr>
                <w:b/>
                <w:bCs/>
                <w:color w:val="000000" w:themeColor="text1"/>
                <w:sz w:val="22"/>
                <w:szCs w:val="22"/>
                <w:lang w:val="fr-CA"/>
              </w:rPr>
              <w:t>. Promouvoir l’éducation et le développement humain dans les Amériques</w:t>
            </w:r>
            <w:r w:rsidRPr="00B57B08">
              <w:rPr>
                <w:b/>
                <w:bCs/>
                <w:color w:val="000000" w:themeColor="text1"/>
                <w:sz w:val="22"/>
                <w:szCs w:val="22"/>
                <w:lang w:val="fr-CA"/>
              </w:rPr>
              <w:t>.</w:t>
            </w:r>
          </w:p>
        </w:tc>
      </w:tr>
      <w:tr w:rsidR="005D65E0" w:rsidRPr="005C1AAB" w:rsidTr="001F5AA6">
        <w:trPr>
          <w:trHeight w:val="278"/>
        </w:trPr>
        <w:tc>
          <w:tcPr>
            <w:tcW w:w="3100" w:type="dxa"/>
            <w:tcBorders>
              <w:top w:val="single" w:sz="4" w:space="0" w:color="000000"/>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40" w:type="dxa"/>
            <w:gridSpan w:val="4"/>
            <w:tcBorders>
              <w:top w:val="single" w:sz="4" w:space="0" w:color="000000"/>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w:t>
            </w:r>
            <w:r>
              <w:rPr>
                <w:b/>
                <w:bCs/>
                <w:color w:val="000000" w:themeColor="text1"/>
                <w:sz w:val="22"/>
                <w:szCs w:val="22"/>
                <w:lang w:val="fr-CA"/>
              </w:rPr>
              <w:t>.1. Renforcer les capacités institutionnelles des États membres afin qu’ils puissent offrir une éducation de qualité, inclusive et équitable</w:t>
            </w:r>
            <w:r w:rsidRPr="00B57B08">
              <w:rPr>
                <w:b/>
                <w:bCs/>
                <w:color w:val="000000" w:themeColor="text1"/>
                <w:sz w:val="22"/>
                <w:szCs w:val="22"/>
                <w:lang w:val="fr-CA"/>
              </w:rPr>
              <w:t>.</w:t>
            </w:r>
          </w:p>
        </w:tc>
      </w:tr>
      <w:tr w:rsidR="005D65E0" w:rsidRPr="005C1AAB" w:rsidTr="001F5AA6">
        <w:trPr>
          <w:trHeight w:val="420"/>
        </w:trPr>
        <w:tc>
          <w:tcPr>
            <w:tcW w:w="14740" w:type="dxa"/>
            <w:gridSpan w:val="5"/>
            <w:tcBorders>
              <w:top w:val="single" w:sz="4" w:space="0" w:color="auto"/>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Dialogue en matière d’éducation et de politiques </w:t>
            </w:r>
            <w:r w:rsidRPr="00B57B08">
              <w:rPr>
                <w:b/>
                <w:bCs/>
                <w:color w:val="000000" w:themeColor="text1"/>
                <w:sz w:val="22"/>
                <w:szCs w:val="22"/>
                <w:lang w:val="fr-CA"/>
              </w:rPr>
              <w:t xml:space="preserve">: </w:t>
            </w:r>
          </w:p>
        </w:tc>
      </w:tr>
      <w:tr w:rsidR="005D65E0" w:rsidRPr="005C1AAB" w:rsidTr="001F5AA6">
        <w:trPr>
          <w:trHeight w:val="3413"/>
        </w:trPr>
        <w:tc>
          <w:tcPr>
            <w:tcW w:w="3100" w:type="dxa"/>
            <w:vMerge w:val="restart"/>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color w:val="000000" w:themeColor="text1"/>
                <w:sz w:val="22"/>
                <w:szCs w:val="22"/>
                <w:lang w:val="fr-CA"/>
              </w:rPr>
            </w:pPr>
          </w:p>
        </w:tc>
        <w:tc>
          <w:tcPr>
            <w:tcW w:w="3160" w:type="dxa"/>
            <w:tcBorders>
              <w:top w:val="nil"/>
              <w:left w:val="nil"/>
              <w:bottom w:val="single" w:sz="4" w:space="0" w:color="auto"/>
              <w:right w:val="single" w:sz="4" w:space="0" w:color="auto"/>
            </w:tcBorders>
            <w:shd w:val="clear" w:color="000000" w:fill="FFFFFF"/>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Appuyer la mobilité universitaire entre les États membres, aux niveaux régional et international, en partenariat avec l’Institut international de l’UNESCO pour l’enseignement supérieur en Amérique latine et dans les Caraïbes </w:t>
            </w:r>
            <w:r w:rsidRPr="00B57B08">
              <w:rPr>
                <w:color w:val="000000" w:themeColor="text1"/>
                <w:sz w:val="22"/>
                <w:szCs w:val="22"/>
                <w:lang w:val="fr-CA"/>
              </w:rPr>
              <w:t>(IESALC),</w:t>
            </w:r>
            <w:r>
              <w:rPr>
                <w:color w:val="000000" w:themeColor="text1"/>
                <w:sz w:val="22"/>
                <w:szCs w:val="22"/>
                <w:lang w:val="fr-CA"/>
              </w:rPr>
              <w:t xml:space="preserve"> en contribuant particulièrement à faciliter les processus de ratification et de mise en œuvre de l’accord régional et de l’accord mondial sur la reconnaissance des études et des diplômes de l’enseignement supérieur.</w:t>
            </w:r>
          </w:p>
        </w:tc>
        <w:tc>
          <w:tcPr>
            <w:tcW w:w="2880" w:type="dxa"/>
            <w:tcBorders>
              <w:top w:val="nil"/>
              <w:left w:val="nil"/>
              <w:bottom w:val="single" w:sz="4" w:space="0" w:color="auto"/>
              <w:right w:val="single" w:sz="4" w:space="0" w:color="auto"/>
            </w:tcBorders>
            <w:shd w:val="clear" w:color="000000" w:fill="FFFFFF"/>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R</w:t>
            </w:r>
            <w:r>
              <w:rPr>
                <w:color w:val="000000" w:themeColor="text1"/>
                <w:sz w:val="22"/>
                <w:szCs w:val="22"/>
                <w:lang w:val="fr-CA"/>
              </w:rPr>
              <w:t>ap</w:t>
            </w:r>
            <w:r w:rsidRPr="00B57B08">
              <w:rPr>
                <w:color w:val="000000" w:themeColor="text1"/>
                <w:sz w:val="22"/>
                <w:szCs w:val="22"/>
                <w:lang w:val="fr-CA"/>
              </w:rPr>
              <w:t>port</w:t>
            </w:r>
            <w:r>
              <w:rPr>
                <w:color w:val="000000" w:themeColor="text1"/>
                <w:sz w:val="22"/>
                <w:szCs w:val="22"/>
                <w:lang w:val="fr-CA"/>
              </w:rPr>
              <w:t xml:space="preserve"> sur les pays intéressés à adopter et à mettre en œuvre ces cadres pour résoudre des problèmes en matière de migration qui affectent la compétitivité et la résilience des systèmes d’éducation</w:t>
            </w:r>
            <w:r w:rsidRPr="00B57B08">
              <w:rPr>
                <w:color w:val="000000" w:themeColor="text1"/>
                <w:sz w:val="22"/>
                <w:szCs w:val="22"/>
                <w:lang w:val="fr-CA"/>
              </w:rPr>
              <w:t xml:space="preserve"> </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E</w:t>
            </w:r>
            <w:r>
              <w:rPr>
                <w:b/>
                <w:bCs/>
                <w:color w:val="000000" w:themeColor="text1"/>
                <w:sz w:val="22"/>
                <w:szCs w:val="22"/>
                <w:lang w:val="fr-CA"/>
              </w:rPr>
              <w:t>xterne </w:t>
            </w:r>
            <w:r w:rsidRPr="00B57B08">
              <w:rPr>
                <w:b/>
                <w:bCs/>
                <w:color w:val="000000" w:themeColor="text1"/>
                <w:sz w:val="22"/>
                <w:szCs w:val="22"/>
                <w:lang w:val="fr-CA"/>
              </w:rPr>
              <w:t>:</w:t>
            </w:r>
            <w:r>
              <w:rPr>
                <w:color w:val="000000" w:themeColor="text1"/>
                <w:sz w:val="22"/>
                <w:szCs w:val="22"/>
                <w:lang w:val="fr-CA"/>
              </w:rPr>
              <w:t xml:space="preserve"> Institut international de l’UNESCO pour l’enseignement supérieur en Amérique latine et dans les Caraïbes (UNESCO-</w:t>
            </w:r>
            <w:r w:rsidRPr="00B57B08">
              <w:rPr>
                <w:color w:val="000000" w:themeColor="text1"/>
                <w:sz w:val="22"/>
                <w:szCs w:val="22"/>
                <w:lang w:val="fr-CA"/>
              </w:rPr>
              <w:t>IESALC</w:t>
            </w:r>
            <w:r>
              <w:rPr>
                <w:color w:val="000000" w:themeColor="text1"/>
                <w:sz w:val="22"/>
                <w:szCs w:val="22"/>
                <w:lang w:val="fr-CA"/>
              </w:rPr>
              <w:t>)</w:t>
            </w:r>
            <w:r w:rsidRPr="00B57B08">
              <w:rPr>
                <w:color w:val="000000" w:themeColor="text1"/>
                <w:sz w:val="22"/>
                <w:szCs w:val="22"/>
                <w:lang w:val="fr-CA"/>
              </w:rPr>
              <w:t xml:space="preserve">, </w:t>
            </w:r>
            <w:r>
              <w:rPr>
                <w:color w:val="000000" w:themeColor="text1"/>
                <w:sz w:val="22"/>
                <w:szCs w:val="22"/>
                <w:lang w:val="fr-CA"/>
              </w:rPr>
              <w:t>bureau et groupes de travail de la CIE</w:t>
            </w:r>
            <w:r w:rsidRPr="00B57B08">
              <w:rPr>
                <w:color w:val="000000" w:themeColor="text1"/>
                <w:sz w:val="22"/>
                <w:szCs w:val="22"/>
                <w:lang w:val="fr-CA"/>
              </w:rPr>
              <w:t>.</w:t>
            </w:r>
          </w:p>
        </w:tc>
        <w:tc>
          <w:tcPr>
            <w:tcW w:w="2700" w:type="dxa"/>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Partage de connaissances et échange de bonnes pratiques </w:t>
            </w:r>
            <w:r w:rsidRPr="00B57B08">
              <w:rPr>
                <w:b/>
                <w:bCs/>
                <w:color w:val="000000" w:themeColor="text1"/>
                <w:sz w:val="22"/>
                <w:szCs w:val="22"/>
                <w:lang w:val="fr-CA"/>
              </w:rPr>
              <w:t xml:space="preserve">: </w:t>
            </w:r>
            <w:r>
              <w:rPr>
                <w:color w:val="000000" w:themeColor="text1"/>
                <w:sz w:val="22"/>
                <w:szCs w:val="22"/>
                <w:lang w:val="fr-CA"/>
              </w:rPr>
              <w:t xml:space="preserve">Les États membres ont accès à des occasions d’apprendre, de partager des projets, des données d’expériences et d’autres ressources qui peuvent aider à mettre en place, reproduire ou adapter des initiatives visant à affronter les défis plantés par la </w:t>
            </w:r>
            <w:r w:rsidRPr="00B57B08">
              <w:rPr>
                <w:color w:val="000000" w:themeColor="text1"/>
                <w:sz w:val="22"/>
                <w:szCs w:val="22"/>
                <w:lang w:val="fr-CA"/>
              </w:rPr>
              <w:t>COVID-19.</w:t>
            </w:r>
            <w:r w:rsidRPr="00B57B08">
              <w:rPr>
                <w:color w:val="000000" w:themeColor="text1"/>
                <w:sz w:val="22"/>
                <w:szCs w:val="22"/>
                <w:lang w:val="fr-CA"/>
              </w:rPr>
              <w:br/>
            </w:r>
            <w:r w:rsidRPr="00B57B08">
              <w:rPr>
                <w:color w:val="000000" w:themeColor="text1"/>
                <w:sz w:val="22"/>
                <w:szCs w:val="22"/>
                <w:lang w:val="fr-CA"/>
              </w:rPr>
              <w:br/>
              <w:t>- Participation</w:t>
            </w:r>
            <w:r>
              <w:rPr>
                <w:color w:val="000000" w:themeColor="text1"/>
                <w:sz w:val="22"/>
                <w:szCs w:val="22"/>
                <w:lang w:val="fr-CA"/>
              </w:rPr>
              <w:t xml:space="preserve"> à une série de réunions virtuelles, </w:t>
            </w:r>
            <w:r>
              <w:rPr>
                <w:color w:val="000000" w:themeColor="text1"/>
                <w:sz w:val="22"/>
                <w:szCs w:val="22"/>
                <w:lang w:val="fr-CA"/>
              </w:rPr>
              <w:lastRenderedPageBreak/>
              <w:t>webinaires et ateliers virtuels</w:t>
            </w:r>
            <w:r w:rsidRPr="00B57B08">
              <w:rPr>
                <w:color w:val="000000" w:themeColor="text1"/>
                <w:sz w:val="22"/>
                <w:szCs w:val="22"/>
                <w:lang w:val="fr-CA"/>
              </w:rPr>
              <w:t>.</w:t>
            </w:r>
            <w:r w:rsidRPr="00B57B08">
              <w:rPr>
                <w:color w:val="000000" w:themeColor="text1"/>
                <w:sz w:val="22"/>
                <w:szCs w:val="22"/>
                <w:lang w:val="fr-CA"/>
              </w:rPr>
              <w:br/>
              <w:t xml:space="preserve">- </w:t>
            </w:r>
            <w:r w:rsidR="005C1AAB" w:rsidRPr="00B57B08">
              <w:rPr>
                <w:color w:val="000000" w:themeColor="text1"/>
                <w:sz w:val="22"/>
                <w:szCs w:val="22"/>
                <w:lang w:val="fr-CA"/>
              </w:rPr>
              <w:t>Por</w:t>
            </w:r>
            <w:r w:rsidR="005C1AAB">
              <w:rPr>
                <w:color w:val="000000" w:themeColor="text1"/>
                <w:sz w:val="22"/>
                <w:szCs w:val="22"/>
                <w:lang w:val="fr-CA"/>
              </w:rPr>
              <w:t>tefeuille</w:t>
            </w:r>
            <w:r>
              <w:rPr>
                <w:color w:val="000000" w:themeColor="text1"/>
                <w:sz w:val="22"/>
                <w:szCs w:val="22"/>
                <w:lang w:val="fr-CA"/>
              </w:rPr>
              <w:t xml:space="preserve"> de ressources en matière de développement ainsi que de réponses d’États membres à la </w:t>
            </w:r>
            <w:r w:rsidRPr="00B57B08">
              <w:rPr>
                <w:color w:val="000000" w:themeColor="text1"/>
                <w:sz w:val="22"/>
                <w:szCs w:val="22"/>
                <w:lang w:val="fr-CA"/>
              </w:rPr>
              <w:t>COVID-19</w:t>
            </w:r>
            <w:r>
              <w:rPr>
                <w:color w:val="000000" w:themeColor="text1"/>
                <w:sz w:val="22"/>
                <w:szCs w:val="22"/>
                <w:lang w:val="fr-CA"/>
              </w:rPr>
              <w:t xml:space="preserve"> en matière d’éducation</w:t>
            </w:r>
            <w:r w:rsidRPr="00B57B08">
              <w:rPr>
                <w:color w:val="000000" w:themeColor="text1"/>
                <w:sz w:val="22"/>
                <w:szCs w:val="22"/>
                <w:lang w:val="fr-CA"/>
              </w:rPr>
              <w:t>.</w:t>
            </w:r>
          </w:p>
        </w:tc>
      </w:tr>
      <w:tr w:rsidR="005D65E0" w:rsidRPr="005C1AAB" w:rsidTr="001F5AA6">
        <w:trPr>
          <w:trHeight w:val="1665"/>
        </w:trPr>
        <w:tc>
          <w:tcPr>
            <w:tcW w:w="31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160" w:type="dxa"/>
            <w:tcBorders>
              <w:top w:val="nil"/>
              <w:left w:val="nil"/>
              <w:bottom w:val="single" w:sz="4" w:space="0" w:color="auto"/>
              <w:right w:val="single" w:sz="4" w:space="0" w:color="auto"/>
            </w:tcBorders>
            <w:shd w:val="clear" w:color="000000" w:fill="FFFFFF"/>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Faire un sondage sur la pertinence et/ou l’application des concepts de résilience et de compétitivité dans les politiques en matière d’éducation publique</w:t>
            </w:r>
            <w:r w:rsidRPr="00B57B08">
              <w:rPr>
                <w:color w:val="000000" w:themeColor="text1"/>
                <w:sz w:val="22"/>
                <w:szCs w:val="22"/>
                <w:lang w:val="fr-CA"/>
              </w:rPr>
              <w:t>,</w:t>
            </w:r>
            <w:r>
              <w:rPr>
                <w:color w:val="000000" w:themeColor="text1"/>
                <w:sz w:val="22"/>
                <w:szCs w:val="22"/>
                <w:lang w:val="fr-CA"/>
              </w:rPr>
              <w:t xml:space="preserve"> par le biais des mécanismes de dialogue politique et du bureau de la CIE</w:t>
            </w:r>
            <w:r w:rsidRPr="00B57B08">
              <w:rPr>
                <w:color w:val="000000" w:themeColor="text1"/>
                <w:sz w:val="22"/>
                <w:szCs w:val="22"/>
                <w:lang w:val="fr-CA"/>
              </w:rPr>
              <w:t xml:space="preserve">. </w:t>
            </w:r>
          </w:p>
        </w:tc>
        <w:tc>
          <w:tcPr>
            <w:tcW w:w="2880" w:type="dxa"/>
            <w:tcBorders>
              <w:top w:val="nil"/>
              <w:left w:val="nil"/>
              <w:bottom w:val="single" w:sz="4" w:space="0" w:color="auto"/>
              <w:right w:val="single" w:sz="4" w:space="0" w:color="auto"/>
            </w:tcBorders>
            <w:shd w:val="clear" w:color="000000" w:fill="FFFFFF"/>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R</w:t>
            </w:r>
            <w:r>
              <w:rPr>
                <w:color w:val="000000" w:themeColor="text1"/>
                <w:sz w:val="22"/>
                <w:szCs w:val="22"/>
                <w:lang w:val="fr-CA"/>
              </w:rPr>
              <w:t>apport sur l’état de la situation préliminaire de la question dans la région</w:t>
            </w:r>
            <w:r w:rsidRPr="00B57B08">
              <w:rPr>
                <w:color w:val="000000" w:themeColor="text1"/>
                <w:sz w:val="22"/>
                <w:szCs w:val="22"/>
                <w:lang w:val="fr-CA"/>
              </w:rPr>
              <w:t>.</w:t>
            </w:r>
          </w:p>
        </w:tc>
        <w:tc>
          <w:tcPr>
            <w:tcW w:w="29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700"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665"/>
        </w:trPr>
        <w:tc>
          <w:tcPr>
            <w:tcW w:w="3100" w:type="dxa"/>
            <w:tcBorders>
              <w:top w:val="nil"/>
              <w:left w:val="single" w:sz="4" w:space="0" w:color="auto"/>
              <w:bottom w:val="single" w:sz="4" w:space="0" w:color="auto"/>
              <w:right w:val="single" w:sz="4" w:space="0" w:color="auto"/>
            </w:tcBorders>
            <w:vAlign w:val="center"/>
          </w:tcPr>
          <w:p w:rsidR="005D65E0" w:rsidRDefault="005D65E0" w:rsidP="001F5AA6">
            <w:pPr>
              <w:rPr>
                <w:color w:val="000000" w:themeColor="text1"/>
                <w:sz w:val="22"/>
                <w:szCs w:val="22"/>
                <w:lang w:val="fr-CA"/>
              </w:rPr>
            </w:pPr>
          </w:p>
          <w:p w:rsidR="005D65E0" w:rsidRPr="00346FBD" w:rsidRDefault="005D65E0" w:rsidP="001F5AA6">
            <w:pPr>
              <w:rPr>
                <w:b/>
                <w:sz w:val="22"/>
                <w:szCs w:val="22"/>
                <w:lang w:val="fr-CA"/>
              </w:rPr>
            </w:pPr>
            <w:r w:rsidRPr="00346FBD">
              <w:rPr>
                <w:b/>
                <w:sz w:val="22"/>
                <w:szCs w:val="22"/>
                <w:lang w:val="fr-CA"/>
              </w:rPr>
              <w:t>INITIATIVES ET ACTIVITÉS</w:t>
            </w:r>
          </w:p>
        </w:tc>
        <w:tc>
          <w:tcPr>
            <w:tcW w:w="3160" w:type="dxa"/>
            <w:tcBorders>
              <w:top w:val="nil"/>
              <w:left w:val="nil"/>
              <w:bottom w:val="single" w:sz="4" w:space="0" w:color="auto"/>
              <w:right w:val="single" w:sz="4" w:space="0" w:color="auto"/>
            </w:tcBorders>
            <w:shd w:val="clear" w:color="000000" w:fill="FFFFFF"/>
            <w:vAlign w:val="center"/>
          </w:tcPr>
          <w:p w:rsidR="005D65E0" w:rsidRPr="00346FBD" w:rsidRDefault="005D65E0" w:rsidP="001F5AA6">
            <w:pPr>
              <w:rPr>
                <w:b/>
                <w:color w:val="000000" w:themeColor="text1"/>
                <w:sz w:val="22"/>
                <w:szCs w:val="22"/>
                <w:lang w:val="fr-CA"/>
              </w:rPr>
            </w:pPr>
            <w:r w:rsidRPr="00346FBD">
              <w:rPr>
                <w:b/>
                <w:color w:val="000000" w:themeColor="text1"/>
                <w:sz w:val="22"/>
                <w:szCs w:val="22"/>
                <w:lang w:val="fr-CA"/>
              </w:rPr>
              <w:t>CONTRIBUTION À LA RÉSILIENCEE ET À LA COMPÉTITIVITÉ</w:t>
            </w:r>
          </w:p>
        </w:tc>
        <w:tc>
          <w:tcPr>
            <w:tcW w:w="2880" w:type="dxa"/>
            <w:tcBorders>
              <w:top w:val="nil"/>
              <w:left w:val="nil"/>
              <w:bottom w:val="single" w:sz="4" w:space="0" w:color="auto"/>
              <w:right w:val="single" w:sz="4" w:space="0" w:color="auto"/>
            </w:tcBorders>
            <w:shd w:val="clear" w:color="000000" w:fill="FFFFFF"/>
            <w:vAlign w:val="center"/>
          </w:tcPr>
          <w:p w:rsidR="005D65E0" w:rsidRPr="00346FBD" w:rsidRDefault="005D65E0" w:rsidP="001F5AA6">
            <w:pPr>
              <w:rPr>
                <w:b/>
                <w:color w:val="000000" w:themeColor="text1"/>
                <w:sz w:val="22"/>
                <w:szCs w:val="22"/>
                <w:lang w:val="fr-CA"/>
              </w:rPr>
            </w:pPr>
            <w:r w:rsidRPr="00346FBD">
              <w:rPr>
                <w:b/>
                <w:color w:val="000000" w:themeColor="text1"/>
                <w:sz w:val="22"/>
                <w:szCs w:val="22"/>
                <w:lang w:val="fr-CA"/>
              </w:rPr>
              <w:t>RÉSULTATS PRÉVUS</w:t>
            </w:r>
          </w:p>
        </w:tc>
        <w:tc>
          <w:tcPr>
            <w:tcW w:w="2900" w:type="dxa"/>
            <w:tcBorders>
              <w:top w:val="nil"/>
              <w:left w:val="single" w:sz="4" w:space="0" w:color="auto"/>
              <w:bottom w:val="single" w:sz="4" w:space="0" w:color="auto"/>
              <w:right w:val="single" w:sz="4" w:space="0" w:color="auto"/>
            </w:tcBorders>
            <w:vAlign w:val="center"/>
          </w:tcPr>
          <w:p w:rsidR="005D65E0" w:rsidRPr="00346FBD" w:rsidRDefault="005D65E0" w:rsidP="001F5AA6">
            <w:pPr>
              <w:rPr>
                <w:b/>
                <w:color w:val="000000" w:themeColor="text1"/>
                <w:sz w:val="22"/>
                <w:szCs w:val="22"/>
                <w:lang w:val="fr-CA"/>
              </w:rPr>
            </w:pPr>
            <w:r w:rsidRPr="00346FBD">
              <w:rPr>
                <w:b/>
                <w:color w:val="000000" w:themeColor="text1"/>
                <w:sz w:val="22"/>
                <w:szCs w:val="22"/>
                <w:lang w:val="fr-CA"/>
              </w:rPr>
              <w:t>COOPÉRATION ET PARTENARIATS</w:t>
            </w:r>
          </w:p>
        </w:tc>
        <w:tc>
          <w:tcPr>
            <w:tcW w:w="2700" w:type="dxa"/>
            <w:tcBorders>
              <w:top w:val="nil"/>
              <w:left w:val="single" w:sz="4" w:space="0" w:color="auto"/>
              <w:bottom w:val="single" w:sz="4" w:space="0" w:color="000000"/>
              <w:right w:val="single" w:sz="4" w:space="0" w:color="auto"/>
            </w:tcBorders>
            <w:vAlign w:val="center"/>
          </w:tcPr>
          <w:p w:rsidR="005D65E0" w:rsidRPr="00346FBD" w:rsidRDefault="005D65E0" w:rsidP="001F5AA6">
            <w:pPr>
              <w:rPr>
                <w:b/>
                <w:color w:val="000000" w:themeColor="text1"/>
                <w:sz w:val="22"/>
                <w:szCs w:val="22"/>
                <w:lang w:val="fr-CA"/>
              </w:rPr>
            </w:pPr>
            <w:r w:rsidRPr="00346FBD">
              <w:rPr>
                <w:b/>
                <w:color w:val="000000" w:themeColor="text1"/>
                <w:sz w:val="22"/>
                <w:szCs w:val="22"/>
                <w:lang w:val="fr-CA"/>
              </w:rPr>
              <w:t>RÉPONSE ET ADAPTATION À LA COVID-19</w:t>
            </w:r>
          </w:p>
        </w:tc>
      </w:tr>
      <w:tr w:rsidR="005D65E0" w:rsidRPr="005C1AAB" w:rsidTr="001F5AA6">
        <w:trPr>
          <w:trHeight w:val="278"/>
        </w:trPr>
        <w:tc>
          <w:tcPr>
            <w:tcW w:w="3100"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40"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w:t>
            </w:r>
            <w:r>
              <w:rPr>
                <w:b/>
                <w:bCs/>
                <w:color w:val="000000" w:themeColor="text1"/>
                <w:sz w:val="22"/>
                <w:szCs w:val="22"/>
                <w:lang w:val="fr-CA"/>
              </w:rPr>
              <w:t>.2. Renforcer la profession d’enseignant dans les États membres en créant un plus grand nombre d’occasions de suivre des formations</w:t>
            </w:r>
            <w:r w:rsidRPr="00B57B08">
              <w:rPr>
                <w:b/>
                <w:bCs/>
                <w:color w:val="000000" w:themeColor="text1"/>
                <w:sz w:val="22"/>
                <w:szCs w:val="22"/>
                <w:lang w:val="fr-CA"/>
              </w:rPr>
              <w:t>.</w:t>
            </w:r>
          </w:p>
        </w:tc>
      </w:tr>
      <w:tr w:rsidR="005D65E0" w:rsidRPr="005C1AAB" w:rsidTr="001F5AA6">
        <w:trPr>
          <w:trHeight w:val="420"/>
        </w:trPr>
        <w:tc>
          <w:tcPr>
            <w:tcW w:w="14740" w:type="dxa"/>
            <w:gridSpan w:val="5"/>
            <w:tcBorders>
              <w:top w:val="single" w:sz="4" w:space="0" w:color="auto"/>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Dialogue politique en matière d’éducation </w:t>
            </w:r>
            <w:r w:rsidRPr="00B57B08">
              <w:rPr>
                <w:b/>
                <w:bCs/>
                <w:color w:val="000000" w:themeColor="text1"/>
                <w:sz w:val="22"/>
                <w:szCs w:val="22"/>
                <w:lang w:val="fr-CA"/>
              </w:rPr>
              <w:t xml:space="preserve">: </w:t>
            </w:r>
          </w:p>
        </w:tc>
      </w:tr>
      <w:tr w:rsidR="005D65E0" w:rsidRPr="005C1AAB" w:rsidTr="001F5AA6">
        <w:trPr>
          <w:trHeight w:val="1388"/>
        </w:trPr>
        <w:tc>
          <w:tcPr>
            <w:tcW w:w="3100" w:type="dxa"/>
            <w:tcBorders>
              <w:top w:val="nil"/>
              <w:left w:val="single" w:sz="4" w:space="0" w:color="auto"/>
              <w:bottom w:val="nil"/>
              <w:right w:val="single" w:sz="4" w:space="0" w:color="auto"/>
            </w:tcBorders>
            <w:shd w:val="clear" w:color="auto" w:fill="auto"/>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Process</w:t>
            </w:r>
            <w:r>
              <w:rPr>
                <w:b/>
                <w:bCs/>
                <w:color w:val="000000" w:themeColor="text1"/>
                <w:sz w:val="22"/>
                <w:szCs w:val="22"/>
                <w:lang w:val="fr-CA"/>
              </w:rPr>
              <w:t>us de la Réunion des ministres de l’éducation et de la Commission interaméricaine de l’éducation</w:t>
            </w:r>
          </w:p>
        </w:tc>
        <w:tc>
          <w:tcPr>
            <w:tcW w:w="3160" w:type="dxa"/>
            <w:tcBorders>
              <w:top w:val="nil"/>
              <w:left w:val="nil"/>
              <w:bottom w:val="nil"/>
              <w:right w:val="single" w:sz="4" w:space="0" w:color="auto"/>
            </w:tcBorders>
            <w:shd w:val="clear" w:color="auto" w:fill="auto"/>
            <w:vAlign w:val="center"/>
            <w:hideMark/>
          </w:tcPr>
          <w:p w:rsidR="005D65E0" w:rsidRPr="00B57B08" w:rsidRDefault="005D65E0" w:rsidP="001F5AA6">
            <w:pPr>
              <w:jc w:val="both"/>
              <w:rPr>
                <w:color w:val="000000" w:themeColor="text1"/>
                <w:sz w:val="22"/>
                <w:szCs w:val="22"/>
                <w:lang w:val="fr-CA"/>
              </w:rPr>
            </w:pPr>
            <w:r w:rsidRPr="00B57B08">
              <w:rPr>
                <w:color w:val="000000" w:themeColor="text1"/>
                <w:sz w:val="22"/>
                <w:szCs w:val="22"/>
                <w:lang w:val="fr-CA"/>
              </w:rPr>
              <w:t>C</w:t>
            </w:r>
            <w:r>
              <w:rPr>
                <w:color w:val="000000" w:themeColor="text1"/>
                <w:sz w:val="22"/>
                <w:szCs w:val="22"/>
                <w:lang w:val="fr-CA"/>
              </w:rPr>
              <w:t>ollaborer à promouvoir la règle de droit par le biais de l’éducation et du renforcement des capacités des enseignants</w:t>
            </w:r>
            <w:r w:rsidRPr="00B57B08">
              <w:rPr>
                <w:color w:val="000000" w:themeColor="text1"/>
                <w:sz w:val="22"/>
                <w:szCs w:val="22"/>
                <w:lang w:val="fr-CA"/>
              </w:rPr>
              <w:t>.</w:t>
            </w:r>
          </w:p>
        </w:tc>
        <w:tc>
          <w:tcPr>
            <w:tcW w:w="2880" w:type="dxa"/>
            <w:tcBorders>
              <w:top w:val="nil"/>
              <w:left w:val="nil"/>
              <w:bottom w:val="nil"/>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Partager avec les États membres intéressés les guides et les lignes directrices adressés aux enseignants sur l’importance de la règle de droit en partenariat avec </w:t>
            </w:r>
            <w:r w:rsidRPr="00B57B08">
              <w:rPr>
                <w:color w:val="000000" w:themeColor="text1"/>
                <w:sz w:val="22"/>
                <w:szCs w:val="22"/>
                <w:lang w:val="fr-CA"/>
              </w:rPr>
              <w:t>UNESCO-OREALC.</w:t>
            </w:r>
          </w:p>
        </w:tc>
        <w:tc>
          <w:tcPr>
            <w:tcW w:w="2900" w:type="dxa"/>
            <w:tcBorders>
              <w:top w:val="nil"/>
              <w:left w:val="nil"/>
              <w:bottom w:val="nil"/>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r w:rsidRPr="00D23D09">
              <w:rPr>
                <w:b/>
                <w:color w:val="000000" w:themeColor="text1"/>
                <w:sz w:val="22"/>
                <w:szCs w:val="22"/>
                <w:lang w:val="fr-CA"/>
              </w:rPr>
              <w:t>Externes :</w:t>
            </w:r>
            <w:r>
              <w:rPr>
                <w:color w:val="000000" w:themeColor="text1"/>
                <w:sz w:val="22"/>
                <w:szCs w:val="22"/>
                <w:lang w:val="fr-CA"/>
              </w:rPr>
              <w:t xml:space="preserve"> Bureau régional de l’UNESCO pour l’Amérique latine et les Caraïbes et groupes de travail de la CIE.</w:t>
            </w:r>
          </w:p>
        </w:tc>
        <w:tc>
          <w:tcPr>
            <w:tcW w:w="2700" w:type="dxa"/>
            <w:tcBorders>
              <w:top w:val="nil"/>
              <w:left w:val="nil"/>
              <w:bottom w:val="nil"/>
              <w:right w:val="single" w:sz="4" w:space="0" w:color="auto"/>
            </w:tcBorders>
            <w:shd w:val="clear" w:color="auto" w:fill="FFFF00"/>
            <w:vAlign w:val="center"/>
            <w:hideMark/>
          </w:tcPr>
          <w:p w:rsidR="005D65E0" w:rsidRPr="005A469F" w:rsidRDefault="005D65E0" w:rsidP="001F5AA6">
            <w:pPr>
              <w:rPr>
                <w:color w:val="000000" w:themeColor="text1"/>
                <w:sz w:val="22"/>
                <w:szCs w:val="22"/>
                <w:lang w:val="fr-CA"/>
              </w:rPr>
            </w:pPr>
            <w:r w:rsidRPr="005A469F">
              <w:rPr>
                <w:color w:val="000000" w:themeColor="text1"/>
                <w:sz w:val="22"/>
                <w:szCs w:val="22"/>
                <w:lang w:val="fr-CA"/>
              </w:rPr>
              <w:t> </w:t>
            </w:r>
            <w:r w:rsidRPr="005A469F">
              <w:rPr>
                <w:b/>
                <w:color w:val="000000" w:themeColor="text1"/>
                <w:sz w:val="22"/>
                <w:szCs w:val="22"/>
                <w:lang w:val="fr-CA"/>
              </w:rPr>
              <w:t>Partage de connaissances et de bonnes pratiques :</w:t>
            </w:r>
            <w:r w:rsidRPr="005A469F">
              <w:rPr>
                <w:color w:val="000000" w:themeColor="text1"/>
                <w:sz w:val="22"/>
                <w:szCs w:val="22"/>
                <w:lang w:val="fr-CA"/>
              </w:rPr>
              <w:t xml:space="preserve"> Systématisation d’expériences mises en place.</w:t>
            </w:r>
          </w:p>
        </w:tc>
      </w:tr>
      <w:tr w:rsidR="005D65E0" w:rsidRPr="00B57B08" w:rsidTr="001F5AA6">
        <w:trPr>
          <w:trHeight w:val="1388"/>
        </w:trPr>
        <w:tc>
          <w:tcPr>
            <w:tcW w:w="14740" w:type="dxa"/>
            <w:gridSpan w:val="5"/>
            <w:tcBorders>
              <w:top w:val="nil"/>
              <w:left w:val="single" w:sz="4" w:space="0" w:color="auto"/>
              <w:bottom w:val="nil"/>
              <w:right w:val="single" w:sz="4" w:space="0" w:color="auto"/>
            </w:tcBorders>
            <w:shd w:val="clear" w:color="auto" w:fill="auto"/>
            <w:vAlign w:val="center"/>
          </w:tcPr>
          <w:p w:rsidR="005D65E0" w:rsidRPr="0064302C" w:rsidRDefault="005D65E0" w:rsidP="001F5AA6">
            <w:pPr>
              <w:rPr>
                <w:b/>
                <w:color w:val="000000" w:themeColor="text1"/>
                <w:sz w:val="22"/>
                <w:szCs w:val="22"/>
                <w:lang w:val="fr-CA"/>
              </w:rPr>
            </w:pPr>
            <w:r w:rsidRPr="0064302C">
              <w:rPr>
                <w:b/>
                <w:color w:val="000000" w:themeColor="text1"/>
                <w:sz w:val="22"/>
                <w:szCs w:val="22"/>
                <w:lang w:val="fr-CA"/>
              </w:rPr>
              <w:t>Éducation - Enseignant</w:t>
            </w:r>
          </w:p>
        </w:tc>
      </w:tr>
      <w:tr w:rsidR="005D65E0" w:rsidRPr="005C1AAB" w:rsidTr="001F5AA6">
        <w:trPr>
          <w:trHeight w:val="1388"/>
        </w:trPr>
        <w:tc>
          <w:tcPr>
            <w:tcW w:w="3100" w:type="dxa"/>
            <w:tcBorders>
              <w:top w:val="nil"/>
              <w:left w:val="single" w:sz="4" w:space="0" w:color="auto"/>
              <w:bottom w:val="single" w:sz="4" w:space="0" w:color="auto"/>
              <w:right w:val="single" w:sz="4" w:space="0" w:color="auto"/>
            </w:tcBorders>
            <w:shd w:val="clear" w:color="auto" w:fill="auto"/>
            <w:vAlign w:val="center"/>
          </w:tcPr>
          <w:p w:rsidR="005D65E0" w:rsidRPr="00B57B08" w:rsidRDefault="005D65E0" w:rsidP="001F5AA6">
            <w:pPr>
              <w:rPr>
                <w:b/>
                <w:bCs/>
                <w:color w:val="000000" w:themeColor="text1"/>
                <w:sz w:val="22"/>
                <w:szCs w:val="22"/>
                <w:lang w:val="fr-CA"/>
              </w:rPr>
            </w:pPr>
            <w:r>
              <w:rPr>
                <w:b/>
                <w:bCs/>
                <w:color w:val="000000" w:themeColor="text1"/>
                <w:sz w:val="22"/>
                <w:szCs w:val="22"/>
                <w:lang w:val="fr-CA"/>
              </w:rPr>
              <w:t>Réseau interaméricain de formation des enseignants (RIED)</w:t>
            </w:r>
          </w:p>
        </w:tc>
        <w:tc>
          <w:tcPr>
            <w:tcW w:w="3160" w:type="dxa"/>
            <w:tcBorders>
              <w:top w:val="nil"/>
              <w:left w:val="nil"/>
              <w:bottom w:val="single" w:sz="4" w:space="0" w:color="auto"/>
              <w:right w:val="single" w:sz="4" w:space="0" w:color="auto"/>
            </w:tcBorders>
            <w:shd w:val="clear" w:color="auto" w:fill="auto"/>
            <w:vAlign w:val="center"/>
          </w:tcPr>
          <w:p w:rsidR="005D65E0" w:rsidRPr="00B57B08" w:rsidRDefault="005D65E0" w:rsidP="001F5AA6">
            <w:pPr>
              <w:jc w:val="both"/>
              <w:rPr>
                <w:color w:val="000000" w:themeColor="text1"/>
                <w:sz w:val="22"/>
                <w:szCs w:val="22"/>
                <w:lang w:val="fr-CA"/>
              </w:rPr>
            </w:pPr>
          </w:p>
        </w:tc>
        <w:tc>
          <w:tcPr>
            <w:tcW w:w="2880" w:type="dxa"/>
            <w:tcBorders>
              <w:top w:val="nil"/>
              <w:left w:val="nil"/>
              <w:bottom w:val="single" w:sz="4" w:space="0" w:color="auto"/>
              <w:right w:val="single" w:sz="4" w:space="0" w:color="auto"/>
            </w:tcBorders>
            <w:shd w:val="clear" w:color="auto" w:fill="auto"/>
            <w:vAlign w:val="center"/>
          </w:tcPr>
          <w:p w:rsidR="005D65E0" w:rsidRDefault="005D65E0" w:rsidP="001F5AA6">
            <w:pPr>
              <w:rPr>
                <w:color w:val="000000" w:themeColor="text1"/>
                <w:sz w:val="22"/>
                <w:szCs w:val="22"/>
                <w:lang w:val="fr-CA"/>
              </w:rPr>
            </w:pPr>
          </w:p>
        </w:tc>
        <w:tc>
          <w:tcPr>
            <w:tcW w:w="2900" w:type="dxa"/>
            <w:tcBorders>
              <w:top w:val="nil"/>
              <w:left w:val="nil"/>
              <w:bottom w:val="single" w:sz="4" w:space="0" w:color="auto"/>
              <w:right w:val="single" w:sz="4" w:space="0" w:color="auto"/>
            </w:tcBorders>
            <w:shd w:val="clear" w:color="auto" w:fill="auto"/>
            <w:vAlign w:val="center"/>
          </w:tcPr>
          <w:p w:rsidR="005D65E0" w:rsidRPr="00B57B08" w:rsidRDefault="005D65E0" w:rsidP="001F5AA6">
            <w:pPr>
              <w:rPr>
                <w:color w:val="000000" w:themeColor="text1"/>
                <w:sz w:val="22"/>
                <w:szCs w:val="22"/>
                <w:lang w:val="fr-CA"/>
              </w:rPr>
            </w:pPr>
          </w:p>
        </w:tc>
        <w:tc>
          <w:tcPr>
            <w:tcW w:w="2700" w:type="dxa"/>
            <w:tcBorders>
              <w:top w:val="nil"/>
              <w:left w:val="nil"/>
              <w:bottom w:val="single" w:sz="4" w:space="0" w:color="auto"/>
              <w:right w:val="single" w:sz="4" w:space="0" w:color="auto"/>
            </w:tcBorders>
            <w:shd w:val="clear" w:color="auto" w:fill="auto"/>
            <w:vAlign w:val="center"/>
          </w:tcPr>
          <w:p w:rsidR="005D65E0" w:rsidRPr="00B57B08" w:rsidRDefault="005D65E0" w:rsidP="001F5AA6">
            <w:pPr>
              <w:rPr>
                <w:color w:val="000000" w:themeColor="text1"/>
                <w:sz w:val="22"/>
                <w:szCs w:val="22"/>
                <w:lang w:val="fr-CA"/>
              </w:rPr>
            </w:pPr>
          </w:p>
        </w:tc>
      </w:tr>
    </w:tbl>
    <w:p w:rsidR="005D65E0" w:rsidRDefault="005D65E0" w:rsidP="005D65E0">
      <w:pPr>
        <w:rPr>
          <w:b/>
          <w:color w:val="000000" w:themeColor="text1"/>
          <w:sz w:val="22"/>
          <w:szCs w:val="22"/>
          <w:u w:val="single"/>
          <w:lang w:val="fr-CA"/>
        </w:rPr>
      </w:pPr>
    </w:p>
    <w:p w:rsidR="005C1AAB" w:rsidRDefault="005C1AAB" w:rsidP="005D65E0">
      <w:pPr>
        <w:rPr>
          <w:b/>
          <w:color w:val="000000" w:themeColor="text1"/>
          <w:sz w:val="22"/>
          <w:szCs w:val="22"/>
          <w:u w:val="single"/>
          <w:lang w:val="fr-CA"/>
        </w:rPr>
      </w:pPr>
    </w:p>
    <w:p w:rsidR="005C1AAB" w:rsidRPr="00B57B08" w:rsidRDefault="005C1AAB" w:rsidP="005D65E0">
      <w:pPr>
        <w:rPr>
          <w:b/>
          <w:color w:val="000000" w:themeColor="text1"/>
          <w:sz w:val="22"/>
          <w:szCs w:val="22"/>
          <w:u w:val="single"/>
          <w:lang w:val="fr-CA"/>
        </w:rPr>
      </w:pPr>
    </w:p>
    <w:tbl>
      <w:tblPr>
        <w:tblW w:w="14518" w:type="dxa"/>
        <w:tblInd w:w="113" w:type="dxa"/>
        <w:tblLayout w:type="fixed"/>
        <w:tblLook w:val="04A0" w:firstRow="1" w:lastRow="0" w:firstColumn="1" w:lastColumn="0" w:noHBand="0" w:noVBand="1"/>
      </w:tblPr>
      <w:tblGrid>
        <w:gridCol w:w="3049"/>
        <w:gridCol w:w="3426"/>
        <w:gridCol w:w="180"/>
        <w:gridCol w:w="2700"/>
        <w:gridCol w:w="2500"/>
        <w:gridCol w:w="20"/>
        <w:gridCol w:w="2643"/>
      </w:tblGrid>
      <w:tr w:rsidR="005D65E0" w:rsidRPr="00B57B08" w:rsidTr="001F5AA6">
        <w:trPr>
          <w:trHeight w:val="350"/>
        </w:trPr>
        <w:tc>
          <w:tcPr>
            <w:tcW w:w="14518" w:type="dxa"/>
            <w:gridSpan w:val="7"/>
            <w:tcBorders>
              <w:top w:val="single" w:sz="4" w:space="0" w:color="auto"/>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sidRPr="00B57B08">
              <w:rPr>
                <w:b/>
                <w:color w:val="000000" w:themeColor="text1"/>
                <w:sz w:val="22"/>
                <w:szCs w:val="22"/>
                <w:u w:val="single"/>
                <w:lang w:val="fr-CA"/>
              </w:rPr>
              <w:lastRenderedPageBreak/>
              <w:br w:type="page"/>
            </w:r>
            <w:r>
              <w:rPr>
                <w:b/>
                <w:bCs/>
                <w:color w:val="000000" w:themeColor="text1"/>
                <w:sz w:val="22"/>
                <w:szCs w:val="22"/>
                <w:lang w:val="fr-CA"/>
              </w:rPr>
              <w:t>Éducation – Enseignants / STI</w:t>
            </w:r>
            <w:r w:rsidRPr="00B57B08">
              <w:rPr>
                <w:b/>
                <w:bCs/>
                <w:color w:val="000000" w:themeColor="text1"/>
                <w:sz w:val="22"/>
                <w:szCs w:val="22"/>
                <w:lang w:val="fr-CA"/>
              </w:rPr>
              <w:t>M</w:t>
            </w:r>
            <w:r>
              <w:rPr>
                <w:b/>
                <w:bCs/>
                <w:color w:val="000000" w:themeColor="text1"/>
                <w:sz w:val="22"/>
                <w:szCs w:val="22"/>
                <w:lang w:val="fr-CA"/>
              </w:rPr>
              <w:t> </w:t>
            </w:r>
            <w:r w:rsidRPr="00B57B08">
              <w:rPr>
                <w:b/>
                <w:bCs/>
                <w:color w:val="000000" w:themeColor="text1"/>
                <w:sz w:val="22"/>
                <w:szCs w:val="22"/>
                <w:lang w:val="fr-CA"/>
              </w:rPr>
              <w:t>:</w:t>
            </w:r>
          </w:p>
        </w:tc>
      </w:tr>
      <w:tr w:rsidR="005D65E0" w:rsidRPr="005C1AAB" w:rsidTr="001F5AA6">
        <w:trPr>
          <w:trHeight w:val="1283"/>
        </w:trPr>
        <w:tc>
          <w:tcPr>
            <w:tcW w:w="3049"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Réseau interaméricain de formation des enseignants </w:t>
            </w:r>
            <w:r w:rsidRPr="00B57B08">
              <w:rPr>
                <w:b/>
                <w:bCs/>
                <w:color w:val="000000" w:themeColor="text1"/>
                <w:sz w:val="22"/>
                <w:szCs w:val="22"/>
                <w:lang w:val="fr-CA"/>
              </w:rPr>
              <w:t>(</w:t>
            </w:r>
            <w:r>
              <w:rPr>
                <w:b/>
                <w:bCs/>
                <w:color w:val="000000" w:themeColor="text1"/>
                <w:sz w:val="22"/>
                <w:szCs w:val="22"/>
                <w:lang w:val="fr-CA"/>
              </w:rPr>
              <w:t>RIED)</w:t>
            </w:r>
            <w:r>
              <w:rPr>
                <w:b/>
                <w:bCs/>
                <w:color w:val="000000" w:themeColor="text1"/>
                <w:sz w:val="22"/>
                <w:szCs w:val="22"/>
                <w:lang w:val="fr-CA"/>
              </w:rPr>
              <w:br/>
            </w:r>
            <w:r>
              <w:rPr>
                <w:b/>
                <w:bCs/>
                <w:color w:val="000000" w:themeColor="text1"/>
                <w:sz w:val="22"/>
                <w:szCs w:val="22"/>
                <w:lang w:val="fr-CA"/>
              </w:rPr>
              <w:br/>
              <w:t>Équipes de projet</w:t>
            </w:r>
            <w:r w:rsidRPr="00B57B08">
              <w:rPr>
                <w:b/>
                <w:bCs/>
                <w:color w:val="000000" w:themeColor="text1"/>
                <w:sz w:val="22"/>
                <w:szCs w:val="22"/>
                <w:lang w:val="fr-CA"/>
              </w:rPr>
              <w:t xml:space="preserve"> </w:t>
            </w:r>
            <w:r>
              <w:rPr>
                <w:b/>
                <w:bCs/>
                <w:color w:val="000000" w:themeColor="text1"/>
                <w:sz w:val="22"/>
                <w:szCs w:val="22"/>
                <w:lang w:val="fr-CA"/>
              </w:rPr>
              <w:br/>
              <w:t>Bourse d’études pour les enseignants</w:t>
            </w:r>
            <w:r w:rsidRPr="00B57B08">
              <w:rPr>
                <w:b/>
                <w:bCs/>
                <w:color w:val="000000" w:themeColor="text1"/>
                <w:sz w:val="22"/>
                <w:szCs w:val="22"/>
                <w:lang w:val="fr-CA"/>
              </w:rPr>
              <w:t xml:space="preserve"> </w:t>
            </w:r>
            <w:r>
              <w:rPr>
                <w:b/>
                <w:bCs/>
                <w:color w:val="000000" w:themeColor="text1"/>
                <w:sz w:val="22"/>
                <w:szCs w:val="22"/>
                <w:lang w:val="fr-CA"/>
              </w:rPr>
              <w:br/>
              <w:t>Séminaire annuel</w:t>
            </w:r>
            <w:r w:rsidRPr="00B57B08">
              <w:rPr>
                <w:b/>
                <w:bCs/>
                <w:color w:val="000000" w:themeColor="text1"/>
                <w:sz w:val="22"/>
                <w:szCs w:val="22"/>
                <w:lang w:val="fr-CA"/>
              </w:rPr>
              <w:t xml:space="preserve"> </w:t>
            </w:r>
            <w:r>
              <w:rPr>
                <w:b/>
                <w:bCs/>
                <w:color w:val="000000" w:themeColor="text1"/>
                <w:sz w:val="22"/>
                <w:szCs w:val="22"/>
                <w:lang w:val="fr-CA"/>
              </w:rPr>
              <w:br/>
              <w:t>Échange de coopération</w:t>
            </w:r>
            <w:r w:rsidRPr="00B57B08">
              <w:rPr>
                <w:b/>
                <w:bCs/>
                <w:color w:val="000000" w:themeColor="text1"/>
                <w:sz w:val="22"/>
                <w:szCs w:val="22"/>
                <w:lang w:val="fr-CA"/>
              </w:rPr>
              <w:t xml:space="preserve"> </w:t>
            </w:r>
            <w:r w:rsidRPr="00B57B08">
              <w:rPr>
                <w:b/>
                <w:bCs/>
                <w:color w:val="000000" w:themeColor="text1"/>
                <w:sz w:val="22"/>
                <w:szCs w:val="22"/>
                <w:lang w:val="fr-CA"/>
              </w:rPr>
              <w:br/>
              <w:t>S</w:t>
            </w:r>
            <w:r>
              <w:rPr>
                <w:b/>
                <w:bCs/>
                <w:color w:val="000000" w:themeColor="text1"/>
                <w:sz w:val="22"/>
                <w:szCs w:val="22"/>
                <w:lang w:val="fr-CA"/>
              </w:rPr>
              <w:t>ubvention de démarrage</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5D65E0" w:rsidRPr="005C1AAB" w:rsidRDefault="005D65E0" w:rsidP="001F5AA6">
            <w:pPr>
              <w:rPr>
                <w:color w:val="000000" w:themeColor="text1"/>
                <w:sz w:val="22"/>
                <w:szCs w:val="22"/>
                <w:lang w:val="fr-FR"/>
              </w:rPr>
            </w:pPr>
            <w:r>
              <w:rPr>
                <w:color w:val="000000" w:themeColor="text1"/>
                <w:sz w:val="22"/>
                <w:szCs w:val="22"/>
                <w:lang w:val="fr-CA"/>
              </w:rPr>
              <w:t>La formation des enseignants en science, technologie, ingénierie et mathématiques (STIM) encourage la promotion de la règle de droit et, à ce titre, contribue à stimuler la résilience des systèmes d’éducation.</w:t>
            </w:r>
            <w:r>
              <w:rPr>
                <w:color w:val="000000" w:themeColor="text1"/>
                <w:sz w:val="22"/>
                <w:szCs w:val="22"/>
                <w:lang w:val="fr-CA"/>
              </w:rPr>
              <w:br/>
            </w:r>
            <w:r>
              <w:rPr>
                <w:color w:val="000000" w:themeColor="text1"/>
                <w:sz w:val="22"/>
                <w:szCs w:val="22"/>
                <w:lang w:val="fr-CA"/>
              </w:rPr>
              <w:br/>
              <w:t xml:space="preserve">Appuyer la qualité dans l’enseignement des STIM (et la formation des enseignants en STIM) afin de promouvoir une pensée critique et novatrice dans le but de répondre aux questions émergentes relatives à l’énergie ainsi qu’à la résilience climatique mondiale. </w:t>
            </w:r>
            <w:r>
              <w:rPr>
                <w:color w:val="000000" w:themeColor="text1"/>
                <w:sz w:val="22"/>
                <w:szCs w:val="22"/>
                <w:lang w:val="fr-CA"/>
              </w:rPr>
              <w:br/>
            </w:r>
            <w:r>
              <w:rPr>
                <w:color w:val="000000" w:themeColor="text1"/>
                <w:sz w:val="22"/>
                <w:szCs w:val="22"/>
                <w:lang w:val="fr-CA"/>
              </w:rPr>
              <w:br/>
              <w:t>Appuyer des facettes spécifiques à chaque discipline de même que des facettes interdisciplinaires de la formation des enseignants ayant trait aux STIM, qui sont des compétences fondamentales pour des économies et des main-d’œuvre novatrices et compétitives.</w:t>
            </w:r>
            <w:r>
              <w:rPr>
                <w:color w:val="000000" w:themeColor="text1"/>
                <w:sz w:val="22"/>
                <w:szCs w:val="22"/>
                <w:lang w:val="fr-CA"/>
              </w:rPr>
              <w:br/>
            </w:r>
          </w:p>
        </w:tc>
        <w:tc>
          <w:tcPr>
            <w:tcW w:w="2880" w:type="dxa"/>
            <w:gridSpan w:val="2"/>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Les ministères de l’éducation ont accru la quantité de perfectionnement professionnel de qualité en STIM qu’ils offrent aux enseignants</w:t>
            </w:r>
            <w:r w:rsidRPr="00B57B08">
              <w:rPr>
                <w:color w:val="000000" w:themeColor="text1"/>
                <w:sz w:val="22"/>
                <w:szCs w:val="22"/>
                <w:lang w:val="fr-CA"/>
              </w:rPr>
              <w:t>.</w:t>
            </w:r>
          </w:p>
        </w:tc>
        <w:tc>
          <w:tcPr>
            <w:tcW w:w="2500"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w:t>
            </w:r>
            <w:r w:rsidRPr="00B57B08">
              <w:rPr>
                <w:b/>
                <w:bCs/>
                <w:color w:val="000000" w:themeColor="text1"/>
                <w:sz w:val="22"/>
                <w:szCs w:val="22"/>
                <w:lang w:val="fr-CA"/>
              </w:rPr>
              <w:t>:</w:t>
            </w:r>
            <w:r>
              <w:rPr>
                <w:color w:val="000000" w:themeColor="text1"/>
                <w:sz w:val="22"/>
                <w:szCs w:val="22"/>
                <w:lang w:val="fr-CA"/>
              </w:rPr>
              <w:t xml:space="preserve"> Portail des Amériques</w:t>
            </w:r>
            <w:r w:rsidRPr="00B57B08">
              <w:rPr>
                <w:color w:val="000000" w:themeColor="text1"/>
                <w:sz w:val="22"/>
                <w:szCs w:val="22"/>
                <w:lang w:val="fr-CA"/>
              </w:rPr>
              <w:t xml:space="preserve"> (</w:t>
            </w:r>
            <w:r>
              <w:rPr>
                <w:color w:val="000000" w:themeColor="text1"/>
                <w:sz w:val="22"/>
                <w:szCs w:val="22"/>
                <w:lang w:val="fr-CA"/>
              </w:rPr>
              <w:t>cours en ligne ouvert à tous</w:t>
            </w:r>
            <w:r w:rsidRPr="00B57B08">
              <w:rPr>
                <w:color w:val="000000" w:themeColor="text1"/>
                <w:sz w:val="22"/>
                <w:szCs w:val="22"/>
                <w:lang w:val="fr-CA"/>
              </w:rPr>
              <w:t>), CIE.</w:t>
            </w:r>
            <w:r>
              <w:rPr>
                <w:b/>
                <w:bCs/>
                <w:color w:val="000000" w:themeColor="text1"/>
                <w:sz w:val="22"/>
                <w:szCs w:val="22"/>
                <w:lang w:val="fr-CA"/>
              </w:rPr>
              <w:br/>
            </w:r>
            <w:r>
              <w:rPr>
                <w:b/>
                <w:bCs/>
                <w:color w:val="000000" w:themeColor="text1"/>
                <w:sz w:val="22"/>
                <w:szCs w:val="22"/>
                <w:lang w:val="fr-CA"/>
              </w:rPr>
              <w:br/>
              <w:t>Externe </w:t>
            </w:r>
            <w:r w:rsidRPr="00B57B08">
              <w:rPr>
                <w:b/>
                <w:bCs/>
                <w:color w:val="000000" w:themeColor="text1"/>
                <w:sz w:val="22"/>
                <w:szCs w:val="22"/>
                <w:lang w:val="fr-CA"/>
              </w:rPr>
              <w:t>:</w:t>
            </w:r>
            <w:r>
              <w:rPr>
                <w:color w:val="000000" w:themeColor="text1"/>
                <w:sz w:val="22"/>
                <w:szCs w:val="22"/>
                <w:lang w:val="fr-CA"/>
              </w:rPr>
              <w:t xml:space="preserve"> Centre international de physique théorique</w:t>
            </w:r>
            <w:r w:rsidRPr="00B57B08">
              <w:rPr>
                <w:color w:val="000000" w:themeColor="text1"/>
                <w:sz w:val="22"/>
                <w:szCs w:val="22"/>
                <w:lang w:val="fr-CA"/>
              </w:rPr>
              <w:t xml:space="preserve"> / </w:t>
            </w:r>
            <w:r>
              <w:rPr>
                <w:color w:val="000000" w:themeColor="text1"/>
                <w:sz w:val="22"/>
                <w:szCs w:val="22"/>
                <w:lang w:val="fr-CA"/>
              </w:rPr>
              <w:t>Bureau régional de l’UNESCO pour l’Amérique latine et les Caraïbes</w:t>
            </w:r>
            <w:r w:rsidRPr="00B57B08">
              <w:rPr>
                <w:color w:val="000000" w:themeColor="text1"/>
                <w:sz w:val="22"/>
                <w:szCs w:val="22"/>
                <w:lang w:val="fr-CA"/>
              </w:rPr>
              <w:t>,</w:t>
            </w:r>
            <w:r>
              <w:rPr>
                <w:color w:val="000000" w:themeColor="text1"/>
                <w:sz w:val="22"/>
                <w:szCs w:val="22"/>
                <w:lang w:val="fr-CA"/>
              </w:rPr>
              <w:t xml:space="preserve"> projet de simulations interactives pour l’enseignement de la physique à l’Université du Colorado à Boulder, dynamique (Centre de formation des enseignants du Pérou</w:t>
            </w:r>
            <w:r w:rsidRPr="00B57B08">
              <w:rPr>
                <w:color w:val="000000" w:themeColor="text1"/>
                <w:sz w:val="22"/>
                <w:szCs w:val="22"/>
                <w:lang w:val="fr-CA"/>
              </w:rPr>
              <w:t>)</w:t>
            </w:r>
          </w:p>
        </w:tc>
        <w:tc>
          <w:tcPr>
            <w:tcW w:w="2663" w:type="dxa"/>
            <w:gridSpan w:val="2"/>
            <w:vMerge w:val="restart"/>
            <w:tcBorders>
              <w:top w:val="nil"/>
              <w:left w:val="single" w:sz="4" w:space="0" w:color="auto"/>
              <w:bottom w:val="single" w:sz="4" w:space="0" w:color="auto"/>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Renforcement des compétences en enseignement </w:t>
            </w:r>
            <w:r w:rsidRPr="00B57B08">
              <w:rPr>
                <w:b/>
                <w:bCs/>
                <w:color w:val="000000" w:themeColor="text1"/>
                <w:sz w:val="22"/>
                <w:szCs w:val="22"/>
                <w:lang w:val="fr-CA"/>
              </w:rPr>
              <w:t xml:space="preserve">: </w:t>
            </w:r>
            <w:r>
              <w:rPr>
                <w:color w:val="000000" w:themeColor="text1"/>
                <w:sz w:val="22"/>
                <w:szCs w:val="22"/>
                <w:lang w:val="fr-CA"/>
              </w:rPr>
              <w:t>Le RIED animera une série de webinaires sur les outils, les ressources et les stratégies d’enseignement des STIM pendant la quarantaine</w:t>
            </w:r>
            <w:r w:rsidRPr="00B57B08">
              <w:rPr>
                <w:color w:val="000000" w:themeColor="text1"/>
                <w:sz w:val="22"/>
                <w:szCs w:val="22"/>
                <w:lang w:val="fr-CA"/>
              </w:rPr>
              <w:t>.</w:t>
            </w:r>
          </w:p>
        </w:tc>
      </w:tr>
      <w:tr w:rsidR="005D65E0" w:rsidRPr="005C1AAB" w:rsidTr="001F5AA6">
        <w:trPr>
          <w:trHeight w:val="1943"/>
        </w:trPr>
        <w:tc>
          <w:tcPr>
            <w:tcW w:w="304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3426"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880" w:type="dxa"/>
            <w:gridSpan w:val="2"/>
            <w:tcBorders>
              <w:top w:val="nil"/>
              <w:left w:val="nil"/>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Accroissement du leadership partagé en matière d’éducation dans l’ensemble de la région par le biais de la collaboration entre les ministères, les représentants d’institutions et des enseignants exceptionnels afin d’apporter une réponse à des questions émergentes en matière de formation des enseignants</w:t>
            </w:r>
            <w:r w:rsidRPr="00B57B08">
              <w:rPr>
                <w:color w:val="000000" w:themeColor="text1"/>
                <w:sz w:val="22"/>
                <w:szCs w:val="22"/>
                <w:lang w:val="fr-CA"/>
              </w:rPr>
              <w:t>.</w:t>
            </w:r>
          </w:p>
        </w:tc>
        <w:tc>
          <w:tcPr>
            <w:tcW w:w="25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6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788"/>
        </w:trPr>
        <w:tc>
          <w:tcPr>
            <w:tcW w:w="304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3426"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880" w:type="dxa"/>
            <w:gridSpan w:val="2"/>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A</w:t>
            </w:r>
            <w:r>
              <w:rPr>
                <w:color w:val="000000" w:themeColor="text1"/>
                <w:sz w:val="22"/>
                <w:szCs w:val="22"/>
                <w:lang w:val="fr-CA"/>
              </w:rPr>
              <w:t>border des stratégies visant à aider les femmes surmonter des obstacles fréquents dans l’enseignement des STIM</w:t>
            </w:r>
            <w:r w:rsidRPr="00B57B08">
              <w:rPr>
                <w:color w:val="000000" w:themeColor="text1"/>
                <w:sz w:val="22"/>
                <w:szCs w:val="22"/>
                <w:lang w:val="fr-CA"/>
              </w:rPr>
              <w:t>.</w:t>
            </w:r>
          </w:p>
        </w:tc>
        <w:tc>
          <w:tcPr>
            <w:tcW w:w="25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6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78"/>
        </w:trPr>
        <w:tc>
          <w:tcPr>
            <w:tcW w:w="304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3426"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880"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6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5C1AAB">
        <w:trPr>
          <w:trHeight w:val="1439"/>
        </w:trPr>
        <w:tc>
          <w:tcPr>
            <w:tcW w:w="3049"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b/>
                <w:bCs/>
                <w:color w:val="000000" w:themeColor="text1"/>
                <w:sz w:val="22"/>
                <w:szCs w:val="22"/>
                <w:lang w:val="fr-CA"/>
              </w:rPr>
            </w:pPr>
          </w:p>
        </w:tc>
        <w:tc>
          <w:tcPr>
            <w:tcW w:w="3426"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880"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500"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63" w:type="dxa"/>
            <w:gridSpan w:val="2"/>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5C1AAB">
        <w:trPr>
          <w:trHeight w:val="278"/>
        </w:trPr>
        <w:tc>
          <w:tcPr>
            <w:tcW w:w="3049" w:type="dxa"/>
            <w:tcBorders>
              <w:top w:val="nil"/>
              <w:left w:val="single" w:sz="4" w:space="0" w:color="auto"/>
              <w:bottom w:val="single" w:sz="4" w:space="0" w:color="auto"/>
              <w:right w:val="single" w:sz="4" w:space="0" w:color="auto"/>
            </w:tcBorders>
            <w:shd w:val="clear" w:color="auto" w:fill="auto"/>
          </w:tcPr>
          <w:p w:rsidR="005D65E0" w:rsidRDefault="005D65E0" w:rsidP="001F5AA6">
            <w:pPr>
              <w:rPr>
                <w:rFonts w:eastAsia="Calibri"/>
                <w:b/>
                <w:bCs/>
                <w:color w:val="000000" w:themeColor="text1"/>
                <w:sz w:val="22"/>
                <w:szCs w:val="22"/>
                <w:lang w:val="fr-CA"/>
              </w:rPr>
            </w:pPr>
            <w:r>
              <w:rPr>
                <w:rFonts w:eastAsia="Calibri"/>
                <w:b/>
                <w:bCs/>
                <w:color w:val="000000" w:themeColor="text1"/>
                <w:sz w:val="22"/>
                <w:szCs w:val="22"/>
                <w:lang w:val="fr-CA"/>
              </w:rPr>
              <w:t>INITIATIVES ET ACTIVITÉS</w:t>
            </w:r>
          </w:p>
        </w:tc>
        <w:tc>
          <w:tcPr>
            <w:tcW w:w="3426" w:type="dxa"/>
            <w:tcBorders>
              <w:top w:val="single" w:sz="4" w:space="0" w:color="auto"/>
              <w:left w:val="nil"/>
              <w:bottom w:val="single" w:sz="4" w:space="0" w:color="auto"/>
              <w:right w:val="single" w:sz="4" w:space="0" w:color="auto"/>
            </w:tcBorders>
            <w:shd w:val="clear" w:color="auto" w:fill="auto"/>
          </w:tcPr>
          <w:p w:rsidR="005D65E0" w:rsidRPr="00B57B08" w:rsidRDefault="005D65E0" w:rsidP="001F5AA6">
            <w:pPr>
              <w:rPr>
                <w:b/>
                <w:bCs/>
                <w:color w:val="000000" w:themeColor="text1"/>
                <w:sz w:val="22"/>
                <w:szCs w:val="22"/>
                <w:lang w:val="fr-CA"/>
              </w:rPr>
            </w:pPr>
            <w:r>
              <w:rPr>
                <w:b/>
                <w:bCs/>
                <w:color w:val="000000" w:themeColor="text1"/>
                <w:sz w:val="22"/>
                <w:szCs w:val="22"/>
                <w:lang w:val="fr-CA"/>
              </w:rPr>
              <w:t>CONTRIBUTION À LA RÉSILIENCE ET À LA COMPÉTITIVITÉ</w:t>
            </w:r>
          </w:p>
        </w:tc>
        <w:tc>
          <w:tcPr>
            <w:tcW w:w="2880" w:type="dxa"/>
            <w:gridSpan w:val="2"/>
            <w:tcBorders>
              <w:top w:val="single" w:sz="4" w:space="0" w:color="auto"/>
              <w:left w:val="nil"/>
              <w:bottom w:val="single" w:sz="4" w:space="0" w:color="auto"/>
              <w:right w:val="single" w:sz="4" w:space="0" w:color="auto"/>
            </w:tcBorders>
            <w:shd w:val="clear" w:color="auto" w:fill="auto"/>
          </w:tcPr>
          <w:p w:rsidR="005D65E0" w:rsidRPr="00B57B08" w:rsidRDefault="005D65E0" w:rsidP="001F5AA6">
            <w:pPr>
              <w:rPr>
                <w:b/>
                <w:bCs/>
                <w:color w:val="000000" w:themeColor="text1"/>
                <w:sz w:val="22"/>
                <w:szCs w:val="22"/>
                <w:lang w:val="fr-CA"/>
              </w:rPr>
            </w:pPr>
            <w:r>
              <w:rPr>
                <w:b/>
                <w:bCs/>
                <w:color w:val="000000" w:themeColor="text1"/>
                <w:sz w:val="22"/>
                <w:szCs w:val="22"/>
                <w:lang w:val="fr-CA"/>
              </w:rPr>
              <w:t>RÉSULTATS PRÉVUS</w:t>
            </w:r>
          </w:p>
        </w:tc>
        <w:tc>
          <w:tcPr>
            <w:tcW w:w="2520" w:type="dxa"/>
            <w:gridSpan w:val="2"/>
            <w:tcBorders>
              <w:top w:val="single" w:sz="4" w:space="0" w:color="auto"/>
              <w:left w:val="nil"/>
              <w:bottom w:val="single" w:sz="4" w:space="0" w:color="auto"/>
              <w:right w:val="single" w:sz="4" w:space="0" w:color="auto"/>
            </w:tcBorders>
            <w:shd w:val="clear" w:color="auto" w:fill="auto"/>
          </w:tcPr>
          <w:p w:rsidR="005D65E0" w:rsidRPr="00B57B08" w:rsidRDefault="005D65E0" w:rsidP="001F5AA6">
            <w:pPr>
              <w:rPr>
                <w:b/>
                <w:bCs/>
                <w:color w:val="000000" w:themeColor="text1"/>
                <w:sz w:val="22"/>
                <w:szCs w:val="22"/>
                <w:lang w:val="fr-CA"/>
              </w:rPr>
            </w:pPr>
            <w:r>
              <w:rPr>
                <w:b/>
                <w:bCs/>
                <w:color w:val="000000" w:themeColor="text1"/>
                <w:sz w:val="22"/>
                <w:szCs w:val="22"/>
                <w:lang w:val="fr-CA"/>
              </w:rPr>
              <w:t>COOPÉRATION ET PARTENARIATS</w:t>
            </w:r>
          </w:p>
        </w:tc>
        <w:tc>
          <w:tcPr>
            <w:tcW w:w="2643" w:type="dxa"/>
            <w:tcBorders>
              <w:top w:val="single" w:sz="4" w:space="0" w:color="auto"/>
              <w:left w:val="nil"/>
              <w:bottom w:val="single" w:sz="4" w:space="0" w:color="auto"/>
              <w:right w:val="single" w:sz="4" w:space="0" w:color="auto"/>
            </w:tcBorders>
            <w:shd w:val="clear" w:color="auto" w:fill="auto"/>
          </w:tcPr>
          <w:p w:rsidR="005D65E0" w:rsidRPr="00B57B08" w:rsidRDefault="005D65E0" w:rsidP="001F5AA6">
            <w:pPr>
              <w:rPr>
                <w:b/>
                <w:bCs/>
                <w:color w:val="000000" w:themeColor="text1"/>
                <w:sz w:val="22"/>
                <w:szCs w:val="22"/>
                <w:lang w:val="fr-CA"/>
              </w:rPr>
            </w:pPr>
            <w:r>
              <w:rPr>
                <w:b/>
                <w:bCs/>
                <w:color w:val="000000" w:themeColor="text1"/>
                <w:sz w:val="22"/>
                <w:szCs w:val="22"/>
                <w:lang w:val="fr-CA"/>
              </w:rPr>
              <w:t>RÉPONSE ET ADAPTATION À LA COVID-19</w:t>
            </w:r>
          </w:p>
        </w:tc>
      </w:tr>
      <w:tr w:rsidR="005D65E0" w:rsidRPr="005C1AAB" w:rsidTr="005C1AAB">
        <w:trPr>
          <w:trHeight w:val="278"/>
        </w:trPr>
        <w:tc>
          <w:tcPr>
            <w:tcW w:w="3049" w:type="dxa"/>
            <w:tcBorders>
              <w:top w:val="nil"/>
              <w:left w:val="single" w:sz="4" w:space="0" w:color="auto"/>
              <w:bottom w:val="single" w:sz="4" w:space="0" w:color="auto"/>
              <w:right w:val="single" w:sz="4" w:space="0" w:color="auto"/>
            </w:tcBorders>
            <w:shd w:val="clear" w:color="auto" w:fill="auto"/>
          </w:tcPr>
          <w:p w:rsidR="005D65E0" w:rsidRDefault="005D65E0" w:rsidP="001F5AA6">
            <w:pPr>
              <w:rPr>
                <w:rFonts w:eastAsia="Calibri"/>
                <w:b/>
                <w:bCs/>
                <w:color w:val="000000" w:themeColor="text1"/>
                <w:sz w:val="22"/>
                <w:szCs w:val="22"/>
                <w:lang w:val="fr-CA"/>
              </w:rPr>
            </w:pPr>
            <w:r>
              <w:rPr>
                <w:rFonts w:eastAsia="Calibri"/>
                <w:b/>
                <w:bCs/>
                <w:color w:val="000000" w:themeColor="text1"/>
                <w:sz w:val="22"/>
                <w:szCs w:val="22"/>
                <w:lang w:val="fr-CA"/>
              </w:rPr>
              <w:t xml:space="preserve">Portail éducatif des Amériques : </w:t>
            </w:r>
            <w:r w:rsidRPr="0043142E">
              <w:rPr>
                <w:rFonts w:eastAsia="Calibri"/>
                <w:bCs/>
                <w:color w:val="000000" w:themeColor="text1"/>
                <w:sz w:val="22"/>
                <w:szCs w:val="22"/>
                <w:lang w:val="fr-CA"/>
              </w:rPr>
              <w:t>Favoriser</w:t>
            </w:r>
            <w:r>
              <w:rPr>
                <w:rFonts w:eastAsia="Calibri"/>
                <w:bCs/>
                <w:color w:val="000000" w:themeColor="text1"/>
                <w:sz w:val="22"/>
                <w:szCs w:val="22"/>
                <w:lang w:val="fr-CA"/>
              </w:rPr>
              <w:t xml:space="preserve"> à des citoyens des États membres de l’OEA</w:t>
            </w:r>
            <w:r w:rsidRPr="0043142E">
              <w:rPr>
                <w:rFonts w:eastAsia="Calibri"/>
                <w:bCs/>
                <w:color w:val="000000" w:themeColor="text1"/>
                <w:sz w:val="22"/>
                <w:szCs w:val="22"/>
                <w:lang w:val="fr-CA"/>
              </w:rPr>
              <w:t xml:space="preserve"> l’accès à une éducation de qualité par le biais de technologies de l’informatio</w:t>
            </w:r>
            <w:r>
              <w:rPr>
                <w:rFonts w:eastAsia="Calibri"/>
                <w:bCs/>
                <w:color w:val="000000" w:themeColor="text1"/>
                <w:sz w:val="22"/>
                <w:szCs w:val="22"/>
                <w:lang w:val="fr-CA"/>
              </w:rPr>
              <w:t>n et de la communication (TIC)</w:t>
            </w:r>
            <w:r w:rsidRPr="0043142E">
              <w:rPr>
                <w:rFonts w:eastAsia="Calibri"/>
                <w:bCs/>
                <w:color w:val="000000" w:themeColor="text1"/>
                <w:sz w:val="22"/>
                <w:szCs w:val="22"/>
                <w:lang w:val="fr-CA"/>
              </w:rPr>
              <w:t>.</w:t>
            </w:r>
          </w:p>
        </w:tc>
        <w:tc>
          <w:tcPr>
            <w:tcW w:w="3426" w:type="dxa"/>
            <w:tcBorders>
              <w:top w:val="single" w:sz="4" w:space="0" w:color="auto"/>
              <w:left w:val="nil"/>
              <w:bottom w:val="single" w:sz="4" w:space="0" w:color="auto"/>
              <w:right w:val="single" w:sz="4" w:space="0" w:color="auto"/>
            </w:tcBorders>
            <w:shd w:val="clear" w:color="auto" w:fill="auto"/>
          </w:tcPr>
          <w:p w:rsidR="005D65E0" w:rsidRPr="0043142E" w:rsidRDefault="005D65E0" w:rsidP="001F5AA6">
            <w:pPr>
              <w:rPr>
                <w:bCs/>
                <w:color w:val="000000" w:themeColor="text1"/>
                <w:sz w:val="22"/>
                <w:szCs w:val="22"/>
                <w:lang w:val="fr-CA"/>
              </w:rPr>
            </w:pPr>
            <w:r w:rsidRPr="0043142E">
              <w:rPr>
                <w:bCs/>
                <w:color w:val="000000" w:themeColor="text1"/>
                <w:sz w:val="22"/>
                <w:szCs w:val="22"/>
                <w:lang w:val="fr-CA"/>
              </w:rPr>
              <w:t>Le programme vise à combler le fossé numérique</w:t>
            </w:r>
            <w:r>
              <w:rPr>
                <w:bCs/>
                <w:color w:val="000000" w:themeColor="text1"/>
                <w:sz w:val="22"/>
                <w:szCs w:val="22"/>
                <w:lang w:val="fr-CA"/>
              </w:rPr>
              <w:t xml:space="preserve"> dans les Amériques en encourageant l’intégration des TIC dans la salle de classe et la formation des enseignants en innovation et en compétences générales. L’accès à la </w:t>
            </w:r>
            <w:r>
              <w:rPr>
                <w:bCs/>
                <w:color w:val="000000" w:themeColor="text1"/>
                <w:sz w:val="22"/>
                <w:szCs w:val="22"/>
                <w:lang w:val="fr-CA"/>
              </w:rPr>
              <w:lastRenderedPageBreak/>
              <w:t>technologie, la pensée novatrice et l’acquisition d’aptitudes pour relever les défis du XXI</w:t>
            </w:r>
            <w:r w:rsidRPr="000A3C5D">
              <w:rPr>
                <w:bCs/>
                <w:color w:val="000000" w:themeColor="text1"/>
                <w:sz w:val="22"/>
                <w:szCs w:val="22"/>
                <w:vertAlign w:val="superscript"/>
                <w:lang w:val="fr-CA"/>
              </w:rPr>
              <w:t>e</w:t>
            </w:r>
            <w:r>
              <w:rPr>
                <w:bCs/>
                <w:color w:val="000000" w:themeColor="text1"/>
                <w:sz w:val="22"/>
                <w:szCs w:val="22"/>
                <w:lang w:val="fr-CA"/>
              </w:rPr>
              <w:t xml:space="preserve"> siècle contribuent au développement d’un capital humain plus compétitif et plus créatif dans les pays bénéficiaires, des attributs qui sont importants pour accroitre la résilience.</w:t>
            </w:r>
          </w:p>
        </w:tc>
        <w:tc>
          <w:tcPr>
            <w:tcW w:w="2880" w:type="dxa"/>
            <w:gridSpan w:val="2"/>
            <w:tcBorders>
              <w:top w:val="single" w:sz="4" w:space="0" w:color="auto"/>
              <w:left w:val="nil"/>
              <w:bottom w:val="single" w:sz="4" w:space="0" w:color="auto"/>
              <w:right w:val="single" w:sz="4" w:space="0" w:color="auto"/>
            </w:tcBorders>
            <w:shd w:val="clear" w:color="auto" w:fill="auto"/>
          </w:tcPr>
          <w:p w:rsidR="005D65E0" w:rsidRDefault="005D65E0" w:rsidP="001F5AA6">
            <w:pPr>
              <w:rPr>
                <w:bCs/>
                <w:color w:val="000000" w:themeColor="text1"/>
                <w:sz w:val="22"/>
                <w:szCs w:val="22"/>
                <w:lang w:val="fr-CA"/>
              </w:rPr>
            </w:pPr>
            <w:r>
              <w:rPr>
                <w:bCs/>
                <w:color w:val="000000" w:themeColor="text1"/>
                <w:sz w:val="22"/>
                <w:szCs w:val="22"/>
                <w:lang w:val="fr-CA"/>
              </w:rPr>
              <w:lastRenderedPageBreak/>
              <w:t>Le programme Pro</w:t>
            </w:r>
            <w:r w:rsidRPr="00553460">
              <w:rPr>
                <w:bCs/>
                <w:color w:val="000000" w:themeColor="text1"/>
                <w:sz w:val="22"/>
                <w:szCs w:val="22"/>
                <w:lang w:val="fr-CA"/>
              </w:rPr>
              <w:t>Futuro a été exécuté dans cinq pays de la Caraïbe</w:t>
            </w:r>
            <w:r>
              <w:rPr>
                <w:bCs/>
                <w:color w:val="000000" w:themeColor="text1"/>
                <w:sz w:val="22"/>
                <w:szCs w:val="22"/>
                <w:lang w:val="fr-CA"/>
              </w:rPr>
              <w:t xml:space="preserve"> et cinq pays d’Amérique centrale pour appuyer le programme de ces pays en matière d’éducation.</w:t>
            </w:r>
          </w:p>
          <w:p w:rsidR="005D65E0" w:rsidRDefault="005D65E0" w:rsidP="001F5AA6">
            <w:pPr>
              <w:rPr>
                <w:bCs/>
                <w:color w:val="000000" w:themeColor="text1"/>
                <w:sz w:val="22"/>
                <w:szCs w:val="22"/>
                <w:lang w:val="fr-CA"/>
              </w:rPr>
            </w:pPr>
          </w:p>
          <w:p w:rsidR="005D65E0" w:rsidRDefault="005D65E0" w:rsidP="001F5AA6">
            <w:pPr>
              <w:rPr>
                <w:bCs/>
                <w:color w:val="000000" w:themeColor="text1"/>
                <w:sz w:val="22"/>
                <w:szCs w:val="22"/>
                <w:lang w:val="fr-CA"/>
              </w:rPr>
            </w:pPr>
            <w:r>
              <w:rPr>
                <w:bCs/>
                <w:color w:val="000000" w:themeColor="text1"/>
                <w:sz w:val="22"/>
                <w:szCs w:val="22"/>
                <w:lang w:val="fr-CA"/>
              </w:rPr>
              <w:lastRenderedPageBreak/>
              <w:t>Promotion de dialogues sur l’éducation numérique à l’échelle régionale et locale.</w:t>
            </w:r>
          </w:p>
          <w:p w:rsidR="005D65E0" w:rsidRDefault="005D65E0" w:rsidP="001F5AA6">
            <w:pPr>
              <w:rPr>
                <w:bCs/>
                <w:color w:val="000000" w:themeColor="text1"/>
                <w:sz w:val="22"/>
                <w:szCs w:val="22"/>
                <w:lang w:val="fr-CA"/>
              </w:rPr>
            </w:pPr>
          </w:p>
          <w:p w:rsidR="005D65E0" w:rsidRPr="00553460" w:rsidRDefault="005D65E0" w:rsidP="001F5AA6">
            <w:pPr>
              <w:rPr>
                <w:bCs/>
                <w:color w:val="000000" w:themeColor="text1"/>
                <w:sz w:val="22"/>
                <w:szCs w:val="22"/>
                <w:lang w:val="fr-CA"/>
              </w:rPr>
            </w:pPr>
            <w:r>
              <w:rPr>
                <w:bCs/>
                <w:color w:val="000000" w:themeColor="text1"/>
                <w:sz w:val="22"/>
                <w:szCs w:val="22"/>
                <w:lang w:val="fr-CA"/>
              </w:rPr>
              <w:t>Réduction du fossé en matière d’éducation numérique dans les États membres participants au moyen de l’accès à du matériel technologique dans 92 écoles primaires de ces pays, accompagné de la formation de plus de 1 200 enseignants en innovation et en utilisation des TIC pour l’éducation dans les pays de la Caraïbe et accès à un contenu éducatif numérique accordé à plus de 23 900 enfants dans des pays de la Caraïbe.</w:t>
            </w:r>
          </w:p>
        </w:tc>
        <w:tc>
          <w:tcPr>
            <w:tcW w:w="2520" w:type="dxa"/>
            <w:gridSpan w:val="2"/>
            <w:tcBorders>
              <w:top w:val="single" w:sz="4" w:space="0" w:color="auto"/>
              <w:left w:val="nil"/>
              <w:bottom w:val="single" w:sz="4" w:space="0" w:color="auto"/>
              <w:right w:val="single" w:sz="4" w:space="0" w:color="auto"/>
            </w:tcBorders>
            <w:shd w:val="clear" w:color="auto" w:fill="auto"/>
          </w:tcPr>
          <w:p w:rsidR="005D65E0" w:rsidRPr="008C3542" w:rsidRDefault="005D65E0" w:rsidP="001F5AA6">
            <w:pPr>
              <w:rPr>
                <w:bCs/>
                <w:color w:val="000000" w:themeColor="text1"/>
                <w:sz w:val="22"/>
                <w:szCs w:val="22"/>
                <w:lang w:val="fr-CA"/>
              </w:rPr>
            </w:pPr>
            <w:r>
              <w:rPr>
                <w:b/>
                <w:bCs/>
                <w:color w:val="000000" w:themeColor="text1"/>
                <w:sz w:val="22"/>
                <w:szCs w:val="22"/>
                <w:lang w:val="fr-CA"/>
              </w:rPr>
              <w:lastRenderedPageBreak/>
              <w:t xml:space="preserve">Internes (OEA) : </w:t>
            </w:r>
            <w:r w:rsidRPr="008C3542">
              <w:rPr>
                <w:bCs/>
                <w:color w:val="000000" w:themeColor="text1"/>
                <w:sz w:val="22"/>
                <w:szCs w:val="22"/>
                <w:lang w:val="fr-CA"/>
              </w:rPr>
              <w:t>CIE, RIED.</w:t>
            </w:r>
          </w:p>
          <w:p w:rsidR="005D65E0" w:rsidRPr="008C3542" w:rsidRDefault="005D65E0" w:rsidP="001F5AA6">
            <w:pPr>
              <w:rPr>
                <w:bCs/>
                <w:color w:val="000000" w:themeColor="text1"/>
                <w:sz w:val="22"/>
                <w:szCs w:val="22"/>
                <w:lang w:val="fr-CA"/>
              </w:rPr>
            </w:pPr>
          </w:p>
          <w:p w:rsidR="005D65E0" w:rsidRPr="00B57B08" w:rsidRDefault="005D65E0" w:rsidP="001F5AA6">
            <w:pPr>
              <w:rPr>
                <w:b/>
                <w:bCs/>
                <w:color w:val="000000" w:themeColor="text1"/>
                <w:sz w:val="22"/>
                <w:szCs w:val="22"/>
                <w:lang w:val="fr-CA"/>
              </w:rPr>
            </w:pPr>
            <w:r>
              <w:rPr>
                <w:b/>
                <w:bCs/>
                <w:color w:val="000000" w:themeColor="text1"/>
                <w:sz w:val="22"/>
                <w:szCs w:val="22"/>
                <w:lang w:val="fr-CA"/>
              </w:rPr>
              <w:t xml:space="preserve">Externes : </w:t>
            </w:r>
            <w:r w:rsidRPr="008C3542">
              <w:rPr>
                <w:bCs/>
                <w:color w:val="000000" w:themeColor="text1"/>
                <w:sz w:val="22"/>
                <w:szCs w:val="22"/>
                <w:lang w:val="fr-CA"/>
              </w:rPr>
              <w:t>Fondation ProFuturo</w:t>
            </w:r>
            <w:r>
              <w:rPr>
                <w:bCs/>
                <w:color w:val="000000" w:themeColor="text1"/>
                <w:sz w:val="22"/>
                <w:szCs w:val="22"/>
                <w:lang w:val="fr-CA"/>
              </w:rPr>
              <w:t xml:space="preserve">, ministères de l’éducation de cinq pays de la Caraïbe et cinq pays </w:t>
            </w:r>
            <w:r>
              <w:rPr>
                <w:bCs/>
                <w:color w:val="000000" w:themeColor="text1"/>
                <w:sz w:val="22"/>
                <w:szCs w:val="22"/>
                <w:lang w:val="fr-CA"/>
              </w:rPr>
              <w:lastRenderedPageBreak/>
              <w:t>d’Amérique centrale.</w:t>
            </w:r>
          </w:p>
        </w:tc>
        <w:tc>
          <w:tcPr>
            <w:tcW w:w="2643" w:type="dxa"/>
            <w:tcBorders>
              <w:top w:val="single" w:sz="4" w:space="0" w:color="auto"/>
              <w:left w:val="nil"/>
              <w:bottom w:val="single" w:sz="4" w:space="0" w:color="auto"/>
              <w:right w:val="single" w:sz="4" w:space="0" w:color="auto"/>
            </w:tcBorders>
            <w:shd w:val="clear" w:color="auto" w:fill="auto"/>
          </w:tcPr>
          <w:p w:rsidR="005D65E0" w:rsidRDefault="005D65E0" w:rsidP="001F5AA6">
            <w:pPr>
              <w:rPr>
                <w:b/>
                <w:bCs/>
                <w:color w:val="000000" w:themeColor="text1"/>
                <w:sz w:val="22"/>
                <w:szCs w:val="22"/>
                <w:lang w:val="fr-CA"/>
              </w:rPr>
            </w:pPr>
            <w:r>
              <w:rPr>
                <w:b/>
                <w:bCs/>
                <w:color w:val="000000" w:themeColor="text1"/>
                <w:sz w:val="22"/>
                <w:szCs w:val="22"/>
                <w:lang w:val="fr-CA"/>
              </w:rPr>
              <w:lastRenderedPageBreak/>
              <w:t xml:space="preserve">Partage de connaissances et de bonnes pratiques : </w:t>
            </w:r>
          </w:p>
          <w:p w:rsidR="005D65E0" w:rsidRPr="00A62AD3" w:rsidRDefault="005D65E0" w:rsidP="001F5AA6">
            <w:pPr>
              <w:rPr>
                <w:bCs/>
                <w:color w:val="000000" w:themeColor="text1"/>
                <w:sz w:val="22"/>
                <w:szCs w:val="22"/>
                <w:lang w:val="fr-CA"/>
              </w:rPr>
            </w:pPr>
          </w:p>
          <w:p w:rsidR="005D65E0" w:rsidRPr="00B57B08" w:rsidRDefault="005D65E0" w:rsidP="001F5AA6">
            <w:pPr>
              <w:rPr>
                <w:b/>
                <w:bCs/>
                <w:color w:val="000000" w:themeColor="text1"/>
                <w:sz w:val="22"/>
                <w:szCs w:val="22"/>
                <w:lang w:val="fr-CA"/>
              </w:rPr>
            </w:pPr>
            <w:r w:rsidRPr="00A62AD3">
              <w:rPr>
                <w:bCs/>
                <w:color w:val="000000" w:themeColor="text1"/>
                <w:sz w:val="22"/>
                <w:szCs w:val="22"/>
                <w:lang w:val="fr-CA"/>
              </w:rPr>
              <w:t>Les États membres ont accès à des opportunités d’apprendre</w:t>
            </w:r>
            <w:r>
              <w:rPr>
                <w:bCs/>
                <w:color w:val="000000" w:themeColor="text1"/>
                <w:sz w:val="22"/>
                <w:szCs w:val="22"/>
                <w:lang w:val="fr-CA"/>
              </w:rPr>
              <w:t xml:space="preserve">, de partager des projets, des données </w:t>
            </w:r>
            <w:r>
              <w:rPr>
                <w:bCs/>
                <w:color w:val="000000" w:themeColor="text1"/>
                <w:sz w:val="22"/>
                <w:szCs w:val="22"/>
                <w:lang w:val="fr-CA"/>
              </w:rPr>
              <w:lastRenderedPageBreak/>
              <w:t>d’expériences et d’autres ressources qui peuvent aider à mettre en œuvre, répliquer ou adapter des initiatives visant à mitiger les défis posés par la COVID-19.</w:t>
            </w:r>
          </w:p>
        </w:tc>
      </w:tr>
      <w:tr w:rsidR="005D65E0" w:rsidRPr="005C1AAB" w:rsidTr="001F5AA6">
        <w:trPr>
          <w:trHeight w:val="278"/>
        </w:trPr>
        <w:tc>
          <w:tcPr>
            <w:tcW w:w="3049"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OBJECTIF STRATÉGIQUE </w:t>
            </w:r>
            <w:r w:rsidRPr="00B57B08">
              <w:rPr>
                <w:rFonts w:eastAsia="Calibri"/>
                <w:b/>
                <w:bCs/>
                <w:color w:val="000000" w:themeColor="text1"/>
                <w:sz w:val="22"/>
                <w:szCs w:val="22"/>
                <w:lang w:val="fr-CA"/>
              </w:rPr>
              <w:t>:</w:t>
            </w:r>
          </w:p>
        </w:tc>
        <w:tc>
          <w:tcPr>
            <w:tcW w:w="11469" w:type="dxa"/>
            <w:gridSpan w:val="6"/>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w:t>
            </w:r>
            <w:r>
              <w:rPr>
                <w:b/>
                <w:bCs/>
                <w:color w:val="000000" w:themeColor="text1"/>
                <w:sz w:val="22"/>
                <w:szCs w:val="22"/>
                <w:lang w:val="fr-CA"/>
              </w:rPr>
              <w:t>.3. Renforcer les capacités institutionnelles des États membres à offrir une prise en charge globale de la petite enfance</w:t>
            </w:r>
            <w:r w:rsidRPr="00B57B08">
              <w:rPr>
                <w:b/>
                <w:bCs/>
                <w:color w:val="000000" w:themeColor="text1"/>
                <w:sz w:val="22"/>
                <w:szCs w:val="22"/>
                <w:lang w:val="fr-CA"/>
              </w:rPr>
              <w:t>.</w:t>
            </w:r>
          </w:p>
        </w:tc>
      </w:tr>
      <w:tr w:rsidR="005D65E0" w:rsidRPr="005C1AAB" w:rsidTr="001F5AA6">
        <w:trPr>
          <w:trHeight w:val="359"/>
        </w:trPr>
        <w:tc>
          <w:tcPr>
            <w:tcW w:w="14518" w:type="dxa"/>
            <w:gridSpan w:val="7"/>
            <w:tcBorders>
              <w:top w:val="single" w:sz="4" w:space="0" w:color="auto"/>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Dialogue politique en matière d’éducation </w:t>
            </w:r>
            <w:r w:rsidRPr="00B57B08">
              <w:rPr>
                <w:b/>
                <w:bCs/>
                <w:color w:val="000000" w:themeColor="text1"/>
                <w:sz w:val="22"/>
                <w:szCs w:val="22"/>
                <w:lang w:val="fr-CA"/>
              </w:rPr>
              <w:t>:</w:t>
            </w:r>
          </w:p>
        </w:tc>
      </w:tr>
      <w:tr w:rsidR="005D65E0" w:rsidRPr="005C1AAB" w:rsidTr="001F5AA6">
        <w:trPr>
          <w:trHeight w:val="2150"/>
        </w:trPr>
        <w:tc>
          <w:tcPr>
            <w:tcW w:w="3049" w:type="dxa"/>
            <w:tcBorders>
              <w:top w:val="nil"/>
              <w:left w:val="single" w:sz="4" w:space="0" w:color="auto"/>
              <w:bottom w:val="nil"/>
              <w:right w:val="single" w:sz="4" w:space="0" w:color="auto"/>
            </w:tcBorders>
            <w:shd w:val="clear" w:color="auto" w:fill="auto"/>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Process</w:t>
            </w:r>
            <w:r>
              <w:rPr>
                <w:b/>
                <w:bCs/>
                <w:color w:val="000000" w:themeColor="text1"/>
                <w:sz w:val="22"/>
                <w:szCs w:val="22"/>
                <w:lang w:val="fr-CA"/>
              </w:rPr>
              <w:t>us de la Réunion interaméricaine des ministres de l’éducation et Commission interaméricaine de l’éducation</w:t>
            </w:r>
            <w:r w:rsidRPr="00B57B08">
              <w:rPr>
                <w:b/>
                <w:bCs/>
                <w:color w:val="000000" w:themeColor="text1"/>
                <w:sz w:val="22"/>
                <w:szCs w:val="22"/>
                <w:lang w:val="fr-CA"/>
              </w:rPr>
              <w:t xml:space="preserve"> </w:t>
            </w:r>
          </w:p>
        </w:tc>
        <w:tc>
          <w:tcPr>
            <w:tcW w:w="3606" w:type="dxa"/>
            <w:gridSpan w:val="2"/>
            <w:tcBorders>
              <w:top w:val="nil"/>
              <w:left w:val="nil"/>
              <w:bottom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P</w:t>
            </w:r>
            <w:r>
              <w:rPr>
                <w:color w:val="000000" w:themeColor="text1"/>
                <w:sz w:val="22"/>
                <w:szCs w:val="22"/>
                <w:lang w:val="fr-CA"/>
              </w:rPr>
              <w:t>articiper à des dialogues sur l’application de politiques en matière de santé et de nutrition en coopérant avec l’Organisation panaméricaine de la santé et avec les membres du Groupe de travail interaméricain sur les maladies non transmissible (MNT) par l’intermédiaire des ministères de la santé</w:t>
            </w:r>
            <w:r w:rsidRPr="00B57B08">
              <w:rPr>
                <w:color w:val="000000" w:themeColor="text1"/>
                <w:sz w:val="22"/>
                <w:szCs w:val="22"/>
                <w:lang w:val="fr-CA"/>
              </w:rPr>
              <w:t>.</w:t>
            </w:r>
          </w:p>
        </w:tc>
        <w:tc>
          <w:tcPr>
            <w:tcW w:w="2700" w:type="dxa"/>
            <w:tcBorders>
              <w:top w:val="nil"/>
              <w:left w:val="nil"/>
              <w:bottom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Conscientisation aux meilleures pratiques dans le domaine des achats publics de produits alimentaires bons pour la santé dans les écoles afin d’intervenir et de contrôler des questions relatives à l’obésité et à la</w:t>
            </w:r>
            <w:r w:rsidRPr="00B57B08">
              <w:rPr>
                <w:color w:val="000000" w:themeColor="text1"/>
                <w:sz w:val="22"/>
                <w:szCs w:val="22"/>
                <w:lang w:val="fr-CA"/>
              </w:rPr>
              <w:t xml:space="preserve"> malnutrition</w:t>
            </w:r>
            <w:r>
              <w:rPr>
                <w:color w:val="000000" w:themeColor="text1"/>
                <w:sz w:val="22"/>
                <w:szCs w:val="22"/>
                <w:lang w:val="fr-CA"/>
              </w:rPr>
              <w:t xml:space="preserve"> dans les écoles</w:t>
            </w:r>
            <w:r w:rsidRPr="00B57B08">
              <w:rPr>
                <w:color w:val="000000" w:themeColor="text1"/>
                <w:sz w:val="22"/>
                <w:szCs w:val="22"/>
                <w:lang w:val="fr-CA"/>
              </w:rPr>
              <w:t>.</w:t>
            </w:r>
          </w:p>
        </w:tc>
        <w:tc>
          <w:tcPr>
            <w:tcW w:w="2500" w:type="dxa"/>
            <w:tcBorders>
              <w:top w:val="nil"/>
              <w:left w:val="nil"/>
              <w:bottom w:val="nil"/>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OPS</w:t>
            </w:r>
          </w:p>
        </w:tc>
        <w:tc>
          <w:tcPr>
            <w:tcW w:w="2663" w:type="dxa"/>
            <w:gridSpan w:val="2"/>
            <w:tcBorders>
              <w:top w:val="nil"/>
              <w:left w:val="nil"/>
              <w:bottom w:val="nil"/>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r w:rsidRPr="00834670">
              <w:rPr>
                <w:b/>
                <w:color w:val="000000" w:themeColor="text1"/>
                <w:sz w:val="22"/>
                <w:szCs w:val="22"/>
                <w:lang w:val="fr-CA"/>
              </w:rPr>
              <w:t>Partage de connaissances et de bonnes pratiques :</w:t>
            </w:r>
            <w:r>
              <w:rPr>
                <w:color w:val="000000" w:themeColor="text1"/>
                <w:sz w:val="22"/>
                <w:szCs w:val="22"/>
                <w:lang w:val="fr-CA"/>
              </w:rPr>
              <w:t xml:space="preserve"> Systématisation d’expériences effectuées en faveur de la petite enfance en réponse à la COVID-19.</w:t>
            </w:r>
          </w:p>
        </w:tc>
      </w:tr>
      <w:tr w:rsidR="005D65E0" w:rsidRPr="005C1AAB" w:rsidTr="001F5AA6">
        <w:trPr>
          <w:trHeight w:val="2150"/>
        </w:trPr>
        <w:tc>
          <w:tcPr>
            <w:tcW w:w="3049" w:type="dxa"/>
            <w:tcBorders>
              <w:top w:val="nil"/>
              <w:left w:val="single" w:sz="4" w:space="0" w:color="auto"/>
              <w:bottom w:val="single" w:sz="4" w:space="0" w:color="auto"/>
              <w:right w:val="single" w:sz="4" w:space="0" w:color="auto"/>
            </w:tcBorders>
            <w:shd w:val="clear" w:color="auto" w:fill="auto"/>
          </w:tcPr>
          <w:p w:rsidR="005D65E0" w:rsidRDefault="005D65E0" w:rsidP="001F5AA6">
            <w:pPr>
              <w:rPr>
                <w:rFonts w:eastAsia="Calibri"/>
                <w:b/>
                <w:bCs/>
                <w:color w:val="000000" w:themeColor="text1"/>
                <w:sz w:val="22"/>
                <w:szCs w:val="22"/>
                <w:lang w:val="fr-CA"/>
              </w:rPr>
            </w:pPr>
            <w:r>
              <w:rPr>
                <w:rFonts w:eastAsia="Calibri"/>
                <w:b/>
                <w:bCs/>
                <w:color w:val="000000" w:themeColor="text1"/>
                <w:sz w:val="22"/>
                <w:szCs w:val="22"/>
                <w:lang w:val="fr-CA"/>
              </w:rPr>
              <w:lastRenderedPageBreak/>
              <w:t>INITIATIVES ET ACTIVITÉS</w:t>
            </w:r>
          </w:p>
        </w:tc>
        <w:tc>
          <w:tcPr>
            <w:tcW w:w="3606" w:type="dxa"/>
            <w:gridSpan w:val="2"/>
            <w:tcBorders>
              <w:top w:val="nil"/>
              <w:left w:val="nil"/>
              <w:bottom w:val="single" w:sz="4" w:space="0" w:color="auto"/>
              <w:right w:val="single" w:sz="4" w:space="0" w:color="auto"/>
            </w:tcBorders>
            <w:shd w:val="clear" w:color="auto" w:fill="auto"/>
          </w:tcPr>
          <w:p w:rsidR="005D65E0" w:rsidRPr="00834670" w:rsidRDefault="005D65E0" w:rsidP="001F5AA6">
            <w:pPr>
              <w:rPr>
                <w:b/>
                <w:bCs/>
                <w:color w:val="000000" w:themeColor="text1"/>
                <w:sz w:val="22"/>
                <w:szCs w:val="22"/>
                <w:lang w:val="fr-CA"/>
              </w:rPr>
            </w:pPr>
            <w:r w:rsidRPr="00834670">
              <w:rPr>
                <w:b/>
                <w:bCs/>
                <w:color w:val="000000" w:themeColor="text1"/>
                <w:sz w:val="22"/>
                <w:szCs w:val="22"/>
                <w:lang w:val="fr-CA"/>
              </w:rPr>
              <w:t>CONTRIBUTION À LA RÉSILIENCE ET À LA COMPÉTITIVITÉ</w:t>
            </w:r>
          </w:p>
        </w:tc>
        <w:tc>
          <w:tcPr>
            <w:tcW w:w="2700" w:type="dxa"/>
            <w:tcBorders>
              <w:top w:val="nil"/>
              <w:left w:val="nil"/>
              <w:bottom w:val="single" w:sz="4" w:space="0" w:color="auto"/>
              <w:right w:val="single" w:sz="4" w:space="0" w:color="auto"/>
            </w:tcBorders>
            <w:shd w:val="clear" w:color="auto" w:fill="auto"/>
          </w:tcPr>
          <w:p w:rsidR="005D65E0" w:rsidRPr="00026FCE" w:rsidRDefault="005D65E0" w:rsidP="001F5AA6">
            <w:pPr>
              <w:rPr>
                <w:b/>
                <w:bCs/>
                <w:color w:val="000000" w:themeColor="text1"/>
                <w:sz w:val="22"/>
                <w:szCs w:val="22"/>
                <w:lang w:val="fr-CA"/>
              </w:rPr>
            </w:pPr>
            <w:r w:rsidRPr="00026FCE">
              <w:rPr>
                <w:b/>
                <w:bCs/>
                <w:color w:val="000000" w:themeColor="text1"/>
                <w:sz w:val="22"/>
                <w:szCs w:val="22"/>
                <w:lang w:val="fr-CA"/>
              </w:rPr>
              <w:t>RÉSULTATS PRÉVUS</w:t>
            </w:r>
          </w:p>
        </w:tc>
        <w:tc>
          <w:tcPr>
            <w:tcW w:w="2500" w:type="dxa"/>
            <w:tcBorders>
              <w:top w:val="nil"/>
              <w:left w:val="nil"/>
              <w:bottom w:val="single" w:sz="4" w:space="0" w:color="auto"/>
              <w:right w:val="single" w:sz="4" w:space="0" w:color="auto"/>
            </w:tcBorders>
            <w:shd w:val="clear" w:color="auto" w:fill="auto"/>
          </w:tcPr>
          <w:p w:rsidR="005D65E0" w:rsidRDefault="005D65E0" w:rsidP="001F5AA6">
            <w:pPr>
              <w:rPr>
                <w:b/>
                <w:bCs/>
                <w:color w:val="000000" w:themeColor="text1"/>
                <w:sz w:val="22"/>
                <w:szCs w:val="22"/>
                <w:lang w:val="fr-CA"/>
              </w:rPr>
            </w:pPr>
            <w:r>
              <w:rPr>
                <w:b/>
                <w:bCs/>
                <w:color w:val="000000" w:themeColor="text1"/>
                <w:sz w:val="22"/>
                <w:szCs w:val="22"/>
                <w:lang w:val="fr-CA"/>
              </w:rPr>
              <w:t>COOPÉRATION ET PARTENARIATS</w:t>
            </w:r>
          </w:p>
        </w:tc>
        <w:tc>
          <w:tcPr>
            <w:tcW w:w="2663" w:type="dxa"/>
            <w:gridSpan w:val="2"/>
            <w:tcBorders>
              <w:top w:val="nil"/>
              <w:left w:val="nil"/>
              <w:bottom w:val="single" w:sz="4" w:space="0" w:color="auto"/>
              <w:right w:val="single" w:sz="4" w:space="0" w:color="auto"/>
            </w:tcBorders>
            <w:shd w:val="clear" w:color="auto" w:fill="auto"/>
            <w:vAlign w:val="center"/>
          </w:tcPr>
          <w:p w:rsidR="005D65E0" w:rsidRPr="00B57B08" w:rsidRDefault="005D65E0" w:rsidP="001F5AA6">
            <w:pPr>
              <w:rPr>
                <w:color w:val="000000" w:themeColor="text1"/>
                <w:sz w:val="22"/>
                <w:szCs w:val="22"/>
                <w:lang w:val="fr-CA"/>
              </w:rPr>
            </w:pPr>
            <w:r>
              <w:rPr>
                <w:b/>
                <w:bCs/>
                <w:color w:val="000000" w:themeColor="text1"/>
                <w:sz w:val="22"/>
                <w:szCs w:val="22"/>
                <w:lang w:val="fr-CA"/>
              </w:rPr>
              <w:t>RÉPONSE ET ADAPTATION À LA COVID-19</w:t>
            </w:r>
          </w:p>
        </w:tc>
      </w:tr>
    </w:tbl>
    <w:p w:rsidR="005D65E0" w:rsidRPr="00B57B08" w:rsidRDefault="005D65E0" w:rsidP="005D65E0">
      <w:pPr>
        <w:rPr>
          <w:b/>
          <w:color w:val="000000" w:themeColor="text1"/>
          <w:sz w:val="22"/>
          <w:szCs w:val="22"/>
          <w:u w:val="single"/>
          <w:lang w:val="fr-CA"/>
        </w:rPr>
      </w:pPr>
    </w:p>
    <w:tbl>
      <w:tblPr>
        <w:tblW w:w="147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2835"/>
        <w:gridCol w:w="3205"/>
        <w:gridCol w:w="2900"/>
        <w:gridCol w:w="2700"/>
      </w:tblGrid>
      <w:tr w:rsidR="005D65E0" w:rsidRPr="005C1AAB" w:rsidTr="001F5AA6">
        <w:trPr>
          <w:trHeight w:val="585"/>
        </w:trPr>
        <w:tc>
          <w:tcPr>
            <w:tcW w:w="3100" w:type="dxa"/>
            <w:shd w:val="clear" w:color="auto" w:fill="auto"/>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 </w:t>
            </w:r>
            <w:r w:rsidRPr="00B57B08">
              <w:rPr>
                <w:rFonts w:eastAsia="Calibri"/>
                <w:b/>
                <w:bCs/>
                <w:color w:val="000000" w:themeColor="text1"/>
                <w:sz w:val="22"/>
                <w:szCs w:val="22"/>
                <w:lang w:val="fr-CA"/>
              </w:rPr>
              <w:t>:</w:t>
            </w:r>
          </w:p>
        </w:tc>
        <w:tc>
          <w:tcPr>
            <w:tcW w:w="11640" w:type="dxa"/>
            <w:gridSpan w:val="4"/>
            <w:shd w:val="clear" w:color="auto" w:fill="auto"/>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3.4. F</w:t>
            </w:r>
            <w:r>
              <w:rPr>
                <w:b/>
                <w:bCs/>
                <w:color w:val="000000" w:themeColor="text1"/>
                <w:sz w:val="22"/>
                <w:szCs w:val="22"/>
                <w:lang w:val="fr-CA"/>
              </w:rPr>
              <w:t>avoriser aux États membres l’accès à la possibilité d’obtenir une éducation de qualité, inclusive et équitable à tous les niveaux, selon toutes les modalités, et dans les quatre langues officielles de l’Organisation</w:t>
            </w:r>
            <w:r w:rsidRPr="00B57B08">
              <w:rPr>
                <w:b/>
                <w:bCs/>
                <w:color w:val="000000" w:themeColor="text1"/>
                <w:sz w:val="22"/>
                <w:szCs w:val="22"/>
                <w:lang w:val="fr-CA"/>
              </w:rPr>
              <w:t>.</w:t>
            </w:r>
          </w:p>
        </w:tc>
      </w:tr>
      <w:tr w:rsidR="005D65E0" w:rsidRPr="00B57B08" w:rsidTr="001F5AA6">
        <w:trPr>
          <w:trHeight w:val="3375"/>
        </w:trPr>
        <w:tc>
          <w:tcPr>
            <w:tcW w:w="3100" w:type="dxa"/>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Programme de bourses d’études universitaires de l’OEA </w:t>
            </w:r>
            <w:r w:rsidRPr="00B57B08">
              <w:rPr>
                <w:b/>
                <w:bCs/>
                <w:color w:val="000000" w:themeColor="text1"/>
                <w:sz w:val="22"/>
                <w:szCs w:val="22"/>
                <w:lang w:val="fr-CA"/>
              </w:rPr>
              <w:t>:</w:t>
            </w:r>
            <w:r>
              <w:rPr>
                <w:color w:val="000000" w:themeColor="text1"/>
                <w:sz w:val="22"/>
                <w:szCs w:val="22"/>
                <w:lang w:val="fr-CA"/>
              </w:rPr>
              <w:t xml:space="preserve"> Octroyer tous les ans des bourses d’études pour des maîtrises, des doctorats ou de la recherche aux deuxième et troisième cycles menant à un diplôme universitaire</w:t>
            </w:r>
            <w:r w:rsidRPr="00B57B08">
              <w:rPr>
                <w:color w:val="000000" w:themeColor="text1"/>
                <w:sz w:val="22"/>
                <w:szCs w:val="22"/>
                <w:lang w:val="fr-CA"/>
              </w:rPr>
              <w:t xml:space="preserve">. </w:t>
            </w:r>
          </w:p>
        </w:tc>
        <w:tc>
          <w:tcPr>
            <w:tcW w:w="2835" w:type="dxa"/>
            <w:shd w:val="clear" w:color="auto" w:fill="auto"/>
            <w:hideMark/>
          </w:tcPr>
          <w:p w:rsidR="005D65E0" w:rsidRPr="00B57B08" w:rsidRDefault="005D65E0" w:rsidP="001F5AA6">
            <w:pPr>
              <w:rPr>
                <w:color w:val="000000" w:themeColor="text1"/>
                <w:sz w:val="22"/>
                <w:szCs w:val="22"/>
                <w:lang w:val="fr-CA"/>
              </w:rPr>
            </w:pPr>
          </w:p>
        </w:tc>
        <w:tc>
          <w:tcPr>
            <w:tcW w:w="3205" w:type="dxa"/>
            <w:shd w:val="clear" w:color="auto" w:fill="auto"/>
            <w:hideMark/>
          </w:tcPr>
          <w:p w:rsidR="005D65E0" w:rsidRDefault="005D65E0" w:rsidP="001F5AA6">
            <w:pPr>
              <w:rPr>
                <w:color w:val="000000" w:themeColor="text1"/>
                <w:sz w:val="22"/>
                <w:szCs w:val="22"/>
                <w:lang w:val="fr-CA"/>
              </w:rPr>
            </w:pPr>
            <w:r w:rsidRPr="00B57B08">
              <w:rPr>
                <w:color w:val="000000" w:themeColor="text1"/>
                <w:sz w:val="22"/>
                <w:szCs w:val="22"/>
                <w:lang w:val="fr-CA"/>
              </w:rPr>
              <w:t xml:space="preserve"> </w:t>
            </w:r>
            <w:r>
              <w:rPr>
                <w:color w:val="000000" w:themeColor="text1"/>
                <w:sz w:val="22"/>
                <w:szCs w:val="22"/>
                <w:lang w:val="fr-CA"/>
              </w:rPr>
              <w:t>E</w:t>
            </w:r>
            <w:r w:rsidRPr="00B57B08">
              <w:rPr>
                <w:color w:val="000000" w:themeColor="text1"/>
                <w:sz w:val="22"/>
                <w:szCs w:val="22"/>
                <w:lang w:val="fr-CA"/>
              </w:rPr>
              <w:t>n 2020,</w:t>
            </w:r>
            <w:r>
              <w:rPr>
                <w:color w:val="000000" w:themeColor="text1"/>
                <w:sz w:val="22"/>
                <w:szCs w:val="22"/>
                <w:lang w:val="fr-CA"/>
              </w:rPr>
              <w:t xml:space="preserve"> on s’attend à ce que le Programme de bourses d’étude de l’OEA accorde</w:t>
            </w:r>
            <w:r w:rsidRPr="00B57B08">
              <w:rPr>
                <w:color w:val="000000" w:themeColor="text1"/>
                <w:sz w:val="22"/>
                <w:szCs w:val="22"/>
                <w:lang w:val="fr-CA"/>
              </w:rPr>
              <w:t xml:space="preserve"> 3000</w:t>
            </w:r>
            <w:r>
              <w:rPr>
                <w:color w:val="000000" w:themeColor="text1"/>
                <w:sz w:val="22"/>
                <w:szCs w:val="22"/>
                <w:lang w:val="fr-CA"/>
              </w:rPr>
              <w:t xml:space="preserve"> bourses d’études dans les États membres pour élargir l’accès à des études de qualité et renforcer le développement professionnel dans des domaines spécialisés du travail, comme suit :</w:t>
            </w:r>
            <w:r w:rsidRPr="00B57B08">
              <w:rPr>
                <w:color w:val="000000" w:themeColor="text1"/>
                <w:sz w:val="22"/>
                <w:szCs w:val="22"/>
                <w:lang w:val="fr-CA"/>
              </w:rPr>
              <w:t xml:space="preserve">   </w:t>
            </w:r>
          </w:p>
          <w:p w:rsidR="005D65E0" w:rsidRDefault="005D65E0" w:rsidP="001F5AA6">
            <w:pPr>
              <w:rPr>
                <w:color w:val="000000" w:themeColor="text1"/>
                <w:sz w:val="22"/>
                <w:szCs w:val="22"/>
                <w:lang w:val="fr-CA"/>
              </w:rPr>
            </w:pPr>
            <w:r>
              <w:rPr>
                <w:color w:val="000000" w:themeColor="text1"/>
                <w:sz w:val="22"/>
                <w:szCs w:val="22"/>
                <w:lang w:val="fr-CA"/>
              </w:rPr>
              <w:t>-</w:t>
            </w:r>
            <w:r w:rsidRPr="00026FCE">
              <w:rPr>
                <w:color w:val="000000" w:themeColor="text1"/>
                <w:sz w:val="22"/>
                <w:szCs w:val="22"/>
                <w:lang w:val="fr-CA"/>
              </w:rPr>
              <w:t>Quarante-sept bourses d’études pour des baccalauréats, des maitrises</w:t>
            </w:r>
            <w:r>
              <w:rPr>
                <w:color w:val="000000" w:themeColor="text1"/>
                <w:sz w:val="22"/>
                <w:szCs w:val="22"/>
                <w:lang w:val="fr-CA"/>
              </w:rPr>
              <w:t xml:space="preserve"> et des doctorats.</w:t>
            </w:r>
          </w:p>
          <w:p w:rsidR="005D65E0" w:rsidRDefault="005D65E0" w:rsidP="001F5AA6">
            <w:pPr>
              <w:rPr>
                <w:color w:val="000000" w:themeColor="text1"/>
                <w:sz w:val="22"/>
                <w:szCs w:val="22"/>
                <w:lang w:val="fr-CA"/>
              </w:rPr>
            </w:pPr>
            <w:r>
              <w:rPr>
                <w:color w:val="000000" w:themeColor="text1"/>
                <w:sz w:val="22"/>
                <w:szCs w:val="22"/>
                <w:lang w:val="fr-CA"/>
              </w:rPr>
              <w:t>-Deux cent cinquante cours de développement professionnel.</w:t>
            </w:r>
          </w:p>
          <w:p w:rsidR="005D65E0" w:rsidRDefault="005D65E0" w:rsidP="001F5AA6">
            <w:pPr>
              <w:rPr>
                <w:color w:val="000000" w:themeColor="text1"/>
                <w:sz w:val="22"/>
                <w:szCs w:val="22"/>
                <w:lang w:val="fr-CA"/>
              </w:rPr>
            </w:pPr>
            <w:r>
              <w:rPr>
                <w:color w:val="000000" w:themeColor="text1"/>
                <w:sz w:val="22"/>
                <w:szCs w:val="22"/>
                <w:lang w:val="fr-CA"/>
              </w:rPr>
              <w:t>-Trois mille bourses dans le cadre du PAEC pour des études de maitrise et de doctorat ainsi que des certificats de formation professionnelle.</w:t>
            </w:r>
          </w:p>
          <w:p w:rsidR="005D65E0" w:rsidRPr="00026FCE" w:rsidRDefault="005D65E0" w:rsidP="001F5AA6">
            <w:pPr>
              <w:rPr>
                <w:color w:val="000000" w:themeColor="text1"/>
                <w:sz w:val="22"/>
                <w:szCs w:val="22"/>
                <w:lang w:val="fr-CA"/>
              </w:rPr>
            </w:pPr>
          </w:p>
        </w:tc>
        <w:tc>
          <w:tcPr>
            <w:tcW w:w="2900" w:type="dxa"/>
            <w:vMerge w:val="restart"/>
            <w:shd w:val="clear" w:color="auto" w:fill="auto"/>
            <w:hideMark/>
          </w:tcPr>
          <w:p w:rsidR="005D65E0"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Le</w:t>
            </w:r>
            <w:r w:rsidRPr="00B57B08">
              <w:rPr>
                <w:color w:val="000000" w:themeColor="text1"/>
                <w:sz w:val="22"/>
                <w:szCs w:val="22"/>
                <w:lang w:val="fr-CA"/>
              </w:rPr>
              <w:t xml:space="preserve"> SEDI</w:t>
            </w:r>
            <w:r>
              <w:rPr>
                <w:color w:val="000000" w:themeColor="text1"/>
                <w:sz w:val="22"/>
                <w:szCs w:val="22"/>
                <w:lang w:val="fr-CA"/>
              </w:rPr>
              <w:t xml:space="preserve"> en entier et le</w:t>
            </w:r>
            <w:r w:rsidRPr="00B57B08">
              <w:rPr>
                <w:color w:val="000000" w:themeColor="text1"/>
                <w:sz w:val="22"/>
                <w:szCs w:val="22"/>
                <w:lang w:val="fr-CA"/>
              </w:rPr>
              <w:t xml:space="preserve"> CICTE.</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sidRPr="00B57B08">
              <w:rPr>
                <w:color w:val="000000" w:themeColor="text1"/>
                <w:sz w:val="22"/>
                <w:szCs w:val="22"/>
                <w:lang w:val="fr-CA"/>
              </w:rPr>
              <w:t>Go</w:t>
            </w:r>
            <w:r>
              <w:rPr>
                <w:color w:val="000000" w:themeColor="text1"/>
                <w:sz w:val="22"/>
                <w:szCs w:val="22"/>
                <w:lang w:val="fr-CA"/>
              </w:rPr>
              <w:t xml:space="preserve">uvernement du Chili. Des négociations sont en cours avec les gouvernements de la Barbade et de Sainte-Lucie relativement à de nouveaux programmes de bourses d’études. </w:t>
            </w:r>
          </w:p>
          <w:p w:rsidR="005D65E0" w:rsidRDefault="005D65E0" w:rsidP="001F5AA6">
            <w:pPr>
              <w:rPr>
                <w:color w:val="000000" w:themeColor="text1"/>
                <w:sz w:val="22"/>
                <w:szCs w:val="22"/>
                <w:lang w:val="fr-CA"/>
              </w:rPr>
            </w:pPr>
            <w:r>
              <w:rPr>
                <w:color w:val="000000" w:themeColor="text1"/>
                <w:sz w:val="22"/>
                <w:szCs w:val="22"/>
                <w:lang w:val="fr-CA"/>
              </w:rPr>
              <w:t xml:space="preserve">-Des bourses d’études seront octroyées en partenariat avec les gouvernements d’États membres,  ainsi qu’avec plus de 160 universités publiques et privées dans des États membres de l’OEA ainsi que dans des pays observateurs permanents, de même que </w:t>
            </w:r>
            <w:r>
              <w:rPr>
                <w:color w:val="000000" w:themeColor="text1"/>
                <w:sz w:val="22"/>
                <w:szCs w:val="22"/>
                <w:lang w:val="fr-CA"/>
              </w:rPr>
              <w:lastRenderedPageBreak/>
              <w:t>d’autres institutions d’enseignement.</w:t>
            </w:r>
            <w:r>
              <w:rPr>
                <w:color w:val="000000" w:themeColor="text1"/>
                <w:sz w:val="22"/>
                <w:szCs w:val="22"/>
                <w:lang w:val="fr-CA"/>
              </w:rPr>
              <w:br/>
            </w:r>
          </w:p>
          <w:p w:rsidR="005D65E0" w:rsidRPr="00B57B08" w:rsidRDefault="005D65E0" w:rsidP="001F5AA6">
            <w:pPr>
              <w:rPr>
                <w:color w:val="000000" w:themeColor="text1"/>
                <w:sz w:val="22"/>
                <w:szCs w:val="22"/>
                <w:lang w:val="fr-CA"/>
              </w:rPr>
            </w:pPr>
            <w:r>
              <w:rPr>
                <w:color w:val="000000" w:themeColor="text1"/>
                <w:sz w:val="22"/>
                <w:szCs w:val="22"/>
                <w:lang w:val="fr-CA"/>
              </w:rPr>
              <w:t>- Nouveau programme éventuel avec</w:t>
            </w:r>
            <w:r w:rsidRPr="00B57B08">
              <w:rPr>
                <w:color w:val="000000" w:themeColor="text1"/>
                <w:sz w:val="22"/>
                <w:szCs w:val="22"/>
                <w:lang w:val="fr-CA"/>
              </w:rPr>
              <w:t xml:space="preserve"> </w:t>
            </w:r>
            <w:r w:rsidR="005C1AAB" w:rsidRPr="00B57B08">
              <w:rPr>
                <w:color w:val="000000" w:themeColor="text1"/>
                <w:sz w:val="22"/>
                <w:szCs w:val="22"/>
                <w:lang w:val="fr-CA"/>
              </w:rPr>
              <w:t>Structurale</w:t>
            </w:r>
            <w:r>
              <w:rPr>
                <w:color w:val="000000" w:themeColor="text1"/>
                <w:sz w:val="22"/>
                <w:szCs w:val="22"/>
                <w:lang w:val="fr-CA"/>
              </w:rPr>
              <w:t xml:space="preserve"> en Espagne dans lequel 3 400 nouvelles bourses seront offertes par années pour des études en ligne en ingénierie et en</w:t>
            </w:r>
            <w:r w:rsidRPr="00B57B08">
              <w:rPr>
                <w:color w:val="000000" w:themeColor="text1"/>
                <w:sz w:val="22"/>
                <w:szCs w:val="22"/>
                <w:lang w:val="fr-CA"/>
              </w:rPr>
              <w:t xml:space="preserve"> architecture.</w:t>
            </w:r>
          </w:p>
        </w:tc>
        <w:tc>
          <w:tcPr>
            <w:tcW w:w="2700" w:type="dxa"/>
            <w:vMerge w:val="restart"/>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lastRenderedPageBreak/>
              <w:t>Élargir l’accès à l’éducation </w:t>
            </w:r>
            <w:r w:rsidRPr="00B57B08">
              <w:rPr>
                <w:b/>
                <w:bCs/>
                <w:color w:val="000000" w:themeColor="text1"/>
                <w:sz w:val="22"/>
                <w:szCs w:val="22"/>
                <w:lang w:val="fr-CA"/>
              </w:rPr>
              <w:t>:</w:t>
            </w:r>
            <w:r w:rsidRPr="00B57B08">
              <w:rPr>
                <w:b/>
                <w:bCs/>
                <w:color w:val="000000" w:themeColor="text1"/>
                <w:sz w:val="22"/>
                <w:szCs w:val="22"/>
                <w:lang w:val="fr-CA"/>
              </w:rPr>
              <w:br/>
            </w:r>
            <w:r>
              <w:rPr>
                <w:color w:val="000000" w:themeColor="text1"/>
                <w:sz w:val="22"/>
                <w:szCs w:val="22"/>
                <w:lang w:val="fr-CA"/>
              </w:rPr>
              <w:t>À partir de mai, le SEDI offrira 50 cours de perfectionnement gratuits avec le soutien de partenaires stratégiques. D’autres cours en ligne sont en cours de négociation</w:t>
            </w:r>
            <w:r w:rsidRPr="00B57B08">
              <w:rPr>
                <w:color w:val="000000" w:themeColor="text1"/>
                <w:sz w:val="22"/>
                <w:szCs w:val="22"/>
                <w:lang w:val="fr-CA"/>
              </w:rPr>
              <w:t>.</w:t>
            </w:r>
          </w:p>
        </w:tc>
      </w:tr>
      <w:tr w:rsidR="005D65E0" w:rsidRPr="005C1AAB" w:rsidTr="001F5AA6">
        <w:trPr>
          <w:trHeight w:val="2490"/>
        </w:trPr>
        <w:tc>
          <w:tcPr>
            <w:tcW w:w="3100" w:type="dxa"/>
            <w:shd w:val="clear" w:color="auto" w:fill="auto"/>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lastRenderedPageBreak/>
              <w:t>P</w:t>
            </w:r>
            <w:r>
              <w:rPr>
                <w:b/>
                <w:bCs/>
                <w:color w:val="000000" w:themeColor="text1"/>
                <w:sz w:val="22"/>
                <w:szCs w:val="22"/>
                <w:lang w:val="fr-CA"/>
              </w:rPr>
              <w:t>rogramme de bourses de développement professionnel </w:t>
            </w:r>
            <w:r w:rsidRPr="00B57B08">
              <w:rPr>
                <w:b/>
                <w:bCs/>
                <w:color w:val="000000" w:themeColor="text1"/>
                <w:sz w:val="22"/>
                <w:szCs w:val="22"/>
                <w:lang w:val="fr-CA"/>
              </w:rPr>
              <w:t>:</w:t>
            </w:r>
            <w:r>
              <w:rPr>
                <w:color w:val="000000" w:themeColor="text1"/>
                <w:sz w:val="22"/>
                <w:szCs w:val="22"/>
                <w:lang w:val="fr-CA"/>
              </w:rPr>
              <w:t xml:space="preserve"> Ce programme offre aux citoyens et aux résidents permanents des États membres de l’OEA des formations à court terme (sur place, en ligne ou un mélange des deux) pour élargir et renforcer leur développement professionnel dans des domaines de travail spécialisés. </w:t>
            </w:r>
          </w:p>
        </w:tc>
        <w:tc>
          <w:tcPr>
            <w:tcW w:w="2835" w:type="dxa"/>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C</w:t>
            </w:r>
            <w:r>
              <w:rPr>
                <w:color w:val="000000" w:themeColor="text1"/>
                <w:sz w:val="22"/>
                <w:szCs w:val="22"/>
                <w:lang w:val="fr-CA"/>
              </w:rPr>
              <w:t>ontribuer au développement du capital humain, ce qui entraine la résilience, la compétitivité et le développement dans les pays de la région.</w:t>
            </w:r>
            <w:r w:rsidRPr="00B57B08">
              <w:rPr>
                <w:color w:val="000000" w:themeColor="text1"/>
                <w:sz w:val="22"/>
                <w:szCs w:val="22"/>
                <w:lang w:val="fr-CA"/>
              </w:rPr>
              <w:t xml:space="preserve"> </w:t>
            </w:r>
          </w:p>
        </w:tc>
        <w:tc>
          <w:tcPr>
            <w:tcW w:w="3205" w:type="dxa"/>
            <w:shd w:val="clear" w:color="auto" w:fill="auto"/>
            <w:hideMark/>
          </w:tcPr>
          <w:p w:rsidR="005D65E0" w:rsidRPr="00B57B08" w:rsidRDefault="005D65E0" w:rsidP="001F5AA6">
            <w:pPr>
              <w:rPr>
                <w:color w:val="000000" w:themeColor="text1"/>
                <w:sz w:val="22"/>
                <w:szCs w:val="22"/>
                <w:lang w:val="fr-CA"/>
              </w:rPr>
            </w:pP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700"/>
        </w:trPr>
        <w:tc>
          <w:tcPr>
            <w:tcW w:w="3100" w:type="dxa"/>
            <w:vMerge w:val="restart"/>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lastRenderedPageBreak/>
              <w:t>L</w:t>
            </w:r>
            <w:r w:rsidRPr="00B57B08">
              <w:rPr>
                <w:b/>
                <w:bCs/>
                <w:color w:val="000000" w:themeColor="text1"/>
                <w:sz w:val="22"/>
                <w:szCs w:val="22"/>
                <w:lang w:val="fr-CA"/>
              </w:rPr>
              <w:t>e</w:t>
            </w:r>
            <w:r>
              <w:rPr>
                <w:b/>
                <w:bCs/>
                <w:color w:val="000000" w:themeColor="text1"/>
                <w:sz w:val="22"/>
                <w:szCs w:val="22"/>
                <w:lang w:val="fr-CA"/>
              </w:rPr>
              <w:t xml:space="preserve"> Programme d’alliances pour l’éducation et le perfectionnement (PAEC)</w:t>
            </w:r>
            <w:r w:rsidRPr="00B57B08">
              <w:rPr>
                <w:b/>
                <w:bCs/>
                <w:color w:val="000000" w:themeColor="text1"/>
                <w:sz w:val="22"/>
                <w:szCs w:val="22"/>
                <w:lang w:val="fr-CA"/>
              </w:rPr>
              <w:t xml:space="preserve"> </w:t>
            </w:r>
            <w:r w:rsidRPr="00B57B08">
              <w:rPr>
                <w:color w:val="000000" w:themeColor="text1"/>
                <w:sz w:val="22"/>
                <w:szCs w:val="22"/>
                <w:lang w:val="fr-CA"/>
              </w:rPr>
              <w:t>collabor</w:t>
            </w:r>
            <w:r>
              <w:rPr>
                <w:color w:val="000000" w:themeColor="text1"/>
                <w:sz w:val="22"/>
                <w:szCs w:val="22"/>
                <w:lang w:val="fr-CA"/>
              </w:rPr>
              <w:t>e avec des universités et d’autres institutions d’enseignement supérieur d’États membres de l’OEA et de pays observateurs en vue d’internationaliser leurs universités afin de former et de renforcer le capital humain dans la région</w:t>
            </w:r>
            <w:r w:rsidRPr="00B57B08">
              <w:rPr>
                <w:color w:val="000000" w:themeColor="text1"/>
                <w:sz w:val="22"/>
                <w:szCs w:val="22"/>
                <w:lang w:val="fr-CA"/>
              </w:rPr>
              <w:t xml:space="preserve">. </w:t>
            </w:r>
          </w:p>
        </w:tc>
        <w:tc>
          <w:tcPr>
            <w:tcW w:w="2835" w:type="dxa"/>
            <w:vMerge w:val="restart"/>
            <w:shd w:val="clear" w:color="auto" w:fill="auto"/>
            <w:hideMark/>
          </w:tcPr>
          <w:p w:rsidR="005D65E0" w:rsidRDefault="005D65E0" w:rsidP="001F5AA6">
            <w:pPr>
              <w:rPr>
                <w:color w:val="000000" w:themeColor="text1"/>
                <w:sz w:val="22"/>
                <w:szCs w:val="22"/>
                <w:lang w:val="fr-CA"/>
              </w:rPr>
            </w:pPr>
            <w:r>
              <w:rPr>
                <w:color w:val="000000" w:themeColor="text1"/>
                <w:sz w:val="22"/>
                <w:szCs w:val="22"/>
                <w:lang w:val="fr-CA"/>
              </w:rPr>
              <w:t xml:space="preserve">On soulignera les universités qui offrent des programmes d’études en changement climatique, en gestion des risques et des catastrophes, en résilience des TI et reprise après catastrophe, en études sur la sécurité et la résilience, en conception et résilience, en sécurité humaine et résilience et en résilience urbaine. </w:t>
            </w:r>
            <w:r w:rsidRPr="00B57B08">
              <w:rPr>
                <w:color w:val="000000" w:themeColor="text1"/>
                <w:sz w:val="22"/>
                <w:szCs w:val="22"/>
                <w:lang w:val="fr-CA"/>
              </w:rPr>
              <w:t xml:space="preserve"> </w:t>
            </w:r>
          </w:p>
          <w:p w:rsidR="005D65E0"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r>
              <w:rPr>
                <w:color w:val="000000" w:themeColor="text1"/>
                <w:sz w:val="22"/>
                <w:szCs w:val="22"/>
                <w:lang w:val="fr-CA"/>
              </w:rPr>
              <w:t>Projet de l’OEA et du gouvernement du Chili de bourses d’études et de formation à l’intention de la Caraïbe afin de renforcer la capacité de la CARICOM dans le domaine de la gestion des risques de catastrophes et de la résilience climatique en abordant les dimensions systémiques, institutionnelles et individuelles de la formation des ressources humaines en vue du développement résilient au climat dans la Caraïbe.</w:t>
            </w:r>
          </w:p>
        </w:tc>
        <w:tc>
          <w:tcPr>
            <w:tcW w:w="3205" w:type="dxa"/>
            <w:shd w:val="clear" w:color="auto" w:fill="auto"/>
            <w:vAlign w:val="center"/>
            <w:hideMark/>
          </w:tcPr>
          <w:p w:rsidR="005D65E0" w:rsidRPr="00B57B08" w:rsidRDefault="005D65E0" w:rsidP="001F5AA6">
            <w:pPr>
              <w:rPr>
                <w:color w:val="000000" w:themeColor="text1"/>
                <w:sz w:val="22"/>
                <w:szCs w:val="22"/>
                <w:lang w:val="fr-CA"/>
              </w:rPr>
            </w:pP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b/>
                <w:bCs/>
                <w:color w:val="000000" w:themeColor="text1"/>
                <w:sz w:val="22"/>
                <w:szCs w:val="22"/>
                <w:lang w:val="fr-CA"/>
              </w:rPr>
            </w:pPr>
          </w:p>
        </w:tc>
        <w:tc>
          <w:tcPr>
            <w:tcW w:w="2835"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T</w:t>
            </w:r>
            <w:r>
              <w:rPr>
                <w:color w:val="000000" w:themeColor="text1"/>
                <w:sz w:val="22"/>
                <w:szCs w:val="22"/>
                <w:lang w:val="fr-CA"/>
              </w:rPr>
              <w:t>rois mille bourses d’études menant à des diplômes de maitrise et de doctorat ainsi qu’à des certificats de développement professionnel</w:t>
            </w:r>
            <w:r w:rsidRPr="00B57B08">
              <w:rPr>
                <w:color w:val="000000" w:themeColor="text1"/>
                <w:sz w:val="22"/>
                <w:szCs w:val="22"/>
                <w:lang w:val="fr-CA"/>
              </w:rPr>
              <w:t>.</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shd w:val="clear" w:color="auto" w:fill="auto"/>
            <w:vAlign w:val="center"/>
          </w:tcPr>
          <w:p w:rsidR="005D65E0" w:rsidRPr="00B57B08" w:rsidRDefault="005D65E0" w:rsidP="001F5AA6">
            <w:pPr>
              <w:rPr>
                <w:b/>
                <w:bCs/>
                <w:color w:val="000000" w:themeColor="text1"/>
                <w:sz w:val="22"/>
                <w:szCs w:val="22"/>
                <w:lang w:val="fr-CA"/>
              </w:rPr>
            </w:pPr>
            <w:r>
              <w:rPr>
                <w:b/>
                <w:bCs/>
                <w:color w:val="000000" w:themeColor="text1"/>
                <w:sz w:val="22"/>
                <w:szCs w:val="22"/>
                <w:lang w:val="fr-CA"/>
              </w:rPr>
              <w:lastRenderedPageBreak/>
              <w:t>INITIATIVES ET ACTIVITÉS</w:t>
            </w:r>
          </w:p>
        </w:tc>
        <w:tc>
          <w:tcPr>
            <w:tcW w:w="2835" w:type="dxa"/>
            <w:shd w:val="clear" w:color="auto" w:fill="auto"/>
            <w:vAlign w:val="center"/>
          </w:tcPr>
          <w:p w:rsidR="005D65E0" w:rsidRPr="00E22268" w:rsidRDefault="005D65E0" w:rsidP="001F5AA6">
            <w:pPr>
              <w:rPr>
                <w:b/>
                <w:color w:val="000000" w:themeColor="text1"/>
                <w:sz w:val="22"/>
                <w:szCs w:val="22"/>
                <w:lang w:val="fr-CA"/>
              </w:rPr>
            </w:pPr>
            <w:r w:rsidRPr="00E22268">
              <w:rPr>
                <w:b/>
                <w:color w:val="000000" w:themeColor="text1"/>
                <w:sz w:val="22"/>
                <w:szCs w:val="22"/>
                <w:lang w:val="fr-CA"/>
              </w:rPr>
              <w:t>CONTRIBUTION À LA RÉSILIENCE ET À LA COMPÉTITIVITÉ</w:t>
            </w:r>
          </w:p>
        </w:tc>
        <w:tc>
          <w:tcPr>
            <w:tcW w:w="3205" w:type="dxa"/>
            <w:shd w:val="clear" w:color="auto" w:fill="auto"/>
            <w:vAlign w:val="center"/>
          </w:tcPr>
          <w:p w:rsidR="005D65E0" w:rsidRPr="00E22268" w:rsidRDefault="005D65E0" w:rsidP="001F5AA6">
            <w:pPr>
              <w:rPr>
                <w:b/>
                <w:color w:val="000000" w:themeColor="text1"/>
                <w:sz w:val="22"/>
                <w:szCs w:val="22"/>
                <w:lang w:val="fr-CA"/>
              </w:rPr>
            </w:pPr>
            <w:r w:rsidRPr="00E22268">
              <w:rPr>
                <w:b/>
                <w:color w:val="000000" w:themeColor="text1"/>
                <w:sz w:val="22"/>
                <w:szCs w:val="22"/>
                <w:lang w:val="fr-CA"/>
              </w:rPr>
              <w:t>RÉSULTATS PRÉVUS</w:t>
            </w:r>
          </w:p>
        </w:tc>
        <w:tc>
          <w:tcPr>
            <w:tcW w:w="2900" w:type="dxa"/>
            <w:shd w:val="clear" w:color="auto" w:fill="auto"/>
            <w:vAlign w:val="center"/>
          </w:tcPr>
          <w:p w:rsidR="005D65E0" w:rsidRPr="00E22268" w:rsidRDefault="005D65E0" w:rsidP="001F5AA6">
            <w:pPr>
              <w:rPr>
                <w:b/>
                <w:color w:val="000000" w:themeColor="text1"/>
                <w:sz w:val="22"/>
                <w:szCs w:val="22"/>
                <w:lang w:val="fr-CA"/>
              </w:rPr>
            </w:pPr>
            <w:r w:rsidRPr="00E22268">
              <w:rPr>
                <w:b/>
                <w:color w:val="000000" w:themeColor="text1"/>
                <w:sz w:val="22"/>
                <w:szCs w:val="22"/>
                <w:lang w:val="fr-CA"/>
              </w:rPr>
              <w:t>COOPÉRATION ET PARTENARIATS</w:t>
            </w:r>
          </w:p>
        </w:tc>
        <w:tc>
          <w:tcPr>
            <w:tcW w:w="2700" w:type="dxa"/>
            <w:shd w:val="clear" w:color="auto" w:fill="auto"/>
            <w:vAlign w:val="center"/>
          </w:tcPr>
          <w:p w:rsidR="005D65E0" w:rsidRPr="00E22268" w:rsidRDefault="005D65E0" w:rsidP="001F5AA6">
            <w:pPr>
              <w:rPr>
                <w:b/>
                <w:color w:val="000000" w:themeColor="text1"/>
                <w:sz w:val="22"/>
                <w:szCs w:val="22"/>
                <w:lang w:val="fr-CA"/>
              </w:rPr>
            </w:pPr>
            <w:r w:rsidRPr="00E22268">
              <w:rPr>
                <w:b/>
                <w:color w:val="000000" w:themeColor="text1"/>
                <w:sz w:val="22"/>
                <w:szCs w:val="22"/>
                <w:lang w:val="fr-CA"/>
              </w:rPr>
              <w:t>RÉPONSE ET ADAPTATION À LA COVID-19</w:t>
            </w:r>
          </w:p>
        </w:tc>
      </w:tr>
      <w:tr w:rsidR="005D65E0" w:rsidRPr="005C1AAB" w:rsidTr="001F5AA6">
        <w:trPr>
          <w:trHeight w:val="1388"/>
        </w:trPr>
        <w:tc>
          <w:tcPr>
            <w:tcW w:w="3100" w:type="dxa"/>
            <w:vMerge w:val="restart"/>
            <w:shd w:val="clear" w:color="auto" w:fill="auto"/>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Portail éducatif des Amériques </w:t>
            </w:r>
            <w:r w:rsidRPr="00B57B08">
              <w:rPr>
                <w:b/>
                <w:bCs/>
                <w:color w:val="000000" w:themeColor="text1"/>
                <w:sz w:val="22"/>
                <w:szCs w:val="22"/>
                <w:lang w:val="fr-CA"/>
              </w:rPr>
              <w:t xml:space="preserve">: </w:t>
            </w:r>
            <w:r w:rsidRPr="00B57B08">
              <w:rPr>
                <w:b/>
                <w:bCs/>
                <w:color w:val="000000" w:themeColor="text1"/>
                <w:sz w:val="22"/>
                <w:szCs w:val="22"/>
                <w:lang w:val="fr-CA"/>
              </w:rPr>
              <w:br/>
            </w:r>
            <w:r>
              <w:rPr>
                <w:color w:val="000000" w:themeColor="text1"/>
                <w:sz w:val="22"/>
                <w:szCs w:val="22"/>
                <w:lang w:val="fr-CA"/>
              </w:rPr>
              <w:t>Promouvoir l’accès à une éducation de qualité par le biais des technologies de l’information et de la communication</w:t>
            </w:r>
            <w:r w:rsidRPr="00B57B08">
              <w:rPr>
                <w:color w:val="000000" w:themeColor="text1"/>
                <w:sz w:val="22"/>
                <w:szCs w:val="22"/>
                <w:lang w:val="fr-CA"/>
              </w:rPr>
              <w:t xml:space="preserve"> (</w:t>
            </w:r>
            <w:r>
              <w:rPr>
                <w:color w:val="000000" w:themeColor="text1"/>
                <w:sz w:val="22"/>
                <w:szCs w:val="22"/>
                <w:lang w:val="fr-CA"/>
              </w:rPr>
              <w:t>TIC</w:t>
            </w:r>
            <w:r w:rsidRPr="00B57B08">
              <w:rPr>
                <w:color w:val="000000" w:themeColor="text1"/>
                <w:sz w:val="22"/>
                <w:szCs w:val="22"/>
                <w:lang w:val="fr-CA"/>
              </w:rPr>
              <w:t>),</w:t>
            </w:r>
            <w:r>
              <w:rPr>
                <w:color w:val="000000" w:themeColor="text1"/>
                <w:sz w:val="22"/>
                <w:szCs w:val="22"/>
                <w:lang w:val="fr-CA"/>
              </w:rPr>
              <w:t xml:space="preserve"> avec le paiement des frais de scolarité pour les cours de développement professionnel en ligne pour les citoyens des États membres de l’OEA</w:t>
            </w:r>
            <w:r w:rsidRPr="00B57B08">
              <w:rPr>
                <w:color w:val="000000" w:themeColor="text1"/>
                <w:sz w:val="22"/>
                <w:szCs w:val="22"/>
                <w:lang w:val="fr-CA"/>
              </w:rPr>
              <w:t>.</w:t>
            </w:r>
          </w:p>
        </w:tc>
        <w:tc>
          <w:tcPr>
            <w:tcW w:w="2835" w:type="dxa"/>
            <w:vMerge w:val="restart"/>
            <w:shd w:val="clear" w:color="auto" w:fill="auto"/>
            <w:hideMark/>
          </w:tcPr>
          <w:p w:rsidR="005D65E0" w:rsidRDefault="005D65E0" w:rsidP="001F5AA6">
            <w:pPr>
              <w:rPr>
                <w:color w:val="000000" w:themeColor="text1"/>
                <w:sz w:val="22"/>
                <w:szCs w:val="22"/>
                <w:lang w:val="fr-CA"/>
              </w:rPr>
            </w:pPr>
            <w:r w:rsidRPr="00B57B08">
              <w:rPr>
                <w:color w:val="000000" w:themeColor="text1"/>
                <w:sz w:val="22"/>
                <w:szCs w:val="22"/>
                <w:lang w:val="fr-CA"/>
              </w:rPr>
              <w:t xml:space="preserve"> </w:t>
            </w:r>
            <w:r>
              <w:rPr>
                <w:color w:val="000000" w:themeColor="text1"/>
                <w:sz w:val="22"/>
                <w:szCs w:val="22"/>
                <w:lang w:val="fr-CA"/>
              </w:rPr>
              <w:t>En facilitant l’accès à une formation en ligne de perfectionnement professionnel sur des sujets divers, le Portail éducatif contribue au développement du capital humain, menant ainsi à un accroissement du degré de compétitivité dans les pays de la région</w:t>
            </w:r>
            <w:r w:rsidRPr="00B57B08">
              <w:rPr>
                <w:color w:val="000000" w:themeColor="text1"/>
                <w:sz w:val="22"/>
                <w:szCs w:val="22"/>
                <w:lang w:val="fr-CA"/>
              </w:rPr>
              <w:t>.</w:t>
            </w:r>
          </w:p>
          <w:p w:rsidR="005D65E0" w:rsidRDefault="005D65E0" w:rsidP="001F5AA6">
            <w:pPr>
              <w:rPr>
                <w:color w:val="000000" w:themeColor="text1"/>
                <w:sz w:val="22"/>
                <w:szCs w:val="22"/>
                <w:lang w:val="fr-CA"/>
              </w:rPr>
            </w:pPr>
          </w:p>
          <w:p w:rsidR="005D65E0" w:rsidRPr="00B57B08" w:rsidRDefault="005D65E0" w:rsidP="001F5AA6">
            <w:pPr>
              <w:rPr>
                <w:color w:val="000000" w:themeColor="text1"/>
                <w:sz w:val="22"/>
                <w:szCs w:val="22"/>
                <w:lang w:val="fr-CA"/>
              </w:rPr>
            </w:pPr>
          </w:p>
        </w:tc>
        <w:tc>
          <w:tcPr>
            <w:tcW w:w="3205" w:type="dxa"/>
            <w:shd w:val="clear" w:color="auto" w:fill="auto"/>
            <w:hideMark/>
          </w:tcPr>
          <w:p w:rsidR="005D65E0" w:rsidRDefault="005D65E0" w:rsidP="001F5AA6">
            <w:pPr>
              <w:rPr>
                <w:color w:val="000000" w:themeColor="text1"/>
                <w:sz w:val="22"/>
                <w:szCs w:val="22"/>
                <w:lang w:val="fr-CA"/>
              </w:rPr>
            </w:pPr>
            <w:r w:rsidRPr="00B57B08">
              <w:rPr>
                <w:color w:val="000000" w:themeColor="text1"/>
                <w:sz w:val="22"/>
                <w:szCs w:val="22"/>
                <w:lang w:val="fr-CA"/>
              </w:rPr>
              <w:t>450</w:t>
            </w:r>
            <w:r>
              <w:rPr>
                <w:color w:val="000000" w:themeColor="text1"/>
                <w:sz w:val="22"/>
                <w:szCs w:val="22"/>
                <w:lang w:val="fr-CA"/>
              </w:rPr>
              <w:t xml:space="preserve"> personnes ont profité de bourses d’études pour une formation de développement professionnel, et plus de 1000 personnes ont eu accès gratuitement à des cours en ligne offerts à tous</w:t>
            </w:r>
            <w:r w:rsidRPr="00B57B08">
              <w:rPr>
                <w:color w:val="000000" w:themeColor="text1"/>
                <w:sz w:val="22"/>
                <w:szCs w:val="22"/>
                <w:lang w:val="fr-CA"/>
              </w:rPr>
              <w:t xml:space="preserve">. </w:t>
            </w:r>
          </w:p>
          <w:p w:rsidR="005D65E0" w:rsidRDefault="005D65E0" w:rsidP="001F5AA6">
            <w:pPr>
              <w:rPr>
                <w:sz w:val="22"/>
                <w:szCs w:val="22"/>
                <w:lang w:val="fr-CA"/>
              </w:rPr>
            </w:pPr>
          </w:p>
          <w:p w:rsidR="005D65E0" w:rsidRPr="00E6579D" w:rsidRDefault="005D65E0" w:rsidP="001F5AA6">
            <w:pPr>
              <w:rPr>
                <w:sz w:val="22"/>
                <w:szCs w:val="22"/>
                <w:lang w:val="fr-CA"/>
              </w:rPr>
            </w:pPr>
          </w:p>
        </w:tc>
        <w:tc>
          <w:tcPr>
            <w:tcW w:w="2900" w:type="dxa"/>
            <w:vMerge w:val="restart"/>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 xml:space="preserve">nterne (OEA) : </w:t>
            </w:r>
            <w:r w:rsidRPr="00B57B08">
              <w:rPr>
                <w:color w:val="000000" w:themeColor="text1"/>
                <w:sz w:val="22"/>
                <w:szCs w:val="22"/>
                <w:lang w:val="fr-CA"/>
              </w:rPr>
              <w:t xml:space="preserve">CIE, </w:t>
            </w:r>
            <w:r>
              <w:rPr>
                <w:color w:val="000000" w:themeColor="text1"/>
                <w:sz w:val="22"/>
                <w:szCs w:val="22"/>
                <w:lang w:val="fr-CA"/>
              </w:rPr>
              <w:t>RIED</w:t>
            </w:r>
            <w:r w:rsidRPr="00B57B08">
              <w:rPr>
                <w:color w:val="000000" w:themeColor="text1"/>
                <w:sz w:val="22"/>
                <w:szCs w:val="22"/>
                <w:lang w:val="fr-CA"/>
              </w:rPr>
              <w:t>,</w:t>
            </w:r>
            <w:r>
              <w:rPr>
                <w:color w:val="000000" w:themeColor="text1"/>
                <w:sz w:val="22"/>
                <w:szCs w:val="22"/>
                <w:lang w:val="fr-CA"/>
              </w:rPr>
              <w:t xml:space="preserve"> autres départements du SEDI, CITEL, DRH</w:t>
            </w:r>
            <w:r w:rsidRPr="00B57B08">
              <w:rPr>
                <w:color w:val="000000" w:themeColor="text1"/>
                <w:sz w:val="22"/>
                <w:szCs w:val="22"/>
                <w:lang w:val="fr-CA"/>
              </w:rPr>
              <w:t xml:space="preserve">, DPE. </w:t>
            </w:r>
            <w:r>
              <w:rPr>
                <w:color w:val="000000" w:themeColor="text1"/>
                <w:sz w:val="22"/>
                <w:szCs w:val="22"/>
                <w:lang w:val="fr-CA"/>
              </w:rPr>
              <w:t>Collaborations éventuelles avec le SSM et la</w:t>
            </w:r>
            <w:r w:rsidRPr="00B57B08">
              <w:rPr>
                <w:color w:val="000000" w:themeColor="text1"/>
                <w:sz w:val="22"/>
                <w:szCs w:val="22"/>
                <w:lang w:val="fr-CA"/>
              </w:rPr>
              <w:t xml:space="preserve"> CIDH.</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FUP</w:t>
            </w:r>
            <w:r w:rsidRPr="00B57B08">
              <w:rPr>
                <w:color w:val="000000" w:themeColor="text1"/>
                <w:sz w:val="22"/>
                <w:szCs w:val="22"/>
                <w:lang w:val="fr-CA"/>
              </w:rPr>
              <w:t>ADF</w:t>
            </w:r>
            <w:r>
              <w:rPr>
                <w:color w:val="000000" w:themeColor="text1"/>
                <w:sz w:val="22"/>
                <w:szCs w:val="22"/>
                <w:lang w:val="fr-CA"/>
              </w:rPr>
              <w:t>, Accord Andrés Bello, FLACSO Chili</w:t>
            </w:r>
            <w:r w:rsidRPr="00B57B08">
              <w:rPr>
                <w:color w:val="000000" w:themeColor="text1"/>
                <w:sz w:val="22"/>
                <w:szCs w:val="22"/>
                <w:lang w:val="fr-CA"/>
              </w:rPr>
              <w:t>, Universi</w:t>
            </w:r>
            <w:r>
              <w:rPr>
                <w:color w:val="000000" w:themeColor="text1"/>
                <w:sz w:val="22"/>
                <w:szCs w:val="22"/>
                <w:lang w:val="fr-CA"/>
              </w:rPr>
              <w:t>té pontificale bolivarienne</w:t>
            </w:r>
            <w:r w:rsidRPr="00B57B08">
              <w:rPr>
                <w:color w:val="000000" w:themeColor="text1"/>
                <w:sz w:val="22"/>
                <w:szCs w:val="22"/>
                <w:lang w:val="fr-CA"/>
              </w:rPr>
              <w:t xml:space="preserve"> (UPB),</w:t>
            </w:r>
            <w:r>
              <w:rPr>
                <w:color w:val="000000" w:themeColor="text1"/>
                <w:sz w:val="22"/>
                <w:szCs w:val="22"/>
                <w:lang w:val="fr-CA"/>
              </w:rPr>
              <w:t xml:space="preserve"> autres partenaires universitaires</w:t>
            </w:r>
            <w:r w:rsidRPr="00B57B08">
              <w:rPr>
                <w:color w:val="000000" w:themeColor="text1"/>
                <w:sz w:val="22"/>
                <w:szCs w:val="22"/>
                <w:lang w:val="fr-CA"/>
              </w:rPr>
              <w:t>.</w:t>
            </w:r>
            <w:r w:rsidRPr="00B57B08">
              <w:rPr>
                <w:color w:val="000000" w:themeColor="text1"/>
                <w:sz w:val="22"/>
                <w:szCs w:val="22"/>
                <w:lang w:val="fr-CA"/>
              </w:rPr>
              <w:br/>
            </w:r>
          </w:p>
        </w:tc>
        <w:tc>
          <w:tcPr>
            <w:tcW w:w="2700" w:type="dxa"/>
            <w:vMerge w:val="restart"/>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Renforcement des compétences en enseignement </w:t>
            </w:r>
            <w:r w:rsidRPr="00B57B08">
              <w:rPr>
                <w:b/>
                <w:bCs/>
                <w:color w:val="000000" w:themeColor="text1"/>
                <w:sz w:val="22"/>
                <w:szCs w:val="22"/>
                <w:lang w:val="fr-CA"/>
              </w:rPr>
              <w:t xml:space="preserve">: </w:t>
            </w:r>
            <w:r>
              <w:rPr>
                <w:color w:val="000000" w:themeColor="text1"/>
                <w:sz w:val="22"/>
                <w:szCs w:val="22"/>
                <w:lang w:val="fr-CA"/>
              </w:rPr>
              <w:t>Le Portail éducatif des Amériques et la Fondation</w:t>
            </w:r>
            <w:r w:rsidRPr="00B57B08">
              <w:rPr>
                <w:color w:val="000000" w:themeColor="text1"/>
                <w:sz w:val="22"/>
                <w:szCs w:val="22"/>
                <w:lang w:val="fr-CA"/>
              </w:rPr>
              <w:t xml:space="preserve"> ProFuturo</w:t>
            </w:r>
            <w:r>
              <w:rPr>
                <w:color w:val="000000" w:themeColor="text1"/>
                <w:sz w:val="22"/>
                <w:szCs w:val="22"/>
                <w:lang w:val="fr-CA"/>
              </w:rPr>
              <w:t xml:space="preserve"> lanceront une série de capsules vidéo présentant des opinions, des expériences et des recommandations de ministères de l’éducation et d’institutions d’enseignement sur l’éducation virtuelle et numérique.</w:t>
            </w:r>
            <w:r w:rsidRPr="00B57B08">
              <w:rPr>
                <w:color w:val="000000" w:themeColor="text1"/>
                <w:sz w:val="22"/>
                <w:szCs w:val="22"/>
                <w:lang w:val="fr-CA"/>
              </w:rPr>
              <w:t xml:space="preserve"> </w:t>
            </w: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b/>
                <w:bCs/>
                <w:color w:val="000000" w:themeColor="text1"/>
                <w:sz w:val="22"/>
                <w:szCs w:val="22"/>
                <w:lang w:val="fr-CA"/>
              </w:rPr>
            </w:pPr>
          </w:p>
        </w:tc>
        <w:tc>
          <w:tcPr>
            <w:tcW w:w="2835" w:type="dxa"/>
            <w:vMerge w:val="restart"/>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Par le biais d’une série de composantes éducatives et technologiques, le SEDI peut créer des opportunités de partager et de construire conjointement des connaissances sur la résilience au sein de l’OEA et à l’extérieur de celle-ci.</w:t>
            </w: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Pr>
                <w:sz w:val="22"/>
                <w:szCs w:val="22"/>
                <w:lang w:val="fr-CA"/>
              </w:rPr>
              <w:t>Au moins deux solutions en matière d’éducation ont été proposées à d’autres secrétariats ou initiatives de l’OEA</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b/>
                <w:bCs/>
                <w:color w:val="000000" w:themeColor="text1"/>
                <w:sz w:val="22"/>
                <w:szCs w:val="22"/>
                <w:lang w:val="fr-CA"/>
              </w:rPr>
            </w:pPr>
          </w:p>
        </w:tc>
        <w:tc>
          <w:tcPr>
            <w:tcW w:w="2835" w:type="dxa"/>
            <w:vMerge w:val="restart"/>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L’intégration des connaissances, de l’expérience et des ressources de l’OEA sur la résilience peut accroitre grandement la valeur ajoutée de l’OEA sur cette question. </w:t>
            </w: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Les besoins d’autres secrétariats en matière de formation ainsi que des initiatives de l’OEA ont été cernés et des propositions de collaboration ont été présentées, tirant parti de l’expérience technique et des outils technologiques du Portail éducatif des Amériques. </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val="restart"/>
            <w:shd w:val="clear" w:color="auto" w:fill="auto"/>
            <w:vAlign w:val="center"/>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Collaboration</w:t>
            </w:r>
            <w:r>
              <w:rPr>
                <w:b/>
                <w:bCs/>
                <w:color w:val="000000" w:themeColor="text1"/>
                <w:sz w:val="22"/>
                <w:szCs w:val="22"/>
                <w:lang w:val="fr-CA"/>
              </w:rPr>
              <w:t xml:space="preserve"> en matière de sécurité </w:t>
            </w:r>
            <w:r w:rsidRPr="00B57B08">
              <w:rPr>
                <w:b/>
                <w:bCs/>
                <w:color w:val="000000" w:themeColor="text1"/>
                <w:sz w:val="22"/>
                <w:szCs w:val="22"/>
                <w:lang w:val="fr-CA"/>
              </w:rPr>
              <w:t>:</w:t>
            </w:r>
            <w:r>
              <w:rPr>
                <w:color w:val="000000" w:themeColor="text1"/>
                <w:sz w:val="22"/>
                <w:szCs w:val="22"/>
                <w:lang w:val="fr-CA"/>
              </w:rPr>
              <w:t xml:space="preserve"> Le Portail éducatif des Amériques se joint au Département de la sécurité publique de l’OEA pour apporter une réponse à la </w:t>
            </w:r>
            <w:r w:rsidRPr="00B57B08">
              <w:rPr>
                <w:color w:val="000000" w:themeColor="text1"/>
                <w:sz w:val="22"/>
                <w:szCs w:val="22"/>
                <w:lang w:val="fr-CA"/>
              </w:rPr>
              <w:t>COVID-19</w:t>
            </w:r>
            <w:r>
              <w:rPr>
                <w:color w:val="000000" w:themeColor="text1"/>
                <w:sz w:val="22"/>
                <w:szCs w:val="22"/>
                <w:lang w:val="fr-CA"/>
              </w:rPr>
              <w:t xml:space="preserve"> en créant un réseau virtuel sur la sécurité pour faciliter l’échange, la </w:t>
            </w:r>
            <w:r>
              <w:rPr>
                <w:color w:val="000000" w:themeColor="text1"/>
                <w:sz w:val="22"/>
                <w:szCs w:val="22"/>
                <w:lang w:val="fr-CA"/>
              </w:rPr>
              <w:lastRenderedPageBreak/>
              <w:t>systématisation et la consultation de renseignements dans des domaines relatifs à la sécurité et à la justice criminelle, aux systèmes d’urgence et à la sécurité, aux observatoires de la criminalité et aux prisons</w:t>
            </w:r>
            <w:r w:rsidRPr="00B57B08">
              <w:rPr>
                <w:color w:val="000000" w:themeColor="text1"/>
                <w:sz w:val="22"/>
                <w:szCs w:val="22"/>
                <w:lang w:val="fr-CA"/>
              </w:rPr>
              <w:t>.</w:t>
            </w: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b/>
                <w:bCs/>
                <w:color w:val="000000" w:themeColor="text1"/>
                <w:sz w:val="22"/>
                <w:szCs w:val="22"/>
                <w:lang w:val="fr-CA"/>
              </w:rPr>
            </w:pPr>
          </w:p>
        </w:tc>
        <w:tc>
          <w:tcPr>
            <w:tcW w:w="2835" w:type="dxa"/>
            <w:vMerge w:val="restart"/>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Collabor</w:t>
            </w:r>
            <w:r>
              <w:rPr>
                <w:color w:val="000000" w:themeColor="text1"/>
                <w:sz w:val="22"/>
                <w:szCs w:val="22"/>
                <w:lang w:val="fr-CA"/>
              </w:rPr>
              <w:t>er avec d’autres départements du SEDI pour rédiger une proposition globale sur la résilience et les catastrophes naturelles</w:t>
            </w:r>
            <w:r w:rsidRPr="00B57B08">
              <w:rPr>
                <w:color w:val="000000" w:themeColor="text1"/>
                <w:sz w:val="22"/>
                <w:szCs w:val="22"/>
                <w:lang w:val="fr-CA"/>
              </w:rPr>
              <w:t>.</w:t>
            </w: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shd w:val="clear" w:color="auto" w:fill="auto"/>
            <w:vAlign w:val="center"/>
          </w:tcPr>
          <w:p w:rsidR="005D65E0" w:rsidRPr="00B57B08" w:rsidRDefault="005D65E0" w:rsidP="001F5AA6">
            <w:pPr>
              <w:rPr>
                <w:b/>
                <w:bCs/>
                <w:color w:val="000000" w:themeColor="text1"/>
                <w:sz w:val="22"/>
                <w:szCs w:val="22"/>
                <w:lang w:val="fr-CA"/>
              </w:rPr>
            </w:pPr>
            <w:r>
              <w:rPr>
                <w:b/>
                <w:bCs/>
                <w:color w:val="000000" w:themeColor="text1"/>
                <w:sz w:val="22"/>
                <w:szCs w:val="22"/>
                <w:lang w:val="fr-CA"/>
              </w:rPr>
              <w:lastRenderedPageBreak/>
              <w:t>INITIATIVES ET ACTIVITÉS</w:t>
            </w:r>
          </w:p>
        </w:tc>
        <w:tc>
          <w:tcPr>
            <w:tcW w:w="2835" w:type="dxa"/>
            <w:shd w:val="clear" w:color="auto" w:fill="auto"/>
            <w:vAlign w:val="center"/>
          </w:tcPr>
          <w:p w:rsidR="005D65E0" w:rsidRPr="00B57DF6" w:rsidRDefault="005D65E0" w:rsidP="001F5AA6">
            <w:pPr>
              <w:rPr>
                <w:b/>
                <w:color w:val="000000" w:themeColor="text1"/>
                <w:sz w:val="22"/>
                <w:szCs w:val="22"/>
                <w:lang w:val="fr-CA"/>
              </w:rPr>
            </w:pPr>
            <w:r w:rsidRPr="00B57DF6">
              <w:rPr>
                <w:b/>
                <w:color w:val="000000" w:themeColor="text1"/>
                <w:sz w:val="22"/>
                <w:szCs w:val="22"/>
                <w:lang w:val="fr-CA"/>
              </w:rPr>
              <w:t>CONTRIBUTION À LA RÉSILIENCE ET À LA COMPÉTITIVITÉ</w:t>
            </w:r>
          </w:p>
        </w:tc>
        <w:tc>
          <w:tcPr>
            <w:tcW w:w="3205" w:type="dxa"/>
            <w:shd w:val="clear" w:color="auto" w:fill="auto"/>
            <w:vAlign w:val="center"/>
          </w:tcPr>
          <w:p w:rsidR="005D65E0" w:rsidRPr="00B57DF6" w:rsidRDefault="005D65E0" w:rsidP="001F5AA6">
            <w:pPr>
              <w:rPr>
                <w:b/>
                <w:color w:val="000000" w:themeColor="text1"/>
                <w:sz w:val="22"/>
                <w:szCs w:val="22"/>
                <w:lang w:val="fr-CA"/>
              </w:rPr>
            </w:pPr>
            <w:r w:rsidRPr="00B57DF6">
              <w:rPr>
                <w:b/>
                <w:color w:val="000000" w:themeColor="text1"/>
                <w:sz w:val="22"/>
                <w:szCs w:val="22"/>
                <w:lang w:val="fr-CA"/>
              </w:rPr>
              <w:t>RÉSULTATS ATTENDUS</w:t>
            </w:r>
          </w:p>
        </w:tc>
        <w:tc>
          <w:tcPr>
            <w:tcW w:w="2900" w:type="dxa"/>
            <w:shd w:val="clear" w:color="auto" w:fill="auto"/>
            <w:vAlign w:val="center"/>
          </w:tcPr>
          <w:p w:rsidR="005D65E0" w:rsidRPr="00B57DF6" w:rsidRDefault="005D65E0" w:rsidP="001F5AA6">
            <w:pPr>
              <w:rPr>
                <w:b/>
                <w:color w:val="000000" w:themeColor="text1"/>
                <w:sz w:val="22"/>
                <w:szCs w:val="22"/>
                <w:lang w:val="fr-CA"/>
              </w:rPr>
            </w:pPr>
            <w:r w:rsidRPr="00B57DF6">
              <w:rPr>
                <w:b/>
                <w:color w:val="000000" w:themeColor="text1"/>
                <w:sz w:val="22"/>
                <w:szCs w:val="22"/>
                <w:lang w:val="fr-CA"/>
              </w:rPr>
              <w:t>COOPÉRATION ET PARTENARIATS</w:t>
            </w:r>
          </w:p>
        </w:tc>
        <w:tc>
          <w:tcPr>
            <w:tcW w:w="2700" w:type="dxa"/>
            <w:shd w:val="clear" w:color="auto" w:fill="auto"/>
            <w:vAlign w:val="center"/>
          </w:tcPr>
          <w:p w:rsidR="005D65E0" w:rsidRPr="00B57DF6" w:rsidRDefault="005D65E0" w:rsidP="001F5AA6">
            <w:pPr>
              <w:rPr>
                <w:b/>
                <w:color w:val="000000" w:themeColor="text1"/>
                <w:sz w:val="22"/>
                <w:szCs w:val="22"/>
                <w:lang w:val="fr-CA"/>
              </w:rPr>
            </w:pPr>
            <w:r w:rsidRPr="00B57DF6">
              <w:rPr>
                <w:b/>
                <w:color w:val="000000" w:themeColor="text1"/>
                <w:sz w:val="22"/>
                <w:szCs w:val="22"/>
                <w:lang w:val="fr-CA"/>
              </w:rPr>
              <w:t>RÉPONSE ET ADAPTATION À LA COVID-19</w:t>
            </w:r>
          </w:p>
        </w:tc>
      </w:tr>
      <w:tr w:rsidR="005D65E0" w:rsidRPr="005C1AAB" w:rsidTr="001F5AA6">
        <w:trPr>
          <w:trHeight w:val="1388"/>
        </w:trPr>
        <w:tc>
          <w:tcPr>
            <w:tcW w:w="3100" w:type="dxa"/>
            <w:vMerge w:val="restart"/>
            <w:shd w:val="clear" w:color="auto" w:fill="auto"/>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Le programme du Fonds Rowe </w:t>
            </w:r>
            <w:r w:rsidRPr="00B57B08">
              <w:rPr>
                <w:b/>
                <w:bCs/>
                <w:color w:val="000000" w:themeColor="text1"/>
                <w:sz w:val="22"/>
                <w:szCs w:val="22"/>
                <w:lang w:val="fr-CA"/>
              </w:rPr>
              <w:t>:</w:t>
            </w:r>
            <w:r w:rsidRPr="00B57B08">
              <w:rPr>
                <w:b/>
                <w:bCs/>
                <w:color w:val="000000" w:themeColor="text1"/>
                <w:sz w:val="22"/>
                <w:szCs w:val="22"/>
                <w:lang w:val="fr-CA"/>
              </w:rPr>
              <w:br/>
            </w:r>
            <w:r>
              <w:rPr>
                <w:color w:val="000000" w:themeColor="text1"/>
                <w:sz w:val="22"/>
                <w:szCs w:val="22"/>
                <w:lang w:val="fr-CA"/>
              </w:rPr>
              <w:t xml:space="preserve">Programme de prêts pour études de l’Organisation des États Américains (OEA) qui aide les citoyens d’États membres de l’OEA d’Amérique latine et des Caraïbes à financer leurs études ou leur recherche dans des universités accréditées des États-Unis en accordant des prêts sans intérêt s’élevant jusqu’à </w:t>
            </w:r>
            <w:r w:rsidRPr="00B57B08">
              <w:rPr>
                <w:color w:val="000000" w:themeColor="text1"/>
                <w:sz w:val="22"/>
                <w:szCs w:val="22"/>
                <w:lang w:val="fr-CA"/>
              </w:rPr>
              <w:t xml:space="preserve"> </w:t>
            </w:r>
            <w:r>
              <w:rPr>
                <w:color w:val="000000" w:themeColor="text1"/>
                <w:sz w:val="22"/>
                <w:szCs w:val="22"/>
                <w:lang w:val="fr-CA"/>
              </w:rPr>
              <w:t xml:space="preserve">15 000 $ US. </w:t>
            </w:r>
          </w:p>
        </w:tc>
        <w:tc>
          <w:tcPr>
            <w:tcW w:w="2835" w:type="dxa"/>
            <w:vMerge w:val="restart"/>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Explore</w:t>
            </w:r>
            <w:r>
              <w:rPr>
                <w:color w:val="000000" w:themeColor="text1"/>
                <w:sz w:val="22"/>
                <w:szCs w:val="22"/>
                <w:lang w:val="fr-CA"/>
              </w:rPr>
              <w:t>r des opportunités offertes par des universités des États-Unis en matière de résilience, en particulier de la formation en ligne gratuite ou peu couteuse sur la résilience et la compétitivité.</w:t>
            </w:r>
            <w:r w:rsidRPr="00B57B08">
              <w:rPr>
                <w:color w:val="000000" w:themeColor="text1"/>
                <w:sz w:val="22"/>
                <w:szCs w:val="22"/>
                <w:lang w:val="fr-CA"/>
              </w:rPr>
              <w:t xml:space="preserve"> </w:t>
            </w:r>
          </w:p>
        </w:tc>
        <w:tc>
          <w:tcPr>
            <w:tcW w:w="3205" w:type="dxa"/>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A</w:t>
            </w:r>
            <w:r>
              <w:rPr>
                <w:color w:val="000000" w:themeColor="text1"/>
                <w:sz w:val="22"/>
                <w:szCs w:val="22"/>
                <w:lang w:val="fr-CA"/>
              </w:rPr>
              <w:t xml:space="preserve">ide financière accordée à plus de 100 citoyens de 32 États membres de l’OEA pour qu’ils terminent des études universitaires dans des universités des États-Unis. </w:t>
            </w:r>
          </w:p>
        </w:tc>
        <w:tc>
          <w:tcPr>
            <w:tcW w:w="2900" w:type="dxa"/>
            <w:vMerge w:val="restart"/>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sidRPr="00B57B08">
              <w:rPr>
                <w:color w:val="000000" w:themeColor="text1"/>
                <w:sz w:val="22"/>
                <w:szCs w:val="22"/>
                <w:lang w:val="fr-CA"/>
              </w:rPr>
              <w:t>Collaboration</w:t>
            </w:r>
            <w:r>
              <w:rPr>
                <w:color w:val="000000" w:themeColor="text1"/>
                <w:sz w:val="22"/>
                <w:szCs w:val="22"/>
                <w:lang w:val="fr-CA"/>
              </w:rPr>
              <w:t xml:space="preserve"> avec la DRH et l’Association du personnel de l’OEA</w:t>
            </w:r>
            <w:r w:rsidRPr="00B57B08">
              <w:rPr>
                <w:color w:val="000000" w:themeColor="text1"/>
                <w:sz w:val="22"/>
                <w:szCs w:val="22"/>
                <w:lang w:val="fr-CA"/>
              </w:rPr>
              <w:t>.</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w:t>
            </w:r>
            <w:r>
              <w:rPr>
                <w:color w:val="000000" w:themeColor="text1"/>
                <w:sz w:val="22"/>
                <w:szCs w:val="22"/>
                <w:lang w:val="fr-CA"/>
              </w:rPr>
              <w:t xml:space="preserve"> Partenariat informel avec de nombreuses entités dont des universités américaines</w:t>
            </w:r>
            <w:r w:rsidRPr="00B57B08">
              <w:rPr>
                <w:color w:val="000000" w:themeColor="text1"/>
                <w:sz w:val="22"/>
                <w:szCs w:val="22"/>
                <w:lang w:val="fr-CA"/>
              </w:rPr>
              <w:t>, Education USA,</w:t>
            </w:r>
            <w:r>
              <w:rPr>
                <w:color w:val="000000" w:themeColor="text1"/>
                <w:sz w:val="22"/>
                <w:szCs w:val="22"/>
                <w:lang w:val="fr-CA"/>
              </w:rPr>
              <w:t xml:space="preserve"> des programmes de prêts et de bourses d’études, BMI, WIEC, NAFSA et des institutions de HEI. États membres de l’OEA</w:t>
            </w:r>
            <w:r w:rsidRPr="00B57B08">
              <w:rPr>
                <w:color w:val="000000" w:themeColor="text1"/>
                <w:sz w:val="22"/>
                <w:szCs w:val="22"/>
                <w:lang w:val="fr-CA"/>
              </w:rPr>
              <w:t>.</w:t>
            </w:r>
          </w:p>
        </w:tc>
        <w:tc>
          <w:tcPr>
            <w:tcW w:w="2700" w:type="dxa"/>
            <w:vMerge w:val="restart"/>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S</w:t>
            </w:r>
            <w:r>
              <w:rPr>
                <w:b/>
                <w:bCs/>
                <w:color w:val="000000" w:themeColor="text1"/>
                <w:sz w:val="22"/>
                <w:szCs w:val="22"/>
                <w:lang w:val="fr-CA"/>
              </w:rPr>
              <w:t>outien pour nos étudiants internationaux </w:t>
            </w:r>
            <w:r w:rsidRPr="00B57B08">
              <w:rPr>
                <w:b/>
                <w:bCs/>
                <w:color w:val="000000" w:themeColor="text1"/>
                <w:sz w:val="22"/>
                <w:szCs w:val="22"/>
                <w:lang w:val="fr-CA"/>
              </w:rPr>
              <w:t xml:space="preserve">: </w:t>
            </w:r>
            <w:r>
              <w:rPr>
                <w:color w:val="000000" w:themeColor="text1"/>
                <w:sz w:val="22"/>
                <w:szCs w:val="22"/>
                <w:lang w:val="fr-CA"/>
              </w:rPr>
              <w:t>Un montant additionnel de 2 000 $ US a été ajouté aux prêts sans intérêt du programme du Fonds Rowe</w:t>
            </w:r>
            <w:r w:rsidRPr="00B57B08">
              <w:rPr>
                <w:color w:val="000000" w:themeColor="text1"/>
                <w:sz w:val="22"/>
                <w:szCs w:val="22"/>
                <w:lang w:val="fr-CA"/>
              </w:rPr>
              <w:t>.</w:t>
            </w: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35"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Plus de 30 prêts pour études ont été accordés à des membres du personnel du SG/OEA pour leurs études ou celles de leurs personnes à charge.</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835" w:type="dxa"/>
            <w:vMerge/>
            <w:shd w:val="clear" w:color="auto" w:fill="auto"/>
            <w:vAlign w:val="center"/>
            <w:hideMark/>
          </w:tcPr>
          <w:p w:rsidR="005D65E0" w:rsidRPr="00B57B08" w:rsidRDefault="005D65E0" w:rsidP="001F5AA6">
            <w:pPr>
              <w:rPr>
                <w:color w:val="000000" w:themeColor="text1"/>
                <w:sz w:val="22"/>
                <w:szCs w:val="22"/>
                <w:lang w:val="fr-CA"/>
              </w:rPr>
            </w:pPr>
          </w:p>
        </w:tc>
        <w:tc>
          <w:tcPr>
            <w:tcW w:w="3205" w:type="dxa"/>
            <w:shd w:val="clear" w:color="auto" w:fill="auto"/>
            <w:vAlign w:val="center"/>
            <w:hideMark/>
          </w:tcPr>
          <w:p w:rsidR="005D65E0" w:rsidRPr="00B57B08" w:rsidRDefault="005D65E0" w:rsidP="001F5AA6">
            <w:pPr>
              <w:rPr>
                <w:color w:val="000000" w:themeColor="text1"/>
                <w:sz w:val="22"/>
                <w:szCs w:val="22"/>
                <w:lang w:val="fr-CA"/>
              </w:rPr>
            </w:pPr>
            <w:r>
              <w:rPr>
                <w:color w:val="000000" w:themeColor="text1"/>
                <w:sz w:val="22"/>
                <w:szCs w:val="22"/>
                <w:lang w:val="fr-CA"/>
              </w:rPr>
              <w:t>Satisfaction de plus de 400 parties prenantes conservée, gestion de plus de 400 comptes et portefeuilles de titres et visibilité accrue du programme dans les pays les moins représentés</w:t>
            </w:r>
            <w:r w:rsidRPr="00B57B08">
              <w:rPr>
                <w:color w:val="000000" w:themeColor="text1"/>
                <w:sz w:val="22"/>
                <w:szCs w:val="22"/>
                <w:lang w:val="fr-CA"/>
              </w:rPr>
              <w:t xml:space="preserve">. </w:t>
            </w:r>
          </w:p>
        </w:tc>
        <w:tc>
          <w:tcPr>
            <w:tcW w:w="2900" w:type="dxa"/>
            <w:vMerge/>
            <w:shd w:val="clear" w:color="auto" w:fill="auto"/>
            <w:vAlign w:val="center"/>
            <w:hideMark/>
          </w:tcPr>
          <w:p w:rsidR="005D65E0" w:rsidRPr="00B57B08" w:rsidRDefault="005D65E0" w:rsidP="001F5AA6">
            <w:pPr>
              <w:rPr>
                <w:color w:val="000000" w:themeColor="text1"/>
                <w:sz w:val="22"/>
                <w:szCs w:val="22"/>
                <w:lang w:val="fr-CA"/>
              </w:rPr>
            </w:pPr>
          </w:p>
        </w:tc>
        <w:tc>
          <w:tcPr>
            <w:tcW w:w="2700" w:type="dxa"/>
            <w:vMerge/>
            <w:shd w:val="clear" w:color="auto" w:fill="auto"/>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1388"/>
        </w:trPr>
        <w:tc>
          <w:tcPr>
            <w:tcW w:w="3100" w:type="dxa"/>
            <w:shd w:val="clear" w:color="auto" w:fill="auto"/>
            <w:vAlign w:val="center"/>
          </w:tcPr>
          <w:p w:rsidR="005D65E0" w:rsidRPr="00B57DF6" w:rsidRDefault="005D65E0" w:rsidP="001F5AA6">
            <w:pPr>
              <w:rPr>
                <w:b/>
                <w:color w:val="000000" w:themeColor="text1"/>
                <w:sz w:val="22"/>
                <w:szCs w:val="22"/>
                <w:lang w:val="fr-CA"/>
              </w:rPr>
            </w:pPr>
            <w:r>
              <w:rPr>
                <w:b/>
                <w:color w:val="000000" w:themeColor="text1"/>
                <w:sz w:val="22"/>
                <w:szCs w:val="22"/>
                <w:lang w:val="fr-CA"/>
              </w:rPr>
              <w:t>INITIATIVES ET ACTIVITÉS</w:t>
            </w:r>
          </w:p>
        </w:tc>
        <w:tc>
          <w:tcPr>
            <w:tcW w:w="2835" w:type="dxa"/>
            <w:shd w:val="clear" w:color="auto" w:fill="auto"/>
            <w:vAlign w:val="center"/>
          </w:tcPr>
          <w:p w:rsidR="005D65E0" w:rsidRPr="00B57DF6" w:rsidRDefault="005D65E0" w:rsidP="001F5AA6">
            <w:pPr>
              <w:rPr>
                <w:b/>
                <w:color w:val="000000" w:themeColor="text1"/>
                <w:sz w:val="22"/>
                <w:szCs w:val="22"/>
                <w:lang w:val="fr-CA"/>
              </w:rPr>
            </w:pPr>
            <w:r>
              <w:rPr>
                <w:b/>
                <w:color w:val="000000" w:themeColor="text1"/>
                <w:sz w:val="22"/>
                <w:szCs w:val="22"/>
                <w:lang w:val="fr-CA"/>
              </w:rPr>
              <w:t>CONTRIBUTION À LA RÉSILIENCE ET À LA COMPÉTITIVITÉ</w:t>
            </w:r>
          </w:p>
        </w:tc>
        <w:tc>
          <w:tcPr>
            <w:tcW w:w="3205" w:type="dxa"/>
            <w:shd w:val="clear" w:color="auto" w:fill="auto"/>
            <w:vAlign w:val="center"/>
          </w:tcPr>
          <w:p w:rsidR="005D65E0" w:rsidRPr="00B57DF6" w:rsidRDefault="005D65E0" w:rsidP="001F5AA6">
            <w:pPr>
              <w:rPr>
                <w:b/>
                <w:color w:val="000000" w:themeColor="text1"/>
                <w:sz w:val="22"/>
                <w:szCs w:val="22"/>
                <w:lang w:val="fr-CA"/>
              </w:rPr>
            </w:pPr>
            <w:r>
              <w:rPr>
                <w:b/>
                <w:color w:val="000000" w:themeColor="text1"/>
                <w:sz w:val="22"/>
                <w:szCs w:val="22"/>
                <w:lang w:val="fr-CA"/>
              </w:rPr>
              <w:t>RÉSULTATS ATTENDUS</w:t>
            </w:r>
          </w:p>
        </w:tc>
        <w:tc>
          <w:tcPr>
            <w:tcW w:w="2900" w:type="dxa"/>
            <w:shd w:val="clear" w:color="auto" w:fill="auto"/>
            <w:vAlign w:val="center"/>
          </w:tcPr>
          <w:p w:rsidR="005D65E0" w:rsidRPr="00B57DF6" w:rsidRDefault="005D65E0" w:rsidP="001F5AA6">
            <w:pPr>
              <w:rPr>
                <w:b/>
                <w:color w:val="000000" w:themeColor="text1"/>
                <w:sz w:val="22"/>
                <w:szCs w:val="22"/>
                <w:lang w:val="fr-CA"/>
              </w:rPr>
            </w:pPr>
            <w:r>
              <w:rPr>
                <w:b/>
                <w:color w:val="000000" w:themeColor="text1"/>
                <w:sz w:val="22"/>
                <w:szCs w:val="22"/>
                <w:lang w:val="fr-CA"/>
              </w:rPr>
              <w:t>COOPÉRATION ET PARTENARIATS</w:t>
            </w:r>
          </w:p>
        </w:tc>
        <w:tc>
          <w:tcPr>
            <w:tcW w:w="2700" w:type="dxa"/>
            <w:shd w:val="clear" w:color="auto" w:fill="auto"/>
            <w:vAlign w:val="center"/>
          </w:tcPr>
          <w:p w:rsidR="005D65E0" w:rsidRPr="00B57DF6" w:rsidRDefault="005D65E0" w:rsidP="001F5AA6">
            <w:pPr>
              <w:rPr>
                <w:b/>
                <w:color w:val="000000" w:themeColor="text1"/>
                <w:sz w:val="22"/>
                <w:szCs w:val="22"/>
                <w:lang w:val="fr-CA"/>
              </w:rPr>
            </w:pPr>
            <w:r>
              <w:rPr>
                <w:b/>
                <w:color w:val="000000" w:themeColor="text1"/>
                <w:sz w:val="22"/>
                <w:szCs w:val="22"/>
                <w:lang w:val="fr-CA"/>
              </w:rPr>
              <w:t>RÉPONSE ET ADAPTATION À LA COVID-19</w:t>
            </w:r>
          </w:p>
        </w:tc>
      </w:tr>
    </w:tbl>
    <w:p w:rsidR="005D65E0" w:rsidRPr="00B57B08" w:rsidRDefault="005D65E0" w:rsidP="005D65E0">
      <w:pPr>
        <w:rPr>
          <w:b/>
          <w:color w:val="000000" w:themeColor="text1"/>
          <w:sz w:val="22"/>
          <w:szCs w:val="22"/>
          <w:u w:val="single"/>
          <w:lang w:val="fr-CA"/>
        </w:rPr>
      </w:pPr>
    </w:p>
    <w:p w:rsidR="005D65E0" w:rsidRPr="00B57B08" w:rsidRDefault="005D65E0" w:rsidP="005D65E0">
      <w:pPr>
        <w:rPr>
          <w:b/>
          <w:color w:val="000000" w:themeColor="text1"/>
          <w:sz w:val="22"/>
          <w:szCs w:val="22"/>
          <w:u w:val="single"/>
          <w:lang w:val="fr-CA"/>
        </w:rPr>
      </w:pPr>
      <w:r w:rsidRPr="00B57B08">
        <w:rPr>
          <w:b/>
          <w:color w:val="000000" w:themeColor="text1"/>
          <w:sz w:val="22"/>
          <w:szCs w:val="22"/>
          <w:u w:val="single"/>
          <w:lang w:val="fr-CA"/>
        </w:rPr>
        <w:br w:type="page"/>
      </w:r>
    </w:p>
    <w:tbl>
      <w:tblPr>
        <w:tblW w:w="14740" w:type="dxa"/>
        <w:tblInd w:w="113" w:type="dxa"/>
        <w:tblLayout w:type="fixed"/>
        <w:tblLook w:val="04A0" w:firstRow="1" w:lastRow="0" w:firstColumn="1" w:lastColumn="0" w:noHBand="0" w:noVBand="1"/>
      </w:tblPr>
      <w:tblGrid>
        <w:gridCol w:w="3100"/>
        <w:gridCol w:w="3555"/>
        <w:gridCol w:w="2677"/>
        <w:gridCol w:w="2003"/>
        <w:gridCol w:w="3405"/>
      </w:tblGrid>
      <w:tr w:rsidR="005D65E0" w:rsidRPr="005C1AAB" w:rsidTr="001F5AA6">
        <w:trPr>
          <w:trHeight w:val="278"/>
        </w:trPr>
        <w:tc>
          <w:tcPr>
            <w:tcW w:w="3100" w:type="dxa"/>
            <w:tcBorders>
              <w:top w:val="single" w:sz="4" w:space="0" w:color="auto"/>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lastRenderedPageBreak/>
              <w:t>LIGNE STRATÉGIQUE</w:t>
            </w:r>
          </w:p>
        </w:tc>
        <w:tc>
          <w:tcPr>
            <w:tcW w:w="11640"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4</w:t>
            </w:r>
            <w:r>
              <w:rPr>
                <w:b/>
                <w:bCs/>
                <w:color w:val="000000" w:themeColor="text1"/>
                <w:sz w:val="22"/>
                <w:szCs w:val="22"/>
                <w:lang w:val="fr-CA"/>
              </w:rPr>
              <w:t>. Promotion du travail décent, digne et productif pour tous</w:t>
            </w:r>
            <w:r w:rsidRPr="00B57B08">
              <w:rPr>
                <w:b/>
                <w:bCs/>
                <w:color w:val="000000" w:themeColor="text1"/>
                <w:sz w:val="22"/>
                <w:szCs w:val="22"/>
                <w:lang w:val="fr-CA"/>
              </w:rPr>
              <w:t>.</w:t>
            </w:r>
          </w:p>
        </w:tc>
      </w:tr>
      <w:tr w:rsidR="005D65E0" w:rsidRPr="005C1AAB" w:rsidTr="001F5AA6">
        <w:trPr>
          <w:trHeight w:val="278"/>
        </w:trPr>
        <w:tc>
          <w:tcPr>
            <w:tcW w:w="3100"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40"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4</w:t>
            </w:r>
            <w:r>
              <w:rPr>
                <w:b/>
                <w:bCs/>
                <w:color w:val="000000" w:themeColor="text1"/>
                <w:sz w:val="22"/>
                <w:szCs w:val="22"/>
                <w:lang w:val="fr-CA"/>
              </w:rPr>
              <w:t xml:space="preserve">.1. Accroissement des capacités des États membres de renforcer les systèmes d’éducation et d’apprentissage tout au long de la vie afin de mieux préparer la main-d’œuvre.   </w:t>
            </w:r>
          </w:p>
        </w:tc>
      </w:tr>
      <w:tr w:rsidR="005D65E0" w:rsidRPr="00B57B08" w:rsidTr="001F5AA6">
        <w:trPr>
          <w:trHeight w:val="420"/>
        </w:trPr>
        <w:tc>
          <w:tcPr>
            <w:tcW w:w="14740" w:type="dxa"/>
            <w:gridSpan w:val="5"/>
            <w:tcBorders>
              <w:top w:val="single" w:sz="4" w:space="0" w:color="auto"/>
              <w:left w:val="single" w:sz="4" w:space="0" w:color="auto"/>
              <w:bottom w:val="single" w:sz="4" w:space="0" w:color="auto"/>
              <w:right w:val="single" w:sz="4" w:space="0" w:color="auto"/>
            </w:tcBorders>
            <w:shd w:val="clear" w:color="000000" w:fill="F2F2F2"/>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Travail </w:t>
            </w:r>
            <w:r w:rsidRPr="00B57B08">
              <w:rPr>
                <w:b/>
                <w:bCs/>
                <w:color w:val="000000" w:themeColor="text1"/>
                <w:sz w:val="22"/>
                <w:szCs w:val="22"/>
                <w:lang w:val="fr-CA"/>
              </w:rPr>
              <w:t>:</w:t>
            </w:r>
          </w:p>
        </w:tc>
      </w:tr>
      <w:tr w:rsidR="005D65E0" w:rsidRPr="005C1AAB" w:rsidTr="001F5AA6">
        <w:trPr>
          <w:trHeight w:val="2040"/>
        </w:trPr>
        <w:tc>
          <w:tcPr>
            <w:tcW w:w="3100" w:type="dxa"/>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Conférence interaméricaine des ministres du travail</w:t>
            </w:r>
            <w:r w:rsidRPr="00B57B08">
              <w:rPr>
                <w:rFonts w:eastAsia="Calibri"/>
                <w:b/>
                <w:bCs/>
                <w:color w:val="000000" w:themeColor="text1"/>
                <w:sz w:val="22"/>
                <w:szCs w:val="22"/>
                <w:lang w:val="fr-CA"/>
              </w:rPr>
              <w:t xml:space="preserve"> (</w:t>
            </w:r>
            <w:r>
              <w:rPr>
                <w:rFonts w:eastAsia="Calibri"/>
                <w:b/>
                <w:bCs/>
                <w:color w:val="000000" w:themeColor="text1"/>
                <w:sz w:val="22"/>
                <w:szCs w:val="22"/>
                <w:lang w:val="fr-CA"/>
              </w:rPr>
              <w:t>CIMT</w:t>
            </w:r>
            <w:r w:rsidRPr="00B57B08">
              <w:rPr>
                <w:rFonts w:eastAsia="Calibri"/>
                <w:b/>
                <w:bCs/>
                <w:color w:val="000000" w:themeColor="text1"/>
                <w:sz w:val="22"/>
                <w:szCs w:val="22"/>
                <w:lang w:val="fr-CA"/>
              </w:rPr>
              <w:t>).</w:t>
            </w:r>
          </w:p>
        </w:tc>
        <w:tc>
          <w:tcPr>
            <w:tcW w:w="3555" w:type="dxa"/>
            <w:vMerge w:val="restart"/>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color w:val="000000" w:themeColor="text1"/>
                <w:sz w:val="22"/>
                <w:szCs w:val="22"/>
                <w:lang w:val="fr-CA"/>
              </w:rPr>
            </w:pPr>
            <w:r>
              <w:rPr>
                <w:color w:val="000000" w:themeColor="text1"/>
                <w:sz w:val="22"/>
                <w:szCs w:val="22"/>
                <w:lang w:val="fr-CA"/>
              </w:rPr>
              <w:t>Appuyer une meilleure coordination entre l’éducation et le travail, afin de rendre les systèmes d’éducation et d’apprentissage tout au long de la vie mieux renseignés et plus adaptatifs aux changements technologiques et aux besoins émergents du secteur de la production. Traiter le fossé des compétences, cerner et élaborer des “capacités pour l’avenir” et mieux préparer la main-d’œuvre ont été reconnus comme des mesures de base pour accroitre la productivité et la compétitivité dans les Amériques. Ces deux mesures contribuent également à bâtir des économies plus résilientes et plus durables</w:t>
            </w:r>
            <w:r w:rsidRPr="00B57B08">
              <w:rPr>
                <w:color w:val="000000" w:themeColor="text1"/>
                <w:sz w:val="22"/>
                <w:szCs w:val="22"/>
                <w:lang w:val="fr-CA"/>
              </w:rPr>
              <w:t xml:space="preserve">. </w:t>
            </w:r>
          </w:p>
        </w:tc>
        <w:tc>
          <w:tcPr>
            <w:tcW w:w="2677" w:type="dxa"/>
            <w:vMerge w:val="restart"/>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color w:val="000000" w:themeColor="text1"/>
                <w:sz w:val="22"/>
                <w:szCs w:val="22"/>
                <w:lang w:val="fr-CA"/>
              </w:rPr>
            </w:pPr>
            <w:r>
              <w:rPr>
                <w:color w:val="000000" w:themeColor="text1"/>
                <w:sz w:val="22"/>
                <w:szCs w:val="22"/>
                <w:lang w:val="fr-CA"/>
              </w:rPr>
              <w:t>Élaboration d’un cadre régional de qualification dans le but de guider les systèmes nationaux de qualification</w:t>
            </w:r>
            <w:r w:rsidRPr="00B57B08">
              <w:rPr>
                <w:color w:val="000000" w:themeColor="text1"/>
                <w:sz w:val="22"/>
                <w:szCs w:val="22"/>
                <w:lang w:val="fr-CA"/>
              </w:rPr>
              <w:t>.</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3405" w:type="dxa"/>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Partage de connaissances et échange de bonnes pratiques :</w:t>
            </w:r>
            <w:r w:rsidRPr="00B57B08">
              <w:rPr>
                <w:b/>
                <w:bCs/>
                <w:color w:val="000000" w:themeColor="text1"/>
                <w:sz w:val="22"/>
                <w:szCs w:val="22"/>
                <w:lang w:val="fr-CA"/>
              </w:rPr>
              <w:t xml:space="preserve"> </w:t>
            </w:r>
            <w:r>
              <w:rPr>
                <w:color w:val="000000" w:themeColor="text1"/>
                <w:sz w:val="22"/>
                <w:szCs w:val="22"/>
                <w:lang w:val="fr-CA"/>
              </w:rPr>
              <w:t xml:space="preserve">Les États membres ont accès à des occasions d’apprendre, de partager des projets, des données d’expériences et d’autres ressources qui peuvent aider à déployer, reproduire ou adapter des initiatives destinées à mitiger les défis posés par la </w:t>
            </w:r>
            <w:r w:rsidRPr="00B57B08">
              <w:rPr>
                <w:color w:val="000000" w:themeColor="text1"/>
                <w:sz w:val="22"/>
                <w:szCs w:val="22"/>
                <w:lang w:val="fr-CA"/>
              </w:rPr>
              <w:t>COVID-19.</w:t>
            </w:r>
            <w:r w:rsidRPr="00B57B08">
              <w:rPr>
                <w:color w:val="000000" w:themeColor="text1"/>
                <w:sz w:val="22"/>
                <w:szCs w:val="22"/>
                <w:lang w:val="fr-CA"/>
              </w:rPr>
              <w:br/>
            </w:r>
            <w:r w:rsidRPr="00B57B08">
              <w:rPr>
                <w:color w:val="000000" w:themeColor="text1"/>
                <w:sz w:val="22"/>
                <w:szCs w:val="22"/>
                <w:lang w:val="fr-CA"/>
              </w:rPr>
              <w:br/>
              <w:t>- Participation</w:t>
            </w:r>
            <w:r>
              <w:rPr>
                <w:color w:val="000000" w:themeColor="text1"/>
                <w:sz w:val="22"/>
                <w:szCs w:val="22"/>
                <w:lang w:val="fr-CA"/>
              </w:rPr>
              <w:t xml:space="preserve"> à une série de rencontres virtuelles, de webinaires et d’ateliers en ligne</w:t>
            </w:r>
            <w:r w:rsidRPr="00B57B08">
              <w:rPr>
                <w:color w:val="000000" w:themeColor="text1"/>
                <w:sz w:val="22"/>
                <w:szCs w:val="22"/>
                <w:lang w:val="fr-CA"/>
              </w:rPr>
              <w:t>.</w:t>
            </w:r>
            <w:r w:rsidRPr="00B57B08">
              <w:rPr>
                <w:color w:val="000000" w:themeColor="text1"/>
                <w:sz w:val="22"/>
                <w:szCs w:val="22"/>
                <w:lang w:val="fr-CA"/>
              </w:rPr>
              <w:br/>
              <w:t>- Por</w:t>
            </w:r>
            <w:r>
              <w:rPr>
                <w:color w:val="000000" w:themeColor="text1"/>
                <w:sz w:val="22"/>
                <w:szCs w:val="22"/>
                <w:lang w:val="fr-CA"/>
              </w:rPr>
              <w:t xml:space="preserve">tefeuille de ressources en matière de développement et réponses des États membres à la </w:t>
            </w:r>
            <w:r w:rsidRPr="00B57B08">
              <w:rPr>
                <w:color w:val="000000" w:themeColor="text1"/>
                <w:sz w:val="22"/>
                <w:szCs w:val="22"/>
                <w:lang w:val="fr-CA"/>
              </w:rPr>
              <w:t>COVID-19</w:t>
            </w:r>
            <w:r>
              <w:rPr>
                <w:color w:val="000000" w:themeColor="text1"/>
                <w:sz w:val="22"/>
                <w:szCs w:val="22"/>
                <w:lang w:val="fr-CA"/>
              </w:rPr>
              <w:t xml:space="preserve"> en ce qui concerne le travail</w:t>
            </w:r>
            <w:r w:rsidRPr="00B57B08">
              <w:rPr>
                <w:color w:val="000000" w:themeColor="text1"/>
                <w:sz w:val="22"/>
                <w:szCs w:val="22"/>
                <w:lang w:val="fr-CA"/>
              </w:rPr>
              <w:t>.</w:t>
            </w:r>
          </w:p>
        </w:tc>
      </w:tr>
      <w:tr w:rsidR="005D65E0" w:rsidRPr="005C1AAB" w:rsidTr="001F5AA6">
        <w:trPr>
          <w:trHeight w:val="2033"/>
        </w:trPr>
        <w:tc>
          <w:tcPr>
            <w:tcW w:w="3100" w:type="dxa"/>
            <w:tcBorders>
              <w:top w:val="nil"/>
              <w:left w:val="single" w:sz="4" w:space="0" w:color="auto"/>
              <w:bottom w:val="single" w:sz="4" w:space="0" w:color="auto"/>
              <w:right w:val="single" w:sz="4" w:space="0" w:color="auto"/>
            </w:tcBorders>
            <w:shd w:val="clear" w:color="000000" w:fill="FFFFFF"/>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Réseau interaméricain pour l’administration du travail</w:t>
            </w:r>
            <w:r w:rsidRPr="00B57B08">
              <w:rPr>
                <w:rFonts w:eastAsia="Calibri"/>
                <w:b/>
                <w:bCs/>
                <w:color w:val="000000" w:themeColor="text1"/>
                <w:sz w:val="22"/>
                <w:szCs w:val="22"/>
                <w:lang w:val="fr-CA"/>
              </w:rPr>
              <w:t xml:space="preserve"> (RIAL)</w:t>
            </w:r>
          </w:p>
        </w:tc>
        <w:tc>
          <w:tcPr>
            <w:tcW w:w="3555"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77"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003"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405"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033"/>
        </w:trPr>
        <w:tc>
          <w:tcPr>
            <w:tcW w:w="3100" w:type="dxa"/>
            <w:tcBorders>
              <w:top w:val="nil"/>
              <w:left w:val="single" w:sz="4" w:space="0" w:color="auto"/>
              <w:bottom w:val="single" w:sz="4" w:space="0" w:color="auto"/>
              <w:right w:val="single" w:sz="4" w:space="0" w:color="auto"/>
            </w:tcBorders>
            <w:shd w:val="clear" w:color="000000" w:fill="FFFFFF"/>
          </w:tcPr>
          <w:p w:rsidR="005D65E0" w:rsidRDefault="005D65E0" w:rsidP="001F5AA6">
            <w:pPr>
              <w:rPr>
                <w:rFonts w:eastAsia="Calibri"/>
                <w:b/>
                <w:bCs/>
                <w:color w:val="000000" w:themeColor="text1"/>
                <w:sz w:val="22"/>
                <w:szCs w:val="22"/>
                <w:lang w:val="fr-CA"/>
              </w:rPr>
            </w:pPr>
            <w:r>
              <w:rPr>
                <w:rFonts w:eastAsia="Calibri"/>
                <w:b/>
                <w:bCs/>
                <w:color w:val="000000" w:themeColor="text1"/>
                <w:sz w:val="22"/>
                <w:szCs w:val="22"/>
                <w:lang w:val="fr-CA"/>
              </w:rPr>
              <w:t>INITIATIVES ET ACTIVITÉS</w:t>
            </w:r>
          </w:p>
        </w:tc>
        <w:tc>
          <w:tcPr>
            <w:tcW w:w="3555" w:type="dxa"/>
            <w:tcBorders>
              <w:top w:val="nil"/>
              <w:left w:val="single" w:sz="4" w:space="0" w:color="auto"/>
              <w:bottom w:val="single" w:sz="4" w:space="0" w:color="auto"/>
              <w:right w:val="single" w:sz="4" w:space="0" w:color="auto"/>
            </w:tcBorders>
            <w:vAlign w:val="center"/>
          </w:tcPr>
          <w:p w:rsidR="005D65E0" w:rsidRPr="00822DF6" w:rsidRDefault="005D65E0" w:rsidP="001F5AA6">
            <w:pPr>
              <w:rPr>
                <w:b/>
                <w:color w:val="000000" w:themeColor="text1"/>
                <w:sz w:val="22"/>
                <w:szCs w:val="22"/>
                <w:lang w:val="fr-CA"/>
              </w:rPr>
            </w:pPr>
            <w:r>
              <w:rPr>
                <w:b/>
                <w:color w:val="000000" w:themeColor="text1"/>
                <w:sz w:val="22"/>
                <w:szCs w:val="22"/>
                <w:lang w:val="fr-CA"/>
              </w:rPr>
              <w:t>CONTRIBUTION À LA RÉSILIENCE ET À LA COMPÉTITIVITÉ</w:t>
            </w:r>
          </w:p>
        </w:tc>
        <w:tc>
          <w:tcPr>
            <w:tcW w:w="2677" w:type="dxa"/>
            <w:tcBorders>
              <w:top w:val="nil"/>
              <w:left w:val="single" w:sz="4" w:space="0" w:color="auto"/>
              <w:bottom w:val="single" w:sz="4" w:space="0" w:color="auto"/>
              <w:right w:val="single" w:sz="4" w:space="0" w:color="auto"/>
            </w:tcBorders>
            <w:vAlign w:val="center"/>
          </w:tcPr>
          <w:p w:rsidR="005D65E0" w:rsidRPr="00822DF6" w:rsidRDefault="005D65E0" w:rsidP="001F5AA6">
            <w:pPr>
              <w:rPr>
                <w:b/>
                <w:color w:val="000000" w:themeColor="text1"/>
                <w:sz w:val="22"/>
                <w:szCs w:val="22"/>
                <w:lang w:val="fr-CA"/>
              </w:rPr>
            </w:pPr>
            <w:r>
              <w:rPr>
                <w:b/>
                <w:color w:val="000000" w:themeColor="text1"/>
                <w:sz w:val="22"/>
                <w:szCs w:val="22"/>
                <w:lang w:val="fr-CA"/>
              </w:rPr>
              <w:t>RÉSULTATS ATTENDUS</w:t>
            </w:r>
          </w:p>
        </w:tc>
        <w:tc>
          <w:tcPr>
            <w:tcW w:w="2003" w:type="dxa"/>
            <w:tcBorders>
              <w:top w:val="nil"/>
              <w:left w:val="single" w:sz="4" w:space="0" w:color="auto"/>
              <w:bottom w:val="single" w:sz="4" w:space="0" w:color="auto"/>
              <w:right w:val="single" w:sz="4" w:space="0" w:color="auto"/>
            </w:tcBorders>
            <w:vAlign w:val="center"/>
          </w:tcPr>
          <w:p w:rsidR="005D65E0" w:rsidRPr="00822DF6" w:rsidRDefault="005D65E0" w:rsidP="001F5AA6">
            <w:pPr>
              <w:rPr>
                <w:b/>
                <w:color w:val="000000" w:themeColor="text1"/>
                <w:sz w:val="22"/>
                <w:szCs w:val="22"/>
                <w:lang w:val="fr-CA"/>
              </w:rPr>
            </w:pPr>
            <w:r>
              <w:rPr>
                <w:b/>
                <w:color w:val="000000" w:themeColor="text1"/>
                <w:sz w:val="22"/>
                <w:szCs w:val="22"/>
                <w:lang w:val="fr-CA"/>
              </w:rPr>
              <w:t>COOPÉRATION ET PARTENARIATS</w:t>
            </w:r>
          </w:p>
        </w:tc>
        <w:tc>
          <w:tcPr>
            <w:tcW w:w="3405" w:type="dxa"/>
            <w:tcBorders>
              <w:top w:val="nil"/>
              <w:left w:val="single" w:sz="4" w:space="0" w:color="auto"/>
              <w:bottom w:val="single" w:sz="4" w:space="0" w:color="000000"/>
              <w:right w:val="single" w:sz="4" w:space="0" w:color="auto"/>
            </w:tcBorders>
            <w:vAlign w:val="center"/>
          </w:tcPr>
          <w:p w:rsidR="005D65E0" w:rsidRPr="00822DF6" w:rsidRDefault="005D65E0" w:rsidP="001F5AA6">
            <w:pPr>
              <w:rPr>
                <w:b/>
                <w:color w:val="000000" w:themeColor="text1"/>
                <w:sz w:val="22"/>
                <w:szCs w:val="22"/>
                <w:lang w:val="fr-CA"/>
              </w:rPr>
            </w:pPr>
            <w:r>
              <w:rPr>
                <w:b/>
                <w:color w:val="000000" w:themeColor="text1"/>
                <w:sz w:val="22"/>
                <w:szCs w:val="22"/>
                <w:lang w:val="fr-CA"/>
              </w:rPr>
              <w:t>RÉPONSE ET ADAPTATION À LA COVID-19</w:t>
            </w:r>
          </w:p>
        </w:tc>
      </w:tr>
      <w:tr w:rsidR="005D65E0" w:rsidRPr="005C1AAB" w:rsidTr="001F5AA6">
        <w:trPr>
          <w:trHeight w:val="620"/>
        </w:trPr>
        <w:tc>
          <w:tcPr>
            <w:tcW w:w="3100"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1640"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4</w:t>
            </w:r>
            <w:r>
              <w:rPr>
                <w:b/>
                <w:bCs/>
                <w:color w:val="000000" w:themeColor="text1"/>
                <w:sz w:val="22"/>
                <w:szCs w:val="22"/>
                <w:lang w:val="fr-CA"/>
              </w:rPr>
              <w:t>.2. Améliorer les capacités institutionnelles des États membres leur permettant de promouvoir des conditions de travail et des occasions d’emploi pour les populations dans des situations vulnérables et pour tous les groupes confrontés à d’importants défis sur le marché du travail</w:t>
            </w:r>
            <w:r w:rsidRPr="00B57B08">
              <w:rPr>
                <w:b/>
                <w:bCs/>
                <w:color w:val="000000" w:themeColor="text1"/>
                <w:sz w:val="22"/>
                <w:szCs w:val="22"/>
                <w:lang w:val="fr-CA"/>
              </w:rPr>
              <w:t>.</w:t>
            </w:r>
          </w:p>
        </w:tc>
      </w:tr>
      <w:tr w:rsidR="005D65E0" w:rsidRPr="00B57B08" w:rsidTr="001F5AA6">
        <w:trPr>
          <w:trHeight w:val="2775"/>
        </w:trPr>
        <w:tc>
          <w:tcPr>
            <w:tcW w:w="3100" w:type="dxa"/>
            <w:tcBorders>
              <w:top w:val="nil"/>
              <w:left w:val="single" w:sz="4" w:space="0" w:color="auto"/>
              <w:bottom w:val="single" w:sz="4" w:space="0" w:color="000000"/>
              <w:right w:val="single" w:sz="4" w:space="0" w:color="auto"/>
            </w:tcBorders>
            <w:shd w:val="clear" w:color="000000" w:fill="FFFFFF"/>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lastRenderedPageBreak/>
              <w:t>Conférence interaméricaine des ministres du travail (CIMT), CEATAL et</w:t>
            </w:r>
            <w:r w:rsidRPr="00B57B08">
              <w:rPr>
                <w:rFonts w:eastAsia="Calibri"/>
                <w:b/>
                <w:bCs/>
                <w:color w:val="000000" w:themeColor="text1"/>
                <w:sz w:val="22"/>
                <w:szCs w:val="22"/>
                <w:lang w:val="fr-CA"/>
              </w:rPr>
              <w:t xml:space="preserve"> COSATE.</w:t>
            </w:r>
          </w:p>
        </w:tc>
        <w:tc>
          <w:tcPr>
            <w:tcW w:w="3555" w:type="dxa"/>
            <w:tcBorders>
              <w:top w:val="nil"/>
              <w:left w:val="nil"/>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Accroissement du rythme de travail à des plateformes numériques (comme Uber, Rappi, </w:t>
            </w:r>
            <w:r w:rsidRPr="00B57B08">
              <w:rPr>
                <w:color w:val="000000" w:themeColor="text1"/>
                <w:sz w:val="22"/>
                <w:szCs w:val="22"/>
                <w:lang w:val="fr-CA"/>
              </w:rPr>
              <w:t>Amazon Mechanical Turk,</w:t>
            </w:r>
            <w:r>
              <w:rPr>
                <w:color w:val="000000" w:themeColor="text1"/>
                <w:sz w:val="22"/>
                <w:szCs w:val="22"/>
                <w:lang w:val="fr-CA"/>
              </w:rPr>
              <w:t xml:space="preserve"> entre autres) au cours des dernières années, et c’est là l’une des tendances de l’avenir du travail. Les gouvernements discutent actuellement de s’ils doivent réglementer ces plateformes et comment le faire; comment aborder les droits et obligations au travail</w:t>
            </w:r>
            <w:r w:rsidRPr="00B57B08">
              <w:rPr>
                <w:color w:val="000000" w:themeColor="text1"/>
                <w:sz w:val="22"/>
                <w:szCs w:val="22"/>
                <w:lang w:val="fr-CA"/>
              </w:rPr>
              <w:t>,</w:t>
            </w:r>
            <w:r>
              <w:rPr>
                <w:color w:val="000000" w:themeColor="text1"/>
                <w:sz w:val="22"/>
                <w:szCs w:val="22"/>
                <w:lang w:val="fr-CA"/>
              </w:rPr>
              <w:t xml:space="preserve"> et comment protéger toutes les personnes concernées</w:t>
            </w:r>
            <w:r w:rsidRPr="00B57B08">
              <w:rPr>
                <w:color w:val="000000" w:themeColor="text1"/>
                <w:sz w:val="22"/>
                <w:szCs w:val="22"/>
                <w:lang w:val="fr-CA"/>
              </w:rPr>
              <w:t xml:space="preserve">.  </w:t>
            </w:r>
          </w:p>
        </w:tc>
        <w:tc>
          <w:tcPr>
            <w:tcW w:w="2677" w:type="dxa"/>
            <w:tcBorders>
              <w:top w:val="nil"/>
              <w:left w:val="nil"/>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 xml:space="preserve">Les gouvernements sont plus informés et ils ont pris des mesures collectives pour aborder les conditions de travail des personnes qui travaillent à des plateformes numériques. </w:t>
            </w:r>
          </w:p>
        </w:tc>
        <w:tc>
          <w:tcPr>
            <w:tcW w:w="2003" w:type="dxa"/>
            <w:vMerge w:val="restart"/>
            <w:tcBorders>
              <w:top w:val="nil"/>
              <w:left w:val="single" w:sz="4" w:space="0" w:color="auto"/>
              <w:bottom w:val="single" w:sz="4" w:space="0" w:color="000000"/>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w:t>
            </w:r>
            <w:r w:rsidRPr="00B57B08">
              <w:rPr>
                <w:b/>
                <w:bCs/>
                <w:color w:val="000000" w:themeColor="text1"/>
                <w:sz w:val="22"/>
                <w:szCs w:val="22"/>
                <w:lang w:val="fr-CA"/>
              </w:rPr>
              <w:t xml:space="preserve"> (O</w:t>
            </w:r>
            <w:r>
              <w:rPr>
                <w:b/>
                <w:bCs/>
                <w:color w:val="000000" w:themeColor="text1"/>
                <w:sz w:val="22"/>
                <w:szCs w:val="22"/>
                <w:lang w:val="fr-CA"/>
              </w:rPr>
              <w:t>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w:t>
            </w:r>
            <w:r w:rsidRPr="00B57B08">
              <w:rPr>
                <w:color w:val="000000" w:themeColor="text1"/>
                <w:sz w:val="22"/>
                <w:szCs w:val="22"/>
                <w:lang w:val="fr-CA"/>
              </w:rPr>
              <w:t xml:space="preserve"> Commission</w:t>
            </w:r>
            <w:r>
              <w:rPr>
                <w:color w:val="000000" w:themeColor="text1"/>
                <w:sz w:val="22"/>
                <w:szCs w:val="22"/>
                <w:lang w:val="fr-CA"/>
              </w:rPr>
              <w:t xml:space="preserve"> interaméricaine des femmes</w:t>
            </w:r>
            <w:r w:rsidRPr="00B57B08">
              <w:rPr>
                <w:color w:val="000000" w:themeColor="text1"/>
                <w:sz w:val="22"/>
                <w:szCs w:val="22"/>
                <w:lang w:val="fr-CA"/>
              </w:rPr>
              <w:t xml:space="preserve"> (CIM)</w:t>
            </w:r>
          </w:p>
          <w:p w:rsidR="005D65E0" w:rsidRPr="00B57B08" w:rsidRDefault="005D65E0" w:rsidP="001F5AA6">
            <w:pPr>
              <w:rPr>
                <w:color w:val="000000" w:themeColor="text1"/>
                <w:sz w:val="22"/>
                <w:szCs w:val="22"/>
                <w:lang w:val="fr-CA"/>
              </w:rPr>
            </w:pPr>
          </w:p>
        </w:tc>
        <w:tc>
          <w:tcPr>
            <w:tcW w:w="3405" w:type="dxa"/>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color w:val="000000" w:themeColor="text1"/>
                <w:sz w:val="22"/>
                <w:szCs w:val="22"/>
                <w:lang w:val="fr-CA"/>
              </w:rPr>
              <w:t>Comme ci-dessus</w:t>
            </w:r>
            <w:r w:rsidRPr="00B57B08">
              <w:rPr>
                <w:color w:val="000000" w:themeColor="text1"/>
                <w:sz w:val="22"/>
                <w:szCs w:val="22"/>
                <w:lang w:val="fr-CA"/>
              </w:rPr>
              <w:t>.</w:t>
            </w:r>
          </w:p>
        </w:tc>
      </w:tr>
      <w:tr w:rsidR="005D65E0" w:rsidRPr="005C1AAB" w:rsidTr="001F5AA6">
        <w:trPr>
          <w:trHeight w:val="1485"/>
        </w:trPr>
        <w:tc>
          <w:tcPr>
            <w:tcW w:w="3100" w:type="dxa"/>
            <w:tcBorders>
              <w:top w:val="single" w:sz="4" w:space="0" w:color="000000"/>
              <w:left w:val="single" w:sz="4" w:space="0" w:color="000000"/>
              <w:bottom w:val="single" w:sz="4" w:space="0" w:color="000000"/>
              <w:right w:val="single" w:sz="4" w:space="0" w:color="000000"/>
            </w:tcBorders>
            <w:shd w:val="clear" w:color="000000" w:fill="FFFFFF"/>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Réseau interaméricain pour l’administration du travail</w:t>
            </w:r>
            <w:r w:rsidRPr="00B57B08">
              <w:rPr>
                <w:rFonts w:eastAsia="Calibri"/>
                <w:b/>
                <w:bCs/>
                <w:color w:val="000000" w:themeColor="text1"/>
                <w:sz w:val="22"/>
                <w:szCs w:val="22"/>
                <w:lang w:val="fr-CA"/>
              </w:rPr>
              <w:t xml:space="preserve"> (RIAL)</w:t>
            </w:r>
          </w:p>
        </w:tc>
        <w:tc>
          <w:tcPr>
            <w:tcW w:w="3555" w:type="dxa"/>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Appuyer les gouvernements dans ces discussions contribue à les rendre plus résilients à la réalité en changement constant du marché du travail</w:t>
            </w:r>
            <w:r w:rsidRPr="00B57B08">
              <w:rPr>
                <w:color w:val="000000" w:themeColor="text1"/>
                <w:sz w:val="22"/>
                <w:szCs w:val="22"/>
                <w:lang w:val="fr-CA"/>
              </w:rPr>
              <w:t>.</w:t>
            </w:r>
          </w:p>
        </w:tc>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Les gouvernements ont accru leurs connaissances et leur capacité de faire ce qui suit :</w:t>
            </w:r>
            <w:r w:rsidRPr="00B57B08">
              <w:rPr>
                <w:color w:val="000000" w:themeColor="text1"/>
                <w:sz w:val="22"/>
                <w:szCs w:val="22"/>
                <w:lang w:val="fr-CA"/>
              </w:rPr>
              <w:t xml:space="preserve"> 1) </w:t>
            </w:r>
            <w:r>
              <w:rPr>
                <w:color w:val="000000" w:themeColor="text1"/>
                <w:sz w:val="22"/>
                <w:szCs w:val="22"/>
                <w:lang w:val="fr-CA"/>
              </w:rPr>
              <w:t>intégrer la perspective de la parité hommes-femmes dans leur fonctionnement, leurs politiques et leurs programmes, et</w:t>
            </w:r>
            <w:r w:rsidRPr="00B57B08">
              <w:rPr>
                <w:color w:val="000000" w:themeColor="text1"/>
                <w:sz w:val="22"/>
                <w:szCs w:val="22"/>
                <w:lang w:val="fr-CA"/>
              </w:rPr>
              <w:t xml:space="preserve"> 2) </w:t>
            </w:r>
            <w:r>
              <w:rPr>
                <w:color w:val="000000" w:themeColor="text1"/>
                <w:sz w:val="22"/>
                <w:szCs w:val="22"/>
                <w:lang w:val="fr-CA"/>
              </w:rPr>
              <w:t>élaborer des initiatives ou des stratégies visant à élargir l’accès au marché du travail et à améliorer les conditions de travail pour tous les groupes qui font face à des défis importants, comme les jeunes et les personnes handicapées, entre autres</w:t>
            </w:r>
            <w:r w:rsidRPr="00B57B08">
              <w:rPr>
                <w:color w:val="000000" w:themeColor="text1"/>
                <w:sz w:val="22"/>
                <w:szCs w:val="22"/>
                <w:lang w:val="fr-CA"/>
              </w:rPr>
              <w:t>.</w:t>
            </w:r>
          </w:p>
        </w:tc>
        <w:tc>
          <w:tcPr>
            <w:tcW w:w="2003" w:type="dxa"/>
            <w:vMerge/>
            <w:tcBorders>
              <w:top w:val="single" w:sz="4" w:space="0" w:color="auto"/>
              <w:left w:val="single" w:sz="4" w:space="0" w:color="000000"/>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405" w:type="dxa"/>
            <w:vMerge/>
            <w:tcBorders>
              <w:top w:val="single" w:sz="4" w:space="0" w:color="auto"/>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r w:rsidR="005D65E0" w:rsidRPr="005C1AAB" w:rsidTr="001F5AA6">
        <w:trPr>
          <w:trHeight w:val="2807"/>
        </w:trPr>
        <w:tc>
          <w:tcPr>
            <w:tcW w:w="3100" w:type="dxa"/>
            <w:tcBorders>
              <w:top w:val="single" w:sz="4" w:space="0" w:color="000000"/>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3555" w:type="dxa"/>
            <w:tcBorders>
              <w:top w:val="single" w:sz="4" w:space="0" w:color="000000"/>
              <w:left w:val="nil"/>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A</w:t>
            </w:r>
            <w:r>
              <w:rPr>
                <w:color w:val="000000" w:themeColor="text1"/>
                <w:sz w:val="22"/>
                <w:szCs w:val="22"/>
                <w:lang w:val="fr-CA"/>
              </w:rPr>
              <w:t>tteindre l’égalité des sexes, et rendre le marché du travail plus inclusif et plus juste sont une étape vers des économies plus productives, plus compétitives et plus résilientes. Les personnes qui font face à des défis plus importants sur le marché du travail (comme les jeunes) sont celles sur lesquelles les chocs externes ont les répercussions les plus importantes, comme des études l’ont constaté après la crise financière. Les jeunes sont habituellement les premiers à être renvoyés lors de contractions économiques</w:t>
            </w:r>
            <w:r w:rsidRPr="00B57B08">
              <w:rPr>
                <w:color w:val="000000" w:themeColor="text1"/>
                <w:sz w:val="22"/>
                <w:szCs w:val="22"/>
                <w:lang w:val="fr-CA"/>
              </w:rPr>
              <w:t xml:space="preserve">.  </w:t>
            </w:r>
          </w:p>
        </w:tc>
        <w:tc>
          <w:tcPr>
            <w:tcW w:w="2677" w:type="dxa"/>
            <w:vMerge/>
            <w:tcBorders>
              <w:top w:val="single" w:sz="4" w:space="0" w:color="000000"/>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003" w:type="dxa"/>
            <w:vMerge/>
            <w:tcBorders>
              <w:top w:val="single" w:sz="4" w:space="0" w:color="auto"/>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405" w:type="dxa"/>
            <w:vMerge/>
            <w:tcBorders>
              <w:top w:val="single" w:sz="4" w:space="0" w:color="auto"/>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b/>
          <w:color w:val="000000" w:themeColor="text1"/>
          <w:sz w:val="22"/>
          <w:szCs w:val="22"/>
          <w:u w:val="single"/>
          <w:lang w:val="fr-CA"/>
        </w:rPr>
      </w:pPr>
    </w:p>
    <w:p w:rsidR="005D65E0" w:rsidRPr="00B57B08" w:rsidRDefault="005D65E0" w:rsidP="005D65E0">
      <w:pPr>
        <w:rPr>
          <w:b/>
          <w:color w:val="000000" w:themeColor="text1"/>
          <w:sz w:val="22"/>
          <w:szCs w:val="22"/>
          <w:u w:val="single"/>
          <w:lang w:val="fr-CA"/>
        </w:rPr>
      </w:pPr>
      <w:r w:rsidRPr="00B57B08">
        <w:rPr>
          <w:b/>
          <w:color w:val="000000" w:themeColor="text1"/>
          <w:sz w:val="22"/>
          <w:szCs w:val="22"/>
          <w:u w:val="single"/>
          <w:lang w:val="fr-CA"/>
        </w:rPr>
        <w:br w:type="page"/>
      </w:r>
    </w:p>
    <w:tbl>
      <w:tblPr>
        <w:tblW w:w="0" w:type="auto"/>
        <w:tblLayout w:type="fixed"/>
        <w:tblLook w:val="04A0" w:firstRow="1" w:lastRow="0" w:firstColumn="1" w:lastColumn="0" w:noHBand="0" w:noVBand="1"/>
      </w:tblPr>
      <w:tblGrid>
        <w:gridCol w:w="2221"/>
        <w:gridCol w:w="3239"/>
        <w:gridCol w:w="3844"/>
        <w:gridCol w:w="2637"/>
        <w:gridCol w:w="2675"/>
      </w:tblGrid>
      <w:tr w:rsidR="005D65E0" w:rsidRPr="005C1AAB" w:rsidTr="001F5AA6">
        <w:trPr>
          <w:trHeight w:val="278"/>
        </w:trPr>
        <w:tc>
          <w:tcPr>
            <w:tcW w:w="14616" w:type="dxa"/>
            <w:gridSpan w:val="5"/>
            <w:tcBorders>
              <w:bottom w:val="single" w:sz="4" w:space="0" w:color="000000"/>
            </w:tcBorders>
            <w:shd w:val="clear" w:color="auto" w:fill="auto"/>
            <w:noWrap/>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lastRenderedPageBreak/>
              <w:t>D</w:t>
            </w:r>
            <w:r>
              <w:rPr>
                <w:b/>
                <w:bCs/>
                <w:color w:val="000000" w:themeColor="text1"/>
                <w:sz w:val="22"/>
                <w:szCs w:val="22"/>
                <w:lang w:val="fr-CA"/>
              </w:rPr>
              <w:t>ÉPARTEMENT</w:t>
            </w:r>
            <w:r w:rsidRPr="00B57B08">
              <w:rPr>
                <w:b/>
                <w:bCs/>
                <w:color w:val="000000" w:themeColor="text1"/>
                <w:sz w:val="22"/>
                <w:szCs w:val="22"/>
                <w:lang w:val="fr-CA"/>
              </w:rPr>
              <w:t>/SECTION</w:t>
            </w:r>
            <w:r>
              <w:rPr>
                <w:b/>
                <w:bCs/>
                <w:color w:val="000000" w:themeColor="text1"/>
                <w:sz w:val="22"/>
                <w:szCs w:val="22"/>
                <w:lang w:val="fr-CA"/>
              </w:rPr>
              <w:t> :   BUREAU EXÉCUTIF – SECTION DE LA COOPÉRATION TECHNIQUE</w:t>
            </w:r>
            <w:r w:rsidRPr="00B57B08">
              <w:rPr>
                <w:b/>
                <w:bCs/>
                <w:color w:val="000000" w:themeColor="text1"/>
                <w:sz w:val="22"/>
                <w:szCs w:val="22"/>
                <w:lang w:val="fr-CA"/>
              </w:rPr>
              <w:t xml:space="preserve"> </w:t>
            </w:r>
          </w:p>
          <w:p w:rsidR="005D65E0" w:rsidRPr="00B57B08" w:rsidRDefault="005D65E0" w:rsidP="001F5AA6">
            <w:pPr>
              <w:rPr>
                <w:b/>
                <w:bCs/>
                <w:color w:val="000000" w:themeColor="text1"/>
                <w:sz w:val="22"/>
                <w:szCs w:val="22"/>
                <w:lang w:val="fr-CA"/>
              </w:rPr>
            </w:pPr>
          </w:p>
        </w:tc>
      </w:tr>
      <w:tr w:rsidR="005D65E0" w:rsidRPr="005C1AAB" w:rsidTr="001F5AA6">
        <w:trPr>
          <w:trHeight w:val="810"/>
        </w:trPr>
        <w:tc>
          <w:tcPr>
            <w:tcW w:w="2221"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INITIATIVES / ACTIVIT</w:t>
            </w:r>
            <w:r>
              <w:rPr>
                <w:b/>
                <w:bCs/>
                <w:color w:val="000000" w:themeColor="text1"/>
                <w:sz w:val="22"/>
                <w:szCs w:val="22"/>
                <w:lang w:val="fr-CA"/>
              </w:rPr>
              <w:t>ÉS </w:t>
            </w:r>
            <w:r w:rsidRPr="00B57B08">
              <w:rPr>
                <w:b/>
                <w:bCs/>
                <w:color w:val="000000" w:themeColor="text1"/>
                <w:sz w:val="22"/>
                <w:szCs w:val="22"/>
                <w:lang w:val="fr-CA"/>
              </w:rPr>
              <w:t>:</w:t>
            </w:r>
          </w:p>
        </w:tc>
        <w:tc>
          <w:tcPr>
            <w:tcW w:w="3239" w:type="dxa"/>
            <w:tcBorders>
              <w:top w:val="single" w:sz="4" w:space="0" w:color="000000"/>
              <w:left w:val="single" w:sz="4" w:space="0" w:color="000000"/>
              <w:bottom w:val="single" w:sz="4" w:space="0" w:color="000000"/>
              <w:right w:val="single" w:sz="4" w:space="0" w:color="000000"/>
            </w:tcBorders>
            <w:shd w:val="clear" w:color="000000" w:fill="D9E2F3"/>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CONTRIBUTION</w:t>
            </w:r>
            <w:r>
              <w:rPr>
                <w:b/>
                <w:bCs/>
                <w:color w:val="000000" w:themeColor="text1"/>
                <w:sz w:val="22"/>
                <w:szCs w:val="22"/>
                <w:lang w:val="fr-CA"/>
              </w:rPr>
              <w:t xml:space="preserve"> À LA RÉSILIENCE ET À LA COMPÉTITIVITÉ</w:t>
            </w:r>
          </w:p>
        </w:tc>
        <w:tc>
          <w:tcPr>
            <w:tcW w:w="3844"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RÉSULTATS / CONCLUSIONS ATTENDUS</w:t>
            </w:r>
            <w:r w:rsidRPr="00B57B08">
              <w:rPr>
                <w:b/>
                <w:bCs/>
                <w:color w:val="000000" w:themeColor="text1"/>
                <w:sz w:val="22"/>
                <w:szCs w:val="22"/>
                <w:lang w:val="fr-CA"/>
              </w:rPr>
              <w:t xml:space="preserve"> </w:t>
            </w:r>
          </w:p>
        </w:tc>
        <w:tc>
          <w:tcPr>
            <w:tcW w:w="2637" w:type="dxa"/>
            <w:tcBorders>
              <w:top w:val="single" w:sz="4" w:space="0" w:color="000000"/>
              <w:left w:val="single" w:sz="4" w:space="0" w:color="000000"/>
              <w:bottom w:val="single" w:sz="4" w:space="0" w:color="000000"/>
              <w:right w:val="single" w:sz="4" w:space="0" w:color="000000"/>
            </w:tcBorders>
            <w:shd w:val="clear" w:color="000000" w:fill="DBE5F1"/>
            <w:hideMark/>
          </w:tcPr>
          <w:p w:rsidR="005D65E0" w:rsidRPr="00B57B08" w:rsidRDefault="005D65E0" w:rsidP="001F5AA6">
            <w:pPr>
              <w:jc w:val="center"/>
              <w:rPr>
                <w:b/>
                <w:bCs/>
                <w:color w:val="000000" w:themeColor="text1"/>
                <w:sz w:val="22"/>
                <w:szCs w:val="22"/>
                <w:lang w:val="fr-CA"/>
              </w:rPr>
            </w:pPr>
            <w:r w:rsidRPr="00B57B08">
              <w:rPr>
                <w:b/>
                <w:bCs/>
                <w:color w:val="000000" w:themeColor="text1"/>
                <w:sz w:val="22"/>
                <w:szCs w:val="22"/>
                <w:lang w:val="fr-CA"/>
              </w:rPr>
              <w:t>C</w:t>
            </w:r>
            <w:r>
              <w:rPr>
                <w:b/>
                <w:bCs/>
                <w:color w:val="000000" w:themeColor="text1"/>
                <w:sz w:val="22"/>
                <w:szCs w:val="22"/>
                <w:lang w:val="fr-CA"/>
              </w:rPr>
              <w:t>OOPÉ</w:t>
            </w:r>
            <w:r w:rsidRPr="00B57B08">
              <w:rPr>
                <w:b/>
                <w:bCs/>
                <w:color w:val="000000" w:themeColor="text1"/>
                <w:sz w:val="22"/>
                <w:szCs w:val="22"/>
                <w:lang w:val="fr-CA"/>
              </w:rPr>
              <w:t>RATION</w:t>
            </w:r>
            <w:r>
              <w:rPr>
                <w:b/>
                <w:bCs/>
                <w:color w:val="000000" w:themeColor="text1"/>
                <w:sz w:val="22"/>
                <w:szCs w:val="22"/>
                <w:lang w:val="fr-CA"/>
              </w:rPr>
              <w:t xml:space="preserve"> ET PARTENARIATS</w:t>
            </w:r>
          </w:p>
        </w:tc>
        <w:tc>
          <w:tcPr>
            <w:tcW w:w="2675" w:type="dxa"/>
            <w:tcBorders>
              <w:top w:val="single" w:sz="4" w:space="0" w:color="000000"/>
              <w:left w:val="single" w:sz="4" w:space="0" w:color="000000"/>
              <w:bottom w:val="single" w:sz="4" w:space="0" w:color="000000"/>
              <w:right w:val="single" w:sz="4" w:space="0" w:color="000000"/>
            </w:tcBorders>
            <w:shd w:val="clear" w:color="auto" w:fill="FFFF00"/>
            <w:hideMark/>
          </w:tcPr>
          <w:p w:rsidR="005D65E0" w:rsidRPr="00B57B08" w:rsidRDefault="005D65E0" w:rsidP="001F5AA6">
            <w:pPr>
              <w:jc w:val="center"/>
              <w:rPr>
                <w:b/>
                <w:bCs/>
                <w:color w:val="000000" w:themeColor="text1"/>
                <w:sz w:val="22"/>
                <w:szCs w:val="22"/>
                <w:lang w:val="fr-CA"/>
              </w:rPr>
            </w:pPr>
            <w:r>
              <w:rPr>
                <w:b/>
                <w:bCs/>
                <w:color w:val="000000" w:themeColor="text1"/>
                <w:sz w:val="22"/>
                <w:szCs w:val="22"/>
                <w:lang w:val="fr-CA"/>
              </w:rPr>
              <w:t xml:space="preserve">RÉPONSE / ADAPTATION À LA </w:t>
            </w:r>
            <w:r w:rsidRPr="00B57B08">
              <w:rPr>
                <w:b/>
                <w:bCs/>
                <w:color w:val="000000" w:themeColor="text1"/>
                <w:sz w:val="22"/>
                <w:szCs w:val="22"/>
                <w:lang w:val="fr-CA"/>
              </w:rPr>
              <w:t xml:space="preserve">COVID-19 </w:t>
            </w:r>
          </w:p>
        </w:tc>
      </w:tr>
      <w:tr w:rsidR="005D65E0" w:rsidRPr="005C1AAB" w:rsidTr="001F5AA6">
        <w:trPr>
          <w:trHeight w:val="278"/>
        </w:trPr>
        <w:tc>
          <w:tcPr>
            <w:tcW w:w="2221" w:type="dxa"/>
            <w:tcBorders>
              <w:top w:val="single" w:sz="4" w:space="0" w:color="000000"/>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LIGNE STRATÉGIQUE</w:t>
            </w:r>
          </w:p>
        </w:tc>
        <w:tc>
          <w:tcPr>
            <w:tcW w:w="12395" w:type="dxa"/>
            <w:gridSpan w:val="4"/>
            <w:tcBorders>
              <w:top w:val="single" w:sz="4" w:space="0" w:color="000000"/>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 xml:space="preserve">6. </w:t>
            </w:r>
            <w:r>
              <w:rPr>
                <w:b/>
                <w:bCs/>
                <w:color w:val="000000" w:themeColor="text1"/>
                <w:sz w:val="22"/>
                <w:szCs w:val="22"/>
                <w:lang w:val="fr-CA"/>
              </w:rPr>
              <w:t>Encourager la coopération et les partenariats en matière de développement</w:t>
            </w:r>
          </w:p>
        </w:tc>
      </w:tr>
      <w:tr w:rsidR="005D65E0" w:rsidRPr="005C1AAB" w:rsidTr="001F5AA6">
        <w:trPr>
          <w:trHeight w:val="540"/>
        </w:trPr>
        <w:tc>
          <w:tcPr>
            <w:tcW w:w="2221" w:type="dxa"/>
            <w:tcBorders>
              <w:top w:val="nil"/>
              <w:left w:val="single" w:sz="4" w:space="0" w:color="auto"/>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2395" w:type="dxa"/>
            <w:gridSpan w:val="4"/>
            <w:tcBorders>
              <w:top w:val="single" w:sz="4" w:space="0" w:color="auto"/>
              <w:left w:val="nil"/>
              <w:bottom w:val="single" w:sz="4" w:space="0" w:color="auto"/>
              <w:right w:val="single" w:sz="4" w:space="0" w:color="auto"/>
            </w:tcBorders>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6</w:t>
            </w:r>
            <w:r>
              <w:rPr>
                <w:b/>
                <w:bCs/>
                <w:color w:val="000000" w:themeColor="text1"/>
                <w:sz w:val="22"/>
                <w:szCs w:val="22"/>
                <w:lang w:val="fr-CA"/>
              </w:rPr>
              <w:t>.1. Encourager la coopération bilatérale, sud-sud, triangulaire et internationale dans le Continent américain</w:t>
            </w:r>
          </w:p>
        </w:tc>
      </w:tr>
      <w:tr w:rsidR="005D65E0" w:rsidRPr="00B57B08" w:rsidTr="001F5AA6">
        <w:trPr>
          <w:trHeight w:val="278"/>
        </w:trPr>
        <w:tc>
          <w:tcPr>
            <w:tcW w:w="14616" w:type="dxa"/>
            <w:gridSpan w:val="5"/>
            <w:tcBorders>
              <w:top w:val="single" w:sz="4" w:space="0" w:color="auto"/>
              <w:left w:val="single" w:sz="4" w:space="0" w:color="auto"/>
              <w:bottom w:val="single" w:sz="4" w:space="0" w:color="auto"/>
              <w:right w:val="nil"/>
            </w:tcBorders>
            <w:shd w:val="clear" w:color="000000" w:fill="F2F2F2"/>
            <w:vAlign w:val="center"/>
            <w:hideMark/>
          </w:tcPr>
          <w:p w:rsidR="005D65E0" w:rsidRPr="00B57B08" w:rsidRDefault="005D65E0" w:rsidP="001F5AA6">
            <w:pPr>
              <w:rPr>
                <w:b/>
                <w:bCs/>
                <w:color w:val="000000" w:themeColor="text1"/>
                <w:sz w:val="22"/>
                <w:szCs w:val="22"/>
                <w:lang w:val="fr-CA"/>
              </w:rPr>
            </w:pPr>
            <w:r>
              <w:rPr>
                <w:b/>
                <w:bCs/>
                <w:color w:val="000000" w:themeColor="text1"/>
                <w:sz w:val="22"/>
                <w:szCs w:val="22"/>
                <w:lang w:val="fr-CA"/>
              </w:rPr>
              <w:t>Coopé</w:t>
            </w:r>
            <w:r w:rsidRPr="00B57B08">
              <w:rPr>
                <w:b/>
                <w:bCs/>
                <w:color w:val="000000" w:themeColor="text1"/>
                <w:sz w:val="22"/>
                <w:szCs w:val="22"/>
                <w:lang w:val="fr-CA"/>
              </w:rPr>
              <w:t>ration</w:t>
            </w:r>
            <w:r>
              <w:rPr>
                <w:b/>
                <w:bCs/>
                <w:color w:val="000000" w:themeColor="text1"/>
                <w:sz w:val="22"/>
                <w:szCs w:val="22"/>
                <w:lang w:val="fr-CA"/>
              </w:rPr>
              <w:t> </w:t>
            </w:r>
            <w:r w:rsidRPr="00B57B08">
              <w:rPr>
                <w:b/>
                <w:bCs/>
                <w:color w:val="000000" w:themeColor="text1"/>
                <w:sz w:val="22"/>
                <w:szCs w:val="22"/>
                <w:lang w:val="fr-CA"/>
              </w:rPr>
              <w:t>:</w:t>
            </w:r>
          </w:p>
        </w:tc>
      </w:tr>
      <w:tr w:rsidR="005D65E0" w:rsidRPr="005C1AAB" w:rsidTr="001F5AA6">
        <w:trPr>
          <w:trHeight w:val="368"/>
        </w:trPr>
        <w:tc>
          <w:tcPr>
            <w:tcW w:w="2221"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Fonds de coopération pour le développement</w:t>
            </w:r>
            <w:r w:rsidRPr="00B57B08">
              <w:rPr>
                <w:color w:val="000000" w:themeColor="text1"/>
                <w:sz w:val="22"/>
                <w:szCs w:val="22"/>
                <w:lang w:val="fr-CA"/>
              </w:rPr>
              <w:t xml:space="preserve"> (</w:t>
            </w:r>
            <w:r>
              <w:rPr>
                <w:color w:val="000000" w:themeColor="text1"/>
                <w:sz w:val="22"/>
                <w:szCs w:val="22"/>
                <w:lang w:val="fr-CA"/>
              </w:rPr>
              <w:t>FCD</w:t>
            </w:r>
            <w:r w:rsidRPr="00B57B08">
              <w:rPr>
                <w:color w:val="000000" w:themeColor="text1"/>
                <w:sz w:val="22"/>
                <w:szCs w:val="22"/>
                <w:lang w:val="fr-CA"/>
              </w:rPr>
              <w:t>)</w:t>
            </w:r>
          </w:p>
        </w:tc>
        <w:tc>
          <w:tcPr>
            <w:tcW w:w="3239"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Pr</w:t>
            </w:r>
            <w:r>
              <w:rPr>
                <w:rFonts w:eastAsia="Calibri"/>
                <w:color w:val="000000" w:themeColor="text1"/>
                <w:sz w:val="22"/>
                <w:szCs w:val="22"/>
                <w:lang w:val="fr-CA"/>
              </w:rPr>
              <w:t xml:space="preserve">ésenter aux États membres pour examen </w:t>
            </w:r>
            <w:r w:rsidRPr="00B57B08">
              <w:rPr>
                <w:rFonts w:eastAsia="Calibri"/>
                <w:color w:val="000000" w:themeColor="text1"/>
                <w:sz w:val="22"/>
                <w:szCs w:val="22"/>
                <w:lang w:val="fr-CA"/>
              </w:rPr>
              <w:t>“Resilience and Competitiveness”</w:t>
            </w:r>
            <w:r>
              <w:rPr>
                <w:rFonts w:eastAsia="Calibri"/>
                <w:color w:val="000000" w:themeColor="text1"/>
                <w:sz w:val="22"/>
                <w:szCs w:val="22"/>
                <w:lang w:val="fr-CA"/>
              </w:rPr>
              <w:t xml:space="preserve"> (résilience et compétitivité) comme un point central éventuel du prochain cycle de programmation</w:t>
            </w:r>
            <w:r w:rsidRPr="00B57B08">
              <w:rPr>
                <w:rFonts w:eastAsia="Calibri"/>
                <w:color w:val="000000" w:themeColor="text1"/>
                <w:sz w:val="22"/>
                <w:szCs w:val="22"/>
                <w:lang w:val="fr-CA"/>
              </w:rPr>
              <w:t>.</w:t>
            </w:r>
          </w:p>
        </w:tc>
        <w:tc>
          <w:tcPr>
            <w:tcW w:w="3844"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color w:val="000000" w:themeColor="text1"/>
                <w:sz w:val="22"/>
                <w:szCs w:val="22"/>
                <w:lang w:val="fr-CA"/>
              </w:rPr>
              <w:t>Cycle de programmation</w:t>
            </w:r>
            <w:r w:rsidRPr="00B57B08">
              <w:rPr>
                <w:color w:val="000000" w:themeColor="text1"/>
                <w:sz w:val="22"/>
                <w:szCs w:val="22"/>
                <w:lang w:val="fr-CA"/>
              </w:rPr>
              <w:t xml:space="preserve"> 2017-2021 </w:t>
            </w:r>
            <w:r>
              <w:rPr>
                <w:color w:val="000000" w:themeColor="text1"/>
                <w:sz w:val="22"/>
                <w:szCs w:val="22"/>
                <w:lang w:val="fr-CA"/>
              </w:rPr>
              <w:t>du FCD en cours d’exécution</w:t>
            </w:r>
            <w:r w:rsidRPr="00B57B08">
              <w:rPr>
                <w:color w:val="000000" w:themeColor="text1"/>
                <w:sz w:val="22"/>
                <w:szCs w:val="22"/>
                <w:lang w:val="fr-CA"/>
              </w:rPr>
              <w:t xml:space="preserve">. </w:t>
            </w:r>
          </w:p>
        </w:tc>
        <w:tc>
          <w:tcPr>
            <w:tcW w:w="2637"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w:t>
            </w:r>
            <w:r w:rsidRPr="00B57B08">
              <w:rPr>
                <w:b/>
                <w:bCs/>
                <w:color w:val="000000" w:themeColor="text1"/>
                <w:sz w:val="22"/>
                <w:szCs w:val="22"/>
                <w:lang w:val="fr-CA"/>
              </w:rPr>
              <w:t xml:space="preserve"> (O</w:t>
            </w:r>
            <w:r>
              <w:rPr>
                <w:b/>
                <w:bCs/>
                <w:color w:val="000000" w:themeColor="text1"/>
                <w:sz w:val="22"/>
                <w:szCs w:val="22"/>
                <w:lang w:val="fr-CA"/>
              </w:rPr>
              <w:t>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Tous les départements du</w:t>
            </w:r>
            <w:r w:rsidRPr="00B57B08">
              <w:rPr>
                <w:color w:val="000000" w:themeColor="text1"/>
                <w:sz w:val="22"/>
                <w:szCs w:val="22"/>
                <w:lang w:val="fr-CA"/>
              </w:rPr>
              <w:t xml:space="preserve"> SEDI</w:t>
            </w:r>
            <w:r>
              <w:rPr>
                <w:color w:val="000000" w:themeColor="text1"/>
                <w:sz w:val="22"/>
                <w:szCs w:val="22"/>
                <w:lang w:val="fr-CA"/>
              </w:rPr>
              <w:t xml:space="preserve"> et</w:t>
            </w:r>
            <w:r w:rsidRPr="00B57B08">
              <w:rPr>
                <w:color w:val="000000" w:themeColor="text1"/>
                <w:sz w:val="22"/>
                <w:szCs w:val="22"/>
                <w:lang w:val="fr-CA"/>
              </w:rPr>
              <w:t xml:space="preserve"> DOITS. </w:t>
            </w:r>
            <w:r w:rsidRPr="00B57B08">
              <w:rPr>
                <w:color w:val="000000" w:themeColor="text1"/>
                <w:sz w:val="22"/>
                <w:szCs w:val="22"/>
                <w:lang w:val="fr-CA"/>
              </w:rPr>
              <w:br/>
            </w:r>
            <w:r w:rsidRPr="00B57B08">
              <w:rPr>
                <w:color w:val="000000" w:themeColor="text1"/>
                <w:sz w:val="22"/>
                <w:szCs w:val="22"/>
                <w:lang w:val="fr-CA"/>
              </w:rPr>
              <w:br/>
            </w:r>
            <w:r>
              <w:rPr>
                <w:b/>
                <w:bCs/>
                <w:color w:val="000000" w:themeColor="text1"/>
                <w:sz w:val="22"/>
                <w:szCs w:val="22"/>
                <w:lang w:val="fr-CA"/>
              </w:rPr>
              <w:t>Externe </w:t>
            </w:r>
            <w:r w:rsidRPr="00B57B08">
              <w:rPr>
                <w:b/>
                <w:bCs/>
                <w:color w:val="000000" w:themeColor="text1"/>
                <w:sz w:val="22"/>
                <w:szCs w:val="22"/>
                <w:lang w:val="fr-CA"/>
              </w:rPr>
              <w:t xml:space="preserve">: </w:t>
            </w:r>
            <w:r>
              <w:rPr>
                <w:color w:val="000000" w:themeColor="text1"/>
                <w:sz w:val="22"/>
                <w:szCs w:val="22"/>
                <w:lang w:val="fr-CA"/>
              </w:rPr>
              <w:t>Organismes de coopération des États membres, secteur privé et secteur universitaire à déterminer</w:t>
            </w:r>
            <w:r w:rsidRPr="00B57B08">
              <w:rPr>
                <w:color w:val="000000" w:themeColor="text1"/>
                <w:sz w:val="22"/>
                <w:szCs w:val="22"/>
                <w:lang w:val="fr-CA"/>
              </w:rPr>
              <w:t>.</w:t>
            </w:r>
          </w:p>
        </w:tc>
        <w:tc>
          <w:tcPr>
            <w:tcW w:w="2675" w:type="dxa"/>
            <w:vMerge w:val="restart"/>
            <w:tcBorders>
              <w:top w:val="nil"/>
              <w:left w:val="single" w:sz="4" w:space="0" w:color="auto"/>
              <w:bottom w:val="single" w:sz="4" w:space="0" w:color="000000"/>
              <w:right w:val="single" w:sz="4" w:space="0" w:color="auto"/>
            </w:tcBorders>
            <w:shd w:val="clear" w:color="000000" w:fill="FFFF00"/>
            <w:hideMark/>
          </w:tcPr>
          <w:p w:rsidR="005D65E0" w:rsidRPr="00B57B08" w:rsidRDefault="005D65E0" w:rsidP="001F5AA6">
            <w:pPr>
              <w:rPr>
                <w:color w:val="000000" w:themeColor="text1"/>
                <w:sz w:val="22"/>
                <w:szCs w:val="22"/>
                <w:lang w:val="fr-CA"/>
              </w:rPr>
            </w:pPr>
            <w:r>
              <w:rPr>
                <w:b/>
                <w:bCs/>
                <w:color w:val="000000" w:themeColor="text1"/>
                <w:sz w:val="22"/>
                <w:szCs w:val="22"/>
                <w:lang w:val="fr-CA"/>
              </w:rPr>
              <w:t>Nouvel établissement des priorités concernant les mesures relatives à la coopération et aux partenariats </w:t>
            </w:r>
            <w:r w:rsidRPr="00B57B08">
              <w:rPr>
                <w:b/>
                <w:bCs/>
                <w:color w:val="000000" w:themeColor="text1"/>
                <w:sz w:val="22"/>
                <w:szCs w:val="22"/>
                <w:lang w:val="fr-CA"/>
              </w:rPr>
              <w:t>:</w:t>
            </w:r>
            <w:r>
              <w:rPr>
                <w:color w:val="000000" w:themeColor="text1"/>
                <w:sz w:val="22"/>
                <w:szCs w:val="22"/>
                <w:lang w:val="fr-CA"/>
              </w:rPr>
              <w:br/>
            </w:r>
            <w:r>
              <w:rPr>
                <w:color w:val="000000" w:themeColor="text1"/>
                <w:sz w:val="22"/>
                <w:szCs w:val="22"/>
                <w:lang w:val="fr-CA"/>
              </w:rPr>
              <w:br/>
              <w:t>Le Conseil d’administration de l’Agence interaméricaine pour la coopération et le développement (AICD) révise actuellement le Plan de travail de 2020-2021 de l’AICD à la lumière des incidences sociales, économiques et sanitaires de la crise causée par la pandémie de COVID-19</w:t>
            </w:r>
            <w:r w:rsidRPr="00B57B08">
              <w:rPr>
                <w:color w:val="000000" w:themeColor="text1"/>
                <w:sz w:val="22"/>
                <w:szCs w:val="22"/>
                <w:lang w:val="fr-CA"/>
              </w:rPr>
              <w:t xml:space="preserve">. </w:t>
            </w:r>
          </w:p>
        </w:tc>
      </w:tr>
      <w:tr w:rsidR="005D65E0" w:rsidRPr="005C1AAB" w:rsidTr="001F5AA6">
        <w:trPr>
          <w:trHeight w:val="1110"/>
        </w:trPr>
        <w:tc>
          <w:tcPr>
            <w:tcW w:w="222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239"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844" w:type="dxa"/>
            <w:tcBorders>
              <w:top w:val="nil"/>
              <w:left w:val="nil"/>
              <w:bottom w:val="single" w:sz="4" w:space="0" w:color="auto"/>
              <w:right w:val="single" w:sz="4" w:space="0" w:color="auto"/>
            </w:tcBorders>
            <w:shd w:val="clear" w:color="auto" w:fill="auto"/>
          </w:tcPr>
          <w:p w:rsidR="005D65E0" w:rsidRPr="00B57B08" w:rsidRDefault="005D65E0" w:rsidP="001F5AA6">
            <w:pPr>
              <w:contextualSpacing/>
              <w:rPr>
                <w:color w:val="000000" w:themeColor="text1"/>
                <w:sz w:val="22"/>
                <w:szCs w:val="22"/>
                <w:lang w:val="fr-CA"/>
              </w:rPr>
            </w:pPr>
            <w:r>
              <w:rPr>
                <w:color w:val="000000" w:themeColor="text1"/>
                <w:sz w:val="22"/>
                <w:szCs w:val="22"/>
                <w:lang w:val="fr-CA"/>
              </w:rPr>
              <w:t>Établissement et approbation (par le Conseil d’administration de l’AICD) du domaine d’action pour le cycle de programmation 2021-2024 du FCD de l’OEA.</w:t>
            </w:r>
          </w:p>
        </w:tc>
        <w:tc>
          <w:tcPr>
            <w:tcW w:w="2637"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1052"/>
        </w:trPr>
        <w:tc>
          <w:tcPr>
            <w:tcW w:w="222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239"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844" w:type="dxa"/>
            <w:tcBorders>
              <w:top w:val="nil"/>
              <w:left w:val="nil"/>
              <w:bottom w:val="single" w:sz="4" w:space="0" w:color="auto"/>
              <w:right w:val="single" w:sz="4" w:space="0" w:color="auto"/>
            </w:tcBorders>
            <w:shd w:val="clear" w:color="auto" w:fill="auto"/>
          </w:tcPr>
          <w:p w:rsidR="005D65E0" w:rsidRPr="00B57B08" w:rsidRDefault="005D65E0" w:rsidP="001F5AA6">
            <w:pPr>
              <w:contextualSpacing/>
              <w:rPr>
                <w:color w:val="000000" w:themeColor="text1"/>
                <w:sz w:val="22"/>
                <w:szCs w:val="22"/>
                <w:lang w:val="fr-CA"/>
              </w:rPr>
            </w:pPr>
            <w:r>
              <w:rPr>
                <w:color w:val="000000" w:themeColor="text1"/>
                <w:sz w:val="22"/>
                <w:szCs w:val="22"/>
                <w:lang w:val="fr-CA"/>
              </w:rPr>
              <w:t xml:space="preserve">Le caractère éligible des États membres et le budget proposé pour le cycle de programmation 2021-2024 du FCD de l’OEA sont présentés au Conseil d’administration de l’AICD. </w:t>
            </w:r>
          </w:p>
        </w:tc>
        <w:tc>
          <w:tcPr>
            <w:tcW w:w="2637"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1340"/>
        </w:trPr>
        <w:tc>
          <w:tcPr>
            <w:tcW w:w="2221" w:type="dxa"/>
            <w:vMerge w:val="restart"/>
            <w:tcBorders>
              <w:top w:val="nil"/>
              <w:left w:val="single" w:sz="4" w:space="0" w:color="auto"/>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CooperaNet</w:t>
            </w:r>
            <w:r>
              <w:rPr>
                <w:rFonts w:eastAsia="Calibri"/>
                <w:color w:val="000000" w:themeColor="text1"/>
                <w:sz w:val="22"/>
                <w:szCs w:val="22"/>
                <w:lang w:val="fr-CA"/>
              </w:rPr>
              <w:t> </w:t>
            </w:r>
            <w:r w:rsidRPr="00B57B08">
              <w:rPr>
                <w:rFonts w:eastAsia="Calibri"/>
                <w:color w:val="000000" w:themeColor="text1"/>
                <w:sz w:val="22"/>
                <w:szCs w:val="22"/>
                <w:lang w:val="fr-CA"/>
              </w:rPr>
              <w:t xml:space="preserve">: </w:t>
            </w:r>
            <w:r>
              <w:rPr>
                <w:rFonts w:eastAsia="Calibri"/>
                <w:color w:val="000000" w:themeColor="text1"/>
                <w:sz w:val="22"/>
                <w:szCs w:val="22"/>
                <w:lang w:val="fr-CA"/>
              </w:rPr>
              <w:t>le carrefour en ligne pour la coopération et les partenariats stratégique</w:t>
            </w:r>
            <w:r w:rsidRPr="00B57B08">
              <w:rPr>
                <w:rFonts w:eastAsia="Calibri"/>
                <w:color w:val="000000" w:themeColor="text1"/>
                <w:sz w:val="22"/>
                <w:szCs w:val="22"/>
                <w:lang w:val="fr-CA"/>
              </w:rPr>
              <w:t>.</w:t>
            </w:r>
          </w:p>
        </w:tc>
        <w:tc>
          <w:tcPr>
            <w:tcW w:w="323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w:t>
            </w:r>
            <w:r>
              <w:rPr>
                <w:rFonts w:eastAsia="Calibri"/>
                <w:color w:val="000000" w:themeColor="text1"/>
                <w:sz w:val="22"/>
                <w:szCs w:val="22"/>
                <w:lang w:val="fr-CA"/>
              </w:rPr>
              <w:t>Cooperation Exchange” (partage de coopération) : un appel spécifique est lancé pour recevoir des offres de coopération et des besoins dans les domaines de la résilience et de la compétitivité</w:t>
            </w:r>
            <w:r w:rsidRPr="00B57B08">
              <w:rPr>
                <w:rFonts w:eastAsia="Calibri"/>
                <w:color w:val="000000" w:themeColor="text1"/>
                <w:sz w:val="22"/>
                <w:szCs w:val="22"/>
                <w:lang w:val="fr-CA"/>
              </w:rPr>
              <w:t xml:space="preserve">. </w:t>
            </w:r>
          </w:p>
        </w:tc>
        <w:tc>
          <w:tcPr>
            <w:tcW w:w="3844"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Publication de plus de 400 offres de coopération et 20 besoins en matière de coopération. Un appel spécifique a été lancé pour des offres ou des besoins en matière de coopération dans les domaines de la résilience et de la compétitivité</w:t>
            </w:r>
            <w:r w:rsidRPr="00B57B08">
              <w:rPr>
                <w:rFonts w:eastAsia="Calibri"/>
                <w:color w:val="000000" w:themeColor="text1"/>
                <w:sz w:val="22"/>
                <w:szCs w:val="22"/>
                <w:lang w:val="fr-CA"/>
              </w:rPr>
              <w:t xml:space="preserve">. </w:t>
            </w:r>
          </w:p>
        </w:tc>
        <w:tc>
          <w:tcPr>
            <w:tcW w:w="2637"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1052"/>
        </w:trPr>
        <w:tc>
          <w:tcPr>
            <w:tcW w:w="222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23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“Interactive Library”</w:t>
            </w:r>
            <w:r>
              <w:rPr>
                <w:rFonts w:eastAsia="Calibri"/>
                <w:color w:val="000000" w:themeColor="text1"/>
                <w:sz w:val="22"/>
                <w:szCs w:val="22"/>
                <w:lang w:val="fr-CA"/>
              </w:rPr>
              <w:t xml:space="preserve"> (bibliothèque interactive) </w:t>
            </w:r>
            <w:r w:rsidRPr="00B57B08">
              <w:rPr>
                <w:rFonts w:eastAsia="Calibri"/>
                <w:color w:val="000000" w:themeColor="text1"/>
                <w:sz w:val="22"/>
                <w:szCs w:val="22"/>
                <w:lang w:val="fr-CA"/>
              </w:rPr>
              <w:t>:</w:t>
            </w:r>
            <w:r>
              <w:rPr>
                <w:rFonts w:eastAsia="Calibri"/>
                <w:color w:val="000000" w:themeColor="text1"/>
                <w:sz w:val="22"/>
                <w:szCs w:val="22"/>
                <w:lang w:val="fr-CA"/>
              </w:rPr>
              <w:t xml:space="preserve"> inclure les ressources pertinentes et créer un groupe de discussion sur la résilience et la compétitivité</w:t>
            </w:r>
            <w:r w:rsidRPr="00B57B08">
              <w:rPr>
                <w:rFonts w:eastAsia="Calibri"/>
                <w:color w:val="000000" w:themeColor="text1"/>
                <w:sz w:val="22"/>
                <w:szCs w:val="22"/>
                <w:lang w:val="fr-CA"/>
              </w:rPr>
              <w:t xml:space="preserve">. </w:t>
            </w:r>
          </w:p>
        </w:tc>
        <w:tc>
          <w:tcPr>
            <w:tcW w:w="3844"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 xml:space="preserve">Participation de partenaires actifs en matière de développement dans tous les services du SEDI. </w:t>
            </w:r>
          </w:p>
        </w:tc>
        <w:tc>
          <w:tcPr>
            <w:tcW w:w="2637"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59"/>
        </w:trPr>
        <w:tc>
          <w:tcPr>
            <w:tcW w:w="2221"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323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“Connect with an Expert”</w:t>
            </w:r>
            <w:r>
              <w:rPr>
                <w:rFonts w:eastAsia="Calibri"/>
                <w:color w:val="000000" w:themeColor="text1"/>
                <w:sz w:val="22"/>
                <w:szCs w:val="22"/>
                <w:lang w:val="fr-CA"/>
              </w:rPr>
              <w:t xml:space="preserve"> (communiquer avec un expert). Utiliser les réseaux existants au sein du SEDI pour élargir le répertoire d’experts</w:t>
            </w:r>
            <w:r w:rsidRPr="00B57B08">
              <w:rPr>
                <w:rFonts w:eastAsia="Calibri"/>
                <w:color w:val="000000" w:themeColor="text1"/>
                <w:sz w:val="22"/>
                <w:szCs w:val="22"/>
                <w:lang w:val="fr-CA"/>
              </w:rPr>
              <w:t xml:space="preserve">. </w:t>
            </w:r>
          </w:p>
        </w:tc>
        <w:tc>
          <w:tcPr>
            <w:tcW w:w="3844"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Participation d’experts internes et externes</w:t>
            </w:r>
            <w:r w:rsidRPr="00B57B08">
              <w:rPr>
                <w:rFonts w:eastAsia="Calibri"/>
                <w:color w:val="000000" w:themeColor="text1"/>
                <w:sz w:val="22"/>
                <w:szCs w:val="22"/>
                <w:lang w:val="fr-CA"/>
              </w:rPr>
              <w:t xml:space="preserve">. </w:t>
            </w:r>
          </w:p>
        </w:tc>
        <w:tc>
          <w:tcPr>
            <w:tcW w:w="2637" w:type="dxa"/>
            <w:vMerge/>
            <w:tcBorders>
              <w:top w:val="nil"/>
              <w:left w:val="single" w:sz="4" w:space="0" w:color="auto"/>
              <w:bottom w:val="single" w:sz="4" w:space="0" w:color="auto"/>
              <w:right w:val="single" w:sz="4" w:space="0" w:color="auto"/>
            </w:tcBorders>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hideMark/>
          </w:tcPr>
          <w:p w:rsidR="005D65E0" w:rsidRPr="00B57B08" w:rsidRDefault="005D65E0" w:rsidP="001F5AA6">
            <w:pPr>
              <w:rPr>
                <w:color w:val="000000" w:themeColor="text1"/>
                <w:sz w:val="22"/>
                <w:szCs w:val="22"/>
                <w:lang w:val="fr-CA"/>
              </w:rPr>
            </w:pPr>
          </w:p>
        </w:tc>
      </w:tr>
      <w:tr w:rsidR="005D65E0" w:rsidRPr="005C1AAB" w:rsidTr="001F5AA6">
        <w:trPr>
          <w:trHeight w:val="555"/>
        </w:trPr>
        <w:tc>
          <w:tcPr>
            <w:tcW w:w="2221"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3239" w:type="dxa"/>
            <w:tcBorders>
              <w:top w:val="nil"/>
              <w:left w:val="nil"/>
              <w:bottom w:val="single" w:sz="4" w:space="0" w:color="auto"/>
              <w:right w:val="single" w:sz="4" w:space="0" w:color="auto"/>
            </w:tcBorders>
            <w:shd w:val="clear" w:color="auto" w:fill="auto"/>
            <w:hideMark/>
          </w:tcPr>
          <w:p w:rsidR="005D65E0" w:rsidRPr="00B57B08" w:rsidRDefault="005D65E0" w:rsidP="001F5AA6">
            <w:pPr>
              <w:rPr>
                <w:color w:val="000000" w:themeColor="text1"/>
                <w:sz w:val="22"/>
                <w:szCs w:val="22"/>
                <w:lang w:val="fr-CA"/>
              </w:rPr>
            </w:pPr>
            <w:r w:rsidRPr="00B57B08">
              <w:rPr>
                <w:color w:val="000000" w:themeColor="text1"/>
                <w:sz w:val="22"/>
                <w:szCs w:val="22"/>
                <w:lang w:val="fr-CA"/>
              </w:rPr>
              <w:t> </w:t>
            </w:r>
          </w:p>
        </w:tc>
        <w:tc>
          <w:tcPr>
            <w:tcW w:w="3844" w:type="dxa"/>
            <w:tcBorders>
              <w:top w:val="nil"/>
              <w:left w:val="nil"/>
              <w:bottom w:val="single" w:sz="4" w:space="0" w:color="auto"/>
              <w:right w:val="single" w:sz="4" w:space="0" w:color="auto"/>
            </w:tcBorders>
            <w:shd w:val="clear" w:color="auto" w:fill="auto"/>
            <w:vAlign w:val="center"/>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Tenue d’au moins 3 séances de formation avec les points focaux</w:t>
            </w:r>
            <w:r w:rsidRPr="00B57B08">
              <w:rPr>
                <w:rFonts w:eastAsia="Calibri"/>
                <w:color w:val="000000" w:themeColor="text1"/>
                <w:sz w:val="22"/>
                <w:szCs w:val="22"/>
                <w:lang w:val="fr-CA"/>
              </w:rPr>
              <w:t xml:space="preserve">. </w:t>
            </w:r>
          </w:p>
        </w:tc>
        <w:tc>
          <w:tcPr>
            <w:tcW w:w="2637" w:type="dxa"/>
            <w:vMerge/>
            <w:tcBorders>
              <w:top w:val="nil"/>
              <w:left w:val="single" w:sz="4" w:space="0" w:color="auto"/>
              <w:bottom w:val="single" w:sz="4" w:space="0" w:color="auto"/>
              <w:right w:val="single" w:sz="4" w:space="0" w:color="auto"/>
            </w:tcBorders>
            <w:vAlign w:val="center"/>
            <w:hideMark/>
          </w:tcPr>
          <w:p w:rsidR="005D65E0" w:rsidRPr="00B57B08" w:rsidRDefault="005D65E0" w:rsidP="001F5AA6">
            <w:pPr>
              <w:rPr>
                <w:color w:val="000000" w:themeColor="text1"/>
                <w:sz w:val="22"/>
                <w:szCs w:val="22"/>
                <w:lang w:val="fr-CA"/>
              </w:rPr>
            </w:pPr>
          </w:p>
        </w:tc>
        <w:tc>
          <w:tcPr>
            <w:tcW w:w="2675" w:type="dxa"/>
            <w:vMerge/>
            <w:tcBorders>
              <w:top w:val="nil"/>
              <w:left w:val="single" w:sz="4" w:space="0" w:color="auto"/>
              <w:bottom w:val="single" w:sz="4" w:space="0" w:color="000000"/>
              <w:right w:val="single" w:sz="4" w:space="0" w:color="auto"/>
            </w:tcBorders>
            <w:vAlign w:val="center"/>
            <w:hideMark/>
          </w:tcPr>
          <w:p w:rsidR="005D65E0" w:rsidRPr="00B57B08" w:rsidRDefault="005D65E0" w:rsidP="001F5AA6">
            <w:pPr>
              <w:rPr>
                <w:color w:val="000000" w:themeColor="text1"/>
                <w:sz w:val="22"/>
                <w:szCs w:val="22"/>
                <w:lang w:val="fr-CA"/>
              </w:rPr>
            </w:pPr>
          </w:p>
        </w:tc>
      </w:tr>
    </w:tbl>
    <w:p w:rsidR="005D65E0" w:rsidRPr="00B57B08" w:rsidRDefault="005D65E0" w:rsidP="005D65E0">
      <w:pPr>
        <w:rPr>
          <w:color w:val="000000" w:themeColor="text1"/>
          <w:lang w:val="fr-CA"/>
        </w:rPr>
      </w:pPr>
      <w:r w:rsidRPr="00B57B08">
        <w:rPr>
          <w:color w:val="000000" w:themeColor="text1"/>
          <w:lang w:val="fr-CA"/>
        </w:rPr>
        <w:br w:type="page"/>
      </w:r>
    </w:p>
    <w:p w:rsidR="005D65E0" w:rsidRPr="00B57B08" w:rsidRDefault="005D65E0" w:rsidP="005D65E0">
      <w:pPr>
        <w:rPr>
          <w:color w:val="000000" w:themeColor="text1"/>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239"/>
        <w:gridCol w:w="3844"/>
        <w:gridCol w:w="2637"/>
        <w:gridCol w:w="2675"/>
      </w:tblGrid>
      <w:tr w:rsidR="005D65E0" w:rsidRPr="005C1AAB" w:rsidTr="001F5AA6">
        <w:trPr>
          <w:trHeight w:val="540"/>
        </w:trPr>
        <w:tc>
          <w:tcPr>
            <w:tcW w:w="2221" w:type="dxa"/>
            <w:shd w:val="clear" w:color="000000" w:fill="D0CECE"/>
            <w:hideMark/>
          </w:tcPr>
          <w:p w:rsidR="005D65E0" w:rsidRPr="00B57B08" w:rsidRDefault="005D65E0" w:rsidP="001F5AA6">
            <w:pPr>
              <w:rPr>
                <w:b/>
                <w:bCs/>
                <w:color w:val="000000" w:themeColor="text1"/>
                <w:sz w:val="22"/>
                <w:szCs w:val="22"/>
                <w:lang w:val="fr-CA"/>
              </w:rPr>
            </w:pPr>
            <w:r>
              <w:rPr>
                <w:rFonts w:eastAsia="Calibri"/>
                <w:b/>
                <w:bCs/>
                <w:color w:val="000000" w:themeColor="text1"/>
                <w:sz w:val="22"/>
                <w:szCs w:val="22"/>
                <w:lang w:val="fr-CA"/>
              </w:rPr>
              <w:t>OBJECTIF STRATÉGIQUE</w:t>
            </w:r>
          </w:p>
        </w:tc>
        <w:tc>
          <w:tcPr>
            <w:tcW w:w="12395" w:type="dxa"/>
            <w:gridSpan w:val="4"/>
            <w:shd w:val="clear" w:color="000000" w:fill="D0CECE"/>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6</w:t>
            </w:r>
            <w:r>
              <w:rPr>
                <w:b/>
                <w:bCs/>
                <w:color w:val="000000" w:themeColor="text1"/>
                <w:sz w:val="22"/>
                <w:szCs w:val="22"/>
                <w:lang w:val="fr-CA"/>
              </w:rPr>
              <w:t>.2. Encourager la formation de partenariats multisectoriels efficients pour aider les États membres à atteindre les objectifs de développement durable</w:t>
            </w:r>
            <w:r w:rsidRPr="00B57B08">
              <w:rPr>
                <w:b/>
                <w:bCs/>
                <w:color w:val="000000" w:themeColor="text1"/>
                <w:sz w:val="22"/>
                <w:szCs w:val="22"/>
                <w:lang w:val="fr-CA"/>
              </w:rPr>
              <w:t>.</w:t>
            </w:r>
          </w:p>
        </w:tc>
      </w:tr>
      <w:tr w:rsidR="005D65E0" w:rsidRPr="00B57B08" w:rsidTr="001F5AA6">
        <w:trPr>
          <w:trHeight w:val="323"/>
        </w:trPr>
        <w:tc>
          <w:tcPr>
            <w:tcW w:w="14616" w:type="dxa"/>
            <w:gridSpan w:val="5"/>
            <w:shd w:val="clear" w:color="000000" w:fill="F2F2F2"/>
            <w:vAlign w:val="center"/>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Part</w:t>
            </w:r>
            <w:r>
              <w:rPr>
                <w:b/>
                <w:bCs/>
                <w:color w:val="000000" w:themeColor="text1"/>
                <w:sz w:val="22"/>
                <w:szCs w:val="22"/>
                <w:lang w:val="fr-CA"/>
              </w:rPr>
              <w:t>enariats</w:t>
            </w:r>
          </w:p>
        </w:tc>
      </w:tr>
      <w:tr w:rsidR="005D65E0" w:rsidRPr="005C1AAB" w:rsidTr="001F5AA6">
        <w:trPr>
          <w:trHeight w:val="2243"/>
        </w:trPr>
        <w:tc>
          <w:tcPr>
            <w:tcW w:w="2221" w:type="dxa"/>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La stratégie de mobilisation du SEDI avec le secteur privé et d’autres partenaires devient opérationnelle</w:t>
            </w:r>
            <w:r w:rsidRPr="00B57B08">
              <w:rPr>
                <w:rFonts w:eastAsia="Calibri"/>
                <w:color w:val="000000" w:themeColor="text1"/>
                <w:sz w:val="22"/>
                <w:szCs w:val="22"/>
                <w:lang w:val="fr-CA"/>
              </w:rPr>
              <w:t>.</w:t>
            </w:r>
          </w:p>
        </w:tc>
        <w:tc>
          <w:tcPr>
            <w:tcW w:w="3239" w:type="dxa"/>
            <w:shd w:val="clear" w:color="auto" w:fill="auto"/>
            <w:hideMark/>
          </w:tcPr>
          <w:p w:rsidR="005D65E0" w:rsidRPr="00B57B08" w:rsidRDefault="005D65E0" w:rsidP="001F5AA6">
            <w:pPr>
              <w:rPr>
                <w:color w:val="000000" w:themeColor="text1"/>
                <w:sz w:val="22"/>
                <w:szCs w:val="22"/>
                <w:lang w:val="fr-CA"/>
              </w:rPr>
            </w:pPr>
            <w:r>
              <w:rPr>
                <w:rFonts w:eastAsia="Calibri"/>
                <w:color w:val="000000" w:themeColor="text1"/>
                <w:sz w:val="22"/>
                <w:szCs w:val="22"/>
                <w:lang w:val="fr-CA"/>
              </w:rPr>
              <w:t>Porter une attention particulière à la résilience dans la liste organisée de partenaires potentiels afin de guides les efforts de mobilisation</w:t>
            </w:r>
            <w:r w:rsidRPr="00B57B08">
              <w:rPr>
                <w:rFonts w:eastAsia="Calibri"/>
                <w:color w:val="000000" w:themeColor="text1"/>
                <w:sz w:val="22"/>
                <w:szCs w:val="22"/>
                <w:lang w:val="fr-CA"/>
              </w:rPr>
              <w:t>.</w:t>
            </w:r>
          </w:p>
        </w:tc>
        <w:tc>
          <w:tcPr>
            <w:tcW w:w="3844" w:type="dxa"/>
            <w:shd w:val="clear" w:color="auto" w:fill="auto"/>
            <w:hideMark/>
          </w:tcPr>
          <w:p w:rsidR="005D65E0" w:rsidRPr="00B57B08" w:rsidRDefault="005D65E0" w:rsidP="001F5AA6">
            <w:pPr>
              <w:rPr>
                <w:color w:val="000000" w:themeColor="text1"/>
                <w:sz w:val="22"/>
                <w:szCs w:val="22"/>
                <w:lang w:val="fr-CA"/>
              </w:rPr>
            </w:pPr>
            <w:r w:rsidRPr="00B57B08">
              <w:rPr>
                <w:rFonts w:eastAsia="Calibri"/>
                <w:color w:val="000000" w:themeColor="text1"/>
                <w:sz w:val="22"/>
                <w:szCs w:val="22"/>
                <w:lang w:val="fr-CA"/>
              </w:rPr>
              <w:t>Continue</w:t>
            </w:r>
            <w:r>
              <w:rPr>
                <w:rFonts w:eastAsia="Calibri"/>
                <w:color w:val="000000" w:themeColor="text1"/>
                <w:sz w:val="22"/>
                <w:szCs w:val="22"/>
                <w:lang w:val="fr-CA"/>
              </w:rPr>
              <w:t>r à chercher et à obtenir des partenariats basés sur des lignes directrices établies (mesure en cours au niveau institutionnel</w:t>
            </w:r>
            <w:r w:rsidRPr="00B57B08">
              <w:rPr>
                <w:rFonts w:eastAsia="Calibri"/>
                <w:color w:val="000000" w:themeColor="text1"/>
                <w:sz w:val="22"/>
                <w:szCs w:val="22"/>
                <w:lang w:val="fr-CA"/>
              </w:rPr>
              <w:t>).</w:t>
            </w:r>
          </w:p>
        </w:tc>
        <w:tc>
          <w:tcPr>
            <w:tcW w:w="2637" w:type="dxa"/>
            <w:shd w:val="clear" w:color="auto" w:fill="auto"/>
            <w:hideMark/>
          </w:tcPr>
          <w:p w:rsidR="005D65E0" w:rsidRPr="00B57B08" w:rsidRDefault="005D65E0" w:rsidP="001F5AA6">
            <w:pPr>
              <w:rPr>
                <w:color w:val="000000" w:themeColor="text1"/>
                <w:sz w:val="22"/>
                <w:szCs w:val="22"/>
                <w:lang w:val="fr-CA"/>
              </w:rPr>
            </w:pPr>
            <w:r w:rsidRPr="00B57B08">
              <w:rPr>
                <w:b/>
                <w:bCs/>
                <w:color w:val="000000" w:themeColor="text1"/>
                <w:sz w:val="22"/>
                <w:szCs w:val="22"/>
                <w:lang w:val="fr-CA"/>
              </w:rPr>
              <w:t>I</w:t>
            </w:r>
            <w:r>
              <w:rPr>
                <w:b/>
                <w:bCs/>
                <w:color w:val="000000" w:themeColor="text1"/>
                <w:sz w:val="22"/>
                <w:szCs w:val="22"/>
                <w:lang w:val="fr-CA"/>
              </w:rPr>
              <w:t>nterne (OEA</w:t>
            </w:r>
            <w:r w:rsidRPr="00B57B08">
              <w:rPr>
                <w:b/>
                <w:bCs/>
                <w:color w:val="000000" w:themeColor="text1"/>
                <w:sz w:val="22"/>
                <w:szCs w:val="22"/>
                <w:lang w:val="fr-CA"/>
              </w:rPr>
              <w:t>)</w:t>
            </w:r>
            <w:r>
              <w:rPr>
                <w:b/>
                <w:bCs/>
                <w:color w:val="000000" w:themeColor="text1"/>
                <w:sz w:val="22"/>
                <w:szCs w:val="22"/>
                <w:lang w:val="fr-CA"/>
              </w:rPr>
              <w:t> </w:t>
            </w:r>
            <w:r w:rsidRPr="00B57B08">
              <w:rPr>
                <w:b/>
                <w:bCs/>
                <w:color w:val="000000" w:themeColor="text1"/>
                <w:sz w:val="22"/>
                <w:szCs w:val="22"/>
                <w:lang w:val="fr-CA"/>
              </w:rPr>
              <w:t xml:space="preserve">: </w:t>
            </w:r>
            <w:r>
              <w:rPr>
                <w:color w:val="000000" w:themeColor="text1"/>
                <w:sz w:val="22"/>
                <w:szCs w:val="22"/>
                <w:lang w:val="fr-CA"/>
              </w:rPr>
              <w:t>Tous les départements du</w:t>
            </w:r>
            <w:r w:rsidRPr="00B57B08">
              <w:rPr>
                <w:color w:val="000000" w:themeColor="text1"/>
                <w:sz w:val="22"/>
                <w:szCs w:val="22"/>
                <w:lang w:val="fr-CA"/>
              </w:rPr>
              <w:t xml:space="preserve"> SEDI. </w:t>
            </w:r>
            <w:r w:rsidRPr="00B57B08">
              <w:rPr>
                <w:color w:val="000000" w:themeColor="text1"/>
                <w:sz w:val="22"/>
                <w:szCs w:val="22"/>
                <w:lang w:val="fr-CA"/>
              </w:rPr>
              <w:br/>
            </w:r>
            <w:r w:rsidRPr="00B57B08">
              <w:rPr>
                <w:color w:val="000000" w:themeColor="text1"/>
                <w:sz w:val="22"/>
                <w:szCs w:val="22"/>
                <w:lang w:val="fr-CA"/>
              </w:rPr>
              <w:br/>
            </w:r>
            <w:r w:rsidRPr="00B57B08">
              <w:rPr>
                <w:b/>
                <w:bCs/>
                <w:color w:val="000000" w:themeColor="text1"/>
                <w:sz w:val="22"/>
                <w:szCs w:val="22"/>
                <w:lang w:val="fr-CA"/>
              </w:rPr>
              <w:t>Extern</w:t>
            </w:r>
            <w:r>
              <w:rPr>
                <w:b/>
                <w:bCs/>
                <w:color w:val="000000" w:themeColor="text1"/>
                <w:sz w:val="22"/>
                <w:szCs w:val="22"/>
                <w:lang w:val="fr-CA"/>
              </w:rPr>
              <w:t>e </w:t>
            </w:r>
            <w:r w:rsidRPr="00B57B08">
              <w:rPr>
                <w:b/>
                <w:bCs/>
                <w:color w:val="000000" w:themeColor="text1"/>
                <w:sz w:val="22"/>
                <w:szCs w:val="22"/>
                <w:lang w:val="fr-CA"/>
              </w:rPr>
              <w:t>:</w:t>
            </w:r>
            <w:r>
              <w:rPr>
                <w:color w:val="000000" w:themeColor="text1"/>
                <w:sz w:val="22"/>
                <w:szCs w:val="22"/>
                <w:lang w:val="fr-CA"/>
              </w:rPr>
              <w:t xml:space="preserve"> Secteur privé, autres organisations, banques multilatérales et secteur universitaire à déterminer</w:t>
            </w:r>
            <w:r w:rsidRPr="00B57B08">
              <w:rPr>
                <w:color w:val="000000" w:themeColor="text1"/>
                <w:sz w:val="22"/>
                <w:szCs w:val="22"/>
                <w:lang w:val="fr-CA"/>
              </w:rPr>
              <w:t>.</w:t>
            </w:r>
          </w:p>
        </w:tc>
        <w:tc>
          <w:tcPr>
            <w:tcW w:w="2675" w:type="dxa"/>
            <w:shd w:val="clear" w:color="000000" w:fill="FFFF00"/>
            <w:hideMark/>
          </w:tcPr>
          <w:p w:rsidR="005D65E0" w:rsidRPr="00B57B08" w:rsidRDefault="005D65E0" w:rsidP="001F5AA6">
            <w:pPr>
              <w:rPr>
                <w:b/>
                <w:bCs/>
                <w:color w:val="000000" w:themeColor="text1"/>
                <w:sz w:val="22"/>
                <w:szCs w:val="22"/>
                <w:lang w:val="fr-CA"/>
              </w:rPr>
            </w:pPr>
            <w:r w:rsidRPr="00B57B08">
              <w:rPr>
                <w:b/>
                <w:bCs/>
                <w:color w:val="000000" w:themeColor="text1"/>
                <w:sz w:val="22"/>
                <w:szCs w:val="22"/>
                <w:lang w:val="fr-CA"/>
              </w:rPr>
              <w:t>Capitali</w:t>
            </w:r>
            <w:r>
              <w:rPr>
                <w:b/>
                <w:bCs/>
                <w:color w:val="000000" w:themeColor="text1"/>
                <w:sz w:val="22"/>
                <w:szCs w:val="22"/>
                <w:lang w:val="fr-CA"/>
              </w:rPr>
              <w:t>ser sur les partenariats </w:t>
            </w:r>
            <w:r w:rsidRPr="00B57B08">
              <w:rPr>
                <w:b/>
                <w:bCs/>
                <w:color w:val="000000" w:themeColor="text1"/>
                <w:sz w:val="22"/>
                <w:szCs w:val="22"/>
                <w:lang w:val="fr-CA"/>
              </w:rPr>
              <w:t>:</w:t>
            </w:r>
          </w:p>
          <w:p w:rsidR="005D65E0" w:rsidRPr="00B57B08" w:rsidRDefault="005D65E0" w:rsidP="001F5AA6">
            <w:pPr>
              <w:rPr>
                <w:color w:val="000000" w:themeColor="text1"/>
                <w:sz w:val="22"/>
                <w:szCs w:val="22"/>
                <w:lang w:val="fr-CA"/>
              </w:rPr>
            </w:pPr>
            <w:r w:rsidRPr="00B57B08">
              <w:rPr>
                <w:color w:val="000000" w:themeColor="text1"/>
                <w:sz w:val="22"/>
                <w:szCs w:val="22"/>
                <w:lang w:val="fr-CA"/>
              </w:rPr>
              <w:t>Identif</w:t>
            </w:r>
            <w:r>
              <w:rPr>
                <w:color w:val="000000" w:themeColor="text1"/>
                <w:sz w:val="22"/>
                <w:szCs w:val="22"/>
                <w:lang w:val="fr-CA"/>
              </w:rPr>
              <w:t>ier d’autres partenaires du secteur privé qui offrent spécifiquement des solutions à la crise, et partager des offres avec les États membres</w:t>
            </w:r>
            <w:r w:rsidRPr="00B57B08">
              <w:rPr>
                <w:bCs/>
                <w:color w:val="000000" w:themeColor="text1"/>
                <w:sz w:val="22"/>
                <w:szCs w:val="22"/>
                <w:lang w:val="fr-CA"/>
              </w:rPr>
              <w:t>.</w:t>
            </w:r>
          </w:p>
        </w:tc>
      </w:tr>
    </w:tbl>
    <w:p w:rsidR="005D65E0" w:rsidRPr="00B57B08" w:rsidRDefault="005D65E0" w:rsidP="005D65E0">
      <w:pPr>
        <w:rPr>
          <w:b/>
          <w:color w:val="000000" w:themeColor="text1"/>
          <w:sz w:val="22"/>
          <w:szCs w:val="22"/>
          <w:u w:val="single"/>
          <w:lang w:val="fr-CA"/>
        </w:rPr>
      </w:pPr>
    </w:p>
    <w:p w:rsidR="003F19F9" w:rsidRPr="005D65E0" w:rsidRDefault="005C1AAB" w:rsidP="005D65E0">
      <w:bookmarkStart w:id="0" w:name="_GoBack"/>
      <w:bookmarkEnd w:id="0"/>
      <w:r>
        <w:rPr>
          <w:noProof/>
        </w:rPr>
        <mc:AlternateContent>
          <mc:Choice Requires="wps">
            <w:drawing>
              <wp:anchor distT="0" distB="0" distL="114300" distR="114300" simplePos="0" relativeHeight="251662336" behindDoc="0" locked="1" layoutInCell="1" allowOverlap="1">
                <wp:simplePos x="0" y="0"/>
                <wp:positionH relativeFrom="column">
                  <wp:posOffset>-91440</wp:posOffset>
                </wp:positionH>
                <wp:positionV relativeFrom="page">
                  <wp:posOffset>7299960</wp:posOffset>
                </wp:positionV>
                <wp:extent cx="338201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2010" cy="24892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C1AAB" w:rsidRPr="005C1AAB" w:rsidRDefault="005C1AAB">
                            <w:pPr>
                              <w:rPr>
                                <w:sz w:val="18"/>
                              </w:rPr>
                            </w:pPr>
                            <w:r>
                              <w:rPr>
                                <w:sz w:val="18"/>
                              </w:rPr>
                              <w:fldChar w:fldCharType="begin"/>
                            </w:r>
                            <w:r>
                              <w:rPr>
                                <w:sz w:val="18"/>
                              </w:rPr>
                              <w:instrText xml:space="preserve"> FILENAME  \* MERGEFORMAT </w:instrText>
                            </w:r>
                            <w:r>
                              <w:rPr>
                                <w:sz w:val="18"/>
                              </w:rPr>
                              <w:fldChar w:fldCharType="separate"/>
                            </w:r>
                            <w:r>
                              <w:rPr>
                                <w:noProof/>
                                <w:sz w:val="18"/>
                              </w:rPr>
                              <w:t>CIDRP02882F06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2pt;margin-top:574.8pt;width:266.3pt;height:19.6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" filled="f" stroked="f">
                <v:stroke joinstyle="round"/>
                <v:path arrowok="t"/>
                <v:textbox>
                  <w:txbxContent>
                    <w:p w:rsidR="005C1AAB" w:rsidRPr="005C1AAB" w:rsidRDefault="005C1AAB">
                      <w:pPr>
                        <w:rPr>
                          <w:sz w:val="18"/>
                        </w:rPr>
                      </w:pPr>
                      <w:r>
                        <w:rPr>
                          <w:sz w:val="18"/>
                        </w:rPr>
                        <w:fldChar w:fldCharType="begin"/>
                      </w:r>
                      <w:r>
                        <w:rPr>
                          <w:sz w:val="18"/>
                        </w:rPr>
                        <w:instrText xml:space="preserve"> FILENAME  \* MERGEFORMAT </w:instrText>
                      </w:r>
                      <w:r>
                        <w:rPr>
                          <w:sz w:val="18"/>
                        </w:rPr>
                        <w:fldChar w:fldCharType="separate"/>
                      </w:r>
                      <w:r>
                        <w:rPr>
                          <w:noProof/>
                          <w:sz w:val="18"/>
                        </w:rPr>
                        <w:t>CIDRP02882F06</w:t>
                      </w:r>
                      <w:r>
                        <w:rPr>
                          <w:sz w:val="18"/>
                        </w:rPr>
                        <w:fldChar w:fldCharType="end"/>
                      </w:r>
                    </w:p>
                  </w:txbxContent>
                </v:textbox>
                <w10:wrap anchory="page"/>
                <w10:anchorlock/>
              </v:shape>
            </w:pict>
          </mc:Fallback>
        </mc:AlternateContent>
      </w:r>
    </w:p>
    <w:sectPr w:rsidR="003F19F9" w:rsidRPr="005D65E0" w:rsidSect="00AE5DD8">
      <w:headerReference w:type="default" r:id="rId12"/>
      <w:type w:val="oddPage"/>
      <w:pgSz w:w="15840" w:h="12240" w:orient="landscape"/>
      <w:pgMar w:top="1296"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9A" w:rsidRDefault="00794B9A" w:rsidP="005F08C1">
      <w:r>
        <w:separator/>
      </w:r>
    </w:p>
  </w:endnote>
  <w:endnote w:type="continuationSeparator" w:id="0">
    <w:p w:rsidR="00794B9A" w:rsidRDefault="00794B9A" w:rsidP="005F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ews Gothic MT">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9A" w:rsidRDefault="00794B9A" w:rsidP="005F08C1">
      <w:r>
        <w:separator/>
      </w:r>
    </w:p>
  </w:footnote>
  <w:footnote w:type="continuationSeparator" w:id="0">
    <w:p w:rsidR="00794B9A" w:rsidRDefault="00794B9A" w:rsidP="005F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09367"/>
      <w:docPartObj>
        <w:docPartGallery w:val="Page Numbers (Top of Page)"/>
        <w:docPartUnique/>
      </w:docPartObj>
    </w:sdtPr>
    <w:sdtEndPr>
      <w:rPr>
        <w:noProof/>
      </w:rPr>
    </w:sdtEndPr>
    <w:sdtContent>
      <w:p w:rsidR="005D65E0" w:rsidRDefault="005D65E0">
        <w:pPr>
          <w:pStyle w:val="Header"/>
          <w:jc w:val="center"/>
        </w:pPr>
        <w:r>
          <w:t xml:space="preserve">- </w:t>
        </w:r>
        <w:r>
          <w:fldChar w:fldCharType="begin"/>
        </w:r>
        <w:r>
          <w:instrText xml:space="preserve"> PAGE   \* MERGEFORMAT </w:instrText>
        </w:r>
        <w:r>
          <w:fldChar w:fldCharType="separate"/>
        </w:r>
        <w:r w:rsidR="005C1AAB">
          <w:rPr>
            <w:noProof/>
          </w:rPr>
          <w:t>4</w:t>
        </w:r>
        <w:r>
          <w:rPr>
            <w:noProof/>
          </w:rPr>
          <w:fldChar w:fldCharType="end"/>
        </w:r>
        <w:r>
          <w:rPr>
            <w:noProof/>
          </w:rPr>
          <w:t xml:space="preserve"> -</w:t>
        </w:r>
      </w:p>
    </w:sdtContent>
  </w:sdt>
  <w:p w:rsidR="005D65E0" w:rsidRDefault="005D6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1" w:rsidRPr="00D87FEF" w:rsidRDefault="009E668A">
    <w:pPr>
      <w:pStyle w:val="Header"/>
      <w:jc w:val="center"/>
      <w:rPr>
        <w:sz w:val="22"/>
        <w:szCs w:val="22"/>
      </w:rPr>
    </w:pPr>
    <w:r w:rsidRPr="00D87FEF">
      <w:rPr>
        <w:sz w:val="22"/>
        <w:szCs w:val="22"/>
      </w:rPr>
      <w:fldChar w:fldCharType="begin"/>
    </w:r>
    <w:r w:rsidR="00A93CB1" w:rsidRPr="00D87FEF">
      <w:rPr>
        <w:sz w:val="22"/>
        <w:szCs w:val="22"/>
      </w:rPr>
      <w:instrText xml:space="preserve"> PAGE   \* MERGEFORMAT </w:instrText>
    </w:r>
    <w:r w:rsidRPr="00D87FEF">
      <w:rPr>
        <w:sz w:val="22"/>
        <w:szCs w:val="22"/>
      </w:rPr>
      <w:fldChar w:fldCharType="separate"/>
    </w:r>
    <w:r w:rsidR="005C1AAB">
      <w:rPr>
        <w:noProof/>
        <w:sz w:val="22"/>
        <w:szCs w:val="22"/>
      </w:rPr>
      <w:t>- 34 -</w:t>
    </w:r>
    <w:r w:rsidRPr="00D87FEF">
      <w:rPr>
        <w:noProof/>
        <w:sz w:val="22"/>
        <w:szCs w:val="22"/>
      </w:rPr>
      <w:fldChar w:fldCharType="end"/>
    </w:r>
  </w:p>
  <w:p w:rsidR="00A93CB1" w:rsidRDefault="00A9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790B"/>
    <w:multiLevelType w:val="hybridMultilevel"/>
    <w:tmpl w:val="5C22D760"/>
    <w:lvl w:ilvl="0" w:tplc="3B14C6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44A2E"/>
    <w:multiLevelType w:val="hybridMultilevel"/>
    <w:tmpl w:val="9C143F66"/>
    <w:lvl w:ilvl="0" w:tplc="C4A6C0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858CC"/>
    <w:multiLevelType w:val="hybridMultilevel"/>
    <w:tmpl w:val="5EA8DA56"/>
    <w:lvl w:ilvl="0" w:tplc="E0665F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64E39"/>
    <w:multiLevelType w:val="hybridMultilevel"/>
    <w:tmpl w:val="31F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C1"/>
    <w:rsid w:val="00013F21"/>
    <w:rsid w:val="00016B27"/>
    <w:rsid w:val="0002662E"/>
    <w:rsid w:val="000361B7"/>
    <w:rsid w:val="00036D85"/>
    <w:rsid w:val="0004001F"/>
    <w:rsid w:val="00041BCA"/>
    <w:rsid w:val="0004610E"/>
    <w:rsid w:val="00047BA3"/>
    <w:rsid w:val="000533D5"/>
    <w:rsid w:val="00054639"/>
    <w:rsid w:val="00061DDC"/>
    <w:rsid w:val="0006703E"/>
    <w:rsid w:val="00075933"/>
    <w:rsid w:val="00076256"/>
    <w:rsid w:val="0007783D"/>
    <w:rsid w:val="00084385"/>
    <w:rsid w:val="000A1687"/>
    <w:rsid w:val="000B4969"/>
    <w:rsid w:val="000B5188"/>
    <w:rsid w:val="000C2348"/>
    <w:rsid w:val="000D3097"/>
    <w:rsid w:val="000D4FD1"/>
    <w:rsid w:val="000D7E20"/>
    <w:rsid w:val="000E5F20"/>
    <w:rsid w:val="000E7730"/>
    <w:rsid w:val="000F0BCC"/>
    <w:rsid w:val="000F2552"/>
    <w:rsid w:val="000F2EC8"/>
    <w:rsid w:val="000F4BBA"/>
    <w:rsid w:val="000F7BB0"/>
    <w:rsid w:val="00104809"/>
    <w:rsid w:val="00125E75"/>
    <w:rsid w:val="001339B5"/>
    <w:rsid w:val="00140488"/>
    <w:rsid w:val="00145171"/>
    <w:rsid w:val="00145F43"/>
    <w:rsid w:val="001526FB"/>
    <w:rsid w:val="00155051"/>
    <w:rsid w:val="00163CB6"/>
    <w:rsid w:val="00163F9D"/>
    <w:rsid w:val="001715C0"/>
    <w:rsid w:val="00172420"/>
    <w:rsid w:val="001736B5"/>
    <w:rsid w:val="00180FCA"/>
    <w:rsid w:val="001813E2"/>
    <w:rsid w:val="001824DF"/>
    <w:rsid w:val="001860CF"/>
    <w:rsid w:val="00191FBE"/>
    <w:rsid w:val="00195C22"/>
    <w:rsid w:val="001A783D"/>
    <w:rsid w:val="001A7858"/>
    <w:rsid w:val="001B1925"/>
    <w:rsid w:val="001B2E4A"/>
    <w:rsid w:val="001B38D8"/>
    <w:rsid w:val="001B4929"/>
    <w:rsid w:val="001C1838"/>
    <w:rsid w:val="001C38CA"/>
    <w:rsid w:val="001D5632"/>
    <w:rsid w:val="001E08C8"/>
    <w:rsid w:val="001E4548"/>
    <w:rsid w:val="001E6646"/>
    <w:rsid w:val="001F1F91"/>
    <w:rsid w:val="001F2D7B"/>
    <w:rsid w:val="001F655F"/>
    <w:rsid w:val="001F71F6"/>
    <w:rsid w:val="001F71F7"/>
    <w:rsid w:val="00212C95"/>
    <w:rsid w:val="00213AE0"/>
    <w:rsid w:val="00216EE0"/>
    <w:rsid w:val="002179D7"/>
    <w:rsid w:val="00222AFC"/>
    <w:rsid w:val="002302BC"/>
    <w:rsid w:val="0024535B"/>
    <w:rsid w:val="002564B4"/>
    <w:rsid w:val="00263ACA"/>
    <w:rsid w:val="00263DCA"/>
    <w:rsid w:val="00276ACD"/>
    <w:rsid w:val="00287093"/>
    <w:rsid w:val="00295CD0"/>
    <w:rsid w:val="002A1814"/>
    <w:rsid w:val="002A40FD"/>
    <w:rsid w:val="002B37F2"/>
    <w:rsid w:val="002B6FEE"/>
    <w:rsid w:val="002C5055"/>
    <w:rsid w:val="002D13F3"/>
    <w:rsid w:val="002E6CB6"/>
    <w:rsid w:val="002F0095"/>
    <w:rsid w:val="002F18CD"/>
    <w:rsid w:val="002F4466"/>
    <w:rsid w:val="002F5498"/>
    <w:rsid w:val="002F73DA"/>
    <w:rsid w:val="0031701B"/>
    <w:rsid w:val="00321505"/>
    <w:rsid w:val="003216EA"/>
    <w:rsid w:val="00324A0C"/>
    <w:rsid w:val="0032573B"/>
    <w:rsid w:val="00332F4D"/>
    <w:rsid w:val="00337F51"/>
    <w:rsid w:val="00340144"/>
    <w:rsid w:val="00340D9E"/>
    <w:rsid w:val="0034221B"/>
    <w:rsid w:val="00352779"/>
    <w:rsid w:val="00354C0F"/>
    <w:rsid w:val="00362AEC"/>
    <w:rsid w:val="003723E2"/>
    <w:rsid w:val="00375633"/>
    <w:rsid w:val="00386EDA"/>
    <w:rsid w:val="0038761C"/>
    <w:rsid w:val="00391A8F"/>
    <w:rsid w:val="003A103F"/>
    <w:rsid w:val="003A36C1"/>
    <w:rsid w:val="003A5429"/>
    <w:rsid w:val="003B0323"/>
    <w:rsid w:val="003B2737"/>
    <w:rsid w:val="003B43E1"/>
    <w:rsid w:val="003B6CB2"/>
    <w:rsid w:val="003D062A"/>
    <w:rsid w:val="003D0E35"/>
    <w:rsid w:val="003D39B4"/>
    <w:rsid w:val="003D3E7C"/>
    <w:rsid w:val="003D4C22"/>
    <w:rsid w:val="003E1AF0"/>
    <w:rsid w:val="003E3964"/>
    <w:rsid w:val="003E42D8"/>
    <w:rsid w:val="003E6A9E"/>
    <w:rsid w:val="003E75CF"/>
    <w:rsid w:val="003F19F9"/>
    <w:rsid w:val="003F34EA"/>
    <w:rsid w:val="003F73A5"/>
    <w:rsid w:val="00401CA5"/>
    <w:rsid w:val="00404392"/>
    <w:rsid w:val="00405FA0"/>
    <w:rsid w:val="00411B18"/>
    <w:rsid w:val="00413012"/>
    <w:rsid w:val="004234CD"/>
    <w:rsid w:val="00430AC3"/>
    <w:rsid w:val="00431AA2"/>
    <w:rsid w:val="004325F4"/>
    <w:rsid w:val="00452FCF"/>
    <w:rsid w:val="004552FA"/>
    <w:rsid w:val="00456AF0"/>
    <w:rsid w:val="00460557"/>
    <w:rsid w:val="004652C8"/>
    <w:rsid w:val="00473BFC"/>
    <w:rsid w:val="004865F4"/>
    <w:rsid w:val="00491242"/>
    <w:rsid w:val="00495A43"/>
    <w:rsid w:val="00496FFE"/>
    <w:rsid w:val="004A3DDB"/>
    <w:rsid w:val="004B4C0E"/>
    <w:rsid w:val="004B4F2C"/>
    <w:rsid w:val="004C071A"/>
    <w:rsid w:val="004C56C9"/>
    <w:rsid w:val="004C6E34"/>
    <w:rsid w:val="004D009F"/>
    <w:rsid w:val="004D1FAA"/>
    <w:rsid w:val="004E4213"/>
    <w:rsid w:val="004E63EB"/>
    <w:rsid w:val="00504E94"/>
    <w:rsid w:val="00520154"/>
    <w:rsid w:val="0052090E"/>
    <w:rsid w:val="00526114"/>
    <w:rsid w:val="005420AD"/>
    <w:rsid w:val="00551766"/>
    <w:rsid w:val="00553582"/>
    <w:rsid w:val="00553733"/>
    <w:rsid w:val="005576BE"/>
    <w:rsid w:val="00560309"/>
    <w:rsid w:val="00561C35"/>
    <w:rsid w:val="00564524"/>
    <w:rsid w:val="00564C66"/>
    <w:rsid w:val="0058766F"/>
    <w:rsid w:val="005903DF"/>
    <w:rsid w:val="00593BC1"/>
    <w:rsid w:val="00595305"/>
    <w:rsid w:val="005A2027"/>
    <w:rsid w:val="005A54C6"/>
    <w:rsid w:val="005B1917"/>
    <w:rsid w:val="005C16AE"/>
    <w:rsid w:val="005C1AAB"/>
    <w:rsid w:val="005C4E08"/>
    <w:rsid w:val="005D0BBA"/>
    <w:rsid w:val="005D0F3A"/>
    <w:rsid w:val="005D458C"/>
    <w:rsid w:val="005D65E0"/>
    <w:rsid w:val="005E0A73"/>
    <w:rsid w:val="005E1A3A"/>
    <w:rsid w:val="005E28DE"/>
    <w:rsid w:val="005E4B05"/>
    <w:rsid w:val="005E6729"/>
    <w:rsid w:val="005F08C1"/>
    <w:rsid w:val="005F27DE"/>
    <w:rsid w:val="005F46AC"/>
    <w:rsid w:val="00601F29"/>
    <w:rsid w:val="006026AC"/>
    <w:rsid w:val="00604E55"/>
    <w:rsid w:val="0061299B"/>
    <w:rsid w:val="00624F77"/>
    <w:rsid w:val="0062554B"/>
    <w:rsid w:val="00626B97"/>
    <w:rsid w:val="006314A3"/>
    <w:rsid w:val="006334E4"/>
    <w:rsid w:val="00633F60"/>
    <w:rsid w:val="00635CC5"/>
    <w:rsid w:val="00641167"/>
    <w:rsid w:val="006565D3"/>
    <w:rsid w:val="00656C75"/>
    <w:rsid w:val="006575B9"/>
    <w:rsid w:val="006661C6"/>
    <w:rsid w:val="0066645B"/>
    <w:rsid w:val="0067338A"/>
    <w:rsid w:val="006759D4"/>
    <w:rsid w:val="006763AF"/>
    <w:rsid w:val="006840CB"/>
    <w:rsid w:val="0068465A"/>
    <w:rsid w:val="00684C2A"/>
    <w:rsid w:val="00687441"/>
    <w:rsid w:val="00692D6F"/>
    <w:rsid w:val="00697A37"/>
    <w:rsid w:val="006B1480"/>
    <w:rsid w:val="006B69FE"/>
    <w:rsid w:val="006B7E32"/>
    <w:rsid w:val="006C2745"/>
    <w:rsid w:val="006C48E8"/>
    <w:rsid w:val="006C7FB1"/>
    <w:rsid w:val="006D1409"/>
    <w:rsid w:val="006D2DF4"/>
    <w:rsid w:val="006D78CB"/>
    <w:rsid w:val="006F33F9"/>
    <w:rsid w:val="006F798A"/>
    <w:rsid w:val="007002F6"/>
    <w:rsid w:val="00701DEA"/>
    <w:rsid w:val="00703539"/>
    <w:rsid w:val="00704C86"/>
    <w:rsid w:val="0071033B"/>
    <w:rsid w:val="00711E5A"/>
    <w:rsid w:val="00715436"/>
    <w:rsid w:val="00721AA5"/>
    <w:rsid w:val="007228AE"/>
    <w:rsid w:val="00727433"/>
    <w:rsid w:val="007355A8"/>
    <w:rsid w:val="007424EA"/>
    <w:rsid w:val="00745272"/>
    <w:rsid w:val="00754286"/>
    <w:rsid w:val="00754379"/>
    <w:rsid w:val="00760694"/>
    <w:rsid w:val="00760CA8"/>
    <w:rsid w:val="007645F9"/>
    <w:rsid w:val="00771050"/>
    <w:rsid w:val="00772720"/>
    <w:rsid w:val="007835C3"/>
    <w:rsid w:val="00792D74"/>
    <w:rsid w:val="00794B9A"/>
    <w:rsid w:val="007B6A54"/>
    <w:rsid w:val="007C0498"/>
    <w:rsid w:val="007D08D0"/>
    <w:rsid w:val="007D1BCD"/>
    <w:rsid w:val="007D3ED7"/>
    <w:rsid w:val="007D53BC"/>
    <w:rsid w:val="007E4B0C"/>
    <w:rsid w:val="007E54EC"/>
    <w:rsid w:val="007E7D82"/>
    <w:rsid w:val="007F012B"/>
    <w:rsid w:val="007F1126"/>
    <w:rsid w:val="007F366B"/>
    <w:rsid w:val="007F7AE0"/>
    <w:rsid w:val="00802A21"/>
    <w:rsid w:val="00803FE3"/>
    <w:rsid w:val="0080498C"/>
    <w:rsid w:val="008057D5"/>
    <w:rsid w:val="008102F8"/>
    <w:rsid w:val="00813F2F"/>
    <w:rsid w:val="008172D2"/>
    <w:rsid w:val="00820B81"/>
    <w:rsid w:val="00824B38"/>
    <w:rsid w:val="008351F5"/>
    <w:rsid w:val="0085010E"/>
    <w:rsid w:val="00851D41"/>
    <w:rsid w:val="00853C77"/>
    <w:rsid w:val="008608E5"/>
    <w:rsid w:val="0086140F"/>
    <w:rsid w:val="00861C54"/>
    <w:rsid w:val="00863146"/>
    <w:rsid w:val="00870835"/>
    <w:rsid w:val="00881A8C"/>
    <w:rsid w:val="00890292"/>
    <w:rsid w:val="008902F1"/>
    <w:rsid w:val="008A0D43"/>
    <w:rsid w:val="008A3C63"/>
    <w:rsid w:val="008A4465"/>
    <w:rsid w:val="008B1F91"/>
    <w:rsid w:val="008C0FE3"/>
    <w:rsid w:val="008C2558"/>
    <w:rsid w:val="008C331E"/>
    <w:rsid w:val="008C3905"/>
    <w:rsid w:val="008C4449"/>
    <w:rsid w:val="008D1406"/>
    <w:rsid w:val="008D3E69"/>
    <w:rsid w:val="008F2AE5"/>
    <w:rsid w:val="008F7904"/>
    <w:rsid w:val="00903441"/>
    <w:rsid w:val="009056B9"/>
    <w:rsid w:val="00906A69"/>
    <w:rsid w:val="009114EB"/>
    <w:rsid w:val="00913B73"/>
    <w:rsid w:val="0092123E"/>
    <w:rsid w:val="00921B29"/>
    <w:rsid w:val="00923CB4"/>
    <w:rsid w:val="0092402B"/>
    <w:rsid w:val="00924637"/>
    <w:rsid w:val="00926E08"/>
    <w:rsid w:val="00926F9C"/>
    <w:rsid w:val="00927B84"/>
    <w:rsid w:val="009327FB"/>
    <w:rsid w:val="00941126"/>
    <w:rsid w:val="009458A3"/>
    <w:rsid w:val="0095215D"/>
    <w:rsid w:val="009626BC"/>
    <w:rsid w:val="00965565"/>
    <w:rsid w:val="00965692"/>
    <w:rsid w:val="00981E82"/>
    <w:rsid w:val="009826B9"/>
    <w:rsid w:val="0098566B"/>
    <w:rsid w:val="0098680D"/>
    <w:rsid w:val="009A03A6"/>
    <w:rsid w:val="009A1D69"/>
    <w:rsid w:val="009A5278"/>
    <w:rsid w:val="009C04D2"/>
    <w:rsid w:val="009C1EB9"/>
    <w:rsid w:val="009C7C62"/>
    <w:rsid w:val="009D1A50"/>
    <w:rsid w:val="009D641B"/>
    <w:rsid w:val="009E2653"/>
    <w:rsid w:val="009E668A"/>
    <w:rsid w:val="009F6192"/>
    <w:rsid w:val="00A0348A"/>
    <w:rsid w:val="00A05881"/>
    <w:rsid w:val="00A07DF5"/>
    <w:rsid w:val="00A121A2"/>
    <w:rsid w:val="00A127D4"/>
    <w:rsid w:val="00A1312B"/>
    <w:rsid w:val="00A17F1A"/>
    <w:rsid w:val="00A22E99"/>
    <w:rsid w:val="00A306AE"/>
    <w:rsid w:val="00A3374D"/>
    <w:rsid w:val="00A42E0B"/>
    <w:rsid w:val="00A4473F"/>
    <w:rsid w:val="00A44A01"/>
    <w:rsid w:val="00A45917"/>
    <w:rsid w:val="00A525AF"/>
    <w:rsid w:val="00A84D94"/>
    <w:rsid w:val="00A87881"/>
    <w:rsid w:val="00A90986"/>
    <w:rsid w:val="00A93CB1"/>
    <w:rsid w:val="00A972C2"/>
    <w:rsid w:val="00AA327A"/>
    <w:rsid w:val="00AA6A32"/>
    <w:rsid w:val="00AB20F1"/>
    <w:rsid w:val="00AC5F16"/>
    <w:rsid w:val="00AC6964"/>
    <w:rsid w:val="00AD1054"/>
    <w:rsid w:val="00AE0E9D"/>
    <w:rsid w:val="00AE3723"/>
    <w:rsid w:val="00AE5DD8"/>
    <w:rsid w:val="00AE64F5"/>
    <w:rsid w:val="00AF3D30"/>
    <w:rsid w:val="00AF494E"/>
    <w:rsid w:val="00B00646"/>
    <w:rsid w:val="00B028E3"/>
    <w:rsid w:val="00B11392"/>
    <w:rsid w:val="00B14B16"/>
    <w:rsid w:val="00B24EF5"/>
    <w:rsid w:val="00B260FA"/>
    <w:rsid w:val="00B2667B"/>
    <w:rsid w:val="00B30641"/>
    <w:rsid w:val="00B34792"/>
    <w:rsid w:val="00B34DE6"/>
    <w:rsid w:val="00B42738"/>
    <w:rsid w:val="00B42DB9"/>
    <w:rsid w:val="00B445DD"/>
    <w:rsid w:val="00B47B1A"/>
    <w:rsid w:val="00B506A7"/>
    <w:rsid w:val="00B51DD1"/>
    <w:rsid w:val="00B57F84"/>
    <w:rsid w:val="00B65035"/>
    <w:rsid w:val="00B77151"/>
    <w:rsid w:val="00B83FA2"/>
    <w:rsid w:val="00B8576D"/>
    <w:rsid w:val="00B9205D"/>
    <w:rsid w:val="00BA0CF4"/>
    <w:rsid w:val="00BA25EA"/>
    <w:rsid w:val="00BC0439"/>
    <w:rsid w:val="00BD1464"/>
    <w:rsid w:val="00BE233A"/>
    <w:rsid w:val="00BE70B4"/>
    <w:rsid w:val="00BF1B0F"/>
    <w:rsid w:val="00BF5A15"/>
    <w:rsid w:val="00C040B6"/>
    <w:rsid w:val="00C07875"/>
    <w:rsid w:val="00C10AF0"/>
    <w:rsid w:val="00C1146E"/>
    <w:rsid w:val="00C13BC5"/>
    <w:rsid w:val="00C15CFB"/>
    <w:rsid w:val="00C21CDC"/>
    <w:rsid w:val="00C30B00"/>
    <w:rsid w:val="00C40854"/>
    <w:rsid w:val="00C51CB9"/>
    <w:rsid w:val="00C5311E"/>
    <w:rsid w:val="00C727FC"/>
    <w:rsid w:val="00C739EF"/>
    <w:rsid w:val="00C742F8"/>
    <w:rsid w:val="00C74AEB"/>
    <w:rsid w:val="00C876E4"/>
    <w:rsid w:val="00C95308"/>
    <w:rsid w:val="00CC1490"/>
    <w:rsid w:val="00CC5186"/>
    <w:rsid w:val="00CC7DEF"/>
    <w:rsid w:val="00CD3221"/>
    <w:rsid w:val="00CD6883"/>
    <w:rsid w:val="00CD7F51"/>
    <w:rsid w:val="00CF3702"/>
    <w:rsid w:val="00D016AB"/>
    <w:rsid w:val="00D0488D"/>
    <w:rsid w:val="00D06D20"/>
    <w:rsid w:val="00D10FB3"/>
    <w:rsid w:val="00D17CA0"/>
    <w:rsid w:val="00D24FDB"/>
    <w:rsid w:val="00D30660"/>
    <w:rsid w:val="00D3304F"/>
    <w:rsid w:val="00D35EAC"/>
    <w:rsid w:val="00D40C5F"/>
    <w:rsid w:val="00D435CB"/>
    <w:rsid w:val="00D4578B"/>
    <w:rsid w:val="00D51773"/>
    <w:rsid w:val="00D529C8"/>
    <w:rsid w:val="00D54A61"/>
    <w:rsid w:val="00D63D4F"/>
    <w:rsid w:val="00D823F6"/>
    <w:rsid w:val="00D87FEF"/>
    <w:rsid w:val="00D9337D"/>
    <w:rsid w:val="00D9631F"/>
    <w:rsid w:val="00DA296C"/>
    <w:rsid w:val="00DA5328"/>
    <w:rsid w:val="00DB1C1E"/>
    <w:rsid w:val="00DB236E"/>
    <w:rsid w:val="00DB4284"/>
    <w:rsid w:val="00DC195D"/>
    <w:rsid w:val="00DD31FD"/>
    <w:rsid w:val="00DD4B87"/>
    <w:rsid w:val="00DE1DCE"/>
    <w:rsid w:val="00DE2ADC"/>
    <w:rsid w:val="00DE6008"/>
    <w:rsid w:val="00DF07A5"/>
    <w:rsid w:val="00DF0AA6"/>
    <w:rsid w:val="00DF5965"/>
    <w:rsid w:val="00E040E2"/>
    <w:rsid w:val="00E26D38"/>
    <w:rsid w:val="00E2720B"/>
    <w:rsid w:val="00E30DA6"/>
    <w:rsid w:val="00E35E48"/>
    <w:rsid w:val="00E423E0"/>
    <w:rsid w:val="00E51ADF"/>
    <w:rsid w:val="00E57B62"/>
    <w:rsid w:val="00E57DC8"/>
    <w:rsid w:val="00E605AD"/>
    <w:rsid w:val="00E61A9C"/>
    <w:rsid w:val="00E6671B"/>
    <w:rsid w:val="00E66930"/>
    <w:rsid w:val="00E706AD"/>
    <w:rsid w:val="00E81051"/>
    <w:rsid w:val="00E81B0C"/>
    <w:rsid w:val="00E84DCA"/>
    <w:rsid w:val="00E90338"/>
    <w:rsid w:val="00E96C80"/>
    <w:rsid w:val="00E97DBF"/>
    <w:rsid w:val="00EA104C"/>
    <w:rsid w:val="00EA1077"/>
    <w:rsid w:val="00EA3741"/>
    <w:rsid w:val="00EA3AA7"/>
    <w:rsid w:val="00EB09BA"/>
    <w:rsid w:val="00EB1E98"/>
    <w:rsid w:val="00EB5A73"/>
    <w:rsid w:val="00EC03DD"/>
    <w:rsid w:val="00ED1964"/>
    <w:rsid w:val="00ED2721"/>
    <w:rsid w:val="00ED4210"/>
    <w:rsid w:val="00ED56D8"/>
    <w:rsid w:val="00ED5903"/>
    <w:rsid w:val="00ED64F3"/>
    <w:rsid w:val="00ED6A6F"/>
    <w:rsid w:val="00EE0F40"/>
    <w:rsid w:val="00EE2BBF"/>
    <w:rsid w:val="00EE3AEC"/>
    <w:rsid w:val="00EE4A7E"/>
    <w:rsid w:val="00EE4DF2"/>
    <w:rsid w:val="00EE7C74"/>
    <w:rsid w:val="00EF0956"/>
    <w:rsid w:val="00F010D8"/>
    <w:rsid w:val="00F05C27"/>
    <w:rsid w:val="00F13DC4"/>
    <w:rsid w:val="00F13E9E"/>
    <w:rsid w:val="00F2550C"/>
    <w:rsid w:val="00F27048"/>
    <w:rsid w:val="00F308A8"/>
    <w:rsid w:val="00F41B50"/>
    <w:rsid w:val="00F4645C"/>
    <w:rsid w:val="00F46EC6"/>
    <w:rsid w:val="00F52029"/>
    <w:rsid w:val="00F54849"/>
    <w:rsid w:val="00F55EF2"/>
    <w:rsid w:val="00F5695D"/>
    <w:rsid w:val="00F62487"/>
    <w:rsid w:val="00F6745D"/>
    <w:rsid w:val="00F71F81"/>
    <w:rsid w:val="00F725DD"/>
    <w:rsid w:val="00F761EC"/>
    <w:rsid w:val="00F95A1F"/>
    <w:rsid w:val="00F9795E"/>
    <w:rsid w:val="00FA0AB6"/>
    <w:rsid w:val="00FB7B51"/>
    <w:rsid w:val="00FC2097"/>
    <w:rsid w:val="00FC4E3F"/>
    <w:rsid w:val="00FD2E13"/>
    <w:rsid w:val="00FD7DA9"/>
    <w:rsid w:val="00FE1F10"/>
    <w:rsid w:val="00FE78B8"/>
    <w:rsid w:val="00FF2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3A5"/>
    <w:pPr>
      <w:ind w:left="720"/>
    </w:pPr>
  </w:style>
  <w:style w:type="paragraph" w:customStyle="1" w:styleId="Body">
    <w:name w:val="Body"/>
    <w:rsid w:val="00352779"/>
    <w:pPr>
      <w:pBdr>
        <w:top w:val="nil"/>
        <w:left w:val="nil"/>
        <w:bottom w:val="nil"/>
        <w:right w:val="nil"/>
        <w:between w:val="nil"/>
        <w:bar w:val="nil"/>
      </w:pBdr>
      <w:spacing w:after="200" w:line="276" w:lineRule="auto"/>
    </w:pPr>
    <w:rPr>
      <w:color w:val="000000"/>
      <w:sz w:val="22"/>
      <w:szCs w:val="22"/>
      <w:u w:color="000000"/>
      <w:bdr w:val="nil"/>
    </w:rPr>
  </w:style>
  <w:style w:type="paragraph" w:styleId="Header">
    <w:name w:val="header"/>
    <w:basedOn w:val="Normal"/>
    <w:link w:val="HeaderChar"/>
    <w:uiPriority w:val="99"/>
    <w:rsid w:val="005F08C1"/>
    <w:pPr>
      <w:tabs>
        <w:tab w:val="center" w:pos="4680"/>
        <w:tab w:val="right" w:pos="9360"/>
      </w:tabs>
    </w:pPr>
    <w:rPr>
      <w:lang w:val="x-none" w:eastAsia="x-none"/>
    </w:rPr>
  </w:style>
  <w:style w:type="character" w:customStyle="1" w:styleId="HeaderChar">
    <w:name w:val="Header Char"/>
    <w:link w:val="Header"/>
    <w:uiPriority w:val="99"/>
    <w:rsid w:val="005F08C1"/>
    <w:rPr>
      <w:sz w:val="24"/>
      <w:szCs w:val="24"/>
    </w:rPr>
  </w:style>
  <w:style w:type="paragraph" w:styleId="Footer">
    <w:name w:val="footer"/>
    <w:basedOn w:val="Normal"/>
    <w:link w:val="FooterChar"/>
    <w:uiPriority w:val="99"/>
    <w:rsid w:val="005F08C1"/>
    <w:pPr>
      <w:tabs>
        <w:tab w:val="center" w:pos="4680"/>
        <w:tab w:val="right" w:pos="9360"/>
      </w:tabs>
    </w:pPr>
    <w:rPr>
      <w:lang w:val="x-none" w:eastAsia="x-none"/>
    </w:rPr>
  </w:style>
  <w:style w:type="character" w:customStyle="1" w:styleId="FooterChar">
    <w:name w:val="Footer Char"/>
    <w:link w:val="Footer"/>
    <w:uiPriority w:val="99"/>
    <w:rsid w:val="005F08C1"/>
    <w:rPr>
      <w:sz w:val="24"/>
      <w:szCs w:val="24"/>
    </w:rPr>
  </w:style>
  <w:style w:type="paragraph" w:customStyle="1" w:styleId="Default">
    <w:name w:val="Default"/>
    <w:rsid w:val="00D3066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8761C"/>
    <w:rPr>
      <w:rFonts w:ascii="Segoe UI" w:hAnsi="Segoe UI"/>
      <w:sz w:val="18"/>
      <w:szCs w:val="18"/>
      <w:lang w:val="x-none" w:eastAsia="x-none"/>
    </w:rPr>
  </w:style>
  <w:style w:type="character" w:customStyle="1" w:styleId="BalloonTextChar">
    <w:name w:val="Balloon Text Char"/>
    <w:link w:val="BalloonText"/>
    <w:rsid w:val="0038761C"/>
    <w:rPr>
      <w:rFonts w:ascii="Segoe UI" w:hAnsi="Segoe UI" w:cs="Segoe UI"/>
      <w:sz w:val="18"/>
      <w:szCs w:val="18"/>
    </w:rPr>
  </w:style>
  <w:style w:type="character" w:styleId="CommentReference">
    <w:name w:val="annotation reference"/>
    <w:semiHidden/>
    <w:unhideWhenUsed/>
    <w:rsid w:val="006661C6"/>
    <w:rPr>
      <w:sz w:val="16"/>
      <w:szCs w:val="16"/>
    </w:rPr>
  </w:style>
  <w:style w:type="paragraph" w:styleId="CommentText">
    <w:name w:val="annotation text"/>
    <w:basedOn w:val="Normal"/>
    <w:link w:val="CommentTextChar"/>
    <w:semiHidden/>
    <w:unhideWhenUsed/>
    <w:rsid w:val="006661C6"/>
    <w:rPr>
      <w:sz w:val="20"/>
      <w:szCs w:val="20"/>
    </w:rPr>
  </w:style>
  <w:style w:type="character" w:customStyle="1" w:styleId="CommentTextChar">
    <w:name w:val="Comment Text Char"/>
    <w:link w:val="CommentText"/>
    <w:semiHidden/>
    <w:rsid w:val="006661C6"/>
    <w:rPr>
      <w:lang w:val="en-US" w:eastAsia="en-US"/>
    </w:rPr>
  </w:style>
  <w:style w:type="paragraph" w:styleId="CommentSubject">
    <w:name w:val="annotation subject"/>
    <w:basedOn w:val="CommentText"/>
    <w:next w:val="CommentText"/>
    <w:link w:val="CommentSubjectChar"/>
    <w:semiHidden/>
    <w:unhideWhenUsed/>
    <w:rsid w:val="006661C6"/>
    <w:rPr>
      <w:b/>
      <w:bCs/>
    </w:rPr>
  </w:style>
  <w:style w:type="character" w:customStyle="1" w:styleId="CommentSubjectChar">
    <w:name w:val="Comment Subject Char"/>
    <w:link w:val="CommentSubject"/>
    <w:semiHidden/>
    <w:rsid w:val="006661C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3A5"/>
    <w:pPr>
      <w:ind w:left="720"/>
    </w:pPr>
  </w:style>
  <w:style w:type="paragraph" w:customStyle="1" w:styleId="Body">
    <w:name w:val="Body"/>
    <w:rsid w:val="00352779"/>
    <w:pPr>
      <w:pBdr>
        <w:top w:val="nil"/>
        <w:left w:val="nil"/>
        <w:bottom w:val="nil"/>
        <w:right w:val="nil"/>
        <w:between w:val="nil"/>
        <w:bar w:val="nil"/>
      </w:pBdr>
      <w:spacing w:after="200" w:line="276" w:lineRule="auto"/>
    </w:pPr>
    <w:rPr>
      <w:color w:val="000000"/>
      <w:sz w:val="22"/>
      <w:szCs w:val="22"/>
      <w:u w:color="000000"/>
      <w:bdr w:val="nil"/>
    </w:rPr>
  </w:style>
  <w:style w:type="paragraph" w:styleId="Header">
    <w:name w:val="header"/>
    <w:basedOn w:val="Normal"/>
    <w:link w:val="HeaderChar"/>
    <w:uiPriority w:val="99"/>
    <w:rsid w:val="005F08C1"/>
    <w:pPr>
      <w:tabs>
        <w:tab w:val="center" w:pos="4680"/>
        <w:tab w:val="right" w:pos="9360"/>
      </w:tabs>
    </w:pPr>
    <w:rPr>
      <w:lang w:val="x-none" w:eastAsia="x-none"/>
    </w:rPr>
  </w:style>
  <w:style w:type="character" w:customStyle="1" w:styleId="HeaderChar">
    <w:name w:val="Header Char"/>
    <w:link w:val="Header"/>
    <w:uiPriority w:val="99"/>
    <w:rsid w:val="005F08C1"/>
    <w:rPr>
      <w:sz w:val="24"/>
      <w:szCs w:val="24"/>
    </w:rPr>
  </w:style>
  <w:style w:type="paragraph" w:styleId="Footer">
    <w:name w:val="footer"/>
    <w:basedOn w:val="Normal"/>
    <w:link w:val="FooterChar"/>
    <w:uiPriority w:val="99"/>
    <w:rsid w:val="005F08C1"/>
    <w:pPr>
      <w:tabs>
        <w:tab w:val="center" w:pos="4680"/>
        <w:tab w:val="right" w:pos="9360"/>
      </w:tabs>
    </w:pPr>
    <w:rPr>
      <w:lang w:val="x-none" w:eastAsia="x-none"/>
    </w:rPr>
  </w:style>
  <w:style w:type="character" w:customStyle="1" w:styleId="FooterChar">
    <w:name w:val="Footer Char"/>
    <w:link w:val="Footer"/>
    <w:uiPriority w:val="99"/>
    <w:rsid w:val="005F08C1"/>
    <w:rPr>
      <w:sz w:val="24"/>
      <w:szCs w:val="24"/>
    </w:rPr>
  </w:style>
  <w:style w:type="paragraph" w:customStyle="1" w:styleId="Default">
    <w:name w:val="Default"/>
    <w:rsid w:val="00D3066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8761C"/>
    <w:rPr>
      <w:rFonts w:ascii="Segoe UI" w:hAnsi="Segoe UI"/>
      <w:sz w:val="18"/>
      <w:szCs w:val="18"/>
      <w:lang w:val="x-none" w:eastAsia="x-none"/>
    </w:rPr>
  </w:style>
  <w:style w:type="character" w:customStyle="1" w:styleId="BalloonTextChar">
    <w:name w:val="Balloon Text Char"/>
    <w:link w:val="BalloonText"/>
    <w:rsid w:val="0038761C"/>
    <w:rPr>
      <w:rFonts w:ascii="Segoe UI" w:hAnsi="Segoe UI" w:cs="Segoe UI"/>
      <w:sz w:val="18"/>
      <w:szCs w:val="18"/>
    </w:rPr>
  </w:style>
  <w:style w:type="character" w:styleId="CommentReference">
    <w:name w:val="annotation reference"/>
    <w:semiHidden/>
    <w:unhideWhenUsed/>
    <w:rsid w:val="006661C6"/>
    <w:rPr>
      <w:sz w:val="16"/>
      <w:szCs w:val="16"/>
    </w:rPr>
  </w:style>
  <w:style w:type="paragraph" w:styleId="CommentText">
    <w:name w:val="annotation text"/>
    <w:basedOn w:val="Normal"/>
    <w:link w:val="CommentTextChar"/>
    <w:semiHidden/>
    <w:unhideWhenUsed/>
    <w:rsid w:val="006661C6"/>
    <w:rPr>
      <w:sz w:val="20"/>
      <w:szCs w:val="20"/>
    </w:rPr>
  </w:style>
  <w:style w:type="character" w:customStyle="1" w:styleId="CommentTextChar">
    <w:name w:val="Comment Text Char"/>
    <w:link w:val="CommentText"/>
    <w:semiHidden/>
    <w:rsid w:val="006661C6"/>
    <w:rPr>
      <w:lang w:val="en-US" w:eastAsia="en-US"/>
    </w:rPr>
  </w:style>
  <w:style w:type="paragraph" w:styleId="CommentSubject">
    <w:name w:val="annotation subject"/>
    <w:basedOn w:val="CommentText"/>
    <w:next w:val="CommentText"/>
    <w:link w:val="CommentSubjectChar"/>
    <w:semiHidden/>
    <w:unhideWhenUsed/>
    <w:rsid w:val="006661C6"/>
    <w:rPr>
      <w:b/>
      <w:bCs/>
    </w:rPr>
  </w:style>
  <w:style w:type="character" w:customStyle="1" w:styleId="CommentSubjectChar">
    <w:name w:val="Comment Subject Char"/>
    <w:link w:val="CommentSubject"/>
    <w:semiHidden/>
    <w:rsid w:val="006661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247">
      <w:bodyDiv w:val="1"/>
      <w:marLeft w:val="0"/>
      <w:marRight w:val="0"/>
      <w:marTop w:val="0"/>
      <w:marBottom w:val="0"/>
      <w:divBdr>
        <w:top w:val="none" w:sz="0" w:space="0" w:color="auto"/>
        <w:left w:val="none" w:sz="0" w:space="0" w:color="auto"/>
        <w:bottom w:val="none" w:sz="0" w:space="0" w:color="auto"/>
        <w:right w:val="none" w:sz="0" w:space="0" w:color="auto"/>
      </w:divBdr>
      <w:divsChild>
        <w:div w:id="1071389427">
          <w:marLeft w:val="0"/>
          <w:marRight w:val="0"/>
          <w:marTop w:val="0"/>
          <w:marBottom w:val="0"/>
          <w:divBdr>
            <w:top w:val="none" w:sz="0" w:space="0" w:color="auto"/>
            <w:left w:val="none" w:sz="0" w:space="0" w:color="auto"/>
            <w:bottom w:val="none" w:sz="0" w:space="0" w:color="auto"/>
            <w:right w:val="none" w:sz="0" w:space="0" w:color="auto"/>
          </w:divBdr>
        </w:div>
        <w:div w:id="1472554804">
          <w:marLeft w:val="0"/>
          <w:marRight w:val="0"/>
          <w:marTop w:val="0"/>
          <w:marBottom w:val="0"/>
          <w:divBdr>
            <w:top w:val="none" w:sz="0" w:space="0" w:color="auto"/>
            <w:left w:val="none" w:sz="0" w:space="0" w:color="auto"/>
            <w:bottom w:val="none" w:sz="0" w:space="0" w:color="auto"/>
            <w:right w:val="none" w:sz="0" w:space="0" w:color="auto"/>
          </w:divBdr>
        </w:div>
        <w:div w:id="1484811165">
          <w:marLeft w:val="0"/>
          <w:marRight w:val="0"/>
          <w:marTop w:val="0"/>
          <w:marBottom w:val="0"/>
          <w:divBdr>
            <w:top w:val="none" w:sz="0" w:space="0" w:color="auto"/>
            <w:left w:val="none" w:sz="0" w:space="0" w:color="auto"/>
            <w:bottom w:val="none" w:sz="0" w:space="0" w:color="auto"/>
            <w:right w:val="none" w:sz="0" w:space="0" w:color="auto"/>
          </w:divBdr>
        </w:div>
        <w:div w:id="2086875547">
          <w:marLeft w:val="0"/>
          <w:marRight w:val="0"/>
          <w:marTop w:val="0"/>
          <w:marBottom w:val="0"/>
          <w:divBdr>
            <w:top w:val="none" w:sz="0" w:space="0" w:color="auto"/>
            <w:left w:val="none" w:sz="0" w:space="0" w:color="auto"/>
            <w:bottom w:val="none" w:sz="0" w:space="0" w:color="auto"/>
            <w:right w:val="none" w:sz="0" w:space="0" w:color="auto"/>
          </w:divBdr>
        </w:div>
      </w:divsChild>
    </w:div>
    <w:div w:id="141698882">
      <w:bodyDiv w:val="1"/>
      <w:marLeft w:val="0"/>
      <w:marRight w:val="0"/>
      <w:marTop w:val="0"/>
      <w:marBottom w:val="0"/>
      <w:divBdr>
        <w:top w:val="none" w:sz="0" w:space="0" w:color="auto"/>
        <w:left w:val="none" w:sz="0" w:space="0" w:color="auto"/>
        <w:bottom w:val="none" w:sz="0" w:space="0" w:color="auto"/>
        <w:right w:val="none" w:sz="0" w:space="0" w:color="auto"/>
      </w:divBdr>
      <w:divsChild>
        <w:div w:id="2021227082">
          <w:marLeft w:val="360"/>
          <w:marRight w:val="0"/>
          <w:marTop w:val="200"/>
          <w:marBottom w:val="0"/>
          <w:divBdr>
            <w:top w:val="none" w:sz="0" w:space="0" w:color="auto"/>
            <w:left w:val="none" w:sz="0" w:space="0" w:color="auto"/>
            <w:bottom w:val="none" w:sz="0" w:space="0" w:color="auto"/>
            <w:right w:val="none" w:sz="0" w:space="0" w:color="auto"/>
          </w:divBdr>
        </w:div>
      </w:divsChild>
    </w:div>
    <w:div w:id="216207477">
      <w:bodyDiv w:val="1"/>
      <w:marLeft w:val="0"/>
      <w:marRight w:val="0"/>
      <w:marTop w:val="0"/>
      <w:marBottom w:val="0"/>
      <w:divBdr>
        <w:top w:val="none" w:sz="0" w:space="0" w:color="auto"/>
        <w:left w:val="none" w:sz="0" w:space="0" w:color="auto"/>
        <w:bottom w:val="none" w:sz="0" w:space="0" w:color="auto"/>
        <w:right w:val="none" w:sz="0" w:space="0" w:color="auto"/>
      </w:divBdr>
    </w:div>
    <w:div w:id="264535314">
      <w:bodyDiv w:val="1"/>
      <w:marLeft w:val="0"/>
      <w:marRight w:val="0"/>
      <w:marTop w:val="0"/>
      <w:marBottom w:val="0"/>
      <w:divBdr>
        <w:top w:val="none" w:sz="0" w:space="0" w:color="auto"/>
        <w:left w:val="none" w:sz="0" w:space="0" w:color="auto"/>
        <w:bottom w:val="none" w:sz="0" w:space="0" w:color="auto"/>
        <w:right w:val="none" w:sz="0" w:space="0" w:color="auto"/>
      </w:divBdr>
    </w:div>
    <w:div w:id="271019507">
      <w:bodyDiv w:val="1"/>
      <w:marLeft w:val="0"/>
      <w:marRight w:val="0"/>
      <w:marTop w:val="0"/>
      <w:marBottom w:val="0"/>
      <w:divBdr>
        <w:top w:val="none" w:sz="0" w:space="0" w:color="auto"/>
        <w:left w:val="none" w:sz="0" w:space="0" w:color="auto"/>
        <w:bottom w:val="none" w:sz="0" w:space="0" w:color="auto"/>
        <w:right w:val="none" w:sz="0" w:space="0" w:color="auto"/>
      </w:divBdr>
      <w:divsChild>
        <w:div w:id="528370437">
          <w:marLeft w:val="0"/>
          <w:marRight w:val="0"/>
          <w:marTop w:val="0"/>
          <w:marBottom w:val="0"/>
          <w:divBdr>
            <w:top w:val="none" w:sz="0" w:space="0" w:color="auto"/>
            <w:left w:val="none" w:sz="0" w:space="0" w:color="auto"/>
            <w:bottom w:val="none" w:sz="0" w:space="0" w:color="auto"/>
            <w:right w:val="none" w:sz="0" w:space="0" w:color="auto"/>
          </w:divBdr>
        </w:div>
        <w:div w:id="1449743102">
          <w:marLeft w:val="0"/>
          <w:marRight w:val="0"/>
          <w:marTop w:val="0"/>
          <w:marBottom w:val="0"/>
          <w:divBdr>
            <w:top w:val="none" w:sz="0" w:space="0" w:color="auto"/>
            <w:left w:val="none" w:sz="0" w:space="0" w:color="auto"/>
            <w:bottom w:val="none" w:sz="0" w:space="0" w:color="auto"/>
            <w:right w:val="none" w:sz="0" w:space="0" w:color="auto"/>
          </w:divBdr>
        </w:div>
      </w:divsChild>
    </w:div>
    <w:div w:id="301496298">
      <w:bodyDiv w:val="1"/>
      <w:marLeft w:val="0"/>
      <w:marRight w:val="0"/>
      <w:marTop w:val="0"/>
      <w:marBottom w:val="0"/>
      <w:divBdr>
        <w:top w:val="none" w:sz="0" w:space="0" w:color="auto"/>
        <w:left w:val="none" w:sz="0" w:space="0" w:color="auto"/>
        <w:bottom w:val="none" w:sz="0" w:space="0" w:color="auto"/>
        <w:right w:val="none" w:sz="0" w:space="0" w:color="auto"/>
      </w:divBdr>
    </w:div>
    <w:div w:id="417794963">
      <w:bodyDiv w:val="1"/>
      <w:marLeft w:val="0"/>
      <w:marRight w:val="0"/>
      <w:marTop w:val="0"/>
      <w:marBottom w:val="0"/>
      <w:divBdr>
        <w:top w:val="none" w:sz="0" w:space="0" w:color="auto"/>
        <w:left w:val="none" w:sz="0" w:space="0" w:color="auto"/>
        <w:bottom w:val="none" w:sz="0" w:space="0" w:color="auto"/>
        <w:right w:val="none" w:sz="0" w:space="0" w:color="auto"/>
      </w:divBdr>
      <w:divsChild>
        <w:div w:id="687365557">
          <w:marLeft w:val="360"/>
          <w:marRight w:val="0"/>
          <w:marTop w:val="200"/>
          <w:marBottom w:val="0"/>
          <w:divBdr>
            <w:top w:val="none" w:sz="0" w:space="0" w:color="auto"/>
            <w:left w:val="none" w:sz="0" w:space="0" w:color="auto"/>
            <w:bottom w:val="none" w:sz="0" w:space="0" w:color="auto"/>
            <w:right w:val="none" w:sz="0" w:space="0" w:color="auto"/>
          </w:divBdr>
        </w:div>
      </w:divsChild>
    </w:div>
    <w:div w:id="473370234">
      <w:bodyDiv w:val="1"/>
      <w:marLeft w:val="0"/>
      <w:marRight w:val="0"/>
      <w:marTop w:val="0"/>
      <w:marBottom w:val="0"/>
      <w:divBdr>
        <w:top w:val="none" w:sz="0" w:space="0" w:color="auto"/>
        <w:left w:val="none" w:sz="0" w:space="0" w:color="auto"/>
        <w:bottom w:val="none" w:sz="0" w:space="0" w:color="auto"/>
        <w:right w:val="none" w:sz="0" w:space="0" w:color="auto"/>
      </w:divBdr>
      <w:divsChild>
        <w:div w:id="1372614460">
          <w:marLeft w:val="0"/>
          <w:marRight w:val="0"/>
          <w:marTop w:val="0"/>
          <w:marBottom w:val="0"/>
          <w:divBdr>
            <w:top w:val="none" w:sz="0" w:space="0" w:color="auto"/>
            <w:left w:val="none" w:sz="0" w:space="0" w:color="auto"/>
            <w:bottom w:val="none" w:sz="0" w:space="0" w:color="auto"/>
            <w:right w:val="none" w:sz="0" w:space="0" w:color="auto"/>
          </w:divBdr>
        </w:div>
        <w:div w:id="1530025440">
          <w:marLeft w:val="0"/>
          <w:marRight w:val="0"/>
          <w:marTop w:val="0"/>
          <w:marBottom w:val="0"/>
          <w:divBdr>
            <w:top w:val="none" w:sz="0" w:space="0" w:color="auto"/>
            <w:left w:val="none" w:sz="0" w:space="0" w:color="auto"/>
            <w:bottom w:val="none" w:sz="0" w:space="0" w:color="auto"/>
            <w:right w:val="none" w:sz="0" w:space="0" w:color="auto"/>
          </w:divBdr>
        </w:div>
      </w:divsChild>
    </w:div>
    <w:div w:id="513760869">
      <w:bodyDiv w:val="1"/>
      <w:marLeft w:val="0"/>
      <w:marRight w:val="0"/>
      <w:marTop w:val="0"/>
      <w:marBottom w:val="0"/>
      <w:divBdr>
        <w:top w:val="none" w:sz="0" w:space="0" w:color="auto"/>
        <w:left w:val="none" w:sz="0" w:space="0" w:color="auto"/>
        <w:bottom w:val="none" w:sz="0" w:space="0" w:color="auto"/>
        <w:right w:val="none" w:sz="0" w:space="0" w:color="auto"/>
      </w:divBdr>
    </w:div>
    <w:div w:id="641077217">
      <w:bodyDiv w:val="1"/>
      <w:marLeft w:val="0"/>
      <w:marRight w:val="0"/>
      <w:marTop w:val="0"/>
      <w:marBottom w:val="0"/>
      <w:divBdr>
        <w:top w:val="none" w:sz="0" w:space="0" w:color="auto"/>
        <w:left w:val="none" w:sz="0" w:space="0" w:color="auto"/>
        <w:bottom w:val="none" w:sz="0" w:space="0" w:color="auto"/>
        <w:right w:val="none" w:sz="0" w:space="0" w:color="auto"/>
      </w:divBdr>
    </w:div>
    <w:div w:id="679939583">
      <w:bodyDiv w:val="1"/>
      <w:marLeft w:val="0"/>
      <w:marRight w:val="0"/>
      <w:marTop w:val="0"/>
      <w:marBottom w:val="0"/>
      <w:divBdr>
        <w:top w:val="none" w:sz="0" w:space="0" w:color="auto"/>
        <w:left w:val="none" w:sz="0" w:space="0" w:color="auto"/>
        <w:bottom w:val="none" w:sz="0" w:space="0" w:color="auto"/>
        <w:right w:val="none" w:sz="0" w:space="0" w:color="auto"/>
      </w:divBdr>
    </w:div>
    <w:div w:id="806359686">
      <w:bodyDiv w:val="1"/>
      <w:marLeft w:val="0"/>
      <w:marRight w:val="0"/>
      <w:marTop w:val="0"/>
      <w:marBottom w:val="0"/>
      <w:divBdr>
        <w:top w:val="none" w:sz="0" w:space="0" w:color="auto"/>
        <w:left w:val="none" w:sz="0" w:space="0" w:color="auto"/>
        <w:bottom w:val="none" w:sz="0" w:space="0" w:color="auto"/>
        <w:right w:val="none" w:sz="0" w:space="0" w:color="auto"/>
      </w:divBdr>
      <w:divsChild>
        <w:div w:id="837620464">
          <w:marLeft w:val="0"/>
          <w:marRight w:val="0"/>
          <w:marTop w:val="0"/>
          <w:marBottom w:val="0"/>
          <w:divBdr>
            <w:top w:val="none" w:sz="0" w:space="0" w:color="auto"/>
            <w:left w:val="none" w:sz="0" w:space="0" w:color="auto"/>
            <w:bottom w:val="none" w:sz="0" w:space="0" w:color="auto"/>
            <w:right w:val="none" w:sz="0" w:space="0" w:color="auto"/>
          </w:divBdr>
        </w:div>
        <w:div w:id="1045955317">
          <w:marLeft w:val="0"/>
          <w:marRight w:val="0"/>
          <w:marTop w:val="0"/>
          <w:marBottom w:val="0"/>
          <w:divBdr>
            <w:top w:val="none" w:sz="0" w:space="0" w:color="auto"/>
            <w:left w:val="none" w:sz="0" w:space="0" w:color="auto"/>
            <w:bottom w:val="none" w:sz="0" w:space="0" w:color="auto"/>
            <w:right w:val="none" w:sz="0" w:space="0" w:color="auto"/>
          </w:divBdr>
        </w:div>
      </w:divsChild>
    </w:div>
    <w:div w:id="830215080">
      <w:bodyDiv w:val="1"/>
      <w:marLeft w:val="0"/>
      <w:marRight w:val="0"/>
      <w:marTop w:val="0"/>
      <w:marBottom w:val="0"/>
      <w:divBdr>
        <w:top w:val="none" w:sz="0" w:space="0" w:color="auto"/>
        <w:left w:val="none" w:sz="0" w:space="0" w:color="auto"/>
        <w:bottom w:val="none" w:sz="0" w:space="0" w:color="auto"/>
        <w:right w:val="none" w:sz="0" w:space="0" w:color="auto"/>
      </w:divBdr>
    </w:div>
    <w:div w:id="878128979">
      <w:bodyDiv w:val="1"/>
      <w:marLeft w:val="0"/>
      <w:marRight w:val="0"/>
      <w:marTop w:val="0"/>
      <w:marBottom w:val="0"/>
      <w:divBdr>
        <w:top w:val="none" w:sz="0" w:space="0" w:color="auto"/>
        <w:left w:val="none" w:sz="0" w:space="0" w:color="auto"/>
        <w:bottom w:val="none" w:sz="0" w:space="0" w:color="auto"/>
        <w:right w:val="none" w:sz="0" w:space="0" w:color="auto"/>
      </w:divBdr>
      <w:divsChild>
        <w:div w:id="200360947">
          <w:marLeft w:val="0"/>
          <w:marRight w:val="0"/>
          <w:marTop w:val="0"/>
          <w:marBottom w:val="0"/>
          <w:divBdr>
            <w:top w:val="none" w:sz="0" w:space="0" w:color="auto"/>
            <w:left w:val="none" w:sz="0" w:space="0" w:color="auto"/>
            <w:bottom w:val="none" w:sz="0" w:space="0" w:color="auto"/>
            <w:right w:val="none" w:sz="0" w:space="0" w:color="auto"/>
          </w:divBdr>
        </w:div>
      </w:divsChild>
    </w:div>
    <w:div w:id="915240438">
      <w:bodyDiv w:val="1"/>
      <w:marLeft w:val="0"/>
      <w:marRight w:val="0"/>
      <w:marTop w:val="0"/>
      <w:marBottom w:val="0"/>
      <w:divBdr>
        <w:top w:val="none" w:sz="0" w:space="0" w:color="auto"/>
        <w:left w:val="none" w:sz="0" w:space="0" w:color="auto"/>
        <w:bottom w:val="none" w:sz="0" w:space="0" w:color="auto"/>
        <w:right w:val="none" w:sz="0" w:space="0" w:color="auto"/>
      </w:divBdr>
      <w:divsChild>
        <w:div w:id="1766489003">
          <w:marLeft w:val="0"/>
          <w:marRight w:val="0"/>
          <w:marTop w:val="0"/>
          <w:marBottom w:val="0"/>
          <w:divBdr>
            <w:top w:val="none" w:sz="0" w:space="0" w:color="auto"/>
            <w:left w:val="none" w:sz="0" w:space="0" w:color="auto"/>
            <w:bottom w:val="none" w:sz="0" w:space="0" w:color="auto"/>
            <w:right w:val="none" w:sz="0" w:space="0" w:color="auto"/>
          </w:divBdr>
        </w:div>
      </w:divsChild>
    </w:div>
    <w:div w:id="1138107300">
      <w:bodyDiv w:val="1"/>
      <w:marLeft w:val="0"/>
      <w:marRight w:val="0"/>
      <w:marTop w:val="0"/>
      <w:marBottom w:val="0"/>
      <w:divBdr>
        <w:top w:val="none" w:sz="0" w:space="0" w:color="auto"/>
        <w:left w:val="none" w:sz="0" w:space="0" w:color="auto"/>
        <w:bottom w:val="none" w:sz="0" w:space="0" w:color="auto"/>
        <w:right w:val="none" w:sz="0" w:space="0" w:color="auto"/>
      </w:divBdr>
    </w:div>
    <w:div w:id="1217204007">
      <w:bodyDiv w:val="1"/>
      <w:marLeft w:val="0"/>
      <w:marRight w:val="0"/>
      <w:marTop w:val="0"/>
      <w:marBottom w:val="0"/>
      <w:divBdr>
        <w:top w:val="none" w:sz="0" w:space="0" w:color="auto"/>
        <w:left w:val="none" w:sz="0" w:space="0" w:color="auto"/>
        <w:bottom w:val="none" w:sz="0" w:space="0" w:color="auto"/>
        <w:right w:val="none" w:sz="0" w:space="0" w:color="auto"/>
      </w:divBdr>
    </w:div>
    <w:div w:id="1261644548">
      <w:bodyDiv w:val="1"/>
      <w:marLeft w:val="0"/>
      <w:marRight w:val="0"/>
      <w:marTop w:val="0"/>
      <w:marBottom w:val="0"/>
      <w:divBdr>
        <w:top w:val="none" w:sz="0" w:space="0" w:color="auto"/>
        <w:left w:val="none" w:sz="0" w:space="0" w:color="auto"/>
        <w:bottom w:val="none" w:sz="0" w:space="0" w:color="auto"/>
        <w:right w:val="none" w:sz="0" w:space="0" w:color="auto"/>
      </w:divBdr>
      <w:divsChild>
        <w:div w:id="1720326413">
          <w:marLeft w:val="0"/>
          <w:marRight w:val="0"/>
          <w:marTop w:val="0"/>
          <w:marBottom w:val="0"/>
          <w:divBdr>
            <w:top w:val="none" w:sz="0" w:space="0" w:color="auto"/>
            <w:left w:val="none" w:sz="0" w:space="0" w:color="auto"/>
            <w:bottom w:val="none" w:sz="0" w:space="0" w:color="auto"/>
            <w:right w:val="none" w:sz="0" w:space="0" w:color="auto"/>
          </w:divBdr>
        </w:div>
      </w:divsChild>
    </w:div>
    <w:div w:id="1303342083">
      <w:bodyDiv w:val="1"/>
      <w:marLeft w:val="0"/>
      <w:marRight w:val="0"/>
      <w:marTop w:val="0"/>
      <w:marBottom w:val="0"/>
      <w:divBdr>
        <w:top w:val="none" w:sz="0" w:space="0" w:color="auto"/>
        <w:left w:val="none" w:sz="0" w:space="0" w:color="auto"/>
        <w:bottom w:val="none" w:sz="0" w:space="0" w:color="auto"/>
        <w:right w:val="none" w:sz="0" w:space="0" w:color="auto"/>
      </w:divBdr>
    </w:div>
    <w:div w:id="1370035387">
      <w:bodyDiv w:val="1"/>
      <w:marLeft w:val="0"/>
      <w:marRight w:val="0"/>
      <w:marTop w:val="0"/>
      <w:marBottom w:val="0"/>
      <w:divBdr>
        <w:top w:val="none" w:sz="0" w:space="0" w:color="auto"/>
        <w:left w:val="none" w:sz="0" w:space="0" w:color="auto"/>
        <w:bottom w:val="none" w:sz="0" w:space="0" w:color="auto"/>
        <w:right w:val="none" w:sz="0" w:space="0" w:color="auto"/>
      </w:divBdr>
      <w:divsChild>
        <w:div w:id="418910258">
          <w:marLeft w:val="360"/>
          <w:marRight w:val="0"/>
          <w:marTop w:val="200"/>
          <w:marBottom w:val="0"/>
          <w:divBdr>
            <w:top w:val="none" w:sz="0" w:space="0" w:color="auto"/>
            <w:left w:val="none" w:sz="0" w:space="0" w:color="auto"/>
            <w:bottom w:val="none" w:sz="0" w:space="0" w:color="auto"/>
            <w:right w:val="none" w:sz="0" w:space="0" w:color="auto"/>
          </w:divBdr>
        </w:div>
      </w:divsChild>
    </w:div>
    <w:div w:id="1380976951">
      <w:bodyDiv w:val="1"/>
      <w:marLeft w:val="0"/>
      <w:marRight w:val="0"/>
      <w:marTop w:val="0"/>
      <w:marBottom w:val="0"/>
      <w:divBdr>
        <w:top w:val="none" w:sz="0" w:space="0" w:color="auto"/>
        <w:left w:val="none" w:sz="0" w:space="0" w:color="auto"/>
        <w:bottom w:val="none" w:sz="0" w:space="0" w:color="auto"/>
        <w:right w:val="none" w:sz="0" w:space="0" w:color="auto"/>
      </w:divBdr>
      <w:divsChild>
        <w:div w:id="606813725">
          <w:marLeft w:val="547"/>
          <w:marRight w:val="0"/>
          <w:marTop w:val="0"/>
          <w:marBottom w:val="0"/>
          <w:divBdr>
            <w:top w:val="none" w:sz="0" w:space="0" w:color="auto"/>
            <w:left w:val="none" w:sz="0" w:space="0" w:color="auto"/>
            <w:bottom w:val="none" w:sz="0" w:space="0" w:color="auto"/>
            <w:right w:val="none" w:sz="0" w:space="0" w:color="auto"/>
          </w:divBdr>
        </w:div>
        <w:div w:id="682128271">
          <w:marLeft w:val="547"/>
          <w:marRight w:val="0"/>
          <w:marTop w:val="0"/>
          <w:marBottom w:val="0"/>
          <w:divBdr>
            <w:top w:val="none" w:sz="0" w:space="0" w:color="auto"/>
            <w:left w:val="none" w:sz="0" w:space="0" w:color="auto"/>
            <w:bottom w:val="none" w:sz="0" w:space="0" w:color="auto"/>
            <w:right w:val="none" w:sz="0" w:space="0" w:color="auto"/>
          </w:divBdr>
        </w:div>
        <w:div w:id="1247956197">
          <w:marLeft w:val="547"/>
          <w:marRight w:val="0"/>
          <w:marTop w:val="0"/>
          <w:marBottom w:val="0"/>
          <w:divBdr>
            <w:top w:val="none" w:sz="0" w:space="0" w:color="auto"/>
            <w:left w:val="none" w:sz="0" w:space="0" w:color="auto"/>
            <w:bottom w:val="none" w:sz="0" w:space="0" w:color="auto"/>
            <w:right w:val="none" w:sz="0" w:space="0" w:color="auto"/>
          </w:divBdr>
        </w:div>
      </w:divsChild>
    </w:div>
    <w:div w:id="1459493663">
      <w:bodyDiv w:val="1"/>
      <w:marLeft w:val="0"/>
      <w:marRight w:val="0"/>
      <w:marTop w:val="0"/>
      <w:marBottom w:val="0"/>
      <w:divBdr>
        <w:top w:val="none" w:sz="0" w:space="0" w:color="auto"/>
        <w:left w:val="none" w:sz="0" w:space="0" w:color="auto"/>
        <w:bottom w:val="none" w:sz="0" w:space="0" w:color="auto"/>
        <w:right w:val="none" w:sz="0" w:space="0" w:color="auto"/>
      </w:divBdr>
    </w:div>
    <w:div w:id="1465467217">
      <w:bodyDiv w:val="1"/>
      <w:marLeft w:val="0"/>
      <w:marRight w:val="0"/>
      <w:marTop w:val="0"/>
      <w:marBottom w:val="0"/>
      <w:divBdr>
        <w:top w:val="none" w:sz="0" w:space="0" w:color="auto"/>
        <w:left w:val="none" w:sz="0" w:space="0" w:color="auto"/>
        <w:bottom w:val="none" w:sz="0" w:space="0" w:color="auto"/>
        <w:right w:val="none" w:sz="0" w:space="0" w:color="auto"/>
      </w:divBdr>
    </w:div>
    <w:div w:id="1483543660">
      <w:bodyDiv w:val="1"/>
      <w:marLeft w:val="0"/>
      <w:marRight w:val="0"/>
      <w:marTop w:val="0"/>
      <w:marBottom w:val="0"/>
      <w:divBdr>
        <w:top w:val="none" w:sz="0" w:space="0" w:color="auto"/>
        <w:left w:val="none" w:sz="0" w:space="0" w:color="auto"/>
        <w:bottom w:val="none" w:sz="0" w:space="0" w:color="auto"/>
        <w:right w:val="none" w:sz="0" w:space="0" w:color="auto"/>
      </w:divBdr>
    </w:div>
    <w:div w:id="1501848203">
      <w:bodyDiv w:val="1"/>
      <w:marLeft w:val="0"/>
      <w:marRight w:val="0"/>
      <w:marTop w:val="0"/>
      <w:marBottom w:val="0"/>
      <w:divBdr>
        <w:top w:val="none" w:sz="0" w:space="0" w:color="auto"/>
        <w:left w:val="none" w:sz="0" w:space="0" w:color="auto"/>
        <w:bottom w:val="none" w:sz="0" w:space="0" w:color="auto"/>
        <w:right w:val="none" w:sz="0" w:space="0" w:color="auto"/>
      </w:divBdr>
    </w:div>
    <w:div w:id="1542206477">
      <w:bodyDiv w:val="1"/>
      <w:marLeft w:val="0"/>
      <w:marRight w:val="0"/>
      <w:marTop w:val="0"/>
      <w:marBottom w:val="0"/>
      <w:divBdr>
        <w:top w:val="none" w:sz="0" w:space="0" w:color="auto"/>
        <w:left w:val="none" w:sz="0" w:space="0" w:color="auto"/>
        <w:bottom w:val="none" w:sz="0" w:space="0" w:color="auto"/>
        <w:right w:val="none" w:sz="0" w:space="0" w:color="auto"/>
      </w:divBdr>
    </w:div>
    <w:div w:id="1609240376">
      <w:bodyDiv w:val="1"/>
      <w:marLeft w:val="0"/>
      <w:marRight w:val="0"/>
      <w:marTop w:val="0"/>
      <w:marBottom w:val="0"/>
      <w:divBdr>
        <w:top w:val="none" w:sz="0" w:space="0" w:color="auto"/>
        <w:left w:val="none" w:sz="0" w:space="0" w:color="auto"/>
        <w:bottom w:val="none" w:sz="0" w:space="0" w:color="auto"/>
        <w:right w:val="none" w:sz="0" w:space="0" w:color="auto"/>
      </w:divBdr>
    </w:div>
    <w:div w:id="1706372966">
      <w:bodyDiv w:val="1"/>
      <w:marLeft w:val="0"/>
      <w:marRight w:val="0"/>
      <w:marTop w:val="0"/>
      <w:marBottom w:val="0"/>
      <w:divBdr>
        <w:top w:val="none" w:sz="0" w:space="0" w:color="auto"/>
        <w:left w:val="none" w:sz="0" w:space="0" w:color="auto"/>
        <w:bottom w:val="none" w:sz="0" w:space="0" w:color="auto"/>
        <w:right w:val="none" w:sz="0" w:space="0" w:color="auto"/>
      </w:divBdr>
    </w:div>
    <w:div w:id="1761607740">
      <w:bodyDiv w:val="1"/>
      <w:marLeft w:val="0"/>
      <w:marRight w:val="0"/>
      <w:marTop w:val="0"/>
      <w:marBottom w:val="0"/>
      <w:divBdr>
        <w:top w:val="none" w:sz="0" w:space="0" w:color="auto"/>
        <w:left w:val="none" w:sz="0" w:space="0" w:color="auto"/>
        <w:bottom w:val="none" w:sz="0" w:space="0" w:color="auto"/>
        <w:right w:val="none" w:sz="0" w:space="0" w:color="auto"/>
      </w:divBdr>
      <w:divsChild>
        <w:div w:id="1408501705">
          <w:marLeft w:val="0"/>
          <w:marRight w:val="0"/>
          <w:marTop w:val="0"/>
          <w:marBottom w:val="0"/>
          <w:divBdr>
            <w:top w:val="none" w:sz="0" w:space="0" w:color="auto"/>
            <w:left w:val="none" w:sz="0" w:space="0" w:color="auto"/>
            <w:bottom w:val="none" w:sz="0" w:space="0" w:color="auto"/>
            <w:right w:val="none" w:sz="0" w:space="0" w:color="auto"/>
          </w:divBdr>
        </w:div>
        <w:div w:id="1412391886">
          <w:marLeft w:val="0"/>
          <w:marRight w:val="0"/>
          <w:marTop w:val="0"/>
          <w:marBottom w:val="0"/>
          <w:divBdr>
            <w:top w:val="none" w:sz="0" w:space="0" w:color="auto"/>
            <w:left w:val="none" w:sz="0" w:space="0" w:color="auto"/>
            <w:bottom w:val="none" w:sz="0" w:space="0" w:color="auto"/>
            <w:right w:val="none" w:sz="0" w:space="0" w:color="auto"/>
          </w:divBdr>
        </w:div>
      </w:divsChild>
    </w:div>
    <w:div w:id="1780443127">
      <w:bodyDiv w:val="1"/>
      <w:marLeft w:val="0"/>
      <w:marRight w:val="0"/>
      <w:marTop w:val="0"/>
      <w:marBottom w:val="0"/>
      <w:divBdr>
        <w:top w:val="none" w:sz="0" w:space="0" w:color="auto"/>
        <w:left w:val="none" w:sz="0" w:space="0" w:color="auto"/>
        <w:bottom w:val="none" w:sz="0" w:space="0" w:color="auto"/>
        <w:right w:val="none" w:sz="0" w:space="0" w:color="auto"/>
      </w:divBdr>
      <w:divsChild>
        <w:div w:id="964391946">
          <w:marLeft w:val="0"/>
          <w:marRight w:val="0"/>
          <w:marTop w:val="0"/>
          <w:marBottom w:val="0"/>
          <w:divBdr>
            <w:top w:val="none" w:sz="0" w:space="0" w:color="auto"/>
            <w:left w:val="none" w:sz="0" w:space="0" w:color="auto"/>
            <w:bottom w:val="none" w:sz="0" w:space="0" w:color="auto"/>
            <w:right w:val="none" w:sz="0" w:space="0" w:color="auto"/>
          </w:divBdr>
        </w:div>
        <w:div w:id="1492256466">
          <w:marLeft w:val="0"/>
          <w:marRight w:val="0"/>
          <w:marTop w:val="0"/>
          <w:marBottom w:val="0"/>
          <w:divBdr>
            <w:top w:val="none" w:sz="0" w:space="0" w:color="auto"/>
            <w:left w:val="none" w:sz="0" w:space="0" w:color="auto"/>
            <w:bottom w:val="none" w:sz="0" w:space="0" w:color="auto"/>
            <w:right w:val="none" w:sz="0" w:space="0" w:color="auto"/>
          </w:divBdr>
        </w:div>
        <w:div w:id="1572616049">
          <w:marLeft w:val="0"/>
          <w:marRight w:val="0"/>
          <w:marTop w:val="0"/>
          <w:marBottom w:val="0"/>
          <w:divBdr>
            <w:top w:val="none" w:sz="0" w:space="0" w:color="auto"/>
            <w:left w:val="none" w:sz="0" w:space="0" w:color="auto"/>
            <w:bottom w:val="none" w:sz="0" w:space="0" w:color="auto"/>
            <w:right w:val="none" w:sz="0" w:space="0" w:color="auto"/>
          </w:divBdr>
        </w:div>
      </w:divsChild>
    </w:div>
    <w:div w:id="1796171086">
      <w:bodyDiv w:val="1"/>
      <w:marLeft w:val="0"/>
      <w:marRight w:val="0"/>
      <w:marTop w:val="0"/>
      <w:marBottom w:val="0"/>
      <w:divBdr>
        <w:top w:val="none" w:sz="0" w:space="0" w:color="auto"/>
        <w:left w:val="none" w:sz="0" w:space="0" w:color="auto"/>
        <w:bottom w:val="none" w:sz="0" w:space="0" w:color="auto"/>
        <w:right w:val="none" w:sz="0" w:space="0" w:color="auto"/>
      </w:divBdr>
      <w:divsChild>
        <w:div w:id="883371978">
          <w:marLeft w:val="0"/>
          <w:marRight w:val="0"/>
          <w:marTop w:val="0"/>
          <w:marBottom w:val="0"/>
          <w:divBdr>
            <w:top w:val="none" w:sz="0" w:space="0" w:color="auto"/>
            <w:left w:val="none" w:sz="0" w:space="0" w:color="auto"/>
            <w:bottom w:val="none" w:sz="0" w:space="0" w:color="auto"/>
            <w:right w:val="none" w:sz="0" w:space="0" w:color="auto"/>
          </w:divBdr>
        </w:div>
      </w:divsChild>
    </w:div>
    <w:div w:id="1810895788">
      <w:bodyDiv w:val="1"/>
      <w:marLeft w:val="0"/>
      <w:marRight w:val="0"/>
      <w:marTop w:val="0"/>
      <w:marBottom w:val="0"/>
      <w:divBdr>
        <w:top w:val="none" w:sz="0" w:space="0" w:color="auto"/>
        <w:left w:val="none" w:sz="0" w:space="0" w:color="auto"/>
        <w:bottom w:val="none" w:sz="0" w:space="0" w:color="auto"/>
        <w:right w:val="none" w:sz="0" w:space="0" w:color="auto"/>
      </w:divBdr>
    </w:div>
    <w:div w:id="1888031630">
      <w:bodyDiv w:val="1"/>
      <w:marLeft w:val="0"/>
      <w:marRight w:val="0"/>
      <w:marTop w:val="0"/>
      <w:marBottom w:val="0"/>
      <w:divBdr>
        <w:top w:val="none" w:sz="0" w:space="0" w:color="auto"/>
        <w:left w:val="none" w:sz="0" w:space="0" w:color="auto"/>
        <w:bottom w:val="none" w:sz="0" w:space="0" w:color="auto"/>
        <w:right w:val="none" w:sz="0" w:space="0" w:color="auto"/>
      </w:divBdr>
    </w:div>
    <w:div w:id="1902672409">
      <w:bodyDiv w:val="1"/>
      <w:marLeft w:val="0"/>
      <w:marRight w:val="0"/>
      <w:marTop w:val="0"/>
      <w:marBottom w:val="0"/>
      <w:divBdr>
        <w:top w:val="none" w:sz="0" w:space="0" w:color="auto"/>
        <w:left w:val="none" w:sz="0" w:space="0" w:color="auto"/>
        <w:bottom w:val="none" w:sz="0" w:space="0" w:color="auto"/>
        <w:right w:val="none" w:sz="0" w:space="0" w:color="auto"/>
      </w:divBdr>
      <w:divsChild>
        <w:div w:id="433331219">
          <w:marLeft w:val="0"/>
          <w:marRight w:val="0"/>
          <w:marTop w:val="0"/>
          <w:marBottom w:val="0"/>
          <w:divBdr>
            <w:top w:val="none" w:sz="0" w:space="0" w:color="auto"/>
            <w:left w:val="none" w:sz="0" w:space="0" w:color="auto"/>
            <w:bottom w:val="none" w:sz="0" w:space="0" w:color="auto"/>
            <w:right w:val="none" w:sz="0" w:space="0" w:color="auto"/>
          </w:divBdr>
        </w:div>
      </w:divsChild>
    </w:div>
    <w:div w:id="1931543929">
      <w:bodyDiv w:val="1"/>
      <w:marLeft w:val="0"/>
      <w:marRight w:val="0"/>
      <w:marTop w:val="0"/>
      <w:marBottom w:val="0"/>
      <w:divBdr>
        <w:top w:val="none" w:sz="0" w:space="0" w:color="auto"/>
        <w:left w:val="none" w:sz="0" w:space="0" w:color="auto"/>
        <w:bottom w:val="none" w:sz="0" w:space="0" w:color="auto"/>
        <w:right w:val="none" w:sz="0" w:space="0" w:color="auto"/>
      </w:divBdr>
    </w:div>
    <w:div w:id="2042244378">
      <w:bodyDiv w:val="1"/>
      <w:marLeft w:val="0"/>
      <w:marRight w:val="0"/>
      <w:marTop w:val="0"/>
      <w:marBottom w:val="0"/>
      <w:divBdr>
        <w:top w:val="none" w:sz="0" w:space="0" w:color="auto"/>
        <w:left w:val="none" w:sz="0" w:space="0" w:color="auto"/>
        <w:bottom w:val="none" w:sz="0" w:space="0" w:color="auto"/>
        <w:right w:val="none" w:sz="0" w:space="0" w:color="auto"/>
      </w:divBdr>
    </w:div>
    <w:div w:id="2054578409">
      <w:bodyDiv w:val="1"/>
      <w:marLeft w:val="0"/>
      <w:marRight w:val="0"/>
      <w:marTop w:val="0"/>
      <w:marBottom w:val="0"/>
      <w:divBdr>
        <w:top w:val="none" w:sz="0" w:space="0" w:color="auto"/>
        <w:left w:val="none" w:sz="0" w:space="0" w:color="auto"/>
        <w:bottom w:val="none" w:sz="0" w:space="0" w:color="auto"/>
        <w:right w:val="none" w:sz="0" w:space="0" w:color="auto"/>
      </w:divBdr>
      <w:divsChild>
        <w:div w:id="1688558198">
          <w:marLeft w:val="720"/>
          <w:marRight w:val="0"/>
          <w:marTop w:val="0"/>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D785-D729-44F4-8429-E5BE9E8E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10434</Words>
  <Characters>59478</Characters>
  <Application>Microsoft Office Word</Application>
  <DocSecurity>0</DocSecurity>
  <Lines>495</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4</cp:revision>
  <cp:lastPrinted>2020-05-26T16:24:00Z</cp:lastPrinted>
  <dcterms:created xsi:type="dcterms:W3CDTF">2020-06-03T17:14:00Z</dcterms:created>
  <dcterms:modified xsi:type="dcterms:W3CDTF">2020-06-16T22:04:00Z</dcterms:modified>
</cp:coreProperties>
</file>