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noProof/>
        </w:rPr>
        <w:drawing>
          <wp:anchor distT="0" distB="0" distL="114300" distR="114300" simplePos="0" relativeHeight="251655168" behindDoc="0" locked="0" layoutInCell="1" allowOverlap="1" wp14:anchorId="409B29F8" wp14:editId="1BA5DDD9">
            <wp:simplePos x="0" y="0"/>
            <wp:positionH relativeFrom="column">
              <wp:posOffset>304800</wp:posOffset>
            </wp:positionH>
            <wp:positionV relativeFrom="paragraph">
              <wp:posOffset>9525</wp:posOffset>
            </wp:positionV>
            <wp:extent cx="975360" cy="923925"/>
            <wp:effectExtent l="0" t="0" r="0" b="9525"/>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pic:spPr>
                </pic:pic>
              </a:graphicData>
            </a:graphic>
            <wp14:sizeRelH relativeFrom="page">
              <wp14:pctWidth>0</wp14:pctWidth>
            </wp14:sizeRelH>
            <wp14:sizeRelV relativeFrom="page">
              <wp14:pctHeight>0</wp14:pctHeight>
            </wp14:sizeRelV>
          </wp:anchor>
        </w:drawing>
      </w:r>
    </w:p>
    <w:p w:rsidR="00910C92" w:rsidRPr="00D174BB" w:rsidRDefault="00910C92" w:rsidP="00910C92">
      <w:pPr>
        <w:autoSpaceDE w:val="0"/>
        <w:autoSpaceDN w:val="0"/>
        <w:adjustRightInd w:val="0"/>
        <w:ind w:right="-360"/>
        <w:rPr>
          <w:rFonts w:eastAsia="MS PGothic"/>
          <w:b/>
          <w:bCs/>
          <w:color w:val="000000" w:themeColor="text1"/>
          <w:kern w:val="24"/>
          <w:sz w:val="22"/>
          <w:szCs w:val="22"/>
          <w:lang w:val="pt-BR"/>
        </w:rPr>
      </w:pPr>
      <w:r w:rsidRPr="00D174BB">
        <w:rPr>
          <w:noProof/>
        </w:rPr>
        <w:drawing>
          <wp:anchor distT="0" distB="0" distL="114300" distR="114300" simplePos="0" relativeHeight="251656192" behindDoc="0" locked="0" layoutInCell="1" allowOverlap="1" wp14:anchorId="453C7DA3" wp14:editId="3CACABB5">
            <wp:simplePos x="0" y="0"/>
            <wp:positionH relativeFrom="column">
              <wp:align>right</wp:align>
            </wp:positionH>
            <wp:positionV relativeFrom="paragraph">
              <wp:align>top</wp:align>
            </wp:positionV>
            <wp:extent cx="1104900" cy="771525"/>
            <wp:effectExtent l="0" t="0" r="0" b="9525"/>
            <wp:wrapSquare wrapText="bothSides"/>
            <wp:docPr id="11" name="Picture 1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14:sizeRelH relativeFrom="page">
              <wp14:pctWidth>0</wp14:pctWidth>
            </wp14:sizeRelH>
            <wp14:sizeRelV relativeFrom="page">
              <wp14:pctHeight>0</wp14:pctHeight>
            </wp14:sizeRelV>
          </wp:anchor>
        </w:drawing>
      </w:r>
    </w:p>
    <w:p w:rsidR="00910C92" w:rsidRPr="00D174BB" w:rsidRDefault="00910C92" w:rsidP="00910C92">
      <w:pPr>
        <w:autoSpaceDE w:val="0"/>
        <w:autoSpaceDN w:val="0"/>
        <w:adjustRightInd w:val="0"/>
        <w:ind w:right="-360"/>
        <w:rPr>
          <w:rFonts w:eastAsia="MS PGothic"/>
          <w:b/>
          <w:bCs/>
          <w:color w:val="000000" w:themeColor="text1"/>
          <w:kern w:val="24"/>
          <w:sz w:val="22"/>
          <w:szCs w:val="22"/>
          <w:lang w:val="pt-BR"/>
        </w:rPr>
      </w:pPr>
      <w:r w:rsidRPr="00D174BB">
        <w:rPr>
          <w:noProof/>
        </w:rPr>
        <mc:AlternateContent>
          <mc:Choice Requires="wps">
            <w:drawing>
              <wp:anchor distT="0" distB="0" distL="114300" distR="114300" simplePos="0" relativeHeight="251657216" behindDoc="0" locked="0" layoutInCell="1" allowOverlap="1" wp14:anchorId="47442242" wp14:editId="1BE32036">
                <wp:simplePos x="0" y="0"/>
                <wp:positionH relativeFrom="column">
                  <wp:posOffset>1280160</wp:posOffset>
                </wp:positionH>
                <wp:positionV relativeFrom="paragraph">
                  <wp:posOffset>78740</wp:posOffset>
                </wp:positionV>
                <wp:extent cx="4320540" cy="664210"/>
                <wp:effectExtent l="0" t="0" r="381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1AB" w:rsidRDefault="002A41AB" w:rsidP="00910C92">
                            <w:pPr>
                              <w:pStyle w:val="Header"/>
                              <w:tabs>
                                <w:tab w:val="left" w:pos="900"/>
                              </w:tabs>
                              <w:spacing w:line="240" w:lineRule="atLeast"/>
                              <w:jc w:val="center"/>
                              <w:rPr>
                                <w:rFonts w:ascii="Garamond" w:hAnsi="Garamond"/>
                                <w:b/>
                                <w:sz w:val="28"/>
                                <w:lang w:val="pt-BR"/>
                              </w:rPr>
                            </w:pPr>
                            <w:r>
                              <w:rPr>
                                <w:rFonts w:ascii="Garamond" w:hAnsi="Garamond"/>
                                <w:b/>
                                <w:sz w:val="28"/>
                                <w:lang w:val="pt-BR"/>
                              </w:rPr>
                              <w:t xml:space="preserve">ORGANIZAÇÃO DOS ESTADOS AMERICANOS </w:t>
                            </w:r>
                          </w:p>
                          <w:p w:rsidR="002A41AB" w:rsidRDefault="002A41AB" w:rsidP="00910C92">
                            <w:pPr>
                              <w:pStyle w:val="Header"/>
                              <w:tabs>
                                <w:tab w:val="left" w:pos="900"/>
                              </w:tabs>
                              <w:spacing w:line="240" w:lineRule="atLeast"/>
                              <w:jc w:val="center"/>
                              <w:rPr>
                                <w:rFonts w:ascii="Garamond" w:hAnsi="Garamond"/>
                                <w:b/>
                                <w:sz w:val="22"/>
                                <w:szCs w:val="22"/>
                                <w:lang w:val="pt-BR"/>
                              </w:rPr>
                            </w:pPr>
                            <w:r>
                              <w:rPr>
                                <w:rFonts w:ascii="Garamond" w:hAnsi="Garamond"/>
                                <w:b/>
                                <w:sz w:val="22"/>
                                <w:lang w:val="pt-BR"/>
                              </w:rPr>
                              <w:t xml:space="preserve">Conselho Interamericano de Desenvolvimento Integral </w:t>
                            </w:r>
                          </w:p>
                          <w:p w:rsidR="002A41AB" w:rsidRDefault="002A41AB" w:rsidP="00910C92">
                            <w:pPr>
                              <w:pStyle w:val="Header"/>
                              <w:tabs>
                                <w:tab w:val="left" w:pos="900"/>
                              </w:tabs>
                              <w:spacing w:line="240" w:lineRule="atLeast"/>
                              <w:jc w:val="center"/>
                              <w:rPr>
                                <w:b/>
                                <w:sz w:val="22"/>
                                <w:szCs w:val="22"/>
                                <w:lang w:val="en-US"/>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0.8pt;margin-top:6.2pt;width:340.2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yIggIAABE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" stroked="f">
                <v:textbox>
                  <w:txbxContent>
                    <w:p w:rsidR="002A41AB" w:rsidRDefault="002A41AB" w:rsidP="00910C92">
                      <w:pPr>
                        <w:pStyle w:val="Header"/>
                        <w:tabs>
                          <w:tab w:val="left" w:pos="900"/>
                        </w:tabs>
                        <w:spacing w:line="240" w:lineRule="atLeast"/>
                        <w:jc w:val="center"/>
                        <w:rPr>
                          <w:rFonts w:ascii="Garamond" w:hAnsi="Garamond"/>
                          <w:b/>
                          <w:sz w:val="28"/>
                          <w:lang w:val="pt-BR"/>
                        </w:rPr>
                      </w:pPr>
                      <w:r>
                        <w:rPr>
                          <w:rFonts w:ascii="Garamond" w:hAnsi="Garamond"/>
                          <w:b/>
                          <w:sz w:val="28"/>
                          <w:lang w:val="pt-BR"/>
                        </w:rPr>
                        <w:t xml:space="preserve">ORGANIZAÇÃO DOS ESTADOS AMERICANOS </w:t>
                      </w:r>
                    </w:p>
                    <w:p w:rsidR="002A41AB" w:rsidRDefault="002A41AB" w:rsidP="00910C92">
                      <w:pPr>
                        <w:pStyle w:val="Header"/>
                        <w:tabs>
                          <w:tab w:val="left" w:pos="900"/>
                        </w:tabs>
                        <w:spacing w:line="240" w:lineRule="atLeast"/>
                        <w:jc w:val="center"/>
                        <w:rPr>
                          <w:rFonts w:ascii="Garamond" w:hAnsi="Garamond"/>
                          <w:b/>
                          <w:sz w:val="22"/>
                          <w:szCs w:val="22"/>
                          <w:lang w:val="pt-BR"/>
                        </w:rPr>
                      </w:pPr>
                      <w:r>
                        <w:rPr>
                          <w:rFonts w:ascii="Garamond" w:hAnsi="Garamond"/>
                          <w:b/>
                          <w:sz w:val="22"/>
                          <w:lang w:val="pt-BR"/>
                        </w:rPr>
                        <w:t xml:space="preserve">Conselho Interamericano de Desenvolvimento Integral </w:t>
                      </w:r>
                    </w:p>
                    <w:p w:rsidR="002A41AB" w:rsidRDefault="002A41AB" w:rsidP="00910C92">
                      <w:pPr>
                        <w:pStyle w:val="Header"/>
                        <w:tabs>
                          <w:tab w:val="left" w:pos="900"/>
                        </w:tabs>
                        <w:spacing w:line="240" w:lineRule="atLeast"/>
                        <w:jc w:val="center"/>
                        <w:rPr>
                          <w:b/>
                          <w:sz w:val="22"/>
                          <w:szCs w:val="22"/>
                          <w:lang w:val="en-US"/>
                        </w:rPr>
                      </w:pPr>
                      <w:r>
                        <w:rPr>
                          <w:rFonts w:ascii="Garamond" w:hAnsi="Garamond"/>
                          <w:b/>
                          <w:sz w:val="22"/>
                        </w:rPr>
                        <w:t>(CIDI)</w:t>
                      </w:r>
                    </w:p>
                  </w:txbxContent>
                </v:textbox>
              </v:shape>
            </w:pict>
          </mc:Fallback>
        </mc:AlternateContent>
      </w:r>
    </w:p>
    <w:p w:rsidR="00910C92" w:rsidRPr="00D174BB" w:rsidRDefault="00910C92" w:rsidP="00910C92">
      <w:pPr>
        <w:autoSpaceDE w:val="0"/>
        <w:autoSpaceDN w:val="0"/>
        <w:adjustRightInd w:val="0"/>
        <w:ind w:right="-360"/>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br w:type="textWrapping" w:clear="all"/>
      </w: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ind w:left="7920" w:firstLine="720"/>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OEA/Ser.W</w:t>
      </w:r>
    </w:p>
    <w:p w:rsidR="00910C92" w:rsidRPr="00D174BB" w:rsidRDefault="00910C92" w:rsidP="00910C92">
      <w:pPr>
        <w:autoSpaceDE w:val="0"/>
        <w:autoSpaceDN w:val="0"/>
        <w:adjustRightInd w:val="0"/>
        <w:ind w:left="7920" w:firstLine="720"/>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CIDI/doc.290/20</w:t>
      </w:r>
      <w:r w:rsidR="00D85AEE" w:rsidRPr="00D174BB">
        <w:rPr>
          <w:rFonts w:eastAsia="MS PGothic"/>
          <w:bCs/>
          <w:color w:val="000000" w:themeColor="text1"/>
          <w:kern w:val="24"/>
          <w:sz w:val="22"/>
          <w:szCs w:val="22"/>
          <w:lang w:val="pt-BR"/>
        </w:rPr>
        <w:t xml:space="preserve"> rev. 1</w:t>
      </w:r>
    </w:p>
    <w:p w:rsidR="00910C92" w:rsidRPr="00D174BB" w:rsidRDefault="00D85AEE" w:rsidP="00910C92">
      <w:pPr>
        <w:autoSpaceDE w:val="0"/>
        <w:autoSpaceDN w:val="0"/>
        <w:adjustRightInd w:val="0"/>
        <w:ind w:left="7920" w:firstLine="720"/>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2</w:t>
      </w:r>
      <w:r w:rsidR="00910C92" w:rsidRPr="00D174BB">
        <w:rPr>
          <w:rFonts w:eastAsia="MS PGothic"/>
          <w:bCs/>
          <w:color w:val="000000" w:themeColor="text1"/>
          <w:kern w:val="24"/>
          <w:sz w:val="22"/>
          <w:szCs w:val="22"/>
          <w:lang w:val="pt-BR"/>
        </w:rPr>
        <w:t xml:space="preserve"> </w:t>
      </w:r>
      <w:r w:rsidRPr="00D174BB">
        <w:rPr>
          <w:rFonts w:eastAsia="MS PGothic"/>
          <w:bCs/>
          <w:color w:val="000000" w:themeColor="text1"/>
          <w:kern w:val="24"/>
          <w:sz w:val="22"/>
          <w:szCs w:val="22"/>
          <w:lang w:val="pt-BR"/>
        </w:rPr>
        <w:t>junho</w:t>
      </w:r>
      <w:r w:rsidR="00910C92" w:rsidRPr="00D174BB">
        <w:rPr>
          <w:rFonts w:eastAsia="MS PGothic"/>
          <w:bCs/>
          <w:color w:val="000000" w:themeColor="text1"/>
          <w:kern w:val="24"/>
          <w:sz w:val="22"/>
          <w:szCs w:val="22"/>
          <w:lang w:val="pt-BR"/>
        </w:rPr>
        <w:t xml:space="preserve"> 2020</w:t>
      </w:r>
    </w:p>
    <w:p w:rsidR="00910C92" w:rsidRPr="00D174BB" w:rsidRDefault="00910C92" w:rsidP="00910C92">
      <w:pPr>
        <w:autoSpaceDE w:val="0"/>
        <w:autoSpaceDN w:val="0"/>
        <w:adjustRightInd w:val="0"/>
        <w:ind w:left="7920" w:firstLine="720"/>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Original: inglês</w:t>
      </w: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t>SECRETARIA EXECUTIVA DE DESENVOLVIMENTO INTEGRAL (SEDI)</w:t>
      </w: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t>PLANO DE TRABALHO 2020</w:t>
      </w:r>
    </w:p>
    <w:p w:rsidR="00D85AEE" w:rsidRPr="00D174BB" w:rsidRDefault="00D85AEE" w:rsidP="00910C92">
      <w:pPr>
        <w:autoSpaceDE w:val="0"/>
        <w:autoSpaceDN w:val="0"/>
        <w:adjustRightInd w:val="0"/>
        <w:jc w:val="center"/>
        <w:rPr>
          <w:rFonts w:eastAsia="MS PGothic"/>
          <w:b/>
          <w:bCs/>
          <w:color w:val="000000" w:themeColor="text1"/>
          <w:kern w:val="24"/>
          <w:sz w:val="22"/>
          <w:szCs w:val="22"/>
          <w:lang w:val="pt-BR"/>
        </w:rPr>
      </w:pPr>
    </w:p>
    <w:p w:rsidR="00D85AEE" w:rsidRPr="00D174BB" w:rsidRDefault="00D85AEE" w:rsidP="00910C92">
      <w:pPr>
        <w:autoSpaceDE w:val="0"/>
        <w:autoSpaceDN w:val="0"/>
        <w:adjustRightInd w:val="0"/>
        <w:jc w:val="center"/>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(Aprovado pelo CIDI na reunião realizada em 28 de maio de 2020)</w:t>
      </w: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p>
    <w:p w:rsidR="00910C92" w:rsidRPr="00D174BB" w:rsidRDefault="00910C92" w:rsidP="00910C92">
      <w:pPr>
        <w:rPr>
          <w:rFonts w:eastAsia="MS PGothic"/>
          <w:b/>
          <w:bCs/>
          <w:color w:val="000000" w:themeColor="text1"/>
          <w:kern w:val="24"/>
          <w:sz w:val="22"/>
          <w:szCs w:val="22"/>
          <w:lang w:val="pt-BR"/>
        </w:rPr>
        <w:sectPr w:rsidR="00910C92" w:rsidRPr="00D174BB">
          <w:pgSz w:w="12240" w:h="15840"/>
          <w:pgMar w:top="720" w:right="720" w:bottom="720" w:left="720" w:header="720" w:footer="360" w:gutter="0"/>
          <w:cols w:space="720"/>
        </w:sect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lastRenderedPageBreak/>
        <w:t>SECRETARIA EXECUTIVA DE DESENVOLVIMENTO INTEGRAL (SEDI)</w:t>
      </w:r>
    </w:p>
    <w:p w:rsidR="00910C92" w:rsidRPr="00D174BB" w:rsidRDefault="00910C92" w:rsidP="00910C92">
      <w:pPr>
        <w:autoSpaceDE w:val="0"/>
        <w:autoSpaceDN w:val="0"/>
        <w:adjustRightInd w:val="0"/>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t xml:space="preserve">PLANO DE TRABALHO 2020 </w:t>
      </w:r>
    </w:p>
    <w:p w:rsidR="00D85AEE" w:rsidRPr="00D174BB" w:rsidRDefault="00D85AEE" w:rsidP="002A41AB">
      <w:pPr>
        <w:autoSpaceDE w:val="0"/>
        <w:autoSpaceDN w:val="0"/>
        <w:adjustRightInd w:val="0"/>
        <w:rPr>
          <w:rFonts w:eastAsia="MS PGothic"/>
          <w:b/>
          <w:bCs/>
          <w:color w:val="000000" w:themeColor="text1"/>
          <w:kern w:val="24"/>
          <w:sz w:val="22"/>
          <w:szCs w:val="22"/>
          <w:lang w:val="pt-BR"/>
        </w:rPr>
      </w:pPr>
    </w:p>
    <w:p w:rsidR="00D85AEE" w:rsidRPr="00D174BB" w:rsidRDefault="00D85AEE" w:rsidP="00D85AEE">
      <w:pPr>
        <w:autoSpaceDE w:val="0"/>
        <w:autoSpaceDN w:val="0"/>
        <w:adjustRightInd w:val="0"/>
        <w:jc w:val="center"/>
        <w:rPr>
          <w:rFonts w:eastAsia="MS PGothic"/>
          <w:bCs/>
          <w:color w:val="000000" w:themeColor="text1"/>
          <w:kern w:val="24"/>
          <w:sz w:val="22"/>
          <w:szCs w:val="22"/>
          <w:lang w:val="pt-BR"/>
        </w:rPr>
      </w:pPr>
      <w:r w:rsidRPr="00D174BB">
        <w:rPr>
          <w:rFonts w:eastAsia="MS PGothic"/>
          <w:bCs/>
          <w:color w:val="000000" w:themeColor="text1"/>
          <w:kern w:val="24"/>
          <w:sz w:val="22"/>
          <w:szCs w:val="22"/>
          <w:lang w:val="pt-BR"/>
        </w:rPr>
        <w:t>(Aprovado pelo CIDI na reunião realizada em 28 de maio de 2020)</w:t>
      </w:r>
    </w:p>
    <w:p w:rsidR="00D85AEE" w:rsidRPr="00D174BB" w:rsidRDefault="00D85AEE" w:rsidP="002A41AB">
      <w:pPr>
        <w:autoSpaceDE w:val="0"/>
        <w:autoSpaceDN w:val="0"/>
        <w:adjustRightInd w:val="0"/>
        <w:rPr>
          <w:rFonts w:eastAsia="MS PGothic"/>
          <w:b/>
          <w:bCs/>
          <w:color w:val="000000" w:themeColor="text1"/>
          <w:kern w:val="24"/>
          <w:sz w:val="22"/>
          <w:szCs w:val="22"/>
          <w:lang w:val="pt-BR"/>
        </w:rPr>
      </w:pPr>
    </w:p>
    <w:p w:rsidR="00910C92" w:rsidRPr="00D174BB" w:rsidRDefault="00910C92" w:rsidP="00910C92">
      <w:pPr>
        <w:autoSpaceDE w:val="0"/>
        <w:autoSpaceDN w:val="0"/>
        <w:adjustRightInd w:val="0"/>
        <w:rPr>
          <w:rFonts w:eastAsia="MS PGothic"/>
          <w:b/>
          <w:bCs/>
          <w:color w:val="000000" w:themeColor="text1"/>
          <w:kern w:val="24"/>
          <w:sz w:val="22"/>
          <w:szCs w:val="22"/>
          <w:lang w:val="pt-BR"/>
        </w:rPr>
      </w:pPr>
    </w:p>
    <w:p w:rsidR="00910C92" w:rsidRPr="00D174BB" w:rsidRDefault="00910C92" w:rsidP="00910C92">
      <w:pPr>
        <w:jc w:val="both"/>
        <w:rPr>
          <w:b/>
          <w:bCs/>
          <w:color w:val="000000" w:themeColor="text1"/>
          <w:sz w:val="22"/>
          <w:szCs w:val="22"/>
          <w:lang w:val="pt-BR"/>
        </w:rPr>
      </w:pPr>
      <w:r w:rsidRPr="00D174BB">
        <w:rPr>
          <w:b/>
          <w:bCs/>
          <w:color w:val="000000" w:themeColor="text1"/>
          <w:sz w:val="22"/>
          <w:szCs w:val="22"/>
          <w:lang w:val="pt-BR"/>
        </w:rPr>
        <w:t xml:space="preserve">INTRODUÇÃO </w:t>
      </w:r>
    </w:p>
    <w:p w:rsidR="00910C92" w:rsidRPr="00D174BB" w:rsidRDefault="00910C92" w:rsidP="00910C92">
      <w:pPr>
        <w:jc w:val="both"/>
        <w:rPr>
          <w:b/>
          <w:bCs/>
          <w:color w:val="000000" w:themeColor="text1"/>
          <w:sz w:val="22"/>
          <w:szCs w:val="22"/>
          <w:lang w:val="pt-BR"/>
        </w:rPr>
      </w:pPr>
    </w:p>
    <w:p w:rsidR="00910C92" w:rsidRPr="00D174BB" w:rsidRDefault="00910C92" w:rsidP="00910C92">
      <w:pPr>
        <w:ind w:firstLine="720"/>
        <w:jc w:val="both"/>
        <w:rPr>
          <w:color w:val="000000" w:themeColor="text1"/>
          <w:sz w:val="22"/>
          <w:szCs w:val="22"/>
          <w:lang w:val="pt-BR"/>
        </w:rPr>
      </w:pPr>
      <w:r w:rsidRPr="00D174BB">
        <w:rPr>
          <w:color w:val="000000" w:themeColor="text1"/>
          <w:sz w:val="22"/>
          <w:szCs w:val="22"/>
          <w:lang w:val="pt-BR"/>
        </w:rPr>
        <w:t>Este document</w:t>
      </w:r>
      <w:r w:rsidR="00D85AEE" w:rsidRPr="00D174BB">
        <w:rPr>
          <w:color w:val="000000" w:themeColor="text1"/>
          <w:sz w:val="22"/>
          <w:szCs w:val="22"/>
          <w:lang w:val="pt-BR"/>
        </w:rPr>
        <w:t>o</w:t>
      </w:r>
      <w:r w:rsidRPr="00D174BB">
        <w:rPr>
          <w:color w:val="000000" w:themeColor="text1"/>
          <w:sz w:val="22"/>
          <w:szCs w:val="22"/>
          <w:lang w:val="pt-BR"/>
        </w:rPr>
        <w:t xml:space="preserve"> foi preparado pela Secretaria em atendimento à solicitação dos Estados membros para que fosse apresentado um Plano de Trabalho 2020 atualizado da </w:t>
      </w:r>
      <w:r w:rsidR="00D85AEE" w:rsidRPr="00D174BB">
        <w:rPr>
          <w:color w:val="000000" w:themeColor="text1"/>
          <w:sz w:val="22"/>
          <w:szCs w:val="22"/>
          <w:lang w:val="pt-BR"/>
        </w:rPr>
        <w:t>Secretaria Executiva de Desenvolvimento Integral (</w:t>
      </w:r>
      <w:r w:rsidRPr="00D174BB">
        <w:rPr>
          <w:color w:val="000000" w:themeColor="text1"/>
          <w:sz w:val="22"/>
          <w:szCs w:val="22"/>
          <w:lang w:val="pt-BR"/>
        </w:rPr>
        <w:t>SEDI</w:t>
      </w:r>
      <w:r w:rsidR="00D85AEE" w:rsidRPr="00D174BB">
        <w:rPr>
          <w:color w:val="000000" w:themeColor="text1"/>
          <w:sz w:val="22"/>
          <w:szCs w:val="22"/>
          <w:lang w:val="pt-BR"/>
        </w:rPr>
        <w:t>)</w:t>
      </w:r>
      <w:r w:rsidRPr="00D174BB">
        <w:rPr>
          <w:color w:val="000000" w:themeColor="text1"/>
          <w:sz w:val="22"/>
          <w:szCs w:val="22"/>
          <w:lang w:val="pt-BR"/>
        </w:rPr>
        <w:t xml:space="preserve">, incluindo os passos dados e as medidas tomadas para abordar a crise sanitária, econômica e social provocada pela pandemia de </w:t>
      </w:r>
      <w:r w:rsidR="002579BC" w:rsidRPr="00D174BB">
        <w:rPr>
          <w:color w:val="000000" w:themeColor="text1"/>
          <w:sz w:val="22"/>
          <w:szCs w:val="22"/>
          <w:lang w:val="pt-BR"/>
        </w:rPr>
        <w:t>covid</w:t>
      </w:r>
      <w:r w:rsidRPr="00D174BB">
        <w:rPr>
          <w:color w:val="000000" w:themeColor="text1"/>
          <w:sz w:val="22"/>
          <w:szCs w:val="22"/>
          <w:lang w:val="pt-BR"/>
        </w:rPr>
        <w:t>-19 e a ela se ajustar.</w:t>
      </w:r>
    </w:p>
    <w:p w:rsidR="00910C92" w:rsidRPr="00D174BB" w:rsidRDefault="00910C92" w:rsidP="00910C92">
      <w:pPr>
        <w:jc w:val="both"/>
        <w:rPr>
          <w:color w:val="000000" w:themeColor="text1"/>
          <w:sz w:val="22"/>
          <w:szCs w:val="22"/>
          <w:lang w:val="pt-BR"/>
        </w:rPr>
      </w:pPr>
    </w:p>
    <w:p w:rsidR="00910C92" w:rsidRPr="00D174BB" w:rsidRDefault="00910C92" w:rsidP="00910C92">
      <w:pPr>
        <w:ind w:firstLine="720"/>
        <w:jc w:val="both"/>
        <w:rPr>
          <w:color w:val="000000" w:themeColor="text1"/>
          <w:sz w:val="22"/>
          <w:szCs w:val="22"/>
          <w:lang w:val="pt-BR"/>
        </w:rPr>
      </w:pPr>
      <w:r w:rsidRPr="00D174BB">
        <w:rPr>
          <w:color w:val="000000" w:themeColor="text1"/>
          <w:sz w:val="22"/>
          <w:szCs w:val="22"/>
          <w:lang w:val="pt-BR"/>
        </w:rPr>
        <w:t>As iniciativas conduzidas pela OEA/SEDI destinam</w:t>
      </w:r>
      <w:r w:rsidR="00D85AEE" w:rsidRPr="00D174BB">
        <w:rPr>
          <w:color w:val="000000" w:themeColor="text1"/>
          <w:sz w:val="22"/>
          <w:szCs w:val="22"/>
          <w:lang w:val="pt-BR"/>
        </w:rPr>
        <w:t>-se</w:t>
      </w:r>
      <w:r w:rsidRPr="00D174BB">
        <w:rPr>
          <w:color w:val="000000" w:themeColor="text1"/>
          <w:sz w:val="22"/>
          <w:szCs w:val="22"/>
          <w:lang w:val="pt-BR"/>
        </w:rPr>
        <w:t xml:space="preserve"> a colocar em prática seu plano de impulsionar a capacidade institucional, humana e técnica das Américas, mediante parcerias multissetoriais e cooperação para o desenvolvimento sustentável. Conforme os Estados membros estabeleceram no Plano Estratégico da OEA, a SEDI concentra todos os seus esforços em cinco áreas de ação. </w:t>
      </w:r>
    </w:p>
    <w:p w:rsidR="00910C92" w:rsidRPr="00D174BB" w:rsidRDefault="00910C92" w:rsidP="00910C92">
      <w:pPr>
        <w:jc w:val="both"/>
        <w:rPr>
          <w:color w:val="000000" w:themeColor="text1"/>
          <w:sz w:val="22"/>
          <w:szCs w:val="22"/>
          <w:lang w:val="pt-BR"/>
        </w:rPr>
      </w:pPr>
    </w:p>
    <w:p w:rsidR="00910C92" w:rsidRPr="00D174BB" w:rsidRDefault="00910C92" w:rsidP="00910C92">
      <w:pPr>
        <w:rPr>
          <w:b/>
          <w:bCs/>
          <w:color w:val="000000" w:themeColor="text1"/>
          <w:sz w:val="22"/>
          <w:szCs w:val="22"/>
          <w:lang w:val="pt-BR"/>
        </w:rPr>
      </w:pPr>
      <w:r w:rsidRPr="00D174BB">
        <w:rPr>
          <w:b/>
          <w:bCs/>
          <w:color w:val="000000" w:themeColor="text1"/>
          <w:sz w:val="22"/>
          <w:szCs w:val="22"/>
          <w:lang w:val="pt-BR"/>
        </w:rPr>
        <w:t>Áreas de ação</w:t>
      </w:r>
    </w:p>
    <w:p w:rsidR="00910C92" w:rsidRPr="00D174BB" w:rsidRDefault="00910C92" w:rsidP="00910C92">
      <w:pPr>
        <w:rPr>
          <w:b/>
          <w:bCs/>
          <w:color w:val="000000" w:themeColor="text1"/>
          <w:sz w:val="22"/>
          <w:szCs w:val="22"/>
          <w:lang w:val="pt-BR"/>
        </w:rPr>
      </w:pPr>
    </w:p>
    <w:p w:rsidR="00910C92" w:rsidRPr="00D174BB" w:rsidRDefault="00910C92" w:rsidP="00910C92">
      <w:pPr>
        <w:pStyle w:val="ListParagraph"/>
        <w:numPr>
          <w:ilvl w:val="0"/>
          <w:numId w:val="6"/>
        </w:numPr>
        <w:ind w:left="1440" w:hanging="720"/>
        <w:contextualSpacing/>
        <w:jc w:val="both"/>
        <w:rPr>
          <w:color w:val="000000" w:themeColor="text1"/>
          <w:sz w:val="22"/>
          <w:szCs w:val="22"/>
          <w:lang w:val="pt-BR"/>
        </w:rPr>
      </w:pPr>
      <w:r w:rsidRPr="00D174BB">
        <w:rPr>
          <w:rFonts w:eastAsia="MS PGothic"/>
          <w:b/>
          <w:bCs/>
          <w:color w:val="000000" w:themeColor="text1"/>
          <w:sz w:val="22"/>
          <w:szCs w:val="22"/>
          <w:lang w:val="pt-BR"/>
        </w:rPr>
        <w:t>Promover economias inclusivas e competitivas:</w:t>
      </w:r>
      <w:r w:rsidRPr="00D174BB">
        <w:rPr>
          <w:rFonts w:eastAsia="MS PGothic"/>
          <w:color w:val="000000" w:themeColor="text1"/>
          <w:sz w:val="22"/>
          <w:szCs w:val="22"/>
          <w:lang w:val="pt-BR"/>
        </w:rPr>
        <w:t xml:space="preserve"> apoiar o crescimento econômico, a competitividade, a produtividade e a inovação, com ênfase nas </w:t>
      </w:r>
      <w:r w:rsidR="00D85AEE" w:rsidRPr="00D174BB">
        <w:rPr>
          <w:rFonts w:eastAsia="MS PGothic"/>
          <w:color w:val="000000" w:themeColor="text1"/>
          <w:sz w:val="22"/>
          <w:szCs w:val="22"/>
          <w:lang w:val="pt-BR"/>
        </w:rPr>
        <w:t>M</w:t>
      </w:r>
      <w:r w:rsidRPr="00D174BB">
        <w:rPr>
          <w:rFonts w:eastAsia="MS PGothic"/>
          <w:color w:val="000000" w:themeColor="text1"/>
          <w:sz w:val="22"/>
          <w:szCs w:val="22"/>
          <w:lang w:val="pt-BR"/>
        </w:rPr>
        <w:t xml:space="preserve">PMEs. </w:t>
      </w:r>
    </w:p>
    <w:p w:rsidR="00910C92" w:rsidRPr="00D174BB" w:rsidRDefault="00910C92" w:rsidP="00910C92">
      <w:pPr>
        <w:pStyle w:val="ListParagraph"/>
        <w:numPr>
          <w:ilvl w:val="0"/>
          <w:numId w:val="6"/>
        </w:numPr>
        <w:ind w:left="1440" w:hanging="720"/>
        <w:contextualSpacing/>
        <w:jc w:val="both"/>
        <w:rPr>
          <w:color w:val="000000" w:themeColor="text1"/>
          <w:sz w:val="22"/>
          <w:szCs w:val="22"/>
          <w:lang w:val="pt-BR"/>
        </w:rPr>
      </w:pPr>
      <w:r w:rsidRPr="00D174BB">
        <w:rPr>
          <w:rFonts w:eastAsia="MS PGothic"/>
          <w:b/>
          <w:bCs/>
          <w:color w:val="000000" w:themeColor="text1"/>
          <w:sz w:val="22"/>
          <w:szCs w:val="22"/>
          <w:lang w:val="pt-BR"/>
        </w:rPr>
        <w:t>Promover o desenvolvimento sustentável e o meio ambiente:</w:t>
      </w:r>
      <w:r w:rsidRPr="00D174BB">
        <w:rPr>
          <w:rFonts w:eastAsia="MS PGothic"/>
          <w:color w:val="000000" w:themeColor="text1"/>
          <w:sz w:val="22"/>
          <w:szCs w:val="22"/>
          <w:lang w:val="pt-BR"/>
        </w:rPr>
        <w:t xml:space="preserve"> construir sustentabilidade e resiliência nas Américas. </w:t>
      </w:r>
    </w:p>
    <w:p w:rsidR="00910C92" w:rsidRPr="00D174BB" w:rsidRDefault="00910C92" w:rsidP="00910C92">
      <w:pPr>
        <w:pStyle w:val="ListParagraph"/>
        <w:numPr>
          <w:ilvl w:val="0"/>
          <w:numId w:val="6"/>
        </w:numPr>
        <w:ind w:left="1440" w:hanging="720"/>
        <w:contextualSpacing/>
        <w:jc w:val="both"/>
        <w:rPr>
          <w:color w:val="000000" w:themeColor="text1"/>
          <w:sz w:val="22"/>
          <w:szCs w:val="22"/>
          <w:lang w:val="pt-BR"/>
        </w:rPr>
      </w:pPr>
      <w:r w:rsidRPr="00D174BB">
        <w:rPr>
          <w:rFonts w:eastAsia="MS PGothic"/>
          <w:b/>
          <w:bCs/>
          <w:color w:val="000000" w:themeColor="text1"/>
          <w:sz w:val="22"/>
          <w:szCs w:val="22"/>
          <w:lang w:val="pt-BR"/>
        </w:rPr>
        <w:t>Promover a educação e o desenvolvimento humano nas Américas:</w:t>
      </w:r>
      <w:r w:rsidRPr="00D174BB">
        <w:rPr>
          <w:rFonts w:eastAsia="MS PGothic"/>
          <w:color w:val="000000" w:themeColor="text1"/>
          <w:sz w:val="22"/>
          <w:szCs w:val="22"/>
          <w:lang w:val="pt-BR"/>
        </w:rPr>
        <w:t xml:space="preserve"> reduzir a pobreza, a desigualdade e a exclusão, mediante o aumento do acesso a educação de qualidade e a trabalho decente.</w:t>
      </w:r>
    </w:p>
    <w:p w:rsidR="00910C92" w:rsidRPr="00D174BB" w:rsidRDefault="00910C92" w:rsidP="00910C92">
      <w:pPr>
        <w:pStyle w:val="ListParagraph"/>
        <w:numPr>
          <w:ilvl w:val="0"/>
          <w:numId w:val="6"/>
        </w:numPr>
        <w:ind w:left="1440" w:hanging="720"/>
        <w:contextualSpacing/>
        <w:jc w:val="both"/>
        <w:rPr>
          <w:color w:val="000000" w:themeColor="text1"/>
          <w:sz w:val="22"/>
          <w:szCs w:val="22"/>
          <w:lang w:val="pt-BR"/>
        </w:rPr>
      </w:pPr>
      <w:r w:rsidRPr="00D174BB">
        <w:rPr>
          <w:rFonts w:eastAsia="MS PGothic"/>
          <w:b/>
          <w:bCs/>
          <w:color w:val="000000" w:themeColor="text1"/>
          <w:sz w:val="22"/>
          <w:szCs w:val="22"/>
          <w:lang w:val="pt-BR"/>
        </w:rPr>
        <w:t>Promover trabalho decente, digno e produtivo para todos:</w:t>
      </w:r>
      <w:r w:rsidRPr="00D174BB">
        <w:rPr>
          <w:rFonts w:eastAsia="MS PGothic"/>
          <w:color w:val="000000" w:themeColor="text1"/>
          <w:sz w:val="22"/>
          <w:szCs w:val="22"/>
          <w:lang w:val="pt-BR"/>
        </w:rPr>
        <w:t xml:space="preserve"> fortalecer a administração do trabalho nas Américas. </w:t>
      </w:r>
    </w:p>
    <w:p w:rsidR="00910C92" w:rsidRPr="00D174BB" w:rsidRDefault="00910C92" w:rsidP="00910C92">
      <w:pPr>
        <w:pStyle w:val="ListParagraph"/>
        <w:numPr>
          <w:ilvl w:val="0"/>
          <w:numId w:val="6"/>
        </w:numPr>
        <w:ind w:left="1440" w:hanging="720"/>
        <w:contextualSpacing/>
        <w:jc w:val="both"/>
        <w:rPr>
          <w:b/>
          <w:bCs/>
          <w:color w:val="000000" w:themeColor="text1"/>
          <w:sz w:val="22"/>
          <w:szCs w:val="22"/>
          <w:lang w:val="pt-BR"/>
        </w:rPr>
      </w:pPr>
      <w:r w:rsidRPr="00D174BB">
        <w:rPr>
          <w:rFonts w:eastAsia="MS PGothic"/>
          <w:b/>
          <w:bCs/>
          <w:color w:val="000000" w:themeColor="text1"/>
          <w:sz w:val="22"/>
          <w:szCs w:val="22"/>
          <w:lang w:val="pt-BR"/>
        </w:rPr>
        <w:t>Promover a cooperação para o desenvolvimento e estabelecer parcerias</w:t>
      </w:r>
      <w:r w:rsidRPr="00D174BB">
        <w:rPr>
          <w:rFonts w:eastAsia="MS PGothic"/>
          <w:bCs/>
          <w:color w:val="000000" w:themeColor="text1"/>
          <w:sz w:val="22"/>
          <w:szCs w:val="22"/>
          <w:lang w:val="pt-BR"/>
        </w:rPr>
        <w:t>.</w:t>
      </w:r>
      <w:r w:rsidRPr="00D174BB">
        <w:rPr>
          <w:rFonts w:eastAsia="MS PGothic"/>
          <w:b/>
          <w:bCs/>
          <w:color w:val="000000" w:themeColor="text1"/>
          <w:sz w:val="22"/>
          <w:szCs w:val="22"/>
          <w:lang w:val="pt-BR"/>
        </w:rPr>
        <w:t xml:space="preserve"> </w:t>
      </w:r>
    </w:p>
    <w:p w:rsidR="00910C92" w:rsidRPr="00D174BB" w:rsidRDefault="00910C92" w:rsidP="00910C92">
      <w:pPr>
        <w:rPr>
          <w:b/>
          <w:bCs/>
          <w:color w:val="000000" w:themeColor="text1"/>
          <w:sz w:val="22"/>
          <w:szCs w:val="22"/>
          <w:lang w:val="pt-BR"/>
        </w:rPr>
      </w:pPr>
    </w:p>
    <w:p w:rsidR="00910C92" w:rsidRPr="00D174BB" w:rsidRDefault="00910C92" w:rsidP="00910C92">
      <w:pPr>
        <w:rPr>
          <w:b/>
          <w:bCs/>
          <w:color w:val="000000" w:themeColor="text1"/>
          <w:sz w:val="22"/>
          <w:szCs w:val="22"/>
          <w:lang w:val="pt-BR"/>
        </w:rPr>
      </w:pPr>
      <w:r w:rsidRPr="00D174BB">
        <w:rPr>
          <w:b/>
          <w:bCs/>
          <w:color w:val="000000" w:themeColor="text1"/>
          <w:sz w:val="22"/>
          <w:szCs w:val="22"/>
          <w:lang w:val="pt-BR"/>
        </w:rPr>
        <w:t xml:space="preserve">Enfoque comum </w:t>
      </w:r>
    </w:p>
    <w:p w:rsidR="00910C92" w:rsidRPr="00D174BB" w:rsidRDefault="00910C92" w:rsidP="00910C92">
      <w:pPr>
        <w:rPr>
          <w:b/>
          <w:bCs/>
          <w:color w:val="000000" w:themeColor="text1"/>
          <w:sz w:val="22"/>
          <w:szCs w:val="22"/>
          <w:lang w:val="pt-BR"/>
        </w:rPr>
      </w:pPr>
    </w:p>
    <w:p w:rsidR="00910C92" w:rsidRPr="00D174BB" w:rsidRDefault="00910C92" w:rsidP="00910C92">
      <w:pPr>
        <w:ind w:firstLine="720"/>
        <w:jc w:val="both"/>
        <w:rPr>
          <w:b/>
          <w:bCs/>
          <w:color w:val="000000" w:themeColor="text1"/>
          <w:sz w:val="22"/>
          <w:szCs w:val="22"/>
          <w:lang w:val="pt-BR"/>
        </w:rPr>
      </w:pPr>
      <w:r w:rsidRPr="00D174BB">
        <w:rPr>
          <w:color w:val="000000" w:themeColor="text1"/>
          <w:sz w:val="22"/>
          <w:szCs w:val="22"/>
          <w:lang w:val="pt-BR"/>
        </w:rPr>
        <w:t xml:space="preserve">A Secretaria faz isso mediante a adoção de um enfoque comum em todas as suas áreas de trabalho, que se vale das virtudes organizacionais e do valor oferecido aos Estados membros: </w:t>
      </w:r>
    </w:p>
    <w:p w:rsidR="00910C92" w:rsidRPr="00D174BB" w:rsidRDefault="00910C92" w:rsidP="00910C92">
      <w:pPr>
        <w:rPr>
          <w:color w:val="000000" w:themeColor="text1"/>
          <w:sz w:val="22"/>
          <w:szCs w:val="22"/>
          <w:lang w:val="pt-BR"/>
        </w:rPr>
      </w:pPr>
    </w:p>
    <w:p w:rsidR="00910C92" w:rsidRPr="00D174BB" w:rsidRDefault="00910C92" w:rsidP="00910C92">
      <w:pPr>
        <w:pStyle w:val="ListParagraph"/>
        <w:numPr>
          <w:ilvl w:val="0"/>
          <w:numId w:val="7"/>
        </w:numPr>
        <w:ind w:left="1440" w:hanging="720"/>
        <w:contextualSpacing/>
        <w:rPr>
          <w:color w:val="000000" w:themeColor="text1"/>
          <w:sz w:val="22"/>
          <w:szCs w:val="22"/>
          <w:lang w:val="pt-BR"/>
        </w:rPr>
      </w:pPr>
      <w:r w:rsidRPr="00D174BB">
        <w:rPr>
          <w:b/>
          <w:bCs/>
          <w:color w:val="000000" w:themeColor="text1"/>
          <w:sz w:val="22"/>
          <w:szCs w:val="22"/>
          <w:lang w:val="pt-BR"/>
        </w:rPr>
        <w:t xml:space="preserve">diálogo de política </w:t>
      </w:r>
      <w:r w:rsidRPr="00D174BB">
        <w:rPr>
          <w:color w:val="000000" w:themeColor="text1"/>
          <w:sz w:val="22"/>
          <w:szCs w:val="22"/>
          <w:lang w:val="pt-BR"/>
        </w:rPr>
        <w:t>para entender os desafios comuns e definir soluções;</w:t>
      </w:r>
    </w:p>
    <w:p w:rsidR="00910C92" w:rsidRPr="00D174BB" w:rsidRDefault="00910C92" w:rsidP="00910C92">
      <w:pPr>
        <w:pStyle w:val="ListParagraph"/>
        <w:numPr>
          <w:ilvl w:val="0"/>
          <w:numId w:val="7"/>
        </w:numPr>
        <w:ind w:left="1440" w:hanging="720"/>
        <w:contextualSpacing/>
        <w:rPr>
          <w:color w:val="000000" w:themeColor="text1"/>
          <w:sz w:val="22"/>
          <w:szCs w:val="22"/>
          <w:lang w:val="pt-BR"/>
        </w:rPr>
      </w:pPr>
      <w:r w:rsidRPr="00D174BB">
        <w:rPr>
          <w:b/>
          <w:bCs/>
          <w:color w:val="000000" w:themeColor="text1"/>
          <w:sz w:val="22"/>
          <w:szCs w:val="22"/>
          <w:lang w:val="pt-BR"/>
        </w:rPr>
        <w:t xml:space="preserve">cooperação </w:t>
      </w:r>
      <w:r w:rsidRPr="00D174BB">
        <w:rPr>
          <w:color w:val="000000" w:themeColor="text1"/>
          <w:sz w:val="22"/>
          <w:szCs w:val="22"/>
          <w:lang w:val="pt-BR"/>
        </w:rPr>
        <w:t>e intercâmbio de conhecimentos para fazer uso do que funcionou e acelerar o desenvolvimento;</w:t>
      </w:r>
    </w:p>
    <w:p w:rsidR="00910C92" w:rsidRPr="00D174BB" w:rsidRDefault="00910C92" w:rsidP="00910C92">
      <w:pPr>
        <w:pStyle w:val="ListParagraph"/>
        <w:numPr>
          <w:ilvl w:val="0"/>
          <w:numId w:val="7"/>
        </w:numPr>
        <w:ind w:left="1440" w:hanging="720"/>
        <w:contextualSpacing/>
        <w:rPr>
          <w:color w:val="000000" w:themeColor="text1"/>
          <w:sz w:val="22"/>
          <w:szCs w:val="22"/>
          <w:lang w:val="pt-BR"/>
        </w:rPr>
      </w:pPr>
      <w:r w:rsidRPr="00D174BB">
        <w:rPr>
          <w:b/>
          <w:bCs/>
          <w:color w:val="000000" w:themeColor="text1"/>
          <w:sz w:val="22"/>
          <w:szCs w:val="22"/>
          <w:lang w:val="pt-BR"/>
        </w:rPr>
        <w:t xml:space="preserve">parcerias </w:t>
      </w:r>
      <w:r w:rsidRPr="00D174BB">
        <w:rPr>
          <w:color w:val="000000" w:themeColor="text1"/>
          <w:sz w:val="22"/>
          <w:szCs w:val="22"/>
          <w:lang w:val="pt-BR"/>
        </w:rPr>
        <w:t>para impulsionar a ação coletiva, recorrendo às principais competências.</w:t>
      </w:r>
    </w:p>
    <w:p w:rsidR="00910C92" w:rsidRPr="00D174BB" w:rsidRDefault="00910C92" w:rsidP="00910C92">
      <w:pPr>
        <w:jc w:val="both"/>
        <w:rPr>
          <w:color w:val="000000" w:themeColor="text1"/>
          <w:sz w:val="22"/>
          <w:szCs w:val="22"/>
          <w:lang w:val="pt-BR"/>
        </w:rPr>
      </w:pPr>
    </w:p>
    <w:p w:rsidR="00910C92" w:rsidRPr="00D174BB" w:rsidRDefault="00910C92" w:rsidP="00910C92">
      <w:pPr>
        <w:ind w:firstLine="720"/>
        <w:jc w:val="both"/>
        <w:rPr>
          <w:color w:val="000000" w:themeColor="text1"/>
          <w:sz w:val="22"/>
          <w:szCs w:val="22"/>
          <w:lang w:val="pt-BR"/>
        </w:rPr>
      </w:pPr>
      <w:r w:rsidRPr="00D174BB">
        <w:rPr>
          <w:color w:val="000000" w:themeColor="text1"/>
          <w:sz w:val="22"/>
          <w:szCs w:val="22"/>
          <w:lang w:val="pt-BR"/>
        </w:rPr>
        <w:t xml:space="preserve">No final de 2019, a SEDI se empenhou em formular um foco programático central, intitulado </w:t>
      </w:r>
      <w:r w:rsidRPr="00D174BB">
        <w:rPr>
          <w:i/>
          <w:iCs/>
          <w:color w:val="000000" w:themeColor="text1"/>
          <w:sz w:val="22"/>
          <w:szCs w:val="22"/>
          <w:lang w:val="pt-BR"/>
        </w:rPr>
        <w:t>“Um enfoque integrado para a construção de resiliência e competitividade nas Américas”</w:t>
      </w:r>
      <w:r w:rsidRPr="00D174BB">
        <w:rPr>
          <w:color w:val="000000" w:themeColor="text1"/>
          <w:sz w:val="22"/>
          <w:szCs w:val="22"/>
          <w:lang w:val="pt-BR"/>
        </w:rPr>
        <w:t xml:space="preserve">. O foco programático foi construído como meta transversal ampla para todas as áreas da SEDI, à medida que trabalhamos em direção à meta coerente de </w:t>
      </w:r>
      <w:r w:rsidRPr="00D174BB">
        <w:rPr>
          <w:b/>
          <w:bCs/>
          <w:color w:val="000000" w:themeColor="text1"/>
          <w:sz w:val="22"/>
          <w:szCs w:val="22"/>
          <w:lang w:val="pt-BR"/>
        </w:rPr>
        <w:t xml:space="preserve">construir resiliência </w:t>
      </w:r>
      <w:r w:rsidRPr="00D174BB">
        <w:rPr>
          <w:color w:val="000000" w:themeColor="text1"/>
          <w:sz w:val="22"/>
          <w:szCs w:val="22"/>
          <w:lang w:val="pt-BR"/>
        </w:rPr>
        <w:t xml:space="preserve">e </w:t>
      </w:r>
      <w:r w:rsidRPr="00D174BB">
        <w:rPr>
          <w:b/>
          <w:bCs/>
          <w:color w:val="000000" w:themeColor="text1"/>
          <w:sz w:val="22"/>
          <w:szCs w:val="22"/>
          <w:lang w:val="pt-BR"/>
        </w:rPr>
        <w:t>estimular a competividade</w:t>
      </w:r>
      <w:r w:rsidRPr="00D174BB">
        <w:rPr>
          <w:bCs/>
          <w:color w:val="000000" w:themeColor="text1"/>
          <w:sz w:val="22"/>
          <w:szCs w:val="22"/>
          <w:lang w:val="pt-BR"/>
        </w:rPr>
        <w:t>,</w:t>
      </w:r>
      <w:r w:rsidRPr="00D174BB">
        <w:rPr>
          <w:b/>
          <w:bCs/>
          <w:color w:val="000000" w:themeColor="text1"/>
          <w:sz w:val="22"/>
          <w:szCs w:val="22"/>
          <w:lang w:val="pt-BR"/>
        </w:rPr>
        <w:t xml:space="preserve"> </w:t>
      </w:r>
      <w:r w:rsidRPr="00D174BB">
        <w:rPr>
          <w:color w:val="000000" w:themeColor="text1"/>
          <w:sz w:val="22"/>
          <w:szCs w:val="22"/>
          <w:lang w:val="pt-BR"/>
        </w:rPr>
        <w:t xml:space="preserve">mediante a implementação das áreas designadas de ação do Plano Estratégico da OEA. </w:t>
      </w:r>
    </w:p>
    <w:p w:rsidR="00910C92" w:rsidRPr="00D174BB" w:rsidRDefault="00910C92" w:rsidP="00910C92">
      <w:pPr>
        <w:rPr>
          <w:color w:val="000000" w:themeColor="text1"/>
          <w:sz w:val="22"/>
          <w:szCs w:val="22"/>
          <w:lang w:val="pt-BR"/>
        </w:rPr>
      </w:pPr>
    </w:p>
    <w:p w:rsidR="00E411BC" w:rsidRPr="00D174BB" w:rsidRDefault="00E411BC">
      <w:pPr>
        <w:rPr>
          <w:b/>
          <w:bCs/>
          <w:color w:val="000000" w:themeColor="text1"/>
          <w:sz w:val="22"/>
          <w:szCs w:val="22"/>
          <w:lang w:val="pt-BR"/>
        </w:rPr>
      </w:pPr>
      <w:r w:rsidRPr="00D174BB">
        <w:rPr>
          <w:b/>
          <w:bCs/>
          <w:color w:val="000000" w:themeColor="text1"/>
          <w:sz w:val="22"/>
          <w:szCs w:val="22"/>
          <w:lang w:val="pt-BR"/>
        </w:rPr>
        <w:br w:type="page"/>
      </w:r>
    </w:p>
    <w:p w:rsidR="00910C92" w:rsidRPr="00D174BB" w:rsidRDefault="00910C92" w:rsidP="00910C92">
      <w:pPr>
        <w:ind w:firstLine="720"/>
        <w:rPr>
          <w:b/>
          <w:bCs/>
          <w:color w:val="000000" w:themeColor="text1"/>
          <w:sz w:val="22"/>
          <w:szCs w:val="22"/>
          <w:lang w:val="pt-BR"/>
        </w:rPr>
      </w:pPr>
      <w:r w:rsidRPr="00D174BB">
        <w:rPr>
          <w:b/>
          <w:bCs/>
          <w:color w:val="000000" w:themeColor="text1"/>
          <w:sz w:val="22"/>
          <w:szCs w:val="22"/>
          <w:lang w:val="pt-BR"/>
        </w:rPr>
        <w:lastRenderedPageBreak/>
        <w:t xml:space="preserve">Assistência aos Estados membros na resposta à pandemia de </w:t>
      </w:r>
      <w:r w:rsidR="002579BC" w:rsidRPr="00D174BB">
        <w:rPr>
          <w:b/>
          <w:bCs/>
          <w:color w:val="000000" w:themeColor="text1"/>
          <w:sz w:val="22"/>
          <w:szCs w:val="22"/>
          <w:lang w:val="pt-BR"/>
        </w:rPr>
        <w:t>covid</w:t>
      </w:r>
      <w:r w:rsidRPr="00D174BB">
        <w:rPr>
          <w:b/>
          <w:bCs/>
          <w:color w:val="000000" w:themeColor="text1"/>
          <w:sz w:val="22"/>
          <w:szCs w:val="22"/>
          <w:lang w:val="pt-BR"/>
        </w:rPr>
        <w:t xml:space="preserve">-19 </w:t>
      </w:r>
    </w:p>
    <w:p w:rsidR="00910C92" w:rsidRPr="00D174BB" w:rsidRDefault="00910C92" w:rsidP="00910C92">
      <w:pPr>
        <w:rPr>
          <w:color w:val="000000" w:themeColor="text1"/>
          <w:sz w:val="22"/>
          <w:szCs w:val="22"/>
          <w:lang w:val="pt-BR"/>
        </w:rPr>
      </w:pPr>
    </w:p>
    <w:p w:rsidR="00910C92" w:rsidRPr="00D174BB" w:rsidRDefault="00910C92" w:rsidP="00910C92">
      <w:pPr>
        <w:ind w:firstLine="720"/>
        <w:jc w:val="both"/>
        <w:rPr>
          <w:color w:val="000000" w:themeColor="text1"/>
          <w:sz w:val="22"/>
          <w:szCs w:val="22"/>
          <w:lang w:val="pt-BR"/>
        </w:rPr>
      </w:pPr>
      <w:r w:rsidRPr="00D174BB">
        <w:rPr>
          <w:color w:val="000000" w:themeColor="text1"/>
          <w:sz w:val="22"/>
          <w:szCs w:val="22"/>
          <w:lang w:val="pt-BR"/>
        </w:rPr>
        <w:t>A OEA/SEDI compromete</w:t>
      </w:r>
      <w:r w:rsidR="00D85AEE" w:rsidRPr="00D174BB">
        <w:rPr>
          <w:color w:val="000000" w:themeColor="text1"/>
          <w:sz w:val="22"/>
          <w:szCs w:val="22"/>
          <w:lang w:val="pt-BR"/>
        </w:rPr>
        <w:t>-se</w:t>
      </w:r>
      <w:r w:rsidRPr="00D174BB">
        <w:rPr>
          <w:color w:val="000000" w:themeColor="text1"/>
          <w:sz w:val="22"/>
          <w:szCs w:val="22"/>
          <w:lang w:val="pt-BR"/>
        </w:rPr>
        <w:t xml:space="preserve"> a apoiar os esforços dos Estados membros </w:t>
      </w:r>
      <w:r w:rsidR="00A703CF" w:rsidRPr="00D174BB">
        <w:rPr>
          <w:color w:val="000000" w:themeColor="text1"/>
          <w:sz w:val="22"/>
          <w:szCs w:val="22"/>
          <w:lang w:val="pt-BR"/>
        </w:rPr>
        <w:t>para</w:t>
      </w:r>
      <w:r w:rsidRPr="00D174BB">
        <w:rPr>
          <w:color w:val="000000" w:themeColor="text1"/>
          <w:sz w:val="22"/>
          <w:szCs w:val="22"/>
          <w:lang w:val="pt-BR"/>
        </w:rPr>
        <w:t xml:space="preserve"> enfrentar os desafios da pandemia de </w:t>
      </w:r>
      <w:r w:rsidR="002579BC" w:rsidRPr="00D174BB">
        <w:rPr>
          <w:color w:val="000000" w:themeColor="text1"/>
          <w:sz w:val="22"/>
          <w:szCs w:val="22"/>
          <w:lang w:val="pt-BR"/>
        </w:rPr>
        <w:t>covid</w:t>
      </w:r>
      <w:r w:rsidRPr="00D174BB">
        <w:rPr>
          <w:color w:val="000000" w:themeColor="text1"/>
          <w:sz w:val="22"/>
          <w:szCs w:val="22"/>
          <w:lang w:val="pt-BR"/>
        </w:rPr>
        <w:t>-19. Para isso, a Secretaria observou o seguinte enfoque tridimensional:</w:t>
      </w:r>
    </w:p>
    <w:p w:rsidR="00910C92" w:rsidRPr="00D174BB" w:rsidRDefault="00910C92" w:rsidP="00910C92">
      <w:pPr>
        <w:rPr>
          <w:color w:val="000000" w:themeColor="text1"/>
          <w:sz w:val="22"/>
          <w:szCs w:val="22"/>
          <w:lang w:val="pt-BR"/>
        </w:rPr>
      </w:pPr>
    </w:p>
    <w:p w:rsidR="00910C92" w:rsidRPr="00D174BB" w:rsidRDefault="00910C92" w:rsidP="00910C92">
      <w:pPr>
        <w:numPr>
          <w:ilvl w:val="0"/>
          <w:numId w:val="8"/>
        </w:numPr>
        <w:ind w:left="1440" w:hanging="720"/>
        <w:rPr>
          <w:color w:val="000000" w:themeColor="text1"/>
          <w:sz w:val="22"/>
          <w:szCs w:val="22"/>
          <w:lang w:val="pt-BR"/>
        </w:rPr>
      </w:pPr>
      <w:r w:rsidRPr="00D174BB">
        <w:rPr>
          <w:b/>
          <w:bCs/>
          <w:color w:val="000000" w:themeColor="text1"/>
          <w:sz w:val="22"/>
          <w:szCs w:val="22"/>
          <w:lang w:val="pt-BR"/>
        </w:rPr>
        <w:t xml:space="preserve">ajustar o portfólio </w:t>
      </w:r>
      <w:r w:rsidRPr="00D174BB">
        <w:rPr>
          <w:color w:val="000000" w:themeColor="text1"/>
          <w:sz w:val="22"/>
          <w:szCs w:val="22"/>
          <w:lang w:val="pt-BR"/>
        </w:rPr>
        <w:t xml:space="preserve">de projetos existentes para apoiar a resposta dos Estados membros à </w:t>
      </w:r>
      <w:r w:rsidR="002579BC" w:rsidRPr="00D174BB">
        <w:rPr>
          <w:color w:val="000000" w:themeColor="text1"/>
          <w:sz w:val="22"/>
          <w:szCs w:val="22"/>
          <w:lang w:val="pt-BR"/>
        </w:rPr>
        <w:t>covid</w:t>
      </w:r>
      <w:r w:rsidRPr="00D174BB">
        <w:rPr>
          <w:color w:val="000000" w:themeColor="text1"/>
          <w:sz w:val="22"/>
          <w:szCs w:val="22"/>
          <w:lang w:val="pt-BR"/>
        </w:rPr>
        <w:t>-19;</w:t>
      </w:r>
    </w:p>
    <w:p w:rsidR="00910C92" w:rsidRPr="00D174BB" w:rsidRDefault="00910C92" w:rsidP="00910C92">
      <w:pPr>
        <w:numPr>
          <w:ilvl w:val="0"/>
          <w:numId w:val="8"/>
        </w:numPr>
        <w:ind w:left="1440" w:hanging="720"/>
        <w:rPr>
          <w:color w:val="000000" w:themeColor="text1"/>
          <w:sz w:val="22"/>
          <w:szCs w:val="22"/>
          <w:lang w:val="pt-BR"/>
        </w:rPr>
      </w:pPr>
      <w:r w:rsidRPr="00D174BB">
        <w:rPr>
          <w:b/>
          <w:bCs/>
          <w:color w:val="000000" w:themeColor="text1"/>
          <w:sz w:val="22"/>
          <w:szCs w:val="22"/>
          <w:lang w:val="pt-BR"/>
        </w:rPr>
        <w:t xml:space="preserve">explorar novos projetos </w:t>
      </w:r>
      <w:r w:rsidRPr="00D174BB">
        <w:rPr>
          <w:bCs/>
          <w:color w:val="000000" w:themeColor="text1"/>
          <w:sz w:val="22"/>
          <w:szCs w:val="22"/>
          <w:lang w:val="pt-BR"/>
        </w:rPr>
        <w:t>a</w:t>
      </w:r>
      <w:r w:rsidRPr="00D174BB">
        <w:rPr>
          <w:b/>
          <w:bCs/>
          <w:color w:val="000000" w:themeColor="text1"/>
          <w:sz w:val="22"/>
          <w:szCs w:val="22"/>
          <w:lang w:val="pt-BR"/>
        </w:rPr>
        <w:t xml:space="preserve"> </w:t>
      </w:r>
      <w:r w:rsidRPr="00D174BB">
        <w:rPr>
          <w:color w:val="000000" w:themeColor="text1"/>
          <w:sz w:val="22"/>
          <w:szCs w:val="22"/>
          <w:lang w:val="pt-BR"/>
        </w:rPr>
        <w:t>que se possa rapidamente dar andamento;</w:t>
      </w:r>
    </w:p>
    <w:p w:rsidR="00910C92" w:rsidRPr="00D174BB" w:rsidRDefault="00910C92" w:rsidP="00910C92">
      <w:pPr>
        <w:numPr>
          <w:ilvl w:val="0"/>
          <w:numId w:val="8"/>
        </w:numPr>
        <w:ind w:left="1440" w:hanging="720"/>
        <w:rPr>
          <w:color w:val="000000" w:themeColor="text1"/>
          <w:sz w:val="22"/>
          <w:szCs w:val="22"/>
          <w:lang w:val="pt-BR"/>
        </w:rPr>
      </w:pPr>
      <w:r w:rsidRPr="00D174BB">
        <w:rPr>
          <w:b/>
          <w:bCs/>
          <w:color w:val="000000" w:themeColor="text1"/>
          <w:sz w:val="22"/>
          <w:szCs w:val="22"/>
          <w:lang w:val="pt-BR"/>
        </w:rPr>
        <w:t xml:space="preserve">recorrer a parcerias multissetoriais </w:t>
      </w:r>
      <w:r w:rsidRPr="00D174BB">
        <w:rPr>
          <w:color w:val="000000" w:themeColor="text1"/>
          <w:sz w:val="22"/>
          <w:szCs w:val="22"/>
          <w:lang w:val="pt-BR"/>
        </w:rPr>
        <w:t>para complementar nossos esforços.</w:t>
      </w:r>
    </w:p>
    <w:p w:rsidR="00910C92" w:rsidRPr="00D174BB" w:rsidRDefault="00910C92" w:rsidP="00910C92">
      <w:pPr>
        <w:rPr>
          <w:color w:val="000000" w:themeColor="text1"/>
          <w:sz w:val="22"/>
          <w:szCs w:val="22"/>
          <w:lang w:val="pt-BR"/>
        </w:rPr>
      </w:pPr>
    </w:p>
    <w:p w:rsidR="00910C92" w:rsidRPr="00D174BB" w:rsidRDefault="00910C92" w:rsidP="00910C92">
      <w:pPr>
        <w:ind w:firstLine="720"/>
        <w:jc w:val="both"/>
        <w:rPr>
          <w:color w:val="000000" w:themeColor="text1"/>
          <w:sz w:val="22"/>
          <w:szCs w:val="22"/>
          <w:lang w:val="pt-BR"/>
        </w:rPr>
      </w:pPr>
      <w:r w:rsidRPr="00D174BB">
        <w:rPr>
          <w:color w:val="000000" w:themeColor="text1"/>
          <w:sz w:val="22"/>
          <w:szCs w:val="22"/>
          <w:lang w:val="pt-BR"/>
        </w:rPr>
        <w:t>As iniciativas e medidas descritas abaixo incluem tanto as ações planejadas pela SEDI no início do ano como a resposta ou os ajustes verificados até esta data, de acordo com as mudanças de prioridade e as considerações logísticas que necessitam ser introduzidas para enfrentar coletivamente a crise.</w:t>
      </w:r>
    </w:p>
    <w:p w:rsidR="00910C92" w:rsidRPr="00D174BB" w:rsidRDefault="00910C92" w:rsidP="00910C92">
      <w:pPr>
        <w:rPr>
          <w:b/>
          <w:color w:val="000000" w:themeColor="text1"/>
          <w:sz w:val="22"/>
          <w:szCs w:val="22"/>
          <w:u w:val="single"/>
          <w:lang w:val="pt-BR"/>
        </w:rPr>
        <w:sectPr w:rsidR="00910C92" w:rsidRPr="00D174BB">
          <w:type w:val="oddPage"/>
          <w:pgSz w:w="12240" w:h="15840"/>
          <w:pgMar w:top="1296" w:right="1440" w:bottom="1296" w:left="1440" w:header="720" w:footer="360" w:gutter="0"/>
          <w:pgNumType w:fmt="numberInDash" w:start="1"/>
          <w:cols w:space="720"/>
        </w:sectPr>
      </w:pPr>
    </w:p>
    <w:p w:rsidR="00910C92" w:rsidRPr="00D174BB" w:rsidRDefault="00910C92" w:rsidP="00910C92">
      <w:pPr>
        <w:autoSpaceDE w:val="0"/>
        <w:autoSpaceDN w:val="0"/>
        <w:adjustRightInd w:val="0"/>
        <w:jc w:val="center"/>
        <w:rPr>
          <w:rFonts w:eastAsia="MS PGothic"/>
          <w:b/>
          <w:bCs/>
          <w:color w:val="000000" w:themeColor="text1"/>
          <w:kern w:val="24"/>
          <w:sz w:val="22"/>
          <w:szCs w:val="22"/>
          <w:lang w:val="pt-BR"/>
        </w:rPr>
      </w:pPr>
      <w:r w:rsidRPr="00D174BB">
        <w:rPr>
          <w:rFonts w:eastAsia="MS PGothic"/>
          <w:b/>
          <w:bCs/>
          <w:color w:val="000000" w:themeColor="text1"/>
          <w:kern w:val="24"/>
          <w:sz w:val="22"/>
          <w:szCs w:val="22"/>
          <w:lang w:val="pt-BR"/>
        </w:rPr>
        <w:lastRenderedPageBreak/>
        <w:t xml:space="preserve">PLANO DE TRABALHO OEA/SEDI 2020: ATIVIDADES PLANEJADAS E RESULTADOS ESPERADOS </w:t>
      </w:r>
    </w:p>
    <w:p w:rsidR="00910C92" w:rsidRPr="00D174BB" w:rsidRDefault="00910C92" w:rsidP="00910C92">
      <w:pPr>
        <w:rPr>
          <w:b/>
          <w:color w:val="000000" w:themeColor="text1"/>
          <w:sz w:val="22"/>
          <w:szCs w:val="22"/>
          <w:u w:val="single"/>
          <w:lang w:val="pt-BR"/>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607"/>
        <w:gridCol w:w="3239"/>
        <w:gridCol w:w="2702"/>
        <w:gridCol w:w="3778"/>
      </w:tblGrid>
      <w:tr w:rsidR="00910C92" w:rsidRPr="002A41AB" w:rsidTr="00E0152F">
        <w:trPr>
          <w:trHeight w:val="578"/>
        </w:trPr>
        <w:tc>
          <w:tcPr>
            <w:tcW w:w="14775" w:type="dxa"/>
            <w:gridSpan w:val="5"/>
            <w:noWrap/>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DEPARTAMENTO/SEÇÃO: DESENVOLVIMENTO ECONÔMICO (DDE)</w:t>
            </w:r>
          </w:p>
        </w:tc>
      </w:tr>
      <w:tr w:rsidR="00910C92" w:rsidRPr="00D174BB" w:rsidTr="00E0152F">
        <w:trPr>
          <w:trHeight w:val="540"/>
        </w:trPr>
        <w:tc>
          <w:tcPr>
            <w:tcW w:w="2449" w:type="dxa"/>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2607" w:type="dxa"/>
            <w:shd w:val="clear" w:color="auto" w:fill="D9E2F3"/>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3239" w:type="dxa"/>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RESULTADOS / CONCLUSÕES ESPERADOS</w:t>
            </w:r>
          </w:p>
        </w:tc>
        <w:tc>
          <w:tcPr>
            <w:tcW w:w="2702" w:type="dxa"/>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3778" w:type="dxa"/>
            <w:shd w:val="clear" w:color="auto" w:fill="FFFF00"/>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910C92" w:rsidRPr="00D174BB" w:rsidRDefault="00623261">
            <w:pPr>
              <w:jc w:val="center"/>
              <w:rPr>
                <w:b/>
                <w:bCs/>
                <w:color w:val="000000" w:themeColor="text1"/>
                <w:sz w:val="22"/>
                <w:szCs w:val="22"/>
                <w:lang w:val="pt-BR"/>
              </w:rPr>
            </w:pPr>
            <w:r w:rsidRPr="00D174BB">
              <w:rPr>
                <w:b/>
                <w:bCs/>
                <w:color w:val="000000" w:themeColor="text1"/>
                <w:sz w:val="22"/>
                <w:szCs w:val="22"/>
                <w:lang w:val="pt-BR"/>
              </w:rPr>
              <w:t>COVID</w:t>
            </w:r>
            <w:r w:rsidR="00910C92" w:rsidRPr="00D174BB">
              <w:rPr>
                <w:b/>
                <w:bCs/>
                <w:color w:val="000000" w:themeColor="text1"/>
                <w:sz w:val="22"/>
                <w:szCs w:val="22"/>
                <w:lang w:val="pt-BR"/>
              </w:rPr>
              <w:t>-19</w:t>
            </w:r>
          </w:p>
        </w:tc>
      </w:tr>
      <w:tr w:rsidR="00910C92" w:rsidRPr="002A41AB" w:rsidTr="00E0152F">
        <w:trPr>
          <w:trHeight w:val="278"/>
        </w:trPr>
        <w:tc>
          <w:tcPr>
            <w:tcW w:w="2449" w:type="dxa"/>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LINHA ESRATÉGICA</w:t>
            </w:r>
          </w:p>
        </w:tc>
        <w:tc>
          <w:tcPr>
            <w:tcW w:w="12326" w:type="dxa"/>
            <w:gridSpan w:val="4"/>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1. Promover economias inclusivas e competitivas </w:t>
            </w:r>
          </w:p>
        </w:tc>
      </w:tr>
      <w:tr w:rsidR="00910C92" w:rsidRPr="002A41AB" w:rsidTr="00E0152F">
        <w:trPr>
          <w:trHeight w:val="728"/>
        </w:trPr>
        <w:tc>
          <w:tcPr>
            <w:tcW w:w="2449" w:type="dxa"/>
            <w:shd w:val="clear" w:color="auto" w:fill="D0CECE"/>
            <w:hideMark/>
          </w:tcPr>
          <w:p w:rsidR="00910C92" w:rsidRPr="00D174BB" w:rsidRDefault="00910C92">
            <w:pPr>
              <w:rPr>
                <w:rFonts w:eastAsia="Calibri"/>
                <w:b/>
                <w:bCs/>
                <w:color w:val="000000" w:themeColor="text1"/>
                <w:sz w:val="22"/>
                <w:szCs w:val="22"/>
                <w:lang w:val="pt-BR"/>
              </w:rPr>
            </w:pPr>
            <w:r w:rsidRPr="00D174BB">
              <w:rPr>
                <w:rFonts w:eastAsia="Calibri"/>
                <w:b/>
                <w:bCs/>
                <w:color w:val="000000" w:themeColor="text1"/>
                <w:sz w:val="22"/>
                <w:szCs w:val="22"/>
                <w:lang w:val="pt-BR"/>
              </w:rPr>
              <w:t>OBJETIVO</w:t>
            </w:r>
          </w:p>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ESTRATÉGICO</w:t>
            </w:r>
          </w:p>
        </w:tc>
        <w:tc>
          <w:tcPr>
            <w:tcW w:w="12326" w:type="dxa"/>
            <w:gridSpan w:val="4"/>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1.1. Aumentar a capacidade das instituições dos Estados membros que apoiem a implementação de políticas e programas que promovam a produtividade, o empreendedorismo, a inovação e a internacionalização das micro, pequenas e médias empresas (MPMEs) bem como das cooperativas e outras unidades de produção</w:t>
            </w:r>
          </w:p>
        </w:tc>
      </w:tr>
      <w:tr w:rsidR="00910C92" w:rsidRPr="00D174BB" w:rsidTr="00E0152F">
        <w:trPr>
          <w:trHeight w:val="278"/>
        </w:trPr>
        <w:tc>
          <w:tcPr>
            <w:tcW w:w="14775" w:type="dxa"/>
            <w:gridSpan w:val="5"/>
            <w:shd w:val="clear" w:color="auto" w:fill="F2F2F2"/>
            <w:hideMark/>
          </w:tcPr>
          <w:p w:rsidR="00910C92" w:rsidRPr="00D174BB" w:rsidRDefault="00910C92">
            <w:pPr>
              <w:rPr>
                <w:b/>
                <w:bCs/>
                <w:color w:val="000000" w:themeColor="text1"/>
                <w:sz w:val="22"/>
                <w:szCs w:val="22"/>
                <w:lang w:val="pt-BR"/>
              </w:rPr>
            </w:pPr>
            <w:proofErr w:type="spellStart"/>
            <w:r w:rsidRPr="00D174BB">
              <w:rPr>
                <w:b/>
                <w:bCs/>
                <w:color w:val="000000" w:themeColor="text1"/>
                <w:sz w:val="22"/>
                <w:szCs w:val="22"/>
                <w:lang w:val="pt-BR"/>
              </w:rPr>
              <w:t>MPMEs</w:t>
            </w:r>
            <w:proofErr w:type="spellEnd"/>
          </w:p>
        </w:tc>
      </w:tr>
      <w:tr w:rsidR="00910C92" w:rsidRPr="002A41AB" w:rsidTr="00E0152F">
        <w:trPr>
          <w:trHeight w:val="1343"/>
        </w:trPr>
        <w:tc>
          <w:tcPr>
            <w:tcW w:w="2449" w:type="dxa"/>
            <w:vMerge w:val="restart"/>
            <w:hideMark/>
          </w:tcPr>
          <w:p w:rsidR="00910C92" w:rsidRPr="00D174BB" w:rsidRDefault="003F2B41">
            <w:pPr>
              <w:rPr>
                <w:b/>
                <w:bCs/>
                <w:color w:val="000000" w:themeColor="text1"/>
                <w:sz w:val="22"/>
                <w:szCs w:val="22"/>
                <w:lang w:val="pt-BR"/>
              </w:rPr>
            </w:pPr>
            <w:r w:rsidRPr="00D174BB">
              <w:rPr>
                <w:rFonts w:eastAsia="Calibri"/>
                <w:b/>
                <w:bCs/>
                <w:color w:val="000000" w:themeColor="text1"/>
                <w:sz w:val="22"/>
                <w:szCs w:val="22"/>
                <w:lang w:val="pt-BR"/>
              </w:rPr>
              <w:t>Execução</w:t>
            </w:r>
            <w:r w:rsidR="00910C92" w:rsidRPr="00D174BB">
              <w:rPr>
                <w:rFonts w:eastAsia="Calibri"/>
                <w:b/>
                <w:bCs/>
                <w:color w:val="000000" w:themeColor="text1"/>
                <w:sz w:val="22"/>
                <w:szCs w:val="22"/>
                <w:lang w:val="pt-BR"/>
              </w:rPr>
              <w:t xml:space="preserve"> do Plano de Digitalização OEA/MPME</w:t>
            </w:r>
            <w:r w:rsidRPr="00D174BB">
              <w:rPr>
                <w:rFonts w:eastAsia="Calibri"/>
                <w:b/>
                <w:bCs/>
                <w:color w:val="000000" w:themeColor="text1"/>
                <w:sz w:val="22"/>
                <w:szCs w:val="22"/>
                <w:lang w:val="pt-BR"/>
              </w:rPr>
              <w:t>s</w:t>
            </w:r>
          </w:p>
        </w:tc>
        <w:tc>
          <w:tcPr>
            <w:tcW w:w="2607" w:type="dxa"/>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Viabilidade econômica e resiliência das PMEs. Mediante o aumento do acesso à Internet, as</w:t>
            </w:r>
            <w:r w:rsidRPr="00D174BB">
              <w:rPr>
                <w:rFonts w:eastAsia="Calibri"/>
                <w:vanish/>
                <w:color w:val="000000" w:themeColor="text1"/>
                <w:sz w:val="22"/>
                <w:szCs w:val="22"/>
                <w:lang w:val="pt-BR"/>
              </w:rPr>
              <w:t xml:space="preserve"> </w:t>
            </w:r>
            <w:r w:rsidRPr="00D174BB">
              <w:rPr>
                <w:rFonts w:eastAsia="Calibri"/>
                <w:color w:val="000000" w:themeColor="text1"/>
                <w:sz w:val="22"/>
                <w:szCs w:val="22"/>
                <w:lang w:val="pt-BR"/>
              </w:rPr>
              <w:t xml:space="preserve">PMEs poderão capitalizar a demanda existente por seus produtos na Internet. </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Implementação do Plano de Digitalização OEA/MPME</w:t>
            </w:r>
            <w:r w:rsidR="003F2B41" w:rsidRPr="00D174BB">
              <w:rPr>
                <w:color w:val="000000" w:themeColor="text1"/>
                <w:sz w:val="22"/>
                <w:szCs w:val="22"/>
                <w:lang w:val="pt-BR"/>
              </w:rPr>
              <w:t>s</w:t>
            </w:r>
            <w:r w:rsidRPr="00D174BB">
              <w:rPr>
                <w:color w:val="000000" w:themeColor="text1"/>
                <w:sz w:val="22"/>
                <w:szCs w:val="22"/>
                <w:lang w:val="pt-BR"/>
              </w:rPr>
              <w:t xml:space="preserve"> em mais de dez países. </w:t>
            </w:r>
          </w:p>
        </w:tc>
        <w:tc>
          <w:tcPr>
            <w:tcW w:w="2702" w:type="dxa"/>
            <w:vMerge w:val="restart"/>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Escritório Executivo da SEDI - CooperaNet, DDS (Energia /Água). </w:t>
            </w:r>
          </w:p>
          <w:p w:rsidR="00910C92" w:rsidRPr="00D174BB" w:rsidRDefault="00910C92">
            <w:pPr>
              <w:rPr>
                <w:color w:val="000000" w:themeColor="text1"/>
                <w:sz w:val="22"/>
                <w:szCs w:val="22"/>
                <w:lang w:val="pt-BR"/>
              </w:rPr>
            </w:pPr>
            <w:r w:rsidRPr="00D174BB">
              <w:rPr>
                <w:color w:val="000000" w:themeColor="text1"/>
                <w:sz w:val="22"/>
                <w:szCs w:val="22"/>
                <w:lang w:val="pt-BR"/>
              </w:rPr>
              <w:t xml:space="preserve"> </w:t>
            </w:r>
          </w:p>
          <w:p w:rsidR="00910C92" w:rsidRPr="00D174BB" w:rsidRDefault="00910C92" w:rsidP="00E411BC">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KOLAU </w:t>
            </w:r>
            <w:r w:rsidR="00E411BC" w:rsidRPr="00D174BB">
              <w:rPr>
                <w:color w:val="000000" w:themeColor="text1"/>
                <w:sz w:val="22"/>
                <w:szCs w:val="22"/>
                <w:lang w:val="pt-BR"/>
              </w:rPr>
              <w:t>(</w:t>
            </w:r>
            <w:r w:rsidRPr="00D174BB">
              <w:rPr>
                <w:color w:val="000000" w:themeColor="text1"/>
                <w:sz w:val="22"/>
                <w:szCs w:val="22"/>
                <w:lang w:val="pt-BR"/>
              </w:rPr>
              <w:t>com base no Vale do Silício</w:t>
            </w:r>
            <w:r w:rsidR="00E411BC" w:rsidRPr="00D174BB">
              <w:rPr>
                <w:color w:val="000000" w:themeColor="text1"/>
                <w:sz w:val="22"/>
                <w:szCs w:val="22"/>
                <w:lang w:val="pt-BR"/>
              </w:rPr>
              <w:t>)</w:t>
            </w:r>
            <w:r w:rsidRPr="00D174BB">
              <w:rPr>
                <w:color w:val="000000" w:themeColor="text1"/>
                <w:sz w:val="22"/>
                <w:szCs w:val="22"/>
                <w:lang w:val="pt-BR"/>
              </w:rPr>
              <w:t>, Facebook, PayPal e outros sistemas de pagamento onl</w:t>
            </w:r>
            <w:r w:rsidR="00E411BC" w:rsidRPr="00D174BB">
              <w:rPr>
                <w:color w:val="000000" w:themeColor="text1"/>
                <w:sz w:val="22"/>
                <w:szCs w:val="22"/>
                <w:lang w:val="pt-BR"/>
              </w:rPr>
              <w:t>ine, Estados membros da OEA, p</w:t>
            </w:r>
            <w:r w:rsidRPr="00D174BB">
              <w:rPr>
                <w:color w:val="000000" w:themeColor="text1"/>
                <w:sz w:val="22"/>
                <w:szCs w:val="22"/>
                <w:lang w:val="pt-BR"/>
              </w:rPr>
              <w:t xml:space="preserve">arceiros governamentais e instituições financeiras locais, </w:t>
            </w:r>
            <w:r w:rsidRPr="00D174BB">
              <w:rPr>
                <w:i/>
                <w:color w:val="000000" w:themeColor="text1"/>
                <w:sz w:val="22"/>
                <w:szCs w:val="22"/>
                <w:lang w:val="pt-BR"/>
              </w:rPr>
              <w:t>Compete Caribe Partnership Facility</w:t>
            </w:r>
            <w:r w:rsidR="00E411BC" w:rsidRPr="00D174BB">
              <w:rPr>
                <w:i/>
                <w:color w:val="000000" w:themeColor="text1"/>
                <w:sz w:val="22"/>
                <w:szCs w:val="22"/>
                <w:lang w:val="pt-BR"/>
              </w:rPr>
              <w:t xml:space="preserve"> </w:t>
            </w:r>
            <w:r w:rsidR="00E411BC" w:rsidRPr="00D174BB">
              <w:rPr>
                <w:color w:val="000000" w:themeColor="text1"/>
                <w:sz w:val="22"/>
                <w:szCs w:val="22"/>
                <w:lang w:val="pt-BR"/>
              </w:rPr>
              <w:t>(BID)</w:t>
            </w:r>
            <w:r w:rsidRPr="00D174BB">
              <w:rPr>
                <w:color w:val="000000" w:themeColor="text1"/>
                <w:sz w:val="22"/>
                <w:szCs w:val="22"/>
                <w:lang w:val="pt-BR"/>
              </w:rPr>
              <w:t xml:space="preserve">, </w:t>
            </w:r>
            <w:r w:rsidRPr="00D174BB">
              <w:rPr>
                <w:sz w:val="22"/>
                <w:szCs w:val="22"/>
                <w:lang w:val="pt-BR"/>
              </w:rPr>
              <w:t>Agência Caribenha para o Desenvolvimento das Exportações</w:t>
            </w:r>
            <w:r w:rsidRPr="00D174BB">
              <w:rPr>
                <w:color w:val="000000" w:themeColor="text1"/>
                <w:sz w:val="22"/>
                <w:szCs w:val="22"/>
                <w:lang w:val="pt-BR"/>
              </w:rPr>
              <w:t xml:space="preserve">. </w:t>
            </w:r>
          </w:p>
        </w:tc>
        <w:tc>
          <w:tcPr>
            <w:tcW w:w="3778" w:type="dxa"/>
            <w:vMerge w:val="restart"/>
            <w:shd w:val="clear" w:color="auto" w:fill="FFFF00"/>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Capitalização de parcerias: a </w:t>
            </w:r>
            <w:r w:rsidRPr="00D174BB">
              <w:rPr>
                <w:color w:val="000000" w:themeColor="text1"/>
                <w:sz w:val="22"/>
                <w:szCs w:val="22"/>
                <w:lang w:val="pt-BR"/>
              </w:rPr>
              <w:t>SEDI vem trabalhando com os principais parceiros para oferecer um conjunto de serviços e recursos aos Estados membros.</w:t>
            </w:r>
            <w:r w:rsidRPr="00D174BB">
              <w:rPr>
                <w:color w:val="000000" w:themeColor="text1"/>
                <w:sz w:val="22"/>
                <w:szCs w:val="22"/>
                <w:lang w:val="pt-BR"/>
              </w:rPr>
              <w:br/>
              <w:t xml:space="preserve"> </w:t>
            </w:r>
            <w:r w:rsidRPr="00D174BB">
              <w:rPr>
                <w:color w:val="000000" w:themeColor="text1"/>
                <w:sz w:val="22"/>
                <w:szCs w:val="22"/>
                <w:lang w:val="pt-BR"/>
              </w:rPr>
              <w:br/>
              <w:t>1.Facebook:</w:t>
            </w:r>
            <w:r w:rsidRPr="00D174BB">
              <w:rPr>
                <w:color w:val="000000" w:themeColor="text1"/>
                <w:sz w:val="22"/>
                <w:szCs w:val="22"/>
                <w:lang w:val="pt-BR"/>
              </w:rPr>
              <w:br/>
              <w:t xml:space="preserve">·Iniciativa para apoiar MPMEs durante a </w:t>
            </w:r>
            <w:r w:rsidR="002579BC" w:rsidRPr="00D174BB">
              <w:rPr>
                <w:color w:val="000000" w:themeColor="text1"/>
                <w:sz w:val="22"/>
                <w:szCs w:val="22"/>
                <w:lang w:val="pt-BR"/>
              </w:rPr>
              <w:t>covid</w:t>
            </w:r>
            <w:r w:rsidRPr="00D174BB">
              <w:rPr>
                <w:color w:val="000000" w:themeColor="text1"/>
                <w:sz w:val="22"/>
                <w:szCs w:val="22"/>
                <w:lang w:val="pt-BR"/>
              </w:rPr>
              <w:t>-19 e na etapa subsequente.</w:t>
            </w:r>
            <w:r w:rsidRPr="00D174BB">
              <w:rPr>
                <w:color w:val="000000" w:themeColor="text1"/>
                <w:sz w:val="22"/>
                <w:szCs w:val="22"/>
                <w:lang w:val="pt-BR"/>
              </w:rPr>
              <w:br/>
              <w:t xml:space="preserve">·Mesas-redondas </w:t>
            </w:r>
            <w:r w:rsidRPr="00D174BB">
              <w:rPr>
                <w:i/>
                <w:color w:val="000000" w:themeColor="text1"/>
                <w:sz w:val="22"/>
                <w:szCs w:val="22"/>
                <w:lang w:val="pt-BR"/>
              </w:rPr>
              <w:t>online</w:t>
            </w:r>
            <w:r w:rsidRPr="00D174BB">
              <w:rPr>
                <w:color w:val="000000" w:themeColor="text1"/>
                <w:sz w:val="22"/>
                <w:szCs w:val="22"/>
                <w:lang w:val="pt-BR"/>
              </w:rPr>
              <w:t>.</w:t>
            </w:r>
            <w:r w:rsidRPr="00D174BB">
              <w:rPr>
                <w:color w:val="000000" w:themeColor="text1"/>
                <w:sz w:val="22"/>
                <w:szCs w:val="22"/>
                <w:lang w:val="pt-BR"/>
              </w:rPr>
              <w:br/>
              <w:t xml:space="preserve">·Cursos </w:t>
            </w:r>
            <w:r w:rsidRPr="00D174BB">
              <w:rPr>
                <w:i/>
                <w:color w:val="000000" w:themeColor="text1"/>
                <w:sz w:val="22"/>
                <w:szCs w:val="22"/>
                <w:lang w:val="pt-BR"/>
              </w:rPr>
              <w:t>online</w:t>
            </w:r>
            <w:r w:rsidRPr="00D174BB">
              <w:rPr>
                <w:color w:val="000000" w:themeColor="text1"/>
                <w:sz w:val="22"/>
                <w:szCs w:val="22"/>
                <w:lang w:val="pt-BR"/>
              </w:rPr>
              <w:t>.</w:t>
            </w:r>
            <w:r w:rsidRPr="00D174BB">
              <w:rPr>
                <w:color w:val="000000" w:themeColor="text1"/>
                <w:sz w:val="22"/>
                <w:szCs w:val="22"/>
                <w:lang w:val="pt-BR"/>
              </w:rPr>
              <w:br/>
            </w:r>
            <w:r w:rsidRPr="00D174BB">
              <w:rPr>
                <w:color w:val="000000" w:themeColor="text1"/>
                <w:sz w:val="22"/>
                <w:szCs w:val="22"/>
                <w:lang w:val="pt-BR"/>
              </w:rPr>
              <w:br/>
              <w:t>2. Amazon Web Services (AWS):</w:t>
            </w:r>
            <w:r w:rsidRPr="00D174BB">
              <w:rPr>
                <w:color w:val="000000" w:themeColor="text1"/>
                <w:sz w:val="22"/>
                <w:szCs w:val="22"/>
                <w:lang w:val="pt-BR"/>
              </w:rPr>
              <w:br/>
              <w:t xml:space="preserve">·Séries em blogs </w:t>
            </w:r>
            <w:r w:rsidRPr="00D174BB">
              <w:rPr>
                <w:color w:val="000000" w:themeColor="text1"/>
                <w:sz w:val="22"/>
                <w:szCs w:val="22"/>
                <w:lang w:val="pt-BR"/>
              </w:rPr>
              <w:br/>
              <w:t xml:space="preserve">·Soluções de TI </w:t>
            </w:r>
            <w:r w:rsidRPr="00D174BB">
              <w:rPr>
                <w:color w:val="000000" w:themeColor="text1"/>
                <w:sz w:val="22"/>
                <w:szCs w:val="22"/>
                <w:lang w:val="pt-BR"/>
              </w:rPr>
              <w:br/>
              <w:t xml:space="preserve">·Recursos educacionais </w:t>
            </w:r>
            <w:r w:rsidRPr="00D174BB">
              <w:rPr>
                <w:color w:val="000000" w:themeColor="text1"/>
                <w:sz w:val="22"/>
                <w:szCs w:val="22"/>
                <w:lang w:val="pt-BR"/>
              </w:rPr>
              <w:br/>
              <w:t>·Educate.com</w:t>
            </w:r>
            <w:r w:rsidRPr="00D174BB">
              <w:rPr>
                <w:color w:val="000000" w:themeColor="text1"/>
                <w:sz w:val="22"/>
                <w:szCs w:val="22"/>
                <w:lang w:val="pt-BR"/>
              </w:rPr>
              <w:br/>
              <w:t xml:space="preserve">·Sistemas de segurança virtual </w:t>
            </w:r>
            <w:r w:rsidRPr="00D174BB">
              <w:rPr>
                <w:color w:val="000000" w:themeColor="text1"/>
                <w:sz w:val="22"/>
                <w:szCs w:val="22"/>
                <w:lang w:val="pt-BR"/>
              </w:rPr>
              <w:br/>
              <w:t xml:space="preserve">·Supervisão e analítica de dados </w:t>
            </w:r>
          </w:p>
        </w:tc>
      </w:tr>
      <w:tr w:rsidR="00910C92" w:rsidRPr="002A41AB" w:rsidTr="00E0152F">
        <w:trPr>
          <w:trHeight w:val="555"/>
        </w:trPr>
        <w:tc>
          <w:tcPr>
            <w:tcW w:w="2449" w:type="dxa"/>
            <w:vMerge/>
            <w:vAlign w:val="center"/>
            <w:hideMark/>
          </w:tcPr>
          <w:p w:rsidR="00910C92" w:rsidRPr="00D174BB" w:rsidRDefault="00910C92">
            <w:pPr>
              <w:rPr>
                <w:b/>
                <w:bCs/>
                <w:color w:val="000000" w:themeColor="text1"/>
                <w:sz w:val="22"/>
                <w:szCs w:val="22"/>
                <w:lang w:val="pt-BR"/>
              </w:rPr>
            </w:pPr>
          </w:p>
        </w:tc>
        <w:tc>
          <w:tcPr>
            <w:tcW w:w="2607" w:type="dxa"/>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Treinamento e recursos para resiliência dos negócios (</w:t>
            </w:r>
            <w:r w:rsidRPr="00D174BB">
              <w:rPr>
                <w:rFonts w:eastAsia="Calibri"/>
                <w:i/>
                <w:color w:val="000000" w:themeColor="text1"/>
                <w:sz w:val="22"/>
                <w:szCs w:val="22"/>
                <w:lang w:val="pt-BR"/>
              </w:rPr>
              <w:t xml:space="preserve">Live </w:t>
            </w:r>
            <w:r w:rsidRPr="00D174BB">
              <w:rPr>
                <w:rFonts w:eastAsia="Calibri"/>
                <w:color w:val="000000" w:themeColor="text1"/>
                <w:sz w:val="22"/>
                <w:szCs w:val="22"/>
                <w:lang w:val="pt-BR"/>
              </w:rPr>
              <w:t>mensal no YouTube).</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Treinamento em competências digitais para PMEs em pelo menos cinco países.</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525"/>
        </w:trPr>
        <w:tc>
          <w:tcPr>
            <w:tcW w:w="2449" w:type="dxa"/>
            <w:vMerge w:val="restart"/>
            <w:hideMark/>
          </w:tcPr>
          <w:p w:rsidR="00910C92" w:rsidRPr="00D174BB" w:rsidRDefault="00910C92" w:rsidP="003F2B41">
            <w:pPr>
              <w:rPr>
                <w:b/>
                <w:bCs/>
                <w:color w:val="000000" w:themeColor="text1"/>
                <w:sz w:val="22"/>
                <w:szCs w:val="22"/>
                <w:lang w:val="pt-BR"/>
              </w:rPr>
            </w:pPr>
            <w:r w:rsidRPr="00D174BB">
              <w:rPr>
                <w:b/>
                <w:bCs/>
                <w:color w:val="000000" w:themeColor="text1"/>
                <w:sz w:val="22"/>
                <w:szCs w:val="22"/>
                <w:lang w:val="pt-BR"/>
              </w:rPr>
              <w:t xml:space="preserve">Modelo </w:t>
            </w:r>
            <w:r w:rsidR="003F2B41" w:rsidRPr="00D174BB">
              <w:rPr>
                <w:b/>
                <w:bCs/>
                <w:color w:val="000000" w:themeColor="text1"/>
                <w:sz w:val="22"/>
                <w:szCs w:val="22"/>
                <w:lang w:val="pt-BR"/>
              </w:rPr>
              <w:t>de centros de desenvolvimento de pequenas empresas</w:t>
            </w:r>
            <w:r w:rsidRPr="00D174BB">
              <w:rPr>
                <w:b/>
                <w:bCs/>
                <w:color w:val="000000" w:themeColor="text1"/>
                <w:sz w:val="22"/>
                <w:szCs w:val="22"/>
                <w:lang w:val="pt-BR"/>
              </w:rPr>
              <w:t xml:space="preserve"> </w:t>
            </w:r>
          </w:p>
        </w:tc>
        <w:tc>
          <w:tcPr>
            <w:tcW w:w="2607" w:type="dxa"/>
            <w:vMerge w:val="restart"/>
            <w:hideMark/>
          </w:tcPr>
          <w:p w:rsidR="00910C92" w:rsidRPr="00D174BB" w:rsidRDefault="003F2B41" w:rsidP="003F2B41">
            <w:pPr>
              <w:rPr>
                <w:color w:val="000000" w:themeColor="text1"/>
                <w:sz w:val="22"/>
                <w:szCs w:val="22"/>
                <w:lang w:val="pt-BR"/>
              </w:rPr>
            </w:pPr>
            <w:r w:rsidRPr="00D174BB">
              <w:rPr>
                <w:rFonts w:eastAsia="Calibri"/>
                <w:color w:val="000000" w:themeColor="text1"/>
                <w:sz w:val="22"/>
                <w:szCs w:val="22"/>
                <w:lang w:val="pt-BR"/>
              </w:rPr>
              <w:t xml:space="preserve">Plataforma </w:t>
            </w:r>
            <w:r w:rsidR="00910C92" w:rsidRPr="00D174BB">
              <w:rPr>
                <w:rFonts w:eastAsia="Calibri"/>
                <w:i/>
                <w:color w:val="000000" w:themeColor="text1"/>
                <w:sz w:val="22"/>
                <w:szCs w:val="22"/>
                <w:lang w:val="pt-BR"/>
              </w:rPr>
              <w:t>online</w:t>
            </w:r>
            <w:r w:rsidRPr="00D174BB">
              <w:rPr>
                <w:rFonts w:eastAsia="Calibri"/>
                <w:color w:val="000000" w:themeColor="text1"/>
                <w:sz w:val="22"/>
                <w:szCs w:val="22"/>
                <w:lang w:val="pt-BR"/>
              </w:rPr>
              <w:t xml:space="preserve"> de</w:t>
            </w:r>
            <w:r w:rsidR="00910C92" w:rsidRPr="00D174BB">
              <w:rPr>
                <w:rFonts w:eastAsia="Calibri"/>
                <w:color w:val="000000" w:themeColor="text1"/>
                <w:sz w:val="22"/>
                <w:szCs w:val="22"/>
                <w:lang w:val="pt-BR"/>
              </w:rPr>
              <w:t xml:space="preserve"> </w:t>
            </w:r>
            <w:r w:rsidRPr="00D174BB">
              <w:rPr>
                <w:rFonts w:eastAsia="Calibri"/>
                <w:color w:val="000000" w:themeColor="text1"/>
                <w:sz w:val="22"/>
                <w:szCs w:val="22"/>
                <w:lang w:val="pt-BR"/>
              </w:rPr>
              <w:t xml:space="preserve">certificação </w:t>
            </w:r>
            <w:r w:rsidR="00910C92" w:rsidRPr="00D174BB">
              <w:rPr>
                <w:rFonts w:eastAsia="Calibri"/>
                <w:color w:val="000000" w:themeColor="text1"/>
                <w:sz w:val="22"/>
                <w:szCs w:val="22"/>
                <w:lang w:val="pt-BR"/>
              </w:rPr>
              <w:t xml:space="preserve">e treinamento de MPMEs </w:t>
            </w:r>
            <w:r w:rsidRPr="00D174BB">
              <w:rPr>
                <w:rFonts w:eastAsia="Calibri"/>
                <w:color w:val="000000" w:themeColor="text1"/>
                <w:sz w:val="22"/>
                <w:szCs w:val="22"/>
                <w:lang w:val="pt-BR"/>
              </w:rPr>
              <w:t xml:space="preserve">orientada a centros de desenvolvimento de pequenas empresas do Caribe e destinada a aumentar </w:t>
            </w:r>
            <w:r w:rsidR="00910C92" w:rsidRPr="00D174BB">
              <w:rPr>
                <w:rFonts w:eastAsia="Calibri"/>
                <w:color w:val="000000" w:themeColor="text1"/>
                <w:sz w:val="22"/>
                <w:szCs w:val="22"/>
                <w:lang w:val="pt-BR"/>
              </w:rPr>
              <w:t xml:space="preserve">sua resiliência. </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Extensão a outros Estados membros interessados.</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1286"/>
        </w:trPr>
        <w:tc>
          <w:tcPr>
            <w:tcW w:w="2449" w:type="dxa"/>
            <w:vMerge/>
            <w:vAlign w:val="center"/>
            <w:hideMark/>
          </w:tcPr>
          <w:p w:rsidR="00910C92" w:rsidRPr="00D174BB" w:rsidRDefault="00910C92">
            <w:pPr>
              <w:rPr>
                <w:b/>
                <w:bCs/>
                <w:color w:val="000000" w:themeColor="text1"/>
                <w:sz w:val="22"/>
                <w:szCs w:val="22"/>
                <w:lang w:val="pt-BR"/>
              </w:rPr>
            </w:pPr>
          </w:p>
        </w:tc>
        <w:tc>
          <w:tcPr>
            <w:tcW w:w="2607" w:type="dxa"/>
            <w:vMerge/>
            <w:vAlign w:val="center"/>
            <w:hideMark/>
          </w:tcPr>
          <w:p w:rsidR="00910C92" w:rsidRPr="00D174BB" w:rsidRDefault="00910C92">
            <w:pPr>
              <w:rPr>
                <w:color w:val="000000" w:themeColor="text1"/>
                <w:sz w:val="22"/>
                <w:szCs w:val="22"/>
                <w:lang w:val="pt-BR"/>
              </w:rPr>
            </w:pP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Assistência técnica específica prestada aos </w:t>
            </w:r>
            <w:r w:rsidR="003F2B41" w:rsidRPr="00D174BB">
              <w:rPr>
                <w:rFonts w:eastAsia="Calibri"/>
                <w:color w:val="000000" w:themeColor="text1"/>
                <w:sz w:val="22"/>
                <w:szCs w:val="22"/>
                <w:lang w:val="pt-BR"/>
              </w:rPr>
              <w:t>centros de desenvolvimento de pequenas empresas</w:t>
            </w:r>
            <w:r w:rsidR="003F2B41" w:rsidRPr="00D174BB">
              <w:rPr>
                <w:color w:val="000000" w:themeColor="text1"/>
                <w:sz w:val="22"/>
                <w:szCs w:val="22"/>
                <w:lang w:val="pt-BR"/>
              </w:rPr>
              <w:t xml:space="preserve"> </w:t>
            </w:r>
            <w:r w:rsidRPr="00D174BB">
              <w:rPr>
                <w:color w:val="000000" w:themeColor="text1"/>
                <w:sz w:val="22"/>
                <w:szCs w:val="22"/>
                <w:lang w:val="pt-BR"/>
              </w:rPr>
              <w:t>e seus clientes em áreas prioritárias, tais como: educação e gestão financeira, produtividade, construção de resiliência e competitividade.</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555"/>
        </w:trPr>
        <w:tc>
          <w:tcPr>
            <w:tcW w:w="2449" w:type="dxa"/>
            <w:vMerge/>
            <w:vAlign w:val="center"/>
            <w:hideMark/>
          </w:tcPr>
          <w:p w:rsidR="00910C92" w:rsidRPr="00D174BB" w:rsidRDefault="00910C92">
            <w:pPr>
              <w:rPr>
                <w:b/>
                <w:bCs/>
                <w:color w:val="000000" w:themeColor="text1"/>
                <w:sz w:val="22"/>
                <w:szCs w:val="22"/>
                <w:lang w:val="pt-BR"/>
              </w:rPr>
            </w:pPr>
          </w:p>
        </w:tc>
        <w:tc>
          <w:tcPr>
            <w:tcW w:w="2607" w:type="dxa"/>
            <w:vMerge/>
            <w:vAlign w:val="center"/>
            <w:hideMark/>
          </w:tcPr>
          <w:p w:rsidR="00910C92" w:rsidRPr="00D174BB" w:rsidRDefault="00910C92">
            <w:pPr>
              <w:rPr>
                <w:color w:val="000000" w:themeColor="text1"/>
                <w:sz w:val="22"/>
                <w:szCs w:val="22"/>
                <w:lang w:val="pt-BR"/>
              </w:rPr>
            </w:pP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Prestação de serviços de extensão tecnológica a clientes dos </w:t>
            </w:r>
            <w:r w:rsidR="002579BC" w:rsidRPr="00D174BB">
              <w:rPr>
                <w:rFonts w:eastAsia="Calibri"/>
                <w:color w:val="000000" w:themeColor="text1"/>
                <w:sz w:val="22"/>
                <w:szCs w:val="22"/>
                <w:lang w:val="pt-BR"/>
              </w:rPr>
              <w:t>centros de desenvolvimento de pequenas empresas</w:t>
            </w:r>
            <w:r w:rsidRPr="00D174BB">
              <w:rPr>
                <w:color w:val="000000" w:themeColor="text1"/>
                <w:sz w:val="22"/>
                <w:szCs w:val="22"/>
                <w:lang w:val="pt-BR"/>
              </w:rPr>
              <w:t xml:space="preserve">. </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833"/>
        </w:trPr>
        <w:tc>
          <w:tcPr>
            <w:tcW w:w="2449" w:type="dxa"/>
            <w:vMerge/>
            <w:vAlign w:val="center"/>
            <w:hideMark/>
          </w:tcPr>
          <w:p w:rsidR="00910C92" w:rsidRPr="00D174BB" w:rsidRDefault="00910C92">
            <w:pPr>
              <w:rPr>
                <w:b/>
                <w:bCs/>
                <w:color w:val="000000" w:themeColor="text1"/>
                <w:sz w:val="22"/>
                <w:szCs w:val="22"/>
                <w:lang w:val="pt-BR"/>
              </w:rPr>
            </w:pPr>
          </w:p>
        </w:tc>
        <w:tc>
          <w:tcPr>
            <w:tcW w:w="2607" w:type="dxa"/>
            <w:vMerge/>
            <w:vAlign w:val="center"/>
            <w:hideMark/>
          </w:tcPr>
          <w:p w:rsidR="00910C92" w:rsidRPr="00D174BB" w:rsidRDefault="00910C92">
            <w:pPr>
              <w:rPr>
                <w:color w:val="000000" w:themeColor="text1"/>
                <w:sz w:val="22"/>
                <w:szCs w:val="22"/>
                <w:lang w:val="pt-BR"/>
              </w:rPr>
            </w:pPr>
          </w:p>
        </w:tc>
        <w:tc>
          <w:tcPr>
            <w:tcW w:w="3239" w:type="dxa"/>
            <w:hideMark/>
          </w:tcPr>
          <w:p w:rsidR="00910C92" w:rsidRPr="00D174BB" w:rsidRDefault="00910C92">
            <w:pPr>
              <w:rPr>
                <w:sz w:val="22"/>
                <w:szCs w:val="22"/>
                <w:lang w:val="pt-BR"/>
              </w:rPr>
            </w:pPr>
            <w:r w:rsidRPr="00D174BB">
              <w:rPr>
                <w:color w:val="000000" w:themeColor="text1"/>
                <w:sz w:val="22"/>
                <w:szCs w:val="22"/>
                <w:lang w:val="pt-BR"/>
              </w:rPr>
              <w:t xml:space="preserve">Oferta de assistência técnica e capacitação aos clientes dos </w:t>
            </w:r>
            <w:r w:rsidR="002579BC" w:rsidRPr="00D174BB">
              <w:rPr>
                <w:rFonts w:eastAsia="Calibri"/>
                <w:color w:val="000000" w:themeColor="text1"/>
                <w:sz w:val="22"/>
                <w:szCs w:val="22"/>
                <w:lang w:val="pt-BR"/>
              </w:rPr>
              <w:t>centros de desenvolvimento de pequenas empresas</w:t>
            </w:r>
            <w:r w:rsidRPr="00D174BB">
              <w:rPr>
                <w:color w:val="000000" w:themeColor="text1"/>
                <w:sz w:val="22"/>
                <w:szCs w:val="22"/>
                <w:lang w:val="pt-BR"/>
              </w:rPr>
              <w:t>, com ênfase no turismo e nas indústrias culturais e criativas.</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555"/>
        </w:trPr>
        <w:tc>
          <w:tcPr>
            <w:tcW w:w="2449" w:type="dxa"/>
            <w:vMerge/>
            <w:vAlign w:val="center"/>
            <w:hideMark/>
          </w:tcPr>
          <w:p w:rsidR="00910C92" w:rsidRPr="00D174BB" w:rsidRDefault="00910C92">
            <w:pPr>
              <w:rPr>
                <w:b/>
                <w:bCs/>
                <w:color w:val="000000" w:themeColor="text1"/>
                <w:sz w:val="22"/>
                <w:szCs w:val="22"/>
                <w:lang w:val="pt-BR"/>
              </w:rPr>
            </w:pPr>
          </w:p>
        </w:tc>
        <w:tc>
          <w:tcPr>
            <w:tcW w:w="2607" w:type="dxa"/>
            <w:vMerge/>
            <w:vAlign w:val="center"/>
            <w:hideMark/>
          </w:tcPr>
          <w:p w:rsidR="00910C92" w:rsidRPr="00D174BB" w:rsidRDefault="00910C92">
            <w:pPr>
              <w:rPr>
                <w:color w:val="000000" w:themeColor="text1"/>
                <w:sz w:val="22"/>
                <w:szCs w:val="22"/>
                <w:lang w:val="pt-BR"/>
              </w:rPr>
            </w:pP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Construção e lançamento de plataforma de treinamento em e-learning para certificação de </w:t>
            </w:r>
            <w:r w:rsidR="002579BC" w:rsidRPr="00D174BB">
              <w:rPr>
                <w:rFonts w:eastAsia="Calibri"/>
                <w:color w:val="000000" w:themeColor="text1"/>
                <w:sz w:val="22"/>
                <w:szCs w:val="22"/>
                <w:lang w:val="pt-BR"/>
              </w:rPr>
              <w:t>centros de desenvolvimento de pequenas empresas</w:t>
            </w:r>
            <w:r w:rsidRPr="00D174BB">
              <w:rPr>
                <w:color w:val="000000" w:themeColor="text1"/>
                <w:sz w:val="22"/>
                <w:szCs w:val="22"/>
                <w:lang w:val="pt-BR"/>
              </w:rPr>
              <w:t>.</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1140"/>
        </w:trPr>
        <w:tc>
          <w:tcPr>
            <w:tcW w:w="2449" w:type="dxa"/>
            <w:vMerge w:val="restart"/>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Centro de informação </w:t>
            </w:r>
            <w:r w:rsidRPr="00D174BB">
              <w:rPr>
                <w:rFonts w:eastAsia="Calibri"/>
                <w:b/>
                <w:bCs/>
                <w:i/>
                <w:color w:val="000000" w:themeColor="text1"/>
                <w:sz w:val="22"/>
                <w:szCs w:val="22"/>
                <w:lang w:val="pt-BR"/>
              </w:rPr>
              <w:t>online</w:t>
            </w:r>
            <w:r w:rsidRPr="00D174BB">
              <w:rPr>
                <w:rFonts w:eastAsia="Calibri"/>
                <w:b/>
                <w:bCs/>
                <w:color w:val="000000" w:themeColor="text1"/>
                <w:sz w:val="22"/>
                <w:szCs w:val="22"/>
                <w:lang w:val="pt-BR"/>
              </w:rPr>
              <w:t xml:space="preserve"> de políticas e programas de MPMEs e boletim mensal sobre desenvolvimento de MPMEs </w:t>
            </w:r>
          </w:p>
        </w:tc>
        <w:tc>
          <w:tcPr>
            <w:tcW w:w="2607" w:type="dxa"/>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Reunião de políticas públicas e programas especificamente focados em resiliência de PMEs e continuidade e competitividade das empresas.</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Centro de informação com acesso a extenso inventário, compilado em âmbito regional, de boas práticas sobre políticas públicas e programas para resiliência e competitividade das PMEs.</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833"/>
        </w:trPr>
        <w:tc>
          <w:tcPr>
            <w:tcW w:w="2449" w:type="dxa"/>
            <w:vMerge/>
            <w:vAlign w:val="center"/>
            <w:hideMark/>
          </w:tcPr>
          <w:p w:rsidR="00910C92" w:rsidRPr="00D174BB" w:rsidRDefault="00910C92">
            <w:pPr>
              <w:rPr>
                <w:b/>
                <w:bCs/>
                <w:color w:val="000000" w:themeColor="text1"/>
                <w:sz w:val="22"/>
                <w:szCs w:val="22"/>
                <w:lang w:val="pt-BR"/>
              </w:rPr>
            </w:pPr>
          </w:p>
        </w:tc>
        <w:tc>
          <w:tcPr>
            <w:tcW w:w="2607" w:type="dxa"/>
            <w:hideMark/>
          </w:tcPr>
          <w:p w:rsidR="00910C92" w:rsidRPr="00D174BB" w:rsidRDefault="002579BC">
            <w:pPr>
              <w:rPr>
                <w:color w:val="000000" w:themeColor="text1"/>
                <w:sz w:val="22"/>
                <w:szCs w:val="22"/>
                <w:lang w:val="pt-BR"/>
              </w:rPr>
            </w:pPr>
            <w:r w:rsidRPr="00D174BB">
              <w:rPr>
                <w:color w:val="000000" w:themeColor="text1"/>
                <w:sz w:val="22"/>
                <w:szCs w:val="22"/>
                <w:lang w:val="pt-BR"/>
              </w:rPr>
              <w:t>Difusão</w:t>
            </w:r>
            <w:r w:rsidR="00910C92" w:rsidRPr="00D174BB">
              <w:rPr>
                <w:color w:val="000000" w:themeColor="text1"/>
                <w:sz w:val="22"/>
                <w:szCs w:val="22"/>
                <w:lang w:val="pt-BR"/>
              </w:rPr>
              <w:t xml:space="preserve"> de políticas públicas e programas especificamente focados em resiliência e competitividade das PMEs.</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Relato de um aspecto da resiliência das PMEs em cada Boletim Mensal sobre desenvolvimento de MPMEs. </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r w:rsidR="00910C92" w:rsidRPr="002A41AB" w:rsidTr="00E0152F">
        <w:trPr>
          <w:trHeight w:val="833"/>
        </w:trPr>
        <w:tc>
          <w:tcPr>
            <w:tcW w:w="2449" w:type="dxa"/>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DIÁLOGO DE POLÍTICA: Acompanhamento do Diálogo. Interamericano de Altas Autoridades de MPMEs</w:t>
            </w:r>
          </w:p>
        </w:tc>
        <w:tc>
          <w:tcPr>
            <w:tcW w:w="2607"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Reuniões virtuais focadas em resiliência das PMEs, continuidade e competitividade das empresas.</w:t>
            </w:r>
          </w:p>
        </w:tc>
        <w:tc>
          <w:tcPr>
            <w:tcW w:w="3239" w:type="dxa"/>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Intercâmbio de pelo menos dez boas práticas e identificação de oportunidades concretas de cooperação em políticas e programas de apoio à resiliência e à competitividade das </w:t>
            </w:r>
            <w:r w:rsidR="002579BC" w:rsidRPr="00D174BB">
              <w:rPr>
                <w:color w:val="000000" w:themeColor="text1"/>
                <w:sz w:val="22"/>
                <w:szCs w:val="22"/>
                <w:lang w:val="pt-BR"/>
              </w:rPr>
              <w:t>M</w:t>
            </w:r>
            <w:r w:rsidRPr="00D174BB">
              <w:rPr>
                <w:color w:val="000000" w:themeColor="text1"/>
                <w:sz w:val="22"/>
                <w:szCs w:val="22"/>
                <w:lang w:val="pt-BR"/>
              </w:rPr>
              <w:t>PMEs.</w:t>
            </w:r>
          </w:p>
        </w:tc>
        <w:tc>
          <w:tcPr>
            <w:tcW w:w="2702" w:type="dxa"/>
            <w:vMerge/>
            <w:vAlign w:val="center"/>
            <w:hideMark/>
          </w:tcPr>
          <w:p w:rsidR="00910C92" w:rsidRPr="00D174BB" w:rsidRDefault="00910C92">
            <w:pPr>
              <w:rPr>
                <w:color w:val="000000" w:themeColor="text1"/>
                <w:sz w:val="22"/>
                <w:szCs w:val="22"/>
                <w:lang w:val="pt-BR"/>
              </w:rPr>
            </w:pPr>
          </w:p>
        </w:tc>
        <w:tc>
          <w:tcPr>
            <w:tcW w:w="3778" w:type="dxa"/>
            <w:vMerge/>
            <w:vAlign w:val="center"/>
            <w:hideMark/>
          </w:tcPr>
          <w:p w:rsidR="00910C92" w:rsidRPr="00D174BB" w:rsidRDefault="00910C92">
            <w:pPr>
              <w:rPr>
                <w:color w:val="000000" w:themeColor="text1"/>
                <w:sz w:val="22"/>
                <w:szCs w:val="22"/>
                <w:lang w:val="pt-BR"/>
              </w:rPr>
            </w:pPr>
          </w:p>
        </w:tc>
      </w:tr>
    </w:tbl>
    <w:p w:rsidR="00E411BC" w:rsidRPr="00D174BB" w:rsidRDefault="00E411BC">
      <w:pPr>
        <w:rPr>
          <w:lang w:val="pt-BR"/>
        </w:rPr>
      </w:pPr>
      <w:r w:rsidRPr="00D174BB">
        <w:rPr>
          <w:lang w:val="pt-BR"/>
        </w:rPr>
        <w:br w:type="page"/>
      </w:r>
    </w:p>
    <w:tbl>
      <w:tblPr>
        <w:tblW w:w="14775" w:type="dxa"/>
        <w:tblLayout w:type="fixed"/>
        <w:tblLook w:val="04A0" w:firstRow="1" w:lastRow="0" w:firstColumn="1" w:lastColumn="0" w:noHBand="0" w:noVBand="1"/>
      </w:tblPr>
      <w:tblGrid>
        <w:gridCol w:w="2449"/>
        <w:gridCol w:w="2607"/>
        <w:gridCol w:w="92"/>
        <w:gridCol w:w="3239"/>
        <w:gridCol w:w="2610"/>
        <w:gridCol w:w="176"/>
        <w:gridCol w:w="3602"/>
      </w:tblGrid>
      <w:tr w:rsidR="00910C92" w:rsidRPr="002A41AB" w:rsidTr="00E411BC">
        <w:trPr>
          <w:trHeight w:val="548"/>
        </w:trPr>
        <w:tc>
          <w:tcPr>
            <w:tcW w:w="2449"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lastRenderedPageBreak/>
              <w:t>OBJETIVO ESTRATÉGICO</w:t>
            </w:r>
          </w:p>
        </w:tc>
        <w:tc>
          <w:tcPr>
            <w:tcW w:w="12326" w:type="dxa"/>
            <w:gridSpan w:val="6"/>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1.2. </w:t>
            </w:r>
            <w:r w:rsidRPr="00D174BB">
              <w:rPr>
                <w:b/>
                <w:sz w:val="22"/>
                <w:szCs w:val="22"/>
                <w:lang w:val="pt-BR"/>
              </w:rPr>
              <w:t>Aumentar a cooperação regional, o intercâmbio de conhecimentos e a transferência de tecnologia, em termos e condições mutuamente acordados, além da colaboração intersetorial nos Estados membros e entre eles, em matéria de competitividade, produtividade e inovação</w:t>
            </w:r>
            <w:r w:rsidRPr="00D174BB">
              <w:rPr>
                <w:b/>
                <w:bCs/>
                <w:color w:val="000000" w:themeColor="text1"/>
                <w:sz w:val="22"/>
                <w:szCs w:val="22"/>
                <w:lang w:val="pt-BR"/>
              </w:rPr>
              <w:t>.</w:t>
            </w:r>
          </w:p>
        </w:tc>
      </w:tr>
      <w:tr w:rsidR="00910C92" w:rsidRPr="00D174BB" w:rsidTr="00E411BC">
        <w:trPr>
          <w:trHeight w:val="405"/>
        </w:trPr>
        <w:tc>
          <w:tcPr>
            <w:tcW w:w="1477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Competitividade</w:t>
            </w:r>
          </w:p>
        </w:tc>
      </w:tr>
      <w:tr w:rsidR="00910C92" w:rsidRPr="002A41AB" w:rsidTr="00E411BC">
        <w:trPr>
          <w:trHeight w:val="800"/>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Rede Interamericana de Competitividade (RIAC)</w:t>
            </w:r>
            <w:r w:rsidRPr="00D174BB">
              <w:rPr>
                <w:rFonts w:eastAsia="Calibri"/>
                <w:b/>
                <w:bCs/>
                <w:color w:val="000000" w:themeColor="text1"/>
                <w:sz w:val="22"/>
                <w:szCs w:val="22"/>
                <w:lang w:val="pt-BR"/>
              </w:rPr>
              <w:br/>
            </w:r>
            <w:r w:rsidRPr="00D174BB">
              <w:rPr>
                <w:rFonts w:eastAsia="Calibri"/>
                <w:b/>
                <w:bCs/>
                <w:color w:val="000000" w:themeColor="text1"/>
                <w:sz w:val="22"/>
                <w:szCs w:val="22"/>
                <w:lang w:val="pt-BR"/>
              </w:rPr>
              <w:br/>
              <w:t>Intercâmbio para a Competitividade das Américas em Inovação e Empreendimento (ACE)</w:t>
            </w:r>
          </w:p>
        </w:tc>
        <w:tc>
          <w:tcPr>
            <w:tcW w:w="2607"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Intercâmbio de soluções, experiências de cidades/lugares principais sobre resiliência econômica para a competitividade, mediante a criação de parcerias. </w:t>
            </w:r>
          </w:p>
        </w:tc>
        <w:tc>
          <w:tcPr>
            <w:tcW w:w="3331" w:type="dxa"/>
            <w:gridSpan w:val="2"/>
            <w:tcBorders>
              <w:top w:val="single" w:sz="4" w:space="0" w:color="000000"/>
              <w:left w:val="single" w:sz="4" w:space="0" w:color="000000"/>
              <w:bottom w:val="single" w:sz="4" w:space="0" w:color="000000"/>
              <w:right w:val="single" w:sz="4" w:space="0" w:color="000000"/>
            </w:tcBorders>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Implementação de duas novas edições do ACE e construção de pelo menos dez parcerias de longo prazo sobre desenvolvimento econômico local impulsionado pela inovação.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color w:val="000000" w:themeColor="text1"/>
                <w:sz w:val="22"/>
                <w:szCs w:val="22"/>
                <w:lang w:val="pt-BR"/>
              </w:rPr>
              <w:t>Maiores formuladores de decisão das Américas e além das Américas para experimentar em primeira mão os diversos projetos, investimentos estratégicos, parcerias público-privadas e boas práticas dos ecossistemas de inovação e empreendedorismo de uma região. O ACE promove parcerias valendo-se de ideias e modelos que funcionam para criar empregos para fortalecer as economias geridas pela comunidade.</w:t>
            </w:r>
          </w:p>
        </w:tc>
        <w:tc>
          <w:tcPr>
            <w:tcW w:w="2610" w:type="dxa"/>
            <w:vMerge w:val="restart"/>
            <w:tcBorders>
              <w:top w:val="single" w:sz="4" w:space="0" w:color="000000"/>
              <w:left w:val="single" w:sz="4" w:space="0" w:color="000000"/>
              <w:bottom w:val="single" w:sz="4" w:space="0" w:color="000000"/>
              <w:right w:val="single" w:sz="4" w:space="0" w:color="000000"/>
            </w:tcBorders>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RIAC, Escritório Executivo da SEDI, Departamentos da SEDI, Escritório do Conselho Estratégico.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p>
          <w:p w:rsidR="00910C92" w:rsidRPr="00D174BB" w:rsidRDefault="00910C92" w:rsidP="00E411BC">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colaboração CONAMER-México entre as autoridades </w:t>
            </w:r>
            <w:r w:rsidR="00E411BC" w:rsidRPr="00D174BB">
              <w:rPr>
                <w:color w:val="000000" w:themeColor="text1"/>
                <w:sz w:val="22"/>
                <w:szCs w:val="22"/>
                <w:lang w:val="pt-BR"/>
              </w:rPr>
              <w:t xml:space="preserve">do setor público </w:t>
            </w:r>
            <w:r w:rsidRPr="00D174BB">
              <w:rPr>
                <w:color w:val="000000" w:themeColor="text1"/>
                <w:sz w:val="22"/>
                <w:szCs w:val="22"/>
                <w:lang w:val="pt-BR"/>
              </w:rPr>
              <w:t>naciona</w:t>
            </w:r>
            <w:r w:rsidR="00E411BC" w:rsidRPr="00D174BB">
              <w:rPr>
                <w:color w:val="000000" w:themeColor="text1"/>
                <w:sz w:val="22"/>
                <w:szCs w:val="22"/>
                <w:lang w:val="pt-BR"/>
              </w:rPr>
              <w:t>l</w:t>
            </w:r>
            <w:r w:rsidRPr="00D174BB">
              <w:rPr>
                <w:color w:val="000000" w:themeColor="text1"/>
                <w:sz w:val="22"/>
                <w:szCs w:val="22"/>
                <w:lang w:val="pt-BR"/>
              </w:rPr>
              <w:t>, estadua</w:t>
            </w:r>
            <w:r w:rsidR="00E411BC" w:rsidRPr="00D174BB">
              <w:rPr>
                <w:color w:val="000000" w:themeColor="text1"/>
                <w:sz w:val="22"/>
                <w:szCs w:val="22"/>
                <w:lang w:val="pt-BR"/>
              </w:rPr>
              <w:t>l</w:t>
            </w:r>
            <w:r w:rsidRPr="00D174BB">
              <w:rPr>
                <w:color w:val="000000" w:themeColor="text1"/>
                <w:sz w:val="22"/>
                <w:szCs w:val="22"/>
                <w:lang w:val="pt-BR"/>
              </w:rPr>
              <w:t xml:space="preserve"> e municipa</w:t>
            </w:r>
            <w:r w:rsidR="00E411BC" w:rsidRPr="00D174BB">
              <w:rPr>
                <w:color w:val="000000" w:themeColor="text1"/>
                <w:sz w:val="22"/>
                <w:szCs w:val="22"/>
                <w:lang w:val="pt-BR"/>
              </w:rPr>
              <w:t>l</w:t>
            </w:r>
            <w:r w:rsidRPr="00D174BB">
              <w:rPr>
                <w:color w:val="000000" w:themeColor="text1"/>
                <w:sz w:val="22"/>
                <w:szCs w:val="22"/>
                <w:lang w:val="pt-BR"/>
              </w:rPr>
              <w:t xml:space="preserve">, </w:t>
            </w:r>
            <w:r w:rsidR="00E411BC" w:rsidRPr="00D174BB">
              <w:rPr>
                <w:color w:val="000000" w:themeColor="text1"/>
                <w:sz w:val="22"/>
                <w:szCs w:val="22"/>
                <w:lang w:val="pt-BR"/>
              </w:rPr>
              <w:t>dirigentes</w:t>
            </w:r>
            <w:r w:rsidRPr="00D174BB">
              <w:rPr>
                <w:color w:val="000000" w:themeColor="text1"/>
                <w:sz w:val="22"/>
                <w:szCs w:val="22"/>
                <w:lang w:val="pt-BR"/>
              </w:rPr>
              <w:t xml:space="preserve"> do setor privado e do setor acadêmico. Departamento de Comércio dos Estados Unidos (</w:t>
            </w:r>
            <w:r w:rsidR="00E411BC" w:rsidRPr="00D174BB">
              <w:rPr>
                <w:color w:val="000000" w:themeColor="text1"/>
                <w:sz w:val="22"/>
                <w:szCs w:val="22"/>
                <w:lang w:val="pt-BR"/>
              </w:rPr>
              <w:t>Administração de Desenvolvimento Econômico e Administração do Comércio Internacional</w:t>
            </w:r>
            <w:r w:rsidRPr="00D174BB">
              <w:rPr>
                <w:color w:val="000000" w:themeColor="text1"/>
                <w:sz w:val="22"/>
                <w:szCs w:val="22"/>
                <w:lang w:val="pt-BR"/>
              </w:rPr>
              <w:t>), Departamento de Estado dos Estados Unidos, FUPAD, Estados membros da OEA, setor privado e setor acadêmico.</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Identificação de competências e enfoques inovadores para a competitividade: </w:t>
            </w:r>
            <w:r w:rsidRPr="00D174BB">
              <w:rPr>
                <w:bCs/>
                <w:color w:val="000000" w:themeColor="text1"/>
                <w:sz w:val="22"/>
                <w:szCs w:val="22"/>
                <w:lang w:val="pt-BR"/>
              </w:rPr>
              <w:t>o Acelerador de Ideias da</w:t>
            </w:r>
            <w:r w:rsidRPr="00D174BB">
              <w:rPr>
                <w:b/>
                <w:bCs/>
                <w:color w:val="000000" w:themeColor="text1"/>
                <w:sz w:val="22"/>
                <w:szCs w:val="22"/>
                <w:lang w:val="pt-BR"/>
              </w:rPr>
              <w:t xml:space="preserve"> </w:t>
            </w:r>
            <w:r w:rsidR="002579BC" w:rsidRPr="00D174BB">
              <w:rPr>
                <w:color w:val="000000" w:themeColor="text1"/>
                <w:sz w:val="22"/>
                <w:szCs w:val="22"/>
                <w:lang w:val="pt-BR"/>
              </w:rPr>
              <w:t>covid</w:t>
            </w:r>
            <w:r w:rsidRPr="00D174BB">
              <w:rPr>
                <w:color w:val="000000" w:themeColor="text1"/>
                <w:sz w:val="22"/>
                <w:szCs w:val="22"/>
                <w:lang w:val="pt-BR"/>
              </w:rPr>
              <w:t xml:space="preserve">-19 da RIAC identifica e compartilha produtos e serviços inovadores e voltados para soluções, com vistas a enfrentar algumas das necessidades mais prementes provocadas pela </w:t>
            </w:r>
            <w:r w:rsidR="002579BC" w:rsidRPr="00D174BB">
              <w:rPr>
                <w:color w:val="000000" w:themeColor="text1"/>
                <w:sz w:val="22"/>
                <w:szCs w:val="22"/>
                <w:lang w:val="pt-BR"/>
              </w:rPr>
              <w:t>covid</w:t>
            </w:r>
            <w:r w:rsidRPr="00D174BB">
              <w:rPr>
                <w:color w:val="000000" w:themeColor="text1"/>
                <w:sz w:val="22"/>
                <w:szCs w:val="22"/>
                <w:lang w:val="pt-BR"/>
              </w:rPr>
              <w:t>-19.</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Intercâmbio de conhecimentos e boas práticas: </w:t>
            </w:r>
            <w:r w:rsidRPr="00D174BB">
              <w:rPr>
                <w:bCs/>
                <w:color w:val="000000" w:themeColor="text1"/>
                <w:sz w:val="22"/>
                <w:szCs w:val="22"/>
                <w:lang w:val="pt-BR"/>
              </w:rPr>
              <w:t>os Estados membros</w:t>
            </w:r>
            <w:r w:rsidRPr="00D174BB">
              <w:rPr>
                <w:b/>
                <w:bCs/>
                <w:color w:val="000000" w:themeColor="text1"/>
                <w:sz w:val="22"/>
                <w:szCs w:val="22"/>
                <w:lang w:val="pt-BR"/>
              </w:rPr>
              <w:t xml:space="preserve"> </w:t>
            </w:r>
            <w:r w:rsidRPr="00D174BB">
              <w:rPr>
                <w:bCs/>
                <w:color w:val="000000" w:themeColor="text1"/>
                <w:sz w:val="22"/>
                <w:szCs w:val="22"/>
                <w:lang w:val="pt-BR"/>
              </w:rPr>
              <w:t>têm</w:t>
            </w:r>
            <w:r w:rsidRPr="00D174BB">
              <w:rPr>
                <w:b/>
                <w:bCs/>
                <w:color w:val="000000" w:themeColor="text1"/>
                <w:sz w:val="22"/>
                <w:szCs w:val="22"/>
                <w:lang w:val="pt-BR"/>
              </w:rPr>
              <w:t xml:space="preserve"> </w:t>
            </w:r>
            <w:r w:rsidRPr="00D174BB">
              <w:rPr>
                <w:color w:val="000000" w:themeColor="text1"/>
                <w:sz w:val="22"/>
                <w:szCs w:val="22"/>
                <w:lang w:val="pt-BR"/>
              </w:rPr>
              <w:t xml:space="preserve">acesso e oportunidades para aprender, compartilhar projetos, experiências e outros recursos que podem ajudar a organizar, replicar ou adaptar iniciativas para reduzir os desafios da </w:t>
            </w:r>
            <w:r w:rsidR="002579BC" w:rsidRPr="00D174BB">
              <w:rPr>
                <w:color w:val="000000" w:themeColor="text1"/>
                <w:sz w:val="22"/>
                <w:szCs w:val="22"/>
                <w:lang w:val="pt-BR"/>
              </w:rPr>
              <w:t>covid</w:t>
            </w:r>
            <w:r w:rsidRPr="00D174BB">
              <w:rPr>
                <w:color w:val="000000" w:themeColor="text1"/>
                <w:sz w:val="22"/>
                <w:szCs w:val="22"/>
                <w:lang w:val="pt-BR"/>
              </w:rPr>
              <w:t>-19.</w:t>
            </w:r>
          </w:p>
          <w:p w:rsidR="00910C92" w:rsidRPr="00D174BB" w:rsidRDefault="00910C92" w:rsidP="00D174BB">
            <w:pPr>
              <w:rPr>
                <w:color w:val="000000" w:themeColor="text1"/>
                <w:sz w:val="22"/>
                <w:szCs w:val="22"/>
                <w:lang w:val="pt-BR"/>
              </w:rPr>
            </w:pPr>
            <w:r w:rsidRPr="00D174BB">
              <w:rPr>
                <w:color w:val="000000" w:themeColor="text1"/>
                <w:sz w:val="22"/>
                <w:szCs w:val="22"/>
                <w:lang w:val="pt-BR"/>
              </w:rPr>
              <w:br/>
            </w:r>
            <w:r w:rsidR="00D174BB" w:rsidRPr="00D174BB">
              <w:rPr>
                <w:color w:val="000000" w:themeColor="text1"/>
                <w:sz w:val="22"/>
                <w:szCs w:val="22"/>
                <w:lang w:val="pt-BR"/>
              </w:rPr>
              <w:t xml:space="preserve">- Participação em </w:t>
            </w:r>
            <w:r w:rsidR="00D174BB">
              <w:rPr>
                <w:color w:val="000000" w:themeColor="text1"/>
                <w:sz w:val="22"/>
                <w:szCs w:val="22"/>
                <w:lang w:val="pt-BR"/>
              </w:rPr>
              <w:t>ciclo</w:t>
            </w:r>
            <w:r w:rsidR="00D174BB" w:rsidRPr="00D174BB">
              <w:rPr>
                <w:color w:val="000000" w:themeColor="text1"/>
                <w:sz w:val="22"/>
                <w:szCs w:val="22"/>
                <w:lang w:val="pt-BR"/>
              </w:rPr>
              <w:t xml:space="preserve"> de reuniões virtuais, </w:t>
            </w:r>
            <w:r w:rsidR="00D174BB">
              <w:rPr>
                <w:color w:val="000000" w:themeColor="text1"/>
                <w:sz w:val="22"/>
                <w:szCs w:val="22"/>
                <w:lang w:val="pt-BR"/>
              </w:rPr>
              <w:t>seminários web</w:t>
            </w:r>
            <w:r w:rsidR="00D174BB" w:rsidRPr="00D174BB">
              <w:rPr>
                <w:color w:val="000000" w:themeColor="text1"/>
                <w:sz w:val="22"/>
                <w:szCs w:val="22"/>
                <w:lang w:val="pt-BR"/>
              </w:rPr>
              <w:t xml:space="preserve"> e </w:t>
            </w:r>
            <w:r w:rsidR="00D174BB">
              <w:rPr>
                <w:color w:val="000000" w:themeColor="text1"/>
                <w:sz w:val="22"/>
                <w:szCs w:val="22"/>
                <w:lang w:val="pt-BR"/>
              </w:rPr>
              <w:t>oficinas virtuais</w:t>
            </w:r>
            <w:r w:rsidR="00D174BB" w:rsidRPr="00D174BB">
              <w:rPr>
                <w:color w:val="000000" w:themeColor="text1"/>
                <w:sz w:val="22"/>
                <w:szCs w:val="22"/>
                <w:lang w:val="pt-BR"/>
              </w:rPr>
              <w:t>.</w:t>
            </w:r>
            <w:r w:rsidR="00D174BB" w:rsidRPr="00D174BB">
              <w:rPr>
                <w:color w:val="000000" w:themeColor="text1"/>
                <w:sz w:val="22"/>
                <w:szCs w:val="22"/>
                <w:lang w:val="pt-BR"/>
              </w:rPr>
              <w:br/>
              <w:t>- Portfólio de recursos e respostas para o desenvolvimento, oriundos dos Estados membros, com relação à covid-19, na área de competitividade.</w:t>
            </w:r>
          </w:p>
        </w:tc>
      </w:tr>
      <w:tr w:rsidR="00910C92" w:rsidRPr="002A41AB" w:rsidTr="00E411BC">
        <w:trPr>
          <w:trHeight w:val="1298"/>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Grupo de Peritos sobre Competitividade Subnacional (GTECS):</w:t>
            </w:r>
            <w:r w:rsidRPr="00D174BB">
              <w:rPr>
                <w:color w:val="000000" w:themeColor="text1"/>
                <w:sz w:val="22"/>
                <w:szCs w:val="22"/>
                <w:lang w:val="pt-BR"/>
              </w:rPr>
              <w:t xml:space="preserve"> GT em Licenças de Construção-GTECS</w:t>
            </w:r>
          </w:p>
        </w:tc>
        <w:tc>
          <w:tcPr>
            <w:tcW w:w="2607"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Intercâmbio de boas práticas locais para a implementação de reformas normativas, especialmente na emissão de licenças de construção.</w:t>
            </w:r>
          </w:p>
        </w:tc>
        <w:tc>
          <w:tcPr>
            <w:tcW w:w="3331"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Início da implementação da metodologia das VECS da CONAMER (Janela Simplificada de Construção) em dois países: três procedimentos, dez dias de trabalho e cinco interações com a Autoridade Nacional.</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910C92" w:rsidRPr="00D174BB" w:rsidRDefault="00910C92">
            <w:pPr>
              <w:rPr>
                <w:sz w:val="20"/>
                <w:szCs w:val="20"/>
                <w:lang w:val="pt-BR"/>
              </w:rPr>
            </w:pPr>
          </w:p>
        </w:tc>
      </w:tr>
      <w:tr w:rsidR="00910C92" w:rsidRPr="002A41AB" w:rsidTr="00E411BC">
        <w:trPr>
          <w:trHeight w:val="1718"/>
        </w:trPr>
        <w:tc>
          <w:tcPr>
            <w:tcW w:w="2449" w:type="dxa"/>
            <w:tcBorders>
              <w:top w:val="single" w:sz="4" w:space="0" w:color="000000"/>
              <w:left w:val="single" w:sz="4" w:space="0" w:color="000000"/>
              <w:bottom w:val="single" w:sz="4" w:space="0" w:color="000000"/>
              <w:right w:val="single" w:sz="4" w:space="0" w:color="000000"/>
            </w:tcBorders>
          </w:tcPr>
          <w:p w:rsidR="00910C92" w:rsidRPr="00D174BB" w:rsidRDefault="00910C92">
            <w:pPr>
              <w:rPr>
                <w:rFonts w:eastAsia="Calibri"/>
                <w:color w:val="000000" w:themeColor="text1"/>
                <w:sz w:val="22"/>
                <w:szCs w:val="22"/>
                <w:lang w:val="pt-BR"/>
              </w:rPr>
            </w:pPr>
            <w:r w:rsidRPr="00D174BB">
              <w:rPr>
                <w:rFonts w:eastAsia="Calibri"/>
                <w:b/>
                <w:bCs/>
                <w:color w:val="000000" w:themeColor="text1"/>
                <w:sz w:val="22"/>
                <w:szCs w:val="22"/>
                <w:lang w:val="pt-BR"/>
              </w:rPr>
              <w:lastRenderedPageBreak/>
              <w:t xml:space="preserve">DIÁLOGO DE POLÍTICA: </w:t>
            </w:r>
            <w:r w:rsidRPr="00D174BB">
              <w:rPr>
                <w:rFonts w:eastAsia="Calibri"/>
                <w:color w:val="000000" w:themeColor="text1"/>
                <w:sz w:val="22"/>
                <w:szCs w:val="22"/>
                <w:lang w:val="pt-BR"/>
              </w:rPr>
              <w:t>Preparação para o Fórum de Competitividade das Américas (ACF) e a Reunião Anual de Ministros, Autoridades de Alto Nível e Conselhos de Competitividade das Américas, da RIAC.</w:t>
            </w:r>
          </w:p>
          <w:p w:rsidR="00910C92" w:rsidRPr="00D174BB" w:rsidRDefault="00910C92">
            <w:pPr>
              <w:rPr>
                <w:rFonts w:eastAsia="Calibri"/>
                <w:color w:val="000000" w:themeColor="text1"/>
                <w:sz w:val="22"/>
                <w:szCs w:val="22"/>
                <w:lang w:val="pt-BR"/>
              </w:rPr>
            </w:pPr>
          </w:p>
        </w:tc>
        <w:tc>
          <w:tcPr>
            <w:tcW w:w="2607"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Formulação de um enfoque baseado em</w:t>
            </w:r>
            <w:proofErr w:type="gramStart"/>
            <w:r w:rsidRPr="00D174BB">
              <w:rPr>
                <w:color w:val="000000" w:themeColor="text1"/>
                <w:sz w:val="22"/>
                <w:szCs w:val="22"/>
                <w:lang w:val="pt-BR"/>
              </w:rPr>
              <w:t xml:space="preserve">  </w:t>
            </w:r>
            <w:proofErr w:type="gramEnd"/>
            <w:r w:rsidRPr="00D174BB">
              <w:rPr>
                <w:color w:val="000000" w:themeColor="text1"/>
                <w:sz w:val="22"/>
                <w:szCs w:val="22"/>
                <w:lang w:val="pt-BR"/>
              </w:rPr>
              <w:t xml:space="preserve">dados para promover a competitividade e a resiliência das PMEs nas Américas. </w:t>
            </w:r>
          </w:p>
        </w:tc>
        <w:tc>
          <w:tcPr>
            <w:tcW w:w="3331"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Formulação e início da implementação, em dois países, de enfoque baseado em dados para promover a competitividade.</w:t>
            </w: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FFFF00"/>
          </w:tcPr>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color w:val="000000" w:themeColor="text1"/>
                <w:sz w:val="22"/>
                <w:szCs w:val="22"/>
                <w:lang w:val="pt-BR"/>
              </w:rPr>
              <w:t xml:space="preserve">O Fórum de Competitividade das Américas (ACF) se centrará nas políticas e na capacidade institucional necessárias para enfrentar as implicações econômicas de curto, médio e longo prazo da </w:t>
            </w:r>
            <w:r w:rsidR="002579BC" w:rsidRPr="00D174BB">
              <w:rPr>
                <w:color w:val="000000" w:themeColor="text1"/>
                <w:sz w:val="22"/>
                <w:szCs w:val="22"/>
                <w:lang w:val="pt-BR"/>
              </w:rPr>
              <w:t>covid</w:t>
            </w:r>
            <w:r w:rsidRPr="00D174BB">
              <w:rPr>
                <w:color w:val="000000" w:themeColor="text1"/>
                <w:sz w:val="22"/>
                <w:szCs w:val="22"/>
                <w:lang w:val="pt-BR"/>
              </w:rPr>
              <w:t>-19.</w:t>
            </w:r>
          </w:p>
        </w:tc>
      </w:tr>
      <w:tr w:rsidR="00910C92" w:rsidRPr="002A41AB" w:rsidTr="00E411BC">
        <w:trPr>
          <w:trHeight w:val="593"/>
        </w:trPr>
        <w:tc>
          <w:tcPr>
            <w:tcW w:w="2449"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OBJETIVO ESTRATÉGICO</w:t>
            </w:r>
          </w:p>
        </w:tc>
        <w:tc>
          <w:tcPr>
            <w:tcW w:w="12326" w:type="dxa"/>
            <w:gridSpan w:val="6"/>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1.3. </w:t>
            </w:r>
            <w:r w:rsidRPr="00D174BB">
              <w:rPr>
                <w:b/>
                <w:sz w:val="22"/>
                <w:szCs w:val="22"/>
                <w:lang w:val="pt-BR"/>
              </w:rPr>
              <w:t>Aumentar a cooperação para fortalecer a capacidade institucional dos Estados membros de incorporar inovação e tecnologia transformadoras, que gerem valor agregado e diversificação de suas economias, de maneira sustentável e inclusiva</w:t>
            </w:r>
            <w:r w:rsidRPr="00D174BB">
              <w:rPr>
                <w:b/>
                <w:bCs/>
                <w:color w:val="000000" w:themeColor="text1"/>
                <w:sz w:val="22"/>
                <w:szCs w:val="22"/>
                <w:lang w:val="pt-BR"/>
              </w:rPr>
              <w:t>.</w:t>
            </w:r>
          </w:p>
        </w:tc>
      </w:tr>
      <w:tr w:rsidR="00910C92" w:rsidRPr="00D174BB" w:rsidTr="00E411BC">
        <w:trPr>
          <w:trHeight w:val="206"/>
        </w:trPr>
        <w:tc>
          <w:tcPr>
            <w:tcW w:w="1477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Ciência e tecnologia</w:t>
            </w:r>
          </w:p>
        </w:tc>
      </w:tr>
      <w:tr w:rsidR="00910C92" w:rsidRPr="002A41AB" w:rsidTr="00E411BC">
        <w:trPr>
          <w:trHeight w:val="4670"/>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b/>
                <w:bCs/>
                <w:color w:val="000000" w:themeColor="text1"/>
                <w:sz w:val="22"/>
                <w:szCs w:val="22"/>
                <w:lang w:val="pt-BR"/>
              </w:rPr>
              <w:t>DIÁLOGO DE POLÍTICA:</w:t>
            </w:r>
            <w:r w:rsidRPr="00D174BB">
              <w:rPr>
                <w:rFonts w:eastAsia="Calibri"/>
                <w:color w:val="000000" w:themeColor="text1"/>
                <w:sz w:val="22"/>
                <w:szCs w:val="22"/>
                <w:lang w:val="pt-BR"/>
              </w:rPr>
              <w:t xml:space="preserve"> Sexta Reunião de Ministros e Altas Autoridades de Ciência e Tecnologia. Tema: “Mobilizando o poder da ciência e das tecnologias transformadoras para impulsionar nossas comunidades”.</w:t>
            </w:r>
            <w:r w:rsidRPr="00D174BB">
              <w:rPr>
                <w:rFonts w:eastAsia="Calibri"/>
                <w:color w:val="000000" w:themeColor="text1"/>
                <w:sz w:val="22"/>
                <w:szCs w:val="22"/>
                <w:lang w:val="pt-BR"/>
              </w:rPr>
              <w:br/>
            </w:r>
            <w:r w:rsidRPr="00D174BB">
              <w:rPr>
                <w:rFonts w:eastAsia="Calibri"/>
                <w:color w:val="000000" w:themeColor="text1"/>
                <w:sz w:val="22"/>
                <w:szCs w:val="22"/>
                <w:lang w:val="pt-BR"/>
              </w:rPr>
              <w:br/>
              <w:t>Grupos de Trabalho da COMCYT sobre: a) Inovação; b) Formação em engenharia; c) Infraestrutura nacional de qualidade; d) Desenvolvimento tecnológico.</w:t>
            </w: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Os desafios regionais para a “construção de resiliência” serão apresentados na Reunião Ministerial e na Segunda Edição do Prospecta Américas, a fim de extrair soluções das tecnologias emergentes. </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A Reunião Ministerial é uma oportunidade de observar a plataforma de prospecção pelas lentes do desenvolvimento e levá-la às Autoridades na Cúpula das Américas.</w:t>
            </w:r>
          </w:p>
        </w:tc>
        <w:tc>
          <w:tcPr>
            <w:tcW w:w="2786" w:type="dxa"/>
            <w:gridSpan w:val="2"/>
            <w:vMerge w:val="restart"/>
            <w:tcBorders>
              <w:top w:val="single" w:sz="4" w:space="0" w:color="000000"/>
              <w:left w:val="single" w:sz="4" w:space="0" w:color="000000"/>
              <w:bottom w:val="single" w:sz="4" w:space="0" w:color="000000"/>
              <w:right w:val="single" w:sz="4" w:space="0" w:color="000000"/>
            </w:tcBorders>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Escritório Executivo da SEDI e Departamentos da SEDI.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NCST-Jamaica, CONCYTEC, Universidade de Purdue, Universidade de São Paulo, UNAM, PUCP-Peru, Element</w:t>
            </w:r>
            <w:r w:rsidR="00FB7BA6" w:rsidRPr="00D174BB">
              <w:rPr>
                <w:color w:val="000000" w:themeColor="text1"/>
                <w:sz w:val="22"/>
                <w:szCs w:val="22"/>
                <w:lang w:val="pt-BR"/>
              </w:rPr>
              <w:t xml:space="preserve"> </w:t>
            </w:r>
            <w:r w:rsidRPr="00D174BB">
              <w:rPr>
                <w:color w:val="000000" w:themeColor="text1"/>
                <w:sz w:val="22"/>
                <w:szCs w:val="22"/>
                <w:lang w:val="pt-BR"/>
              </w:rPr>
              <w:t>AI (Canadá), Universidade Externado da Colômbia, Instituto de Tecnologia de Illinois, Universidade Georgetown, AWS e outros parceiros do setor privado e das universidades.</w:t>
            </w: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rsidP="00FB7BA6">
            <w:pPr>
              <w:rPr>
                <w:color w:val="000000" w:themeColor="text1"/>
                <w:sz w:val="22"/>
                <w:szCs w:val="22"/>
                <w:lang w:val="pt-BR"/>
              </w:rPr>
            </w:pPr>
            <w:r w:rsidRPr="00D174BB">
              <w:rPr>
                <w:b/>
                <w:bCs/>
                <w:color w:val="000000" w:themeColor="text1"/>
                <w:sz w:val="22"/>
                <w:szCs w:val="22"/>
                <w:lang w:val="pt-BR"/>
              </w:rPr>
              <w:t>Recursos tecnológicos para todos:</w:t>
            </w:r>
            <w:r w:rsidRPr="00D174BB">
              <w:rPr>
                <w:b/>
                <w:bCs/>
                <w:color w:val="000000" w:themeColor="text1"/>
                <w:sz w:val="22"/>
                <w:szCs w:val="22"/>
                <w:lang w:val="pt-BR"/>
              </w:rPr>
              <w:br/>
            </w:r>
            <w:r w:rsidRPr="00D174BB">
              <w:rPr>
                <w:color w:val="000000" w:themeColor="text1"/>
                <w:sz w:val="22"/>
                <w:szCs w:val="22"/>
                <w:lang w:val="pt-BR"/>
              </w:rPr>
              <w:t xml:space="preserve">A próxima Reunião de Ministros e Altas Autoridades (REMCYT) (Jamaica) focalizará as soluções da ciência e da tecnologia para os desafios mais prementes dos Estados membros relacionados à </w:t>
            </w:r>
            <w:r w:rsidR="002579BC" w:rsidRPr="00D174BB">
              <w:rPr>
                <w:color w:val="000000" w:themeColor="text1"/>
                <w:sz w:val="22"/>
                <w:szCs w:val="22"/>
                <w:lang w:val="pt-BR"/>
              </w:rPr>
              <w:t>covid</w:t>
            </w:r>
            <w:r w:rsidRPr="00D174BB">
              <w:rPr>
                <w:color w:val="000000" w:themeColor="text1"/>
                <w:sz w:val="22"/>
                <w:szCs w:val="22"/>
                <w:lang w:val="pt-BR"/>
              </w:rPr>
              <w:t>-19.</w:t>
            </w:r>
            <w:r w:rsidRPr="00D174BB">
              <w:rPr>
                <w:color w:val="000000" w:themeColor="text1"/>
                <w:sz w:val="22"/>
                <w:szCs w:val="22"/>
                <w:lang w:val="pt-BR"/>
              </w:rPr>
              <w:br/>
            </w:r>
            <w:r w:rsidRPr="00D174BB">
              <w:rPr>
                <w:color w:val="000000" w:themeColor="text1"/>
                <w:sz w:val="22"/>
                <w:szCs w:val="22"/>
                <w:lang w:val="pt-BR"/>
              </w:rPr>
              <w:br/>
              <w:t xml:space="preserve">A SEDI vem trabalhando com a COMCYT para oferecer respostas inovadoras baseadas em tecnologia aos desafios correntes e futuros decorrentes da </w:t>
            </w:r>
            <w:r w:rsidR="002579BC" w:rsidRPr="00D174BB">
              <w:rPr>
                <w:color w:val="000000" w:themeColor="text1"/>
                <w:sz w:val="22"/>
                <w:szCs w:val="22"/>
                <w:lang w:val="pt-BR"/>
              </w:rPr>
              <w:t>covid</w:t>
            </w:r>
            <w:r w:rsidRPr="00D174BB">
              <w:rPr>
                <w:color w:val="000000" w:themeColor="text1"/>
                <w:sz w:val="22"/>
                <w:szCs w:val="22"/>
                <w:lang w:val="pt-BR"/>
              </w:rPr>
              <w:t>-19, como a criação de uma Rede Interamericana de Modelagem e Simulação de Soluções de Emergência, em conformidade com a Prospecta Américas.</w:t>
            </w:r>
          </w:p>
        </w:tc>
      </w:tr>
      <w:tr w:rsidR="00910C92" w:rsidRPr="002A41AB" w:rsidTr="00E411BC">
        <w:trPr>
          <w:trHeight w:val="900"/>
        </w:trPr>
        <w:tc>
          <w:tcPr>
            <w:tcW w:w="2449"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b/>
                <w:bCs/>
                <w:color w:val="000000" w:themeColor="text1"/>
                <w:sz w:val="22"/>
                <w:szCs w:val="22"/>
                <w:lang w:val="pt-BR"/>
              </w:rPr>
              <w:t>Prospecta Américas</w:t>
            </w:r>
            <w:r w:rsidRPr="00D174BB">
              <w:rPr>
                <w:rFonts w:eastAsia="Calibri"/>
                <w:color w:val="000000" w:themeColor="text1"/>
                <w:sz w:val="22"/>
                <w:szCs w:val="22"/>
                <w:lang w:val="pt-BR"/>
              </w:rPr>
              <w:t xml:space="preserve">: Plataforma de prospecção sobre tecnologias emergentes e </w:t>
            </w:r>
            <w:r w:rsidRPr="00D174BB">
              <w:rPr>
                <w:rFonts w:eastAsia="Calibri"/>
                <w:color w:val="000000" w:themeColor="text1"/>
                <w:sz w:val="22"/>
                <w:szCs w:val="22"/>
                <w:lang w:val="pt-BR"/>
              </w:rPr>
              <w:lastRenderedPageBreak/>
              <w:t>transformadoras.</w:t>
            </w:r>
          </w:p>
        </w:tc>
        <w:tc>
          <w:tcPr>
            <w:tcW w:w="2699"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lastRenderedPageBreak/>
              <w:t xml:space="preserve">Examinar as dez tecnologias identificadas e avaliar seu impacto potencial em todas as áreas </w:t>
            </w:r>
            <w:r w:rsidRPr="00D174BB">
              <w:rPr>
                <w:rFonts w:eastAsia="Calibri"/>
                <w:color w:val="000000" w:themeColor="text1"/>
                <w:sz w:val="22"/>
                <w:szCs w:val="22"/>
                <w:lang w:val="pt-BR"/>
              </w:rPr>
              <w:lastRenderedPageBreak/>
              <w:t>da SEDI.</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lastRenderedPageBreak/>
              <w:t xml:space="preserve">Início do processo de criação de Centros Interamericanos de Prospecção de Excelência em duas das dez tecnologias </w:t>
            </w:r>
            <w:r w:rsidRPr="00D174BB">
              <w:rPr>
                <w:color w:val="000000" w:themeColor="text1"/>
                <w:sz w:val="22"/>
                <w:szCs w:val="22"/>
                <w:lang w:val="pt-BR"/>
              </w:rPr>
              <w:lastRenderedPageBreak/>
              <w:t>transformadoras.</w:t>
            </w:r>
            <w:r w:rsidRPr="00D174BB">
              <w:rPr>
                <w:color w:val="000000" w:themeColor="text1"/>
                <w:sz w:val="22"/>
                <w:szCs w:val="22"/>
                <w:lang w:val="pt-BR"/>
              </w:rPr>
              <w:br/>
              <w:t xml:space="preserve">1. Nano/novos materiais; 2. Robótica – satélites; 3. Biologia sintética; 4. Engenharia biomédica; 5. </w:t>
            </w:r>
            <w:r w:rsidRPr="00D174BB">
              <w:rPr>
                <w:i/>
                <w:color w:val="000000" w:themeColor="text1"/>
                <w:sz w:val="22"/>
                <w:szCs w:val="22"/>
                <w:lang w:val="pt-BR"/>
              </w:rPr>
              <w:t>Big data</w:t>
            </w:r>
            <w:r w:rsidRPr="00D174BB">
              <w:rPr>
                <w:color w:val="000000" w:themeColor="text1"/>
                <w:sz w:val="22"/>
                <w:szCs w:val="22"/>
                <w:lang w:val="pt-BR"/>
              </w:rPr>
              <w:t xml:space="preserve">; 6. </w:t>
            </w:r>
            <w:r w:rsidRPr="00D174BB">
              <w:rPr>
                <w:i/>
                <w:color w:val="000000" w:themeColor="text1"/>
                <w:sz w:val="22"/>
                <w:szCs w:val="22"/>
                <w:lang w:val="pt-BR"/>
              </w:rPr>
              <w:t>Block chain</w:t>
            </w:r>
            <w:r w:rsidRPr="00D174BB">
              <w:rPr>
                <w:color w:val="000000" w:themeColor="text1"/>
                <w:sz w:val="22"/>
                <w:szCs w:val="22"/>
                <w:lang w:val="pt-BR"/>
              </w:rPr>
              <w:t xml:space="preserve">; 7. Computação quântica; 8. Realidade aumentada; 9. Realidade virtual; 10. Inteligência artificial.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109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Examinar a preparação e as tendências regionais, além do impacto potencial das tecnologias emergentes no setor produtivo e na economia.</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548"/>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Gerar soluções para os desafios do desenvolvimento, mediante o uso das tecnologias emergentes.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750"/>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HUB de comercialização e transferência de tecnologia das Américas</w:t>
            </w:r>
          </w:p>
        </w:tc>
        <w:tc>
          <w:tcPr>
            <w:tcW w:w="2699" w:type="dxa"/>
            <w:gridSpan w:val="2"/>
            <w:tcBorders>
              <w:top w:val="single" w:sz="4" w:space="0" w:color="000000"/>
              <w:left w:val="single" w:sz="4" w:space="0" w:color="000000"/>
              <w:bottom w:val="single" w:sz="4" w:space="0" w:color="000000"/>
              <w:right w:val="single" w:sz="4" w:space="0" w:color="000000"/>
            </w:tcBorders>
            <w:noWrap/>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Contribuir para a aceleração de dez tecnologias em áreas de maior necessidade, levando-as das ideias ao mercado.</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398"/>
        </w:trPr>
        <w:tc>
          <w:tcPr>
            <w:tcW w:w="2449"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OBJETIVO ESTRATÉGICO</w:t>
            </w:r>
          </w:p>
        </w:tc>
        <w:tc>
          <w:tcPr>
            <w:tcW w:w="12326" w:type="dxa"/>
            <w:gridSpan w:val="6"/>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1.4. </w:t>
            </w:r>
            <w:r w:rsidRPr="00D174BB">
              <w:rPr>
                <w:b/>
                <w:sz w:val="22"/>
                <w:szCs w:val="22"/>
                <w:lang w:val="pt-BR"/>
              </w:rPr>
              <w:t xml:space="preserve">Apoiar os Estados membros no fortalecimento da capacidade institucional, de modo a favorecer a promoção de </w:t>
            </w:r>
            <w:bookmarkStart w:id="0" w:name="hit1"/>
            <w:bookmarkEnd w:id="0"/>
            <w:r w:rsidRPr="00D174BB">
              <w:rPr>
                <w:b/>
                <w:sz w:val="22"/>
                <w:szCs w:val="22"/>
                <w:lang w:val="pt-BR"/>
              </w:rPr>
              <w:t xml:space="preserve">atividades </w:t>
            </w:r>
            <w:bookmarkStart w:id="1" w:name="hit2"/>
            <w:bookmarkEnd w:id="1"/>
            <w:r w:rsidRPr="00D174BB">
              <w:rPr>
                <w:b/>
                <w:sz w:val="22"/>
                <w:szCs w:val="22"/>
                <w:lang w:val="pt-BR"/>
              </w:rPr>
              <w:t xml:space="preserve">econômicas </w:t>
            </w:r>
            <w:bookmarkStart w:id="2" w:name="hit_last"/>
            <w:bookmarkEnd w:id="2"/>
            <w:r w:rsidRPr="00D174BB">
              <w:rPr>
                <w:b/>
                <w:sz w:val="22"/>
                <w:szCs w:val="22"/>
                <w:lang w:val="pt-BR"/>
              </w:rPr>
              <w:t>sustentáveis nos setores de turismo e cultura</w:t>
            </w:r>
          </w:p>
        </w:tc>
      </w:tr>
      <w:tr w:rsidR="00910C92" w:rsidRPr="00D174BB" w:rsidTr="00E411BC">
        <w:trPr>
          <w:trHeight w:val="413"/>
        </w:trPr>
        <w:tc>
          <w:tcPr>
            <w:tcW w:w="1477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Turismo</w:t>
            </w:r>
            <w:r w:rsidRPr="00D174BB">
              <w:rPr>
                <w:color w:val="000000" w:themeColor="text1"/>
                <w:sz w:val="22"/>
                <w:szCs w:val="22"/>
                <w:lang w:val="pt-BR"/>
              </w:rPr>
              <w:t> </w:t>
            </w:r>
          </w:p>
        </w:tc>
      </w:tr>
      <w:tr w:rsidR="00910C92" w:rsidRPr="002A41AB" w:rsidTr="00E411BC">
        <w:trPr>
          <w:trHeight w:val="1295"/>
        </w:trPr>
        <w:tc>
          <w:tcPr>
            <w:tcW w:w="2449"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b/>
                <w:bCs/>
                <w:color w:val="000000" w:themeColor="text1"/>
                <w:sz w:val="22"/>
                <w:szCs w:val="22"/>
                <w:lang w:val="pt-BR"/>
              </w:rPr>
              <w:t xml:space="preserve">DIÁLOGO DE POLÍTICA: </w:t>
            </w:r>
            <w:r w:rsidRPr="00D174BB">
              <w:rPr>
                <w:rFonts w:eastAsia="Calibri"/>
                <w:bCs/>
                <w:color w:val="000000" w:themeColor="text1"/>
                <w:sz w:val="22"/>
                <w:szCs w:val="22"/>
                <w:lang w:val="pt-BR"/>
              </w:rPr>
              <w:t>Processo</w:t>
            </w:r>
            <w:r w:rsidRPr="00D174BB">
              <w:rPr>
                <w:rFonts w:eastAsia="Calibri"/>
                <w:b/>
                <w:bCs/>
                <w:color w:val="000000" w:themeColor="text1"/>
                <w:sz w:val="22"/>
                <w:szCs w:val="22"/>
                <w:lang w:val="pt-BR"/>
              </w:rPr>
              <w:t xml:space="preserve"> </w:t>
            </w:r>
            <w:r w:rsidRPr="00D174BB">
              <w:rPr>
                <w:rFonts w:eastAsia="Calibri"/>
                <w:color w:val="000000" w:themeColor="text1"/>
                <w:sz w:val="22"/>
                <w:szCs w:val="22"/>
                <w:lang w:val="pt-BR"/>
              </w:rPr>
              <w:t xml:space="preserve">Ministerial e Comissão Interamericana de Turismo (CITUR) </w:t>
            </w: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Promover o trabalho do turismo em direção às PMEs, a fim de manter a economia local e vinculá-la à resiliência e à competitividade.</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Reuniões virtuais das Autoridades da CITUR, Troika e seus grupos de trabalho. </w:t>
            </w:r>
          </w:p>
        </w:tc>
        <w:tc>
          <w:tcPr>
            <w:tcW w:w="2786"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Escritório Executivo da</w:t>
            </w:r>
            <w:r w:rsidRPr="00D174BB">
              <w:rPr>
                <w:b/>
                <w:bCs/>
                <w:color w:val="000000" w:themeColor="text1"/>
                <w:sz w:val="22"/>
                <w:szCs w:val="22"/>
                <w:lang w:val="pt-BR"/>
              </w:rPr>
              <w:t xml:space="preserve"> </w:t>
            </w:r>
            <w:r w:rsidRPr="00D174BB">
              <w:rPr>
                <w:color w:val="000000" w:themeColor="text1"/>
                <w:sz w:val="22"/>
                <w:szCs w:val="22"/>
                <w:lang w:val="pt-BR"/>
              </w:rPr>
              <w:t xml:space="preserve">SEDI – CooperaNet, DDS, Portal de Educação das Américas.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 xml:space="preserve">Universidade das Índias Ocidentais, Campus de Cave Hill, em Barbados, Banco de Desenvolvimento do Caribe, Convênio Andrés Bello, Universidade George </w:t>
            </w:r>
            <w:r w:rsidRPr="00D174BB">
              <w:rPr>
                <w:color w:val="000000" w:themeColor="text1"/>
                <w:sz w:val="22"/>
                <w:szCs w:val="22"/>
                <w:lang w:val="pt-BR"/>
              </w:rPr>
              <w:lastRenderedPageBreak/>
              <w:t>Washington e Escritório de Assuntos Indígenas dos Estados Unidos.</w:t>
            </w: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rsidP="00D174BB">
            <w:pPr>
              <w:rPr>
                <w:color w:val="000000" w:themeColor="text1"/>
                <w:sz w:val="22"/>
                <w:szCs w:val="22"/>
                <w:lang w:val="pt-BR"/>
              </w:rPr>
            </w:pPr>
            <w:r w:rsidRPr="00D174BB">
              <w:rPr>
                <w:b/>
                <w:bCs/>
                <w:color w:val="000000" w:themeColor="text1"/>
                <w:sz w:val="22"/>
                <w:szCs w:val="22"/>
                <w:lang w:val="pt-BR"/>
              </w:rPr>
              <w:lastRenderedPageBreak/>
              <w:t xml:space="preserve">Intercâmbio de conhecimentos e boas práticas: </w:t>
            </w:r>
            <w:r w:rsidR="004F1080" w:rsidRPr="00D174BB">
              <w:rPr>
                <w:color w:val="000000" w:themeColor="text1"/>
                <w:sz w:val="22"/>
                <w:szCs w:val="22"/>
                <w:lang w:val="pt-BR"/>
              </w:rPr>
              <w:br/>
              <w:t>O</w:t>
            </w:r>
            <w:r w:rsidRPr="00D174BB">
              <w:rPr>
                <w:color w:val="000000" w:themeColor="text1"/>
                <w:sz w:val="22"/>
                <w:szCs w:val="22"/>
                <w:lang w:val="pt-BR"/>
              </w:rPr>
              <w:t xml:space="preserve">s Estados membros têm acesso e oportunidades para aprender, compartilhar projetos, experiências e outros recursos que podem ajudar a organizar, replicar ou adaptar iniciativas para reduzir os desafios da </w:t>
            </w:r>
            <w:r w:rsidR="002579BC" w:rsidRPr="00D174BB">
              <w:rPr>
                <w:color w:val="000000" w:themeColor="text1"/>
                <w:sz w:val="22"/>
                <w:szCs w:val="22"/>
                <w:lang w:val="pt-BR"/>
              </w:rPr>
              <w:t>covid</w:t>
            </w:r>
            <w:r w:rsidRPr="00D174BB">
              <w:rPr>
                <w:color w:val="000000" w:themeColor="text1"/>
                <w:sz w:val="22"/>
                <w:szCs w:val="22"/>
                <w:lang w:val="pt-BR"/>
              </w:rPr>
              <w:t>-19.</w:t>
            </w:r>
            <w:r w:rsidRPr="00D174BB">
              <w:rPr>
                <w:color w:val="000000" w:themeColor="text1"/>
                <w:sz w:val="22"/>
                <w:szCs w:val="22"/>
                <w:lang w:val="pt-BR"/>
              </w:rPr>
              <w:br/>
            </w:r>
            <w:r w:rsidRPr="00D174BB">
              <w:rPr>
                <w:color w:val="000000" w:themeColor="text1"/>
                <w:sz w:val="22"/>
                <w:szCs w:val="22"/>
                <w:lang w:val="pt-BR"/>
              </w:rPr>
              <w:br/>
              <w:t xml:space="preserve">- Participação em </w:t>
            </w:r>
            <w:r w:rsidR="00D174BB">
              <w:rPr>
                <w:color w:val="000000" w:themeColor="text1"/>
                <w:sz w:val="22"/>
                <w:szCs w:val="22"/>
                <w:lang w:val="pt-BR"/>
              </w:rPr>
              <w:t>ciclo</w:t>
            </w:r>
            <w:r w:rsidRPr="00D174BB">
              <w:rPr>
                <w:color w:val="000000" w:themeColor="text1"/>
                <w:sz w:val="22"/>
                <w:szCs w:val="22"/>
                <w:lang w:val="pt-BR"/>
              </w:rPr>
              <w:t xml:space="preserve"> de reuniões virtuais, </w:t>
            </w:r>
            <w:r w:rsidR="00D174BB">
              <w:rPr>
                <w:color w:val="000000" w:themeColor="text1"/>
                <w:sz w:val="22"/>
                <w:szCs w:val="22"/>
                <w:lang w:val="pt-BR"/>
              </w:rPr>
              <w:t>seminários web</w:t>
            </w:r>
            <w:r w:rsidRPr="00D174BB">
              <w:rPr>
                <w:color w:val="000000" w:themeColor="text1"/>
                <w:sz w:val="22"/>
                <w:szCs w:val="22"/>
                <w:lang w:val="pt-BR"/>
              </w:rPr>
              <w:t xml:space="preserve"> e </w:t>
            </w:r>
            <w:r w:rsidR="00D174BB">
              <w:rPr>
                <w:color w:val="000000" w:themeColor="text1"/>
                <w:sz w:val="22"/>
                <w:szCs w:val="22"/>
                <w:lang w:val="pt-BR"/>
              </w:rPr>
              <w:t>oficinas virtuais</w:t>
            </w:r>
            <w:r w:rsidRPr="00D174BB">
              <w:rPr>
                <w:color w:val="000000" w:themeColor="text1"/>
                <w:sz w:val="22"/>
                <w:szCs w:val="22"/>
                <w:lang w:val="pt-BR"/>
              </w:rPr>
              <w:t>.</w:t>
            </w:r>
            <w:r w:rsidRPr="00D174BB">
              <w:rPr>
                <w:color w:val="000000" w:themeColor="text1"/>
                <w:sz w:val="22"/>
                <w:szCs w:val="22"/>
                <w:lang w:val="pt-BR"/>
              </w:rPr>
              <w:br/>
            </w:r>
            <w:r w:rsidRPr="00D174BB">
              <w:rPr>
                <w:color w:val="000000" w:themeColor="text1"/>
                <w:sz w:val="22"/>
                <w:szCs w:val="22"/>
                <w:lang w:val="pt-BR"/>
              </w:rPr>
              <w:lastRenderedPageBreak/>
              <w:t xml:space="preserve">- Portfólio de recursos e respostas para o desenvolvimento, oriundos dos Estados membros, com relação à </w:t>
            </w:r>
            <w:r w:rsidR="002579BC" w:rsidRPr="00D174BB">
              <w:rPr>
                <w:color w:val="000000" w:themeColor="text1"/>
                <w:sz w:val="22"/>
                <w:szCs w:val="22"/>
                <w:lang w:val="pt-BR"/>
              </w:rPr>
              <w:t>covid</w:t>
            </w:r>
            <w:r w:rsidRPr="00D174BB">
              <w:rPr>
                <w:color w:val="000000" w:themeColor="text1"/>
                <w:sz w:val="22"/>
                <w:szCs w:val="22"/>
                <w:lang w:val="pt-BR"/>
              </w:rPr>
              <w:t>-19, na área do turismo.</w:t>
            </w:r>
          </w:p>
        </w:tc>
      </w:tr>
      <w:tr w:rsidR="00910C92" w:rsidRPr="002A41AB" w:rsidTr="00E411BC">
        <w:trPr>
          <w:trHeight w:val="55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Reforçar a construção de resiliência no turismo, especialmente no Caribe.</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Implementação do Plano de Trabalho da CITUR.</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C11D18">
        <w:trPr>
          <w:trHeight w:val="788"/>
        </w:trPr>
        <w:tc>
          <w:tcPr>
            <w:tcW w:w="244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Modelo de Gestão do Desenvolvimento do Turismo Comunitário Sustentável para as </w:t>
            </w:r>
            <w:r w:rsidRPr="00D174BB">
              <w:rPr>
                <w:b/>
                <w:bCs/>
                <w:color w:val="000000" w:themeColor="text1"/>
                <w:sz w:val="22"/>
                <w:szCs w:val="22"/>
                <w:lang w:val="pt-BR"/>
              </w:rPr>
              <w:lastRenderedPageBreak/>
              <w:t xml:space="preserve">Américas </w:t>
            </w:r>
          </w:p>
        </w:tc>
        <w:tc>
          <w:tcPr>
            <w:tcW w:w="2699"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C11D18">
            <w:pPr>
              <w:rPr>
                <w:color w:val="000000" w:themeColor="text1"/>
                <w:sz w:val="22"/>
                <w:szCs w:val="22"/>
                <w:lang w:val="pt-BR"/>
              </w:rPr>
            </w:pPr>
            <w:r w:rsidRPr="00C11D18">
              <w:rPr>
                <w:color w:val="000000"/>
                <w:sz w:val="22"/>
                <w:szCs w:val="22"/>
                <w:lang w:val="pt-BR"/>
              </w:rPr>
              <w:lastRenderedPageBreak/>
              <w:t xml:space="preserve">Vinculação do trabalho no âmbito do turismo às </w:t>
            </w:r>
            <w:proofErr w:type="spellStart"/>
            <w:r w:rsidRPr="00C11D18">
              <w:rPr>
                <w:color w:val="000000"/>
                <w:sz w:val="22"/>
                <w:szCs w:val="22"/>
                <w:lang w:val="pt-BR"/>
              </w:rPr>
              <w:t>PMEs</w:t>
            </w:r>
            <w:proofErr w:type="spellEnd"/>
            <w:r w:rsidRPr="00C11D18">
              <w:rPr>
                <w:color w:val="000000"/>
                <w:sz w:val="22"/>
                <w:szCs w:val="22"/>
                <w:lang w:val="pt-BR"/>
              </w:rPr>
              <w:t xml:space="preserve"> para fomentar a economia, a resiliência e a </w:t>
            </w:r>
            <w:r w:rsidRPr="00C11D18">
              <w:rPr>
                <w:color w:val="000000"/>
                <w:sz w:val="22"/>
                <w:szCs w:val="22"/>
                <w:lang w:val="pt-BR"/>
              </w:rPr>
              <w:lastRenderedPageBreak/>
              <w:t>competitividade</w:t>
            </w:r>
            <w:proofErr w:type="gramStart"/>
            <w:r w:rsidRPr="00C11D18">
              <w:rPr>
                <w:color w:val="000000"/>
                <w:sz w:val="22"/>
                <w:szCs w:val="22"/>
                <w:lang w:val="pt-BR"/>
              </w:rPr>
              <w:t>.</w:t>
            </w:r>
            <w:r w:rsidR="00910C92" w:rsidRPr="00D174BB">
              <w:rPr>
                <w:color w:val="000000" w:themeColor="text1"/>
                <w:sz w:val="22"/>
                <w:szCs w:val="22"/>
                <w:lang w:val="pt-BR"/>
              </w:rPr>
              <w:t>.</w:t>
            </w:r>
            <w:proofErr w:type="gramEnd"/>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C11D18">
            <w:pPr>
              <w:rPr>
                <w:color w:val="000000" w:themeColor="text1"/>
                <w:sz w:val="22"/>
                <w:szCs w:val="22"/>
                <w:lang w:val="pt-BR"/>
              </w:rPr>
            </w:pPr>
            <w:r w:rsidRPr="00C11D18">
              <w:rPr>
                <w:color w:val="000000"/>
                <w:sz w:val="22"/>
                <w:szCs w:val="22"/>
                <w:lang w:val="pt-BR"/>
              </w:rPr>
              <w:lastRenderedPageBreak/>
              <w:t>Maior consciência da necessidade de aumentar a resiliência no âmbito do turismo, em particular no Caribe.</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C11D18">
        <w:trPr>
          <w:trHeight w:val="555"/>
        </w:trPr>
        <w:tc>
          <w:tcPr>
            <w:tcW w:w="24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C92" w:rsidRPr="00D174BB" w:rsidRDefault="00910C92">
            <w:pPr>
              <w:rPr>
                <w:b/>
                <w:bCs/>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Curso </w:t>
            </w:r>
            <w:r w:rsidRPr="00D174BB">
              <w:rPr>
                <w:i/>
                <w:color w:val="000000" w:themeColor="text1"/>
                <w:sz w:val="22"/>
                <w:szCs w:val="22"/>
                <w:lang w:val="pt-BR"/>
              </w:rPr>
              <w:t>online</w:t>
            </w:r>
            <w:r w:rsidRPr="00D174BB">
              <w:rPr>
                <w:color w:val="000000" w:themeColor="text1"/>
                <w:sz w:val="22"/>
                <w:szCs w:val="22"/>
                <w:lang w:val="pt-BR"/>
              </w:rPr>
              <w:t xml:space="preserve"> em resiliência no turismo ministrado pelo Portal de Educação das Américas</w:t>
            </w:r>
            <w:r w:rsidRPr="00D174BB">
              <w:rPr>
                <w:i/>
                <w:iCs/>
                <w:color w:val="000000" w:themeColor="text1"/>
                <w:sz w:val="22"/>
                <w:szCs w:val="22"/>
                <w:lang w:val="pt-BR"/>
              </w:rPr>
              <w:t>.</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555"/>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Symbol"/>
                <w:b/>
                <w:bCs/>
                <w:color w:val="000000" w:themeColor="text1"/>
                <w:sz w:val="22"/>
                <w:szCs w:val="22"/>
                <w:lang w:val="pt-BR"/>
              </w:rPr>
              <w:lastRenderedPageBreak/>
              <w:t xml:space="preserve">Rede de Turismo Rural Comunitário </w:t>
            </w:r>
          </w:p>
        </w:tc>
        <w:tc>
          <w:tcPr>
            <w:tcW w:w="2699" w:type="dxa"/>
            <w:gridSpan w:val="2"/>
            <w:tcBorders>
              <w:top w:val="single" w:sz="4" w:space="0" w:color="000000"/>
              <w:left w:val="single" w:sz="4" w:space="0" w:color="000000"/>
              <w:bottom w:val="single" w:sz="4" w:space="0" w:color="000000"/>
              <w:right w:val="single" w:sz="4" w:space="0" w:color="000000"/>
            </w:tcBorders>
            <w:noWrap/>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Desenvolvimento de diretrizes para o turismo rural comunitário.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1110"/>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FB7BA6">
            <w:pPr>
              <w:rPr>
                <w:b/>
                <w:bCs/>
                <w:color w:val="000000" w:themeColor="text1"/>
                <w:sz w:val="22"/>
                <w:szCs w:val="22"/>
                <w:lang w:val="pt-BR"/>
              </w:rPr>
            </w:pPr>
            <w:r w:rsidRPr="00D174BB">
              <w:rPr>
                <w:rFonts w:eastAsia="Calibri"/>
                <w:b/>
                <w:bCs/>
                <w:color w:val="000000" w:themeColor="text1"/>
                <w:sz w:val="22"/>
                <w:szCs w:val="22"/>
                <w:lang w:val="pt-BR"/>
              </w:rPr>
              <w:t xml:space="preserve">Iniciativa de aumento da </w:t>
            </w:r>
            <w:r w:rsidR="00910C92" w:rsidRPr="00D174BB">
              <w:rPr>
                <w:rFonts w:eastAsia="Calibri"/>
                <w:b/>
                <w:bCs/>
                <w:color w:val="000000" w:themeColor="text1"/>
                <w:sz w:val="22"/>
                <w:szCs w:val="22"/>
                <w:lang w:val="pt-BR"/>
              </w:rPr>
              <w:t xml:space="preserve">resiliência das pequenas empresas de turismo do Caribe frente aos desastres </w:t>
            </w: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Explorar o potencial para o desenvolvimento de curso </w:t>
            </w:r>
            <w:r w:rsidRPr="00D174BB">
              <w:rPr>
                <w:rFonts w:eastAsia="Calibri"/>
                <w:i/>
                <w:color w:val="000000" w:themeColor="text1"/>
                <w:sz w:val="22"/>
                <w:szCs w:val="22"/>
                <w:lang w:val="pt-BR"/>
              </w:rPr>
              <w:t>online</w:t>
            </w:r>
            <w:r w:rsidRPr="00D174BB">
              <w:rPr>
                <w:rFonts w:eastAsia="Calibri"/>
                <w:color w:val="000000" w:themeColor="text1"/>
                <w:sz w:val="22"/>
                <w:szCs w:val="22"/>
                <w:lang w:val="pt-BR"/>
              </w:rPr>
              <w:t xml:space="preserve"> em resiliência no turismo a ser hospedado no Portal de Educação das Américas.</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Desenvolvimento de competências digitais em PMEs de turismo.</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555"/>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Fundo Hemisférico de Turismo (FHT)</w:t>
            </w: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Lançamento do quarto ciclo de programação e seleção de pelo menos dois projetos para financiamento.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D174BB" w:rsidTr="00E411BC">
        <w:trPr>
          <w:trHeight w:val="251"/>
        </w:trPr>
        <w:tc>
          <w:tcPr>
            <w:tcW w:w="1477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Cultura</w:t>
            </w:r>
            <w:r w:rsidRPr="00D174BB">
              <w:rPr>
                <w:color w:val="000000" w:themeColor="text1"/>
                <w:sz w:val="22"/>
                <w:szCs w:val="22"/>
                <w:lang w:val="pt-BR"/>
              </w:rPr>
              <w:t> </w:t>
            </w:r>
          </w:p>
        </w:tc>
      </w:tr>
      <w:tr w:rsidR="00910C92" w:rsidRPr="002A41AB" w:rsidTr="00E411BC">
        <w:trPr>
          <w:trHeight w:val="1050"/>
        </w:trPr>
        <w:tc>
          <w:tcPr>
            <w:tcW w:w="2449"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b/>
                <w:bCs/>
                <w:color w:val="000000" w:themeColor="text1"/>
                <w:sz w:val="22"/>
                <w:szCs w:val="22"/>
                <w:lang w:val="pt-BR"/>
              </w:rPr>
              <w:t>DIÁLOGO DE POLÍTICA:</w:t>
            </w:r>
            <w:r w:rsidRPr="00D174BB">
              <w:rPr>
                <w:rFonts w:eastAsia="Calibri"/>
                <w:color w:val="000000" w:themeColor="text1"/>
                <w:sz w:val="22"/>
                <w:szCs w:val="22"/>
                <w:lang w:val="pt-BR"/>
              </w:rPr>
              <w:t xml:space="preserve"> Processo Ministerial e Comissão Interamericana de Cultura (CIC)</w:t>
            </w:r>
          </w:p>
        </w:tc>
        <w:tc>
          <w:tcPr>
            <w:tcW w:w="2699" w:type="dxa"/>
            <w:gridSpan w:val="2"/>
            <w:vMerge w:val="restart"/>
            <w:tcBorders>
              <w:top w:val="single" w:sz="4" w:space="0" w:color="000000"/>
              <w:left w:val="single" w:sz="4" w:space="0" w:color="000000"/>
              <w:bottom w:val="single" w:sz="4" w:space="0" w:color="000000"/>
              <w:right w:val="single" w:sz="4" w:space="0" w:color="000000"/>
            </w:tcBorders>
            <w:noWrap/>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Realização de pelo menos duas reuniões virtuais dos grupos de trabalho das </w:t>
            </w:r>
            <w:r w:rsidR="001A5665" w:rsidRPr="00D174BB">
              <w:rPr>
                <w:color w:val="000000" w:themeColor="text1"/>
                <w:sz w:val="22"/>
                <w:szCs w:val="22"/>
                <w:lang w:val="pt-BR"/>
              </w:rPr>
              <w:t>contas satélite de cultura</w:t>
            </w:r>
            <w:r w:rsidRPr="00D174BB">
              <w:rPr>
                <w:color w:val="000000" w:themeColor="text1"/>
                <w:sz w:val="22"/>
                <w:szCs w:val="22"/>
                <w:lang w:val="pt-BR"/>
              </w:rPr>
              <w:t xml:space="preserve"> (CSA). </w:t>
            </w:r>
          </w:p>
        </w:tc>
        <w:tc>
          <w:tcPr>
            <w:tcW w:w="2786"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Escritório</w:t>
            </w:r>
            <w:r w:rsidRPr="00D174BB">
              <w:rPr>
                <w:b/>
                <w:bCs/>
                <w:color w:val="000000" w:themeColor="text1"/>
                <w:sz w:val="22"/>
                <w:szCs w:val="22"/>
                <w:lang w:val="pt-BR"/>
              </w:rPr>
              <w:t xml:space="preserve"> </w:t>
            </w:r>
            <w:r w:rsidRPr="00D174BB">
              <w:rPr>
                <w:bCs/>
                <w:color w:val="000000" w:themeColor="text1"/>
                <w:sz w:val="22"/>
                <w:szCs w:val="22"/>
                <w:lang w:val="pt-BR"/>
              </w:rPr>
              <w:t>Executivo da</w:t>
            </w:r>
            <w:r w:rsidRPr="00D174BB">
              <w:rPr>
                <w:b/>
                <w:bCs/>
                <w:color w:val="000000" w:themeColor="text1"/>
                <w:sz w:val="22"/>
                <w:szCs w:val="22"/>
                <w:lang w:val="pt-BR"/>
              </w:rPr>
              <w:t xml:space="preserve"> </w:t>
            </w:r>
            <w:r w:rsidRPr="00D174BB">
              <w:rPr>
                <w:color w:val="000000" w:themeColor="text1"/>
                <w:sz w:val="22"/>
                <w:szCs w:val="22"/>
                <w:lang w:val="pt-BR"/>
              </w:rPr>
              <w:t xml:space="preserve">SEDI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Universidade das Índias Ocidentais, Campus de Cave Hill, em Barbados, Banco de Desenvolvimento do Caribe, Convênio Andrés Bello.</w:t>
            </w:r>
          </w:p>
        </w:tc>
        <w:tc>
          <w:tcPr>
            <w:tcW w:w="3602"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tc>
      </w:tr>
      <w:tr w:rsidR="00910C92" w:rsidRPr="002A41AB" w:rsidTr="00E411BC">
        <w:trPr>
          <w:trHeight w:val="55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Metodologia do Convênio Andrés Bello sobre CSA adaptada ao Caribe.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43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Execução em andamento do Plano de Trabalho da CIC.</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55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Conclusão da primeira edição do curso </w:t>
            </w:r>
            <w:r w:rsidRPr="00D174BB">
              <w:rPr>
                <w:i/>
                <w:color w:val="000000" w:themeColor="text1"/>
                <w:sz w:val="22"/>
                <w:szCs w:val="22"/>
                <w:lang w:val="pt-BR"/>
              </w:rPr>
              <w:t>online</w:t>
            </w:r>
            <w:r w:rsidRPr="00D174BB">
              <w:rPr>
                <w:color w:val="000000" w:themeColor="text1"/>
                <w:sz w:val="22"/>
                <w:szCs w:val="22"/>
                <w:lang w:val="pt-BR"/>
              </w:rPr>
              <w:t xml:space="preserve"> sobre cultura.</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278"/>
        </w:trPr>
        <w:tc>
          <w:tcPr>
            <w:tcW w:w="2449"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Cultura e indústrias criativas vinculadas às PMEs</w:t>
            </w:r>
          </w:p>
        </w:tc>
        <w:tc>
          <w:tcPr>
            <w:tcW w:w="2699"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Foco na cultura nas indústrias criativas vinculadas a PMEs. </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Conclusão de curso </w:t>
            </w:r>
            <w:r w:rsidRPr="00D174BB">
              <w:rPr>
                <w:i/>
                <w:color w:val="000000" w:themeColor="text1"/>
                <w:sz w:val="22"/>
                <w:szCs w:val="22"/>
                <w:lang w:val="pt-BR"/>
              </w:rPr>
              <w:t>online</w:t>
            </w:r>
            <w:r w:rsidRPr="00D174BB">
              <w:rPr>
                <w:color w:val="000000" w:themeColor="text1"/>
                <w:sz w:val="22"/>
                <w:szCs w:val="22"/>
                <w:lang w:val="pt-BR"/>
              </w:rPr>
              <w:t xml:space="preserve"> sobre cultura e economia.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555"/>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2699"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Metodologia do Convênio Andrés Bello sobre </w:t>
            </w:r>
            <w:r w:rsidR="001A5665" w:rsidRPr="00D174BB">
              <w:rPr>
                <w:color w:val="000000" w:themeColor="text1"/>
                <w:sz w:val="22"/>
                <w:szCs w:val="22"/>
                <w:lang w:val="pt-BR"/>
              </w:rPr>
              <w:t>contas satélite de cultura</w:t>
            </w:r>
            <w:r w:rsidRPr="00D174BB">
              <w:rPr>
                <w:color w:val="000000" w:themeColor="text1"/>
                <w:sz w:val="22"/>
                <w:szCs w:val="22"/>
                <w:lang w:val="pt-BR"/>
              </w:rPr>
              <w:t xml:space="preserve"> adaptada ao Caribe. </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E411BC">
        <w:trPr>
          <w:trHeight w:val="810"/>
        </w:trPr>
        <w:tc>
          <w:tcPr>
            <w:tcW w:w="244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Symbol"/>
                <w:b/>
                <w:bCs/>
                <w:color w:val="000000" w:themeColor="text1"/>
                <w:sz w:val="22"/>
                <w:szCs w:val="22"/>
                <w:lang w:val="pt-BR"/>
              </w:rPr>
              <w:t>Rede de Patrimônio do Caribe (CHN)</w:t>
            </w:r>
          </w:p>
        </w:tc>
        <w:tc>
          <w:tcPr>
            <w:tcW w:w="2699"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sz w:val="20"/>
                <w:szCs w:val="20"/>
                <w:lang w:val="pt-BR"/>
              </w:rPr>
            </w:pP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rsidP="001A5665">
            <w:pPr>
              <w:rPr>
                <w:color w:val="000000" w:themeColor="text1"/>
                <w:sz w:val="22"/>
                <w:szCs w:val="22"/>
                <w:lang w:val="pt-BR"/>
              </w:rPr>
            </w:pPr>
            <w:r w:rsidRPr="00D174BB">
              <w:rPr>
                <w:color w:val="000000" w:themeColor="text1"/>
                <w:sz w:val="22"/>
                <w:szCs w:val="22"/>
                <w:lang w:val="pt-BR"/>
              </w:rPr>
              <w:t xml:space="preserve">Plano de sustentabilidade da CHN em implementação. Rede a ser hospedada pelo pós-projeto do Departamento de História e Filosofia da </w:t>
            </w:r>
            <w:r w:rsidR="001A5665" w:rsidRPr="00D174BB">
              <w:rPr>
                <w:color w:val="000000" w:themeColor="text1"/>
                <w:sz w:val="22"/>
                <w:szCs w:val="22"/>
                <w:lang w:val="pt-BR"/>
              </w:rPr>
              <w:t>Universidade das Índias Ocidentais</w:t>
            </w:r>
            <w:r w:rsidRPr="00D174BB">
              <w:rPr>
                <w:color w:val="000000" w:themeColor="text1"/>
                <w:sz w:val="22"/>
                <w:szCs w:val="22"/>
                <w:lang w:val="pt-BR"/>
              </w:rPr>
              <w:t>.</w:t>
            </w:r>
          </w:p>
        </w:tc>
        <w:tc>
          <w:tcPr>
            <w:tcW w:w="278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02"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bl>
    <w:p w:rsidR="00910C92" w:rsidRPr="00D174BB" w:rsidRDefault="00910C92" w:rsidP="00910C92">
      <w:pPr>
        <w:rPr>
          <w:b/>
          <w:color w:val="000000" w:themeColor="text1"/>
          <w:sz w:val="22"/>
          <w:szCs w:val="22"/>
          <w:u w:val="single"/>
          <w:lang w:val="pt-BR"/>
        </w:rPr>
      </w:pPr>
    </w:p>
    <w:tbl>
      <w:tblPr>
        <w:tblW w:w="0" w:type="auto"/>
        <w:tblLayout w:type="fixed"/>
        <w:tblLook w:val="04A0" w:firstRow="1" w:lastRow="0" w:firstColumn="1" w:lastColumn="0" w:noHBand="0" w:noVBand="1"/>
      </w:tblPr>
      <w:tblGrid>
        <w:gridCol w:w="2964"/>
        <w:gridCol w:w="3204"/>
        <w:gridCol w:w="3619"/>
        <w:gridCol w:w="2561"/>
        <w:gridCol w:w="117"/>
        <w:gridCol w:w="2151"/>
      </w:tblGrid>
      <w:tr w:rsidR="00910C92" w:rsidRPr="002A41AB" w:rsidTr="00910C92">
        <w:trPr>
          <w:trHeight w:val="570"/>
        </w:trPr>
        <w:tc>
          <w:tcPr>
            <w:tcW w:w="9787" w:type="dxa"/>
            <w:gridSpan w:val="3"/>
            <w:tcBorders>
              <w:top w:val="nil"/>
              <w:left w:val="nil"/>
              <w:bottom w:val="single" w:sz="4" w:space="0" w:color="000000"/>
              <w:right w:val="nil"/>
            </w:tcBorders>
            <w:noWrap/>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lastRenderedPageBreak/>
              <w:t>DEPARTAMENTO/SEÇÃO: COMISSÃO INTERAMERICANA DE PORTOS (CIP)</w:t>
            </w:r>
          </w:p>
        </w:tc>
        <w:tc>
          <w:tcPr>
            <w:tcW w:w="2561" w:type="dxa"/>
            <w:tcBorders>
              <w:top w:val="nil"/>
              <w:left w:val="nil"/>
              <w:bottom w:val="single" w:sz="4" w:space="0" w:color="000000"/>
              <w:right w:val="nil"/>
            </w:tcBorders>
            <w:noWrap/>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w:t>
            </w:r>
          </w:p>
        </w:tc>
        <w:tc>
          <w:tcPr>
            <w:tcW w:w="2268" w:type="dxa"/>
            <w:gridSpan w:val="2"/>
            <w:tcBorders>
              <w:top w:val="nil"/>
              <w:left w:val="nil"/>
              <w:bottom w:val="single" w:sz="4" w:space="0" w:color="000000"/>
              <w:right w:val="nil"/>
            </w:tcBorders>
            <w:noWrap/>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w:t>
            </w:r>
          </w:p>
        </w:tc>
      </w:tr>
      <w:tr w:rsidR="00910C92" w:rsidRPr="00D174BB" w:rsidTr="00910C92">
        <w:trPr>
          <w:trHeight w:val="540"/>
        </w:trPr>
        <w:tc>
          <w:tcPr>
            <w:tcW w:w="2964"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3204" w:type="dxa"/>
            <w:tcBorders>
              <w:top w:val="single" w:sz="4" w:space="0" w:color="000000"/>
              <w:left w:val="single" w:sz="4" w:space="0" w:color="000000"/>
              <w:bottom w:val="single" w:sz="4" w:space="0" w:color="000000"/>
              <w:right w:val="single" w:sz="4" w:space="0" w:color="000000"/>
            </w:tcBorders>
            <w:shd w:val="clear" w:color="auto" w:fill="D9E2F3"/>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3619"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561"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910C92" w:rsidRPr="00D174BB" w:rsidRDefault="00623261">
            <w:pPr>
              <w:jc w:val="center"/>
              <w:rPr>
                <w:b/>
                <w:bCs/>
                <w:color w:val="000000" w:themeColor="text1"/>
                <w:sz w:val="22"/>
                <w:szCs w:val="22"/>
                <w:lang w:val="pt-BR"/>
              </w:rPr>
            </w:pPr>
            <w:r w:rsidRPr="00D174BB">
              <w:rPr>
                <w:b/>
                <w:bCs/>
                <w:color w:val="000000" w:themeColor="text1"/>
                <w:sz w:val="22"/>
                <w:szCs w:val="22"/>
                <w:lang w:val="pt-BR"/>
              </w:rPr>
              <w:t>COVID</w:t>
            </w:r>
            <w:r w:rsidR="00910C92" w:rsidRPr="00D174BB">
              <w:rPr>
                <w:b/>
                <w:bCs/>
                <w:color w:val="000000" w:themeColor="text1"/>
                <w:sz w:val="22"/>
                <w:szCs w:val="22"/>
                <w:lang w:val="pt-BR"/>
              </w:rPr>
              <w:t>-19</w:t>
            </w:r>
          </w:p>
        </w:tc>
      </w:tr>
      <w:tr w:rsidR="00910C92" w:rsidRPr="002A41AB" w:rsidTr="00910C92">
        <w:trPr>
          <w:trHeight w:val="278"/>
        </w:trPr>
        <w:tc>
          <w:tcPr>
            <w:tcW w:w="2964"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LINHA ESTRATÉGICA </w:t>
            </w:r>
          </w:p>
        </w:tc>
        <w:tc>
          <w:tcPr>
            <w:tcW w:w="11652" w:type="dxa"/>
            <w:gridSpan w:val="5"/>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2. </w:t>
            </w:r>
            <w:r w:rsidRPr="00D174BB">
              <w:rPr>
                <w:b/>
                <w:bCs/>
                <w:sz w:val="22"/>
                <w:szCs w:val="22"/>
                <w:lang w:val="pt-BR"/>
              </w:rPr>
              <w:t>Fortalecer a implementação dos objetivos de desenvolvimento sustentável, em conformidade com o Programa Interamericano de Desenvolvimento Sustentável 2016-2021 (PIDS</w:t>
            </w:r>
            <w:r w:rsidRPr="00D174BB">
              <w:rPr>
                <w:b/>
                <w:bCs/>
                <w:color w:val="000000" w:themeColor="text1"/>
                <w:sz w:val="22"/>
                <w:szCs w:val="22"/>
                <w:lang w:val="pt-BR"/>
              </w:rPr>
              <w:t>)</w:t>
            </w:r>
          </w:p>
        </w:tc>
      </w:tr>
      <w:tr w:rsidR="00910C92" w:rsidRPr="002A41AB" w:rsidTr="00910C92">
        <w:trPr>
          <w:trHeight w:val="278"/>
        </w:trPr>
        <w:tc>
          <w:tcPr>
            <w:tcW w:w="2964"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52" w:type="dxa"/>
            <w:gridSpan w:val="5"/>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2.1. </w:t>
            </w:r>
            <w:r w:rsidRPr="00D174BB">
              <w:rPr>
                <w:b/>
                <w:bCs/>
                <w:sz w:val="22"/>
                <w:szCs w:val="22"/>
                <w:lang w:val="pt-BR"/>
              </w:rPr>
              <w:t>Promover a capacidade dos Estados membros na gestão do risco de desastres, de acordo com os objetivos e bases de ação dispostos na Seção 3.1 do PIDS</w:t>
            </w:r>
          </w:p>
        </w:tc>
      </w:tr>
      <w:tr w:rsidR="00910C92" w:rsidRPr="00D174BB" w:rsidTr="00910C92">
        <w:trPr>
          <w:trHeight w:val="278"/>
        </w:trPr>
        <w:tc>
          <w:tcPr>
            <w:tcW w:w="14616"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Portos</w:t>
            </w:r>
          </w:p>
        </w:tc>
      </w:tr>
      <w:tr w:rsidR="00910C92" w:rsidRPr="002A41AB" w:rsidTr="00910C92">
        <w:trPr>
          <w:trHeight w:val="885"/>
        </w:trPr>
        <w:tc>
          <w:tcPr>
            <w:tcW w:w="2964"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Gestão do risco de desastres para os portos do Caribe </w:t>
            </w:r>
          </w:p>
        </w:tc>
        <w:tc>
          <w:tcPr>
            <w:tcW w:w="3204"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Fortalecimento da capacidade de resposta a riscos e emergências em desastres dos Estados membros do Caribe, a fim de reduzir o impacto dos desastres naturais e antropogênicos na continuidade dos negócios e promover a resiliência dos portos.</w:t>
            </w: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Projeto desenvolvido para assegurar os acordos estabelecidos de financiamento e execução (EUA – Países Baixos – US$500.000).</w:t>
            </w: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DDS.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CEDEMA, Guarda Costeira dos Estados Unidos, OIM, ASA, Hudson Analytix, Autoridades Portuárias Nacionais do Caribe, FEMA, PMAC, T&amp;T Salvage expressaram interesse na MAESK.</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rsidP="00A90B51">
            <w:pPr>
              <w:rPr>
                <w:color w:val="000000" w:themeColor="text1"/>
                <w:sz w:val="22"/>
                <w:szCs w:val="22"/>
                <w:lang w:val="pt-BR"/>
              </w:rPr>
            </w:pPr>
            <w:r w:rsidRPr="00D174BB">
              <w:rPr>
                <w:b/>
                <w:bCs/>
                <w:color w:val="000000" w:themeColor="text1"/>
                <w:sz w:val="22"/>
                <w:szCs w:val="22"/>
                <w:lang w:val="pt-BR"/>
              </w:rPr>
              <w:t xml:space="preserve">Intercâmbio de conhecimentos e boas práticas: </w:t>
            </w:r>
            <w:r w:rsidRPr="00D174BB">
              <w:rPr>
                <w:color w:val="000000" w:themeColor="text1"/>
                <w:sz w:val="22"/>
                <w:szCs w:val="22"/>
                <w:lang w:val="pt-BR"/>
              </w:rPr>
              <w:br/>
              <w:t xml:space="preserve">os Estados membros têm acesso e oportunidades para aprender, compartilhar projetos, experiências e outros recursos que podem ajudar a organizar, replicar ou adaptar iniciativas para reduzir os desafios da </w:t>
            </w:r>
            <w:r w:rsidR="002579BC" w:rsidRPr="00D174BB">
              <w:rPr>
                <w:color w:val="000000" w:themeColor="text1"/>
                <w:sz w:val="22"/>
                <w:szCs w:val="22"/>
                <w:lang w:val="pt-BR"/>
              </w:rPr>
              <w:t>covid</w:t>
            </w:r>
            <w:r w:rsidRPr="00D174BB">
              <w:rPr>
                <w:color w:val="000000" w:themeColor="text1"/>
                <w:sz w:val="22"/>
                <w:szCs w:val="22"/>
                <w:lang w:val="pt-BR"/>
              </w:rPr>
              <w:t xml:space="preserve">-19. </w:t>
            </w:r>
            <w:r w:rsidRPr="00D174BB">
              <w:rPr>
                <w:color w:val="000000" w:themeColor="text1"/>
                <w:sz w:val="22"/>
                <w:szCs w:val="22"/>
                <w:lang w:val="pt-BR"/>
              </w:rPr>
              <w:br/>
            </w:r>
            <w:r w:rsidRPr="00D174BB">
              <w:rPr>
                <w:color w:val="000000" w:themeColor="text1"/>
                <w:sz w:val="22"/>
                <w:szCs w:val="22"/>
                <w:lang w:val="pt-BR"/>
              </w:rPr>
              <w:br/>
              <w:t xml:space="preserve">- Participação em </w:t>
            </w:r>
            <w:r w:rsidR="00D174BB">
              <w:rPr>
                <w:color w:val="000000" w:themeColor="text1"/>
                <w:sz w:val="22"/>
                <w:szCs w:val="22"/>
                <w:lang w:val="pt-BR"/>
              </w:rPr>
              <w:t>ciclo</w:t>
            </w:r>
            <w:r w:rsidRPr="00D174BB">
              <w:rPr>
                <w:color w:val="000000" w:themeColor="text1"/>
                <w:sz w:val="22"/>
                <w:szCs w:val="22"/>
                <w:lang w:val="pt-BR"/>
              </w:rPr>
              <w:t xml:space="preserve"> de reuniões virtuais, </w:t>
            </w:r>
            <w:r w:rsidR="00A90B51">
              <w:rPr>
                <w:color w:val="000000" w:themeColor="text1"/>
                <w:sz w:val="22"/>
                <w:szCs w:val="22"/>
                <w:lang w:val="pt-BR"/>
              </w:rPr>
              <w:t>seminários web</w:t>
            </w:r>
            <w:r w:rsidRPr="00D174BB">
              <w:rPr>
                <w:color w:val="000000" w:themeColor="text1"/>
                <w:sz w:val="22"/>
                <w:szCs w:val="22"/>
                <w:lang w:val="pt-BR"/>
              </w:rPr>
              <w:t xml:space="preserve"> e </w:t>
            </w:r>
            <w:r w:rsidR="00A90B51">
              <w:rPr>
                <w:color w:val="000000" w:themeColor="text1"/>
                <w:sz w:val="22"/>
                <w:szCs w:val="22"/>
                <w:lang w:val="pt-BR"/>
              </w:rPr>
              <w:t>oficinas virtuais</w:t>
            </w:r>
            <w:r w:rsidRPr="00D174BB">
              <w:rPr>
                <w:color w:val="000000" w:themeColor="text1"/>
                <w:sz w:val="22"/>
                <w:szCs w:val="22"/>
                <w:lang w:val="pt-BR"/>
              </w:rPr>
              <w:t xml:space="preserve">. </w:t>
            </w:r>
            <w:r w:rsidRPr="00D174BB">
              <w:rPr>
                <w:color w:val="000000" w:themeColor="text1"/>
                <w:sz w:val="22"/>
                <w:szCs w:val="22"/>
                <w:lang w:val="pt-BR"/>
              </w:rPr>
              <w:br/>
              <w:t xml:space="preserve">- Portfólio de recursos e respostas para o desenvolvimento, oriundos dos Estados membros, com relação à </w:t>
            </w:r>
            <w:r w:rsidR="002579BC" w:rsidRPr="00D174BB">
              <w:rPr>
                <w:color w:val="000000" w:themeColor="text1"/>
                <w:sz w:val="22"/>
                <w:szCs w:val="22"/>
                <w:lang w:val="pt-BR"/>
              </w:rPr>
              <w:t>covid</w:t>
            </w:r>
            <w:r w:rsidRPr="00D174BB">
              <w:rPr>
                <w:color w:val="000000" w:themeColor="text1"/>
                <w:sz w:val="22"/>
                <w:szCs w:val="22"/>
                <w:lang w:val="pt-BR"/>
              </w:rPr>
              <w:t>-19, na área dos portos.</w:t>
            </w:r>
          </w:p>
        </w:tc>
      </w:tr>
      <w:tr w:rsidR="00910C92" w:rsidRPr="002A41AB" w:rsidTr="00096131">
        <w:trPr>
          <w:trHeight w:val="1185"/>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20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Realização da avaliação (risco e capacidade), inclusive revisão dos Planos de Resposta a Emergência no Caribe, e estabelecimento da capacidade básica. </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958"/>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204"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Como o comércio e o turismo são o principal motor econômico da região, a maior continuidade dos negócios leva à sustentabilidade econômica e à maior competitividade.</w:t>
            </w: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Preparação do Plano Modelo de Operações de Emergência (MEOP) para os portos do Caribe: planos de resposta às emergências dos portos em desenvolvimento ou atualização, com foco no Caribe. Enfoque por etapas: avaliação da linha de base. Formulação de um Plano Modelo a ser personalizado pelos países. Treinamento. Exercícios em portos. Recomendação – atualização conforme a legislação nacional.</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D174BB" w:rsidTr="00096131">
        <w:trPr>
          <w:trHeight w:val="833"/>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20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Realização de quatro workshops regionais de treinamento em gestão de riscos nos portos. Treinamento de quinze autoridades portuárias.</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833"/>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20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619" w:type="dxa"/>
            <w:tcBorders>
              <w:top w:val="single" w:sz="4" w:space="0" w:color="000000"/>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Realização de exercício de simulação de emergência em dois portos (Fase Quatro, implementação prevista para 2021). </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rPr>
          <w:trHeight w:val="278"/>
        </w:trPr>
        <w:tc>
          <w:tcPr>
            <w:tcW w:w="2964"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color w:val="000000" w:themeColor="text1"/>
                <w:lang w:val="pt-BR"/>
              </w:rPr>
              <w:lastRenderedPageBreak/>
              <w:br w:type="page"/>
            </w:r>
            <w:r w:rsidRPr="00D174BB">
              <w:rPr>
                <w:b/>
                <w:bCs/>
                <w:color w:val="000000" w:themeColor="text1"/>
                <w:sz w:val="22"/>
                <w:szCs w:val="22"/>
                <w:lang w:val="pt-BR"/>
              </w:rPr>
              <w:t xml:space="preserve">LINHA ESTRATÉGICA </w:t>
            </w:r>
          </w:p>
        </w:tc>
        <w:tc>
          <w:tcPr>
            <w:tcW w:w="11652" w:type="dxa"/>
            <w:gridSpan w:val="5"/>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3. Promover a educação e o desenvolvimento humano nas Américas </w:t>
            </w:r>
          </w:p>
        </w:tc>
      </w:tr>
      <w:tr w:rsidR="00910C92" w:rsidRPr="002A41AB" w:rsidTr="00910C92">
        <w:trPr>
          <w:trHeight w:val="278"/>
        </w:trPr>
        <w:tc>
          <w:tcPr>
            <w:tcW w:w="2964"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52" w:type="dxa"/>
            <w:gridSpan w:val="5"/>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3.4. Promover o acesso nos Estados membros a oportunidades de educação de qualidade, inclusiva e equitativa, em todos os níveis e modalidades, e nos quatro idiomas oficiais da Organização </w:t>
            </w:r>
          </w:p>
        </w:tc>
      </w:tr>
      <w:tr w:rsidR="00910C92" w:rsidRPr="002A41AB" w:rsidTr="00910C92">
        <w:trPr>
          <w:trHeight w:val="278"/>
        </w:trPr>
        <w:tc>
          <w:tcPr>
            <w:tcW w:w="14616" w:type="dxa"/>
            <w:gridSpan w:val="6"/>
            <w:tcBorders>
              <w:top w:val="single" w:sz="4" w:space="0" w:color="auto"/>
              <w:left w:val="single" w:sz="4" w:space="0" w:color="auto"/>
              <w:bottom w:val="single" w:sz="4" w:space="0" w:color="auto"/>
              <w:right w:val="nil"/>
            </w:tcBorders>
            <w:shd w:val="clear" w:color="auto" w:fill="F2F2F2"/>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Programa de Bolsas de Estudo, Treinamento e Capacitação da </w:t>
            </w:r>
            <w:proofErr w:type="gramStart"/>
            <w:r w:rsidRPr="00D174BB">
              <w:rPr>
                <w:b/>
                <w:bCs/>
                <w:color w:val="000000" w:themeColor="text1"/>
                <w:sz w:val="22"/>
                <w:szCs w:val="22"/>
                <w:lang w:val="pt-BR"/>
              </w:rPr>
              <w:t>CIP</w:t>
            </w:r>
            <w:proofErr w:type="gramEnd"/>
            <w:r w:rsidRPr="00D174BB">
              <w:rPr>
                <w:b/>
                <w:bCs/>
                <w:color w:val="000000" w:themeColor="text1"/>
                <w:sz w:val="22"/>
                <w:szCs w:val="22"/>
                <w:lang w:val="pt-BR"/>
              </w:rPr>
              <w:t xml:space="preserve"> </w:t>
            </w:r>
          </w:p>
        </w:tc>
      </w:tr>
      <w:tr w:rsidR="00910C92" w:rsidRPr="002A41AB" w:rsidTr="00910C92">
        <w:trPr>
          <w:trHeight w:val="1110"/>
        </w:trPr>
        <w:tc>
          <w:tcPr>
            <w:tcW w:w="2964" w:type="dxa"/>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Symbol"/>
                <w:color w:val="000000" w:themeColor="text1"/>
                <w:sz w:val="22"/>
                <w:szCs w:val="22"/>
                <w:lang w:val="pt-BR"/>
              </w:rPr>
              <w:t>Consolidação do Programa de Bolsas de Estudo e Treinamento da CIP e inclusão de uma oferta de treinamento tendo como tema principal a resiliência portuária.</w:t>
            </w:r>
          </w:p>
        </w:tc>
        <w:tc>
          <w:tcPr>
            <w:tcW w:w="3204" w:type="dxa"/>
            <w:vMerge w:val="restart"/>
            <w:tcBorders>
              <w:top w:val="nil"/>
              <w:left w:val="nil"/>
              <w:bottom w:val="single" w:sz="4" w:space="0" w:color="auto"/>
              <w:right w:val="single" w:sz="4" w:space="0" w:color="auto"/>
            </w:tcBorders>
          </w:tcPr>
          <w:p w:rsidR="00910C92" w:rsidRPr="00D174BB" w:rsidRDefault="00910C92">
            <w:pPr>
              <w:rPr>
                <w:color w:val="000000" w:themeColor="text1"/>
                <w:sz w:val="22"/>
                <w:szCs w:val="22"/>
                <w:lang w:val="pt-BR"/>
              </w:rPr>
            </w:pPr>
            <w:r w:rsidRPr="00D174BB">
              <w:rPr>
                <w:color w:val="000000" w:themeColor="text1"/>
                <w:sz w:val="22"/>
                <w:szCs w:val="22"/>
                <w:lang w:val="pt-BR"/>
              </w:rPr>
              <w:t>Oferta permanente de treinamento em práticas de resiliência para o Caribe de língua inglesa; extensão de cursos semelhantes aos países membros de língua espanhola.</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color w:val="000000" w:themeColor="text1"/>
                <w:sz w:val="22"/>
                <w:szCs w:val="22"/>
                <w:lang w:val="pt-BR"/>
              </w:rPr>
              <w:t>Inclusão da resiliência e continuidade dos negócios como área de concentração.</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361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Treinamento de pelo menos 180 autoridades portuárias, inclusive em gestão de risco de desastres e resiliência, bem como em competitividade.</w:t>
            </w:r>
          </w:p>
        </w:tc>
        <w:tc>
          <w:tcPr>
            <w:tcW w:w="2678" w:type="dxa"/>
            <w:gridSpan w:val="2"/>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Externamente: </w:t>
            </w:r>
            <w:r w:rsidRPr="00D174BB">
              <w:rPr>
                <w:color w:val="000000" w:themeColor="text1"/>
                <w:sz w:val="22"/>
                <w:szCs w:val="22"/>
                <w:lang w:val="pt-BR"/>
              </w:rPr>
              <w:t xml:space="preserve">Portos do Estado (Espanha), Autoridade </w:t>
            </w:r>
          </w:p>
          <w:p w:rsidR="00910C92" w:rsidRPr="00D174BB" w:rsidRDefault="00910C92">
            <w:pPr>
              <w:rPr>
                <w:color w:val="000000" w:themeColor="text1"/>
                <w:sz w:val="22"/>
                <w:szCs w:val="22"/>
                <w:lang w:val="pt-BR"/>
              </w:rPr>
            </w:pPr>
            <w:r w:rsidRPr="00D174BB">
              <w:rPr>
                <w:color w:val="000000" w:themeColor="text1"/>
                <w:sz w:val="22"/>
                <w:szCs w:val="22"/>
                <w:lang w:val="pt-BR"/>
              </w:rPr>
              <w:t>Portuária Nacional do Peru (APN), Organização Marítima Internacional (OMI), Guarda Costeira dos Estados Unidos (USCG), Autoridade Portuária de Busan (Coreia), Fundação ValenciaPort (Espanha), Porto de Buenos Aires (Argentina), Associação Americana de Autoridades Portuárias (AAPA), Grupo de Consultoria Piedroba, Associação Internacional de Empresas de Drenagem (IADC), SOGET (França).</w:t>
            </w:r>
          </w:p>
        </w:tc>
        <w:tc>
          <w:tcPr>
            <w:tcW w:w="2151"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r>
      <w:tr w:rsidR="00910C92" w:rsidRPr="002A41AB" w:rsidTr="00096131">
        <w:trPr>
          <w:trHeight w:val="555"/>
        </w:trPr>
        <w:tc>
          <w:tcPr>
            <w:tcW w:w="2964" w:type="dxa"/>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Symbol"/>
                <w:color w:val="000000" w:themeColor="text1"/>
                <w:sz w:val="22"/>
                <w:szCs w:val="22"/>
                <w:lang w:val="pt-BR"/>
              </w:rPr>
              <w:t>Workshops de segurança portuária com o Caribe</w:t>
            </w:r>
          </w:p>
        </w:tc>
        <w:tc>
          <w:tcPr>
            <w:tcW w:w="3204" w:type="dxa"/>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61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78" w:type="dxa"/>
            <w:gridSpan w:val="2"/>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15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555"/>
        </w:trPr>
        <w:tc>
          <w:tcPr>
            <w:tcW w:w="2964" w:type="dxa"/>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Symbol"/>
                <w:color w:val="000000" w:themeColor="text1"/>
                <w:sz w:val="22"/>
                <w:szCs w:val="22"/>
                <w:lang w:val="pt-BR"/>
              </w:rPr>
              <w:t xml:space="preserve">Curso </w:t>
            </w:r>
            <w:r w:rsidRPr="00D174BB">
              <w:rPr>
                <w:rFonts w:eastAsia="Symbol"/>
                <w:i/>
                <w:color w:val="000000" w:themeColor="text1"/>
                <w:sz w:val="22"/>
                <w:szCs w:val="22"/>
                <w:lang w:val="pt-BR"/>
              </w:rPr>
              <w:t>online</w:t>
            </w:r>
            <w:r w:rsidRPr="00D174BB">
              <w:rPr>
                <w:rFonts w:eastAsia="Symbol"/>
                <w:color w:val="000000" w:themeColor="text1"/>
                <w:sz w:val="22"/>
                <w:szCs w:val="22"/>
                <w:lang w:val="pt-BR"/>
              </w:rPr>
              <w:t xml:space="preserve"> sobre logística e competitividade portuária</w:t>
            </w:r>
          </w:p>
        </w:tc>
        <w:tc>
          <w:tcPr>
            <w:tcW w:w="3204" w:type="dxa"/>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619" w:type="dxa"/>
            <w:noWrap/>
            <w:hideMark/>
          </w:tcPr>
          <w:p w:rsidR="00910C92" w:rsidRPr="00D174BB" w:rsidRDefault="00910C92">
            <w:pPr>
              <w:rPr>
                <w:sz w:val="20"/>
                <w:szCs w:val="20"/>
                <w:lang w:val="pt-BR"/>
              </w:rPr>
            </w:pPr>
          </w:p>
        </w:tc>
        <w:tc>
          <w:tcPr>
            <w:tcW w:w="2678" w:type="dxa"/>
            <w:gridSpan w:val="2"/>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15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555"/>
        </w:trPr>
        <w:tc>
          <w:tcPr>
            <w:tcW w:w="2964" w:type="dxa"/>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Symbol"/>
                <w:color w:val="000000" w:themeColor="text1"/>
                <w:sz w:val="22"/>
                <w:szCs w:val="22"/>
                <w:lang w:val="pt-BR"/>
              </w:rPr>
              <w:t xml:space="preserve">Mestrado em Gestão Portuária e Transporte Intermodal </w:t>
            </w:r>
          </w:p>
        </w:tc>
        <w:tc>
          <w:tcPr>
            <w:tcW w:w="3204" w:type="dxa"/>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619" w:type="dxa"/>
            <w:tcBorders>
              <w:top w:val="single" w:sz="4" w:space="0" w:color="auto"/>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Concessão de pelo menos uma bolsa de estudos integral a Autoridade Portuária, para Mestrado em Gestão de Portos.</w:t>
            </w:r>
          </w:p>
        </w:tc>
        <w:tc>
          <w:tcPr>
            <w:tcW w:w="2678" w:type="dxa"/>
            <w:gridSpan w:val="2"/>
            <w:vMerge/>
            <w:tcBorders>
              <w:top w:val="single" w:sz="4" w:space="0" w:color="auto"/>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15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388"/>
        </w:trPr>
        <w:tc>
          <w:tcPr>
            <w:tcW w:w="2964" w:type="dxa"/>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Symbol"/>
                <w:color w:val="000000" w:themeColor="text1"/>
                <w:sz w:val="22"/>
                <w:szCs w:val="22"/>
                <w:lang w:val="pt-BR"/>
              </w:rPr>
              <w:t>Conferências técnicas hemisféricas sobre segurança portuária, gestão sustentável, gênero, responsabilidade social e relação porto-cidade.</w:t>
            </w:r>
          </w:p>
        </w:tc>
        <w:tc>
          <w:tcPr>
            <w:tcW w:w="3204" w:type="dxa"/>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61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Apresentação de práticas bem-sucedidas para o desenvolvimento integral dos portos a pelo menos 300 autoridades da indústria portuária e marítima em três conferências hemisféricas e um Fórum sobre Práticas Bem-Sucedidas no Desenvolvimento de Portos. </w:t>
            </w:r>
          </w:p>
        </w:tc>
        <w:tc>
          <w:tcPr>
            <w:tcW w:w="2678" w:type="dxa"/>
            <w:gridSpan w:val="2"/>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15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388"/>
        </w:trPr>
        <w:tc>
          <w:tcPr>
            <w:tcW w:w="2964" w:type="dxa"/>
            <w:tcBorders>
              <w:top w:val="nil"/>
              <w:left w:val="single" w:sz="4" w:space="0" w:color="auto"/>
              <w:bottom w:val="single" w:sz="4" w:space="0" w:color="auto"/>
              <w:right w:val="single" w:sz="4" w:space="0" w:color="auto"/>
            </w:tcBorders>
            <w:hideMark/>
          </w:tcPr>
          <w:p w:rsidR="00910C92" w:rsidRDefault="00910C92">
            <w:pPr>
              <w:rPr>
                <w:rFonts w:eastAsia="Symbol"/>
                <w:color w:val="000000" w:themeColor="text1"/>
                <w:sz w:val="22"/>
                <w:szCs w:val="22"/>
                <w:lang w:val="pt-BR"/>
              </w:rPr>
            </w:pPr>
            <w:r w:rsidRPr="00D174BB">
              <w:rPr>
                <w:rFonts w:eastAsia="Symbol"/>
                <w:color w:val="000000" w:themeColor="text1"/>
                <w:sz w:val="22"/>
                <w:szCs w:val="22"/>
                <w:lang w:val="pt-BR"/>
              </w:rPr>
              <w:t xml:space="preserve">Compêndio/materiais de treinamento em logística, inovação e competitividade portuárias a serem desenvolvidos em conformidade com o Grupo Técnico Assessor da CIP (TAG) sobre Logística, Inovação e Competitividade. </w:t>
            </w:r>
          </w:p>
          <w:p w:rsidR="00C11D18" w:rsidRDefault="00C11D18">
            <w:pPr>
              <w:rPr>
                <w:rFonts w:eastAsia="Symbol"/>
                <w:color w:val="000000" w:themeColor="text1"/>
                <w:sz w:val="22"/>
                <w:szCs w:val="22"/>
                <w:lang w:val="pt-BR"/>
              </w:rPr>
            </w:pPr>
          </w:p>
          <w:p w:rsidR="00C11D18" w:rsidRDefault="00C11D18">
            <w:pPr>
              <w:rPr>
                <w:rFonts w:eastAsia="Symbol"/>
                <w:color w:val="000000" w:themeColor="text1"/>
                <w:sz w:val="22"/>
                <w:szCs w:val="22"/>
                <w:lang w:val="pt-BR"/>
              </w:rPr>
            </w:pPr>
          </w:p>
          <w:p w:rsidR="00C11D18" w:rsidRDefault="00C11D18">
            <w:pPr>
              <w:rPr>
                <w:rFonts w:eastAsia="Symbol"/>
                <w:color w:val="000000" w:themeColor="text1"/>
                <w:sz w:val="22"/>
                <w:szCs w:val="22"/>
                <w:lang w:val="pt-BR"/>
              </w:rPr>
            </w:pPr>
          </w:p>
          <w:p w:rsidR="00C11D18" w:rsidRPr="00D174BB" w:rsidRDefault="00C11D18">
            <w:pPr>
              <w:rPr>
                <w:color w:val="000000" w:themeColor="text1"/>
                <w:sz w:val="22"/>
                <w:szCs w:val="22"/>
                <w:lang w:val="pt-BR"/>
              </w:rPr>
            </w:pPr>
          </w:p>
        </w:tc>
        <w:tc>
          <w:tcPr>
            <w:tcW w:w="3204" w:type="dxa"/>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619" w:type="dxa"/>
            <w:tcBorders>
              <w:top w:val="nil"/>
              <w:left w:val="nil"/>
              <w:bottom w:val="single" w:sz="4" w:space="0" w:color="auto"/>
              <w:right w:val="single" w:sz="4" w:space="0" w:color="auto"/>
            </w:tcBorders>
            <w:hideMark/>
          </w:tcPr>
          <w:p w:rsidR="00910C92" w:rsidRPr="00D174BB" w:rsidRDefault="001A5665">
            <w:pPr>
              <w:rPr>
                <w:color w:val="000000" w:themeColor="text1"/>
                <w:sz w:val="22"/>
                <w:szCs w:val="22"/>
                <w:lang w:val="pt-BR"/>
              </w:rPr>
            </w:pPr>
            <w:r w:rsidRPr="00D174BB">
              <w:rPr>
                <w:color w:val="000000" w:themeColor="text1"/>
                <w:sz w:val="22"/>
                <w:szCs w:val="22"/>
                <w:lang w:val="pt-BR"/>
              </w:rPr>
              <w:t>Compilação</w:t>
            </w:r>
            <w:r w:rsidR="00910C92" w:rsidRPr="00D174BB">
              <w:rPr>
                <w:color w:val="000000" w:themeColor="text1"/>
                <w:sz w:val="22"/>
                <w:szCs w:val="22"/>
                <w:lang w:val="pt-BR"/>
              </w:rPr>
              <w:t xml:space="preserve"> de materiais e práticas bem-sucedidas para possível treinamento em logística, inovação e competitividade portuárias. </w:t>
            </w:r>
          </w:p>
        </w:tc>
        <w:tc>
          <w:tcPr>
            <w:tcW w:w="2678" w:type="dxa"/>
            <w:gridSpan w:val="2"/>
            <w:vMerge/>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15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2964"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lastRenderedPageBreak/>
              <w:t xml:space="preserve">LINHA ESTRATÉGICA </w:t>
            </w:r>
          </w:p>
        </w:tc>
        <w:tc>
          <w:tcPr>
            <w:tcW w:w="11652" w:type="dxa"/>
            <w:gridSpan w:val="5"/>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6. </w:t>
            </w:r>
            <w:r w:rsidRPr="00D174BB">
              <w:rPr>
                <w:b/>
                <w:bCs/>
                <w:sz w:val="22"/>
                <w:szCs w:val="22"/>
                <w:lang w:val="pt-BR"/>
              </w:rPr>
              <w:t>Promover a cooperação para o desenvolvimento e a criação de parcerias</w:t>
            </w: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2964"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52" w:type="dxa"/>
            <w:gridSpan w:val="5"/>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6.1. </w:t>
            </w:r>
            <w:r w:rsidRPr="00D174BB">
              <w:rPr>
                <w:b/>
                <w:bCs/>
                <w:sz w:val="22"/>
                <w:szCs w:val="22"/>
                <w:lang w:val="pt-BR"/>
              </w:rPr>
              <w:t>Estimular a cooperação bilateral, sul-sul, triangular e internacional no Hemisfério</w:t>
            </w: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8"/>
        </w:trPr>
        <w:tc>
          <w:tcPr>
            <w:tcW w:w="2964"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Symbol"/>
                <w:b/>
                <w:bCs/>
                <w:color w:val="000000" w:themeColor="text1"/>
                <w:sz w:val="22"/>
                <w:szCs w:val="22"/>
                <w:lang w:val="pt-BR"/>
              </w:rPr>
              <w:t xml:space="preserve">DIÁLOGO DE POLÍTICA: </w:t>
            </w:r>
            <w:r w:rsidRPr="00D174BB">
              <w:rPr>
                <w:rFonts w:eastAsia="Symbol"/>
                <w:color w:val="000000" w:themeColor="text1"/>
                <w:sz w:val="22"/>
                <w:szCs w:val="22"/>
                <w:lang w:val="pt-BR"/>
              </w:rPr>
              <w:t xml:space="preserve">Décima Segunda Reunião Ordinária da CIP </w:t>
            </w:r>
          </w:p>
        </w:tc>
        <w:tc>
          <w:tcPr>
            <w:tcW w:w="3204"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Resiliência incluída na Resolução de Buenos Aires como área para aumento de colaboração entre os portos da região, a saber, em termos de gestão de risco de desastres e continuidade dos negócios.</w:t>
            </w:r>
          </w:p>
        </w:tc>
        <w:tc>
          <w:tcPr>
            <w:tcW w:w="361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Eleição da nova Junta Executiva da CIP. </w:t>
            </w:r>
          </w:p>
        </w:tc>
        <w:tc>
          <w:tcPr>
            <w:tcW w:w="2678"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151"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0"/>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04"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 Resolução de Buenos Aires inclui a competitividade dos portos como área prioritária, salientando sua importância para o desenvolvimento socioeconômico dos Estados membros. </w:t>
            </w:r>
          </w:p>
        </w:tc>
        <w:tc>
          <w:tcPr>
            <w:tcW w:w="361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Resolução, aprovação de Plano de Ação 2020-2022 e respectivo orçamento. </w:t>
            </w:r>
          </w:p>
        </w:tc>
        <w:tc>
          <w:tcPr>
            <w:tcW w:w="267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5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0"/>
        </w:trPr>
        <w:tc>
          <w:tcPr>
            <w:tcW w:w="2964"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Symbol"/>
                <w:b/>
                <w:bCs/>
                <w:color w:val="000000" w:themeColor="text1"/>
                <w:sz w:val="22"/>
                <w:szCs w:val="22"/>
                <w:lang w:val="pt-BR"/>
              </w:rPr>
              <w:t>Atividades para conquistar maior número de membros associados e doadores</w:t>
            </w:r>
          </w:p>
        </w:tc>
        <w:tc>
          <w:tcPr>
            <w:tcW w:w="3204"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 colaboração público-privada por meio de membros associados promove parcerias estratégicas sustentáveis para o desenvolvimento eficiente e competitivo dos portos. </w:t>
            </w:r>
          </w:p>
        </w:tc>
        <w:tc>
          <w:tcPr>
            <w:tcW w:w="361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Coleta e formalização de apoio às áreas prioritárias da CIP, inclusive resiliência e competitividade. </w:t>
            </w:r>
          </w:p>
        </w:tc>
        <w:tc>
          <w:tcPr>
            <w:tcW w:w="267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5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3"/>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204"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Coleta e formalização de apoio às áreas prioritárias da CIP, inclusive resiliência e competitividade. </w:t>
            </w:r>
          </w:p>
        </w:tc>
        <w:tc>
          <w:tcPr>
            <w:tcW w:w="361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Identificação de novos parceiros estratégicos, membros associados da CIP e possíveis doadores. </w:t>
            </w:r>
          </w:p>
        </w:tc>
        <w:tc>
          <w:tcPr>
            <w:tcW w:w="2678"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51"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bl>
    <w:p w:rsidR="00910C92" w:rsidRPr="00D174BB" w:rsidRDefault="00910C92" w:rsidP="00910C92">
      <w:pPr>
        <w:rPr>
          <w:b/>
          <w:color w:val="000000" w:themeColor="text1"/>
          <w:sz w:val="22"/>
          <w:szCs w:val="22"/>
          <w:u w:val="single"/>
          <w:lang w:val="pt-BR"/>
        </w:rPr>
      </w:pPr>
    </w:p>
    <w:p w:rsidR="00910C92" w:rsidRPr="00D174BB" w:rsidRDefault="00910C92" w:rsidP="00910C92">
      <w:pPr>
        <w:rPr>
          <w:b/>
          <w:color w:val="000000" w:themeColor="text1"/>
          <w:sz w:val="22"/>
          <w:szCs w:val="22"/>
          <w:u w:val="single"/>
          <w:lang w:val="pt-BR"/>
        </w:rPr>
      </w:pPr>
      <w:r w:rsidRPr="00D174BB">
        <w:rPr>
          <w:b/>
          <w:color w:val="000000" w:themeColor="text1"/>
          <w:sz w:val="22"/>
          <w:szCs w:val="22"/>
          <w:u w:val="single"/>
          <w:lang w:val="pt-BR"/>
        </w:rPr>
        <w:br w:type="page"/>
      </w:r>
    </w:p>
    <w:tbl>
      <w:tblPr>
        <w:tblW w:w="0" w:type="auto"/>
        <w:tblLayout w:type="fixed"/>
        <w:tblLook w:val="04A0" w:firstRow="1" w:lastRow="0" w:firstColumn="1" w:lastColumn="0" w:noHBand="0" w:noVBand="1"/>
      </w:tblPr>
      <w:tblGrid>
        <w:gridCol w:w="3438"/>
        <w:gridCol w:w="3150"/>
        <w:gridCol w:w="2635"/>
        <w:gridCol w:w="2669"/>
        <w:gridCol w:w="2502"/>
      </w:tblGrid>
      <w:tr w:rsidR="00910C92" w:rsidRPr="002A41AB" w:rsidTr="00910C92">
        <w:trPr>
          <w:trHeight w:val="278"/>
        </w:trPr>
        <w:tc>
          <w:tcPr>
            <w:tcW w:w="14394" w:type="dxa"/>
            <w:gridSpan w:val="5"/>
            <w:tcBorders>
              <w:top w:val="nil"/>
              <w:left w:val="nil"/>
              <w:bottom w:val="single" w:sz="4" w:space="0" w:color="auto"/>
              <w:right w:val="nil"/>
            </w:tcBorders>
            <w:noWrap/>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lastRenderedPageBreak/>
              <w:t>DEPARTAMENTO/SEÇÃO: DESENVOLVIMENTO SUSTENTÁVEL (DDS)</w:t>
            </w:r>
          </w:p>
        </w:tc>
      </w:tr>
      <w:tr w:rsidR="00910C92" w:rsidRPr="00D174BB" w:rsidTr="00910C92">
        <w:trPr>
          <w:trHeight w:val="540"/>
        </w:trPr>
        <w:tc>
          <w:tcPr>
            <w:tcW w:w="3438" w:type="dxa"/>
            <w:tcBorders>
              <w:top w:val="nil"/>
              <w:left w:val="single" w:sz="4" w:space="0" w:color="auto"/>
              <w:bottom w:val="single" w:sz="4" w:space="0" w:color="auto"/>
              <w:right w:val="single" w:sz="4" w:space="0" w:color="auto"/>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3150" w:type="dxa"/>
            <w:tcBorders>
              <w:top w:val="nil"/>
              <w:left w:val="nil"/>
              <w:bottom w:val="single" w:sz="4" w:space="0" w:color="auto"/>
              <w:right w:val="single" w:sz="4" w:space="0" w:color="auto"/>
            </w:tcBorders>
            <w:shd w:val="clear" w:color="auto" w:fill="D9E2F3"/>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635" w:type="dxa"/>
            <w:tcBorders>
              <w:top w:val="nil"/>
              <w:left w:val="nil"/>
              <w:bottom w:val="single" w:sz="4" w:space="0" w:color="auto"/>
              <w:right w:val="single" w:sz="4" w:space="0" w:color="auto"/>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669" w:type="dxa"/>
            <w:tcBorders>
              <w:top w:val="nil"/>
              <w:left w:val="nil"/>
              <w:bottom w:val="single" w:sz="4" w:space="0" w:color="auto"/>
              <w:right w:val="single" w:sz="4" w:space="0" w:color="auto"/>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502" w:type="dxa"/>
            <w:tcBorders>
              <w:top w:val="nil"/>
              <w:left w:val="nil"/>
              <w:bottom w:val="single" w:sz="4" w:space="0" w:color="auto"/>
              <w:right w:val="single" w:sz="4" w:space="0" w:color="auto"/>
            </w:tcBorders>
            <w:shd w:val="clear" w:color="auto" w:fill="FFFF00"/>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910C92" w:rsidRPr="00D174BB" w:rsidRDefault="008505BB">
            <w:pPr>
              <w:jc w:val="center"/>
              <w:rPr>
                <w:b/>
                <w:bCs/>
                <w:color w:val="000000" w:themeColor="text1"/>
                <w:sz w:val="22"/>
                <w:szCs w:val="22"/>
                <w:lang w:val="pt-BR"/>
              </w:rPr>
            </w:pPr>
            <w:r w:rsidRPr="00D174BB">
              <w:rPr>
                <w:b/>
                <w:bCs/>
                <w:color w:val="000000" w:themeColor="text1"/>
                <w:sz w:val="22"/>
                <w:szCs w:val="22"/>
                <w:lang w:val="pt-BR"/>
              </w:rPr>
              <w:t>COVID</w:t>
            </w:r>
            <w:r w:rsidR="00910C92" w:rsidRPr="00D174BB">
              <w:rPr>
                <w:b/>
                <w:bCs/>
                <w:color w:val="000000" w:themeColor="text1"/>
                <w:sz w:val="22"/>
                <w:szCs w:val="22"/>
                <w:lang w:val="pt-BR"/>
              </w:rPr>
              <w:t>-19</w:t>
            </w:r>
          </w:p>
        </w:tc>
      </w:tr>
      <w:tr w:rsidR="00910C92" w:rsidRPr="002A41AB" w:rsidTr="00910C92">
        <w:trPr>
          <w:trHeight w:val="278"/>
        </w:trPr>
        <w:tc>
          <w:tcPr>
            <w:tcW w:w="3438"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LINHA ESTRATÉGICA </w:t>
            </w:r>
          </w:p>
        </w:tc>
        <w:tc>
          <w:tcPr>
            <w:tcW w:w="10956" w:type="dxa"/>
            <w:gridSpan w:val="4"/>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2. </w:t>
            </w:r>
            <w:r w:rsidRPr="00D174BB">
              <w:rPr>
                <w:b/>
                <w:bCs/>
                <w:sz w:val="22"/>
                <w:szCs w:val="22"/>
                <w:lang w:val="pt-BR"/>
              </w:rPr>
              <w:t xml:space="preserve">Fortalecer a implementação dos objetivos de desenvolvimento sustentável, em conformidade com o Programa Interamericano de Desenvolvimento Sustentável 2016-2021 </w:t>
            </w:r>
            <w:r w:rsidRPr="00D174BB">
              <w:rPr>
                <w:b/>
                <w:bCs/>
                <w:color w:val="000000" w:themeColor="text1"/>
                <w:sz w:val="22"/>
                <w:szCs w:val="22"/>
                <w:lang w:val="pt-BR"/>
              </w:rPr>
              <w:t>(PIDS)</w:t>
            </w:r>
          </w:p>
        </w:tc>
      </w:tr>
      <w:tr w:rsidR="00910C92" w:rsidRPr="002A41AB" w:rsidTr="00910C92">
        <w:trPr>
          <w:trHeight w:val="278"/>
        </w:trPr>
        <w:tc>
          <w:tcPr>
            <w:tcW w:w="3438"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0956" w:type="dxa"/>
            <w:gridSpan w:val="4"/>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2.1. </w:t>
            </w:r>
            <w:r w:rsidRPr="00D174BB">
              <w:rPr>
                <w:b/>
                <w:sz w:val="22"/>
                <w:szCs w:val="22"/>
                <w:lang w:val="pt-BR"/>
              </w:rPr>
              <w:t>Promover a capacidade dos Estados membros na gestão do risco de desastres, de acordo com os objetivos e bases de ação dispostos na Seção 3.1 do PIDS</w:t>
            </w:r>
          </w:p>
        </w:tc>
      </w:tr>
      <w:tr w:rsidR="00910C92" w:rsidRPr="002A41AB" w:rsidTr="00910C92">
        <w:trPr>
          <w:trHeight w:val="278"/>
        </w:trPr>
        <w:tc>
          <w:tcPr>
            <w:tcW w:w="14394" w:type="dxa"/>
            <w:gridSpan w:val="5"/>
            <w:tcBorders>
              <w:top w:val="single" w:sz="4" w:space="0" w:color="auto"/>
              <w:left w:val="single" w:sz="4" w:space="0" w:color="auto"/>
              <w:bottom w:val="single" w:sz="4" w:space="0" w:color="auto"/>
              <w:right w:val="single" w:sz="4" w:space="0" w:color="000000"/>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Gestão do risco de desastres</w:t>
            </w:r>
          </w:p>
        </w:tc>
      </w:tr>
      <w:tr w:rsidR="00910C92" w:rsidRPr="002A41AB" w:rsidTr="00910C92">
        <w:trPr>
          <w:trHeight w:val="1995"/>
        </w:trPr>
        <w:tc>
          <w:tcPr>
            <w:tcW w:w="3438" w:type="dxa"/>
            <w:tcBorders>
              <w:top w:val="nil"/>
              <w:left w:val="single" w:sz="4" w:space="0" w:color="auto"/>
              <w:bottom w:val="single" w:sz="4" w:space="0" w:color="auto"/>
              <w:right w:val="single" w:sz="4" w:space="0" w:color="auto"/>
            </w:tcBorders>
            <w:hideMark/>
          </w:tcPr>
          <w:p w:rsidR="00910C92" w:rsidRPr="00D174BB" w:rsidRDefault="009E0B58" w:rsidP="009E0B58">
            <w:pPr>
              <w:rPr>
                <w:b/>
                <w:color w:val="000000" w:themeColor="text1"/>
                <w:sz w:val="22"/>
                <w:szCs w:val="22"/>
                <w:lang w:val="pt-BR"/>
              </w:rPr>
            </w:pPr>
            <w:r w:rsidRPr="00D174BB">
              <w:rPr>
                <w:b/>
                <w:color w:val="000000" w:themeColor="text1"/>
                <w:sz w:val="22"/>
                <w:szCs w:val="22"/>
                <w:lang w:val="pt-BR"/>
              </w:rPr>
              <w:t>P</w:t>
            </w:r>
            <w:r w:rsidR="00910C92" w:rsidRPr="00D174BB">
              <w:rPr>
                <w:b/>
                <w:color w:val="000000" w:themeColor="text1"/>
                <w:sz w:val="22"/>
                <w:szCs w:val="22"/>
                <w:lang w:val="pt-BR"/>
              </w:rPr>
              <w:t>rograma de Equipes Regionais de Resposta a Emergências Comunitárias (CERT), mediante o uso de um enfoque totalmente comunitário da resiliência.</w:t>
            </w:r>
          </w:p>
        </w:tc>
        <w:tc>
          <w:tcPr>
            <w:tcW w:w="315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Construção de resiliência nas PMEs vinculadas ao turismo, com base no modelo das CERTs. Trata-se de uma tentativa de construção de um enfoque totalmente comunitário da resiliência, inclusive por meio da participação de longo prazo das empresas na resiliência comunitária.</w:t>
            </w:r>
          </w:p>
        </w:tc>
        <w:tc>
          <w:tcPr>
            <w:tcW w:w="2635"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Desenvolvimento de acervo de conhecimentos e competências para resposta de emergência comunitária nos Estados membros da CARICOM e outros (Webinars, workshops e publicação de livros brancos). </w:t>
            </w:r>
          </w:p>
        </w:tc>
        <w:tc>
          <w:tcPr>
            <w:tcW w:w="2669" w:type="dxa"/>
            <w:vMerge w:val="restart"/>
            <w:tcBorders>
              <w:top w:val="nil"/>
              <w:left w:val="single" w:sz="4" w:space="0" w:color="auto"/>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Rede</w:t>
            </w:r>
            <w:r w:rsidRPr="00D174BB">
              <w:rPr>
                <w:b/>
                <w:bCs/>
                <w:color w:val="000000" w:themeColor="text1"/>
                <w:sz w:val="22"/>
                <w:szCs w:val="22"/>
                <w:lang w:val="pt-BR"/>
              </w:rPr>
              <w:t xml:space="preserve"> </w:t>
            </w:r>
            <w:r w:rsidRPr="00D174BB">
              <w:rPr>
                <w:color w:val="000000" w:themeColor="text1"/>
                <w:sz w:val="22"/>
                <w:szCs w:val="22"/>
                <w:lang w:val="pt-BR"/>
              </w:rPr>
              <w:t xml:space="preserve">Interamericana de Redução de Desastres (RIRD), Escritório Executivo da SEDI, DDHEE, CIP, SSM, SSD, Junta Interamericana de Defesa, Gabinete do SGA.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Externamente:</w:t>
            </w:r>
            <w:r w:rsidRPr="00D174BB">
              <w:rPr>
                <w:color w:val="000000" w:themeColor="text1"/>
                <w:sz w:val="22"/>
                <w:szCs w:val="22"/>
                <w:lang w:val="pt-BR"/>
              </w:rPr>
              <w:t xml:space="preserve"> identificação da Agência Federal para Manejo de Emergência dos Estados Unidos (FEMA) como possível parceiro-chave para a implementação do enfoque CERT em todo o Hemisfério. As CERTs também se apoiam em parcerias locais. Amazon Web Services. NASA, NOAA.</w:t>
            </w:r>
          </w:p>
        </w:tc>
        <w:tc>
          <w:tcPr>
            <w:tcW w:w="2502" w:type="dxa"/>
            <w:vMerge w:val="restart"/>
            <w:tcBorders>
              <w:top w:val="nil"/>
              <w:left w:val="single" w:sz="4" w:space="0" w:color="auto"/>
              <w:bottom w:val="single" w:sz="4" w:space="0" w:color="000000"/>
              <w:right w:val="single" w:sz="4" w:space="0" w:color="auto"/>
            </w:tcBorders>
            <w:shd w:val="clear" w:color="auto" w:fill="FFFF00"/>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Intercâmbio de conhecimentos:</w:t>
            </w:r>
            <w:r w:rsidRPr="00D174BB">
              <w:rPr>
                <w:b/>
                <w:bCs/>
                <w:color w:val="000000" w:themeColor="text1"/>
                <w:sz w:val="22"/>
                <w:szCs w:val="22"/>
                <w:lang w:val="pt-BR"/>
              </w:rPr>
              <w:br/>
            </w:r>
            <w:r w:rsidRPr="00D174BB">
              <w:rPr>
                <w:color w:val="000000" w:themeColor="text1"/>
                <w:sz w:val="22"/>
                <w:szCs w:val="22"/>
                <w:lang w:val="pt-BR"/>
              </w:rPr>
              <w:br/>
              <w:t>novos artigos publicados por nossos especialistas sobre o enfrentamento dos desafios do desenvolvimento sustentável associados à pandemia (especificamente sobre o PIDS e a redução de desastres).</w:t>
            </w:r>
          </w:p>
        </w:tc>
      </w:tr>
      <w:tr w:rsidR="00910C92" w:rsidRPr="002A41AB" w:rsidTr="00096131">
        <w:trPr>
          <w:trHeight w:val="1110"/>
        </w:trPr>
        <w:tc>
          <w:tcPr>
            <w:tcW w:w="3438" w:type="dxa"/>
            <w:tcBorders>
              <w:top w:val="nil"/>
              <w:left w:val="single" w:sz="4" w:space="0" w:color="auto"/>
              <w:bottom w:val="single" w:sz="4" w:space="0" w:color="auto"/>
              <w:right w:val="single" w:sz="4" w:space="0" w:color="auto"/>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Políticas e programas baseados em dados para os formuladores de decisão </w:t>
            </w:r>
          </w:p>
        </w:tc>
        <w:tc>
          <w:tcPr>
            <w:tcW w:w="3150" w:type="dxa"/>
            <w:tcBorders>
              <w:top w:val="nil"/>
              <w:left w:val="nil"/>
              <w:bottom w:val="single" w:sz="4" w:space="0" w:color="auto"/>
              <w:right w:val="single" w:sz="4" w:space="0" w:color="auto"/>
            </w:tcBorders>
            <w:noWrap/>
            <w:hideMark/>
          </w:tcPr>
          <w:p w:rsidR="00910C92" w:rsidRPr="00D174BB" w:rsidRDefault="00910C92">
            <w:pPr>
              <w:rPr>
                <w:color w:val="000000" w:themeColor="text1"/>
                <w:sz w:val="22"/>
                <w:szCs w:val="22"/>
                <w:lang w:val="pt-BR"/>
              </w:rPr>
            </w:pPr>
            <w:r w:rsidRPr="00D174BB">
              <w:rPr>
                <w:color w:val="000000" w:themeColor="text1"/>
                <w:sz w:val="22"/>
                <w:szCs w:val="22"/>
                <w:lang w:val="pt-BR"/>
              </w:rPr>
              <w:t>Conscientização sobre a relevância da prática de um enfoque baseado em dados para modelar os programas e políticas de construção de resiliência.</w:t>
            </w:r>
          </w:p>
        </w:tc>
        <w:tc>
          <w:tcPr>
            <w:tcW w:w="2635"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Workshop de conscientização e entendimento de como a ciência e os dados podem modelar políticas e programas de construção de resiliência e gestão de risco de desastres.</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110"/>
        </w:trPr>
        <w:tc>
          <w:tcPr>
            <w:tcW w:w="3438" w:type="dxa"/>
            <w:tcBorders>
              <w:top w:val="nil"/>
              <w:left w:val="single" w:sz="4" w:space="0" w:color="auto"/>
              <w:bottom w:val="single" w:sz="4" w:space="0" w:color="auto"/>
              <w:right w:val="single" w:sz="4" w:space="0" w:color="auto"/>
            </w:tcBorders>
            <w:hideMark/>
          </w:tcPr>
          <w:p w:rsidR="00910C92" w:rsidRPr="00D174BB" w:rsidRDefault="00910C92">
            <w:pPr>
              <w:rPr>
                <w:b/>
                <w:color w:val="000000" w:themeColor="text1"/>
                <w:sz w:val="22"/>
                <w:szCs w:val="22"/>
                <w:lang w:val="pt-BR"/>
              </w:rPr>
            </w:pPr>
            <w:r w:rsidRPr="00D174BB">
              <w:rPr>
                <w:rFonts w:eastAsia="Symbol"/>
                <w:b/>
                <w:color w:val="000000" w:themeColor="text1"/>
                <w:sz w:val="22"/>
                <w:szCs w:val="22"/>
                <w:lang w:val="pt-BR"/>
              </w:rPr>
              <w:t>Projeto “Construção de Resiliência das Pequenas Empresas de Turismo do Caribe aos Desastres”</w:t>
            </w:r>
          </w:p>
        </w:tc>
        <w:tc>
          <w:tcPr>
            <w:tcW w:w="315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Workshops que ajudarão a identificar possíveis parceiros para tornar os planos operacionais, com base nas vulnerabilidades, exposições e cadeias de abastecimento locais.</w:t>
            </w:r>
          </w:p>
        </w:tc>
        <w:tc>
          <w:tcPr>
            <w:tcW w:w="2635"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833"/>
        </w:trPr>
        <w:tc>
          <w:tcPr>
            <w:tcW w:w="3438" w:type="dxa"/>
            <w:tcBorders>
              <w:top w:val="nil"/>
              <w:left w:val="single" w:sz="4" w:space="0" w:color="auto"/>
              <w:bottom w:val="single" w:sz="4" w:space="0" w:color="auto"/>
              <w:right w:val="single" w:sz="4" w:space="0" w:color="auto"/>
            </w:tcBorders>
            <w:hideMark/>
          </w:tcPr>
          <w:p w:rsidR="00910C92" w:rsidRPr="00D174BB" w:rsidRDefault="00910C92">
            <w:pPr>
              <w:rPr>
                <w:b/>
                <w:color w:val="000000" w:themeColor="text1"/>
                <w:sz w:val="22"/>
                <w:szCs w:val="22"/>
                <w:lang w:val="pt-BR"/>
              </w:rPr>
            </w:pPr>
            <w:proofErr w:type="spellStart"/>
            <w:r w:rsidRPr="00D174BB">
              <w:rPr>
                <w:rFonts w:eastAsia="Symbol"/>
                <w:b/>
                <w:color w:val="000000" w:themeColor="text1"/>
                <w:sz w:val="22"/>
                <w:szCs w:val="22"/>
                <w:lang w:val="pt-BR"/>
              </w:rPr>
              <w:t>Webinars</w:t>
            </w:r>
            <w:proofErr w:type="spellEnd"/>
            <w:r w:rsidRPr="00D174BB">
              <w:rPr>
                <w:rFonts w:eastAsia="Symbol"/>
                <w:b/>
                <w:color w:val="000000" w:themeColor="text1"/>
                <w:sz w:val="22"/>
                <w:szCs w:val="22"/>
                <w:lang w:val="pt-BR"/>
              </w:rPr>
              <w:t>, workshops e publicação de livros brancos sobre aplicativos de nuvem e sistemas baseados na Web para “Prevenção, resiliência e</w:t>
            </w:r>
            <w:proofErr w:type="gramStart"/>
            <w:r w:rsidRPr="00D174BB">
              <w:rPr>
                <w:rFonts w:eastAsia="Symbol"/>
                <w:b/>
                <w:color w:val="000000" w:themeColor="text1"/>
                <w:sz w:val="22"/>
                <w:szCs w:val="22"/>
                <w:lang w:val="pt-BR"/>
              </w:rPr>
              <w:t xml:space="preserve">  </w:t>
            </w:r>
            <w:proofErr w:type="gramEnd"/>
            <w:r w:rsidRPr="00D174BB">
              <w:rPr>
                <w:rFonts w:eastAsia="Symbol"/>
                <w:b/>
                <w:color w:val="000000" w:themeColor="text1"/>
                <w:sz w:val="22"/>
                <w:szCs w:val="22"/>
                <w:lang w:val="pt-BR"/>
              </w:rPr>
              <w:t>alívio de desastres”.</w:t>
            </w:r>
          </w:p>
        </w:tc>
        <w:tc>
          <w:tcPr>
            <w:tcW w:w="315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35"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Redução da perda de fatia de mercado decorrente de rupturas relacionadas a desastres.</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340"/>
        </w:trPr>
        <w:tc>
          <w:tcPr>
            <w:tcW w:w="3438" w:type="dxa"/>
            <w:tcBorders>
              <w:top w:val="nil"/>
              <w:left w:val="single" w:sz="4" w:space="0" w:color="auto"/>
              <w:bottom w:val="single" w:sz="4" w:space="0" w:color="000000"/>
              <w:right w:val="single" w:sz="4" w:space="0" w:color="auto"/>
            </w:tcBorders>
            <w:hideMark/>
          </w:tcPr>
          <w:p w:rsidR="00910C92" w:rsidRPr="00D174BB" w:rsidRDefault="00910C92" w:rsidP="009E0B58">
            <w:pPr>
              <w:rPr>
                <w:b/>
                <w:color w:val="000000" w:themeColor="text1"/>
                <w:sz w:val="22"/>
                <w:szCs w:val="22"/>
                <w:lang w:val="pt-BR"/>
              </w:rPr>
            </w:pPr>
            <w:r w:rsidRPr="00D174BB">
              <w:rPr>
                <w:rFonts w:eastAsia="Symbol"/>
                <w:b/>
                <w:color w:val="000000" w:themeColor="text1"/>
                <w:sz w:val="22"/>
                <w:szCs w:val="22"/>
                <w:lang w:val="pt-BR"/>
              </w:rPr>
              <w:lastRenderedPageBreak/>
              <w:t xml:space="preserve">Cursos das </w:t>
            </w:r>
            <w:r w:rsidRPr="00D174BB">
              <w:rPr>
                <w:b/>
                <w:color w:val="000000" w:themeColor="text1"/>
                <w:sz w:val="22"/>
                <w:szCs w:val="22"/>
                <w:lang w:val="pt-BR"/>
              </w:rPr>
              <w:t xml:space="preserve">Equipes Regionais de Resposta a Emergências Comunitárias </w:t>
            </w:r>
            <w:r w:rsidRPr="00D174BB">
              <w:rPr>
                <w:rFonts w:eastAsia="Symbol"/>
                <w:b/>
                <w:color w:val="000000" w:themeColor="text1"/>
                <w:sz w:val="22"/>
                <w:szCs w:val="22"/>
                <w:lang w:val="pt-BR"/>
              </w:rPr>
              <w:t xml:space="preserve">(CERT): curso básico, treinamento de instrutores e gerente de programa (em </w:t>
            </w:r>
            <w:r w:rsidR="009E0B58" w:rsidRPr="00D174BB">
              <w:rPr>
                <w:rFonts w:eastAsia="Symbol"/>
                <w:b/>
                <w:color w:val="000000" w:themeColor="text1"/>
                <w:sz w:val="22"/>
                <w:szCs w:val="22"/>
                <w:lang w:val="pt-BR"/>
              </w:rPr>
              <w:t xml:space="preserve">alguns </w:t>
            </w:r>
            <w:r w:rsidRPr="00D174BB">
              <w:rPr>
                <w:rFonts w:eastAsia="Symbol"/>
                <w:b/>
                <w:color w:val="000000" w:themeColor="text1"/>
                <w:sz w:val="22"/>
                <w:szCs w:val="22"/>
                <w:lang w:val="pt-BR"/>
              </w:rPr>
              <w:t>Estados membros).</w:t>
            </w:r>
          </w:p>
        </w:tc>
        <w:tc>
          <w:tcPr>
            <w:tcW w:w="3150" w:type="dxa"/>
            <w:tcBorders>
              <w:top w:val="nil"/>
              <w:left w:val="nil"/>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35" w:type="dxa"/>
            <w:tcBorders>
              <w:top w:val="nil"/>
              <w:left w:val="nil"/>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Redução da interrupção das operações de empresas de turismo relacionada a desastres.</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833"/>
        </w:trPr>
        <w:tc>
          <w:tcPr>
            <w:tcW w:w="3438"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Incorporação dos Objetivos da Gestão do Risco de Desastres </w:t>
            </w:r>
            <w:r w:rsidRPr="00D174BB">
              <w:rPr>
                <w:b/>
                <w:color w:val="000000" w:themeColor="text1"/>
                <w:sz w:val="22"/>
                <w:szCs w:val="22"/>
                <w:lang w:val="pt-BR"/>
              </w:rPr>
              <w:t>a todos os pilares da Carta da OEA e a todas as dependências da Secretaria-Geral, especialmente à SEDI.</w:t>
            </w:r>
          </w:p>
        </w:tc>
        <w:tc>
          <w:tcPr>
            <w:tcW w:w="3150" w:type="dxa"/>
            <w:vMerge w:val="restart"/>
            <w:tcBorders>
              <w:top w:val="single" w:sz="4" w:space="0" w:color="000000"/>
              <w:left w:val="single" w:sz="4" w:space="0" w:color="000000"/>
              <w:bottom w:val="single" w:sz="4" w:space="0" w:color="000000"/>
              <w:right w:val="single" w:sz="4" w:space="0" w:color="000000"/>
            </w:tcBorders>
            <w:noWrap/>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35"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Incorporação dos objetivos da gestão do risco de desastres a todas as dependências da Secretaria-Geral.</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833"/>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35"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Revisão dos projetos submetidos ao PEC para incorporação dos objetivos de gestão do risco de desastres.</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555"/>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35"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Formulação de projetos que abordem áreas próprias da gestão do risco de desastres e setores específicos.</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278"/>
        </w:trPr>
        <w:tc>
          <w:tcPr>
            <w:tcW w:w="3438" w:type="dxa"/>
            <w:vMerge w:val="restart"/>
            <w:tcBorders>
              <w:top w:val="single" w:sz="4" w:space="0" w:color="000000"/>
              <w:left w:val="single" w:sz="4" w:space="0" w:color="000000"/>
              <w:bottom w:val="single" w:sz="4" w:space="0" w:color="000000"/>
              <w:right w:val="single" w:sz="4" w:space="0" w:color="000000"/>
            </w:tcBorders>
          </w:tcPr>
          <w:p w:rsidR="00910C92" w:rsidRPr="00D174BB" w:rsidRDefault="00910C92" w:rsidP="009E0B58">
            <w:pPr>
              <w:rPr>
                <w:b/>
                <w:bCs/>
                <w:color w:val="000000" w:themeColor="text1"/>
                <w:sz w:val="22"/>
                <w:szCs w:val="22"/>
                <w:lang w:val="pt-BR"/>
              </w:rPr>
            </w:pPr>
            <w:r w:rsidRPr="00D174BB">
              <w:rPr>
                <w:b/>
                <w:bCs/>
                <w:color w:val="000000" w:themeColor="text1"/>
                <w:sz w:val="22"/>
                <w:szCs w:val="22"/>
                <w:lang w:val="pt-BR"/>
              </w:rPr>
              <w:t xml:space="preserve">Intercâmbio de informações e conhecimentos: manutenção do banco de dados </w:t>
            </w:r>
            <w:r w:rsidRPr="00D174BB">
              <w:rPr>
                <w:b/>
                <w:bCs/>
                <w:i/>
                <w:color w:val="000000" w:themeColor="text1"/>
                <w:sz w:val="22"/>
                <w:szCs w:val="22"/>
                <w:lang w:val="pt-BR"/>
              </w:rPr>
              <w:t xml:space="preserve">online </w:t>
            </w:r>
            <w:r w:rsidRPr="00D174BB">
              <w:rPr>
                <w:b/>
                <w:bCs/>
                <w:color w:val="000000" w:themeColor="text1"/>
                <w:sz w:val="22"/>
                <w:szCs w:val="22"/>
                <w:lang w:val="pt-BR"/>
              </w:rPr>
              <w:t xml:space="preserve">da Rede Interamericana de Redução de Desastres (RIRD) e publicação </w:t>
            </w:r>
            <w:proofErr w:type="gramStart"/>
            <w:r w:rsidRPr="00D174BB">
              <w:rPr>
                <w:b/>
                <w:bCs/>
                <w:color w:val="000000" w:themeColor="text1"/>
                <w:sz w:val="22"/>
                <w:szCs w:val="22"/>
                <w:lang w:val="pt-BR"/>
              </w:rPr>
              <w:t>do “Desastres</w:t>
            </w:r>
            <w:proofErr w:type="gramEnd"/>
            <w:r w:rsidRPr="00D174BB">
              <w:rPr>
                <w:b/>
                <w:bCs/>
                <w:color w:val="000000" w:themeColor="text1"/>
                <w:sz w:val="22"/>
                <w:szCs w:val="22"/>
                <w:lang w:val="pt-BR"/>
              </w:rPr>
              <w:t xml:space="preserve"> da Semana”</w:t>
            </w:r>
          </w:p>
        </w:tc>
        <w:tc>
          <w:tcPr>
            <w:tcW w:w="3150"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Atualização do banco de dados </w:t>
            </w:r>
            <w:r w:rsidRPr="00D174BB">
              <w:rPr>
                <w:rFonts w:eastAsia="Calibri"/>
                <w:i/>
                <w:color w:val="000000" w:themeColor="text1"/>
                <w:sz w:val="22"/>
                <w:szCs w:val="22"/>
                <w:lang w:val="pt-BR"/>
              </w:rPr>
              <w:t xml:space="preserve">online </w:t>
            </w:r>
            <w:r w:rsidRPr="00D174BB">
              <w:rPr>
                <w:rFonts w:eastAsia="Calibri"/>
                <w:color w:val="000000" w:themeColor="text1"/>
                <w:sz w:val="22"/>
                <w:szCs w:val="22"/>
                <w:lang w:val="pt-BR"/>
              </w:rPr>
              <w:t>da RIRD e edição da publicação regular “Desastres da Semana”.</w:t>
            </w:r>
          </w:p>
        </w:tc>
        <w:tc>
          <w:tcPr>
            <w:tcW w:w="2635"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278"/>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35"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669"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2502"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bl>
    <w:p w:rsidR="00096131" w:rsidRPr="00D174BB" w:rsidRDefault="00096131">
      <w:pPr>
        <w:rPr>
          <w:lang w:val="pt-BR"/>
        </w:rPr>
      </w:pPr>
      <w:r w:rsidRPr="00D174BB">
        <w:rPr>
          <w:lang w:val="pt-BR"/>
        </w:rPr>
        <w:br w:type="page"/>
      </w:r>
    </w:p>
    <w:tbl>
      <w:tblPr>
        <w:tblW w:w="0" w:type="auto"/>
        <w:tblLayout w:type="fixed"/>
        <w:tblLook w:val="04A0" w:firstRow="1" w:lastRow="0" w:firstColumn="1" w:lastColumn="0" w:noHBand="0" w:noVBand="1"/>
      </w:tblPr>
      <w:tblGrid>
        <w:gridCol w:w="3438"/>
        <w:gridCol w:w="3150"/>
        <w:gridCol w:w="2635"/>
        <w:gridCol w:w="2669"/>
        <w:gridCol w:w="2502"/>
      </w:tblGrid>
      <w:tr w:rsidR="00910C92" w:rsidRPr="002A41AB" w:rsidTr="00910C92">
        <w:trPr>
          <w:trHeight w:val="278"/>
        </w:trPr>
        <w:tc>
          <w:tcPr>
            <w:tcW w:w="3438"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lastRenderedPageBreak/>
              <w:t xml:space="preserve">OBJETIVO ESTRATÉGICO </w:t>
            </w:r>
          </w:p>
        </w:tc>
        <w:tc>
          <w:tcPr>
            <w:tcW w:w="10956" w:type="dxa"/>
            <w:gridSpan w:val="4"/>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2.2. Promover a capacidade dos Estados membros na gestão sustentável dos ecossistemas, de acordo com os objetivos e bases de ação dispostos na Seção 3.2 do PIDS</w:t>
            </w:r>
          </w:p>
        </w:tc>
      </w:tr>
      <w:tr w:rsidR="00910C92" w:rsidRPr="00D174BB" w:rsidTr="00910C92">
        <w:trPr>
          <w:trHeight w:val="278"/>
        </w:trPr>
        <w:tc>
          <w:tcPr>
            <w:tcW w:w="14394"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Gestão sustentável dos ecossistemas</w:t>
            </w:r>
          </w:p>
        </w:tc>
      </w:tr>
      <w:tr w:rsidR="00910C92" w:rsidRPr="00D174BB" w:rsidTr="00910C92">
        <w:trPr>
          <w:trHeight w:val="3660"/>
        </w:trPr>
        <w:tc>
          <w:tcPr>
            <w:tcW w:w="3438"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rsidP="009E0B58">
            <w:pPr>
              <w:rPr>
                <w:color w:val="000000" w:themeColor="text1"/>
                <w:sz w:val="22"/>
                <w:szCs w:val="22"/>
                <w:lang w:val="pt-BR"/>
              </w:rPr>
            </w:pPr>
            <w:r w:rsidRPr="00D174BB">
              <w:rPr>
                <w:rFonts w:eastAsia="Calibri"/>
                <w:color w:val="000000" w:themeColor="text1"/>
                <w:sz w:val="22"/>
                <w:szCs w:val="22"/>
                <w:lang w:val="pt-BR"/>
              </w:rPr>
              <w:t>Apoi</w:t>
            </w:r>
            <w:r w:rsidR="009E0B58" w:rsidRPr="00D174BB">
              <w:rPr>
                <w:rFonts w:eastAsia="Calibri"/>
                <w:color w:val="000000" w:themeColor="text1"/>
                <w:sz w:val="22"/>
                <w:szCs w:val="22"/>
                <w:lang w:val="pt-BR"/>
              </w:rPr>
              <w:t>o a</w:t>
            </w:r>
            <w:r w:rsidRPr="00D174BB">
              <w:rPr>
                <w:rFonts w:eastAsia="Calibri"/>
                <w:color w:val="000000" w:themeColor="text1"/>
                <w:sz w:val="22"/>
                <w:szCs w:val="22"/>
                <w:lang w:val="pt-BR"/>
              </w:rPr>
              <w:t xml:space="preserve">os esforços dos </w:t>
            </w:r>
            <w:r w:rsidRPr="00D174BB">
              <w:rPr>
                <w:sz w:val="22"/>
                <w:szCs w:val="22"/>
                <w:lang w:val="pt-BR"/>
              </w:rPr>
              <w:t xml:space="preserve">Estados membros </w:t>
            </w:r>
            <w:r w:rsidR="009E0B58" w:rsidRPr="00D174BB">
              <w:rPr>
                <w:sz w:val="22"/>
                <w:szCs w:val="22"/>
                <w:lang w:val="pt-BR"/>
              </w:rPr>
              <w:t>para</w:t>
            </w:r>
            <w:r w:rsidRPr="00D174BB">
              <w:rPr>
                <w:sz w:val="22"/>
                <w:szCs w:val="22"/>
                <w:lang w:val="pt-BR"/>
              </w:rPr>
              <w:t xml:space="preserve"> alcançar o Objetivo 15 dos ODS: “Proteger, recuperar e promover o uso sustentável dos ecossistemas terrestres, gerir as florestas de forma sustentável, combater a desertificação, deter e reverter a degradação do solo e a perda de biodiversidade</w:t>
            </w:r>
            <w:r w:rsidRPr="00D174BB">
              <w:rPr>
                <w:rFonts w:eastAsia="Calibri"/>
                <w:color w:val="000000" w:themeColor="text1"/>
                <w:sz w:val="22"/>
                <w:szCs w:val="22"/>
                <w:lang w:val="pt-BR"/>
              </w:rPr>
              <w:t xml:space="preserve">”, com a meta mais ampla de construir resiliência comunitária. </w:t>
            </w:r>
          </w:p>
        </w:tc>
        <w:tc>
          <w:tcPr>
            <w:tcW w:w="315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Ecossistemas sadios são o alicerce de economias resilientes e competitivas. Ecossistemas resilientes são correlacionados, de maneira positiva, a vários fatores de produção, tais como: saúde e produtividade dos trabalhadores; cadeias de abastecimento baseadas em recursos do ecossistema local e saúde dos recursos litorâneos dos quais setores como o turismo dependem. Ecossistemas resilientes, tais como os recifes de coral e os manguezais, aumentam a resiliência das cidades e comunidades litorâneas aos desastres. </w:t>
            </w:r>
          </w:p>
        </w:tc>
        <w:tc>
          <w:tcPr>
            <w:tcW w:w="2635"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Garantia de financiamento e estabelecimento de acordos para execução do projeto.</w:t>
            </w:r>
          </w:p>
        </w:tc>
        <w:tc>
          <w:tcPr>
            <w:tcW w:w="26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color w:val="000000" w:themeColor="text1"/>
                <w:sz w:val="22"/>
                <w:szCs w:val="22"/>
                <w:lang w:val="pt-BR"/>
              </w:rPr>
              <w:t>cidades sustentáveis, resiliência e gestão de riscos, em colaboração com outras áreas do DDS, Departamento de Desenvolvimento Econômico, CICTE, CIP.</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CAF, GEF.</w:t>
            </w:r>
          </w:p>
        </w:tc>
        <w:tc>
          <w:tcPr>
            <w:tcW w:w="2502"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r>
    </w:tbl>
    <w:p w:rsidR="00910C92" w:rsidRPr="00D174BB" w:rsidRDefault="00910C92" w:rsidP="00910C92">
      <w:pPr>
        <w:rPr>
          <w:color w:val="000000" w:themeColor="text1"/>
          <w:lang w:val="pt-BR"/>
        </w:rPr>
      </w:pPr>
    </w:p>
    <w:tbl>
      <w:tblPr>
        <w:tblW w:w="14610" w:type="dxa"/>
        <w:tblLayout w:type="fixed"/>
        <w:tblLook w:val="04A0" w:firstRow="1" w:lastRow="0" w:firstColumn="1" w:lastColumn="0" w:noHBand="0" w:noVBand="1"/>
      </w:tblPr>
      <w:tblGrid>
        <w:gridCol w:w="3225"/>
        <w:gridCol w:w="211"/>
        <w:gridCol w:w="3238"/>
        <w:gridCol w:w="2969"/>
        <w:gridCol w:w="2159"/>
        <w:gridCol w:w="2808"/>
      </w:tblGrid>
      <w:tr w:rsidR="00910C92" w:rsidRPr="002A41AB" w:rsidTr="009E0B58">
        <w:trPr>
          <w:trHeight w:val="278"/>
        </w:trPr>
        <w:tc>
          <w:tcPr>
            <w:tcW w:w="34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174"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2.3. Promover a capacidade dos Estados membros na gestão integrada dos recursos hídricos, de acordo com os objetivos e bases de ação dispostos na Seção 3.3 do PIDS</w:t>
            </w:r>
          </w:p>
        </w:tc>
      </w:tr>
      <w:tr w:rsidR="00910C92" w:rsidRPr="00D174BB" w:rsidTr="009E0B58">
        <w:trPr>
          <w:trHeight w:val="278"/>
        </w:trPr>
        <w:tc>
          <w:tcPr>
            <w:tcW w:w="14610" w:type="dxa"/>
            <w:gridSpan w:val="6"/>
            <w:tcBorders>
              <w:top w:val="single" w:sz="4" w:space="0" w:color="auto"/>
              <w:left w:val="single" w:sz="4" w:space="0" w:color="auto"/>
              <w:bottom w:val="single" w:sz="4" w:space="0" w:color="auto"/>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Água</w:t>
            </w:r>
          </w:p>
        </w:tc>
      </w:tr>
      <w:tr w:rsidR="00910C92" w:rsidRPr="002A41AB" w:rsidTr="009E0B58">
        <w:trPr>
          <w:trHeight w:val="890"/>
        </w:trPr>
        <w:tc>
          <w:tcPr>
            <w:tcW w:w="3436" w:type="dxa"/>
            <w:gridSpan w:val="2"/>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Portfólio de projetos abordando os choques específicos relacionados à água, que afetam o setor (na Bacia do Rio Lempa-Trifinio, Bacia do Prata, Rio Bravo).</w:t>
            </w:r>
            <w:r w:rsidRPr="00D174BB">
              <w:rPr>
                <w:color w:val="000000" w:themeColor="text1"/>
                <w:sz w:val="22"/>
                <w:szCs w:val="22"/>
                <w:lang w:val="pt-BR"/>
              </w:rPr>
              <w:br/>
            </w:r>
            <w:r w:rsidRPr="00D174BB">
              <w:rPr>
                <w:color w:val="000000" w:themeColor="text1"/>
                <w:sz w:val="22"/>
                <w:szCs w:val="22"/>
                <w:lang w:val="pt-BR"/>
              </w:rPr>
              <w:br/>
              <w:t>1. Mudanças no abastecimento de água vinculadas à variabilidade e à mudança do clima.</w:t>
            </w:r>
            <w:r w:rsidRPr="00D174BB">
              <w:rPr>
                <w:color w:val="000000" w:themeColor="text1"/>
                <w:sz w:val="22"/>
                <w:szCs w:val="22"/>
                <w:lang w:val="pt-BR"/>
              </w:rPr>
              <w:br/>
              <w:t xml:space="preserve">2. Qualidade da água em relação à poluição. </w:t>
            </w:r>
            <w:r w:rsidRPr="00D174BB">
              <w:rPr>
                <w:color w:val="000000" w:themeColor="text1"/>
                <w:sz w:val="22"/>
                <w:szCs w:val="22"/>
                <w:lang w:val="pt-BR"/>
              </w:rPr>
              <w:br/>
              <w:t xml:space="preserve">3. Conflitos em torno de águas </w:t>
            </w:r>
            <w:r w:rsidRPr="00D174BB">
              <w:rPr>
                <w:color w:val="000000" w:themeColor="text1"/>
                <w:sz w:val="22"/>
                <w:szCs w:val="22"/>
                <w:lang w:val="pt-BR"/>
              </w:rPr>
              <w:lastRenderedPageBreak/>
              <w:t xml:space="preserve">transfronteiriças. </w:t>
            </w:r>
            <w:r w:rsidRPr="00D174BB">
              <w:rPr>
                <w:color w:val="000000" w:themeColor="text1"/>
                <w:sz w:val="22"/>
                <w:szCs w:val="22"/>
                <w:lang w:val="pt-BR"/>
              </w:rPr>
              <w:br/>
              <w:t>4. Limitações no acervo de informações e conhecimento para a construção de resiliência no setor hídrico.</w:t>
            </w:r>
          </w:p>
        </w:tc>
        <w:tc>
          <w:tcPr>
            <w:tcW w:w="3238"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lastRenderedPageBreak/>
              <w:t xml:space="preserve">A construção de resiliência e a competitividade podem ser prejudicadas por modificações no abastecimento de água vinculadas à mudança e à variabilidade do clima; redução da qualidade da água em virtude de fontes terrestres de poluição; e conflitos sociais, especialmente sobre águas transfronteiriças. </w:t>
            </w:r>
            <w:r w:rsidRPr="00D174BB">
              <w:rPr>
                <w:color w:val="000000" w:themeColor="text1"/>
                <w:sz w:val="22"/>
                <w:szCs w:val="22"/>
                <w:lang w:val="pt-BR"/>
              </w:rPr>
              <w:br/>
            </w:r>
            <w:r w:rsidRPr="00D174BB">
              <w:rPr>
                <w:color w:val="000000" w:themeColor="text1"/>
                <w:sz w:val="22"/>
                <w:szCs w:val="22"/>
                <w:lang w:val="pt-BR"/>
              </w:rPr>
              <w:br/>
              <w:t xml:space="preserve">A resiliência e a competitividade </w:t>
            </w:r>
            <w:r w:rsidRPr="00D174BB">
              <w:rPr>
                <w:color w:val="000000" w:themeColor="text1"/>
                <w:sz w:val="22"/>
                <w:szCs w:val="22"/>
                <w:lang w:val="pt-BR"/>
              </w:rPr>
              <w:lastRenderedPageBreak/>
              <w:t xml:space="preserve">podem ser melhoradas por meio do acesso à tecnologia apropriada; da eficiência hídrica; da gestão da demanda hídrica e do uso de sistemas resilientes de abastecimento de água. </w:t>
            </w: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lastRenderedPageBreak/>
              <w:t>Desenvolvimento de sistemas de alerta precoce para secas (política hemisférica de secas, sistemas de apoio a decisões, PIACTs).</w:t>
            </w:r>
          </w:p>
        </w:tc>
        <w:tc>
          <w:tcPr>
            <w:tcW w:w="2159"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Assuntos Políticos</w:t>
            </w:r>
            <w:r w:rsidRPr="00D174BB">
              <w:rPr>
                <w:color w:val="000000" w:themeColor="text1"/>
                <w:sz w:val="22"/>
                <w:szCs w:val="22"/>
                <w:lang w:val="pt-BR"/>
              </w:rPr>
              <w:t xml:space="preserve">, CICTE, CIDH, CIM.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bCs/>
                <w:color w:val="000000" w:themeColor="text1"/>
                <w:sz w:val="22"/>
                <w:szCs w:val="22"/>
                <w:lang w:val="pt-BR"/>
              </w:rPr>
              <w:t>estratégia de águas tra</w:t>
            </w:r>
            <w:r w:rsidR="00A90B51">
              <w:rPr>
                <w:bCs/>
                <w:color w:val="000000" w:themeColor="text1"/>
                <w:sz w:val="22"/>
                <w:szCs w:val="22"/>
                <w:lang w:val="pt-BR"/>
              </w:rPr>
              <w:t>n</w:t>
            </w:r>
            <w:r w:rsidRPr="00D174BB">
              <w:rPr>
                <w:bCs/>
                <w:color w:val="000000" w:themeColor="text1"/>
                <w:sz w:val="22"/>
                <w:szCs w:val="22"/>
                <w:lang w:val="pt-BR"/>
              </w:rPr>
              <w:t xml:space="preserve">sfronteiriças da </w:t>
            </w:r>
            <w:r w:rsidRPr="00D174BB">
              <w:rPr>
                <w:color w:val="000000" w:themeColor="text1"/>
                <w:sz w:val="22"/>
                <w:szCs w:val="22"/>
                <w:lang w:val="pt-BR"/>
              </w:rPr>
              <w:t xml:space="preserve">JID, ONU- Hub de Água para Água e Paz e ONU-Convenção da Água, </w:t>
            </w:r>
            <w:r w:rsidRPr="00D174BB">
              <w:rPr>
                <w:color w:val="000000" w:themeColor="text1"/>
                <w:sz w:val="22"/>
                <w:szCs w:val="22"/>
                <w:lang w:val="pt-BR"/>
              </w:rPr>
              <w:lastRenderedPageBreak/>
              <w:t>IAI. SICA, CARICOM, CIC, BID, CWWA, Hub da Água de Genebra para a Cooperação, OPAS, COSUDE, CAF, Universidade Internacional da Flórida, Universidade de San Luis Potosí (México), CODIA. PNUMA, UNESCO-IHP, OMM.</w:t>
            </w:r>
          </w:p>
        </w:tc>
        <w:tc>
          <w:tcPr>
            <w:tcW w:w="2808" w:type="dxa"/>
            <w:vMerge w:val="restart"/>
            <w:tcBorders>
              <w:top w:val="nil"/>
              <w:left w:val="single" w:sz="4" w:space="0" w:color="auto"/>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lastRenderedPageBreak/>
              <w:t xml:space="preserve">Incorporação de práticas e enfoques de desenvolvimento sustentável à resposta à </w:t>
            </w:r>
            <w:r w:rsidR="002579BC" w:rsidRPr="00D174BB">
              <w:rPr>
                <w:b/>
                <w:bCs/>
                <w:color w:val="000000" w:themeColor="text1"/>
                <w:sz w:val="22"/>
                <w:szCs w:val="22"/>
                <w:lang w:val="pt-BR"/>
              </w:rPr>
              <w:t>covid</w:t>
            </w:r>
            <w:r w:rsidRPr="00D174BB">
              <w:rPr>
                <w:b/>
                <w:bCs/>
                <w:color w:val="000000" w:themeColor="text1"/>
                <w:sz w:val="22"/>
                <w:szCs w:val="22"/>
                <w:lang w:val="pt-BR"/>
              </w:rPr>
              <w:t>-19:</w:t>
            </w:r>
            <w:r w:rsidRPr="00D174BB">
              <w:rPr>
                <w:color w:val="000000" w:themeColor="text1"/>
                <w:sz w:val="22"/>
                <w:szCs w:val="22"/>
                <w:lang w:val="pt-BR"/>
              </w:rPr>
              <w:br/>
            </w:r>
            <w:r w:rsidRPr="00D174BB">
              <w:rPr>
                <w:color w:val="000000" w:themeColor="text1"/>
                <w:sz w:val="22"/>
                <w:szCs w:val="22"/>
                <w:lang w:val="pt-BR"/>
              </w:rPr>
              <w:br/>
              <w:t>Força-tarefa para elaborar intervenções de gestão hídrica pós-</w:t>
            </w:r>
            <w:r w:rsidR="002579BC" w:rsidRPr="00D174BB">
              <w:rPr>
                <w:color w:val="000000" w:themeColor="text1"/>
                <w:sz w:val="22"/>
                <w:szCs w:val="22"/>
                <w:lang w:val="pt-BR"/>
              </w:rPr>
              <w:t>covid</w:t>
            </w:r>
            <w:r w:rsidRPr="00D174BB">
              <w:rPr>
                <w:color w:val="000000" w:themeColor="text1"/>
                <w:sz w:val="22"/>
                <w:szCs w:val="22"/>
                <w:lang w:val="pt-BR"/>
              </w:rPr>
              <w:t xml:space="preserve"> nas áreas rurais, constituída por peritos em gestão de risco de saúde da Universidade de San Luiz </w:t>
            </w:r>
            <w:r w:rsidRPr="00D174BB">
              <w:rPr>
                <w:color w:val="000000" w:themeColor="text1"/>
                <w:sz w:val="22"/>
                <w:szCs w:val="22"/>
                <w:lang w:val="pt-BR"/>
              </w:rPr>
              <w:lastRenderedPageBreak/>
              <w:t xml:space="preserve">Potosí, México (UASLP), e especialistas da equipe de assuntos hídricos da OEA. </w:t>
            </w:r>
            <w:r w:rsidRPr="00D174BB">
              <w:rPr>
                <w:color w:val="000000" w:themeColor="text1"/>
                <w:sz w:val="22"/>
                <w:szCs w:val="22"/>
                <w:lang w:val="pt-BR"/>
              </w:rPr>
              <w:br/>
            </w:r>
            <w:r w:rsidRPr="00D174BB">
              <w:rPr>
                <w:color w:val="000000" w:themeColor="text1"/>
                <w:sz w:val="22"/>
                <w:szCs w:val="22"/>
                <w:lang w:val="pt-BR"/>
              </w:rPr>
              <w:br/>
              <w:t>A SEDI vem também explorando a colaboração com o Programa de Meio Ambiente das Nações Unidas e a Universidade do Estado da Geórgia, na formulação de um Plano de Ação para Assistir os Estados membros do Caribe na institucionalização do uso dos Sistemas de Informação Geográfica (GIS) na supervisão epidemiológica.</w:t>
            </w:r>
            <w:r w:rsidRPr="00D174BB">
              <w:rPr>
                <w:color w:val="000000" w:themeColor="text1"/>
                <w:sz w:val="22"/>
                <w:szCs w:val="22"/>
                <w:lang w:val="pt-BR"/>
              </w:rPr>
              <w:br/>
            </w:r>
            <w:r w:rsidRPr="00D174BB">
              <w:rPr>
                <w:color w:val="000000" w:themeColor="text1"/>
                <w:sz w:val="22"/>
                <w:szCs w:val="22"/>
                <w:lang w:val="pt-BR"/>
              </w:rPr>
              <w:br/>
              <w:t xml:space="preserve">A SEDI negocia com doadores* a promoção de capacidade adicional nos países que participam dos projetos hídricos da SEDI (na região de Rio Bravo, Prata e Trifinio), que tenham efeito direto na redução da crise da </w:t>
            </w:r>
            <w:r w:rsidR="002579BC" w:rsidRPr="00D174BB">
              <w:rPr>
                <w:color w:val="000000" w:themeColor="text1"/>
                <w:sz w:val="22"/>
                <w:szCs w:val="22"/>
                <w:lang w:val="pt-BR"/>
              </w:rPr>
              <w:t>covid</w:t>
            </w:r>
            <w:r w:rsidRPr="00D174BB">
              <w:rPr>
                <w:color w:val="000000" w:themeColor="text1"/>
                <w:sz w:val="22"/>
                <w:szCs w:val="22"/>
                <w:lang w:val="pt-BR"/>
              </w:rPr>
              <w:t>-19, mediante a preparação para as estações de estiagem/seca, quando há menor disponibilidade de água para lavar as mãos (*Fundo Global para o Meio Ambiente - GEF)), Banco de Desenvolvimento da América Latina (CAF) e Programa das Nações Unidas para o Meio Ambiente.</w:t>
            </w:r>
          </w:p>
        </w:tc>
      </w:tr>
      <w:tr w:rsidR="00910C92" w:rsidRPr="002A41AB" w:rsidTr="009E0B58">
        <w:trPr>
          <w:trHeight w:val="1193"/>
        </w:trPr>
        <w:tc>
          <w:tcPr>
            <w:tcW w:w="343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Preparação de plano mestre sobre infraestrutura hidráulica estratégica (potável e estações de tratamento).</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555"/>
        </w:trPr>
        <w:tc>
          <w:tcPr>
            <w:tcW w:w="343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Preparação de balanços hídricos e futuros cenários hídricos.</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555"/>
        </w:trPr>
        <w:tc>
          <w:tcPr>
            <w:tcW w:w="343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Criação de modelo de PPP e portfólio de investimento derivado de SAP (GEF).</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833"/>
        </w:trPr>
        <w:tc>
          <w:tcPr>
            <w:tcW w:w="343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Realização de workshops e conferências regionais para intercâmbio de conhecimentos, inclusive aprendizagem a distância.</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833"/>
        </w:trPr>
        <w:tc>
          <w:tcPr>
            <w:tcW w:w="343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Apresentação de estratégias regionais para conservação e uso sustentável de recursos marinhos (economia azul).</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1110"/>
        </w:trPr>
        <w:tc>
          <w:tcPr>
            <w:tcW w:w="3436" w:type="dxa"/>
            <w:gridSpan w:val="2"/>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Elaboração de uma agenda comum sobre gestão hídrica com organizações políticas sub-regionais.</w:t>
            </w: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Formulação e implementação de modelo de PPP para água potável e saneamento (saúde e saúde humana) no âmbito da OEA; </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833"/>
        </w:trPr>
        <w:tc>
          <w:tcPr>
            <w:tcW w:w="3436" w:type="dxa"/>
            <w:gridSpan w:val="2"/>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proofErr w:type="gramStart"/>
            <w:r w:rsidRPr="00D174BB">
              <w:rPr>
                <w:color w:val="000000" w:themeColor="text1"/>
                <w:sz w:val="22"/>
                <w:szCs w:val="22"/>
                <w:lang w:val="pt-BR"/>
              </w:rPr>
              <w:t>Implementação</w:t>
            </w:r>
            <w:proofErr w:type="gramEnd"/>
            <w:r w:rsidRPr="00D174BB">
              <w:rPr>
                <w:color w:val="000000" w:themeColor="text1"/>
                <w:sz w:val="22"/>
                <w:szCs w:val="22"/>
                <w:lang w:val="pt-BR"/>
              </w:rPr>
              <w:t xml:space="preserve"> de um mecanismo virtual para coordenação e intercâmbio de informações sobre gestão de recursos hídricos.</w:t>
            </w: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Elaboração de guias de segurança hídrica e cibernética para instituições hídricas e de saneamento.</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1110"/>
        </w:trPr>
        <w:tc>
          <w:tcPr>
            <w:tcW w:w="3436" w:type="dxa"/>
            <w:gridSpan w:val="2"/>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Diálogo com parceiros regionais do setor hídrico: ONGs, setores acadêmico e privado, a fim de definir oportunidades que ajudem os Estados membros a enfrentar seus desafios hídricos.</w:t>
            </w: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Elaboração de acordos técnicos e protocolos de trabalho sobre gestão hídrica.</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1388"/>
        </w:trPr>
        <w:tc>
          <w:tcPr>
            <w:tcW w:w="3436" w:type="dxa"/>
            <w:gridSpan w:val="2"/>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Formulação e </w:t>
            </w:r>
            <w:proofErr w:type="gramStart"/>
            <w:r w:rsidRPr="00D174BB">
              <w:rPr>
                <w:color w:val="000000" w:themeColor="text1"/>
                <w:sz w:val="22"/>
                <w:szCs w:val="22"/>
                <w:lang w:val="pt-BR"/>
              </w:rPr>
              <w:t>implementação</w:t>
            </w:r>
            <w:proofErr w:type="gramEnd"/>
            <w:r w:rsidRPr="00D174BB">
              <w:rPr>
                <w:color w:val="000000" w:themeColor="text1"/>
                <w:sz w:val="22"/>
                <w:szCs w:val="22"/>
                <w:lang w:val="pt-BR"/>
              </w:rPr>
              <w:t xml:space="preserve"> de programas multidisciplinares para aumentar a participação pública, especialmente da mulher, do jovem e de grupos indígenas, em iniciativas nacionais e regionais no setor hídrico, inclusive adaptação à mudança do clima.</w:t>
            </w: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Aumento da participação pública em iniciativas hídricas nacionais e regionais, inclusive adaptação à mudança do clima.</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833"/>
        </w:trPr>
        <w:tc>
          <w:tcPr>
            <w:tcW w:w="3436" w:type="dxa"/>
            <w:gridSpan w:val="2"/>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Promover medidas que possibilitem à SG/OEA acessar recursos do Fundo Verde para o Clima (GCF) e outras organizações ou mecanismos financeiros.</w:t>
            </w:r>
          </w:p>
        </w:tc>
        <w:tc>
          <w:tcPr>
            <w:tcW w:w="3238"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Ampliação de alianças estratégicas com parceiros internacionais e criação de novas alianças.</w:t>
            </w:r>
          </w:p>
        </w:tc>
        <w:tc>
          <w:tcPr>
            <w:tcW w:w="215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8"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278"/>
        </w:trPr>
        <w:tc>
          <w:tcPr>
            <w:tcW w:w="34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lastRenderedPageBreak/>
              <w:t xml:space="preserve">OBJETIVO ESTRATÉGICO </w:t>
            </w:r>
          </w:p>
        </w:tc>
        <w:tc>
          <w:tcPr>
            <w:tcW w:w="11174"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2.4. Promover</w:t>
            </w:r>
            <w:r w:rsidRPr="00D174BB">
              <w:rPr>
                <w:sz w:val="22"/>
                <w:szCs w:val="22"/>
                <w:lang w:val="pt-BR"/>
              </w:rPr>
              <w:t xml:space="preserve"> </w:t>
            </w:r>
            <w:r w:rsidRPr="00D174BB">
              <w:rPr>
                <w:b/>
                <w:bCs/>
                <w:color w:val="000000" w:themeColor="text1"/>
                <w:sz w:val="22"/>
                <w:szCs w:val="22"/>
                <w:lang w:val="pt-BR"/>
              </w:rPr>
              <w:t>a capacidade dos Estados membros no tema cidades e comunidades sustentáveis, de acordo com os objetivos e bases de ação dispostos na Seção 3.4 do PIDS</w:t>
            </w:r>
          </w:p>
        </w:tc>
      </w:tr>
      <w:tr w:rsidR="00910C92" w:rsidRPr="00D174BB" w:rsidTr="009E0B58">
        <w:trPr>
          <w:trHeight w:val="278"/>
        </w:trPr>
        <w:tc>
          <w:tcPr>
            <w:tcW w:w="14610" w:type="dxa"/>
            <w:gridSpan w:val="6"/>
            <w:tcBorders>
              <w:top w:val="single" w:sz="4" w:space="0" w:color="auto"/>
              <w:left w:val="single" w:sz="4" w:space="0" w:color="auto"/>
              <w:bottom w:val="single" w:sz="4" w:space="0" w:color="auto"/>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Cidades sustentáveis</w:t>
            </w:r>
          </w:p>
        </w:tc>
      </w:tr>
      <w:tr w:rsidR="00910C92" w:rsidRPr="002A41AB" w:rsidTr="009E0B58">
        <w:trPr>
          <w:trHeight w:val="2843"/>
        </w:trPr>
        <w:tc>
          <w:tcPr>
            <w:tcW w:w="3225" w:type="dxa"/>
            <w:tcBorders>
              <w:top w:val="nil"/>
              <w:left w:val="single" w:sz="4" w:space="0" w:color="auto"/>
              <w:bottom w:val="single" w:sz="4" w:space="0" w:color="auto"/>
              <w:right w:val="single" w:sz="4" w:space="0" w:color="auto"/>
            </w:tcBorders>
            <w:hideMark/>
          </w:tcPr>
          <w:p w:rsidR="00910C92" w:rsidRPr="00D174BB" w:rsidRDefault="009E0B58" w:rsidP="009E0B58">
            <w:pPr>
              <w:rPr>
                <w:color w:val="000000" w:themeColor="text1"/>
                <w:sz w:val="22"/>
                <w:szCs w:val="22"/>
                <w:lang w:val="pt-BR"/>
              </w:rPr>
            </w:pPr>
            <w:r w:rsidRPr="00D174BB">
              <w:rPr>
                <w:color w:val="000000" w:themeColor="text1"/>
                <w:sz w:val="22"/>
                <w:szCs w:val="22"/>
                <w:lang w:val="pt-BR"/>
              </w:rPr>
              <w:t xml:space="preserve">Capacitação de </w:t>
            </w:r>
            <w:r w:rsidR="00910C92" w:rsidRPr="00D174BB">
              <w:rPr>
                <w:color w:val="000000" w:themeColor="text1"/>
                <w:sz w:val="22"/>
                <w:szCs w:val="22"/>
                <w:lang w:val="pt-BR"/>
              </w:rPr>
              <w:t xml:space="preserve">autoridades públicas e </w:t>
            </w:r>
            <w:r w:rsidRPr="00D174BB">
              <w:rPr>
                <w:color w:val="000000" w:themeColor="text1"/>
                <w:sz w:val="22"/>
                <w:szCs w:val="22"/>
                <w:lang w:val="pt-BR"/>
              </w:rPr>
              <w:t>jovens</w:t>
            </w:r>
            <w:r w:rsidR="00910C92" w:rsidRPr="00D174BB">
              <w:rPr>
                <w:color w:val="000000" w:themeColor="text1"/>
                <w:sz w:val="22"/>
                <w:szCs w:val="22"/>
                <w:lang w:val="pt-BR"/>
              </w:rPr>
              <w:t xml:space="preserve"> na realização da mudança para cidades e comunidades sustentáveis.</w:t>
            </w:r>
          </w:p>
        </w:tc>
        <w:tc>
          <w:tcPr>
            <w:tcW w:w="3449" w:type="dxa"/>
            <w:gridSpan w:val="2"/>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Apoiar os esforços dos Estados membros por implementar enfoques integrais em cenários urbanos, enfrentando desafios no transporte e na mobilidade, na eficiência energética, na água e no saneamento, no manejo de resíduos, na saúde e na educação, na promoção de redundância e resiliência de serviços básicos, na proteção dos ecossistemas urbanos e na construção de soluções socialmente inclusivas.</w:t>
            </w:r>
          </w:p>
        </w:tc>
        <w:tc>
          <w:tcPr>
            <w:tcW w:w="296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MOOC revisado sobre cidades sustentáveis e acordo de execução de projeto em vigor. </w:t>
            </w:r>
          </w:p>
        </w:tc>
        <w:tc>
          <w:tcPr>
            <w:tcW w:w="2159" w:type="dxa"/>
            <w:tcBorders>
              <w:top w:val="nil"/>
              <w:left w:val="nil"/>
              <w:bottom w:val="single" w:sz="4" w:space="0" w:color="auto"/>
              <w:right w:val="single" w:sz="4" w:space="0" w:color="auto"/>
            </w:tcBorders>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Portal de Educação das Américas.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identificação do GEF, todas as áreas focais e o Programa de Impacto em Cidades Sustentáveis como possíveis parceiros.</w:t>
            </w:r>
          </w:p>
        </w:tc>
        <w:tc>
          <w:tcPr>
            <w:tcW w:w="2808"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r>
      <w:tr w:rsidR="00910C92" w:rsidRPr="002A41AB" w:rsidTr="009E0B58">
        <w:trPr>
          <w:trHeight w:val="278"/>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3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2.5. Promover a capacidade dos Estados membros na gestão sustentável da energia, priorizando as energias limpas, renováveis e ambientalmente sustentáveis e a eficiência energética, de acordo com os objetivos e bases de ação dispostos na Seção 3.5 do PIDS</w:t>
            </w:r>
          </w:p>
        </w:tc>
      </w:tr>
      <w:tr w:rsidR="00910C92" w:rsidRPr="00D174BB" w:rsidTr="009E0B58">
        <w:trPr>
          <w:trHeight w:val="278"/>
        </w:trPr>
        <w:tc>
          <w:tcPr>
            <w:tcW w:w="14610" w:type="dxa"/>
            <w:gridSpan w:val="6"/>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Energia</w:t>
            </w:r>
          </w:p>
        </w:tc>
      </w:tr>
      <w:tr w:rsidR="00910C92" w:rsidRPr="002A41AB" w:rsidTr="009E0B58">
        <w:trPr>
          <w:trHeight w:val="2130"/>
        </w:trPr>
        <w:tc>
          <w:tcPr>
            <w:tcW w:w="3436"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b/>
                <w:bCs/>
                <w:color w:val="000000" w:themeColor="text1"/>
                <w:sz w:val="22"/>
                <w:szCs w:val="22"/>
                <w:lang w:val="pt-BR"/>
              </w:rPr>
              <w:t>Parceria em Energia e Clima para as Américas (ECPA)</w:t>
            </w:r>
            <w:r w:rsidRPr="00D174BB">
              <w:rPr>
                <w:rFonts w:eastAsia="Calibri"/>
                <w:color w:val="000000" w:themeColor="text1"/>
                <w:sz w:val="22"/>
                <w:szCs w:val="22"/>
                <w:lang w:val="pt-BR"/>
              </w:rPr>
              <w:t xml:space="preserve"> Quarta Reunião Ministerial</w:t>
            </w:r>
            <w:r w:rsidRPr="00D174BB">
              <w:rPr>
                <w:rFonts w:eastAsia="Calibri"/>
                <w:color w:val="000000" w:themeColor="text1"/>
                <w:sz w:val="22"/>
                <w:szCs w:val="22"/>
                <w:lang w:val="pt-BR"/>
              </w:rPr>
              <w:br/>
            </w:r>
            <w:r w:rsidRPr="00D174BB">
              <w:rPr>
                <w:rFonts w:eastAsia="Calibri"/>
                <w:i/>
                <w:iCs/>
                <w:color w:val="000000" w:themeColor="text1"/>
                <w:sz w:val="22"/>
                <w:szCs w:val="22"/>
                <w:lang w:val="pt-BR"/>
              </w:rPr>
              <w:t>(Espera-se que a continuação e o foco da ECPA sejam definidos na Reunião Ministerial.)</w:t>
            </w:r>
          </w:p>
        </w:tc>
        <w:tc>
          <w:tcPr>
            <w:tcW w:w="3238"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O alto custo da energia é a principal ameaça à competitividade econômica. O aumento da parcela de energia renovável nas matrizes energéticas nacionais é fundamental para melhorar a competitividade e a resiliência dos negócios bem como para construir resiliência econômica, social e ambiental mais ampla. Nosso nicho potencial: superação das barreiras de política abrangente e regulamentação.</w:t>
            </w:r>
          </w:p>
        </w:tc>
        <w:tc>
          <w:tcPr>
            <w:tcW w:w="29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 ECPA continuará a identificar e superar as barreiras de política e regulamentação e a compartilhar boas práticas e soluções, ajudando os Estados membros a formular sua própria resposta, com base nas necessidades e recursos locais. Resultados específicos esperados:</w:t>
            </w:r>
          </w:p>
        </w:tc>
        <w:tc>
          <w:tcPr>
            <w:tcW w:w="2159" w:type="dxa"/>
            <w:vMerge w:val="restart"/>
            <w:tcBorders>
              <w:top w:val="single" w:sz="4" w:space="0" w:color="000000"/>
              <w:left w:val="single" w:sz="4" w:space="0" w:color="000000"/>
              <w:bottom w:val="single" w:sz="4" w:space="0" w:color="000000"/>
              <w:right w:val="single" w:sz="4" w:space="0" w:color="000000"/>
            </w:tcBorders>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DDE/SEDI (possibilidade de participação com ACF/ACE, Reunião Ministerial de C&amp;T e SBCs), CICTE.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Compete Caribe /BID como possível parceiro.</w:t>
            </w:r>
          </w:p>
        </w:tc>
        <w:tc>
          <w:tcPr>
            <w:tcW w:w="2808"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Intercâmbio de conhecimentos e boas práticas: </w:t>
            </w:r>
            <w:r w:rsidRPr="00D174BB">
              <w:rPr>
                <w:color w:val="000000" w:themeColor="text1"/>
                <w:sz w:val="22"/>
                <w:szCs w:val="22"/>
                <w:lang w:val="pt-BR"/>
              </w:rPr>
              <w:br/>
              <w:t xml:space="preserve">- Participação </w:t>
            </w:r>
            <w:r w:rsidR="00A90B51">
              <w:rPr>
                <w:color w:val="000000" w:themeColor="text1"/>
                <w:sz w:val="22"/>
                <w:szCs w:val="22"/>
                <w:lang w:val="pt-BR"/>
              </w:rPr>
              <w:t>ciclo</w:t>
            </w:r>
            <w:r w:rsidR="00A90B51" w:rsidRPr="00D174BB">
              <w:rPr>
                <w:color w:val="000000" w:themeColor="text1"/>
                <w:sz w:val="22"/>
                <w:szCs w:val="22"/>
                <w:lang w:val="pt-BR"/>
              </w:rPr>
              <w:t xml:space="preserve"> de reuniões virtuais, </w:t>
            </w:r>
            <w:r w:rsidR="00A90B51">
              <w:rPr>
                <w:color w:val="000000" w:themeColor="text1"/>
                <w:sz w:val="22"/>
                <w:szCs w:val="22"/>
                <w:lang w:val="pt-BR"/>
              </w:rPr>
              <w:t>seminários web</w:t>
            </w:r>
            <w:r w:rsidR="00A90B51" w:rsidRPr="00D174BB">
              <w:rPr>
                <w:color w:val="000000" w:themeColor="text1"/>
                <w:sz w:val="22"/>
                <w:szCs w:val="22"/>
                <w:lang w:val="pt-BR"/>
              </w:rPr>
              <w:t xml:space="preserve"> e </w:t>
            </w:r>
            <w:r w:rsidR="00A90B51">
              <w:rPr>
                <w:color w:val="000000" w:themeColor="text1"/>
                <w:sz w:val="22"/>
                <w:szCs w:val="22"/>
                <w:lang w:val="pt-BR"/>
              </w:rPr>
              <w:t>oficinas virtuais</w:t>
            </w:r>
            <w:r w:rsidRPr="00D174BB">
              <w:rPr>
                <w:color w:val="000000" w:themeColor="text1"/>
                <w:sz w:val="22"/>
                <w:szCs w:val="22"/>
                <w:lang w:val="pt-BR"/>
              </w:rPr>
              <w:t>.</w:t>
            </w:r>
          </w:p>
        </w:tc>
      </w:tr>
      <w:tr w:rsidR="00910C92" w:rsidRPr="002A41AB" w:rsidTr="009E0B58">
        <w:trPr>
          <w:trHeight w:val="555"/>
        </w:trPr>
        <w:tc>
          <w:tcPr>
            <w:tcW w:w="343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9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Elaboração e adoção de estrutura estratégica de política para veículos elétricos (EVs).</w:t>
            </w:r>
          </w:p>
        </w:tc>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555"/>
        </w:trPr>
        <w:tc>
          <w:tcPr>
            <w:tcW w:w="343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9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Melhoramento da resiliência e da confiabilidade dos sistemas energéticos.</w:t>
            </w:r>
          </w:p>
        </w:tc>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555"/>
        </w:trPr>
        <w:tc>
          <w:tcPr>
            <w:tcW w:w="3436"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9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Fortalecimento dos padrões de eficiência para equipamentos </w:t>
            </w:r>
            <w:r w:rsidRPr="00D174BB">
              <w:rPr>
                <w:color w:val="000000" w:themeColor="text1"/>
                <w:sz w:val="22"/>
                <w:szCs w:val="22"/>
                <w:lang w:val="pt-BR"/>
              </w:rPr>
              <w:lastRenderedPageBreak/>
              <w:t xml:space="preserve">elétricos. </w:t>
            </w:r>
          </w:p>
        </w:tc>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E0B58">
        <w:trPr>
          <w:trHeight w:val="555"/>
        </w:trPr>
        <w:tc>
          <w:tcPr>
            <w:tcW w:w="3436"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lastRenderedPageBreak/>
              <w:t xml:space="preserve">Auditorias energéticas. Segurança cibernética e energia. </w:t>
            </w: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96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Possível parceria </w:t>
            </w:r>
            <w:r w:rsidR="00A90B51" w:rsidRPr="00D174BB">
              <w:rPr>
                <w:color w:val="000000" w:themeColor="text1"/>
                <w:sz w:val="22"/>
                <w:szCs w:val="22"/>
                <w:lang w:val="pt-BR"/>
              </w:rPr>
              <w:t>Inter secretarial</w:t>
            </w:r>
            <w:r w:rsidRPr="00D174BB">
              <w:rPr>
                <w:color w:val="000000" w:themeColor="text1"/>
                <w:sz w:val="22"/>
                <w:szCs w:val="22"/>
                <w:lang w:val="pt-BR"/>
              </w:rPr>
              <w:t xml:space="preserve"> com o CICTE.</w:t>
            </w:r>
          </w:p>
        </w:tc>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808"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bl>
    <w:p w:rsidR="00910C92" w:rsidRPr="00D174BB" w:rsidRDefault="00910C92" w:rsidP="00910C92">
      <w:pPr>
        <w:rPr>
          <w:color w:val="000000" w:themeColor="text1"/>
          <w:lang w:val="pt-BR"/>
        </w:rPr>
      </w:pP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746"/>
        <w:gridCol w:w="5937"/>
        <w:gridCol w:w="1802"/>
        <w:gridCol w:w="2175"/>
      </w:tblGrid>
      <w:tr w:rsidR="00910C92" w:rsidRPr="002A41AB" w:rsidTr="00910C92">
        <w:trPr>
          <w:trHeight w:val="278"/>
        </w:trPr>
        <w:tc>
          <w:tcPr>
            <w:tcW w:w="1951"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2666" w:type="dxa"/>
            <w:gridSpan w:val="4"/>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2.6. Fortalecer a capacidade dos Estados membros de desenvolver instituições eficientes, eficazes, responsáveis e inclusivas para o desenvolvimento sustentável, de acordo com os objetivos e bases de ação dispostos na Seção 3.6 do PIDS</w:t>
            </w:r>
          </w:p>
        </w:tc>
      </w:tr>
      <w:tr w:rsidR="00910C92" w:rsidRPr="00D174BB" w:rsidTr="00910C92">
        <w:trPr>
          <w:trHeight w:val="278"/>
        </w:trPr>
        <w:tc>
          <w:tcPr>
            <w:tcW w:w="14617"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Comércio e meio ambiente</w:t>
            </w:r>
          </w:p>
        </w:tc>
      </w:tr>
      <w:tr w:rsidR="00910C92" w:rsidRPr="00D174BB" w:rsidTr="00910C92">
        <w:trPr>
          <w:trHeight w:val="1250"/>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Acordo de cooperação CAFTA-DR </w:t>
            </w:r>
          </w:p>
        </w:tc>
        <w:tc>
          <w:tcPr>
            <w:tcW w:w="2747"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O comércio ambientalmente sadio estimula a competitividade e a resiliência social, econômica e ambiental. A melhoria da adequação ambiental e a execução de medidas ambientais que incluam contribuições da sociedade civil sustentada ajudam a estabelecer parâmetros claros para o funcionamento do comércio. </w:t>
            </w: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Monitoramento da estrutura desenvolvida para determinar onde os países se situam no programa. </w:t>
            </w:r>
            <w:r w:rsidRPr="00D174BB">
              <w:rPr>
                <w:color w:val="000000" w:themeColor="text1"/>
                <w:sz w:val="22"/>
                <w:szCs w:val="22"/>
                <w:lang w:val="pt-BR"/>
              </w:rPr>
              <w:br/>
              <w:t>Análise e compilação de informações sobre a execução da cooperação ambiental e informações complementares.</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color w:val="000000" w:themeColor="text1"/>
                <w:sz w:val="22"/>
                <w:szCs w:val="22"/>
                <w:lang w:val="pt-BR"/>
              </w:rPr>
              <w:t xml:space="preserve">DDE.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 xml:space="preserve">CENPROMYPE. </w:t>
            </w:r>
          </w:p>
        </w:tc>
        <w:tc>
          <w:tcPr>
            <w:tcW w:w="21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r>
      <w:tr w:rsidR="00910C92" w:rsidRPr="002A41AB" w:rsidTr="00910C92">
        <w:trPr>
          <w:trHeight w:val="8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Planejamento/realização de visitas e entrevistas de campo com interessados nos países do CAFTA-DR (Costa Rica, El Salvador, Guatemala, Honduras, Nicarágua e República Dominicana). </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rPr>
          <w:trHeight w:val="12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rsidP="00733169">
            <w:pPr>
              <w:rPr>
                <w:color w:val="000000" w:themeColor="text1"/>
                <w:sz w:val="22"/>
                <w:szCs w:val="22"/>
                <w:lang w:val="pt-BR"/>
              </w:rPr>
            </w:pPr>
            <w:r w:rsidRPr="00D174BB">
              <w:rPr>
                <w:color w:val="000000" w:themeColor="text1"/>
                <w:sz w:val="22"/>
                <w:szCs w:val="22"/>
                <w:lang w:val="pt-BR"/>
              </w:rPr>
              <w:t xml:space="preserve">Ampla disseminação dos resultados do </w:t>
            </w:r>
            <w:r w:rsidR="00733169" w:rsidRPr="00D174BB">
              <w:rPr>
                <w:color w:val="000000" w:themeColor="text1"/>
                <w:sz w:val="22"/>
                <w:szCs w:val="22"/>
                <w:lang w:val="pt-BR"/>
              </w:rPr>
              <w:t>Programa de Cooperação Ambiental</w:t>
            </w:r>
            <w:r w:rsidRPr="00D174BB">
              <w:rPr>
                <w:color w:val="000000" w:themeColor="text1"/>
                <w:sz w:val="22"/>
                <w:szCs w:val="22"/>
                <w:lang w:val="pt-BR"/>
              </w:rPr>
              <w:t xml:space="preserve"> do CAFTA-DR ECP. </w:t>
            </w:r>
            <w:r w:rsidRPr="00D174BB">
              <w:rPr>
                <w:color w:val="000000" w:themeColor="text1"/>
                <w:sz w:val="22"/>
                <w:szCs w:val="22"/>
                <w:lang w:val="pt-BR"/>
              </w:rPr>
              <w:br/>
              <w:t xml:space="preserve"> Maior uso dos canais de mídia social e outras mídias digitais </w:t>
            </w:r>
            <w:r w:rsidR="00733169" w:rsidRPr="00D174BB">
              <w:rPr>
                <w:color w:val="000000" w:themeColor="text1"/>
                <w:sz w:val="22"/>
                <w:szCs w:val="22"/>
                <w:lang w:val="pt-BR"/>
              </w:rPr>
              <w:t>para comunicação dos resultados</w:t>
            </w:r>
            <w:r w:rsidRPr="00D174BB">
              <w:rPr>
                <w:color w:val="000000" w:themeColor="text1"/>
                <w:sz w:val="22"/>
                <w:szCs w:val="22"/>
                <w:lang w:val="pt-BR"/>
              </w:rPr>
              <w:t>.</w:t>
            </w:r>
            <w:r w:rsidRPr="00D174BB">
              <w:rPr>
                <w:color w:val="000000" w:themeColor="text1"/>
                <w:sz w:val="22"/>
                <w:szCs w:val="22"/>
                <w:lang w:val="pt-BR"/>
              </w:rPr>
              <w:br/>
              <w:t xml:space="preserve">Preparação de infográficos ou visualização de dados que reflitam os resultados e conquistas do </w:t>
            </w:r>
            <w:r w:rsidR="00733169" w:rsidRPr="00D174BB">
              <w:rPr>
                <w:color w:val="000000" w:themeColor="text1"/>
                <w:sz w:val="22"/>
                <w:szCs w:val="22"/>
                <w:lang w:val="pt-BR"/>
              </w:rPr>
              <w:t>programa</w:t>
            </w:r>
            <w:r w:rsidRPr="00D174BB">
              <w:rPr>
                <w:color w:val="000000" w:themeColor="text1"/>
                <w:sz w:val="22"/>
                <w:szCs w:val="22"/>
                <w:lang w:val="pt-BR"/>
              </w:rPr>
              <w:t>.</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rPr>
          <w:trHeight w:val="6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2747"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rsidP="008505BB">
            <w:pPr>
              <w:rPr>
                <w:color w:val="000000" w:themeColor="text1"/>
                <w:sz w:val="22"/>
                <w:szCs w:val="22"/>
                <w:lang w:val="pt-BR"/>
              </w:rPr>
            </w:pPr>
            <w:r w:rsidRPr="00D174BB">
              <w:rPr>
                <w:color w:val="000000" w:themeColor="text1"/>
                <w:sz w:val="22"/>
                <w:szCs w:val="22"/>
                <w:lang w:val="pt-BR"/>
              </w:rPr>
              <w:t xml:space="preserve">O </w:t>
            </w:r>
            <w:r w:rsidR="008505BB" w:rsidRPr="00D174BB">
              <w:rPr>
                <w:color w:val="000000" w:themeColor="text1"/>
                <w:sz w:val="22"/>
                <w:szCs w:val="22"/>
                <w:lang w:val="pt-BR"/>
              </w:rPr>
              <w:t>acordo de cooperação ambiental</w:t>
            </w:r>
            <w:r w:rsidRPr="00D174BB">
              <w:rPr>
                <w:color w:val="000000" w:themeColor="text1"/>
                <w:sz w:val="22"/>
                <w:szCs w:val="22"/>
                <w:lang w:val="pt-BR"/>
              </w:rPr>
              <w:t xml:space="preserve"> inclui o treinamento de alunos para avaliar a resiliência das PMEs. O CENPROMYPE vem trabalhando com o programa para desenvolver indicadores de resiliência. </w:t>
            </w: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Treinamento de estudantes para avaliar a resiliência das PMEs. </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rPr>
          <w:trHeight w:val="5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Transferência de lições aprendidas aos programas de PMEs administrados pelo DDE</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r>
      <w:tr w:rsidR="00910C92" w:rsidRPr="002A41AB" w:rsidTr="00910C9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Acordo Comercial EUA-Peru </w:t>
            </w:r>
          </w:p>
        </w:tc>
        <w:tc>
          <w:tcPr>
            <w:tcW w:w="2747" w:type="dxa"/>
            <w:vMerge w:val="restart"/>
            <w:tcBorders>
              <w:top w:val="single" w:sz="4" w:space="0" w:color="000000"/>
              <w:left w:val="single" w:sz="4" w:space="0" w:color="000000"/>
              <w:bottom w:val="single" w:sz="4" w:space="0" w:color="000000"/>
              <w:right w:val="single" w:sz="4" w:space="0" w:color="000000"/>
            </w:tcBorders>
          </w:tcPr>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r w:rsidRPr="00D174BB">
              <w:rPr>
                <w:color w:val="000000" w:themeColor="text1"/>
                <w:sz w:val="22"/>
                <w:szCs w:val="22"/>
                <w:lang w:val="pt-BR"/>
              </w:rPr>
              <w:t> </w:t>
            </w:r>
          </w:p>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Apoio ao funcionamento da Secretaria para a Apresentação de Assuntos de Execução Ambiental, em conformidade com a TPA. </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2176" w:type="dxa"/>
            <w:vMerge w:val="restart"/>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r>
      <w:tr w:rsidR="00910C92" w:rsidRPr="002A41AB" w:rsidTr="00910C92">
        <w:trPr>
          <w:trHeight w:val="10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Desenvolvimento de plano estratégico e atualização de estratégia de extensão: maior conscientização da Secretaria e seu papel e funções e o permanente processo de apresentação a interessados do Peru e dos Estados Unidos.</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r>
      <w:tr w:rsidR="00910C92" w:rsidRPr="002A41AB" w:rsidTr="00910C92">
        <w:trPr>
          <w:trHeight w:val="10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Recebimento e processamento de solicitações em conformidade com o artigo 18.8, e desenvolvimento de registros factuais, de acordo com o artigo 18.9 do Acordo de Cooperação Ambiental Estados Unidos-Peru.</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r>
      <w:tr w:rsidR="00910C92" w:rsidRPr="002A41AB" w:rsidTr="00910C92">
        <w:trPr>
          <w:trHeight w:val="83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b/>
                <w:bCs/>
                <w:color w:val="000000" w:themeColor="text1"/>
                <w:sz w:val="22"/>
                <w:szCs w:val="22"/>
                <w:lang w:val="pt-BR"/>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5940"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Aprimoramento da governança e responsabilização ambiental no Peru e nos Estados Unidos, em cumprimento ao TPA.</w:t>
            </w: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c>
          <w:tcPr>
            <w:tcW w:w="2176" w:type="dxa"/>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sz w:val="20"/>
                <w:szCs w:val="20"/>
                <w:lang w:val="pt-BR"/>
              </w:rPr>
            </w:pPr>
          </w:p>
        </w:tc>
      </w:tr>
    </w:tbl>
    <w:p w:rsidR="00C11D18" w:rsidRDefault="00C11D18" w:rsidP="00910C92">
      <w:pPr>
        <w:rPr>
          <w:b/>
          <w:color w:val="000000" w:themeColor="text1"/>
          <w:sz w:val="22"/>
          <w:szCs w:val="22"/>
          <w:u w:val="single"/>
          <w:lang w:val="pt-BR"/>
        </w:rPr>
      </w:pPr>
      <w:r>
        <w:rPr>
          <w:b/>
          <w:color w:val="000000" w:themeColor="text1"/>
          <w:sz w:val="22"/>
          <w:szCs w:val="22"/>
          <w:u w:val="single"/>
          <w:lang w:val="pt-BR"/>
        </w:rPr>
        <w:br w:type="page"/>
      </w:r>
    </w:p>
    <w:p w:rsidR="00910C92" w:rsidRPr="00D174BB" w:rsidRDefault="00910C92" w:rsidP="00910C92">
      <w:pPr>
        <w:rPr>
          <w:b/>
          <w:color w:val="000000" w:themeColor="text1"/>
          <w:sz w:val="22"/>
          <w:szCs w:val="22"/>
          <w:u w:val="single"/>
          <w:lang w:val="pt-BR"/>
        </w:rPr>
      </w:pPr>
    </w:p>
    <w:tbl>
      <w:tblPr>
        <w:tblW w:w="14745" w:type="dxa"/>
        <w:tblInd w:w="113" w:type="dxa"/>
        <w:tblLayout w:type="fixed"/>
        <w:tblLook w:val="04A0" w:firstRow="1" w:lastRow="0" w:firstColumn="1" w:lastColumn="0" w:noHBand="0" w:noVBand="1"/>
      </w:tblPr>
      <w:tblGrid>
        <w:gridCol w:w="3101"/>
        <w:gridCol w:w="3161"/>
        <w:gridCol w:w="33"/>
        <w:gridCol w:w="2848"/>
        <w:gridCol w:w="32"/>
        <w:gridCol w:w="2869"/>
        <w:gridCol w:w="11"/>
        <w:gridCol w:w="2690"/>
      </w:tblGrid>
      <w:tr w:rsidR="00910C92" w:rsidRPr="002A41AB" w:rsidTr="007E41FF">
        <w:trPr>
          <w:trHeight w:val="278"/>
        </w:trPr>
        <w:tc>
          <w:tcPr>
            <w:tcW w:w="14745" w:type="dxa"/>
            <w:gridSpan w:val="8"/>
            <w:tcBorders>
              <w:top w:val="nil"/>
              <w:left w:val="nil"/>
              <w:bottom w:val="single" w:sz="4" w:space="0" w:color="000000"/>
              <w:right w:val="nil"/>
            </w:tcBorders>
            <w:noWrap/>
            <w:hideMark/>
          </w:tcPr>
          <w:p w:rsidR="00910C92" w:rsidRPr="00D174BB" w:rsidRDefault="00910C92" w:rsidP="00733169">
            <w:pPr>
              <w:rPr>
                <w:b/>
                <w:bCs/>
                <w:color w:val="000000" w:themeColor="text1"/>
                <w:sz w:val="22"/>
                <w:szCs w:val="22"/>
                <w:lang w:val="pt-BR"/>
              </w:rPr>
            </w:pPr>
            <w:r w:rsidRPr="00D174BB">
              <w:rPr>
                <w:b/>
                <w:color w:val="000000" w:themeColor="text1"/>
                <w:sz w:val="22"/>
                <w:szCs w:val="22"/>
                <w:u w:val="single"/>
                <w:lang w:val="pt-BR"/>
              </w:rPr>
              <w:br w:type="page"/>
            </w:r>
            <w:r w:rsidRPr="00D174BB">
              <w:rPr>
                <w:b/>
                <w:bCs/>
                <w:color w:val="000000" w:themeColor="text1"/>
                <w:sz w:val="22"/>
                <w:szCs w:val="22"/>
                <w:lang w:val="pt-BR"/>
              </w:rPr>
              <w:t xml:space="preserve">DEPARTAMENTO/SEÇÃO: </w:t>
            </w:r>
            <w:r w:rsidR="00733169" w:rsidRPr="00D174BB">
              <w:rPr>
                <w:b/>
                <w:bCs/>
                <w:color w:val="000000" w:themeColor="text1"/>
                <w:sz w:val="22"/>
                <w:szCs w:val="22"/>
                <w:lang w:val="pt-BR"/>
              </w:rPr>
              <w:t xml:space="preserve">DEPARTAMENTO DE </w:t>
            </w:r>
            <w:r w:rsidRPr="00D174BB">
              <w:rPr>
                <w:b/>
                <w:bCs/>
                <w:color w:val="000000" w:themeColor="text1"/>
                <w:sz w:val="22"/>
                <w:szCs w:val="22"/>
                <w:lang w:val="pt-BR"/>
              </w:rPr>
              <w:t>DESENVOLVIMENTO HUMANO, EDUCAÇÃO E EMPREGO (D</w:t>
            </w:r>
            <w:r w:rsidR="00733169" w:rsidRPr="00D174BB">
              <w:rPr>
                <w:b/>
                <w:bCs/>
                <w:color w:val="000000" w:themeColor="text1"/>
                <w:sz w:val="22"/>
                <w:szCs w:val="22"/>
                <w:lang w:val="pt-BR"/>
              </w:rPr>
              <w:t>D</w:t>
            </w:r>
            <w:r w:rsidRPr="00D174BB">
              <w:rPr>
                <w:b/>
                <w:bCs/>
                <w:color w:val="000000" w:themeColor="text1"/>
                <w:sz w:val="22"/>
                <w:szCs w:val="22"/>
                <w:lang w:val="pt-BR"/>
              </w:rPr>
              <w:t>HEE)</w:t>
            </w:r>
          </w:p>
        </w:tc>
      </w:tr>
      <w:tr w:rsidR="00910C92" w:rsidRPr="00D174BB" w:rsidTr="007E41FF">
        <w:trPr>
          <w:trHeight w:val="810"/>
        </w:trPr>
        <w:tc>
          <w:tcPr>
            <w:tcW w:w="3101"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3161" w:type="dxa"/>
            <w:tcBorders>
              <w:top w:val="single" w:sz="4" w:space="0" w:color="000000"/>
              <w:left w:val="single" w:sz="4" w:space="0" w:color="000000"/>
              <w:bottom w:val="single" w:sz="4" w:space="0" w:color="000000"/>
              <w:right w:val="single" w:sz="4" w:space="0" w:color="000000"/>
            </w:tcBorders>
            <w:shd w:val="clear" w:color="auto" w:fill="D9E2F3"/>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881"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901"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910C92" w:rsidRPr="00D174BB" w:rsidRDefault="00623261">
            <w:pPr>
              <w:jc w:val="center"/>
              <w:rPr>
                <w:b/>
                <w:bCs/>
                <w:color w:val="000000" w:themeColor="text1"/>
                <w:sz w:val="22"/>
                <w:szCs w:val="22"/>
                <w:lang w:val="pt-BR"/>
              </w:rPr>
            </w:pPr>
            <w:r w:rsidRPr="00D174BB">
              <w:rPr>
                <w:b/>
                <w:bCs/>
                <w:color w:val="000000" w:themeColor="text1"/>
                <w:sz w:val="22"/>
                <w:szCs w:val="22"/>
                <w:lang w:val="pt-BR"/>
              </w:rPr>
              <w:t>COVID</w:t>
            </w:r>
            <w:r w:rsidR="00910C92" w:rsidRPr="00D174BB">
              <w:rPr>
                <w:b/>
                <w:bCs/>
                <w:color w:val="000000" w:themeColor="text1"/>
                <w:sz w:val="22"/>
                <w:szCs w:val="22"/>
                <w:lang w:val="pt-BR"/>
              </w:rPr>
              <w:t>-19</w:t>
            </w:r>
          </w:p>
        </w:tc>
      </w:tr>
      <w:tr w:rsidR="00910C92" w:rsidRPr="002A41AB" w:rsidTr="007E41FF">
        <w:trPr>
          <w:trHeight w:val="278"/>
        </w:trPr>
        <w:tc>
          <w:tcPr>
            <w:tcW w:w="3101"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LINHA ESTRATÉGICA </w:t>
            </w:r>
          </w:p>
        </w:tc>
        <w:tc>
          <w:tcPr>
            <w:tcW w:w="11644" w:type="dxa"/>
            <w:gridSpan w:val="7"/>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3. </w:t>
            </w:r>
            <w:r w:rsidRPr="00D174BB">
              <w:rPr>
                <w:b/>
                <w:bCs/>
                <w:sz w:val="22"/>
                <w:szCs w:val="22"/>
                <w:lang w:val="pt-BR"/>
              </w:rPr>
              <w:t>Promover a educação e o desenvolvimento humano nas Américas</w:t>
            </w:r>
          </w:p>
        </w:tc>
      </w:tr>
      <w:tr w:rsidR="00910C92" w:rsidRPr="002A41AB" w:rsidTr="007E41FF">
        <w:trPr>
          <w:trHeight w:val="278"/>
        </w:trPr>
        <w:tc>
          <w:tcPr>
            <w:tcW w:w="3101" w:type="dxa"/>
            <w:tcBorders>
              <w:top w:val="single" w:sz="4" w:space="0" w:color="000000"/>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44" w:type="dxa"/>
            <w:gridSpan w:val="7"/>
            <w:tcBorders>
              <w:top w:val="single" w:sz="4" w:space="0" w:color="000000"/>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3.1. </w:t>
            </w:r>
            <w:r w:rsidRPr="00D174BB">
              <w:rPr>
                <w:b/>
                <w:bCs/>
                <w:sz w:val="22"/>
                <w:szCs w:val="22"/>
                <w:lang w:val="pt-BR"/>
              </w:rPr>
              <w:t>Fortalecer a capacidade institucional dos Estados membros de oferecer educação de qualidade, inclusiva e com equidade</w:t>
            </w:r>
          </w:p>
        </w:tc>
      </w:tr>
      <w:tr w:rsidR="00910C92" w:rsidRPr="00D174BB" w:rsidTr="007E41FF">
        <w:trPr>
          <w:trHeight w:val="420"/>
        </w:trPr>
        <w:tc>
          <w:tcPr>
            <w:tcW w:w="14745" w:type="dxa"/>
            <w:gridSpan w:val="8"/>
            <w:tcBorders>
              <w:top w:val="single" w:sz="4" w:space="0" w:color="auto"/>
              <w:left w:val="single" w:sz="4" w:space="0" w:color="auto"/>
              <w:bottom w:val="single" w:sz="4" w:space="0" w:color="auto"/>
              <w:right w:val="single" w:sz="4" w:space="0" w:color="auto"/>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Educação – Diálogo de política </w:t>
            </w:r>
          </w:p>
        </w:tc>
      </w:tr>
      <w:tr w:rsidR="00910C92" w:rsidRPr="002A41AB" w:rsidTr="00096131">
        <w:trPr>
          <w:trHeight w:val="809"/>
        </w:trPr>
        <w:tc>
          <w:tcPr>
            <w:tcW w:w="3101" w:type="dxa"/>
            <w:vMerge w:val="restart"/>
            <w:tcBorders>
              <w:top w:val="nil"/>
              <w:left w:val="single" w:sz="4" w:space="0" w:color="auto"/>
              <w:bottom w:val="single" w:sz="4" w:space="0" w:color="auto"/>
              <w:right w:val="single" w:sz="4" w:space="0" w:color="auto"/>
            </w:tcBorders>
            <w:shd w:val="clear" w:color="auto" w:fill="FFFFFF"/>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Processo da Reunião Interamericana de Ministros da Educação e Comissão Interamericana de Educação </w:t>
            </w:r>
            <w:r w:rsidR="00733169" w:rsidRPr="00D174BB">
              <w:rPr>
                <w:rFonts w:eastAsia="Calibri"/>
                <w:color w:val="000000" w:themeColor="text1"/>
                <w:sz w:val="22"/>
                <w:szCs w:val="22"/>
                <w:lang w:val="pt-BR"/>
              </w:rPr>
              <w:t>(CIE)</w:t>
            </w:r>
          </w:p>
        </w:tc>
        <w:tc>
          <w:tcPr>
            <w:tcW w:w="3161" w:type="dxa"/>
            <w:tcBorders>
              <w:top w:val="nil"/>
              <w:left w:val="nil"/>
              <w:bottom w:val="single" w:sz="4" w:space="0" w:color="auto"/>
              <w:right w:val="single" w:sz="4" w:space="0" w:color="auto"/>
            </w:tcBorders>
            <w:shd w:val="clear" w:color="auto" w:fill="FFFFFF"/>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Apoio à mobilidade acadêmica entre os Estados membros, em âmbito regional e internacional, em parceria com o Instituto Internacional de Educação Superior para a América Latina e o Caribe (IESALC), da UNESCO, contribuindo especialmente para facilitar o processo de ratificação e implementação do Acordo Regional e do Acordo Mundial sobre o reconhecimento de qualificações relacionadas ao ensino superior. </w:t>
            </w:r>
          </w:p>
        </w:tc>
        <w:tc>
          <w:tcPr>
            <w:tcW w:w="2881" w:type="dxa"/>
            <w:gridSpan w:val="2"/>
            <w:tcBorders>
              <w:top w:val="nil"/>
              <w:left w:val="nil"/>
              <w:bottom w:val="single" w:sz="4" w:space="0" w:color="auto"/>
              <w:right w:val="single" w:sz="4" w:space="0" w:color="auto"/>
            </w:tcBorders>
            <w:shd w:val="clear" w:color="auto" w:fill="FFFFFF"/>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Informação sobre países interessados em adotar e implementar a governança dessas estruturas, mediante a intermediação dos problemas de migração que afetam a competitividade e a resiliência dos sistemas de educação.</w:t>
            </w:r>
          </w:p>
        </w:tc>
        <w:tc>
          <w:tcPr>
            <w:tcW w:w="2901" w:type="dxa"/>
            <w:gridSpan w:val="2"/>
            <w:vMerge w:val="restart"/>
            <w:tcBorders>
              <w:top w:val="nil"/>
              <w:left w:val="single" w:sz="4" w:space="0" w:color="auto"/>
              <w:bottom w:val="single" w:sz="4" w:space="0" w:color="auto"/>
              <w:right w:val="single" w:sz="4" w:space="0" w:color="auto"/>
            </w:tcBorders>
            <w:shd w:val="clear" w:color="auto" w:fill="FFFFFF"/>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Externamente:</w:t>
            </w:r>
            <w:r w:rsidRPr="00D174BB">
              <w:rPr>
                <w:color w:val="000000" w:themeColor="text1"/>
                <w:sz w:val="22"/>
                <w:szCs w:val="22"/>
                <w:lang w:val="pt-BR"/>
              </w:rPr>
              <w:t xml:space="preserve"> UNESCO IESALC, Autoridades da CIE e WGPs.</w:t>
            </w:r>
          </w:p>
        </w:tc>
        <w:tc>
          <w:tcPr>
            <w:tcW w:w="2701" w:type="dxa"/>
            <w:gridSpan w:val="2"/>
            <w:vMerge w:val="restart"/>
            <w:tcBorders>
              <w:top w:val="nil"/>
              <w:left w:val="single" w:sz="4" w:space="0" w:color="auto"/>
              <w:bottom w:val="single" w:sz="4" w:space="0" w:color="000000"/>
              <w:right w:val="single" w:sz="4" w:space="0" w:color="auto"/>
            </w:tcBorders>
            <w:shd w:val="clear" w:color="auto" w:fill="FFFF00"/>
            <w:hideMark/>
          </w:tcPr>
          <w:p w:rsidR="00910C92" w:rsidRDefault="00910C92" w:rsidP="00733169">
            <w:pPr>
              <w:rPr>
                <w:color w:val="000000" w:themeColor="text1"/>
                <w:sz w:val="22"/>
                <w:szCs w:val="22"/>
                <w:lang w:val="pt-BR"/>
              </w:rPr>
            </w:pPr>
            <w:r w:rsidRPr="00D174BB">
              <w:rPr>
                <w:b/>
                <w:bCs/>
                <w:color w:val="000000" w:themeColor="text1"/>
                <w:sz w:val="22"/>
                <w:szCs w:val="22"/>
                <w:lang w:val="pt-BR"/>
              </w:rPr>
              <w:t xml:space="preserve">Intercâmbio de conhecimentos e boas práticas: </w:t>
            </w:r>
            <w:r w:rsidRPr="00D174BB">
              <w:rPr>
                <w:bCs/>
                <w:color w:val="000000" w:themeColor="text1"/>
                <w:sz w:val="22"/>
                <w:szCs w:val="22"/>
                <w:lang w:val="pt-BR"/>
              </w:rPr>
              <w:t>os Estados membros</w:t>
            </w:r>
            <w:r w:rsidRPr="00D174BB">
              <w:rPr>
                <w:b/>
                <w:bCs/>
                <w:color w:val="000000" w:themeColor="text1"/>
                <w:sz w:val="22"/>
                <w:szCs w:val="22"/>
                <w:lang w:val="pt-BR"/>
              </w:rPr>
              <w:t xml:space="preserve"> </w:t>
            </w:r>
            <w:r w:rsidRPr="00D174BB">
              <w:rPr>
                <w:bCs/>
                <w:color w:val="000000" w:themeColor="text1"/>
                <w:sz w:val="22"/>
                <w:szCs w:val="22"/>
                <w:lang w:val="pt-BR"/>
              </w:rPr>
              <w:t>têm</w:t>
            </w:r>
            <w:r w:rsidRPr="00D174BB">
              <w:rPr>
                <w:b/>
                <w:bCs/>
                <w:color w:val="000000" w:themeColor="text1"/>
                <w:sz w:val="22"/>
                <w:szCs w:val="22"/>
                <w:lang w:val="pt-BR"/>
              </w:rPr>
              <w:t xml:space="preserve"> </w:t>
            </w:r>
            <w:r w:rsidRPr="00D174BB">
              <w:rPr>
                <w:color w:val="000000" w:themeColor="text1"/>
                <w:sz w:val="22"/>
                <w:szCs w:val="22"/>
                <w:lang w:val="pt-BR"/>
              </w:rPr>
              <w:t xml:space="preserve">acesso e oportunidades para aprender, compartilhar projetos, experiências e outros recursos que podem ajudar a organizar, replicar ou adaptar iniciativas para reduzir os desafios da </w:t>
            </w:r>
            <w:r w:rsidR="002579BC" w:rsidRPr="00D174BB">
              <w:rPr>
                <w:color w:val="000000" w:themeColor="text1"/>
                <w:sz w:val="22"/>
                <w:szCs w:val="22"/>
                <w:lang w:val="pt-BR"/>
              </w:rPr>
              <w:t>covid</w:t>
            </w:r>
            <w:r w:rsidRPr="00D174BB">
              <w:rPr>
                <w:color w:val="000000" w:themeColor="text1"/>
                <w:sz w:val="22"/>
                <w:szCs w:val="22"/>
                <w:lang w:val="pt-BR"/>
              </w:rPr>
              <w:t xml:space="preserve">-19. </w:t>
            </w:r>
            <w:r w:rsidRPr="00D174BB">
              <w:rPr>
                <w:color w:val="000000" w:themeColor="text1"/>
                <w:sz w:val="22"/>
                <w:szCs w:val="22"/>
                <w:lang w:val="pt-BR"/>
              </w:rPr>
              <w:br/>
            </w:r>
            <w:r w:rsidRPr="00D174BB">
              <w:rPr>
                <w:color w:val="000000" w:themeColor="text1"/>
                <w:sz w:val="22"/>
                <w:szCs w:val="22"/>
                <w:lang w:val="pt-BR"/>
              </w:rPr>
              <w:br/>
              <w:t xml:space="preserve">- Participação </w:t>
            </w:r>
            <w:r w:rsidR="00733169" w:rsidRPr="00D174BB">
              <w:rPr>
                <w:color w:val="000000" w:themeColor="text1"/>
                <w:sz w:val="22"/>
                <w:szCs w:val="22"/>
                <w:lang w:val="pt-BR"/>
              </w:rPr>
              <w:t>de um ciclo</w:t>
            </w:r>
            <w:r w:rsidRPr="00D174BB">
              <w:rPr>
                <w:color w:val="000000" w:themeColor="text1"/>
                <w:sz w:val="22"/>
                <w:szCs w:val="22"/>
                <w:lang w:val="pt-BR"/>
              </w:rPr>
              <w:t xml:space="preserve"> de reuniões virtuais, </w:t>
            </w:r>
            <w:r w:rsidR="00733169" w:rsidRPr="00D174BB">
              <w:rPr>
                <w:color w:val="000000" w:themeColor="text1"/>
                <w:sz w:val="22"/>
                <w:szCs w:val="22"/>
                <w:lang w:val="pt-BR"/>
              </w:rPr>
              <w:t>seminários web</w:t>
            </w:r>
            <w:r w:rsidRPr="00D174BB">
              <w:rPr>
                <w:color w:val="000000" w:themeColor="text1"/>
                <w:sz w:val="22"/>
                <w:szCs w:val="22"/>
                <w:lang w:val="pt-BR"/>
              </w:rPr>
              <w:t xml:space="preserve"> e </w:t>
            </w:r>
            <w:r w:rsidR="00733169" w:rsidRPr="00D174BB">
              <w:rPr>
                <w:color w:val="000000" w:themeColor="text1"/>
                <w:sz w:val="22"/>
                <w:szCs w:val="22"/>
                <w:lang w:val="pt-BR"/>
              </w:rPr>
              <w:t>oficinas virtuais</w:t>
            </w:r>
            <w:r w:rsidRPr="00D174BB">
              <w:rPr>
                <w:color w:val="000000" w:themeColor="text1"/>
                <w:sz w:val="22"/>
                <w:szCs w:val="22"/>
                <w:lang w:val="pt-BR"/>
              </w:rPr>
              <w:t xml:space="preserve">. </w:t>
            </w:r>
            <w:r w:rsidRPr="00D174BB">
              <w:rPr>
                <w:color w:val="000000" w:themeColor="text1"/>
                <w:sz w:val="22"/>
                <w:szCs w:val="22"/>
                <w:lang w:val="pt-BR"/>
              </w:rPr>
              <w:br/>
              <w:t xml:space="preserve">- Portfólio de recursos e respostas para o desenvolvimento, oriundos dos Estados membros, com relação à </w:t>
            </w:r>
            <w:r w:rsidR="002579BC" w:rsidRPr="00D174BB">
              <w:rPr>
                <w:color w:val="000000" w:themeColor="text1"/>
                <w:sz w:val="22"/>
                <w:szCs w:val="22"/>
                <w:lang w:val="pt-BR"/>
              </w:rPr>
              <w:t>covid</w:t>
            </w:r>
            <w:r w:rsidRPr="00D174BB">
              <w:rPr>
                <w:color w:val="000000" w:themeColor="text1"/>
                <w:sz w:val="22"/>
                <w:szCs w:val="22"/>
                <w:lang w:val="pt-BR"/>
              </w:rPr>
              <w:t>-19, na área da educação.</w:t>
            </w:r>
          </w:p>
          <w:p w:rsidR="00C11D18" w:rsidRDefault="00C11D18" w:rsidP="00733169">
            <w:pPr>
              <w:rPr>
                <w:color w:val="000000" w:themeColor="text1"/>
                <w:sz w:val="22"/>
                <w:szCs w:val="22"/>
                <w:lang w:val="pt-BR"/>
              </w:rPr>
            </w:pPr>
          </w:p>
          <w:p w:rsidR="00C11D18" w:rsidRDefault="00C11D18" w:rsidP="00733169">
            <w:pPr>
              <w:rPr>
                <w:color w:val="000000" w:themeColor="text1"/>
                <w:sz w:val="22"/>
                <w:szCs w:val="22"/>
                <w:lang w:val="pt-BR"/>
              </w:rPr>
            </w:pPr>
          </w:p>
          <w:p w:rsidR="00C11D18" w:rsidRDefault="00C11D18" w:rsidP="00733169">
            <w:pPr>
              <w:rPr>
                <w:color w:val="000000" w:themeColor="text1"/>
                <w:sz w:val="22"/>
                <w:szCs w:val="22"/>
                <w:lang w:val="pt-BR"/>
              </w:rPr>
            </w:pPr>
          </w:p>
          <w:p w:rsidR="00C11D18" w:rsidRDefault="00C11D18" w:rsidP="00733169">
            <w:pPr>
              <w:rPr>
                <w:color w:val="000000" w:themeColor="text1"/>
                <w:sz w:val="22"/>
                <w:szCs w:val="22"/>
                <w:lang w:val="pt-BR"/>
              </w:rPr>
            </w:pPr>
          </w:p>
          <w:p w:rsidR="00C11D18" w:rsidRDefault="00C11D18" w:rsidP="00733169">
            <w:pPr>
              <w:rPr>
                <w:color w:val="000000" w:themeColor="text1"/>
                <w:sz w:val="22"/>
                <w:szCs w:val="22"/>
                <w:lang w:val="pt-BR"/>
              </w:rPr>
            </w:pPr>
          </w:p>
          <w:p w:rsidR="00C11D18" w:rsidRDefault="00C11D18" w:rsidP="00733169">
            <w:pPr>
              <w:rPr>
                <w:color w:val="000000" w:themeColor="text1"/>
                <w:sz w:val="22"/>
                <w:szCs w:val="22"/>
                <w:lang w:val="pt-BR"/>
              </w:rPr>
            </w:pPr>
          </w:p>
          <w:p w:rsidR="00C11D18" w:rsidRPr="00D174BB" w:rsidRDefault="00C11D18" w:rsidP="00733169">
            <w:pPr>
              <w:rPr>
                <w:color w:val="000000" w:themeColor="text1"/>
                <w:sz w:val="22"/>
                <w:szCs w:val="22"/>
                <w:lang w:val="pt-BR"/>
              </w:rPr>
            </w:pPr>
          </w:p>
        </w:tc>
      </w:tr>
      <w:tr w:rsidR="00910C92" w:rsidRPr="002A41AB" w:rsidTr="007E41FF">
        <w:trPr>
          <w:trHeight w:val="1665"/>
        </w:trPr>
        <w:tc>
          <w:tcPr>
            <w:tcW w:w="310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161" w:type="dxa"/>
            <w:tcBorders>
              <w:top w:val="nil"/>
              <w:left w:val="nil"/>
              <w:bottom w:val="single" w:sz="4" w:space="0" w:color="auto"/>
              <w:right w:val="single" w:sz="4" w:space="0" w:color="auto"/>
            </w:tcBorders>
            <w:shd w:val="clear" w:color="auto" w:fill="FFFFFF"/>
            <w:vAlign w:val="center"/>
          </w:tcPr>
          <w:p w:rsidR="00910C92" w:rsidRPr="00D174BB" w:rsidRDefault="00910C92" w:rsidP="00096131">
            <w:pPr>
              <w:rPr>
                <w:color w:val="000000" w:themeColor="text1"/>
                <w:sz w:val="22"/>
                <w:szCs w:val="22"/>
                <w:lang w:val="pt-BR"/>
              </w:rPr>
            </w:pPr>
            <w:r w:rsidRPr="00D174BB">
              <w:rPr>
                <w:color w:val="000000" w:themeColor="text1"/>
                <w:sz w:val="22"/>
                <w:szCs w:val="22"/>
                <w:lang w:val="pt-BR"/>
              </w:rPr>
              <w:t xml:space="preserve">Realizar pesquisa sobre a relevância ou aplicação dos conceitos de resiliência e competitividade nas políticas de educação pública, mediante os mecanismos de diálogo político da CIE e suas Autoridades. </w:t>
            </w:r>
          </w:p>
        </w:tc>
        <w:tc>
          <w:tcPr>
            <w:tcW w:w="2881" w:type="dxa"/>
            <w:gridSpan w:val="2"/>
            <w:tcBorders>
              <w:top w:val="nil"/>
              <w:left w:val="nil"/>
              <w:bottom w:val="single" w:sz="4" w:space="0" w:color="auto"/>
              <w:right w:val="single" w:sz="4" w:space="0" w:color="auto"/>
            </w:tcBorders>
            <w:shd w:val="clear" w:color="auto" w:fill="FFFFFF"/>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Informação sobre a situação preliminar do assunto na região.</w:t>
            </w:r>
          </w:p>
        </w:tc>
        <w:tc>
          <w:tcPr>
            <w:tcW w:w="2901"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701" w:type="dxa"/>
            <w:gridSpan w:val="2"/>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7E41FF" w:rsidRPr="00D174BB" w:rsidTr="002A41AB">
        <w:trPr>
          <w:trHeight w:val="278"/>
        </w:trPr>
        <w:tc>
          <w:tcPr>
            <w:tcW w:w="3101" w:type="dxa"/>
            <w:tcBorders>
              <w:top w:val="nil"/>
              <w:left w:val="single" w:sz="4" w:space="0" w:color="auto"/>
              <w:bottom w:val="single" w:sz="4" w:space="0" w:color="auto"/>
              <w:right w:val="single" w:sz="4" w:space="0" w:color="auto"/>
            </w:tcBorders>
            <w:shd w:val="clear" w:color="auto" w:fill="BDD6EE" w:themeFill="accent1" w:themeFillTint="66"/>
          </w:tcPr>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lastRenderedPageBreak/>
              <w:t>INICIATIVAS / ATIVIDADES</w:t>
            </w:r>
          </w:p>
        </w:tc>
        <w:tc>
          <w:tcPr>
            <w:tcW w:w="3194" w:type="dxa"/>
            <w:gridSpan w:val="2"/>
            <w:tcBorders>
              <w:top w:val="single" w:sz="4" w:space="0" w:color="auto"/>
              <w:left w:val="nil"/>
              <w:bottom w:val="single" w:sz="4" w:space="0" w:color="auto"/>
              <w:right w:val="single" w:sz="4" w:space="0" w:color="auto"/>
            </w:tcBorders>
            <w:shd w:val="clear" w:color="auto" w:fill="BDD6EE" w:themeFill="accent1" w:themeFillTint="66"/>
          </w:tcPr>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880" w:type="dxa"/>
            <w:gridSpan w:val="2"/>
            <w:tcBorders>
              <w:top w:val="single" w:sz="4" w:space="0" w:color="auto"/>
              <w:left w:val="nil"/>
              <w:bottom w:val="single" w:sz="4" w:space="0" w:color="auto"/>
              <w:right w:val="single" w:sz="4" w:space="0" w:color="auto"/>
            </w:tcBorders>
            <w:shd w:val="clear" w:color="auto" w:fill="BDD6EE" w:themeFill="accent1" w:themeFillTint="66"/>
          </w:tcPr>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880" w:type="dxa"/>
            <w:gridSpan w:val="2"/>
            <w:tcBorders>
              <w:top w:val="single" w:sz="4" w:space="0" w:color="auto"/>
              <w:left w:val="nil"/>
              <w:bottom w:val="single" w:sz="4" w:space="0" w:color="auto"/>
              <w:right w:val="single" w:sz="4" w:space="0" w:color="auto"/>
            </w:tcBorders>
            <w:shd w:val="clear" w:color="auto" w:fill="BDD6EE" w:themeFill="accent1" w:themeFillTint="66"/>
          </w:tcPr>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690" w:type="dxa"/>
            <w:tcBorders>
              <w:top w:val="single" w:sz="4" w:space="0" w:color="auto"/>
              <w:left w:val="nil"/>
              <w:bottom w:val="single" w:sz="4" w:space="0" w:color="auto"/>
              <w:right w:val="single" w:sz="4" w:space="0" w:color="auto"/>
            </w:tcBorders>
            <w:shd w:val="clear" w:color="auto" w:fill="FFFF00"/>
          </w:tcPr>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7E41FF" w:rsidRPr="00D174BB" w:rsidRDefault="007E41FF" w:rsidP="002A41AB">
            <w:pPr>
              <w:jc w:val="center"/>
              <w:rPr>
                <w:b/>
                <w:bCs/>
                <w:color w:val="000000" w:themeColor="text1"/>
                <w:sz w:val="22"/>
                <w:szCs w:val="22"/>
                <w:lang w:val="pt-BR"/>
              </w:rPr>
            </w:pPr>
            <w:r w:rsidRPr="00D174BB">
              <w:rPr>
                <w:b/>
                <w:bCs/>
                <w:color w:val="000000" w:themeColor="text1"/>
                <w:sz w:val="22"/>
                <w:szCs w:val="22"/>
                <w:lang w:val="pt-BR"/>
              </w:rPr>
              <w:t>COVID-19</w:t>
            </w:r>
          </w:p>
        </w:tc>
      </w:tr>
      <w:tr w:rsidR="00910C92" w:rsidRPr="002A41AB" w:rsidTr="007E41FF">
        <w:trPr>
          <w:trHeight w:val="278"/>
        </w:trPr>
        <w:tc>
          <w:tcPr>
            <w:tcW w:w="3101"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44" w:type="dxa"/>
            <w:gridSpan w:val="7"/>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3.2. Fortalecer a capacidade institucional dos Estados membros de oferecer educação de qualidade, inclusiva e com equidade</w:t>
            </w:r>
          </w:p>
        </w:tc>
      </w:tr>
      <w:tr w:rsidR="00910C92" w:rsidRPr="00D174BB" w:rsidTr="007E41FF">
        <w:trPr>
          <w:trHeight w:val="420"/>
        </w:trPr>
        <w:tc>
          <w:tcPr>
            <w:tcW w:w="14745" w:type="dxa"/>
            <w:gridSpan w:val="8"/>
            <w:tcBorders>
              <w:top w:val="single" w:sz="4" w:space="0" w:color="auto"/>
              <w:left w:val="single" w:sz="4" w:space="0" w:color="auto"/>
              <w:bottom w:val="single" w:sz="4" w:space="0" w:color="auto"/>
              <w:right w:val="single" w:sz="4" w:space="0" w:color="auto"/>
            </w:tcBorders>
            <w:shd w:val="clear" w:color="auto" w:fill="F2F2F2"/>
            <w:hideMark/>
          </w:tcPr>
          <w:p w:rsidR="00910C92" w:rsidRPr="00D174BB" w:rsidRDefault="00910C92" w:rsidP="00733169">
            <w:pPr>
              <w:rPr>
                <w:b/>
                <w:bCs/>
                <w:color w:val="000000" w:themeColor="text1"/>
                <w:sz w:val="22"/>
                <w:szCs w:val="22"/>
                <w:lang w:val="pt-BR"/>
              </w:rPr>
            </w:pPr>
            <w:r w:rsidRPr="00D174BB">
              <w:rPr>
                <w:b/>
                <w:bCs/>
                <w:color w:val="000000" w:themeColor="text1"/>
                <w:sz w:val="22"/>
                <w:szCs w:val="22"/>
                <w:lang w:val="pt-BR"/>
              </w:rPr>
              <w:t>Educação – Diálogo polític</w:t>
            </w:r>
            <w:r w:rsidR="00733169" w:rsidRPr="00D174BB">
              <w:rPr>
                <w:b/>
                <w:bCs/>
                <w:color w:val="000000" w:themeColor="text1"/>
                <w:sz w:val="22"/>
                <w:szCs w:val="22"/>
                <w:lang w:val="pt-BR"/>
              </w:rPr>
              <w:t>o:</w:t>
            </w:r>
            <w:r w:rsidRPr="00D174BB">
              <w:rPr>
                <w:b/>
                <w:bCs/>
                <w:color w:val="000000" w:themeColor="text1"/>
                <w:sz w:val="22"/>
                <w:szCs w:val="22"/>
                <w:lang w:val="pt-BR"/>
              </w:rPr>
              <w:t xml:space="preserve"> </w:t>
            </w:r>
          </w:p>
        </w:tc>
      </w:tr>
      <w:tr w:rsidR="00910C92" w:rsidRPr="002A41AB" w:rsidTr="00070E69">
        <w:trPr>
          <w:trHeight w:val="1388"/>
        </w:trPr>
        <w:tc>
          <w:tcPr>
            <w:tcW w:w="3101" w:type="dxa"/>
            <w:tcBorders>
              <w:top w:val="nil"/>
              <w:left w:val="single" w:sz="4" w:space="0" w:color="auto"/>
              <w:bottom w:val="single" w:sz="4" w:space="0" w:color="auto"/>
              <w:right w:val="single" w:sz="4" w:space="0" w:color="auto"/>
            </w:tcBorders>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Processo da Reunião Interamericana de Ministros da Educação e Comissão Interamericana de Educação </w:t>
            </w:r>
          </w:p>
        </w:tc>
        <w:tc>
          <w:tcPr>
            <w:tcW w:w="3161" w:type="dxa"/>
            <w:tcBorders>
              <w:top w:val="nil"/>
              <w:left w:val="nil"/>
              <w:bottom w:val="single" w:sz="4" w:space="0" w:color="auto"/>
              <w:right w:val="single" w:sz="4" w:space="0" w:color="auto"/>
            </w:tcBorders>
            <w:vAlign w:val="center"/>
            <w:hideMark/>
          </w:tcPr>
          <w:p w:rsidR="00910C92" w:rsidRPr="00D174BB" w:rsidRDefault="00910C92">
            <w:pPr>
              <w:jc w:val="both"/>
              <w:rPr>
                <w:color w:val="000000" w:themeColor="text1"/>
                <w:sz w:val="22"/>
                <w:szCs w:val="22"/>
                <w:lang w:val="pt-BR"/>
              </w:rPr>
            </w:pPr>
            <w:r w:rsidRPr="00D174BB">
              <w:rPr>
                <w:color w:val="000000" w:themeColor="text1"/>
                <w:sz w:val="22"/>
                <w:szCs w:val="22"/>
                <w:lang w:val="pt-BR"/>
              </w:rPr>
              <w:t>Colaboração na promoção do Estado de Direito, mediante a educação e a capacitação docente.</w:t>
            </w:r>
          </w:p>
        </w:tc>
        <w:tc>
          <w:tcPr>
            <w:tcW w:w="2881" w:type="dxa"/>
            <w:gridSpan w:val="2"/>
            <w:tcBorders>
              <w:top w:val="nil"/>
              <w:left w:val="nil"/>
              <w:bottom w:val="single" w:sz="4" w:space="0" w:color="auto"/>
              <w:right w:val="single" w:sz="4" w:space="0" w:color="auto"/>
            </w:tcBorders>
            <w:vAlign w:val="center"/>
            <w:hideMark/>
          </w:tcPr>
          <w:p w:rsidR="00910C92" w:rsidRPr="00D174BB" w:rsidRDefault="00070E69" w:rsidP="00070E69">
            <w:pPr>
              <w:rPr>
                <w:color w:val="000000" w:themeColor="text1"/>
                <w:sz w:val="22"/>
                <w:szCs w:val="22"/>
                <w:lang w:val="pt-BR"/>
              </w:rPr>
            </w:pPr>
            <w:r w:rsidRPr="00D174BB">
              <w:rPr>
                <w:color w:val="000000" w:themeColor="text1"/>
                <w:sz w:val="22"/>
                <w:szCs w:val="22"/>
                <w:lang w:val="pt-BR"/>
              </w:rPr>
              <w:t>Difusão para</w:t>
            </w:r>
            <w:r w:rsidR="00910C92" w:rsidRPr="00D174BB">
              <w:rPr>
                <w:color w:val="000000" w:themeColor="text1"/>
                <w:sz w:val="22"/>
                <w:szCs w:val="22"/>
                <w:lang w:val="pt-BR"/>
              </w:rPr>
              <w:t xml:space="preserve"> os Estados membros interessados </w:t>
            </w:r>
            <w:r w:rsidRPr="00D174BB">
              <w:rPr>
                <w:color w:val="000000" w:themeColor="text1"/>
                <w:sz w:val="22"/>
                <w:szCs w:val="22"/>
                <w:lang w:val="pt-BR"/>
              </w:rPr>
              <w:t>d</w:t>
            </w:r>
            <w:r w:rsidR="00910C92" w:rsidRPr="00D174BB">
              <w:rPr>
                <w:color w:val="000000" w:themeColor="text1"/>
                <w:sz w:val="22"/>
                <w:szCs w:val="22"/>
                <w:lang w:val="pt-BR"/>
              </w:rPr>
              <w:t>os manuais /diretrizes para professores sobre a importância do Estado de Direito, em Parceria com a UNESCO-OREALC.</w:t>
            </w:r>
          </w:p>
        </w:tc>
        <w:tc>
          <w:tcPr>
            <w:tcW w:w="2901" w:type="dxa"/>
            <w:gridSpan w:val="2"/>
            <w:tcBorders>
              <w:top w:val="nil"/>
              <w:left w:val="nil"/>
              <w:bottom w:val="single" w:sz="4" w:space="0" w:color="auto"/>
              <w:right w:val="single" w:sz="4" w:space="0" w:color="auto"/>
            </w:tcBorders>
            <w:hideMark/>
          </w:tcPr>
          <w:p w:rsidR="00910C92" w:rsidRPr="00D174BB" w:rsidRDefault="00200D85" w:rsidP="00200D85">
            <w:pPr>
              <w:rPr>
                <w:color w:val="000000" w:themeColor="text1"/>
                <w:sz w:val="22"/>
                <w:szCs w:val="22"/>
                <w:lang w:val="pt-BR"/>
              </w:rPr>
            </w:pPr>
            <w:r w:rsidRPr="00D174BB">
              <w:rPr>
                <w:b/>
                <w:color w:val="000000" w:themeColor="text1"/>
                <w:sz w:val="22"/>
                <w:szCs w:val="22"/>
                <w:lang w:val="pt-BR"/>
              </w:rPr>
              <w:t>Externamente</w:t>
            </w:r>
            <w:r w:rsidRPr="00D174BB">
              <w:rPr>
                <w:color w:val="000000" w:themeColor="text1"/>
                <w:sz w:val="22"/>
                <w:szCs w:val="22"/>
                <w:lang w:val="pt-BR"/>
              </w:rPr>
              <w:t>: Escritório Regional da UNESCO para a América Latina e o Caribe e grupos de trabalho da CIE</w:t>
            </w:r>
          </w:p>
        </w:tc>
        <w:tc>
          <w:tcPr>
            <w:tcW w:w="2701" w:type="dxa"/>
            <w:gridSpan w:val="2"/>
            <w:tcBorders>
              <w:top w:val="nil"/>
              <w:left w:val="nil"/>
              <w:bottom w:val="single" w:sz="4" w:space="0" w:color="auto"/>
              <w:right w:val="single" w:sz="4" w:space="0" w:color="auto"/>
            </w:tcBorders>
            <w:shd w:val="clear" w:color="auto" w:fill="FFFF00"/>
            <w:hideMark/>
          </w:tcPr>
          <w:p w:rsidR="00910C92" w:rsidRPr="00D174BB" w:rsidRDefault="00200D85" w:rsidP="00200D85">
            <w:pPr>
              <w:rPr>
                <w:color w:val="000000" w:themeColor="text1"/>
                <w:sz w:val="22"/>
                <w:szCs w:val="22"/>
                <w:lang w:val="pt-BR"/>
              </w:rPr>
            </w:pPr>
            <w:r w:rsidRPr="00D174BB">
              <w:rPr>
                <w:b/>
                <w:color w:val="000000" w:themeColor="text1"/>
                <w:sz w:val="22"/>
                <w:szCs w:val="22"/>
                <w:lang w:val="pt-BR"/>
              </w:rPr>
              <w:t>Intercâmbio de conhecimento e boas práticas</w:t>
            </w:r>
            <w:r w:rsidRPr="00D174BB">
              <w:rPr>
                <w:color w:val="000000" w:themeColor="text1"/>
                <w:sz w:val="22"/>
                <w:szCs w:val="22"/>
                <w:lang w:val="pt-BR"/>
              </w:rPr>
              <w:t>: Sistematização de experiências implementadas</w:t>
            </w:r>
          </w:p>
        </w:tc>
      </w:tr>
    </w:tbl>
    <w:p w:rsidR="00910C92" w:rsidRPr="00D174BB" w:rsidRDefault="00910C92" w:rsidP="00910C92">
      <w:pPr>
        <w:rPr>
          <w:b/>
          <w:color w:val="000000" w:themeColor="text1"/>
          <w:sz w:val="22"/>
          <w:szCs w:val="22"/>
          <w:u w:val="single"/>
          <w:lang w:val="pt-BR"/>
        </w:rPr>
      </w:pPr>
    </w:p>
    <w:tbl>
      <w:tblPr>
        <w:tblW w:w="14818" w:type="dxa"/>
        <w:tblInd w:w="113" w:type="dxa"/>
        <w:tblLayout w:type="fixed"/>
        <w:tblLook w:val="04A0" w:firstRow="1" w:lastRow="0" w:firstColumn="1" w:lastColumn="0" w:noHBand="0" w:noVBand="1"/>
      </w:tblPr>
      <w:tblGrid>
        <w:gridCol w:w="3049"/>
        <w:gridCol w:w="3426"/>
        <w:gridCol w:w="2880"/>
        <w:gridCol w:w="2800"/>
        <w:gridCol w:w="2663"/>
      </w:tblGrid>
      <w:tr w:rsidR="00910C92" w:rsidRPr="00D174BB" w:rsidTr="00364B51">
        <w:trPr>
          <w:trHeight w:val="350"/>
        </w:trPr>
        <w:tc>
          <w:tcPr>
            <w:tcW w:w="1481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10C92" w:rsidRPr="00D174BB" w:rsidRDefault="00910C92">
            <w:pPr>
              <w:rPr>
                <w:b/>
                <w:bCs/>
                <w:color w:val="000000" w:themeColor="text1"/>
                <w:sz w:val="22"/>
                <w:szCs w:val="22"/>
                <w:lang w:val="pt-BR"/>
              </w:rPr>
            </w:pPr>
            <w:r w:rsidRPr="00D174BB">
              <w:rPr>
                <w:b/>
                <w:color w:val="000000" w:themeColor="text1"/>
                <w:sz w:val="22"/>
                <w:szCs w:val="22"/>
                <w:u w:val="single"/>
                <w:lang w:val="pt-BR"/>
              </w:rPr>
              <w:br w:type="page"/>
            </w:r>
            <w:r w:rsidR="00200D85" w:rsidRPr="00D174BB">
              <w:rPr>
                <w:b/>
                <w:bCs/>
                <w:color w:val="000000" w:themeColor="text1"/>
                <w:sz w:val="22"/>
                <w:szCs w:val="22"/>
                <w:lang w:val="pt-BR"/>
              </w:rPr>
              <w:t>Educação – Professores</w:t>
            </w:r>
          </w:p>
        </w:tc>
      </w:tr>
      <w:tr w:rsidR="00910C92" w:rsidRPr="002A41AB" w:rsidTr="00364B51">
        <w:trPr>
          <w:trHeight w:val="1283"/>
        </w:trPr>
        <w:tc>
          <w:tcPr>
            <w:tcW w:w="3049" w:type="dxa"/>
            <w:vMerge w:val="restart"/>
            <w:tcBorders>
              <w:top w:val="nil"/>
              <w:left w:val="single" w:sz="4" w:space="0" w:color="auto"/>
              <w:bottom w:val="single" w:sz="4" w:space="0" w:color="auto"/>
              <w:right w:val="single" w:sz="4" w:space="0" w:color="auto"/>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Rede Interamericana de Educação Docente (RIED)</w:t>
            </w:r>
            <w:r w:rsidRPr="00D174BB">
              <w:rPr>
                <w:b/>
                <w:bCs/>
                <w:color w:val="000000" w:themeColor="text1"/>
                <w:sz w:val="22"/>
                <w:szCs w:val="22"/>
                <w:lang w:val="pt-BR"/>
              </w:rPr>
              <w:br/>
            </w:r>
            <w:r w:rsidRPr="00D174BB">
              <w:rPr>
                <w:b/>
                <w:bCs/>
                <w:color w:val="000000" w:themeColor="text1"/>
                <w:sz w:val="22"/>
                <w:szCs w:val="22"/>
                <w:lang w:val="pt-BR"/>
              </w:rPr>
              <w:br/>
              <w:t>Equipes de projeto</w:t>
            </w:r>
            <w:r w:rsidRPr="00D174BB">
              <w:rPr>
                <w:b/>
                <w:bCs/>
                <w:color w:val="000000" w:themeColor="text1"/>
                <w:sz w:val="22"/>
                <w:szCs w:val="22"/>
                <w:lang w:val="pt-BR"/>
              </w:rPr>
              <w:br/>
              <w:t xml:space="preserve">Bolsas de estudo para professores </w:t>
            </w:r>
            <w:r w:rsidRPr="00D174BB">
              <w:rPr>
                <w:b/>
                <w:bCs/>
                <w:color w:val="000000" w:themeColor="text1"/>
                <w:sz w:val="22"/>
                <w:szCs w:val="22"/>
                <w:lang w:val="pt-BR"/>
              </w:rPr>
              <w:br/>
              <w:t xml:space="preserve">Seminário anual </w:t>
            </w:r>
            <w:r w:rsidRPr="00D174BB">
              <w:rPr>
                <w:b/>
                <w:bCs/>
                <w:color w:val="000000" w:themeColor="text1"/>
                <w:sz w:val="22"/>
                <w:szCs w:val="22"/>
                <w:lang w:val="pt-BR"/>
              </w:rPr>
              <w:br/>
              <w:t xml:space="preserve">Intercâmbio de cooperação </w:t>
            </w:r>
            <w:r w:rsidRPr="00D174BB">
              <w:rPr>
                <w:b/>
                <w:bCs/>
                <w:color w:val="000000" w:themeColor="text1"/>
                <w:sz w:val="22"/>
                <w:szCs w:val="22"/>
                <w:lang w:val="pt-BR"/>
              </w:rPr>
              <w:br/>
              <w:t>Subsídio inicial</w:t>
            </w:r>
          </w:p>
        </w:tc>
        <w:tc>
          <w:tcPr>
            <w:tcW w:w="3426" w:type="dxa"/>
            <w:vMerge w:val="restart"/>
            <w:tcBorders>
              <w:top w:val="nil"/>
              <w:left w:val="single" w:sz="4" w:space="0" w:color="auto"/>
              <w:bottom w:val="single" w:sz="4" w:space="0" w:color="auto"/>
              <w:right w:val="single" w:sz="4" w:space="0" w:color="auto"/>
            </w:tcBorders>
            <w:hideMark/>
          </w:tcPr>
          <w:p w:rsidR="00910C92" w:rsidRPr="00D174BB" w:rsidRDefault="00910C92" w:rsidP="00364B51">
            <w:pPr>
              <w:rPr>
                <w:color w:val="000000" w:themeColor="text1"/>
                <w:sz w:val="22"/>
                <w:szCs w:val="22"/>
                <w:lang w:val="pt-BR"/>
              </w:rPr>
            </w:pPr>
            <w:r w:rsidRPr="00D174BB">
              <w:rPr>
                <w:color w:val="000000" w:themeColor="text1"/>
                <w:sz w:val="22"/>
                <w:szCs w:val="22"/>
                <w:lang w:val="pt-BR"/>
              </w:rPr>
              <w:t xml:space="preserve">O treinamento de professores em </w:t>
            </w:r>
            <w:r w:rsidR="00200D85" w:rsidRPr="00D174BB">
              <w:rPr>
                <w:color w:val="000000" w:themeColor="text1"/>
                <w:sz w:val="22"/>
                <w:szCs w:val="22"/>
                <w:lang w:val="pt-BR"/>
              </w:rPr>
              <w:t>ciência, tecnologia, engenharia e matemática (</w:t>
            </w:r>
            <w:r w:rsidRPr="00D174BB">
              <w:rPr>
                <w:color w:val="000000" w:themeColor="text1"/>
                <w:sz w:val="22"/>
                <w:szCs w:val="22"/>
                <w:lang w:val="pt-BR"/>
              </w:rPr>
              <w:t>STEM</w:t>
            </w:r>
            <w:r w:rsidR="00200D85" w:rsidRPr="00D174BB">
              <w:rPr>
                <w:color w:val="000000" w:themeColor="text1"/>
                <w:sz w:val="22"/>
                <w:szCs w:val="22"/>
                <w:lang w:val="pt-BR"/>
              </w:rPr>
              <w:t>)</w:t>
            </w:r>
            <w:r w:rsidRPr="00D174BB">
              <w:rPr>
                <w:color w:val="000000" w:themeColor="text1"/>
                <w:sz w:val="22"/>
                <w:szCs w:val="22"/>
                <w:lang w:val="pt-BR"/>
              </w:rPr>
              <w:t xml:space="preserve"> incentiva a promoção do Estado de Direito e, desse modo, contribui para o desenvolvimento de resiliência nos sistemas de educação.</w:t>
            </w:r>
            <w:r w:rsidRPr="00D174BB">
              <w:rPr>
                <w:color w:val="000000" w:themeColor="text1"/>
                <w:sz w:val="22"/>
                <w:szCs w:val="22"/>
                <w:lang w:val="pt-BR"/>
              </w:rPr>
              <w:br/>
            </w:r>
            <w:r w:rsidRPr="00D174BB">
              <w:rPr>
                <w:color w:val="000000" w:themeColor="text1"/>
                <w:sz w:val="22"/>
                <w:szCs w:val="22"/>
                <w:lang w:val="pt-BR"/>
              </w:rPr>
              <w:br/>
              <w:t xml:space="preserve">Apoio </w:t>
            </w:r>
            <w:r w:rsidR="002029CD" w:rsidRPr="00D174BB">
              <w:rPr>
                <w:color w:val="000000" w:themeColor="text1"/>
                <w:sz w:val="22"/>
                <w:szCs w:val="22"/>
                <w:lang w:val="pt-BR"/>
              </w:rPr>
              <w:t xml:space="preserve">ao ensino </w:t>
            </w:r>
            <w:r w:rsidRPr="00D174BB">
              <w:rPr>
                <w:color w:val="000000" w:themeColor="text1"/>
                <w:sz w:val="22"/>
                <w:szCs w:val="22"/>
                <w:lang w:val="pt-BR"/>
              </w:rPr>
              <w:t>de STEM para promover o pensamento crítico e inovador</w:t>
            </w:r>
            <w:r w:rsidR="002029CD" w:rsidRPr="00D174BB">
              <w:rPr>
                <w:color w:val="000000" w:themeColor="text1"/>
                <w:sz w:val="22"/>
                <w:szCs w:val="22"/>
                <w:lang w:val="pt-BR"/>
              </w:rPr>
              <w:t>, a fim de responder</w:t>
            </w:r>
            <w:r w:rsidRPr="00D174BB">
              <w:rPr>
                <w:color w:val="000000" w:themeColor="text1"/>
                <w:sz w:val="22"/>
                <w:szCs w:val="22"/>
                <w:lang w:val="pt-BR"/>
              </w:rPr>
              <w:t xml:space="preserve"> às questões emergentes relacionadas a energia e resiliência climática. </w:t>
            </w:r>
            <w:r w:rsidRPr="00D174BB">
              <w:rPr>
                <w:color w:val="000000" w:themeColor="text1"/>
                <w:sz w:val="22"/>
                <w:szCs w:val="22"/>
                <w:lang w:val="pt-BR"/>
              </w:rPr>
              <w:br/>
            </w:r>
            <w:r w:rsidRPr="00D174BB">
              <w:rPr>
                <w:color w:val="000000" w:themeColor="text1"/>
                <w:sz w:val="22"/>
                <w:szCs w:val="22"/>
                <w:lang w:val="pt-BR"/>
              </w:rPr>
              <w:br/>
              <w:t xml:space="preserve">Apoio </w:t>
            </w:r>
            <w:r w:rsidR="002029CD" w:rsidRPr="00D174BB">
              <w:rPr>
                <w:color w:val="000000" w:themeColor="text1"/>
                <w:sz w:val="22"/>
                <w:szCs w:val="22"/>
                <w:lang w:val="pt-BR"/>
              </w:rPr>
              <w:t>a</w:t>
            </w:r>
            <w:r w:rsidRPr="00D174BB">
              <w:rPr>
                <w:color w:val="000000" w:themeColor="text1"/>
                <w:sz w:val="22"/>
                <w:szCs w:val="22"/>
                <w:lang w:val="pt-BR"/>
              </w:rPr>
              <w:t xml:space="preserve">os aspectos </w:t>
            </w:r>
            <w:r w:rsidR="002029CD" w:rsidRPr="00D174BB">
              <w:rPr>
                <w:color w:val="000000" w:themeColor="text1"/>
                <w:sz w:val="22"/>
                <w:szCs w:val="22"/>
                <w:lang w:val="pt-BR"/>
              </w:rPr>
              <w:t xml:space="preserve">específicos de cada disciplina e </w:t>
            </w:r>
            <w:r w:rsidRPr="00D174BB">
              <w:rPr>
                <w:color w:val="000000" w:themeColor="text1"/>
                <w:sz w:val="22"/>
                <w:szCs w:val="22"/>
                <w:lang w:val="pt-BR"/>
              </w:rPr>
              <w:t>interdisciplinares da educação docente</w:t>
            </w:r>
            <w:r w:rsidR="002029CD" w:rsidRPr="00D174BB">
              <w:rPr>
                <w:color w:val="000000" w:themeColor="text1"/>
                <w:sz w:val="22"/>
                <w:szCs w:val="22"/>
                <w:lang w:val="pt-BR"/>
              </w:rPr>
              <w:t xml:space="preserve"> em STEM</w:t>
            </w:r>
            <w:r w:rsidRPr="00D174BB">
              <w:rPr>
                <w:color w:val="000000" w:themeColor="text1"/>
                <w:sz w:val="22"/>
                <w:szCs w:val="22"/>
                <w:lang w:val="pt-BR"/>
              </w:rPr>
              <w:t xml:space="preserve">, que </w:t>
            </w:r>
            <w:r w:rsidR="002029CD" w:rsidRPr="00D174BB">
              <w:rPr>
                <w:color w:val="000000" w:themeColor="text1"/>
                <w:sz w:val="22"/>
                <w:szCs w:val="22"/>
                <w:lang w:val="pt-BR"/>
              </w:rPr>
              <w:t>constituem</w:t>
            </w:r>
            <w:r w:rsidRPr="00D174BB">
              <w:rPr>
                <w:color w:val="000000" w:themeColor="text1"/>
                <w:sz w:val="22"/>
                <w:szCs w:val="22"/>
                <w:lang w:val="pt-BR"/>
              </w:rPr>
              <w:t xml:space="preserve"> competências </w:t>
            </w:r>
            <w:r w:rsidR="002029CD" w:rsidRPr="00D174BB">
              <w:rPr>
                <w:color w:val="000000" w:themeColor="text1"/>
                <w:sz w:val="22"/>
                <w:szCs w:val="22"/>
                <w:lang w:val="pt-BR"/>
              </w:rPr>
              <w:t>básicas</w:t>
            </w:r>
            <w:r w:rsidRPr="00D174BB">
              <w:rPr>
                <w:color w:val="000000" w:themeColor="text1"/>
                <w:sz w:val="22"/>
                <w:szCs w:val="22"/>
                <w:lang w:val="pt-BR"/>
              </w:rPr>
              <w:t xml:space="preserve"> para as economias e as forças de trabalho inovadoras e competitivas.</w:t>
            </w:r>
          </w:p>
        </w:tc>
        <w:tc>
          <w:tcPr>
            <w:tcW w:w="288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Os Ministérios da Educação aumentaram a oferta de desenvolvimento profissional de qualidade em STEM aos professores.</w:t>
            </w:r>
          </w:p>
        </w:tc>
        <w:tc>
          <w:tcPr>
            <w:tcW w:w="2800" w:type="dxa"/>
            <w:vMerge w:val="restart"/>
            <w:tcBorders>
              <w:top w:val="nil"/>
              <w:left w:val="single" w:sz="4" w:space="0" w:color="auto"/>
              <w:bottom w:val="single" w:sz="4" w:space="0" w:color="auto"/>
              <w:right w:val="single" w:sz="4" w:space="0" w:color="auto"/>
            </w:tcBorders>
            <w:hideMark/>
          </w:tcPr>
          <w:p w:rsidR="00910C92" w:rsidRPr="00D174BB" w:rsidRDefault="00910C92" w:rsidP="002029CD">
            <w:pPr>
              <w:rPr>
                <w:color w:val="000000" w:themeColor="text1"/>
                <w:sz w:val="22"/>
                <w:szCs w:val="22"/>
                <w:lang w:val="pt-BR"/>
              </w:rPr>
            </w:pPr>
            <w:r w:rsidRPr="00D174BB">
              <w:rPr>
                <w:b/>
                <w:bCs/>
                <w:color w:val="000000" w:themeColor="text1"/>
                <w:sz w:val="22"/>
                <w:szCs w:val="22"/>
                <w:lang w:val="pt-BR"/>
              </w:rPr>
              <w:t>Internamente:</w:t>
            </w:r>
            <w:r w:rsidRPr="00D174BB">
              <w:rPr>
                <w:color w:val="000000" w:themeColor="text1"/>
                <w:sz w:val="22"/>
                <w:szCs w:val="22"/>
                <w:lang w:val="pt-BR"/>
              </w:rPr>
              <w:t xml:space="preserve"> Portal das Américas (</w:t>
            </w:r>
            <w:r w:rsidR="002029CD" w:rsidRPr="00D174BB">
              <w:rPr>
                <w:color w:val="000000" w:themeColor="text1"/>
                <w:sz w:val="22"/>
                <w:szCs w:val="22"/>
                <w:lang w:val="pt-BR"/>
              </w:rPr>
              <w:t xml:space="preserve">Cursos online em massa e abertos – </w:t>
            </w:r>
            <w:r w:rsidRPr="00D174BB">
              <w:rPr>
                <w:color w:val="000000" w:themeColor="text1"/>
                <w:sz w:val="22"/>
                <w:szCs w:val="22"/>
                <w:lang w:val="pt-BR"/>
              </w:rPr>
              <w:t>MOOC), CIE.</w:t>
            </w:r>
            <w:r w:rsidRPr="00D174BB">
              <w:rPr>
                <w:b/>
                <w:bCs/>
                <w:color w:val="000000" w:themeColor="text1"/>
                <w:sz w:val="22"/>
                <w:szCs w:val="22"/>
                <w:lang w:val="pt-BR"/>
              </w:rPr>
              <w:br/>
            </w:r>
            <w:r w:rsidRPr="00D174BB">
              <w:rPr>
                <w:b/>
                <w:bCs/>
                <w:color w:val="000000" w:themeColor="text1"/>
                <w:sz w:val="22"/>
                <w:szCs w:val="22"/>
                <w:lang w:val="pt-BR"/>
              </w:rPr>
              <w:br/>
              <w:t>Externamente:</w:t>
            </w:r>
            <w:r w:rsidRPr="00D174BB">
              <w:rPr>
                <w:color w:val="000000" w:themeColor="text1"/>
                <w:sz w:val="22"/>
                <w:szCs w:val="22"/>
                <w:lang w:val="pt-BR"/>
              </w:rPr>
              <w:t xml:space="preserve"> Centro Internacional de Física Teórica</w:t>
            </w:r>
            <w:r w:rsidR="002029CD" w:rsidRPr="00D174BB">
              <w:rPr>
                <w:color w:val="000000" w:themeColor="text1"/>
                <w:sz w:val="22"/>
                <w:szCs w:val="22"/>
                <w:lang w:val="pt-BR"/>
              </w:rPr>
              <w:t>; Escritório Regional da UNESCO para América Latina e Caribe; Projeto de</w:t>
            </w:r>
            <w:r w:rsidRPr="00D174BB">
              <w:rPr>
                <w:color w:val="000000" w:themeColor="text1"/>
                <w:sz w:val="22"/>
                <w:szCs w:val="22"/>
                <w:lang w:val="pt-BR"/>
              </w:rPr>
              <w:t xml:space="preserve"> </w:t>
            </w:r>
            <w:r w:rsidR="002029CD" w:rsidRPr="00D174BB">
              <w:rPr>
                <w:color w:val="000000" w:themeColor="text1"/>
                <w:sz w:val="22"/>
                <w:szCs w:val="22"/>
                <w:lang w:val="pt-BR"/>
              </w:rPr>
              <w:t xml:space="preserve">Simulações Interativas para o Ensino de Física da </w:t>
            </w:r>
            <w:r w:rsidRPr="00D174BB">
              <w:rPr>
                <w:color w:val="000000" w:themeColor="text1"/>
                <w:sz w:val="22"/>
                <w:szCs w:val="22"/>
                <w:lang w:val="pt-BR"/>
              </w:rPr>
              <w:t>Universidade do Colorado em Boulder</w:t>
            </w:r>
            <w:r w:rsidR="002029CD" w:rsidRPr="00D174BB">
              <w:rPr>
                <w:color w:val="000000" w:themeColor="text1"/>
                <w:sz w:val="22"/>
                <w:szCs w:val="22"/>
                <w:lang w:val="pt-BR"/>
              </w:rPr>
              <w:t>;</w:t>
            </w:r>
            <w:r w:rsidRPr="00D174BB">
              <w:rPr>
                <w:color w:val="000000" w:themeColor="text1"/>
                <w:sz w:val="22"/>
                <w:szCs w:val="22"/>
                <w:lang w:val="pt-BR"/>
              </w:rPr>
              <w:t xml:space="preserve"> </w:t>
            </w:r>
            <w:r w:rsidRPr="00D174BB">
              <w:rPr>
                <w:i/>
                <w:color w:val="000000" w:themeColor="text1"/>
                <w:sz w:val="22"/>
                <w:szCs w:val="22"/>
                <w:lang w:val="pt-BR"/>
              </w:rPr>
              <w:t>Dinámica</w:t>
            </w:r>
            <w:r w:rsidRPr="00D174BB">
              <w:rPr>
                <w:color w:val="000000" w:themeColor="text1"/>
                <w:sz w:val="22"/>
                <w:szCs w:val="22"/>
                <w:lang w:val="pt-BR"/>
              </w:rPr>
              <w:t xml:space="preserve"> (Centro de Educação Docente no Peru).</w:t>
            </w:r>
          </w:p>
        </w:tc>
        <w:tc>
          <w:tcPr>
            <w:tcW w:w="2663" w:type="dxa"/>
            <w:vMerge w:val="restart"/>
            <w:tcBorders>
              <w:top w:val="nil"/>
              <w:left w:val="single" w:sz="4" w:space="0" w:color="auto"/>
              <w:bottom w:val="single" w:sz="4" w:space="0" w:color="auto"/>
              <w:right w:val="single" w:sz="4" w:space="0" w:color="auto"/>
            </w:tcBorders>
            <w:shd w:val="clear" w:color="auto" w:fill="FFFF00"/>
            <w:hideMark/>
          </w:tcPr>
          <w:p w:rsidR="00910C92" w:rsidRPr="00D174BB" w:rsidRDefault="00910C92" w:rsidP="002029CD">
            <w:pPr>
              <w:rPr>
                <w:color w:val="000000" w:themeColor="text1"/>
                <w:sz w:val="22"/>
                <w:szCs w:val="22"/>
                <w:lang w:val="pt-BR"/>
              </w:rPr>
            </w:pPr>
            <w:r w:rsidRPr="00D174BB">
              <w:rPr>
                <w:b/>
                <w:bCs/>
                <w:color w:val="000000" w:themeColor="text1"/>
                <w:sz w:val="22"/>
                <w:szCs w:val="22"/>
                <w:lang w:val="pt-BR"/>
              </w:rPr>
              <w:t xml:space="preserve">Fortalecimento das competências docentes: </w:t>
            </w:r>
            <w:r w:rsidRPr="00D174BB">
              <w:rPr>
                <w:bCs/>
                <w:color w:val="000000" w:themeColor="text1"/>
                <w:sz w:val="22"/>
                <w:szCs w:val="22"/>
                <w:lang w:val="pt-BR"/>
              </w:rPr>
              <w:t>a</w:t>
            </w:r>
            <w:r w:rsidRPr="00D174BB">
              <w:rPr>
                <w:b/>
                <w:bCs/>
                <w:color w:val="000000" w:themeColor="text1"/>
                <w:sz w:val="22"/>
                <w:szCs w:val="22"/>
                <w:lang w:val="pt-BR"/>
              </w:rPr>
              <w:t xml:space="preserve"> </w:t>
            </w:r>
            <w:r w:rsidRPr="00D174BB">
              <w:rPr>
                <w:color w:val="000000" w:themeColor="text1"/>
                <w:sz w:val="22"/>
                <w:szCs w:val="22"/>
                <w:lang w:val="pt-BR"/>
              </w:rPr>
              <w:t xml:space="preserve">RIED realizará </w:t>
            </w:r>
            <w:r w:rsidR="002029CD" w:rsidRPr="00D174BB">
              <w:rPr>
                <w:color w:val="000000" w:themeColor="text1"/>
                <w:sz w:val="22"/>
                <w:szCs w:val="22"/>
                <w:lang w:val="pt-BR"/>
              </w:rPr>
              <w:t xml:space="preserve">um ciclo de seminários </w:t>
            </w:r>
            <w:r w:rsidRPr="00D174BB">
              <w:rPr>
                <w:color w:val="000000" w:themeColor="text1"/>
                <w:sz w:val="22"/>
                <w:szCs w:val="22"/>
                <w:lang w:val="pt-BR"/>
              </w:rPr>
              <w:t>web sobre ferramentas, recursos e estratégias para o ensino de STEM no contexto da quarentena.</w:t>
            </w:r>
          </w:p>
        </w:tc>
      </w:tr>
      <w:tr w:rsidR="00910C92" w:rsidRPr="002A41AB" w:rsidTr="00364B51">
        <w:trPr>
          <w:trHeight w:val="1943"/>
        </w:trPr>
        <w:tc>
          <w:tcPr>
            <w:tcW w:w="304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b/>
                <w:bCs/>
                <w:color w:val="000000" w:themeColor="text1"/>
                <w:sz w:val="22"/>
                <w:szCs w:val="22"/>
                <w:lang w:val="pt-BR"/>
              </w:rPr>
            </w:pPr>
          </w:p>
        </w:tc>
        <w:tc>
          <w:tcPr>
            <w:tcW w:w="3426"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80" w:type="dxa"/>
            <w:tcBorders>
              <w:top w:val="nil"/>
              <w:left w:val="nil"/>
              <w:bottom w:val="single" w:sz="4" w:space="0" w:color="auto"/>
              <w:right w:val="single" w:sz="4" w:space="0" w:color="auto"/>
            </w:tcBorders>
            <w:vAlign w:val="center"/>
            <w:hideMark/>
          </w:tcPr>
          <w:p w:rsidR="00910C92" w:rsidRPr="00D174BB" w:rsidRDefault="002029CD" w:rsidP="002029CD">
            <w:pPr>
              <w:rPr>
                <w:color w:val="000000" w:themeColor="text1"/>
                <w:sz w:val="22"/>
                <w:szCs w:val="22"/>
                <w:lang w:val="pt-BR"/>
              </w:rPr>
            </w:pPr>
            <w:r w:rsidRPr="00D174BB">
              <w:rPr>
                <w:color w:val="000000" w:themeColor="text1"/>
                <w:sz w:val="22"/>
                <w:szCs w:val="22"/>
                <w:lang w:val="pt-BR"/>
              </w:rPr>
              <w:t>Aumento da</w:t>
            </w:r>
            <w:r w:rsidR="00910C92" w:rsidRPr="00D174BB">
              <w:rPr>
                <w:color w:val="000000" w:themeColor="text1"/>
                <w:sz w:val="22"/>
                <w:szCs w:val="22"/>
                <w:lang w:val="pt-BR"/>
              </w:rPr>
              <w:t xml:space="preserve"> liderança </w:t>
            </w:r>
            <w:r w:rsidRPr="00D174BB">
              <w:rPr>
                <w:color w:val="000000" w:themeColor="text1"/>
                <w:sz w:val="22"/>
                <w:szCs w:val="22"/>
                <w:lang w:val="pt-BR"/>
              </w:rPr>
              <w:t>compartilhada na educação e</w:t>
            </w:r>
            <w:r w:rsidR="00910C92" w:rsidRPr="00D174BB">
              <w:rPr>
                <w:color w:val="000000" w:themeColor="text1"/>
                <w:sz w:val="22"/>
                <w:szCs w:val="22"/>
                <w:lang w:val="pt-BR"/>
              </w:rPr>
              <w:t xml:space="preserve">m toda a região, mediante parcerias entre </w:t>
            </w:r>
            <w:r w:rsidRPr="00D174BB">
              <w:rPr>
                <w:color w:val="000000" w:themeColor="text1"/>
                <w:sz w:val="22"/>
                <w:szCs w:val="22"/>
                <w:lang w:val="pt-BR"/>
              </w:rPr>
              <w:t>m</w:t>
            </w:r>
            <w:r w:rsidR="00910C92" w:rsidRPr="00D174BB">
              <w:rPr>
                <w:color w:val="000000" w:themeColor="text1"/>
                <w:sz w:val="22"/>
                <w:szCs w:val="22"/>
                <w:lang w:val="pt-BR"/>
              </w:rPr>
              <w:t>inistérios</w:t>
            </w:r>
            <w:r w:rsidRPr="00D174BB">
              <w:rPr>
                <w:color w:val="000000" w:themeColor="text1"/>
                <w:sz w:val="22"/>
                <w:szCs w:val="22"/>
                <w:lang w:val="pt-BR"/>
              </w:rPr>
              <w:t>,</w:t>
            </w:r>
            <w:r w:rsidR="00910C92" w:rsidRPr="00D174BB">
              <w:rPr>
                <w:color w:val="000000" w:themeColor="text1"/>
                <w:sz w:val="22"/>
                <w:szCs w:val="22"/>
                <w:lang w:val="pt-BR"/>
              </w:rPr>
              <w:t xml:space="preserve"> representantes institucionais e professores </w:t>
            </w:r>
            <w:r w:rsidRPr="00D174BB">
              <w:rPr>
                <w:color w:val="000000" w:themeColor="text1"/>
                <w:sz w:val="22"/>
                <w:szCs w:val="22"/>
                <w:lang w:val="pt-BR"/>
              </w:rPr>
              <w:t xml:space="preserve">destacados </w:t>
            </w:r>
            <w:r w:rsidR="00910C92" w:rsidRPr="00D174BB">
              <w:rPr>
                <w:color w:val="000000" w:themeColor="text1"/>
                <w:sz w:val="22"/>
                <w:szCs w:val="22"/>
                <w:lang w:val="pt-BR"/>
              </w:rPr>
              <w:t>para responder às questões emergentes na educação docente.</w:t>
            </w:r>
          </w:p>
        </w:tc>
        <w:tc>
          <w:tcPr>
            <w:tcW w:w="280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63"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364B51">
        <w:trPr>
          <w:trHeight w:val="788"/>
        </w:trPr>
        <w:tc>
          <w:tcPr>
            <w:tcW w:w="304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b/>
                <w:bCs/>
                <w:color w:val="000000" w:themeColor="text1"/>
                <w:sz w:val="22"/>
                <w:szCs w:val="22"/>
                <w:lang w:val="pt-BR"/>
              </w:rPr>
            </w:pPr>
          </w:p>
        </w:tc>
        <w:tc>
          <w:tcPr>
            <w:tcW w:w="3426"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80" w:type="dxa"/>
            <w:vMerge w:val="restart"/>
            <w:tcBorders>
              <w:top w:val="nil"/>
              <w:left w:val="single" w:sz="4" w:space="0" w:color="auto"/>
              <w:bottom w:val="single" w:sz="4" w:space="0" w:color="auto"/>
              <w:right w:val="single" w:sz="4" w:space="0" w:color="auto"/>
            </w:tcBorders>
            <w:hideMark/>
          </w:tcPr>
          <w:p w:rsidR="00910C92" w:rsidRPr="00D174BB" w:rsidRDefault="002029CD" w:rsidP="002029CD">
            <w:pPr>
              <w:rPr>
                <w:color w:val="000000" w:themeColor="text1"/>
                <w:sz w:val="22"/>
                <w:szCs w:val="22"/>
                <w:lang w:val="pt-BR"/>
              </w:rPr>
            </w:pPr>
            <w:r w:rsidRPr="00D174BB">
              <w:rPr>
                <w:color w:val="000000" w:themeColor="text1"/>
                <w:sz w:val="22"/>
                <w:szCs w:val="22"/>
                <w:lang w:val="pt-BR"/>
              </w:rPr>
              <w:t>E</w:t>
            </w:r>
            <w:r w:rsidR="00910C92" w:rsidRPr="00D174BB">
              <w:rPr>
                <w:color w:val="000000" w:themeColor="text1"/>
                <w:sz w:val="22"/>
                <w:szCs w:val="22"/>
                <w:lang w:val="pt-BR"/>
              </w:rPr>
              <w:t>stratégias para ajudar as mulheres a superar</w:t>
            </w:r>
            <w:r w:rsidRPr="00D174BB">
              <w:rPr>
                <w:color w:val="000000" w:themeColor="text1"/>
                <w:sz w:val="22"/>
                <w:szCs w:val="22"/>
                <w:lang w:val="pt-BR"/>
              </w:rPr>
              <w:t>em</w:t>
            </w:r>
            <w:r w:rsidR="00910C92" w:rsidRPr="00D174BB">
              <w:rPr>
                <w:color w:val="000000" w:themeColor="text1"/>
                <w:sz w:val="22"/>
                <w:szCs w:val="22"/>
                <w:lang w:val="pt-BR"/>
              </w:rPr>
              <w:t xml:space="preserve"> os obstáculos comuns </w:t>
            </w:r>
            <w:r w:rsidRPr="00D174BB">
              <w:rPr>
                <w:color w:val="000000" w:themeColor="text1"/>
                <w:sz w:val="22"/>
                <w:szCs w:val="22"/>
                <w:lang w:val="pt-BR"/>
              </w:rPr>
              <w:t>no ensino</w:t>
            </w:r>
            <w:r w:rsidR="00910C92" w:rsidRPr="00D174BB">
              <w:rPr>
                <w:color w:val="000000" w:themeColor="text1"/>
                <w:sz w:val="22"/>
                <w:szCs w:val="22"/>
                <w:lang w:val="pt-BR"/>
              </w:rPr>
              <w:t xml:space="preserve"> de STEM.</w:t>
            </w:r>
          </w:p>
        </w:tc>
        <w:tc>
          <w:tcPr>
            <w:tcW w:w="280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63"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364B51">
        <w:trPr>
          <w:trHeight w:val="278"/>
        </w:trPr>
        <w:tc>
          <w:tcPr>
            <w:tcW w:w="304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b/>
                <w:bCs/>
                <w:color w:val="000000" w:themeColor="text1"/>
                <w:sz w:val="22"/>
                <w:szCs w:val="22"/>
                <w:lang w:val="pt-BR"/>
              </w:rPr>
            </w:pPr>
          </w:p>
        </w:tc>
        <w:tc>
          <w:tcPr>
            <w:tcW w:w="3426"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8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63"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70E69">
        <w:trPr>
          <w:trHeight w:val="431"/>
        </w:trPr>
        <w:tc>
          <w:tcPr>
            <w:tcW w:w="304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b/>
                <w:bCs/>
                <w:color w:val="000000" w:themeColor="text1"/>
                <w:sz w:val="22"/>
                <w:szCs w:val="22"/>
                <w:lang w:val="pt-BR"/>
              </w:rPr>
            </w:pPr>
          </w:p>
        </w:tc>
        <w:tc>
          <w:tcPr>
            <w:tcW w:w="3426"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8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00"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63"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364B51" w:rsidRPr="00D174BB" w:rsidTr="00070E69">
        <w:trPr>
          <w:trHeight w:val="872"/>
        </w:trPr>
        <w:tc>
          <w:tcPr>
            <w:tcW w:w="3049" w:type="dxa"/>
            <w:tcBorders>
              <w:top w:val="nil"/>
              <w:left w:val="single" w:sz="4" w:space="0" w:color="auto"/>
              <w:bottom w:val="single" w:sz="4" w:space="0" w:color="auto"/>
              <w:right w:val="single" w:sz="4" w:space="0" w:color="auto"/>
            </w:tcBorders>
            <w:shd w:val="clear" w:color="auto" w:fill="BDD6EE" w:themeFill="accent1" w:themeFillTint="66"/>
          </w:tcPr>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lastRenderedPageBreak/>
              <w:t>INICIATIVAS / ATIVIDADES</w:t>
            </w:r>
          </w:p>
        </w:tc>
        <w:tc>
          <w:tcPr>
            <w:tcW w:w="3426" w:type="dxa"/>
            <w:tcBorders>
              <w:top w:val="nil"/>
              <w:left w:val="single" w:sz="4" w:space="0" w:color="auto"/>
              <w:bottom w:val="single" w:sz="4" w:space="0" w:color="auto"/>
              <w:right w:val="single" w:sz="4" w:space="0" w:color="auto"/>
            </w:tcBorders>
            <w:shd w:val="clear" w:color="auto" w:fill="BDD6EE" w:themeFill="accent1" w:themeFillTint="66"/>
          </w:tcPr>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880" w:type="dxa"/>
            <w:tcBorders>
              <w:top w:val="nil"/>
              <w:left w:val="single" w:sz="4" w:space="0" w:color="auto"/>
              <w:bottom w:val="single" w:sz="4" w:space="0" w:color="auto"/>
              <w:right w:val="single" w:sz="4" w:space="0" w:color="auto"/>
            </w:tcBorders>
            <w:shd w:val="clear" w:color="auto" w:fill="BDD6EE" w:themeFill="accent1" w:themeFillTint="66"/>
          </w:tcPr>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800" w:type="dxa"/>
            <w:tcBorders>
              <w:top w:val="nil"/>
              <w:left w:val="single" w:sz="4" w:space="0" w:color="auto"/>
              <w:bottom w:val="single" w:sz="4" w:space="0" w:color="auto"/>
              <w:right w:val="single" w:sz="4" w:space="0" w:color="auto"/>
            </w:tcBorders>
            <w:shd w:val="clear" w:color="auto" w:fill="BDD6EE" w:themeFill="accent1" w:themeFillTint="66"/>
          </w:tcPr>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663" w:type="dxa"/>
            <w:tcBorders>
              <w:top w:val="nil"/>
              <w:left w:val="single" w:sz="4" w:space="0" w:color="auto"/>
              <w:bottom w:val="single" w:sz="4" w:space="0" w:color="auto"/>
              <w:right w:val="single" w:sz="4" w:space="0" w:color="auto"/>
            </w:tcBorders>
            <w:shd w:val="clear" w:color="auto" w:fill="FFFF00"/>
          </w:tcPr>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364B51" w:rsidRPr="00D174BB" w:rsidRDefault="00364B51" w:rsidP="000643D4">
            <w:pPr>
              <w:jc w:val="center"/>
              <w:rPr>
                <w:b/>
                <w:bCs/>
                <w:color w:val="000000" w:themeColor="text1"/>
                <w:sz w:val="22"/>
                <w:szCs w:val="22"/>
                <w:lang w:val="pt-BR"/>
              </w:rPr>
            </w:pPr>
            <w:r w:rsidRPr="00D174BB">
              <w:rPr>
                <w:b/>
                <w:bCs/>
                <w:color w:val="000000" w:themeColor="text1"/>
                <w:sz w:val="22"/>
                <w:szCs w:val="22"/>
                <w:lang w:val="pt-BR"/>
              </w:rPr>
              <w:t>COVID-19</w:t>
            </w:r>
          </w:p>
        </w:tc>
      </w:tr>
      <w:tr w:rsidR="00364B51" w:rsidRPr="002A41AB" w:rsidTr="00070E69">
        <w:trPr>
          <w:trHeight w:val="2744"/>
        </w:trPr>
        <w:tc>
          <w:tcPr>
            <w:tcW w:w="3049" w:type="dxa"/>
            <w:tcBorders>
              <w:top w:val="nil"/>
              <w:left w:val="single" w:sz="4" w:space="0" w:color="auto"/>
              <w:bottom w:val="single" w:sz="4" w:space="0" w:color="auto"/>
              <w:right w:val="single" w:sz="4" w:space="0" w:color="auto"/>
            </w:tcBorders>
          </w:tcPr>
          <w:p w:rsidR="00364B51" w:rsidRPr="00D174BB" w:rsidRDefault="00364B51" w:rsidP="00BA03CC">
            <w:pPr>
              <w:rPr>
                <w:b/>
                <w:bCs/>
                <w:color w:val="000000" w:themeColor="text1"/>
                <w:sz w:val="22"/>
                <w:szCs w:val="22"/>
                <w:lang w:val="pt-BR"/>
              </w:rPr>
            </w:pPr>
            <w:r w:rsidRPr="00D174BB">
              <w:rPr>
                <w:b/>
                <w:bCs/>
                <w:color w:val="000000" w:themeColor="text1"/>
                <w:sz w:val="22"/>
                <w:szCs w:val="22"/>
                <w:lang w:val="pt-BR"/>
              </w:rPr>
              <w:t xml:space="preserve">Portal </w:t>
            </w:r>
            <w:r w:rsidR="00BA03CC" w:rsidRPr="00D174BB">
              <w:rPr>
                <w:b/>
                <w:bCs/>
                <w:color w:val="000000" w:themeColor="text1"/>
                <w:sz w:val="22"/>
                <w:szCs w:val="22"/>
                <w:lang w:val="pt-BR"/>
              </w:rPr>
              <w:t>de Educação</w:t>
            </w:r>
            <w:r w:rsidRPr="00D174BB">
              <w:rPr>
                <w:b/>
                <w:bCs/>
                <w:color w:val="000000" w:themeColor="text1"/>
                <w:sz w:val="22"/>
                <w:szCs w:val="22"/>
                <w:lang w:val="pt-BR"/>
              </w:rPr>
              <w:t xml:space="preserve"> das Américas: </w:t>
            </w:r>
            <w:r w:rsidRPr="00D174BB">
              <w:rPr>
                <w:bCs/>
                <w:color w:val="000000" w:themeColor="text1"/>
                <w:sz w:val="22"/>
                <w:szCs w:val="22"/>
                <w:lang w:val="pt-BR"/>
              </w:rPr>
              <w:t>Promove o acesso à educação de boa qualidade por meio de tecnologias da informação e da comunicação (TICs) a cidadãos de Estados membros da OEA.</w:t>
            </w:r>
          </w:p>
        </w:tc>
        <w:tc>
          <w:tcPr>
            <w:tcW w:w="3426" w:type="dxa"/>
            <w:tcBorders>
              <w:top w:val="nil"/>
              <w:left w:val="single" w:sz="4" w:space="0" w:color="auto"/>
              <w:bottom w:val="single" w:sz="4" w:space="0" w:color="auto"/>
              <w:right w:val="single" w:sz="4" w:space="0" w:color="auto"/>
            </w:tcBorders>
          </w:tcPr>
          <w:p w:rsidR="00BA03CC" w:rsidRPr="00D174BB" w:rsidRDefault="00BA03CC" w:rsidP="00BA03CC">
            <w:pPr>
              <w:rPr>
                <w:sz w:val="22"/>
                <w:szCs w:val="22"/>
                <w:lang w:val="pt-BR"/>
              </w:rPr>
            </w:pPr>
            <w:r w:rsidRPr="00D174BB">
              <w:rPr>
                <w:color w:val="000000" w:themeColor="text1"/>
                <w:sz w:val="22"/>
                <w:szCs w:val="22"/>
                <w:lang w:val="pt-BR"/>
              </w:rPr>
              <w:t>A finalidade do programa é reduzir o hiato digital nas Américas ao promover a integração das TICs na sala de aula e a capacitação docente em inovação e competências genéricas. O acesso à tecnologia, o pensamento inovador e a aquisição de aptidões para abordar os desafios do século XXI contribuem para o desenvolvimento de um capital humano mais competitivo e criativo nos países beneficiários, atributos que são importantes para aumentar a resiliência.</w:t>
            </w:r>
          </w:p>
          <w:p w:rsidR="00364B51" w:rsidRPr="00D174BB" w:rsidRDefault="00364B51" w:rsidP="00BA03CC">
            <w:pPr>
              <w:jc w:val="right"/>
              <w:rPr>
                <w:sz w:val="22"/>
                <w:szCs w:val="22"/>
                <w:lang w:val="pt-BR"/>
              </w:rPr>
            </w:pPr>
          </w:p>
        </w:tc>
        <w:tc>
          <w:tcPr>
            <w:tcW w:w="2880" w:type="dxa"/>
            <w:tcBorders>
              <w:top w:val="nil"/>
              <w:left w:val="single" w:sz="4" w:space="0" w:color="auto"/>
              <w:bottom w:val="single" w:sz="4" w:space="0" w:color="auto"/>
              <w:right w:val="single" w:sz="4" w:space="0" w:color="auto"/>
            </w:tcBorders>
          </w:tcPr>
          <w:p w:rsidR="00BA03CC" w:rsidRPr="00D174BB" w:rsidRDefault="00BA03CC" w:rsidP="00364B51">
            <w:pPr>
              <w:rPr>
                <w:color w:val="000000" w:themeColor="text1"/>
                <w:sz w:val="22"/>
                <w:szCs w:val="22"/>
                <w:lang w:val="pt-BR"/>
              </w:rPr>
            </w:pPr>
            <w:r w:rsidRPr="00D174BB">
              <w:rPr>
                <w:color w:val="000000" w:themeColor="text1"/>
                <w:sz w:val="22"/>
                <w:szCs w:val="22"/>
                <w:lang w:val="pt-BR"/>
              </w:rPr>
              <w:t xml:space="preserve">Programa ProFuturo executado em cinco países do Caribe e em cinco países da América Central, apoiando os esforços nacionais da agenda da educação. </w:t>
            </w:r>
          </w:p>
          <w:p w:rsidR="00BA03CC" w:rsidRPr="00D174BB" w:rsidRDefault="00BA03CC" w:rsidP="00364B51">
            <w:pPr>
              <w:rPr>
                <w:color w:val="000000" w:themeColor="text1"/>
                <w:sz w:val="22"/>
                <w:szCs w:val="22"/>
                <w:lang w:val="pt-BR"/>
              </w:rPr>
            </w:pPr>
          </w:p>
          <w:p w:rsidR="00BA03CC" w:rsidRPr="00D174BB" w:rsidRDefault="00BA03CC" w:rsidP="00BA03CC">
            <w:pPr>
              <w:rPr>
                <w:color w:val="000000" w:themeColor="text1"/>
                <w:sz w:val="22"/>
                <w:szCs w:val="22"/>
                <w:lang w:val="pt-BR"/>
              </w:rPr>
            </w:pPr>
            <w:r w:rsidRPr="00D174BB">
              <w:rPr>
                <w:color w:val="000000" w:themeColor="text1"/>
                <w:sz w:val="22"/>
                <w:szCs w:val="22"/>
                <w:lang w:val="pt-BR"/>
              </w:rPr>
              <w:t xml:space="preserve">Promoção de diálogos sobre educação digital em escala regional e local. </w:t>
            </w:r>
          </w:p>
          <w:p w:rsidR="00BA03CC" w:rsidRPr="00D174BB" w:rsidRDefault="00BA03CC" w:rsidP="00BA03CC">
            <w:pPr>
              <w:rPr>
                <w:color w:val="000000" w:themeColor="text1"/>
                <w:sz w:val="22"/>
                <w:szCs w:val="22"/>
                <w:lang w:val="pt-BR"/>
              </w:rPr>
            </w:pPr>
          </w:p>
          <w:p w:rsidR="00364B51" w:rsidRPr="00D174BB" w:rsidRDefault="00BA03CC" w:rsidP="000643D4">
            <w:pPr>
              <w:rPr>
                <w:color w:val="000000" w:themeColor="text1"/>
                <w:sz w:val="22"/>
                <w:szCs w:val="22"/>
                <w:lang w:val="pt-BR"/>
              </w:rPr>
            </w:pPr>
            <w:r w:rsidRPr="00D174BB">
              <w:rPr>
                <w:color w:val="000000" w:themeColor="text1"/>
                <w:sz w:val="22"/>
                <w:szCs w:val="22"/>
                <w:lang w:val="pt-BR"/>
              </w:rPr>
              <w:t xml:space="preserve">Redução do hiato na educação digital nos Estados membros participantes, mediante o acesso </w:t>
            </w:r>
            <w:r w:rsidR="000643D4" w:rsidRPr="00D174BB">
              <w:rPr>
                <w:color w:val="000000" w:themeColor="text1"/>
                <w:sz w:val="22"/>
                <w:szCs w:val="22"/>
                <w:lang w:val="pt-BR"/>
              </w:rPr>
              <w:t xml:space="preserve">a </w:t>
            </w:r>
            <w:r w:rsidRPr="00D174BB">
              <w:rPr>
                <w:color w:val="000000" w:themeColor="text1"/>
                <w:sz w:val="22"/>
                <w:szCs w:val="22"/>
                <w:lang w:val="pt-BR"/>
              </w:rPr>
              <w:t xml:space="preserve">equipamento tecnológico em 92 escolas de ensino fundamental nesses países, </w:t>
            </w:r>
            <w:r w:rsidR="000643D4" w:rsidRPr="00D174BB">
              <w:rPr>
                <w:color w:val="000000" w:themeColor="text1"/>
                <w:sz w:val="22"/>
                <w:szCs w:val="22"/>
                <w:lang w:val="pt-BR"/>
              </w:rPr>
              <w:t>com</w:t>
            </w:r>
            <w:r w:rsidRPr="00D174BB">
              <w:rPr>
                <w:color w:val="000000" w:themeColor="text1"/>
                <w:sz w:val="22"/>
                <w:szCs w:val="22"/>
                <w:lang w:val="pt-BR"/>
              </w:rPr>
              <w:t xml:space="preserve"> mais de 1.200 professores </w:t>
            </w:r>
            <w:r w:rsidR="000643D4" w:rsidRPr="00D174BB">
              <w:rPr>
                <w:color w:val="000000" w:themeColor="text1"/>
                <w:sz w:val="22"/>
                <w:szCs w:val="22"/>
                <w:lang w:val="pt-BR"/>
              </w:rPr>
              <w:t xml:space="preserve">treinados </w:t>
            </w:r>
            <w:r w:rsidRPr="00D174BB">
              <w:rPr>
                <w:color w:val="000000" w:themeColor="text1"/>
                <w:sz w:val="22"/>
                <w:szCs w:val="22"/>
                <w:lang w:val="pt-BR"/>
              </w:rPr>
              <w:t xml:space="preserve">em inovação e uso de TICs para </w:t>
            </w:r>
            <w:r w:rsidR="000643D4" w:rsidRPr="00D174BB">
              <w:rPr>
                <w:color w:val="000000" w:themeColor="text1"/>
                <w:sz w:val="22"/>
                <w:szCs w:val="22"/>
                <w:lang w:val="pt-BR"/>
              </w:rPr>
              <w:t xml:space="preserve">a </w:t>
            </w:r>
            <w:r w:rsidRPr="00D174BB">
              <w:rPr>
                <w:color w:val="000000" w:themeColor="text1"/>
                <w:sz w:val="22"/>
                <w:szCs w:val="22"/>
                <w:lang w:val="pt-BR"/>
              </w:rPr>
              <w:t>educação nos países do Caribe, e mais de 23.900 crianças com acesso a conteúdo educacional digital em países do Caribe</w:t>
            </w:r>
            <w:r w:rsidR="000643D4" w:rsidRPr="00D174BB">
              <w:rPr>
                <w:color w:val="000000" w:themeColor="text1"/>
                <w:sz w:val="22"/>
                <w:szCs w:val="22"/>
                <w:lang w:val="pt-BR"/>
              </w:rPr>
              <w:t>.</w:t>
            </w:r>
          </w:p>
        </w:tc>
        <w:tc>
          <w:tcPr>
            <w:tcW w:w="2800" w:type="dxa"/>
            <w:tcBorders>
              <w:top w:val="nil"/>
              <w:left w:val="single" w:sz="4" w:space="0" w:color="auto"/>
              <w:bottom w:val="single" w:sz="4" w:space="0" w:color="auto"/>
              <w:right w:val="single" w:sz="4" w:space="0" w:color="auto"/>
            </w:tcBorders>
          </w:tcPr>
          <w:p w:rsidR="00364B51" w:rsidRPr="00D174BB" w:rsidRDefault="000643D4" w:rsidP="00364B51">
            <w:pPr>
              <w:rPr>
                <w:color w:val="000000" w:themeColor="text1"/>
                <w:sz w:val="22"/>
                <w:szCs w:val="22"/>
                <w:lang w:val="pt-BR"/>
              </w:rPr>
            </w:pPr>
            <w:r w:rsidRPr="00D174BB">
              <w:rPr>
                <w:b/>
                <w:color w:val="000000" w:themeColor="text1"/>
                <w:sz w:val="22"/>
                <w:szCs w:val="22"/>
                <w:lang w:val="pt-BR"/>
              </w:rPr>
              <w:t>Internamente (OEA):</w:t>
            </w:r>
            <w:r w:rsidRPr="00D174BB">
              <w:rPr>
                <w:color w:val="000000" w:themeColor="text1"/>
                <w:sz w:val="22"/>
                <w:szCs w:val="22"/>
                <w:lang w:val="pt-BR"/>
              </w:rPr>
              <w:t xml:space="preserve"> CIE, RIED</w:t>
            </w:r>
          </w:p>
          <w:p w:rsidR="000643D4" w:rsidRPr="00D174BB" w:rsidRDefault="000643D4" w:rsidP="00364B51">
            <w:pPr>
              <w:rPr>
                <w:color w:val="000000" w:themeColor="text1"/>
                <w:sz w:val="22"/>
                <w:szCs w:val="22"/>
                <w:lang w:val="pt-BR"/>
              </w:rPr>
            </w:pPr>
          </w:p>
          <w:p w:rsidR="000643D4" w:rsidRPr="00D174BB" w:rsidRDefault="000643D4" w:rsidP="00364B51">
            <w:pPr>
              <w:rPr>
                <w:color w:val="000000" w:themeColor="text1"/>
                <w:sz w:val="22"/>
                <w:szCs w:val="22"/>
                <w:lang w:val="pt-BR"/>
              </w:rPr>
            </w:pPr>
            <w:r w:rsidRPr="00D174BB">
              <w:rPr>
                <w:b/>
                <w:color w:val="000000" w:themeColor="text1"/>
                <w:sz w:val="22"/>
                <w:szCs w:val="22"/>
                <w:lang w:val="pt-BR"/>
              </w:rPr>
              <w:t>Externamente:</w:t>
            </w:r>
            <w:r w:rsidRPr="00D174BB">
              <w:rPr>
                <w:color w:val="000000" w:themeColor="text1"/>
                <w:sz w:val="22"/>
                <w:szCs w:val="22"/>
                <w:lang w:val="pt-BR"/>
              </w:rPr>
              <w:t xml:space="preserve"> Fundação ProFuturo, ministérios de Educação de cinco países do Caribe e de cinco países centro-americanos.</w:t>
            </w:r>
          </w:p>
        </w:tc>
        <w:tc>
          <w:tcPr>
            <w:tcW w:w="2663" w:type="dxa"/>
            <w:tcBorders>
              <w:top w:val="nil"/>
              <w:left w:val="single" w:sz="4" w:space="0" w:color="auto"/>
              <w:bottom w:val="single" w:sz="4" w:space="0" w:color="auto"/>
              <w:right w:val="single" w:sz="4" w:space="0" w:color="auto"/>
            </w:tcBorders>
            <w:shd w:val="clear" w:color="auto" w:fill="FFFF00"/>
          </w:tcPr>
          <w:p w:rsidR="00364B51" w:rsidRPr="00D174BB" w:rsidRDefault="000643D4" w:rsidP="00364B51">
            <w:pPr>
              <w:rPr>
                <w:b/>
                <w:color w:val="000000" w:themeColor="text1"/>
                <w:sz w:val="22"/>
                <w:szCs w:val="22"/>
                <w:lang w:val="pt-BR"/>
              </w:rPr>
            </w:pPr>
            <w:r w:rsidRPr="00D174BB">
              <w:rPr>
                <w:b/>
                <w:color w:val="000000" w:themeColor="text1"/>
                <w:sz w:val="22"/>
                <w:szCs w:val="22"/>
                <w:lang w:val="pt-BR"/>
              </w:rPr>
              <w:t xml:space="preserve">Intercâmbio de conhecimento e boas práticas: </w:t>
            </w:r>
          </w:p>
          <w:p w:rsidR="000643D4" w:rsidRPr="00D174BB" w:rsidRDefault="000643D4" w:rsidP="00364B51">
            <w:pPr>
              <w:rPr>
                <w:color w:val="000000" w:themeColor="text1"/>
                <w:sz w:val="22"/>
                <w:szCs w:val="22"/>
                <w:lang w:val="pt-BR"/>
              </w:rPr>
            </w:pPr>
            <w:r w:rsidRPr="00D174BB">
              <w:rPr>
                <w:color w:val="000000" w:themeColor="text1"/>
                <w:sz w:val="22"/>
                <w:szCs w:val="22"/>
                <w:lang w:val="pt-BR"/>
              </w:rPr>
              <w:t>-Os Estados membros têm acesso e oportunidades para aprender, compartilhar projetos, experiências e outros recursos que podem ajudar a implementar, replicar ou adaptar iniciativas a fim de mitigar os desafios da covid-19.</w:t>
            </w:r>
          </w:p>
        </w:tc>
      </w:tr>
    </w:tbl>
    <w:p w:rsidR="0079617E" w:rsidRDefault="0079617E">
      <w:pPr>
        <w:rPr>
          <w:lang w:val="pt-BR"/>
        </w:rPr>
      </w:pPr>
      <w:r>
        <w:rPr>
          <w:lang w:val="pt-BR"/>
        </w:rPr>
        <w:br w:type="page"/>
      </w:r>
    </w:p>
    <w:p w:rsidR="00096131" w:rsidRPr="00D174BB" w:rsidRDefault="00096131">
      <w:pPr>
        <w:rPr>
          <w:lang w:val="pt-BR"/>
        </w:rPr>
      </w:pPr>
    </w:p>
    <w:tbl>
      <w:tblPr>
        <w:tblW w:w="14818" w:type="dxa"/>
        <w:tblInd w:w="113" w:type="dxa"/>
        <w:tblLayout w:type="fixed"/>
        <w:tblLook w:val="04A0" w:firstRow="1" w:lastRow="0" w:firstColumn="1" w:lastColumn="0" w:noHBand="0" w:noVBand="1"/>
      </w:tblPr>
      <w:tblGrid>
        <w:gridCol w:w="3049"/>
        <w:gridCol w:w="3606"/>
        <w:gridCol w:w="2700"/>
        <w:gridCol w:w="2800"/>
        <w:gridCol w:w="2663"/>
      </w:tblGrid>
      <w:tr w:rsidR="00910C92" w:rsidRPr="002A41AB" w:rsidTr="00364B51">
        <w:trPr>
          <w:trHeight w:val="278"/>
        </w:trPr>
        <w:tc>
          <w:tcPr>
            <w:tcW w:w="3049"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769" w:type="dxa"/>
            <w:gridSpan w:val="4"/>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3.3. Fortalecer a capacidade institucional dos Estados membros de oferecer atenção integral à primeira infância</w:t>
            </w:r>
          </w:p>
        </w:tc>
      </w:tr>
      <w:tr w:rsidR="00910C92" w:rsidRPr="00D174BB" w:rsidTr="00364B51">
        <w:trPr>
          <w:trHeight w:val="359"/>
        </w:trPr>
        <w:tc>
          <w:tcPr>
            <w:tcW w:w="14818"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10C92" w:rsidRPr="00D174BB" w:rsidRDefault="00910C92" w:rsidP="00364B51">
            <w:pPr>
              <w:rPr>
                <w:b/>
                <w:bCs/>
                <w:color w:val="000000" w:themeColor="text1"/>
                <w:sz w:val="22"/>
                <w:szCs w:val="22"/>
                <w:lang w:val="pt-BR"/>
              </w:rPr>
            </w:pPr>
            <w:r w:rsidRPr="00D174BB">
              <w:rPr>
                <w:b/>
                <w:bCs/>
                <w:color w:val="000000" w:themeColor="text1"/>
                <w:sz w:val="22"/>
                <w:szCs w:val="22"/>
                <w:lang w:val="pt-BR"/>
              </w:rPr>
              <w:t>Educação – Diálogo polític</w:t>
            </w:r>
            <w:r w:rsidR="00364B51" w:rsidRPr="00D174BB">
              <w:rPr>
                <w:b/>
                <w:bCs/>
                <w:color w:val="000000" w:themeColor="text1"/>
                <w:sz w:val="22"/>
                <w:szCs w:val="22"/>
                <w:lang w:val="pt-BR"/>
              </w:rPr>
              <w:t>o</w:t>
            </w:r>
            <w:r w:rsidR="000643D4" w:rsidRPr="00D174BB">
              <w:rPr>
                <w:b/>
                <w:bCs/>
                <w:color w:val="000000" w:themeColor="text1"/>
                <w:sz w:val="22"/>
                <w:szCs w:val="22"/>
                <w:lang w:val="pt-BR"/>
              </w:rPr>
              <w:t>:</w:t>
            </w:r>
          </w:p>
        </w:tc>
      </w:tr>
      <w:tr w:rsidR="00910C92" w:rsidRPr="002A41AB" w:rsidTr="000643D4">
        <w:trPr>
          <w:trHeight w:val="2150"/>
        </w:trPr>
        <w:tc>
          <w:tcPr>
            <w:tcW w:w="3049" w:type="dxa"/>
            <w:tcBorders>
              <w:top w:val="nil"/>
              <w:left w:val="single" w:sz="4" w:space="0" w:color="auto"/>
              <w:bottom w:val="single" w:sz="4" w:space="0" w:color="auto"/>
              <w:right w:val="single" w:sz="4" w:space="0" w:color="auto"/>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Processo da Reunião Interamericana de Ministros da Educação e Comissão Interamericana de Educação </w:t>
            </w:r>
          </w:p>
        </w:tc>
        <w:tc>
          <w:tcPr>
            <w:tcW w:w="3606"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Participação em diálogos relacionados à implementação de políticas de saúde e nutrição, mediante cooperação com a Organização Pan-Americana da Saúde e os membros do Grupo de Trabalho Interamericano sobre </w:t>
            </w:r>
            <w:r w:rsidR="00A90B51">
              <w:rPr>
                <w:color w:val="000000" w:themeColor="text1"/>
                <w:sz w:val="22"/>
                <w:szCs w:val="22"/>
                <w:lang w:val="pt-BR"/>
              </w:rPr>
              <w:t>Doenças não Transmissíveis (DNT</w:t>
            </w:r>
            <w:r w:rsidRPr="00D174BB">
              <w:rPr>
                <w:color w:val="000000" w:themeColor="text1"/>
                <w:sz w:val="22"/>
                <w:szCs w:val="22"/>
                <w:lang w:val="pt-BR"/>
              </w:rPr>
              <w:t>s), por meio dos Ministérios da Saúde.</w:t>
            </w:r>
          </w:p>
        </w:tc>
        <w:tc>
          <w:tcPr>
            <w:tcW w:w="270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Conscientização sobre as melhores práticas na área de compras públicas de produtos alimentícios saudáveis nas escolas, a fim de controlar as questões de obesidade e subnutrição no ambiente escolar, e nelas intervir.</w:t>
            </w:r>
          </w:p>
        </w:tc>
        <w:tc>
          <w:tcPr>
            <w:tcW w:w="2800"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Externo: </w:t>
            </w:r>
            <w:r w:rsidRPr="00D174BB">
              <w:rPr>
                <w:color w:val="000000" w:themeColor="text1"/>
                <w:sz w:val="22"/>
                <w:szCs w:val="22"/>
                <w:lang w:val="pt-BR"/>
              </w:rPr>
              <w:t>OPAS.</w:t>
            </w:r>
          </w:p>
        </w:tc>
        <w:tc>
          <w:tcPr>
            <w:tcW w:w="2663" w:type="dxa"/>
            <w:tcBorders>
              <w:top w:val="nil"/>
              <w:left w:val="nil"/>
              <w:bottom w:val="single" w:sz="4" w:space="0" w:color="auto"/>
              <w:right w:val="single" w:sz="4" w:space="0" w:color="auto"/>
            </w:tcBorders>
            <w:hideMark/>
          </w:tcPr>
          <w:p w:rsidR="00910C92" w:rsidRPr="00D174BB" w:rsidRDefault="00910C92" w:rsidP="000643D4">
            <w:pPr>
              <w:rPr>
                <w:color w:val="000000" w:themeColor="text1"/>
                <w:sz w:val="22"/>
                <w:szCs w:val="22"/>
                <w:lang w:val="pt-BR"/>
              </w:rPr>
            </w:pPr>
            <w:r w:rsidRPr="00D174BB">
              <w:rPr>
                <w:color w:val="000000" w:themeColor="text1"/>
                <w:sz w:val="22"/>
                <w:szCs w:val="22"/>
                <w:lang w:val="pt-BR"/>
              </w:rPr>
              <w:t> </w:t>
            </w:r>
            <w:r w:rsidR="000643D4" w:rsidRPr="00D174BB">
              <w:rPr>
                <w:color w:val="000000" w:themeColor="text1"/>
                <w:sz w:val="22"/>
                <w:szCs w:val="22"/>
                <w:lang w:val="pt-BR"/>
              </w:rPr>
              <w:t>Intercâmbio de conhecimento e boas práticas: Sistematização de experiências implementadas em favor da primeira infância em resposta à covid-19.</w:t>
            </w:r>
          </w:p>
        </w:tc>
      </w:tr>
    </w:tbl>
    <w:p w:rsidR="00910C92" w:rsidRPr="00D174BB" w:rsidRDefault="00910C92" w:rsidP="00910C92">
      <w:pPr>
        <w:rPr>
          <w:b/>
          <w:color w:val="000000" w:themeColor="text1"/>
          <w:sz w:val="22"/>
          <w:szCs w:val="22"/>
          <w:u w:val="single"/>
          <w:lang w:val="pt-BR"/>
        </w:rPr>
      </w:pPr>
    </w:p>
    <w:tbl>
      <w:tblPr>
        <w:tblW w:w="147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2835"/>
        <w:gridCol w:w="75"/>
        <w:gridCol w:w="2910"/>
        <w:gridCol w:w="220"/>
        <w:gridCol w:w="2690"/>
        <w:gridCol w:w="210"/>
        <w:gridCol w:w="2700"/>
      </w:tblGrid>
      <w:tr w:rsidR="00892E99" w:rsidRPr="00D174BB" w:rsidTr="00070E69">
        <w:trPr>
          <w:trHeight w:val="585"/>
        </w:trPr>
        <w:tc>
          <w:tcPr>
            <w:tcW w:w="31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92E99" w:rsidRPr="00D174BB" w:rsidRDefault="00892E99" w:rsidP="00E411BC">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92E99" w:rsidRPr="00D174BB" w:rsidRDefault="00892E99" w:rsidP="00E411BC">
            <w:pPr>
              <w:jc w:val="center"/>
              <w:rPr>
                <w:b/>
                <w:bCs/>
                <w:color w:val="000000" w:themeColor="text1"/>
                <w:sz w:val="22"/>
                <w:szCs w:val="22"/>
                <w:lang w:val="pt-BR"/>
              </w:rPr>
            </w:pPr>
            <w:r w:rsidRPr="00D174BB">
              <w:rPr>
                <w:b/>
                <w:bCs/>
                <w:color w:val="000000" w:themeColor="text1"/>
                <w:sz w:val="22"/>
                <w:szCs w:val="22"/>
                <w:lang w:val="pt-BR"/>
              </w:rPr>
              <w:t xml:space="preserve">CONTRIBUIÇÃO PARA A </w:t>
            </w:r>
            <w:r w:rsidR="00D174BB" w:rsidRPr="00D174BB">
              <w:rPr>
                <w:b/>
                <w:bCs/>
                <w:color w:val="000000" w:themeColor="text1"/>
                <w:sz w:val="22"/>
                <w:szCs w:val="22"/>
                <w:lang w:val="pt-BR"/>
              </w:rPr>
              <w:t>RESILIÊNCIA E</w:t>
            </w:r>
            <w:r w:rsidRPr="00D174BB">
              <w:rPr>
                <w:b/>
                <w:bCs/>
                <w:color w:val="000000" w:themeColor="text1"/>
                <w:sz w:val="22"/>
                <w:szCs w:val="22"/>
                <w:lang w:val="pt-BR"/>
              </w:rPr>
              <w:t xml:space="preserve"> COMPETITIVIDADE </w:t>
            </w:r>
          </w:p>
        </w:tc>
        <w:tc>
          <w:tcPr>
            <w:tcW w:w="29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92E99" w:rsidRPr="00D174BB" w:rsidRDefault="00892E99" w:rsidP="00E411BC">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92E99" w:rsidRPr="00D174BB" w:rsidRDefault="00D174BB" w:rsidP="00E411BC">
            <w:pPr>
              <w:jc w:val="center"/>
              <w:rPr>
                <w:b/>
                <w:bCs/>
                <w:color w:val="000000" w:themeColor="text1"/>
                <w:sz w:val="22"/>
                <w:szCs w:val="22"/>
                <w:lang w:val="pt-BR"/>
              </w:rPr>
            </w:pPr>
            <w:r w:rsidRPr="00D174BB">
              <w:rPr>
                <w:b/>
                <w:bCs/>
                <w:color w:val="000000" w:themeColor="text1"/>
                <w:sz w:val="22"/>
                <w:szCs w:val="22"/>
                <w:lang w:val="pt-BR"/>
              </w:rPr>
              <w:t>COOPERAÇÃO E</w:t>
            </w:r>
            <w:r w:rsidR="00892E99" w:rsidRPr="00D174BB">
              <w:rPr>
                <w:b/>
                <w:bCs/>
                <w:color w:val="000000" w:themeColor="text1"/>
                <w:sz w:val="22"/>
                <w:szCs w:val="22"/>
                <w:lang w:val="pt-BR"/>
              </w:rPr>
              <w:t xml:space="preserve"> PARCERIAS</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92E99" w:rsidRPr="00D174BB" w:rsidRDefault="00892E99" w:rsidP="00E411BC">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892E99" w:rsidRPr="00D174BB" w:rsidRDefault="00892E99" w:rsidP="00E411BC">
            <w:pPr>
              <w:jc w:val="center"/>
              <w:rPr>
                <w:b/>
                <w:bCs/>
                <w:color w:val="000000" w:themeColor="text1"/>
                <w:sz w:val="22"/>
                <w:szCs w:val="22"/>
                <w:lang w:val="pt-BR"/>
              </w:rPr>
            </w:pPr>
            <w:r w:rsidRPr="00D174BB">
              <w:rPr>
                <w:b/>
                <w:bCs/>
                <w:color w:val="000000" w:themeColor="text1"/>
                <w:sz w:val="22"/>
                <w:szCs w:val="22"/>
                <w:lang w:val="pt-BR"/>
              </w:rPr>
              <w:t>COVID-19</w:t>
            </w:r>
          </w:p>
        </w:tc>
      </w:tr>
      <w:tr w:rsidR="00910C92" w:rsidRPr="002A41AB" w:rsidTr="00892E99">
        <w:trPr>
          <w:trHeight w:val="585"/>
        </w:trPr>
        <w:tc>
          <w:tcPr>
            <w:tcW w:w="3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40"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3.4. Promover o acesso nos Estados membros a oportunidades de educação de qualidade, inclusiva e equitativa, em todos os níveis e modalidades, e nos quatro idiomas oficiais da Organização</w:t>
            </w:r>
          </w:p>
        </w:tc>
      </w:tr>
      <w:tr w:rsidR="00910C92" w:rsidRPr="002A41AB" w:rsidTr="00892E99">
        <w:trPr>
          <w:trHeight w:val="314"/>
        </w:trPr>
        <w:tc>
          <w:tcPr>
            <w:tcW w:w="14740" w:type="dxa"/>
            <w:gridSpan w:val="8"/>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Bolsas de estudo de educação</w:t>
            </w:r>
            <w:r w:rsidR="00D25A19" w:rsidRPr="00D174BB">
              <w:rPr>
                <w:b/>
                <w:bCs/>
                <w:color w:val="000000" w:themeColor="text1"/>
                <w:sz w:val="22"/>
                <w:szCs w:val="22"/>
                <w:lang w:val="pt-BR"/>
              </w:rPr>
              <w:t>:</w:t>
            </w:r>
            <w:r w:rsidRPr="00D174BB">
              <w:rPr>
                <w:b/>
                <w:bCs/>
                <w:color w:val="000000" w:themeColor="text1"/>
                <w:sz w:val="22"/>
                <w:szCs w:val="22"/>
                <w:lang w:val="pt-BR"/>
              </w:rPr>
              <w:t xml:space="preserve"> </w:t>
            </w:r>
          </w:p>
        </w:tc>
      </w:tr>
      <w:tr w:rsidR="00070E69" w:rsidRPr="00D174BB" w:rsidTr="0079617E">
        <w:trPr>
          <w:trHeight w:val="989"/>
        </w:trPr>
        <w:tc>
          <w:tcPr>
            <w:tcW w:w="3100" w:type="dxa"/>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Programa de Bolsas de Estudo Acadêmicas da OEA:</w:t>
            </w:r>
            <w:r w:rsidRPr="00D174BB">
              <w:rPr>
                <w:color w:val="000000" w:themeColor="text1"/>
                <w:sz w:val="22"/>
                <w:szCs w:val="22"/>
                <w:lang w:val="pt-BR"/>
              </w:rPr>
              <w:t xml:space="preserve"> Concessão de bolsas de estudo anuais para mestrado, doutorado ou pesquisa de graduação, com vistas a um diploma universitário. </w:t>
            </w:r>
          </w:p>
        </w:tc>
        <w:tc>
          <w:tcPr>
            <w:tcW w:w="2835" w:type="dxa"/>
            <w:tcBorders>
              <w:top w:val="single" w:sz="4" w:space="0" w:color="000000"/>
              <w:left w:val="single" w:sz="4" w:space="0" w:color="000000"/>
              <w:right w:val="single" w:sz="4" w:space="0" w:color="000000"/>
            </w:tcBorders>
          </w:tcPr>
          <w:p w:rsidR="00070E69" w:rsidRPr="00D174BB" w:rsidRDefault="00070E69">
            <w:pPr>
              <w:rPr>
                <w:color w:val="000000" w:themeColor="text1"/>
                <w:sz w:val="22"/>
                <w:szCs w:val="22"/>
                <w:lang w:val="pt-BR"/>
              </w:rPr>
            </w:pPr>
          </w:p>
        </w:tc>
        <w:tc>
          <w:tcPr>
            <w:tcW w:w="3205" w:type="dxa"/>
            <w:gridSpan w:val="3"/>
            <w:vMerge w:val="restart"/>
            <w:tcBorders>
              <w:top w:val="single" w:sz="4" w:space="0" w:color="000000"/>
              <w:left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color w:val="000000" w:themeColor="text1"/>
                <w:sz w:val="22"/>
                <w:szCs w:val="22"/>
                <w:lang w:val="pt-BR"/>
              </w:rPr>
              <w:t xml:space="preserve"> Em 2020, o Programa de Bolsas de Estudo da OEA espera oferecer 3.000 bolsas nos Estados membros, para expandir o acesso à educação de qualidade e fortalecer o desenvolvimento profissional em áreas especializadas de trabalho, da seguinte maneira: </w:t>
            </w:r>
          </w:p>
          <w:p w:rsidR="00070E69" w:rsidRPr="00D174BB" w:rsidRDefault="00070E69">
            <w:pPr>
              <w:rPr>
                <w:color w:val="000000" w:themeColor="text1"/>
                <w:sz w:val="22"/>
                <w:szCs w:val="22"/>
                <w:lang w:val="pt-BR"/>
              </w:rPr>
            </w:pPr>
            <w:r w:rsidRPr="00D174BB">
              <w:rPr>
                <w:color w:val="000000" w:themeColor="text1"/>
                <w:sz w:val="22"/>
                <w:szCs w:val="22"/>
                <w:lang w:val="pt-BR"/>
              </w:rPr>
              <w:t>-Quarenta e sete bolsas acadêmicas para estudos de licenciatura, mestrado e doutorado.</w:t>
            </w:r>
          </w:p>
          <w:p w:rsidR="00070E69" w:rsidRPr="00D174BB" w:rsidRDefault="00070E69">
            <w:pPr>
              <w:rPr>
                <w:color w:val="000000" w:themeColor="text1"/>
                <w:sz w:val="22"/>
                <w:szCs w:val="22"/>
                <w:lang w:val="pt-BR"/>
              </w:rPr>
            </w:pPr>
            <w:r w:rsidRPr="00D174BB">
              <w:rPr>
                <w:color w:val="000000" w:themeColor="text1"/>
                <w:sz w:val="22"/>
                <w:szCs w:val="22"/>
                <w:lang w:val="pt-BR"/>
              </w:rPr>
              <w:t>-Duzentos e cinquenta cursos de desenvolvimento profissional.</w:t>
            </w:r>
          </w:p>
          <w:p w:rsidR="00070E69" w:rsidRPr="00D174BB" w:rsidRDefault="00070E69">
            <w:pPr>
              <w:rPr>
                <w:color w:val="000000" w:themeColor="text1"/>
                <w:sz w:val="22"/>
                <w:szCs w:val="22"/>
                <w:lang w:val="pt-BR"/>
              </w:rPr>
            </w:pPr>
            <w:r w:rsidRPr="00D174BB">
              <w:rPr>
                <w:color w:val="000000" w:themeColor="text1"/>
                <w:sz w:val="22"/>
                <w:szCs w:val="22"/>
                <w:lang w:val="pt-BR"/>
              </w:rPr>
              <w:t>-Três mil bolsas PAEC para estudos de mestrado e doutorado e certificados de formação profissional.</w:t>
            </w:r>
          </w:p>
        </w:tc>
        <w:tc>
          <w:tcPr>
            <w:tcW w:w="2900" w:type="dxa"/>
            <w:gridSpan w:val="2"/>
            <w:vMerge w:val="restart"/>
            <w:tcBorders>
              <w:top w:val="single" w:sz="4" w:space="0" w:color="000000"/>
              <w:left w:val="single" w:sz="4" w:space="0" w:color="000000"/>
              <w:right w:val="single" w:sz="4" w:space="0" w:color="000000"/>
            </w:tcBorders>
            <w:hideMark/>
          </w:tcPr>
          <w:p w:rsidR="00070E69" w:rsidRPr="00D174BB" w:rsidRDefault="00070E69" w:rsidP="00D25A19">
            <w:pPr>
              <w:rPr>
                <w:color w:val="000000" w:themeColor="text1"/>
                <w:sz w:val="22"/>
                <w:szCs w:val="22"/>
                <w:lang w:val="pt-BR"/>
              </w:rPr>
            </w:pPr>
            <w:r w:rsidRPr="00D174BB">
              <w:rPr>
                <w:b/>
                <w:bCs/>
                <w:color w:val="000000" w:themeColor="text1"/>
                <w:sz w:val="22"/>
                <w:szCs w:val="22"/>
                <w:lang w:val="pt-BR"/>
              </w:rPr>
              <w:t xml:space="preserve">Internamente (OEA): </w:t>
            </w:r>
            <w:r w:rsidRPr="00D174BB">
              <w:rPr>
                <w:color w:val="000000" w:themeColor="text1"/>
                <w:sz w:val="22"/>
                <w:szCs w:val="22"/>
                <w:lang w:val="pt-BR"/>
              </w:rPr>
              <w:t>Toda a SEDI e CICTE.</w:t>
            </w:r>
            <w:r w:rsidRPr="00D174BB">
              <w:rPr>
                <w:color w:val="000000" w:themeColor="text1"/>
                <w:sz w:val="22"/>
                <w:szCs w:val="22"/>
                <w:lang w:val="pt-BR"/>
              </w:rPr>
              <w:br/>
            </w: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color w:val="000000" w:themeColor="text1"/>
                <w:sz w:val="22"/>
                <w:szCs w:val="22"/>
                <w:lang w:val="pt-BR"/>
              </w:rPr>
            </w:pPr>
          </w:p>
          <w:p w:rsidR="00070E69" w:rsidRPr="00D174BB" w:rsidRDefault="00070E69" w:rsidP="00D25A19">
            <w:pPr>
              <w:rPr>
                <w:b/>
                <w:bCs/>
                <w:color w:val="000000" w:themeColor="text1"/>
                <w:sz w:val="22"/>
                <w:szCs w:val="22"/>
                <w:lang w:val="pt-BR"/>
              </w:rPr>
            </w:pPr>
            <w:r w:rsidRPr="00D174BB">
              <w:rPr>
                <w:color w:val="000000" w:themeColor="text1"/>
                <w:sz w:val="22"/>
                <w:szCs w:val="22"/>
                <w:lang w:val="pt-BR"/>
              </w:rPr>
              <w:br/>
            </w:r>
          </w:p>
          <w:p w:rsidR="00070E69" w:rsidRPr="00D174BB" w:rsidRDefault="00070E69" w:rsidP="00D25A19">
            <w:pPr>
              <w:rPr>
                <w:color w:val="000000" w:themeColor="text1"/>
                <w:sz w:val="22"/>
                <w:szCs w:val="22"/>
                <w:lang w:val="pt-BR"/>
              </w:rPr>
            </w:pPr>
            <w:r w:rsidRPr="00D174BB">
              <w:rPr>
                <w:b/>
                <w:bCs/>
                <w:color w:val="000000" w:themeColor="text1"/>
                <w:sz w:val="22"/>
                <w:szCs w:val="22"/>
                <w:lang w:val="pt-BR"/>
              </w:rPr>
              <w:t xml:space="preserve">Externamente: </w:t>
            </w:r>
            <w:r w:rsidRPr="00D174BB">
              <w:rPr>
                <w:color w:val="000000" w:themeColor="text1"/>
                <w:sz w:val="22"/>
                <w:szCs w:val="22"/>
                <w:lang w:val="pt-BR"/>
              </w:rPr>
              <w:t xml:space="preserve">Governo do Chile. Negociações em andamento com os Governos de Barbados e Santa Lúcia para novos programas de bolsas de estudo. </w:t>
            </w:r>
          </w:p>
          <w:p w:rsidR="00070E69" w:rsidRPr="00D174BB" w:rsidRDefault="00070E69" w:rsidP="00D25A19">
            <w:pPr>
              <w:rPr>
                <w:color w:val="000000" w:themeColor="text1"/>
                <w:sz w:val="22"/>
                <w:szCs w:val="22"/>
                <w:lang w:val="pt-BR"/>
              </w:rPr>
            </w:pPr>
            <w:r w:rsidRPr="00D174BB">
              <w:rPr>
                <w:color w:val="000000" w:themeColor="text1"/>
                <w:sz w:val="22"/>
                <w:szCs w:val="22"/>
                <w:lang w:val="pt-BR"/>
              </w:rPr>
              <w:br/>
              <w:t>Bolsas de estudo concedidas em parceria com os governos de Estados membros e mais de 160 universidades privadas e públicas em Estados membros e países observadores da OEA e outras instituições educacionais.</w:t>
            </w:r>
          </w:p>
          <w:p w:rsidR="00070E69" w:rsidRPr="00D174BB" w:rsidRDefault="00070E69" w:rsidP="00D25A19">
            <w:pPr>
              <w:rPr>
                <w:color w:val="000000" w:themeColor="text1"/>
                <w:sz w:val="22"/>
                <w:szCs w:val="22"/>
                <w:lang w:val="pt-BR"/>
              </w:rPr>
            </w:pPr>
            <w:r w:rsidRPr="00D174BB">
              <w:rPr>
                <w:color w:val="000000" w:themeColor="text1"/>
                <w:sz w:val="22"/>
                <w:szCs w:val="22"/>
                <w:lang w:val="pt-BR"/>
              </w:rPr>
              <w:br/>
              <w:t xml:space="preserve">Possível novo programa com a Structuralia, da Espanha, no qual essa instituição oferecerá 3.400 novas bolsas de estudo </w:t>
            </w:r>
            <w:r w:rsidRPr="00D174BB">
              <w:rPr>
                <w:i/>
                <w:color w:val="000000" w:themeColor="text1"/>
                <w:sz w:val="22"/>
                <w:szCs w:val="22"/>
                <w:lang w:val="pt-BR"/>
              </w:rPr>
              <w:t>online</w:t>
            </w:r>
            <w:r w:rsidRPr="00D174BB">
              <w:rPr>
                <w:color w:val="000000" w:themeColor="text1"/>
                <w:sz w:val="22"/>
                <w:szCs w:val="22"/>
                <w:lang w:val="pt-BR"/>
              </w:rPr>
              <w:t xml:space="preserve"> por ano para engenharia e arquitetura.</w:t>
            </w:r>
          </w:p>
        </w:tc>
        <w:tc>
          <w:tcPr>
            <w:tcW w:w="2700" w:type="dxa"/>
            <w:vMerge w:val="restart"/>
            <w:tcBorders>
              <w:top w:val="single" w:sz="4" w:space="0" w:color="000000"/>
              <w:left w:val="single" w:sz="4" w:space="0" w:color="000000"/>
              <w:right w:val="single" w:sz="4" w:space="0" w:color="000000"/>
            </w:tcBorders>
            <w:shd w:val="clear" w:color="auto" w:fill="FFFF00"/>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lastRenderedPageBreak/>
              <w:t>Melhoria do acesso à educação:</w:t>
            </w:r>
            <w:r w:rsidRPr="00D174BB">
              <w:rPr>
                <w:b/>
                <w:bCs/>
                <w:color w:val="000000" w:themeColor="text1"/>
                <w:sz w:val="22"/>
                <w:szCs w:val="22"/>
                <w:lang w:val="pt-BR"/>
              </w:rPr>
              <w:br/>
            </w:r>
            <w:r w:rsidRPr="00D174BB">
              <w:rPr>
                <w:color w:val="000000" w:themeColor="text1"/>
                <w:sz w:val="22"/>
                <w:szCs w:val="22"/>
                <w:lang w:val="pt-BR"/>
              </w:rPr>
              <w:t xml:space="preserve">A partir de maio, a SEDI oferecerá 50 cursos de treinamento gratuitos com o apoio de parceiros estratégicos. Cursos adicionais </w:t>
            </w:r>
            <w:r w:rsidRPr="00D174BB">
              <w:rPr>
                <w:i/>
                <w:color w:val="000000" w:themeColor="text1"/>
                <w:sz w:val="22"/>
                <w:szCs w:val="22"/>
                <w:lang w:val="pt-BR"/>
              </w:rPr>
              <w:t>online</w:t>
            </w:r>
            <w:r w:rsidRPr="00D174BB">
              <w:rPr>
                <w:color w:val="000000" w:themeColor="text1"/>
                <w:sz w:val="22"/>
                <w:szCs w:val="22"/>
                <w:lang w:val="pt-BR"/>
              </w:rPr>
              <w:t xml:space="preserve"> acham-se em negociação.</w:t>
            </w:r>
          </w:p>
        </w:tc>
      </w:tr>
      <w:tr w:rsidR="00070E69" w:rsidRPr="002A41AB" w:rsidTr="002A41AB">
        <w:trPr>
          <w:trHeight w:val="2003"/>
        </w:trPr>
        <w:tc>
          <w:tcPr>
            <w:tcW w:w="3100" w:type="dxa"/>
            <w:tcBorders>
              <w:top w:val="single" w:sz="4" w:space="0" w:color="000000"/>
              <w:left w:val="single" w:sz="4" w:space="0" w:color="000000"/>
              <w:bottom w:val="single" w:sz="4" w:space="0" w:color="000000"/>
              <w:right w:val="single" w:sz="4" w:space="0" w:color="000000"/>
            </w:tcBorders>
          </w:tcPr>
          <w:p w:rsidR="00070E69" w:rsidRPr="00D174BB" w:rsidRDefault="00070E69">
            <w:pPr>
              <w:rPr>
                <w:b/>
                <w:bCs/>
                <w:color w:val="000000" w:themeColor="text1"/>
                <w:sz w:val="22"/>
                <w:szCs w:val="22"/>
                <w:lang w:val="pt-BR"/>
              </w:rPr>
            </w:pPr>
            <w:r w:rsidRPr="00D174BB">
              <w:rPr>
                <w:b/>
                <w:bCs/>
                <w:color w:val="000000" w:themeColor="text1"/>
                <w:sz w:val="22"/>
                <w:szCs w:val="22"/>
                <w:lang w:val="pt-BR"/>
              </w:rPr>
              <w:t>Programa de Bolsas de Estudo de Desenvolvimento Profissional (PDSP):</w:t>
            </w:r>
            <w:r w:rsidRPr="00D174BB">
              <w:rPr>
                <w:color w:val="000000" w:themeColor="text1"/>
                <w:sz w:val="22"/>
                <w:szCs w:val="22"/>
                <w:lang w:val="pt-BR"/>
              </w:rPr>
              <w:t xml:space="preserve"> Oferece oportunidades de treinamento de curto prazo a cidadãos e residentes permanentes dos Estados membros da OEA (presenciais, </w:t>
            </w:r>
            <w:r w:rsidRPr="00D174BB">
              <w:rPr>
                <w:i/>
                <w:color w:val="000000" w:themeColor="text1"/>
                <w:sz w:val="22"/>
                <w:szCs w:val="22"/>
                <w:lang w:val="pt-BR"/>
              </w:rPr>
              <w:t>online</w:t>
            </w:r>
            <w:r w:rsidRPr="00D174BB">
              <w:rPr>
                <w:color w:val="000000" w:themeColor="text1"/>
                <w:sz w:val="22"/>
                <w:szCs w:val="22"/>
                <w:lang w:val="pt-BR"/>
              </w:rPr>
              <w:t xml:space="preserve"> ou mistos), para expandir e fortalecer o desenvolvimento profissional em áreas especializadas de trabalho.</w:t>
            </w:r>
          </w:p>
        </w:tc>
        <w:tc>
          <w:tcPr>
            <w:tcW w:w="2835" w:type="dxa"/>
            <w:tcBorders>
              <w:left w:val="single" w:sz="4" w:space="0" w:color="000000"/>
              <w:bottom w:val="single" w:sz="4" w:space="0" w:color="000000"/>
              <w:right w:val="single" w:sz="4" w:space="0" w:color="000000"/>
            </w:tcBorders>
          </w:tcPr>
          <w:p w:rsidR="00070E69" w:rsidRPr="00D174BB" w:rsidRDefault="00070E69" w:rsidP="002A41AB">
            <w:pPr>
              <w:rPr>
                <w:color w:val="000000" w:themeColor="text1"/>
                <w:sz w:val="22"/>
                <w:szCs w:val="22"/>
                <w:lang w:val="pt-BR"/>
              </w:rPr>
            </w:pPr>
            <w:r w:rsidRPr="00D174BB">
              <w:rPr>
                <w:color w:val="000000" w:themeColor="text1"/>
                <w:sz w:val="22"/>
                <w:szCs w:val="22"/>
                <w:lang w:val="pt-BR"/>
              </w:rPr>
              <w:t>Contribuição para o desenvolvimento de capital humano, visando à resiliência, à competitividade e ao desenvolvimento nos países da região.</w:t>
            </w:r>
          </w:p>
        </w:tc>
        <w:tc>
          <w:tcPr>
            <w:tcW w:w="3205" w:type="dxa"/>
            <w:gridSpan w:val="3"/>
            <w:vMerge/>
            <w:tcBorders>
              <w:left w:val="single" w:sz="4" w:space="0" w:color="000000"/>
              <w:bottom w:val="single" w:sz="4" w:space="0" w:color="000000"/>
              <w:right w:val="single" w:sz="4" w:space="0" w:color="000000"/>
            </w:tcBorders>
          </w:tcPr>
          <w:p w:rsidR="00070E69" w:rsidRPr="00D174BB" w:rsidRDefault="00070E69">
            <w:pPr>
              <w:rPr>
                <w:color w:val="000000" w:themeColor="text1"/>
                <w:sz w:val="22"/>
                <w:szCs w:val="22"/>
                <w:lang w:val="pt-BR"/>
              </w:rPr>
            </w:pPr>
          </w:p>
        </w:tc>
        <w:tc>
          <w:tcPr>
            <w:tcW w:w="2900" w:type="dxa"/>
            <w:gridSpan w:val="2"/>
            <w:vMerge/>
            <w:tcBorders>
              <w:left w:val="single" w:sz="4" w:space="0" w:color="000000"/>
              <w:right w:val="single" w:sz="4" w:space="0" w:color="000000"/>
            </w:tcBorders>
          </w:tcPr>
          <w:p w:rsidR="00070E69" w:rsidRPr="00D174BB" w:rsidRDefault="00070E69" w:rsidP="00D25A19">
            <w:pPr>
              <w:rPr>
                <w:b/>
                <w:bCs/>
                <w:color w:val="000000" w:themeColor="text1"/>
                <w:sz w:val="22"/>
                <w:szCs w:val="22"/>
                <w:lang w:val="pt-BR"/>
              </w:rPr>
            </w:pPr>
          </w:p>
        </w:tc>
        <w:tc>
          <w:tcPr>
            <w:tcW w:w="2700" w:type="dxa"/>
            <w:vMerge/>
            <w:tcBorders>
              <w:left w:val="single" w:sz="4" w:space="0" w:color="000000"/>
              <w:right w:val="single" w:sz="4" w:space="0" w:color="000000"/>
            </w:tcBorders>
            <w:shd w:val="clear" w:color="auto" w:fill="FFFF00"/>
          </w:tcPr>
          <w:p w:rsidR="00070E69" w:rsidRPr="00D174BB" w:rsidRDefault="00070E69">
            <w:pPr>
              <w:rPr>
                <w:b/>
                <w:bCs/>
                <w:color w:val="000000" w:themeColor="text1"/>
                <w:sz w:val="22"/>
                <w:szCs w:val="22"/>
                <w:lang w:val="pt-BR"/>
              </w:rPr>
            </w:pPr>
          </w:p>
        </w:tc>
      </w:tr>
      <w:tr w:rsidR="00070E69" w:rsidRPr="002A41AB" w:rsidTr="0079617E">
        <w:trPr>
          <w:trHeight w:val="1394"/>
        </w:trPr>
        <w:tc>
          <w:tcPr>
            <w:tcW w:w="3100" w:type="dxa"/>
            <w:tcBorders>
              <w:top w:val="single" w:sz="4" w:space="0" w:color="000000"/>
              <w:left w:val="single" w:sz="4" w:space="0" w:color="000000"/>
              <w:bottom w:val="single" w:sz="4" w:space="0" w:color="000000"/>
              <w:right w:val="single" w:sz="4" w:space="0" w:color="000000"/>
            </w:tcBorders>
            <w:hideMark/>
          </w:tcPr>
          <w:p w:rsidR="00070E69" w:rsidRPr="00D174BB" w:rsidRDefault="00070E69" w:rsidP="0079617E">
            <w:pPr>
              <w:rPr>
                <w:b/>
                <w:bCs/>
                <w:color w:val="000000" w:themeColor="text1"/>
                <w:sz w:val="22"/>
                <w:szCs w:val="22"/>
                <w:lang w:val="pt-BR"/>
              </w:rPr>
            </w:pPr>
          </w:p>
        </w:tc>
        <w:tc>
          <w:tcPr>
            <w:tcW w:w="2835" w:type="dxa"/>
            <w:tcBorders>
              <w:top w:val="single" w:sz="4" w:space="0" w:color="000000"/>
              <w:left w:val="single" w:sz="4" w:space="0" w:color="000000"/>
              <w:bottom w:val="single" w:sz="4" w:space="0" w:color="000000"/>
              <w:right w:val="single" w:sz="4" w:space="0" w:color="000000"/>
            </w:tcBorders>
          </w:tcPr>
          <w:p w:rsidR="00070E69" w:rsidRPr="00D174BB" w:rsidRDefault="00070E69" w:rsidP="0079617E">
            <w:pPr>
              <w:rPr>
                <w:color w:val="000000" w:themeColor="text1"/>
                <w:sz w:val="22"/>
                <w:szCs w:val="22"/>
                <w:lang w:val="pt-BR"/>
              </w:rPr>
            </w:pPr>
          </w:p>
        </w:tc>
        <w:tc>
          <w:tcPr>
            <w:tcW w:w="3205" w:type="dxa"/>
            <w:gridSpan w:val="3"/>
            <w:tcBorders>
              <w:top w:val="single" w:sz="4" w:space="0" w:color="000000"/>
              <w:left w:val="single" w:sz="4" w:space="0" w:color="000000"/>
              <w:bottom w:val="single" w:sz="4" w:space="0" w:color="000000"/>
              <w:right w:val="single" w:sz="4" w:space="0" w:color="000000"/>
            </w:tcBorders>
          </w:tcPr>
          <w:p w:rsidR="00070E69" w:rsidRPr="00D174BB" w:rsidRDefault="00070E69" w:rsidP="0079617E">
            <w:pPr>
              <w:rPr>
                <w:color w:val="000000" w:themeColor="text1"/>
                <w:sz w:val="22"/>
                <w:szCs w:val="22"/>
                <w:lang w:val="pt-BR"/>
              </w:rPr>
            </w:pPr>
          </w:p>
        </w:tc>
        <w:tc>
          <w:tcPr>
            <w:tcW w:w="2900" w:type="dxa"/>
            <w:gridSpan w:val="2"/>
            <w:vMerge/>
            <w:tcBorders>
              <w:left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left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2A41AB" w:rsidTr="0079617E">
        <w:trPr>
          <w:trHeight w:val="1700"/>
        </w:trPr>
        <w:tc>
          <w:tcPr>
            <w:tcW w:w="3100" w:type="dxa"/>
            <w:vMerge w:val="restart"/>
            <w:tcBorders>
              <w:top w:val="single" w:sz="4" w:space="0" w:color="000000"/>
              <w:left w:val="single" w:sz="4" w:space="0" w:color="000000"/>
              <w:bottom w:val="nil"/>
              <w:right w:val="single" w:sz="4" w:space="0" w:color="000000"/>
            </w:tcBorders>
            <w:shd w:val="clear" w:color="auto" w:fill="auto"/>
            <w:hideMark/>
          </w:tcPr>
          <w:p w:rsidR="00070E69" w:rsidRPr="00D174BB" w:rsidRDefault="00070E69">
            <w:pPr>
              <w:rPr>
                <w:b/>
                <w:bCs/>
                <w:color w:val="000000" w:themeColor="text1"/>
                <w:sz w:val="22"/>
                <w:szCs w:val="22"/>
                <w:lang w:val="pt-BR"/>
              </w:rPr>
            </w:pPr>
            <w:r w:rsidRPr="00D174BB">
              <w:rPr>
                <w:bCs/>
                <w:color w:val="000000" w:themeColor="text1"/>
                <w:sz w:val="22"/>
                <w:szCs w:val="22"/>
                <w:lang w:val="pt-BR"/>
              </w:rPr>
              <w:lastRenderedPageBreak/>
              <w:t xml:space="preserve">O </w:t>
            </w:r>
            <w:r w:rsidRPr="00D174BB">
              <w:rPr>
                <w:b/>
                <w:bCs/>
                <w:color w:val="000000" w:themeColor="text1"/>
                <w:sz w:val="22"/>
                <w:szCs w:val="22"/>
                <w:lang w:val="pt-BR"/>
              </w:rPr>
              <w:t xml:space="preserve">Programa de Parcerias para a Educação e a Capacitação (PAEC) </w:t>
            </w:r>
            <w:r w:rsidRPr="00D174BB">
              <w:rPr>
                <w:color w:val="000000" w:themeColor="text1"/>
                <w:sz w:val="22"/>
                <w:szCs w:val="22"/>
                <w:lang w:val="pt-BR"/>
              </w:rPr>
              <w:t xml:space="preserve">colabora com universidades e instituições de </w:t>
            </w:r>
            <w:proofErr w:type="gramStart"/>
            <w:r w:rsidRPr="00D174BB">
              <w:rPr>
                <w:color w:val="000000" w:themeColor="text1"/>
                <w:sz w:val="22"/>
                <w:szCs w:val="22"/>
                <w:lang w:val="pt-BR"/>
              </w:rPr>
              <w:t>ensino superior dos Estados membros e Observadores Permanentes da OEA, na internacionalização de suas universidades, com vistas ao treinamento e fortalecimento do capital humano na região</w:t>
            </w:r>
            <w:proofErr w:type="gramEnd"/>
            <w:r w:rsidRPr="00D174BB">
              <w:rPr>
                <w:color w:val="000000" w:themeColor="text1"/>
                <w:sz w:val="22"/>
                <w:szCs w:val="22"/>
                <w:lang w:val="pt-BR"/>
              </w:rPr>
              <w:t xml:space="preserve">. </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rsidP="00E411BC">
            <w:pPr>
              <w:rPr>
                <w:rFonts w:eastAsia="Calibri"/>
                <w:color w:val="000000" w:themeColor="text1"/>
                <w:sz w:val="22"/>
                <w:szCs w:val="22"/>
                <w:lang w:val="pt-BR"/>
              </w:rPr>
            </w:pPr>
            <w:r w:rsidRPr="00D174BB">
              <w:rPr>
                <w:rFonts w:eastAsia="Calibri"/>
                <w:color w:val="000000" w:themeColor="text1"/>
                <w:sz w:val="22"/>
                <w:szCs w:val="22"/>
                <w:lang w:val="pt-BR"/>
              </w:rPr>
              <w:t>Serão postas em relevo as universidades que oferecem programas sobre mudança do clima, gestão de riscos e desastres, resiliência da TI e recuperação de dados em casos de desastre, estudos sobre segurança e resiliência, projeto e resiliência, segurança humana e resiliência, e resiliência urbana.</w:t>
            </w:r>
          </w:p>
          <w:p w:rsidR="00070E69" w:rsidRPr="00D174BB" w:rsidRDefault="00070E69" w:rsidP="00E411BC">
            <w:pPr>
              <w:rPr>
                <w:rFonts w:eastAsia="Calibri"/>
                <w:color w:val="000000" w:themeColor="text1"/>
                <w:sz w:val="22"/>
                <w:szCs w:val="22"/>
                <w:lang w:val="pt-BR"/>
              </w:rPr>
            </w:pPr>
          </w:p>
          <w:p w:rsidR="00070E69" w:rsidRDefault="00070E69" w:rsidP="00B37768">
            <w:pPr>
              <w:rPr>
                <w:rFonts w:eastAsia="Calibri"/>
                <w:color w:val="000000" w:themeColor="text1"/>
                <w:sz w:val="22"/>
                <w:szCs w:val="22"/>
                <w:lang w:val="pt-BR"/>
              </w:rPr>
            </w:pPr>
            <w:r w:rsidRPr="00D174BB">
              <w:rPr>
                <w:rFonts w:eastAsia="Calibri"/>
                <w:color w:val="000000" w:themeColor="text1"/>
                <w:sz w:val="22"/>
                <w:szCs w:val="22"/>
                <w:lang w:val="pt-BR"/>
              </w:rPr>
              <w:t>Projeto da OEA e do Governo do Chile para Bolsas de Estudo e Treinamento, destinado a fortalecer a capacidade da CARICOM na área da gestão do risco de desastres e construção de resiliência climática, mediante a abordagem das dimensões sistêmicas, institucionais e individuais do planejamento de recursos humanos para o desenvolvimento resiliente ao clima no Caribe.</w:t>
            </w:r>
          </w:p>
          <w:p w:rsidR="0079617E" w:rsidRDefault="0079617E" w:rsidP="00B37768">
            <w:pPr>
              <w:rPr>
                <w:rFonts w:eastAsia="Calibri"/>
                <w:color w:val="000000" w:themeColor="text1"/>
                <w:sz w:val="22"/>
                <w:szCs w:val="22"/>
                <w:lang w:val="pt-BR"/>
              </w:rPr>
            </w:pPr>
          </w:p>
          <w:p w:rsidR="0079617E" w:rsidRDefault="0079617E" w:rsidP="00B37768">
            <w:pPr>
              <w:rPr>
                <w:rFonts w:eastAsia="Calibri"/>
                <w:color w:val="000000" w:themeColor="text1"/>
                <w:sz w:val="22"/>
                <w:szCs w:val="22"/>
                <w:lang w:val="pt-BR"/>
              </w:rPr>
            </w:pPr>
          </w:p>
          <w:p w:rsidR="0079617E" w:rsidRDefault="0079617E" w:rsidP="00B37768">
            <w:pPr>
              <w:rPr>
                <w:rFonts w:eastAsia="Calibri"/>
                <w:color w:val="000000" w:themeColor="text1"/>
                <w:sz w:val="22"/>
                <w:szCs w:val="22"/>
                <w:lang w:val="pt-BR"/>
              </w:rPr>
            </w:pPr>
          </w:p>
          <w:p w:rsidR="0079617E" w:rsidRPr="00D174BB" w:rsidRDefault="0079617E" w:rsidP="00B37768">
            <w:pPr>
              <w:rPr>
                <w:color w:val="000000" w:themeColor="text1"/>
                <w:sz w:val="22"/>
                <w:szCs w:val="22"/>
                <w:lang w:val="pt-BR"/>
              </w:rPr>
            </w:pPr>
            <w:bookmarkStart w:id="3" w:name="_GoBack"/>
            <w:bookmarkEnd w:id="3"/>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r w:rsidRPr="00D174BB">
              <w:rPr>
                <w:color w:val="000000" w:themeColor="text1"/>
                <w:sz w:val="22"/>
                <w:szCs w:val="22"/>
                <w:lang w:val="pt-BR"/>
              </w:rPr>
              <w:t>250 cursos de desenvolvimento profissional de curta duração (</w:t>
            </w:r>
            <w:proofErr w:type="gramStart"/>
            <w:r w:rsidRPr="00D174BB">
              <w:rPr>
                <w:color w:val="000000" w:themeColor="text1"/>
                <w:sz w:val="22"/>
                <w:szCs w:val="22"/>
                <w:lang w:val="pt-BR"/>
              </w:rPr>
              <w:t xml:space="preserve">presenciais, </w:t>
            </w:r>
            <w:r w:rsidRPr="00D174BB">
              <w:rPr>
                <w:i/>
                <w:color w:val="000000" w:themeColor="text1"/>
                <w:sz w:val="22"/>
                <w:szCs w:val="22"/>
                <w:lang w:val="pt-BR"/>
              </w:rPr>
              <w:t>online</w:t>
            </w:r>
            <w:proofErr w:type="gramEnd"/>
            <w:r w:rsidRPr="00D174BB">
              <w:rPr>
                <w:color w:val="000000" w:themeColor="text1"/>
                <w:sz w:val="22"/>
                <w:szCs w:val="22"/>
                <w:lang w:val="pt-BR"/>
              </w:rPr>
              <w:t xml:space="preserve"> ou misto).</w:t>
            </w:r>
          </w:p>
        </w:tc>
        <w:tc>
          <w:tcPr>
            <w:tcW w:w="2900" w:type="dxa"/>
            <w:gridSpan w:val="2"/>
            <w:vMerge/>
            <w:tcBorders>
              <w:left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left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2A41AB" w:rsidTr="0079617E">
        <w:trPr>
          <w:trHeight w:val="1388"/>
        </w:trPr>
        <w:tc>
          <w:tcPr>
            <w:tcW w:w="3100" w:type="dxa"/>
            <w:vMerge/>
            <w:tcBorders>
              <w:top w:val="single" w:sz="4" w:space="0" w:color="000000"/>
              <w:left w:val="single" w:sz="4" w:space="0" w:color="000000"/>
              <w:bottom w:val="nil"/>
              <w:right w:val="single" w:sz="4" w:space="0" w:color="000000"/>
            </w:tcBorders>
            <w:shd w:val="clear" w:color="auto" w:fill="auto"/>
            <w:vAlign w:val="center"/>
            <w:hideMark/>
          </w:tcPr>
          <w:p w:rsidR="00070E69" w:rsidRPr="00D174BB" w:rsidRDefault="00070E69">
            <w:pPr>
              <w:rPr>
                <w:b/>
                <w:bCs/>
                <w:color w:val="000000" w:themeColor="text1"/>
                <w:sz w:val="22"/>
                <w:szCs w:val="22"/>
                <w:lang w:val="pt-BR"/>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900" w:type="dxa"/>
            <w:gridSpan w:val="2"/>
            <w:vMerge/>
            <w:tcBorders>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D174BB" w:rsidTr="0079617E">
        <w:trPr>
          <w:trHeight w:val="746"/>
        </w:trPr>
        <w:tc>
          <w:tcPr>
            <w:tcW w:w="3100" w:type="dxa"/>
            <w:tcBorders>
              <w:top w:val="nil"/>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lastRenderedPageBreak/>
              <w:t>INICIATIVAS / ATIVIDADES</w:t>
            </w:r>
          </w:p>
        </w:tc>
        <w:tc>
          <w:tcPr>
            <w:tcW w:w="2835" w:type="dxa"/>
            <w:tcBorders>
              <w:top w:val="single" w:sz="4" w:space="0" w:color="000000"/>
              <w:left w:val="single" w:sz="4" w:space="0" w:color="000000"/>
              <w:bottom w:val="nil"/>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CONTRIBUIÇÃO PARA A </w:t>
            </w:r>
            <w:r w:rsidR="00D174BB" w:rsidRPr="00D174BB">
              <w:rPr>
                <w:b/>
                <w:bCs/>
                <w:color w:val="000000" w:themeColor="text1"/>
                <w:sz w:val="22"/>
                <w:szCs w:val="22"/>
                <w:lang w:val="pt-BR"/>
              </w:rPr>
              <w:t>RESILIÊNCIA E</w:t>
            </w:r>
            <w:r w:rsidRPr="00D174BB">
              <w:rPr>
                <w:b/>
                <w:bCs/>
                <w:color w:val="000000" w:themeColor="text1"/>
                <w:sz w:val="22"/>
                <w:szCs w:val="22"/>
                <w:lang w:val="pt-BR"/>
              </w:rPr>
              <w:t xml:space="preserve"> COMPETITIVIDADE </w:t>
            </w: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COOPERAÇÃO &amp; PARCERIAS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COVID-19</w:t>
            </w:r>
          </w:p>
        </w:tc>
      </w:tr>
      <w:tr w:rsidR="00070E69" w:rsidRPr="002A41AB" w:rsidTr="00070E69">
        <w:trPr>
          <w:trHeight w:val="1388"/>
        </w:trPr>
        <w:tc>
          <w:tcPr>
            <w:tcW w:w="3100" w:type="dxa"/>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rsidP="007C12D6">
            <w:pPr>
              <w:rPr>
                <w:b/>
                <w:bCs/>
                <w:color w:val="000000" w:themeColor="text1"/>
                <w:sz w:val="22"/>
                <w:szCs w:val="22"/>
                <w:lang w:val="pt-BR"/>
              </w:rPr>
            </w:pPr>
            <w:r w:rsidRPr="00D174BB">
              <w:rPr>
                <w:b/>
                <w:bCs/>
                <w:color w:val="000000" w:themeColor="text1"/>
                <w:sz w:val="22"/>
                <w:szCs w:val="22"/>
                <w:lang w:val="pt-BR"/>
              </w:rPr>
              <w:t xml:space="preserve">Portal de Educação das Américas: </w:t>
            </w:r>
            <w:r w:rsidRPr="00D174BB">
              <w:rPr>
                <w:b/>
                <w:bCs/>
                <w:color w:val="000000" w:themeColor="text1"/>
                <w:sz w:val="22"/>
                <w:szCs w:val="22"/>
                <w:lang w:val="pt-BR"/>
              </w:rPr>
              <w:br/>
            </w:r>
            <w:r w:rsidRPr="00D174BB">
              <w:rPr>
                <w:color w:val="000000" w:themeColor="text1"/>
                <w:sz w:val="22"/>
                <w:szCs w:val="22"/>
                <w:lang w:val="pt-BR"/>
              </w:rPr>
              <w:t xml:space="preserve">Promoção de acesso à educação de qualidade por meio das Tecnologias da Informação e das Comunicações (TICs), com pagamento de matrícula, para cursos de desenvolvimento profissional </w:t>
            </w:r>
            <w:r w:rsidRPr="00D174BB">
              <w:rPr>
                <w:i/>
                <w:color w:val="000000" w:themeColor="text1"/>
                <w:sz w:val="22"/>
                <w:szCs w:val="22"/>
                <w:lang w:val="pt-BR"/>
              </w:rPr>
              <w:t>online</w:t>
            </w:r>
            <w:r w:rsidRPr="00D174BB">
              <w:rPr>
                <w:color w:val="000000" w:themeColor="text1"/>
                <w:sz w:val="22"/>
                <w:szCs w:val="22"/>
                <w:lang w:val="pt-BR"/>
              </w:rPr>
              <w:t xml:space="preserve"> para cidadãos dos Estados membros da OEA.</w:t>
            </w:r>
          </w:p>
        </w:tc>
        <w:tc>
          <w:tcPr>
            <w:tcW w:w="2835" w:type="dxa"/>
            <w:tcBorders>
              <w:top w:val="single" w:sz="4" w:space="0" w:color="000000"/>
              <w:left w:val="single" w:sz="4" w:space="0" w:color="000000"/>
              <w:bottom w:val="nil"/>
              <w:right w:val="single" w:sz="4" w:space="0" w:color="000000"/>
            </w:tcBorders>
            <w:hideMark/>
          </w:tcPr>
          <w:p w:rsidR="00070E69" w:rsidRPr="00D174BB" w:rsidRDefault="00070E69">
            <w:pPr>
              <w:rPr>
                <w:color w:val="000000" w:themeColor="text1"/>
                <w:sz w:val="22"/>
                <w:szCs w:val="22"/>
                <w:lang w:val="pt-BR"/>
              </w:rPr>
            </w:pPr>
            <w:r w:rsidRPr="00D174BB">
              <w:rPr>
                <w:color w:val="000000" w:themeColor="text1"/>
                <w:sz w:val="22"/>
                <w:szCs w:val="22"/>
                <w:lang w:val="pt-BR"/>
              </w:rPr>
              <w:t xml:space="preserve">Mediante a facilitação do acesso e treinamento </w:t>
            </w:r>
            <w:r w:rsidRPr="00D174BB">
              <w:rPr>
                <w:i/>
                <w:color w:val="000000" w:themeColor="text1"/>
                <w:sz w:val="22"/>
                <w:szCs w:val="22"/>
                <w:lang w:val="pt-BR"/>
              </w:rPr>
              <w:t xml:space="preserve">online </w:t>
            </w:r>
            <w:r w:rsidRPr="00D174BB">
              <w:rPr>
                <w:color w:val="000000" w:themeColor="text1"/>
                <w:sz w:val="22"/>
                <w:szCs w:val="22"/>
                <w:lang w:val="pt-BR"/>
              </w:rPr>
              <w:t>em desenvolvimento profissional em vários temas, o Portal de Educação contribui para o desenvolvimento de capital humano, desse modo aumentando o nível de competitividade nos países da região.</w:t>
            </w:r>
          </w:p>
        </w:tc>
        <w:tc>
          <w:tcPr>
            <w:tcW w:w="3205" w:type="dxa"/>
            <w:gridSpan w:val="3"/>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color w:val="000000" w:themeColor="text1"/>
                <w:sz w:val="22"/>
                <w:szCs w:val="22"/>
                <w:lang w:val="pt-BR"/>
              </w:rPr>
              <w:t xml:space="preserve">Quatrocentas e cinquenta pessoas beneficiadas com bolsas de estudo de treinamento em desenvolvimento profissional e concessão de mais de 1.000 acessos gratuitos a cursos MOOC. </w:t>
            </w:r>
          </w:p>
        </w:tc>
        <w:tc>
          <w:tcPr>
            <w:tcW w:w="2900" w:type="dxa"/>
            <w:gridSpan w:val="2"/>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rsidP="00967FF8">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CIE, RIED, outros departamentos da SEDI, CITEL, DRH, DPE. Possível colaboração com SSM e CIDH.</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 xml:space="preserve">FUPAD, Convênio Andrés Bello (CAB), FLACSO Chile, Universidade Pontifícia Bolivariana (UPB), outros parceiros acadêmicos. </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 xml:space="preserve">Fortalecimento de competências docentes: </w:t>
            </w:r>
            <w:r w:rsidRPr="00D174BB">
              <w:rPr>
                <w:color w:val="000000" w:themeColor="text1"/>
                <w:sz w:val="22"/>
                <w:szCs w:val="22"/>
                <w:lang w:val="pt-BR"/>
              </w:rPr>
              <w:t>o Portal de Educação das Américas e a Fundação ProFuturo lançarão uma série de vídeos informativos dos Ministérios da Educação e instituições educacionais, apresentando pontos de vista, experiências e recomendações sobre educação virtual e digital.</w:t>
            </w:r>
          </w:p>
        </w:tc>
      </w:tr>
      <w:tr w:rsidR="00070E69" w:rsidRPr="002A41AB" w:rsidTr="00070E69">
        <w:trPr>
          <w:trHeight w:val="1388"/>
        </w:trPr>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b/>
                <w:bCs/>
                <w:color w:val="000000" w:themeColor="text1"/>
                <w:sz w:val="22"/>
                <w:szCs w:val="22"/>
                <w:lang w:val="pt-BR"/>
              </w:rPr>
            </w:pPr>
          </w:p>
        </w:tc>
        <w:tc>
          <w:tcPr>
            <w:tcW w:w="2835" w:type="dxa"/>
            <w:tcBorders>
              <w:top w:val="single" w:sz="4" w:space="0" w:color="000000"/>
              <w:left w:val="single" w:sz="4" w:space="0" w:color="000000"/>
              <w:bottom w:val="nil"/>
              <w:right w:val="single" w:sz="4" w:space="0" w:color="000000"/>
            </w:tcBorders>
            <w:vAlign w:val="center"/>
            <w:hideMark/>
          </w:tcPr>
          <w:p w:rsidR="00070E69" w:rsidRPr="00D174BB" w:rsidRDefault="00070E69" w:rsidP="00967FF8">
            <w:pPr>
              <w:rPr>
                <w:color w:val="000000" w:themeColor="text1"/>
                <w:sz w:val="22"/>
                <w:szCs w:val="22"/>
                <w:lang w:val="pt-BR"/>
              </w:rPr>
            </w:pPr>
            <w:r w:rsidRPr="00D174BB">
              <w:rPr>
                <w:color w:val="000000" w:themeColor="text1"/>
                <w:sz w:val="22"/>
                <w:szCs w:val="22"/>
                <w:lang w:val="pt-BR"/>
              </w:rPr>
              <w:t xml:space="preserve">Mediante uma série de componentes educacionais e tecnológicos, a SEDI pode criar oportunidades para o intercâmbio e criação conjunta de conhecimento em resiliência dentro e fora da OEA. </w:t>
            </w:r>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rsidP="00967FF8">
            <w:pPr>
              <w:rPr>
                <w:color w:val="000000" w:themeColor="text1"/>
                <w:sz w:val="22"/>
                <w:szCs w:val="22"/>
                <w:lang w:val="pt-BR"/>
              </w:rPr>
            </w:pPr>
            <w:r w:rsidRPr="00D174BB">
              <w:rPr>
                <w:color w:val="000000" w:themeColor="text1"/>
                <w:sz w:val="22"/>
                <w:szCs w:val="22"/>
                <w:lang w:val="pt-BR"/>
              </w:rPr>
              <w:t>Ao menos duas soluções de educação propostas a outras secretarias ou iniciativas da OEA.</w:t>
            </w:r>
          </w:p>
        </w:tc>
        <w:tc>
          <w:tcPr>
            <w:tcW w:w="29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2A41AB" w:rsidTr="00070E69">
        <w:trPr>
          <w:trHeight w:val="1388"/>
        </w:trPr>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b/>
                <w:bCs/>
                <w:color w:val="000000" w:themeColor="text1"/>
                <w:sz w:val="22"/>
                <w:szCs w:val="22"/>
                <w:lang w:val="pt-BR"/>
              </w:rPr>
            </w:pPr>
          </w:p>
        </w:tc>
        <w:tc>
          <w:tcPr>
            <w:tcW w:w="2835" w:type="dxa"/>
            <w:tcBorders>
              <w:top w:val="single" w:sz="4" w:space="0" w:color="000000"/>
              <w:left w:val="single" w:sz="4" w:space="0" w:color="000000"/>
              <w:bottom w:val="nil"/>
              <w:right w:val="single" w:sz="4" w:space="0" w:color="000000"/>
            </w:tcBorders>
            <w:vAlign w:val="center"/>
            <w:hideMark/>
          </w:tcPr>
          <w:p w:rsidR="00070E69" w:rsidRPr="00D174BB" w:rsidRDefault="00070E69" w:rsidP="00967FF8">
            <w:pPr>
              <w:rPr>
                <w:color w:val="000000" w:themeColor="text1"/>
                <w:sz w:val="22"/>
                <w:szCs w:val="22"/>
                <w:lang w:val="pt-BR"/>
              </w:rPr>
            </w:pPr>
            <w:r w:rsidRPr="00D174BB">
              <w:rPr>
                <w:color w:val="000000" w:themeColor="text1"/>
                <w:sz w:val="22"/>
                <w:szCs w:val="22"/>
                <w:lang w:val="pt-BR"/>
              </w:rPr>
              <w:t xml:space="preserve">A integração do conhecimento, experiência e recursos da OEA em resiliência pode aumentar o valor agregado da Organização nessa área. </w:t>
            </w:r>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rsidP="004A1A95">
            <w:pPr>
              <w:rPr>
                <w:color w:val="000000" w:themeColor="text1"/>
                <w:sz w:val="22"/>
                <w:szCs w:val="22"/>
                <w:lang w:val="pt-BR"/>
              </w:rPr>
            </w:pPr>
            <w:r w:rsidRPr="00D174BB">
              <w:rPr>
                <w:color w:val="000000" w:themeColor="text1"/>
                <w:sz w:val="22"/>
                <w:szCs w:val="22"/>
                <w:lang w:val="pt-BR"/>
              </w:rPr>
              <w:t>Identificação de necessidades de treinamento em outras Secretarias ou iniciativas da OEA e apresentação de propostas de colaboração, utilizando a experiência técnica e as ferramentas tecnológicas do Portal de Educação das Américas.</w:t>
            </w:r>
          </w:p>
        </w:tc>
        <w:tc>
          <w:tcPr>
            <w:tcW w:w="29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Colaboração para segurança:</w:t>
            </w:r>
            <w:r w:rsidRPr="00D174BB">
              <w:rPr>
                <w:color w:val="000000" w:themeColor="text1"/>
                <w:sz w:val="22"/>
                <w:szCs w:val="22"/>
                <w:lang w:val="pt-BR"/>
              </w:rPr>
              <w:t xml:space="preserve"> o Portal de Educação das Américas vem unindo esforços com o Departamento de Segurança Pública da OEA para responder à covid-19, mediante a criação de uma rede virtual de segurança para promover o intercâmbio, a sistematização e a consulta de informação em áreas relacionadas à segurança e à justiça criminal, sistemas de emergência e segurança, observatórios do crime e prisões.</w:t>
            </w:r>
          </w:p>
        </w:tc>
      </w:tr>
      <w:tr w:rsidR="00070E69" w:rsidRPr="002A41AB" w:rsidTr="0079617E">
        <w:trPr>
          <w:trHeight w:val="539"/>
        </w:trPr>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b/>
                <w:bCs/>
                <w:color w:val="000000" w:themeColor="text1"/>
                <w:sz w:val="22"/>
                <w:szCs w:val="22"/>
                <w:lang w:val="pt-BR"/>
              </w:rPr>
            </w:pPr>
          </w:p>
        </w:tc>
        <w:tc>
          <w:tcPr>
            <w:tcW w:w="2835" w:type="dxa"/>
            <w:tcBorders>
              <w:top w:val="single" w:sz="4" w:space="0" w:color="000000"/>
              <w:left w:val="single" w:sz="4" w:space="0" w:color="000000"/>
              <w:bottom w:val="nil"/>
              <w:right w:val="single" w:sz="4" w:space="0" w:color="000000"/>
            </w:tcBorders>
            <w:vAlign w:val="center"/>
            <w:hideMark/>
          </w:tcPr>
          <w:p w:rsidR="00070E69" w:rsidRPr="00D174BB" w:rsidRDefault="00070E69" w:rsidP="004A1A95">
            <w:pPr>
              <w:rPr>
                <w:color w:val="000000" w:themeColor="text1"/>
                <w:sz w:val="22"/>
                <w:szCs w:val="22"/>
                <w:lang w:val="pt-BR"/>
              </w:rPr>
            </w:pPr>
            <w:r w:rsidRPr="00D174BB">
              <w:rPr>
                <w:color w:val="000000" w:themeColor="text1"/>
                <w:sz w:val="22"/>
                <w:szCs w:val="22"/>
                <w:lang w:val="pt-BR"/>
              </w:rPr>
              <w:t xml:space="preserve">Colaboração com outros departamentos da SEDI na preparação de uma proposta integrada sobre resiliência e desastres naturais </w:t>
            </w:r>
          </w:p>
        </w:tc>
        <w:tc>
          <w:tcPr>
            <w:tcW w:w="3205" w:type="dxa"/>
            <w:gridSpan w:val="3"/>
            <w:tcBorders>
              <w:top w:val="single" w:sz="4" w:space="0" w:color="000000"/>
              <w:left w:val="single" w:sz="4" w:space="0" w:color="000000"/>
              <w:bottom w:val="single" w:sz="4" w:space="0" w:color="000000"/>
              <w:right w:val="single" w:sz="4" w:space="0" w:color="000000"/>
            </w:tcBorders>
            <w:hideMark/>
          </w:tcPr>
          <w:p w:rsidR="00070E69" w:rsidRPr="00D174BB" w:rsidRDefault="00070E69" w:rsidP="004A1A95">
            <w:pPr>
              <w:rPr>
                <w:color w:val="000000" w:themeColor="text1"/>
                <w:sz w:val="22"/>
                <w:szCs w:val="22"/>
                <w:lang w:val="pt-BR"/>
              </w:rPr>
            </w:pPr>
            <w:r w:rsidRPr="00D174BB">
              <w:rPr>
                <w:color w:val="000000" w:themeColor="text1"/>
                <w:sz w:val="22"/>
                <w:szCs w:val="22"/>
                <w:lang w:val="pt-BR"/>
              </w:rPr>
              <w:t xml:space="preserve"> a) treinamento </w:t>
            </w:r>
            <w:r w:rsidRPr="00D174BB">
              <w:rPr>
                <w:i/>
                <w:color w:val="000000" w:themeColor="text1"/>
                <w:sz w:val="22"/>
                <w:szCs w:val="22"/>
                <w:lang w:val="pt-BR"/>
              </w:rPr>
              <w:t>online</w:t>
            </w:r>
            <w:r w:rsidRPr="00D174BB">
              <w:rPr>
                <w:color w:val="000000" w:themeColor="text1"/>
                <w:sz w:val="22"/>
                <w:szCs w:val="22"/>
                <w:lang w:val="pt-BR"/>
              </w:rPr>
              <w:t xml:space="preserve">; b) comunidade de prática para que especialistas compartilhem e construam conhecimento no assunto; c) mapeamento de melhores práticas; d) material educacional sobre o tema. Proposta pronta para apresentação ao DPE em busca </w:t>
            </w:r>
            <w:r w:rsidRPr="00D174BB">
              <w:rPr>
                <w:color w:val="000000" w:themeColor="text1"/>
                <w:sz w:val="22"/>
                <w:szCs w:val="22"/>
                <w:lang w:val="pt-BR"/>
              </w:rPr>
              <w:lastRenderedPageBreak/>
              <w:t>de financiamento.</w:t>
            </w:r>
          </w:p>
        </w:tc>
        <w:tc>
          <w:tcPr>
            <w:tcW w:w="29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D174BB" w:rsidTr="00096131">
        <w:trPr>
          <w:trHeight w:val="935"/>
        </w:trPr>
        <w:tc>
          <w:tcPr>
            <w:tcW w:w="31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lastRenderedPageBreak/>
              <w:t>INICIATIVAS / ATIVIDADES</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700" w:type="dxa"/>
            <w:tcBorders>
              <w:top w:val="single" w:sz="4" w:space="0" w:color="000000"/>
              <w:left w:val="single" w:sz="4" w:space="0" w:color="000000"/>
              <w:bottom w:val="single" w:sz="4" w:space="0" w:color="000000"/>
              <w:right w:val="single" w:sz="4" w:space="0" w:color="000000"/>
            </w:tcBorders>
            <w:shd w:val="clear" w:color="auto" w:fill="FFFF00"/>
          </w:tcPr>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070E69" w:rsidRPr="00D174BB" w:rsidRDefault="00070E69" w:rsidP="00E411BC">
            <w:pPr>
              <w:jc w:val="center"/>
              <w:rPr>
                <w:b/>
                <w:bCs/>
                <w:color w:val="000000" w:themeColor="text1"/>
                <w:sz w:val="22"/>
                <w:szCs w:val="22"/>
                <w:lang w:val="pt-BR"/>
              </w:rPr>
            </w:pPr>
            <w:r w:rsidRPr="00D174BB">
              <w:rPr>
                <w:b/>
                <w:bCs/>
                <w:color w:val="000000" w:themeColor="text1"/>
                <w:sz w:val="22"/>
                <w:szCs w:val="22"/>
                <w:lang w:val="pt-BR"/>
              </w:rPr>
              <w:t>COVID-19</w:t>
            </w:r>
          </w:p>
        </w:tc>
      </w:tr>
      <w:tr w:rsidR="00070E69" w:rsidRPr="002A41AB" w:rsidTr="00096131">
        <w:trPr>
          <w:trHeight w:val="1388"/>
        </w:trPr>
        <w:tc>
          <w:tcPr>
            <w:tcW w:w="3100" w:type="dxa"/>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Programa do Fundo Rowe:</w:t>
            </w:r>
            <w:r w:rsidRPr="00D174BB">
              <w:rPr>
                <w:b/>
                <w:bCs/>
                <w:color w:val="000000" w:themeColor="text1"/>
                <w:sz w:val="22"/>
                <w:szCs w:val="22"/>
                <w:lang w:val="pt-BR"/>
              </w:rPr>
              <w:br/>
            </w:r>
            <w:r w:rsidRPr="00D174BB">
              <w:rPr>
                <w:color w:val="000000" w:themeColor="text1"/>
                <w:sz w:val="22"/>
                <w:szCs w:val="22"/>
                <w:lang w:val="pt-BR"/>
              </w:rPr>
              <w:t xml:space="preserve">programa de empréstimo educacional da Organização dos Estados Americanos (OEA), que ajuda cidadãos dos Estados membros da OEA da América Latina e do Caribe a financiar estudos ou pesquisa em universidades credenciadas em todos os Estados Unidos, mediante a concessão de empréstimos sem juros de até US$15.000. </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color w:val="000000" w:themeColor="text1"/>
                <w:sz w:val="22"/>
                <w:szCs w:val="22"/>
                <w:lang w:val="pt-BR"/>
              </w:rPr>
              <w:t xml:space="preserve">Análise de oportunidades em resiliência, oferecidas por universidades dos Estados Unidos, especialmente treinamento </w:t>
            </w:r>
            <w:r w:rsidRPr="00D174BB">
              <w:rPr>
                <w:i/>
                <w:color w:val="000000" w:themeColor="text1"/>
                <w:sz w:val="22"/>
                <w:szCs w:val="22"/>
                <w:lang w:val="pt-BR"/>
              </w:rPr>
              <w:t xml:space="preserve">online </w:t>
            </w:r>
            <w:r w:rsidRPr="00D174BB">
              <w:rPr>
                <w:color w:val="000000" w:themeColor="text1"/>
                <w:sz w:val="22"/>
                <w:szCs w:val="22"/>
                <w:lang w:val="pt-BR"/>
              </w:rPr>
              <w:t>gratuito ou oferecido a preço módico em questões de resiliência e competitividade.</w:t>
            </w:r>
          </w:p>
        </w:tc>
        <w:tc>
          <w:tcPr>
            <w:tcW w:w="3205" w:type="dxa"/>
            <w:gridSpan w:val="3"/>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color w:val="000000" w:themeColor="text1"/>
                <w:sz w:val="22"/>
                <w:szCs w:val="22"/>
                <w:lang w:val="pt-BR"/>
              </w:rPr>
              <w:t>Concessão de ajuda financeira a mais de 100 cidadãos de 32 Estados membros da OEA para a conclusão de estudos superiores em universidades dos Estados Unidos.</w:t>
            </w:r>
          </w:p>
        </w:tc>
        <w:tc>
          <w:tcPr>
            <w:tcW w:w="2900" w:type="dxa"/>
            <w:gridSpan w:val="2"/>
            <w:vMerge w:val="restart"/>
            <w:tcBorders>
              <w:top w:val="single" w:sz="4" w:space="0" w:color="000000"/>
              <w:left w:val="single" w:sz="4" w:space="0" w:color="000000"/>
              <w:bottom w:val="single" w:sz="4" w:space="0" w:color="000000"/>
              <w:right w:val="single" w:sz="4" w:space="0" w:color="000000"/>
            </w:tcBorders>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 xml:space="preserve">Internamente (OEA): </w:t>
            </w:r>
            <w:r w:rsidRPr="00D174BB">
              <w:rPr>
                <w:color w:val="000000" w:themeColor="text1"/>
                <w:sz w:val="22"/>
                <w:szCs w:val="22"/>
                <w:lang w:val="pt-BR"/>
              </w:rPr>
              <w:t>colaboração com o DRH e a Associação do Pessoal da OEA.</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Externamente:</w:t>
            </w:r>
            <w:r w:rsidRPr="00D174BB">
              <w:rPr>
                <w:color w:val="000000" w:themeColor="text1"/>
                <w:sz w:val="22"/>
                <w:szCs w:val="22"/>
                <w:lang w:val="pt-BR"/>
              </w:rPr>
              <w:t xml:space="preserve"> parcerias informais com muitas entidades, inclusive universidades dos Estados Unidos, Education USA, bolsas de estudos/programas de empréstimos, BMI, WIEC, NAFSA e instituições de ensino superior. Estados membros da OEA.</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070E69" w:rsidRPr="00D174BB" w:rsidRDefault="00070E69">
            <w:pPr>
              <w:rPr>
                <w:color w:val="000000" w:themeColor="text1"/>
                <w:sz w:val="22"/>
                <w:szCs w:val="22"/>
                <w:lang w:val="pt-BR"/>
              </w:rPr>
            </w:pPr>
            <w:r w:rsidRPr="00D174BB">
              <w:rPr>
                <w:b/>
                <w:bCs/>
                <w:color w:val="000000" w:themeColor="text1"/>
                <w:sz w:val="22"/>
                <w:szCs w:val="22"/>
                <w:lang w:val="pt-BR"/>
              </w:rPr>
              <w:t xml:space="preserve">Apoio a estudantes internacionais: </w:t>
            </w:r>
            <w:r w:rsidRPr="00D174BB">
              <w:rPr>
                <w:color w:val="000000" w:themeColor="text1"/>
                <w:sz w:val="22"/>
                <w:szCs w:val="22"/>
                <w:lang w:val="pt-BR"/>
              </w:rPr>
              <w:t>quantia adicional de $2.000 acrescentada a empréstimos sem juros do Programa do Fundo Rowe.</w:t>
            </w:r>
          </w:p>
        </w:tc>
      </w:tr>
      <w:tr w:rsidR="00070E69" w:rsidRPr="002A41AB" w:rsidTr="00096131">
        <w:trPr>
          <w:trHeight w:val="1388"/>
        </w:trPr>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r w:rsidRPr="00D174BB">
              <w:rPr>
                <w:color w:val="000000" w:themeColor="text1"/>
                <w:sz w:val="22"/>
                <w:szCs w:val="22"/>
                <w:lang w:val="pt-BR"/>
              </w:rPr>
              <w:t>Concessão de mais de 30 empréstimos educacionais a pessoal da SG/OEA para estudos próprios ou de dependentes.</w:t>
            </w:r>
          </w:p>
        </w:tc>
        <w:tc>
          <w:tcPr>
            <w:tcW w:w="29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r w:rsidR="00070E69" w:rsidRPr="002A41AB" w:rsidTr="00096131">
        <w:trPr>
          <w:trHeight w:val="1388"/>
        </w:trPr>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3205" w:type="dxa"/>
            <w:gridSpan w:val="3"/>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r w:rsidRPr="00D174BB">
              <w:rPr>
                <w:color w:val="000000" w:themeColor="text1"/>
                <w:sz w:val="22"/>
                <w:szCs w:val="22"/>
                <w:lang w:val="pt-BR"/>
              </w:rPr>
              <w:t xml:space="preserve">Manutenção da satisfação dos interessados, gestão de mais de 400 contas e portfólios de investimento, e maior visibilidade do programa entre os países menos representados. </w:t>
            </w:r>
          </w:p>
        </w:tc>
        <w:tc>
          <w:tcPr>
            <w:tcW w:w="2900" w:type="dxa"/>
            <w:gridSpan w:val="2"/>
            <w:vMerge/>
            <w:tcBorders>
              <w:top w:val="single" w:sz="4" w:space="0" w:color="000000"/>
              <w:left w:val="single" w:sz="4" w:space="0" w:color="000000"/>
              <w:bottom w:val="single" w:sz="4" w:space="0" w:color="000000"/>
              <w:right w:val="single" w:sz="4" w:space="0" w:color="000000"/>
            </w:tcBorders>
            <w:vAlign w:val="center"/>
            <w:hideMark/>
          </w:tcPr>
          <w:p w:rsidR="00070E69" w:rsidRPr="00D174BB" w:rsidRDefault="00070E69">
            <w:pPr>
              <w:rPr>
                <w:color w:val="000000" w:themeColor="text1"/>
                <w:sz w:val="22"/>
                <w:szCs w:val="22"/>
                <w:lang w:val="pt-BR"/>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70E69" w:rsidRPr="00D174BB" w:rsidRDefault="00070E69">
            <w:pPr>
              <w:rPr>
                <w:color w:val="000000" w:themeColor="text1"/>
                <w:sz w:val="22"/>
                <w:szCs w:val="22"/>
                <w:lang w:val="pt-BR"/>
              </w:rPr>
            </w:pPr>
          </w:p>
        </w:tc>
      </w:tr>
    </w:tbl>
    <w:p w:rsidR="00910C92" w:rsidRPr="00D174BB" w:rsidRDefault="00910C92" w:rsidP="00910C92">
      <w:pPr>
        <w:rPr>
          <w:b/>
          <w:color w:val="000000" w:themeColor="text1"/>
          <w:sz w:val="22"/>
          <w:szCs w:val="22"/>
          <w:u w:val="single"/>
          <w:lang w:val="pt-BR"/>
        </w:rPr>
      </w:pPr>
    </w:p>
    <w:tbl>
      <w:tblPr>
        <w:tblW w:w="14745" w:type="dxa"/>
        <w:tblInd w:w="113" w:type="dxa"/>
        <w:tblLayout w:type="fixed"/>
        <w:tblLook w:val="04A0" w:firstRow="1" w:lastRow="0" w:firstColumn="1" w:lastColumn="0" w:noHBand="0" w:noVBand="1"/>
      </w:tblPr>
      <w:tblGrid>
        <w:gridCol w:w="3100"/>
        <w:gridCol w:w="2910"/>
        <w:gridCol w:w="645"/>
        <w:gridCol w:w="2265"/>
        <w:gridCol w:w="615"/>
        <w:gridCol w:w="1801"/>
        <w:gridCol w:w="495"/>
        <w:gridCol w:w="2914"/>
      </w:tblGrid>
      <w:tr w:rsidR="00AF43D0" w:rsidRPr="00D174BB" w:rsidTr="00096131">
        <w:trPr>
          <w:trHeight w:val="278"/>
        </w:trPr>
        <w:tc>
          <w:tcPr>
            <w:tcW w:w="31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2911" w:type="dxa"/>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911" w:type="dxa"/>
            <w:gridSpan w:val="2"/>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911" w:type="dxa"/>
            <w:gridSpan w:val="3"/>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911" w:type="dxa"/>
            <w:tcBorders>
              <w:top w:val="single" w:sz="4" w:space="0" w:color="auto"/>
              <w:left w:val="nil"/>
              <w:bottom w:val="single" w:sz="4" w:space="0" w:color="auto"/>
              <w:right w:val="single" w:sz="4" w:space="0" w:color="auto"/>
            </w:tcBorders>
            <w:shd w:val="clear" w:color="auto" w:fill="FFFF00"/>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COVID-19</w:t>
            </w:r>
          </w:p>
        </w:tc>
      </w:tr>
      <w:tr w:rsidR="00910C92" w:rsidRPr="002A41AB" w:rsidTr="00AF43D0">
        <w:trPr>
          <w:trHeight w:val="278"/>
        </w:trPr>
        <w:tc>
          <w:tcPr>
            <w:tcW w:w="3101" w:type="dxa"/>
            <w:tcBorders>
              <w:top w:val="single" w:sz="4" w:space="0" w:color="auto"/>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color w:val="000000" w:themeColor="text1"/>
                <w:sz w:val="22"/>
                <w:szCs w:val="22"/>
                <w:u w:val="single"/>
                <w:lang w:val="pt-BR"/>
              </w:rPr>
              <w:br w:type="page"/>
            </w:r>
            <w:r w:rsidRPr="00D174BB">
              <w:rPr>
                <w:b/>
                <w:bCs/>
                <w:color w:val="000000" w:themeColor="text1"/>
                <w:sz w:val="22"/>
                <w:szCs w:val="22"/>
                <w:lang w:val="pt-BR"/>
              </w:rPr>
              <w:t xml:space="preserve">LINHA ESTRATÉGICA </w:t>
            </w:r>
          </w:p>
        </w:tc>
        <w:tc>
          <w:tcPr>
            <w:tcW w:w="11644" w:type="dxa"/>
            <w:gridSpan w:val="7"/>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4. </w:t>
            </w:r>
            <w:r w:rsidRPr="00D174BB">
              <w:rPr>
                <w:b/>
                <w:bCs/>
                <w:sz w:val="22"/>
                <w:szCs w:val="22"/>
                <w:lang w:val="pt-BR"/>
              </w:rPr>
              <w:t>Promover trabalho decente, digno e produtivo para todos</w:t>
            </w:r>
          </w:p>
        </w:tc>
      </w:tr>
      <w:tr w:rsidR="00910C92" w:rsidRPr="002A41AB" w:rsidTr="00AF43D0">
        <w:trPr>
          <w:trHeight w:val="278"/>
        </w:trPr>
        <w:tc>
          <w:tcPr>
            <w:tcW w:w="3101"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44" w:type="dxa"/>
            <w:gridSpan w:val="7"/>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4.1. </w:t>
            </w:r>
            <w:r w:rsidRPr="00D174BB">
              <w:rPr>
                <w:b/>
                <w:bCs/>
                <w:sz w:val="22"/>
                <w:szCs w:val="22"/>
                <w:lang w:val="pt-BR"/>
              </w:rPr>
              <w:t>Fortalecer a capacidade institucional dos Estados membros, com vistas ao fortalecimento de sistemas de educação e formação contínua, que permitam dispor de melhor força de trabalho</w:t>
            </w:r>
          </w:p>
        </w:tc>
      </w:tr>
      <w:tr w:rsidR="00910C92" w:rsidRPr="00D174BB" w:rsidTr="00AF43D0">
        <w:trPr>
          <w:trHeight w:val="420"/>
        </w:trPr>
        <w:tc>
          <w:tcPr>
            <w:tcW w:w="14745" w:type="dxa"/>
            <w:gridSpan w:val="8"/>
            <w:tcBorders>
              <w:top w:val="single" w:sz="4" w:space="0" w:color="auto"/>
              <w:left w:val="single" w:sz="4" w:space="0" w:color="auto"/>
              <w:bottom w:val="single" w:sz="4" w:space="0" w:color="auto"/>
              <w:right w:val="single" w:sz="4" w:space="0" w:color="auto"/>
            </w:tcBorders>
            <w:shd w:val="clear" w:color="auto" w:fill="F2F2F2"/>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Trabalho</w:t>
            </w:r>
          </w:p>
        </w:tc>
      </w:tr>
      <w:tr w:rsidR="00910C92" w:rsidRPr="002A41AB" w:rsidTr="00AF43D0">
        <w:trPr>
          <w:trHeight w:val="2040"/>
        </w:trPr>
        <w:tc>
          <w:tcPr>
            <w:tcW w:w="3101" w:type="dxa"/>
            <w:tcBorders>
              <w:top w:val="nil"/>
              <w:left w:val="single" w:sz="4" w:space="0" w:color="auto"/>
              <w:bottom w:val="single" w:sz="4" w:space="0" w:color="auto"/>
              <w:right w:val="single" w:sz="4" w:space="0" w:color="auto"/>
            </w:tcBorders>
            <w:shd w:val="clear" w:color="auto" w:fill="FFFFF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lastRenderedPageBreak/>
              <w:t>Conferência Interamericana de Ministros do Trabalho (CIMT)</w:t>
            </w:r>
          </w:p>
        </w:tc>
        <w:tc>
          <w:tcPr>
            <w:tcW w:w="3556" w:type="dxa"/>
            <w:gridSpan w:val="2"/>
            <w:vMerge w:val="restart"/>
            <w:tcBorders>
              <w:top w:val="nil"/>
              <w:left w:val="single" w:sz="4" w:space="0" w:color="auto"/>
              <w:bottom w:val="single" w:sz="4" w:space="0" w:color="auto"/>
              <w:right w:val="single" w:sz="4" w:space="0" w:color="auto"/>
            </w:tcBorders>
            <w:shd w:val="clear" w:color="auto" w:fill="FFFFFF"/>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Apoio à melhor coordenação entre educação e trabalho, a fim de fazer com que os sistemas de educação e de treinamento permanente tenham melhor conhecimento da mudança tecnológica e das novas necessidades do setor produtivo, e a eles respondam. Reconhecimento de que a abordagem da lacuna de competências e a identificação e desenvolvimento de “competências para o futuro”, melhor preparando a força de trabalho, são ações que aumentam a produtividade e a competitividade nas Américas, além de contribuírem para construir economias mais resilientes e sustentáveis. </w:t>
            </w: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p>
          <w:p w:rsidR="00910C92" w:rsidRPr="00D174BB" w:rsidRDefault="00910C92">
            <w:pPr>
              <w:rPr>
                <w:color w:val="000000" w:themeColor="text1"/>
                <w:sz w:val="22"/>
                <w:szCs w:val="22"/>
                <w:lang w:val="pt-BR"/>
              </w:rPr>
            </w:pPr>
          </w:p>
        </w:tc>
        <w:tc>
          <w:tcPr>
            <w:tcW w:w="2881" w:type="dxa"/>
            <w:gridSpan w:val="2"/>
            <w:vMerge w:val="restart"/>
            <w:tcBorders>
              <w:top w:val="nil"/>
              <w:left w:val="single" w:sz="4" w:space="0" w:color="auto"/>
              <w:bottom w:val="single" w:sz="4" w:space="0" w:color="auto"/>
              <w:right w:val="single" w:sz="4" w:space="0" w:color="auto"/>
            </w:tcBorders>
            <w:shd w:val="clear" w:color="auto" w:fill="FFFFFF"/>
            <w:hideMark/>
          </w:tcPr>
          <w:p w:rsidR="00910C92" w:rsidRPr="00D174BB" w:rsidRDefault="00910C92">
            <w:pPr>
              <w:rPr>
                <w:color w:val="000000" w:themeColor="text1"/>
                <w:sz w:val="22"/>
                <w:szCs w:val="22"/>
                <w:lang w:val="pt-BR"/>
              </w:rPr>
            </w:pPr>
            <w:r w:rsidRPr="00D174BB">
              <w:rPr>
                <w:color w:val="000000" w:themeColor="text1"/>
                <w:sz w:val="22"/>
                <w:szCs w:val="22"/>
                <w:lang w:val="pt-BR"/>
              </w:rPr>
              <w:t>Desenvolvimento de uma Estrutura Regional de Qualificação para orientar os Sistemas Nacionais de Qualificação.</w:t>
            </w:r>
          </w:p>
        </w:tc>
        <w:tc>
          <w:tcPr>
            <w:tcW w:w="1801" w:type="dxa"/>
            <w:vMerge w:val="restart"/>
            <w:tcBorders>
              <w:top w:val="nil"/>
              <w:left w:val="single" w:sz="4" w:space="0" w:color="auto"/>
              <w:bottom w:val="single" w:sz="4" w:space="0" w:color="auto"/>
              <w:right w:val="single" w:sz="4" w:space="0" w:color="auto"/>
            </w:tcBorders>
            <w:shd w:val="clear" w:color="auto" w:fill="FFFFFF"/>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3406" w:type="dxa"/>
            <w:gridSpan w:val="2"/>
            <w:vMerge w:val="restart"/>
            <w:tcBorders>
              <w:top w:val="nil"/>
              <w:left w:val="single" w:sz="4" w:space="0" w:color="auto"/>
              <w:bottom w:val="single" w:sz="4" w:space="0" w:color="auto"/>
              <w:right w:val="single" w:sz="4" w:space="0" w:color="auto"/>
            </w:tcBorders>
            <w:shd w:val="clear" w:color="auto" w:fill="FFFF00"/>
            <w:hideMark/>
          </w:tcPr>
          <w:p w:rsidR="00910C92" w:rsidRPr="00D174BB" w:rsidRDefault="00910C92" w:rsidP="00A90B51">
            <w:pPr>
              <w:rPr>
                <w:color w:val="000000" w:themeColor="text1"/>
                <w:sz w:val="22"/>
                <w:szCs w:val="22"/>
                <w:lang w:val="pt-BR"/>
              </w:rPr>
            </w:pPr>
            <w:r w:rsidRPr="00D174BB">
              <w:rPr>
                <w:b/>
                <w:bCs/>
                <w:color w:val="000000" w:themeColor="text1"/>
                <w:sz w:val="22"/>
                <w:szCs w:val="22"/>
                <w:lang w:val="pt-BR"/>
              </w:rPr>
              <w:t xml:space="preserve">Intercâmbio de conhecimentos e boas práticas: </w:t>
            </w:r>
            <w:r w:rsidRPr="00D174BB">
              <w:rPr>
                <w:bCs/>
                <w:color w:val="000000" w:themeColor="text1"/>
                <w:sz w:val="22"/>
                <w:szCs w:val="22"/>
                <w:lang w:val="pt-BR"/>
              </w:rPr>
              <w:t>os Estados membros</w:t>
            </w:r>
            <w:r w:rsidRPr="00D174BB">
              <w:rPr>
                <w:b/>
                <w:bCs/>
                <w:color w:val="000000" w:themeColor="text1"/>
                <w:sz w:val="22"/>
                <w:szCs w:val="22"/>
                <w:lang w:val="pt-BR"/>
              </w:rPr>
              <w:t xml:space="preserve"> </w:t>
            </w:r>
            <w:r w:rsidRPr="00D174BB">
              <w:rPr>
                <w:bCs/>
                <w:color w:val="000000" w:themeColor="text1"/>
                <w:sz w:val="22"/>
                <w:szCs w:val="22"/>
                <w:lang w:val="pt-BR"/>
              </w:rPr>
              <w:t>têm</w:t>
            </w:r>
            <w:r w:rsidRPr="00D174BB">
              <w:rPr>
                <w:b/>
                <w:bCs/>
                <w:color w:val="000000" w:themeColor="text1"/>
                <w:sz w:val="22"/>
                <w:szCs w:val="22"/>
                <w:lang w:val="pt-BR"/>
              </w:rPr>
              <w:t xml:space="preserve"> </w:t>
            </w:r>
            <w:r w:rsidRPr="00D174BB">
              <w:rPr>
                <w:color w:val="000000" w:themeColor="text1"/>
                <w:sz w:val="22"/>
                <w:szCs w:val="22"/>
                <w:lang w:val="pt-BR"/>
              </w:rPr>
              <w:t xml:space="preserve">acesso e oportunidades para aprender, compartilhar projetos, experiências e outros recursos que podem ajudar a organizar, replicar ou adaptar iniciativas para reduzir os desafios da </w:t>
            </w:r>
            <w:r w:rsidR="002579BC" w:rsidRPr="00D174BB">
              <w:rPr>
                <w:color w:val="000000" w:themeColor="text1"/>
                <w:sz w:val="22"/>
                <w:szCs w:val="22"/>
                <w:lang w:val="pt-BR"/>
              </w:rPr>
              <w:t>covid</w:t>
            </w:r>
            <w:r w:rsidRPr="00D174BB">
              <w:rPr>
                <w:color w:val="000000" w:themeColor="text1"/>
                <w:sz w:val="22"/>
                <w:szCs w:val="22"/>
                <w:lang w:val="pt-BR"/>
              </w:rPr>
              <w:t xml:space="preserve">-19. </w:t>
            </w:r>
            <w:r w:rsidRPr="00D174BB">
              <w:rPr>
                <w:color w:val="000000" w:themeColor="text1"/>
                <w:sz w:val="22"/>
                <w:szCs w:val="22"/>
                <w:lang w:val="pt-BR"/>
              </w:rPr>
              <w:br/>
            </w:r>
            <w:r w:rsidRPr="00D174BB">
              <w:rPr>
                <w:color w:val="000000" w:themeColor="text1"/>
                <w:sz w:val="22"/>
                <w:szCs w:val="22"/>
                <w:lang w:val="pt-BR"/>
              </w:rPr>
              <w:br/>
              <w:t xml:space="preserve">- Participação em </w:t>
            </w:r>
            <w:r w:rsidR="00096131" w:rsidRPr="00D174BB">
              <w:rPr>
                <w:color w:val="000000" w:themeColor="text1"/>
                <w:sz w:val="22"/>
                <w:szCs w:val="22"/>
                <w:lang w:val="pt-BR"/>
              </w:rPr>
              <w:t>um ciclo</w:t>
            </w:r>
            <w:r w:rsidRPr="00D174BB">
              <w:rPr>
                <w:color w:val="000000" w:themeColor="text1"/>
                <w:sz w:val="22"/>
                <w:szCs w:val="22"/>
                <w:lang w:val="pt-BR"/>
              </w:rPr>
              <w:t xml:space="preserve"> de reuniões virtuais, </w:t>
            </w:r>
            <w:r w:rsidR="00A90B51">
              <w:rPr>
                <w:color w:val="000000" w:themeColor="text1"/>
                <w:sz w:val="22"/>
                <w:szCs w:val="22"/>
                <w:lang w:val="pt-BR"/>
              </w:rPr>
              <w:t>seminários web</w:t>
            </w:r>
            <w:r w:rsidRPr="00D174BB">
              <w:rPr>
                <w:color w:val="000000" w:themeColor="text1"/>
                <w:sz w:val="22"/>
                <w:szCs w:val="22"/>
                <w:lang w:val="pt-BR"/>
              </w:rPr>
              <w:t xml:space="preserve"> e </w:t>
            </w:r>
            <w:r w:rsidR="00A90B51">
              <w:rPr>
                <w:color w:val="000000" w:themeColor="text1"/>
                <w:sz w:val="22"/>
                <w:szCs w:val="22"/>
                <w:lang w:val="pt-BR"/>
              </w:rPr>
              <w:t>oficinas virtuais</w:t>
            </w:r>
            <w:r w:rsidRPr="00D174BB">
              <w:rPr>
                <w:color w:val="000000" w:themeColor="text1"/>
                <w:sz w:val="22"/>
                <w:szCs w:val="22"/>
                <w:lang w:val="pt-BR"/>
              </w:rPr>
              <w:t>.</w:t>
            </w:r>
            <w:r w:rsidRPr="00D174BB">
              <w:rPr>
                <w:color w:val="000000" w:themeColor="text1"/>
                <w:sz w:val="22"/>
                <w:szCs w:val="22"/>
                <w:lang w:val="pt-BR"/>
              </w:rPr>
              <w:br/>
              <w:t xml:space="preserve">- Portfólio de recursos e respostas para o desenvolvimento, oriundos dos Estados membros, com relação à </w:t>
            </w:r>
            <w:r w:rsidR="002579BC" w:rsidRPr="00D174BB">
              <w:rPr>
                <w:color w:val="000000" w:themeColor="text1"/>
                <w:sz w:val="22"/>
                <w:szCs w:val="22"/>
                <w:lang w:val="pt-BR"/>
              </w:rPr>
              <w:t>covid</w:t>
            </w:r>
            <w:r w:rsidRPr="00D174BB">
              <w:rPr>
                <w:color w:val="000000" w:themeColor="text1"/>
                <w:sz w:val="22"/>
                <w:szCs w:val="22"/>
                <w:lang w:val="pt-BR"/>
              </w:rPr>
              <w:t xml:space="preserve">-19, na área do trabalho. </w:t>
            </w:r>
          </w:p>
        </w:tc>
      </w:tr>
      <w:tr w:rsidR="00910C92" w:rsidRPr="002A41AB" w:rsidTr="00AF43D0">
        <w:trPr>
          <w:trHeight w:val="2033"/>
        </w:trPr>
        <w:tc>
          <w:tcPr>
            <w:tcW w:w="3101" w:type="dxa"/>
            <w:tcBorders>
              <w:top w:val="nil"/>
              <w:left w:val="single" w:sz="4" w:space="0" w:color="auto"/>
              <w:bottom w:val="single" w:sz="4" w:space="0" w:color="auto"/>
              <w:right w:val="single" w:sz="4" w:space="0" w:color="auto"/>
            </w:tcBorders>
            <w:shd w:val="clear" w:color="auto" w:fill="FFFFF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Rede Interamericana para a Administração Trabalhista (RIAT)</w:t>
            </w:r>
          </w:p>
        </w:tc>
        <w:tc>
          <w:tcPr>
            <w:tcW w:w="355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881"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180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406" w:type="dxa"/>
            <w:gridSpan w:val="2"/>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r>
      <w:tr w:rsidR="00AF43D0" w:rsidRPr="00D174BB" w:rsidTr="0079617E">
        <w:trPr>
          <w:trHeight w:val="620"/>
        </w:trPr>
        <w:tc>
          <w:tcPr>
            <w:tcW w:w="31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2911" w:type="dxa"/>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2911" w:type="dxa"/>
            <w:gridSpan w:val="2"/>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RESULTADOS / CONCLUSÕES ESPERADOS </w:t>
            </w:r>
          </w:p>
        </w:tc>
        <w:tc>
          <w:tcPr>
            <w:tcW w:w="2412" w:type="dxa"/>
            <w:gridSpan w:val="2"/>
            <w:tcBorders>
              <w:top w:val="single" w:sz="4" w:space="0" w:color="auto"/>
              <w:left w:val="nil"/>
              <w:bottom w:val="single" w:sz="4" w:space="0" w:color="auto"/>
              <w:right w:val="single" w:sz="4" w:space="0" w:color="auto"/>
            </w:tcBorders>
            <w:shd w:val="clear" w:color="auto" w:fill="BDD6EE" w:themeFill="accent1" w:themeFillTint="66"/>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3410" w:type="dxa"/>
            <w:gridSpan w:val="2"/>
            <w:tcBorders>
              <w:top w:val="single" w:sz="4" w:space="0" w:color="auto"/>
              <w:left w:val="nil"/>
              <w:bottom w:val="single" w:sz="4" w:space="0" w:color="auto"/>
              <w:right w:val="single" w:sz="4" w:space="0" w:color="auto"/>
            </w:tcBorders>
            <w:shd w:val="clear" w:color="auto" w:fill="FFFF00"/>
          </w:tcPr>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AF43D0" w:rsidRPr="00D174BB" w:rsidRDefault="00AF43D0" w:rsidP="00E411BC">
            <w:pPr>
              <w:jc w:val="center"/>
              <w:rPr>
                <w:b/>
                <w:bCs/>
                <w:color w:val="000000" w:themeColor="text1"/>
                <w:sz w:val="22"/>
                <w:szCs w:val="22"/>
                <w:lang w:val="pt-BR"/>
              </w:rPr>
            </w:pPr>
            <w:r w:rsidRPr="00D174BB">
              <w:rPr>
                <w:b/>
                <w:bCs/>
                <w:color w:val="000000" w:themeColor="text1"/>
                <w:sz w:val="22"/>
                <w:szCs w:val="22"/>
                <w:lang w:val="pt-BR"/>
              </w:rPr>
              <w:t>COVID-19</w:t>
            </w:r>
          </w:p>
        </w:tc>
      </w:tr>
      <w:tr w:rsidR="00910C92" w:rsidRPr="002A41AB" w:rsidTr="00AF43D0">
        <w:trPr>
          <w:trHeight w:val="620"/>
        </w:trPr>
        <w:tc>
          <w:tcPr>
            <w:tcW w:w="3101" w:type="dxa"/>
            <w:tcBorders>
              <w:top w:val="single" w:sz="4" w:space="0" w:color="auto"/>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1644" w:type="dxa"/>
            <w:gridSpan w:val="7"/>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4.2. </w:t>
            </w:r>
            <w:r w:rsidRPr="00D174BB">
              <w:rPr>
                <w:rFonts w:eastAsia="Calibri"/>
                <w:b/>
                <w:bCs/>
                <w:color w:val="000000" w:themeColor="text1"/>
                <w:sz w:val="22"/>
                <w:szCs w:val="22"/>
                <w:lang w:val="pt-BR"/>
              </w:rPr>
              <w:t>Fortalecer a capacidade institucional dos Estados membros, com o objetivo de promover condições e oportunidades de trabalho equitativas e inclusivas para as populações em situação de vulnerabilidade e todos os grupos que enfrentam maiores desafios no mercado de trabalho</w:t>
            </w:r>
          </w:p>
        </w:tc>
      </w:tr>
      <w:tr w:rsidR="00910C92" w:rsidRPr="00D174BB" w:rsidTr="00AF43D0">
        <w:trPr>
          <w:trHeight w:val="2775"/>
        </w:trPr>
        <w:tc>
          <w:tcPr>
            <w:tcW w:w="3101" w:type="dxa"/>
            <w:tcBorders>
              <w:top w:val="nil"/>
              <w:left w:val="single" w:sz="4" w:space="0" w:color="auto"/>
              <w:bottom w:val="single" w:sz="4" w:space="0" w:color="000000"/>
              <w:right w:val="single" w:sz="4" w:space="0" w:color="auto"/>
            </w:tcBorders>
            <w:shd w:val="clear" w:color="auto" w:fill="FFFFF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Conferência Interamericana de Ministros do Trabalho (CIMT), CEATAL e </w:t>
            </w:r>
            <w:proofErr w:type="gramStart"/>
            <w:r w:rsidRPr="00D174BB">
              <w:rPr>
                <w:rFonts w:eastAsia="Calibri"/>
                <w:b/>
                <w:bCs/>
                <w:color w:val="000000" w:themeColor="text1"/>
                <w:sz w:val="22"/>
                <w:szCs w:val="22"/>
                <w:lang w:val="pt-BR"/>
              </w:rPr>
              <w:t>COSATE</w:t>
            </w:r>
            <w:proofErr w:type="gramEnd"/>
          </w:p>
        </w:tc>
        <w:tc>
          <w:tcPr>
            <w:tcW w:w="3556" w:type="dxa"/>
            <w:gridSpan w:val="2"/>
            <w:tcBorders>
              <w:top w:val="nil"/>
              <w:left w:val="nil"/>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O trabalho em plataformas digitais (tais como Uber, Rappi e Amazon Mechanical Turk, entre outras) vem aumentando nos últimos anos, e é uma das tendências do futuro do trabalho. Os governos discutem atualmente como essas plataformas devem ser regulamentadas e se devem ser regulamentadas; como abordar os direitos e obrigações trabalhistas e como proteger todos os envolvidos. </w:t>
            </w:r>
          </w:p>
        </w:tc>
        <w:tc>
          <w:tcPr>
            <w:tcW w:w="2881" w:type="dxa"/>
            <w:gridSpan w:val="2"/>
            <w:tcBorders>
              <w:top w:val="nil"/>
              <w:left w:val="nil"/>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Os governos detêm mais conhecimento e adotaram ações coletivas para considerar as condições de trabalho dos que exercem funções em plataformas digitais.</w:t>
            </w:r>
          </w:p>
        </w:tc>
        <w:tc>
          <w:tcPr>
            <w:tcW w:w="1801" w:type="dxa"/>
            <w:vMerge w:val="restart"/>
            <w:tcBorders>
              <w:top w:val="nil"/>
              <w:left w:val="single" w:sz="4" w:space="0" w:color="auto"/>
              <w:bottom w:val="single" w:sz="4" w:space="0" w:color="000000"/>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Internamente (OEA):</w:t>
            </w:r>
            <w:r w:rsidRPr="00D174BB">
              <w:rPr>
                <w:color w:val="000000" w:themeColor="text1"/>
                <w:sz w:val="22"/>
                <w:szCs w:val="22"/>
                <w:lang w:val="pt-BR"/>
              </w:rPr>
              <w:t xml:space="preserve"> Comissão Interamericana de Mulheres (CIM)</w:t>
            </w:r>
          </w:p>
        </w:tc>
        <w:tc>
          <w:tcPr>
            <w:tcW w:w="3406" w:type="dxa"/>
            <w:gridSpan w:val="2"/>
            <w:vMerge w:val="restart"/>
            <w:tcBorders>
              <w:top w:val="nil"/>
              <w:left w:val="single" w:sz="4" w:space="0" w:color="auto"/>
              <w:bottom w:val="single" w:sz="4" w:space="0" w:color="000000"/>
              <w:right w:val="single" w:sz="4" w:space="0" w:color="auto"/>
            </w:tcBorders>
            <w:shd w:val="clear" w:color="auto" w:fill="FFFF00"/>
            <w:hideMark/>
          </w:tcPr>
          <w:p w:rsidR="00910C92" w:rsidRPr="00D174BB" w:rsidRDefault="00910C92">
            <w:pPr>
              <w:rPr>
                <w:color w:val="000000" w:themeColor="text1"/>
                <w:sz w:val="22"/>
                <w:szCs w:val="22"/>
                <w:lang w:val="pt-BR"/>
              </w:rPr>
            </w:pPr>
            <w:r w:rsidRPr="00D174BB">
              <w:rPr>
                <w:color w:val="000000" w:themeColor="text1"/>
                <w:sz w:val="22"/>
                <w:szCs w:val="22"/>
                <w:lang w:val="pt-BR"/>
              </w:rPr>
              <w:t>Conforme descrito acima.</w:t>
            </w:r>
          </w:p>
        </w:tc>
      </w:tr>
      <w:tr w:rsidR="00910C92" w:rsidRPr="002A41AB" w:rsidTr="00AF43D0">
        <w:trPr>
          <w:trHeight w:val="1485"/>
        </w:trPr>
        <w:tc>
          <w:tcPr>
            <w:tcW w:w="3101" w:type="dxa"/>
            <w:tcBorders>
              <w:top w:val="single" w:sz="4" w:space="0" w:color="000000"/>
              <w:left w:val="single" w:sz="4" w:space="0" w:color="000000"/>
              <w:bottom w:val="single" w:sz="4" w:space="0" w:color="000000"/>
              <w:right w:val="single" w:sz="4" w:space="0" w:color="000000"/>
            </w:tcBorders>
            <w:shd w:val="clear" w:color="auto" w:fill="FFFFFF"/>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lastRenderedPageBreak/>
              <w:t>Rede Interamericana para a Administração Trabalhista (RIAT)</w:t>
            </w:r>
          </w:p>
        </w:tc>
        <w:tc>
          <w:tcPr>
            <w:tcW w:w="3556" w:type="dxa"/>
            <w:gridSpan w:val="2"/>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O apoio aos governos nessas discussões contribui para torná-los mais resilientes à realidade do mercado de trabalho em constante mutação.</w:t>
            </w:r>
          </w:p>
        </w:tc>
        <w:tc>
          <w:tcPr>
            <w:tcW w:w="2881" w:type="dxa"/>
            <w:gridSpan w:val="2"/>
            <w:vMerge w:val="restart"/>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Os governos adquiriram maior conhecimento e capacidade para: 1) incorporar o gênero a suas operações, políticas e programas: e 2) desenvolver iniciativas/estratégias para aprimorar o acesso ao mercado de trabalho e às condições de trabalho para todos os grupos que enfrentam desafios significativos, tais como os jovens e as pessoas com deficiência, entre outros.</w:t>
            </w:r>
          </w:p>
        </w:tc>
        <w:tc>
          <w:tcPr>
            <w:tcW w:w="1801"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3406" w:type="dxa"/>
            <w:gridSpan w:val="2"/>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AF43D0">
        <w:trPr>
          <w:trHeight w:val="2807"/>
        </w:trPr>
        <w:tc>
          <w:tcPr>
            <w:tcW w:w="3101" w:type="dxa"/>
            <w:tcBorders>
              <w:top w:val="single" w:sz="4" w:space="0" w:color="000000"/>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3556" w:type="dxa"/>
            <w:gridSpan w:val="2"/>
            <w:tcBorders>
              <w:top w:val="single" w:sz="4" w:space="0" w:color="000000"/>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O alcance da equidade de gênero, bem como a transformação dos mercados de trabalho em mercados mais inclusivos e justos, é um passo em direção a economias mais produtivas, competitivas e resilientes. Aqueles que enfrentam os maiores desafios no mercado de trabalho (como os jovens) são os que sofrem o maior impacto dos choques externos, conforme foi documentado após a crise financeira. Os jovens são, em geral, os que primeiro são demitidos em tempos de contração econômica. </w:t>
            </w:r>
          </w:p>
        </w:tc>
        <w:tc>
          <w:tcPr>
            <w:tcW w:w="2881" w:type="dxa"/>
            <w:gridSpan w:val="2"/>
            <w:vMerge/>
            <w:tcBorders>
              <w:top w:val="single" w:sz="4" w:space="0" w:color="000000"/>
              <w:left w:val="single" w:sz="4" w:space="0" w:color="000000"/>
              <w:bottom w:val="single" w:sz="4" w:space="0" w:color="000000"/>
              <w:right w:val="single" w:sz="4" w:space="0" w:color="000000"/>
            </w:tcBorders>
            <w:vAlign w:val="center"/>
            <w:hideMark/>
          </w:tcPr>
          <w:p w:rsidR="00910C92" w:rsidRPr="00D174BB" w:rsidRDefault="00910C92">
            <w:pPr>
              <w:rPr>
                <w:color w:val="000000" w:themeColor="text1"/>
                <w:sz w:val="22"/>
                <w:szCs w:val="22"/>
                <w:lang w:val="pt-BR"/>
              </w:rPr>
            </w:pPr>
          </w:p>
        </w:tc>
        <w:tc>
          <w:tcPr>
            <w:tcW w:w="1801"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c>
          <w:tcPr>
            <w:tcW w:w="3406" w:type="dxa"/>
            <w:gridSpan w:val="2"/>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bl>
    <w:p w:rsidR="00910C92" w:rsidRPr="00D174BB" w:rsidRDefault="00910C92" w:rsidP="00910C92">
      <w:pPr>
        <w:rPr>
          <w:b/>
          <w:color w:val="000000" w:themeColor="text1"/>
          <w:sz w:val="22"/>
          <w:szCs w:val="22"/>
          <w:u w:val="single"/>
          <w:lang w:val="pt-BR"/>
        </w:rPr>
      </w:pPr>
    </w:p>
    <w:tbl>
      <w:tblPr>
        <w:tblW w:w="0" w:type="auto"/>
        <w:tblLayout w:type="fixed"/>
        <w:tblLook w:val="04A0" w:firstRow="1" w:lastRow="0" w:firstColumn="1" w:lastColumn="0" w:noHBand="0" w:noVBand="1"/>
      </w:tblPr>
      <w:tblGrid>
        <w:gridCol w:w="2221"/>
        <w:gridCol w:w="3239"/>
        <w:gridCol w:w="3844"/>
        <w:gridCol w:w="2637"/>
        <w:gridCol w:w="2675"/>
      </w:tblGrid>
      <w:tr w:rsidR="00910C92" w:rsidRPr="002A41AB" w:rsidTr="00910C92">
        <w:trPr>
          <w:trHeight w:val="278"/>
        </w:trPr>
        <w:tc>
          <w:tcPr>
            <w:tcW w:w="14616" w:type="dxa"/>
            <w:gridSpan w:val="5"/>
            <w:tcBorders>
              <w:top w:val="nil"/>
              <w:left w:val="nil"/>
              <w:bottom w:val="single" w:sz="4" w:space="0" w:color="000000"/>
              <w:right w:val="nil"/>
            </w:tcBorders>
            <w:noWrap/>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DEPARTAMENTO/SEÇÃO: ESCRITÓRIO EXECUTIVO – SEÇÃO DE COOPERAÇÃO TÉCNICA</w:t>
            </w:r>
          </w:p>
        </w:tc>
      </w:tr>
      <w:tr w:rsidR="00910C92" w:rsidRPr="00D174BB" w:rsidTr="00910C92">
        <w:trPr>
          <w:trHeight w:val="810"/>
        </w:trPr>
        <w:tc>
          <w:tcPr>
            <w:tcW w:w="2221"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INICIATIVAS / ATIVIDADES</w:t>
            </w:r>
          </w:p>
        </w:tc>
        <w:tc>
          <w:tcPr>
            <w:tcW w:w="3239" w:type="dxa"/>
            <w:tcBorders>
              <w:top w:val="single" w:sz="4" w:space="0" w:color="000000"/>
              <w:left w:val="single" w:sz="4" w:space="0" w:color="000000"/>
              <w:bottom w:val="single" w:sz="4" w:space="0" w:color="000000"/>
              <w:right w:val="single" w:sz="4" w:space="0" w:color="000000"/>
            </w:tcBorders>
            <w:shd w:val="clear" w:color="auto" w:fill="D9E2F3"/>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CONTRIBUIÇÃO PARA A RESILIÊNCIA </w:t>
            </w:r>
            <w:r w:rsidR="00D174BB" w:rsidRPr="00D174BB">
              <w:rPr>
                <w:b/>
                <w:bCs/>
                <w:color w:val="000000" w:themeColor="text1"/>
                <w:sz w:val="22"/>
                <w:szCs w:val="22"/>
                <w:lang w:val="pt-BR"/>
              </w:rPr>
              <w:t>E</w:t>
            </w:r>
            <w:r w:rsidRPr="00D174BB">
              <w:rPr>
                <w:b/>
                <w:bCs/>
                <w:color w:val="000000" w:themeColor="text1"/>
                <w:sz w:val="22"/>
                <w:szCs w:val="22"/>
                <w:lang w:val="pt-BR"/>
              </w:rPr>
              <w:t xml:space="preserve"> COMPETITIVIDADE </w:t>
            </w:r>
          </w:p>
        </w:tc>
        <w:tc>
          <w:tcPr>
            <w:tcW w:w="3844"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RESULTADOS / CONCLUSÕES ESPERADOS</w:t>
            </w:r>
          </w:p>
        </w:tc>
        <w:tc>
          <w:tcPr>
            <w:tcW w:w="2637" w:type="dxa"/>
            <w:tcBorders>
              <w:top w:val="single" w:sz="4" w:space="0" w:color="000000"/>
              <w:left w:val="single" w:sz="4" w:space="0" w:color="000000"/>
              <w:bottom w:val="single" w:sz="4" w:space="0" w:color="000000"/>
              <w:right w:val="single" w:sz="4" w:space="0" w:color="000000"/>
            </w:tcBorders>
            <w:shd w:val="clear" w:color="auto" w:fill="DBE5F1"/>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COOPERAÇÃO </w:t>
            </w:r>
            <w:r w:rsidR="00D174BB" w:rsidRPr="00D174BB">
              <w:rPr>
                <w:b/>
                <w:bCs/>
                <w:color w:val="000000" w:themeColor="text1"/>
                <w:sz w:val="22"/>
                <w:szCs w:val="22"/>
                <w:lang w:val="pt-BR"/>
              </w:rPr>
              <w:t>E</w:t>
            </w:r>
            <w:r w:rsidRPr="00D174BB">
              <w:rPr>
                <w:b/>
                <w:bCs/>
                <w:color w:val="000000" w:themeColor="text1"/>
                <w:sz w:val="22"/>
                <w:szCs w:val="22"/>
                <w:lang w:val="pt-BR"/>
              </w:rPr>
              <w:t xml:space="preserve"> PARCERIAS</w:t>
            </w:r>
          </w:p>
        </w:tc>
        <w:tc>
          <w:tcPr>
            <w:tcW w:w="2675" w:type="dxa"/>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pPr>
              <w:jc w:val="center"/>
              <w:rPr>
                <w:b/>
                <w:bCs/>
                <w:color w:val="000000" w:themeColor="text1"/>
                <w:sz w:val="22"/>
                <w:szCs w:val="22"/>
                <w:lang w:val="pt-BR"/>
              </w:rPr>
            </w:pPr>
            <w:r w:rsidRPr="00D174BB">
              <w:rPr>
                <w:b/>
                <w:bCs/>
                <w:color w:val="000000" w:themeColor="text1"/>
                <w:sz w:val="22"/>
                <w:szCs w:val="22"/>
                <w:lang w:val="pt-BR"/>
              </w:rPr>
              <w:t xml:space="preserve">RESPOSTA / ADAPTAÇÃO À </w:t>
            </w:r>
          </w:p>
          <w:p w:rsidR="00910C92" w:rsidRPr="00D174BB" w:rsidRDefault="00623261">
            <w:pPr>
              <w:jc w:val="center"/>
              <w:rPr>
                <w:b/>
                <w:bCs/>
                <w:color w:val="000000" w:themeColor="text1"/>
                <w:sz w:val="22"/>
                <w:szCs w:val="22"/>
                <w:lang w:val="pt-BR"/>
              </w:rPr>
            </w:pPr>
            <w:r w:rsidRPr="00D174BB">
              <w:rPr>
                <w:b/>
                <w:bCs/>
                <w:color w:val="000000" w:themeColor="text1"/>
                <w:sz w:val="22"/>
                <w:szCs w:val="22"/>
                <w:lang w:val="pt-BR"/>
              </w:rPr>
              <w:t>COVID</w:t>
            </w:r>
            <w:r w:rsidR="00910C92" w:rsidRPr="00D174BB">
              <w:rPr>
                <w:b/>
                <w:bCs/>
                <w:color w:val="000000" w:themeColor="text1"/>
                <w:sz w:val="22"/>
                <w:szCs w:val="22"/>
                <w:lang w:val="pt-BR"/>
              </w:rPr>
              <w:t>-19</w:t>
            </w:r>
          </w:p>
        </w:tc>
      </w:tr>
      <w:tr w:rsidR="00910C92" w:rsidRPr="002A41AB" w:rsidTr="00910C92">
        <w:trPr>
          <w:trHeight w:val="278"/>
        </w:trPr>
        <w:tc>
          <w:tcPr>
            <w:tcW w:w="2221" w:type="dxa"/>
            <w:tcBorders>
              <w:top w:val="single" w:sz="4" w:space="0" w:color="000000"/>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LINHA ESTRATÉGICA </w:t>
            </w:r>
          </w:p>
        </w:tc>
        <w:tc>
          <w:tcPr>
            <w:tcW w:w="12395" w:type="dxa"/>
            <w:gridSpan w:val="4"/>
            <w:tcBorders>
              <w:top w:val="single" w:sz="4" w:space="0" w:color="000000"/>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6. </w:t>
            </w:r>
            <w:r w:rsidRPr="00D174BB">
              <w:rPr>
                <w:b/>
                <w:bCs/>
                <w:sz w:val="22"/>
                <w:szCs w:val="22"/>
                <w:lang w:val="pt-BR"/>
              </w:rPr>
              <w:t>Promover a cooperação para o desenvolvimento e a criação de parcerias</w:t>
            </w:r>
          </w:p>
        </w:tc>
      </w:tr>
      <w:tr w:rsidR="00910C92" w:rsidRPr="002A41AB" w:rsidTr="00910C92">
        <w:trPr>
          <w:trHeight w:val="540"/>
        </w:trPr>
        <w:tc>
          <w:tcPr>
            <w:tcW w:w="2221" w:type="dxa"/>
            <w:tcBorders>
              <w:top w:val="nil"/>
              <w:left w:val="single" w:sz="4" w:space="0" w:color="auto"/>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2395" w:type="dxa"/>
            <w:gridSpan w:val="4"/>
            <w:tcBorders>
              <w:top w:val="single" w:sz="4" w:space="0" w:color="auto"/>
              <w:left w:val="nil"/>
              <w:bottom w:val="single" w:sz="4" w:space="0" w:color="auto"/>
              <w:right w:val="single" w:sz="4" w:space="0" w:color="auto"/>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 xml:space="preserve">6.1. </w:t>
            </w:r>
            <w:r w:rsidRPr="00D174BB">
              <w:rPr>
                <w:b/>
                <w:bCs/>
                <w:sz w:val="22"/>
                <w:szCs w:val="22"/>
                <w:lang w:val="pt-BR"/>
              </w:rPr>
              <w:t>Estimular a cooperação bilateral, sul-sul, triangular e internacional no Hemisfério</w:t>
            </w:r>
          </w:p>
        </w:tc>
      </w:tr>
      <w:tr w:rsidR="00910C92" w:rsidRPr="00D174BB" w:rsidTr="00910C92">
        <w:trPr>
          <w:trHeight w:val="278"/>
        </w:trPr>
        <w:tc>
          <w:tcPr>
            <w:tcW w:w="14616" w:type="dxa"/>
            <w:gridSpan w:val="5"/>
            <w:tcBorders>
              <w:top w:val="single" w:sz="4" w:space="0" w:color="auto"/>
              <w:left w:val="single" w:sz="4" w:space="0" w:color="auto"/>
              <w:bottom w:val="single" w:sz="4" w:space="0" w:color="auto"/>
              <w:right w:val="nil"/>
            </w:tcBorders>
            <w:shd w:val="clear" w:color="auto" w:fill="F2F2F2"/>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Cooperação</w:t>
            </w:r>
          </w:p>
        </w:tc>
      </w:tr>
      <w:tr w:rsidR="00910C92" w:rsidRPr="002A41AB" w:rsidTr="00910C92">
        <w:trPr>
          <w:trHeight w:val="368"/>
        </w:trPr>
        <w:tc>
          <w:tcPr>
            <w:tcW w:w="2221"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Fundo de Cooperação para o Desenvolvimento (FCD)</w:t>
            </w:r>
          </w:p>
        </w:tc>
        <w:tc>
          <w:tcPr>
            <w:tcW w:w="3239"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Submeter à consideração dos Estados membros “Resiliência e competitividade” como possível foco do próximo Ciclo de Programação.</w:t>
            </w:r>
          </w:p>
        </w:tc>
        <w:tc>
          <w:tcPr>
            <w:tcW w:w="3844"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xml:space="preserve">Ciclo de Programação do FCD 2017-2021 em execução. </w:t>
            </w:r>
          </w:p>
        </w:tc>
        <w:tc>
          <w:tcPr>
            <w:tcW w:w="2637"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todos os</w:t>
            </w:r>
            <w:r w:rsidRPr="00D174BB">
              <w:rPr>
                <w:b/>
                <w:bCs/>
                <w:color w:val="000000" w:themeColor="text1"/>
                <w:sz w:val="22"/>
                <w:szCs w:val="22"/>
                <w:lang w:val="pt-BR"/>
              </w:rPr>
              <w:t xml:space="preserve"> </w:t>
            </w:r>
            <w:r w:rsidRPr="00D174BB">
              <w:rPr>
                <w:color w:val="000000" w:themeColor="text1"/>
                <w:sz w:val="22"/>
                <w:szCs w:val="22"/>
                <w:lang w:val="pt-BR"/>
              </w:rPr>
              <w:t xml:space="preserve">Departamentos da SEDI e DOITS.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 xml:space="preserve">Externamente: </w:t>
            </w:r>
            <w:r w:rsidRPr="00D174BB">
              <w:rPr>
                <w:color w:val="000000" w:themeColor="text1"/>
                <w:sz w:val="22"/>
                <w:szCs w:val="22"/>
                <w:lang w:val="pt-BR"/>
              </w:rPr>
              <w:t xml:space="preserve">agências de cooperação dos Estados </w:t>
            </w:r>
            <w:r w:rsidRPr="00D174BB">
              <w:rPr>
                <w:color w:val="000000" w:themeColor="text1"/>
                <w:sz w:val="22"/>
                <w:szCs w:val="22"/>
                <w:lang w:val="pt-BR"/>
              </w:rPr>
              <w:lastRenderedPageBreak/>
              <w:t>membros, setor privado e setor acadêmico (a ser definido).</w:t>
            </w:r>
          </w:p>
        </w:tc>
        <w:tc>
          <w:tcPr>
            <w:tcW w:w="2675" w:type="dxa"/>
            <w:vMerge w:val="restart"/>
            <w:tcBorders>
              <w:top w:val="nil"/>
              <w:left w:val="single" w:sz="4" w:space="0" w:color="auto"/>
              <w:bottom w:val="single" w:sz="4" w:space="0" w:color="000000"/>
              <w:right w:val="single" w:sz="4" w:space="0" w:color="auto"/>
            </w:tcBorders>
            <w:shd w:val="clear" w:color="auto" w:fill="FFFF00"/>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lastRenderedPageBreak/>
              <w:t>Repriorização de ações sobre cooperação e parcerias:</w:t>
            </w:r>
            <w:r w:rsidRPr="00D174BB">
              <w:rPr>
                <w:color w:val="000000" w:themeColor="text1"/>
                <w:sz w:val="22"/>
                <w:szCs w:val="22"/>
                <w:lang w:val="pt-BR"/>
              </w:rPr>
              <w:br/>
            </w:r>
            <w:r w:rsidRPr="00D174BB">
              <w:rPr>
                <w:color w:val="000000" w:themeColor="text1"/>
                <w:sz w:val="22"/>
                <w:szCs w:val="22"/>
                <w:lang w:val="pt-BR"/>
              </w:rPr>
              <w:br/>
              <w:t xml:space="preserve">A Junta Diretora da Agência Interamericana de </w:t>
            </w:r>
            <w:r w:rsidRPr="00D174BB">
              <w:rPr>
                <w:color w:val="000000" w:themeColor="text1"/>
                <w:sz w:val="22"/>
                <w:szCs w:val="22"/>
                <w:lang w:val="pt-BR"/>
              </w:rPr>
              <w:lastRenderedPageBreak/>
              <w:t xml:space="preserve">Cooperação e Desenvolvimento (JD/AICD) trabalha atualmente na revisão do Plano de Trabalho 2020-2021 da AICD, à luz dos impactos sociais, econômicos e sanitários da crise provocada pela pandemia de </w:t>
            </w:r>
            <w:r w:rsidR="002579BC" w:rsidRPr="00D174BB">
              <w:rPr>
                <w:color w:val="000000" w:themeColor="text1"/>
                <w:sz w:val="22"/>
                <w:szCs w:val="22"/>
                <w:lang w:val="pt-BR"/>
              </w:rPr>
              <w:t>covid</w:t>
            </w:r>
            <w:r w:rsidRPr="00D174BB">
              <w:rPr>
                <w:color w:val="000000" w:themeColor="text1"/>
                <w:sz w:val="22"/>
                <w:szCs w:val="22"/>
                <w:lang w:val="pt-BR"/>
              </w:rPr>
              <w:t xml:space="preserve">-19. </w:t>
            </w:r>
          </w:p>
        </w:tc>
      </w:tr>
      <w:tr w:rsidR="00910C92" w:rsidRPr="002A41AB" w:rsidTr="00096131">
        <w:trPr>
          <w:trHeight w:val="1110"/>
        </w:trPr>
        <w:tc>
          <w:tcPr>
            <w:tcW w:w="222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844" w:type="dxa"/>
            <w:tcBorders>
              <w:top w:val="nil"/>
              <w:left w:val="nil"/>
              <w:bottom w:val="single" w:sz="4" w:space="0" w:color="auto"/>
              <w:right w:val="single" w:sz="4" w:space="0" w:color="auto"/>
            </w:tcBorders>
            <w:hideMark/>
          </w:tcPr>
          <w:p w:rsidR="00910C92" w:rsidRPr="00D174BB" w:rsidRDefault="00910C92" w:rsidP="00096131">
            <w:pPr>
              <w:rPr>
                <w:color w:val="000000" w:themeColor="text1"/>
                <w:sz w:val="22"/>
                <w:szCs w:val="22"/>
                <w:lang w:val="pt-BR"/>
              </w:rPr>
            </w:pPr>
            <w:r w:rsidRPr="00D174BB">
              <w:rPr>
                <w:color w:val="000000" w:themeColor="text1"/>
                <w:sz w:val="22"/>
                <w:szCs w:val="22"/>
                <w:lang w:val="pt-BR"/>
              </w:rPr>
              <w:t>A área de ação do Ciclo de Programação 2021-2024 do O</w:t>
            </w:r>
            <w:r w:rsidR="00096131" w:rsidRPr="00D174BB">
              <w:rPr>
                <w:color w:val="000000" w:themeColor="text1"/>
                <w:sz w:val="22"/>
                <w:szCs w:val="22"/>
                <w:lang w:val="pt-BR"/>
              </w:rPr>
              <w:t xml:space="preserve">EA/FCD é definida e aprovada </w:t>
            </w:r>
            <w:r w:rsidRPr="00D174BB">
              <w:rPr>
                <w:color w:val="000000" w:themeColor="text1"/>
                <w:sz w:val="22"/>
                <w:szCs w:val="22"/>
                <w:lang w:val="pt-BR"/>
              </w:rPr>
              <w:t>pela JD/AICD.</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052"/>
        </w:trPr>
        <w:tc>
          <w:tcPr>
            <w:tcW w:w="222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9"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844"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A elegibilidade dos Estados membros e a proposta de orçamento para o Ciclo de Programação 2021-2024 do OEA/FCD são apresentadas à JD/AICD.</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340"/>
        </w:trPr>
        <w:tc>
          <w:tcPr>
            <w:tcW w:w="2221" w:type="dxa"/>
            <w:vMerge w:val="restart"/>
            <w:tcBorders>
              <w:top w:val="nil"/>
              <w:left w:val="single" w:sz="4" w:space="0" w:color="auto"/>
              <w:bottom w:val="single" w:sz="4" w:space="0" w:color="auto"/>
              <w:right w:val="single" w:sz="4" w:space="0" w:color="auto"/>
            </w:tcBorders>
            <w:hideMark/>
          </w:tcPr>
          <w:p w:rsidR="00910C92" w:rsidRPr="00D174BB" w:rsidRDefault="00910C92">
            <w:pPr>
              <w:rPr>
                <w:color w:val="000000" w:themeColor="text1"/>
                <w:sz w:val="22"/>
                <w:szCs w:val="22"/>
                <w:lang w:val="pt-BR"/>
              </w:rPr>
            </w:pPr>
            <w:proofErr w:type="spellStart"/>
            <w:proofErr w:type="gramStart"/>
            <w:r w:rsidRPr="00D174BB">
              <w:rPr>
                <w:rFonts w:eastAsia="Calibri"/>
                <w:color w:val="000000" w:themeColor="text1"/>
                <w:sz w:val="22"/>
                <w:szCs w:val="22"/>
                <w:lang w:val="pt-BR"/>
              </w:rPr>
              <w:lastRenderedPageBreak/>
              <w:t>CooperaNet</w:t>
            </w:r>
            <w:proofErr w:type="spellEnd"/>
            <w:proofErr w:type="gramEnd"/>
            <w:r w:rsidRPr="00D174BB">
              <w:rPr>
                <w:rFonts w:eastAsia="Calibri"/>
                <w:color w:val="000000" w:themeColor="text1"/>
                <w:sz w:val="22"/>
                <w:szCs w:val="22"/>
                <w:lang w:val="pt-BR"/>
              </w:rPr>
              <w:t xml:space="preserve">:  polo </w:t>
            </w:r>
            <w:r w:rsidRPr="00D174BB">
              <w:rPr>
                <w:rFonts w:eastAsia="Calibri"/>
                <w:i/>
                <w:color w:val="000000" w:themeColor="text1"/>
                <w:sz w:val="22"/>
                <w:szCs w:val="22"/>
                <w:lang w:val="pt-BR"/>
              </w:rPr>
              <w:t xml:space="preserve">online </w:t>
            </w:r>
            <w:r w:rsidRPr="00D174BB">
              <w:rPr>
                <w:rFonts w:eastAsia="Calibri"/>
                <w:color w:val="000000" w:themeColor="text1"/>
                <w:sz w:val="22"/>
                <w:szCs w:val="22"/>
                <w:lang w:val="pt-BR"/>
              </w:rPr>
              <w:t>de parcerias estratégicas e cooperação</w:t>
            </w:r>
          </w:p>
        </w:tc>
        <w:tc>
          <w:tcPr>
            <w:tcW w:w="323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“Intercâmbio de Cooperação”: apresentação de apelo específico por ofertas e necessidades de cooperação nas áreas de resiliência e competitividade. </w:t>
            </w:r>
          </w:p>
        </w:tc>
        <w:tc>
          <w:tcPr>
            <w:tcW w:w="3844"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Publicação de pelo menos 400 ofertas de cooperação e 20 necessidades de cooperação. Apelo específico de ofertas/necessidades de cooperação nas áreas de resiliência e competitividade. </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1052"/>
        </w:trPr>
        <w:tc>
          <w:tcPr>
            <w:tcW w:w="222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“Biblioteca Interativa”: com inclusão de recursos relevantes e criação de um grupo de discussão sobre resiliência e competitividade. </w:t>
            </w:r>
          </w:p>
        </w:tc>
        <w:tc>
          <w:tcPr>
            <w:tcW w:w="3844"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Participação de parceiros de desenvolvimento em todas as áreas da SEDI.</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59"/>
        </w:trPr>
        <w:tc>
          <w:tcPr>
            <w:tcW w:w="222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“Contate um especialista”. Entre nas redes em atividade na SEDI para fazer parte da relação de especialistas. </w:t>
            </w:r>
          </w:p>
        </w:tc>
        <w:tc>
          <w:tcPr>
            <w:tcW w:w="3844"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Presença de internos e peritos. </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r w:rsidR="00910C92" w:rsidRPr="002A41AB" w:rsidTr="00096131">
        <w:trPr>
          <w:trHeight w:val="555"/>
        </w:trPr>
        <w:tc>
          <w:tcPr>
            <w:tcW w:w="2221"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3239" w:type="dxa"/>
            <w:tcBorders>
              <w:top w:val="nil"/>
              <w:left w:val="nil"/>
              <w:bottom w:val="single" w:sz="4" w:space="0" w:color="auto"/>
              <w:right w:val="single" w:sz="4" w:space="0" w:color="auto"/>
            </w:tcBorders>
            <w:hideMark/>
          </w:tcPr>
          <w:p w:rsidR="00910C92" w:rsidRPr="00D174BB" w:rsidRDefault="00910C92">
            <w:pPr>
              <w:rPr>
                <w:color w:val="000000" w:themeColor="text1"/>
                <w:sz w:val="22"/>
                <w:szCs w:val="22"/>
                <w:lang w:val="pt-BR"/>
              </w:rPr>
            </w:pPr>
            <w:r w:rsidRPr="00D174BB">
              <w:rPr>
                <w:color w:val="000000" w:themeColor="text1"/>
                <w:sz w:val="22"/>
                <w:szCs w:val="22"/>
                <w:lang w:val="pt-BR"/>
              </w:rPr>
              <w:t> </w:t>
            </w:r>
          </w:p>
        </w:tc>
        <w:tc>
          <w:tcPr>
            <w:tcW w:w="3844" w:type="dxa"/>
            <w:tcBorders>
              <w:top w:val="nil"/>
              <w:left w:val="nil"/>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 xml:space="preserve">Realização de pelo menos três sessões de treinamento com pontos focais. </w:t>
            </w:r>
          </w:p>
        </w:tc>
        <w:tc>
          <w:tcPr>
            <w:tcW w:w="2637" w:type="dxa"/>
            <w:vMerge/>
            <w:tcBorders>
              <w:top w:val="nil"/>
              <w:left w:val="single" w:sz="4" w:space="0" w:color="auto"/>
              <w:bottom w:val="single" w:sz="4" w:space="0" w:color="auto"/>
              <w:right w:val="single" w:sz="4" w:space="0" w:color="auto"/>
            </w:tcBorders>
            <w:vAlign w:val="center"/>
            <w:hideMark/>
          </w:tcPr>
          <w:p w:rsidR="00910C92" w:rsidRPr="00D174BB" w:rsidRDefault="00910C92">
            <w:pPr>
              <w:rPr>
                <w:color w:val="000000" w:themeColor="text1"/>
                <w:sz w:val="22"/>
                <w:szCs w:val="22"/>
                <w:lang w:val="pt-BR"/>
              </w:rPr>
            </w:pPr>
          </w:p>
        </w:tc>
        <w:tc>
          <w:tcPr>
            <w:tcW w:w="2675" w:type="dxa"/>
            <w:vMerge/>
            <w:tcBorders>
              <w:top w:val="nil"/>
              <w:left w:val="single" w:sz="4" w:space="0" w:color="auto"/>
              <w:bottom w:val="single" w:sz="4" w:space="0" w:color="000000"/>
              <w:right w:val="single" w:sz="4" w:space="0" w:color="auto"/>
            </w:tcBorders>
            <w:vAlign w:val="center"/>
            <w:hideMark/>
          </w:tcPr>
          <w:p w:rsidR="00910C92" w:rsidRPr="00D174BB" w:rsidRDefault="00910C92">
            <w:pPr>
              <w:rPr>
                <w:color w:val="000000" w:themeColor="text1"/>
                <w:sz w:val="22"/>
                <w:szCs w:val="22"/>
                <w:lang w:val="pt-BR"/>
              </w:rPr>
            </w:pPr>
          </w:p>
        </w:tc>
      </w:tr>
    </w:tbl>
    <w:p w:rsidR="00910C92" w:rsidRPr="00D174BB" w:rsidRDefault="00910C92" w:rsidP="00910C92">
      <w:pPr>
        <w:rPr>
          <w:color w:val="000000" w:themeColor="text1"/>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239"/>
        <w:gridCol w:w="3844"/>
        <w:gridCol w:w="2637"/>
        <w:gridCol w:w="2675"/>
      </w:tblGrid>
      <w:tr w:rsidR="00910C92" w:rsidRPr="002A41AB" w:rsidTr="00910C92">
        <w:trPr>
          <w:trHeight w:val="540"/>
        </w:trPr>
        <w:tc>
          <w:tcPr>
            <w:tcW w:w="2221" w:type="dxa"/>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rFonts w:eastAsia="Calibri"/>
                <w:b/>
                <w:bCs/>
                <w:color w:val="000000" w:themeColor="text1"/>
                <w:sz w:val="22"/>
                <w:szCs w:val="22"/>
                <w:lang w:val="pt-BR"/>
              </w:rPr>
              <w:t xml:space="preserve">OBJETIVO ESTRATÉGICO </w:t>
            </w:r>
          </w:p>
        </w:tc>
        <w:tc>
          <w:tcPr>
            <w:tcW w:w="12395" w:type="dxa"/>
            <w:gridSpan w:val="4"/>
            <w:tcBorders>
              <w:top w:val="single" w:sz="4" w:space="0" w:color="000000"/>
              <w:left w:val="single" w:sz="4" w:space="0" w:color="000000"/>
              <w:bottom w:val="single" w:sz="4" w:space="0" w:color="000000"/>
              <w:right w:val="single" w:sz="4" w:space="0" w:color="000000"/>
            </w:tcBorders>
            <w:shd w:val="clear" w:color="auto" w:fill="D0CECE"/>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6.2</w:t>
            </w:r>
            <w:r w:rsidRPr="00D174BB">
              <w:rPr>
                <w:sz w:val="22"/>
                <w:szCs w:val="22"/>
                <w:lang w:val="pt-BR"/>
              </w:rPr>
              <w:t xml:space="preserve"> </w:t>
            </w:r>
            <w:r w:rsidRPr="00D174BB">
              <w:rPr>
                <w:b/>
                <w:bCs/>
                <w:color w:val="000000" w:themeColor="text1"/>
                <w:sz w:val="22"/>
                <w:szCs w:val="22"/>
                <w:lang w:val="pt-BR"/>
              </w:rPr>
              <w:t>Incentivar parcerias multissetoriais eficazes para apoiar os Estados membros no cumprimento dos Objetivos de Desenvolvimento Sustentável</w:t>
            </w:r>
          </w:p>
        </w:tc>
      </w:tr>
      <w:tr w:rsidR="00910C92" w:rsidRPr="00D174BB" w:rsidTr="00910C92">
        <w:trPr>
          <w:trHeight w:val="323"/>
        </w:trPr>
        <w:tc>
          <w:tcPr>
            <w:tcW w:w="1461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Parcerias</w:t>
            </w:r>
          </w:p>
        </w:tc>
      </w:tr>
      <w:tr w:rsidR="00910C92" w:rsidRPr="002A41AB" w:rsidTr="00910C92">
        <w:trPr>
          <w:trHeight w:val="2243"/>
        </w:trPr>
        <w:tc>
          <w:tcPr>
            <w:tcW w:w="2221"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Operacionalização da estratégia de participação da SEDI com o setor privado e outros parceiros.</w:t>
            </w:r>
          </w:p>
        </w:tc>
        <w:tc>
          <w:tcPr>
            <w:tcW w:w="3239"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Inclusão de um foco específico em resiliência na relação organizada de possíveis parceiros, para orientar os esforços de participação.</w:t>
            </w:r>
          </w:p>
        </w:tc>
        <w:tc>
          <w:tcPr>
            <w:tcW w:w="3844"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rFonts w:eastAsia="Calibri"/>
                <w:color w:val="000000" w:themeColor="text1"/>
                <w:sz w:val="22"/>
                <w:szCs w:val="22"/>
                <w:lang w:val="pt-BR"/>
              </w:rPr>
              <w:t>Continuação da busca e garantia de parcerias com base em diretrizes estabelecidas (ação permanente no âmbito institucional).</w:t>
            </w:r>
          </w:p>
        </w:tc>
        <w:tc>
          <w:tcPr>
            <w:tcW w:w="2637" w:type="dxa"/>
            <w:tcBorders>
              <w:top w:val="single" w:sz="4" w:space="0" w:color="000000"/>
              <w:left w:val="single" w:sz="4" w:space="0" w:color="000000"/>
              <w:bottom w:val="single" w:sz="4" w:space="0" w:color="000000"/>
              <w:right w:val="single" w:sz="4" w:space="0" w:color="000000"/>
            </w:tcBorders>
            <w:hideMark/>
          </w:tcPr>
          <w:p w:rsidR="00910C92" w:rsidRPr="00D174BB" w:rsidRDefault="00910C92">
            <w:pPr>
              <w:rPr>
                <w:color w:val="000000" w:themeColor="text1"/>
                <w:sz w:val="22"/>
                <w:szCs w:val="22"/>
                <w:lang w:val="pt-BR"/>
              </w:rPr>
            </w:pPr>
            <w:r w:rsidRPr="00D174BB">
              <w:rPr>
                <w:b/>
                <w:bCs/>
                <w:color w:val="000000" w:themeColor="text1"/>
                <w:sz w:val="22"/>
                <w:szCs w:val="22"/>
                <w:lang w:val="pt-BR"/>
              </w:rPr>
              <w:t xml:space="preserve">Internamente (OEA): </w:t>
            </w:r>
            <w:r w:rsidRPr="00D174BB">
              <w:rPr>
                <w:bCs/>
                <w:color w:val="000000" w:themeColor="text1"/>
                <w:sz w:val="22"/>
                <w:szCs w:val="22"/>
                <w:lang w:val="pt-BR"/>
              </w:rPr>
              <w:t>todos os</w:t>
            </w:r>
            <w:r w:rsidRPr="00D174BB">
              <w:rPr>
                <w:b/>
                <w:bCs/>
                <w:color w:val="000000" w:themeColor="text1"/>
                <w:sz w:val="22"/>
                <w:szCs w:val="22"/>
                <w:lang w:val="pt-BR"/>
              </w:rPr>
              <w:t xml:space="preserve"> </w:t>
            </w:r>
            <w:r w:rsidRPr="00D174BB">
              <w:rPr>
                <w:color w:val="000000" w:themeColor="text1"/>
                <w:sz w:val="22"/>
                <w:szCs w:val="22"/>
                <w:lang w:val="pt-BR"/>
              </w:rPr>
              <w:t xml:space="preserve">Departamentos da SEDI. </w:t>
            </w:r>
            <w:r w:rsidRPr="00D174BB">
              <w:rPr>
                <w:color w:val="000000" w:themeColor="text1"/>
                <w:sz w:val="22"/>
                <w:szCs w:val="22"/>
                <w:lang w:val="pt-BR"/>
              </w:rPr>
              <w:br/>
            </w:r>
            <w:r w:rsidRPr="00D174BB">
              <w:rPr>
                <w:color w:val="000000" w:themeColor="text1"/>
                <w:sz w:val="22"/>
                <w:szCs w:val="22"/>
                <w:lang w:val="pt-BR"/>
              </w:rPr>
              <w:br/>
            </w:r>
            <w:r w:rsidRPr="00D174BB">
              <w:rPr>
                <w:b/>
                <w:bCs/>
                <w:color w:val="000000" w:themeColor="text1"/>
                <w:sz w:val="22"/>
                <w:szCs w:val="22"/>
                <w:lang w:val="pt-BR"/>
              </w:rPr>
              <w:t>Externamente:</w:t>
            </w:r>
            <w:r w:rsidRPr="00D174BB">
              <w:rPr>
                <w:color w:val="000000" w:themeColor="text1"/>
                <w:sz w:val="22"/>
                <w:szCs w:val="22"/>
                <w:lang w:val="pt-BR"/>
              </w:rPr>
              <w:t xml:space="preserve"> setor privado, outras organizações, bancos multilaterais e setor acadêmico (a ser confirmado).</w:t>
            </w:r>
          </w:p>
        </w:tc>
        <w:tc>
          <w:tcPr>
            <w:tcW w:w="2675" w:type="dxa"/>
            <w:tcBorders>
              <w:top w:val="single" w:sz="4" w:space="0" w:color="000000"/>
              <w:left w:val="single" w:sz="4" w:space="0" w:color="000000"/>
              <w:bottom w:val="single" w:sz="4" w:space="0" w:color="000000"/>
              <w:right w:val="single" w:sz="4" w:space="0" w:color="000000"/>
            </w:tcBorders>
            <w:shd w:val="clear" w:color="auto" w:fill="FFFF00"/>
            <w:hideMark/>
          </w:tcPr>
          <w:p w:rsidR="00910C92" w:rsidRPr="00D174BB" w:rsidRDefault="00910C92">
            <w:pPr>
              <w:rPr>
                <w:b/>
                <w:bCs/>
                <w:color w:val="000000" w:themeColor="text1"/>
                <w:sz w:val="22"/>
                <w:szCs w:val="22"/>
                <w:lang w:val="pt-BR"/>
              </w:rPr>
            </w:pPr>
            <w:r w:rsidRPr="00D174BB">
              <w:rPr>
                <w:b/>
                <w:bCs/>
                <w:color w:val="000000" w:themeColor="text1"/>
                <w:sz w:val="22"/>
                <w:szCs w:val="22"/>
                <w:lang w:val="pt-BR"/>
              </w:rPr>
              <w:t>Capitalização das parcerias:</w:t>
            </w:r>
          </w:p>
          <w:p w:rsidR="00910C92" w:rsidRPr="00D174BB" w:rsidRDefault="00910C92">
            <w:pPr>
              <w:rPr>
                <w:color w:val="000000" w:themeColor="text1"/>
                <w:sz w:val="22"/>
                <w:szCs w:val="22"/>
                <w:lang w:val="pt-BR"/>
              </w:rPr>
            </w:pPr>
            <w:r w:rsidRPr="00D174BB">
              <w:rPr>
                <w:color w:val="000000" w:themeColor="text1"/>
                <w:sz w:val="22"/>
                <w:szCs w:val="22"/>
                <w:lang w:val="pt-BR"/>
              </w:rPr>
              <w:t xml:space="preserve">Identificação de outros parceiros do setor privado que especificamente ofereçam soluções para a crise, e compartilhamento das ofertas com os </w:t>
            </w:r>
            <w:r w:rsidRPr="00D174BB">
              <w:rPr>
                <w:bCs/>
                <w:color w:val="000000" w:themeColor="text1"/>
                <w:sz w:val="22"/>
                <w:szCs w:val="22"/>
                <w:lang w:val="pt-BR"/>
              </w:rPr>
              <w:t>Estados membros.</w:t>
            </w:r>
          </w:p>
        </w:tc>
      </w:tr>
    </w:tbl>
    <w:p w:rsidR="00910C92" w:rsidRPr="00D174BB" w:rsidRDefault="00910C92" w:rsidP="00910C92">
      <w:pPr>
        <w:rPr>
          <w:b/>
          <w:color w:val="000000" w:themeColor="text1"/>
          <w:sz w:val="22"/>
          <w:szCs w:val="22"/>
          <w:u w:val="single"/>
          <w:lang w:val="pt-BR"/>
        </w:rPr>
      </w:pPr>
    </w:p>
    <w:p w:rsidR="00910C92" w:rsidRPr="00D174BB" w:rsidRDefault="00910C92" w:rsidP="00910C92">
      <w:pPr>
        <w:rPr>
          <w:b/>
          <w:color w:val="000000" w:themeColor="text1"/>
          <w:sz w:val="22"/>
          <w:szCs w:val="22"/>
          <w:u w:val="single"/>
          <w:lang w:val="pt-BR"/>
        </w:rPr>
      </w:pPr>
    </w:p>
    <w:p w:rsidR="00910C92" w:rsidRPr="00D174BB" w:rsidRDefault="00910C92" w:rsidP="00910C92">
      <w:pPr>
        <w:rPr>
          <w:b/>
          <w:color w:val="000000" w:themeColor="text1"/>
          <w:sz w:val="22"/>
          <w:szCs w:val="22"/>
          <w:u w:val="single"/>
          <w:lang w:val="pt-BR"/>
        </w:rPr>
      </w:pPr>
      <w:r w:rsidRPr="00D174BB">
        <w:rPr>
          <w:noProof/>
        </w:rPr>
        <mc:AlternateContent>
          <mc:Choice Requires="wps">
            <w:drawing>
              <wp:anchor distT="0" distB="0" distL="114300" distR="114300" simplePos="0" relativeHeight="251658240" behindDoc="0" locked="1" layoutInCell="1" allowOverlap="1" wp14:anchorId="7357701C" wp14:editId="7C74E0B9">
                <wp:simplePos x="0" y="0"/>
                <wp:positionH relativeFrom="column">
                  <wp:posOffset>-91440</wp:posOffset>
                </wp:positionH>
                <wp:positionV relativeFrom="page">
                  <wp:posOffset>9144000</wp:posOffset>
                </wp:positionV>
                <wp:extent cx="3383280" cy="2286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A41AB" w:rsidRDefault="002A41AB" w:rsidP="00910C92">
                            <w:pPr>
                              <w:rPr>
                                <w:sz w:val="18"/>
                              </w:rPr>
                            </w:pPr>
                            <w:r>
                              <w:rPr>
                                <w:sz w:val="18"/>
                              </w:rPr>
                              <w:fldChar w:fldCharType="begin"/>
                            </w:r>
                            <w:r>
                              <w:rPr>
                                <w:sz w:val="18"/>
                              </w:rPr>
                              <w:instrText xml:space="preserve"> FILENAME  \* MERGEFORMAT </w:instrText>
                            </w:r>
                            <w:r>
                              <w:rPr>
                                <w:sz w:val="18"/>
                              </w:rPr>
                              <w:fldChar w:fldCharType="separate"/>
                            </w:r>
                            <w:r>
                              <w:rPr>
                                <w:noProof/>
                                <w:sz w:val="18"/>
                              </w:rPr>
                              <w:t>cidrp02861e01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&#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A/iFYRBAMAAMAGAAAOAAAAAAAAAAAAAAAAAC4CAABkcnMvZTJvRG9jLnhtbFBL&#10;AQItABQABgAIAAAAIQB1XgnL3QAAAA0BAAAPAAAAAAAAAAAAAAAAAF4FAABkcnMvZG93bnJldi54&#10;bWxQSwUGAAAAAAQABADzAAAAaAYAAAAA&#10;" fillcolor="black" stroked="f">
                <v:stroke joinstyle="round"/>
                <v:path arrowok="t"/>
                <v:textbox>
                  <w:txbxContent>
                    <w:p w:rsidR="002A41AB" w:rsidRDefault="002A41AB" w:rsidP="00910C92">
                      <w:pPr>
                        <w:rPr>
                          <w:sz w:val="18"/>
                        </w:rPr>
                      </w:pPr>
                      <w:r>
                        <w:rPr>
                          <w:sz w:val="18"/>
                        </w:rPr>
                        <w:fldChar w:fldCharType="begin"/>
                      </w:r>
                      <w:r>
                        <w:rPr>
                          <w:sz w:val="18"/>
                        </w:rPr>
                        <w:instrText xml:space="preserve"> FILENAME  \* MERGEFORMAT </w:instrText>
                      </w:r>
                      <w:r>
                        <w:rPr>
                          <w:sz w:val="18"/>
                        </w:rPr>
                        <w:fldChar w:fldCharType="separate"/>
                      </w:r>
                      <w:r>
                        <w:rPr>
                          <w:noProof/>
                          <w:sz w:val="18"/>
                        </w:rPr>
                        <w:t>cidrp02861e01</w:t>
                      </w:r>
                      <w:r>
                        <w:rPr>
                          <w:sz w:val="18"/>
                        </w:rPr>
                        <w:fldChar w:fldCharType="end"/>
                      </w:r>
                    </w:p>
                  </w:txbxContent>
                </v:textbox>
                <w10:wrap anchory="page"/>
                <w10:anchorlock/>
              </v:shape>
            </w:pict>
          </mc:Fallback>
        </mc:AlternateContent>
      </w:r>
      <w:r w:rsidRPr="00D174BB">
        <w:rPr>
          <w:noProof/>
        </w:rPr>
        <mc:AlternateContent>
          <mc:Choice Requires="wps">
            <w:drawing>
              <wp:anchor distT="0" distB="0" distL="114300" distR="114300" simplePos="0" relativeHeight="251659264" behindDoc="0" locked="1" layoutInCell="1" allowOverlap="1" wp14:anchorId="2ADE1178" wp14:editId="2450F09A">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A41AB" w:rsidRDefault="002A41AB" w:rsidP="00910C92">
                            <w:pPr>
                              <w:rPr>
                                <w:sz w:val="18"/>
                              </w:rPr>
                            </w:pPr>
                            <w:r>
                              <w:rPr>
                                <w:sz w:val="18"/>
                              </w:rPr>
                              <w:fldChar w:fldCharType="begin"/>
                            </w:r>
                            <w:r>
                              <w:rPr>
                                <w:sz w:val="18"/>
                              </w:rPr>
                              <w:instrText xml:space="preserve"> FILENAME  \* MERGEFORMAT </w:instrText>
                            </w:r>
                            <w:r>
                              <w:rPr>
                                <w:sz w:val="18"/>
                              </w:rPr>
                              <w:fldChar w:fldCharType="separate"/>
                            </w:r>
                            <w:r>
                              <w:rPr>
                                <w:noProof/>
                                <w:sz w:val="18"/>
                              </w:rPr>
                              <w:t>cidrp02861e01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eErAoAUDAADABgAADgAAAAAAAAAAAAAAAAAuAgAAZHJzL2Uyb0RvYy54bWxQ&#10;SwECLQAUAAYACAAAACEAdV4Jy90AAAANAQAADwAAAAAAAAAAAAAAAABfBQAAZHJzL2Rvd25yZXYu&#10;eG1sUEsFBgAAAAAEAAQA8wAAAGkGAAAAAA==&#10;" fillcolor="black" stroked="f">
                <v:stroke joinstyle="round"/>
                <v:path arrowok="t"/>
                <v:textbox>
                  <w:txbxContent>
                    <w:p w:rsidR="002A41AB" w:rsidRDefault="002A41AB" w:rsidP="00910C92">
                      <w:pPr>
                        <w:rPr>
                          <w:sz w:val="18"/>
                        </w:rPr>
                      </w:pPr>
                      <w:r>
                        <w:rPr>
                          <w:sz w:val="18"/>
                        </w:rPr>
                        <w:fldChar w:fldCharType="begin"/>
                      </w:r>
                      <w:r>
                        <w:rPr>
                          <w:sz w:val="18"/>
                        </w:rPr>
                        <w:instrText xml:space="preserve"> FILENAME  \* MERGEFORMAT </w:instrText>
                      </w:r>
                      <w:r>
                        <w:rPr>
                          <w:sz w:val="18"/>
                        </w:rPr>
                        <w:fldChar w:fldCharType="separate"/>
                      </w:r>
                      <w:r>
                        <w:rPr>
                          <w:noProof/>
                          <w:sz w:val="18"/>
                        </w:rPr>
                        <w:t>cidrp02861e01</w:t>
                      </w:r>
                      <w:r>
                        <w:rPr>
                          <w:sz w:val="18"/>
                        </w:rPr>
                        <w:fldChar w:fldCharType="end"/>
                      </w:r>
                    </w:p>
                  </w:txbxContent>
                </v:textbox>
                <w10:wrap anchory="page"/>
                <w10:anchorlock/>
              </v:shape>
            </w:pict>
          </mc:Fallback>
        </mc:AlternateContent>
      </w:r>
      <w:r w:rsidRPr="00D174BB">
        <w:rPr>
          <w:noProof/>
        </w:rPr>
        <mc:AlternateContent>
          <mc:Choice Requires="wps">
            <w:drawing>
              <wp:anchor distT="0" distB="0" distL="114300" distR="114300" simplePos="0" relativeHeight="251660288" behindDoc="0" locked="1" layoutInCell="1" allowOverlap="1" wp14:anchorId="502B0CC6" wp14:editId="1E95F70D">
                <wp:simplePos x="0" y="0"/>
                <wp:positionH relativeFrom="column">
                  <wp:posOffset>-91440</wp:posOffset>
                </wp:positionH>
                <wp:positionV relativeFrom="page">
                  <wp:posOffset>6981190</wp:posOffset>
                </wp:positionV>
                <wp:extent cx="3378835" cy="230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835" cy="2305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A41AB" w:rsidRDefault="002A41AB" w:rsidP="00910C92">
                            <w:pPr>
                              <w:rPr>
                                <w:sz w:val="18"/>
                              </w:rPr>
                            </w:pPr>
                            <w:proofErr w:type="spellStart"/>
                            <w:r>
                              <w:rPr>
                                <w:sz w:val="18"/>
                              </w:rPr>
                              <w:t>CIDRP02882P04</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7.2pt;margin-top:549.7pt;width:266.0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" filled="f" stroked="f">
                <v:stroke joinstyle="round"/>
                <v:path arrowok="t"/>
                <v:textbox>
                  <w:txbxContent>
                    <w:p w:rsidR="002A41AB" w:rsidRDefault="002A41AB" w:rsidP="00910C92">
                      <w:pPr>
                        <w:rPr>
                          <w:sz w:val="18"/>
                        </w:rPr>
                      </w:pPr>
                      <w:proofErr w:type="spellStart"/>
                      <w:r>
                        <w:rPr>
                          <w:sz w:val="18"/>
                        </w:rPr>
                        <w:t>CIDRP02882P04</w:t>
                      </w:r>
                      <w:proofErr w:type="spellEnd"/>
                    </w:p>
                  </w:txbxContent>
                </v:textbox>
                <w10:wrap anchory="page"/>
                <w10:anchorlock/>
              </v:shape>
            </w:pict>
          </mc:Fallback>
        </mc:AlternateContent>
      </w:r>
    </w:p>
    <w:p w:rsidR="003F19F9" w:rsidRPr="00D174BB" w:rsidRDefault="003F19F9" w:rsidP="00910C92">
      <w:pPr>
        <w:rPr>
          <w:lang w:val="pt-BR"/>
        </w:rPr>
      </w:pPr>
    </w:p>
    <w:sectPr w:rsidR="003F19F9" w:rsidRPr="00D174BB" w:rsidSect="00AE5DD8">
      <w:headerReference w:type="default" r:id="rId11"/>
      <w:type w:val="oddPage"/>
      <w:pgSz w:w="15840" w:h="12240" w:orient="landscape"/>
      <w:pgMar w:top="1296"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AB" w:rsidRDefault="002A41AB" w:rsidP="005F08C1">
      <w:r>
        <w:separator/>
      </w:r>
    </w:p>
  </w:endnote>
  <w:endnote w:type="continuationSeparator" w:id="0">
    <w:p w:rsidR="002A41AB" w:rsidRDefault="002A41AB" w:rsidP="005F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AB" w:rsidRDefault="002A41AB" w:rsidP="005F08C1">
      <w:r>
        <w:separator/>
      </w:r>
    </w:p>
  </w:footnote>
  <w:footnote w:type="continuationSeparator" w:id="0">
    <w:p w:rsidR="002A41AB" w:rsidRDefault="002A41AB" w:rsidP="005F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AB" w:rsidRPr="00D87FEF" w:rsidRDefault="002A41AB">
    <w:pPr>
      <w:pStyle w:val="Header"/>
      <w:jc w:val="center"/>
      <w:rPr>
        <w:sz w:val="22"/>
        <w:szCs w:val="22"/>
      </w:rPr>
    </w:pPr>
    <w:r w:rsidRPr="00D87FEF">
      <w:rPr>
        <w:sz w:val="22"/>
        <w:szCs w:val="22"/>
      </w:rPr>
      <w:fldChar w:fldCharType="begin"/>
    </w:r>
    <w:r w:rsidRPr="00D87FEF">
      <w:rPr>
        <w:sz w:val="22"/>
        <w:szCs w:val="22"/>
      </w:rPr>
      <w:instrText xml:space="preserve"> PAGE   \* MERGEFORMAT </w:instrText>
    </w:r>
    <w:r w:rsidRPr="00D87FEF">
      <w:rPr>
        <w:sz w:val="22"/>
        <w:szCs w:val="22"/>
      </w:rPr>
      <w:fldChar w:fldCharType="separate"/>
    </w:r>
    <w:r w:rsidR="0079617E">
      <w:rPr>
        <w:noProof/>
        <w:sz w:val="22"/>
        <w:szCs w:val="22"/>
      </w:rPr>
      <w:t>- 3 -</w:t>
    </w:r>
    <w:r w:rsidRPr="00D87FEF">
      <w:rPr>
        <w:noProof/>
        <w:sz w:val="22"/>
        <w:szCs w:val="22"/>
      </w:rPr>
      <w:fldChar w:fldCharType="end"/>
    </w:r>
  </w:p>
  <w:p w:rsidR="002A41AB" w:rsidRDefault="002A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790B"/>
    <w:multiLevelType w:val="hybridMultilevel"/>
    <w:tmpl w:val="5C22D760"/>
    <w:lvl w:ilvl="0" w:tplc="3B14C6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858CC"/>
    <w:multiLevelType w:val="hybridMultilevel"/>
    <w:tmpl w:val="5EA8DA56"/>
    <w:lvl w:ilvl="0" w:tplc="E0665F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64E39"/>
    <w:multiLevelType w:val="hybridMultilevel"/>
    <w:tmpl w:val="31F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C1"/>
    <w:rsid w:val="00013F21"/>
    <w:rsid w:val="00016B27"/>
    <w:rsid w:val="0002662E"/>
    <w:rsid w:val="000361B7"/>
    <w:rsid w:val="00036D85"/>
    <w:rsid w:val="0004001F"/>
    <w:rsid w:val="00041BCA"/>
    <w:rsid w:val="0004610E"/>
    <w:rsid w:val="00047BA3"/>
    <w:rsid w:val="000533D5"/>
    <w:rsid w:val="00054639"/>
    <w:rsid w:val="00061DDC"/>
    <w:rsid w:val="000643D4"/>
    <w:rsid w:val="0006703E"/>
    <w:rsid w:val="00070E69"/>
    <w:rsid w:val="00075933"/>
    <w:rsid w:val="00076256"/>
    <w:rsid w:val="0007783D"/>
    <w:rsid w:val="00084385"/>
    <w:rsid w:val="00096131"/>
    <w:rsid w:val="000A1687"/>
    <w:rsid w:val="000B4969"/>
    <w:rsid w:val="000B5188"/>
    <w:rsid w:val="000C2348"/>
    <w:rsid w:val="000D3097"/>
    <w:rsid w:val="000D4FD1"/>
    <w:rsid w:val="000D7E20"/>
    <w:rsid w:val="000E5F20"/>
    <w:rsid w:val="000E7730"/>
    <w:rsid w:val="000F0BCC"/>
    <w:rsid w:val="000F2552"/>
    <w:rsid w:val="000F2EC8"/>
    <w:rsid w:val="000F4BBA"/>
    <w:rsid w:val="000F7BB0"/>
    <w:rsid w:val="00104809"/>
    <w:rsid w:val="00125E75"/>
    <w:rsid w:val="001339B5"/>
    <w:rsid w:val="00140488"/>
    <w:rsid w:val="00145171"/>
    <w:rsid w:val="00145F43"/>
    <w:rsid w:val="001526FB"/>
    <w:rsid w:val="00155051"/>
    <w:rsid w:val="00163CB6"/>
    <w:rsid w:val="00163F9D"/>
    <w:rsid w:val="001715C0"/>
    <w:rsid w:val="00172420"/>
    <w:rsid w:val="001736B5"/>
    <w:rsid w:val="00180FCA"/>
    <w:rsid w:val="001813E2"/>
    <w:rsid w:val="001824DF"/>
    <w:rsid w:val="001860CF"/>
    <w:rsid w:val="00191FBE"/>
    <w:rsid w:val="00195C22"/>
    <w:rsid w:val="001A5665"/>
    <w:rsid w:val="001A783D"/>
    <w:rsid w:val="001A7858"/>
    <w:rsid w:val="001B1925"/>
    <w:rsid w:val="001B2E4A"/>
    <w:rsid w:val="001B38D8"/>
    <w:rsid w:val="001B4929"/>
    <w:rsid w:val="001C1838"/>
    <w:rsid w:val="001C38CA"/>
    <w:rsid w:val="001D5632"/>
    <w:rsid w:val="001E08C8"/>
    <w:rsid w:val="001E4548"/>
    <w:rsid w:val="001E6646"/>
    <w:rsid w:val="001F1F91"/>
    <w:rsid w:val="001F2D7B"/>
    <w:rsid w:val="001F655F"/>
    <w:rsid w:val="001F71F6"/>
    <w:rsid w:val="001F71F7"/>
    <w:rsid w:val="00200D85"/>
    <w:rsid w:val="002029CD"/>
    <w:rsid w:val="00212C95"/>
    <w:rsid w:val="00213AE0"/>
    <w:rsid w:val="00216EE0"/>
    <w:rsid w:val="002179D7"/>
    <w:rsid w:val="00222AFC"/>
    <w:rsid w:val="002302BC"/>
    <w:rsid w:val="0024535B"/>
    <w:rsid w:val="002564B4"/>
    <w:rsid w:val="002579BC"/>
    <w:rsid w:val="00263ACA"/>
    <w:rsid w:val="00263DCA"/>
    <w:rsid w:val="00276ACD"/>
    <w:rsid w:val="00287093"/>
    <w:rsid w:val="00295CD0"/>
    <w:rsid w:val="002A1814"/>
    <w:rsid w:val="002A40FD"/>
    <w:rsid w:val="002A41AB"/>
    <w:rsid w:val="002B37F2"/>
    <w:rsid w:val="002B6FEE"/>
    <w:rsid w:val="002C5055"/>
    <w:rsid w:val="002D13F3"/>
    <w:rsid w:val="002E6CB6"/>
    <w:rsid w:val="002F0095"/>
    <w:rsid w:val="002F18CD"/>
    <w:rsid w:val="002F4466"/>
    <w:rsid w:val="002F5498"/>
    <w:rsid w:val="002F73DA"/>
    <w:rsid w:val="0031701B"/>
    <w:rsid w:val="00321505"/>
    <w:rsid w:val="003216EA"/>
    <w:rsid w:val="00324A0C"/>
    <w:rsid w:val="0032573B"/>
    <w:rsid w:val="00332F4D"/>
    <w:rsid w:val="00337F51"/>
    <w:rsid w:val="00340144"/>
    <w:rsid w:val="00340D9E"/>
    <w:rsid w:val="0034221B"/>
    <w:rsid w:val="00352779"/>
    <w:rsid w:val="00354C0F"/>
    <w:rsid w:val="00362AEC"/>
    <w:rsid w:val="00364B51"/>
    <w:rsid w:val="003723E2"/>
    <w:rsid w:val="00375633"/>
    <w:rsid w:val="00386EDA"/>
    <w:rsid w:val="0038761C"/>
    <w:rsid w:val="00391A8F"/>
    <w:rsid w:val="003A103F"/>
    <w:rsid w:val="003A36C1"/>
    <w:rsid w:val="003A5429"/>
    <w:rsid w:val="003B0323"/>
    <w:rsid w:val="003B2737"/>
    <w:rsid w:val="003B43E1"/>
    <w:rsid w:val="003B6CB2"/>
    <w:rsid w:val="003D062A"/>
    <w:rsid w:val="003D0E35"/>
    <w:rsid w:val="003D39B4"/>
    <w:rsid w:val="003D3E7C"/>
    <w:rsid w:val="003D4C22"/>
    <w:rsid w:val="003E1AF0"/>
    <w:rsid w:val="003E3964"/>
    <w:rsid w:val="003E42D8"/>
    <w:rsid w:val="003E6A9E"/>
    <w:rsid w:val="003E75CF"/>
    <w:rsid w:val="003F19F9"/>
    <w:rsid w:val="003F2B41"/>
    <w:rsid w:val="003F34EA"/>
    <w:rsid w:val="003F73A5"/>
    <w:rsid w:val="00401CA5"/>
    <w:rsid w:val="00404392"/>
    <w:rsid w:val="00405FA0"/>
    <w:rsid w:val="00411B18"/>
    <w:rsid w:val="00413012"/>
    <w:rsid w:val="004234CD"/>
    <w:rsid w:val="00430AC3"/>
    <w:rsid w:val="00431AA2"/>
    <w:rsid w:val="004325F4"/>
    <w:rsid w:val="00452FCF"/>
    <w:rsid w:val="004552FA"/>
    <w:rsid w:val="00456AF0"/>
    <w:rsid w:val="00460557"/>
    <w:rsid w:val="004652C8"/>
    <w:rsid w:val="00473BFC"/>
    <w:rsid w:val="004865F4"/>
    <w:rsid w:val="00491242"/>
    <w:rsid w:val="00495A43"/>
    <w:rsid w:val="00496FFE"/>
    <w:rsid w:val="004A1A95"/>
    <w:rsid w:val="004A3DDB"/>
    <w:rsid w:val="004B4C0E"/>
    <w:rsid w:val="004B4F2C"/>
    <w:rsid w:val="004C071A"/>
    <w:rsid w:val="004C56C9"/>
    <w:rsid w:val="004C6E34"/>
    <w:rsid w:val="004D009F"/>
    <w:rsid w:val="004D1FAA"/>
    <w:rsid w:val="004E4213"/>
    <w:rsid w:val="004E63EB"/>
    <w:rsid w:val="004F1080"/>
    <w:rsid w:val="00504E94"/>
    <w:rsid w:val="00520154"/>
    <w:rsid w:val="0052090E"/>
    <w:rsid w:val="00526114"/>
    <w:rsid w:val="005420AD"/>
    <w:rsid w:val="00551766"/>
    <w:rsid w:val="00553582"/>
    <w:rsid w:val="00553733"/>
    <w:rsid w:val="005576BE"/>
    <w:rsid w:val="00560309"/>
    <w:rsid w:val="00561C35"/>
    <w:rsid w:val="00564524"/>
    <w:rsid w:val="00564C66"/>
    <w:rsid w:val="0058766F"/>
    <w:rsid w:val="005903DF"/>
    <w:rsid w:val="00593BC1"/>
    <w:rsid w:val="00595305"/>
    <w:rsid w:val="005A2027"/>
    <w:rsid w:val="005A54C6"/>
    <w:rsid w:val="005B1917"/>
    <w:rsid w:val="005C16AE"/>
    <w:rsid w:val="005C4E08"/>
    <w:rsid w:val="005D0BBA"/>
    <w:rsid w:val="005D0F3A"/>
    <w:rsid w:val="005D458C"/>
    <w:rsid w:val="005E0A73"/>
    <w:rsid w:val="005E1A3A"/>
    <w:rsid w:val="005E28DE"/>
    <w:rsid w:val="005E4B05"/>
    <w:rsid w:val="005E6729"/>
    <w:rsid w:val="005F08C1"/>
    <w:rsid w:val="005F27DE"/>
    <w:rsid w:val="005F46AC"/>
    <w:rsid w:val="00601F29"/>
    <w:rsid w:val="006026AC"/>
    <w:rsid w:val="00604E55"/>
    <w:rsid w:val="0061299B"/>
    <w:rsid w:val="00623261"/>
    <w:rsid w:val="00624F77"/>
    <w:rsid w:val="0062554B"/>
    <w:rsid w:val="00626B97"/>
    <w:rsid w:val="006314A3"/>
    <w:rsid w:val="006334E4"/>
    <w:rsid w:val="00633F60"/>
    <w:rsid w:val="00635CC5"/>
    <w:rsid w:val="00641167"/>
    <w:rsid w:val="00643FD6"/>
    <w:rsid w:val="006565D3"/>
    <w:rsid w:val="00656C75"/>
    <w:rsid w:val="006575B9"/>
    <w:rsid w:val="006661C6"/>
    <w:rsid w:val="0066645B"/>
    <w:rsid w:val="0067338A"/>
    <w:rsid w:val="006759D4"/>
    <w:rsid w:val="006763AF"/>
    <w:rsid w:val="006840CB"/>
    <w:rsid w:val="0068465A"/>
    <w:rsid w:val="00684C2A"/>
    <w:rsid w:val="00687441"/>
    <w:rsid w:val="00692D6F"/>
    <w:rsid w:val="00697A37"/>
    <w:rsid w:val="006B1480"/>
    <w:rsid w:val="006B69FE"/>
    <w:rsid w:val="006B7E32"/>
    <w:rsid w:val="006C2745"/>
    <w:rsid w:val="006C48E8"/>
    <w:rsid w:val="006C7FB1"/>
    <w:rsid w:val="006D1409"/>
    <w:rsid w:val="006D2DF4"/>
    <w:rsid w:val="006D78CB"/>
    <w:rsid w:val="006F33F9"/>
    <w:rsid w:val="006F798A"/>
    <w:rsid w:val="007002F6"/>
    <w:rsid w:val="00701DEA"/>
    <w:rsid w:val="00703539"/>
    <w:rsid w:val="00704C86"/>
    <w:rsid w:val="0071033B"/>
    <w:rsid w:val="00711E5A"/>
    <w:rsid w:val="00715436"/>
    <w:rsid w:val="00721AA5"/>
    <w:rsid w:val="007228AE"/>
    <w:rsid w:val="00727433"/>
    <w:rsid w:val="00733169"/>
    <w:rsid w:val="007355A8"/>
    <w:rsid w:val="007424EA"/>
    <w:rsid w:val="00745272"/>
    <w:rsid w:val="00754286"/>
    <w:rsid w:val="00754379"/>
    <w:rsid w:val="00760694"/>
    <w:rsid w:val="00760CA8"/>
    <w:rsid w:val="007645F9"/>
    <w:rsid w:val="00771050"/>
    <w:rsid w:val="00772720"/>
    <w:rsid w:val="007835C3"/>
    <w:rsid w:val="00792D74"/>
    <w:rsid w:val="00794B9A"/>
    <w:rsid w:val="0079617E"/>
    <w:rsid w:val="007B6A54"/>
    <w:rsid w:val="007C0498"/>
    <w:rsid w:val="007C12D6"/>
    <w:rsid w:val="007D08D0"/>
    <w:rsid w:val="007D1BCD"/>
    <w:rsid w:val="007D3ED7"/>
    <w:rsid w:val="007D53BC"/>
    <w:rsid w:val="007E41FF"/>
    <w:rsid w:val="007E4B0C"/>
    <w:rsid w:val="007E54EC"/>
    <w:rsid w:val="007E7D82"/>
    <w:rsid w:val="007F012B"/>
    <w:rsid w:val="007F1126"/>
    <w:rsid w:val="007F366B"/>
    <w:rsid w:val="007F7AE0"/>
    <w:rsid w:val="00802A21"/>
    <w:rsid w:val="00803FE3"/>
    <w:rsid w:val="0080498C"/>
    <w:rsid w:val="008057D5"/>
    <w:rsid w:val="008102F8"/>
    <w:rsid w:val="00813F2F"/>
    <w:rsid w:val="008172D2"/>
    <w:rsid w:val="00820B81"/>
    <w:rsid w:val="00824B38"/>
    <w:rsid w:val="008351F5"/>
    <w:rsid w:val="0085010E"/>
    <w:rsid w:val="008505BB"/>
    <w:rsid w:val="00851D41"/>
    <w:rsid w:val="00853C77"/>
    <w:rsid w:val="008608E5"/>
    <w:rsid w:val="0086140F"/>
    <w:rsid w:val="00861C54"/>
    <w:rsid w:val="00863146"/>
    <w:rsid w:val="00870835"/>
    <w:rsid w:val="00881A8C"/>
    <w:rsid w:val="00890292"/>
    <w:rsid w:val="008902F1"/>
    <w:rsid w:val="00892E99"/>
    <w:rsid w:val="008A0D43"/>
    <w:rsid w:val="008A3C63"/>
    <w:rsid w:val="008A4465"/>
    <w:rsid w:val="008B1F91"/>
    <w:rsid w:val="008C0FE3"/>
    <w:rsid w:val="008C2558"/>
    <w:rsid w:val="008C331E"/>
    <w:rsid w:val="008C3905"/>
    <w:rsid w:val="008C4449"/>
    <w:rsid w:val="008D1406"/>
    <w:rsid w:val="008D3E69"/>
    <w:rsid w:val="008F2AE5"/>
    <w:rsid w:val="008F7904"/>
    <w:rsid w:val="00903441"/>
    <w:rsid w:val="009056B9"/>
    <w:rsid w:val="00906A69"/>
    <w:rsid w:val="00910C92"/>
    <w:rsid w:val="009114EB"/>
    <w:rsid w:val="00913B73"/>
    <w:rsid w:val="0092123E"/>
    <w:rsid w:val="00921B29"/>
    <w:rsid w:val="00923CB4"/>
    <w:rsid w:val="0092402B"/>
    <w:rsid w:val="00924637"/>
    <w:rsid w:val="00926E08"/>
    <w:rsid w:val="00926F9C"/>
    <w:rsid w:val="00927B84"/>
    <w:rsid w:val="009327FB"/>
    <w:rsid w:val="00941126"/>
    <w:rsid w:val="009458A3"/>
    <w:rsid w:val="0095215D"/>
    <w:rsid w:val="009626BC"/>
    <w:rsid w:val="00965565"/>
    <w:rsid w:val="00965692"/>
    <w:rsid w:val="00967FF8"/>
    <w:rsid w:val="00981E82"/>
    <w:rsid w:val="009826B9"/>
    <w:rsid w:val="0098566B"/>
    <w:rsid w:val="0098680D"/>
    <w:rsid w:val="009A03A6"/>
    <w:rsid w:val="009A1D69"/>
    <w:rsid w:val="009A5278"/>
    <w:rsid w:val="009C04D2"/>
    <w:rsid w:val="009C1EB9"/>
    <w:rsid w:val="009C7C62"/>
    <w:rsid w:val="009D1A50"/>
    <w:rsid w:val="009D641B"/>
    <w:rsid w:val="009E0B58"/>
    <w:rsid w:val="009E2653"/>
    <w:rsid w:val="009E668A"/>
    <w:rsid w:val="009F6192"/>
    <w:rsid w:val="00A0348A"/>
    <w:rsid w:val="00A05881"/>
    <w:rsid w:val="00A07DF5"/>
    <w:rsid w:val="00A121A2"/>
    <w:rsid w:val="00A127D4"/>
    <w:rsid w:val="00A1312B"/>
    <w:rsid w:val="00A17F1A"/>
    <w:rsid w:val="00A22E99"/>
    <w:rsid w:val="00A306AE"/>
    <w:rsid w:val="00A3374D"/>
    <w:rsid w:val="00A42E0B"/>
    <w:rsid w:val="00A4473F"/>
    <w:rsid w:val="00A44A01"/>
    <w:rsid w:val="00A45917"/>
    <w:rsid w:val="00A525AF"/>
    <w:rsid w:val="00A703CF"/>
    <w:rsid w:val="00A84D94"/>
    <w:rsid w:val="00A87881"/>
    <w:rsid w:val="00A90986"/>
    <w:rsid w:val="00A90B51"/>
    <w:rsid w:val="00A93CB1"/>
    <w:rsid w:val="00A972C2"/>
    <w:rsid w:val="00AA327A"/>
    <w:rsid w:val="00AA6A32"/>
    <w:rsid w:val="00AB20F1"/>
    <w:rsid w:val="00AC5F16"/>
    <w:rsid w:val="00AC6964"/>
    <w:rsid w:val="00AD1054"/>
    <w:rsid w:val="00AE0E9D"/>
    <w:rsid w:val="00AE3723"/>
    <w:rsid w:val="00AE5DD8"/>
    <w:rsid w:val="00AE64F5"/>
    <w:rsid w:val="00AF3D30"/>
    <w:rsid w:val="00AF43D0"/>
    <w:rsid w:val="00AF494E"/>
    <w:rsid w:val="00B00646"/>
    <w:rsid w:val="00B02643"/>
    <w:rsid w:val="00B028E3"/>
    <w:rsid w:val="00B11392"/>
    <w:rsid w:val="00B14B16"/>
    <w:rsid w:val="00B24EF5"/>
    <w:rsid w:val="00B260FA"/>
    <w:rsid w:val="00B2667B"/>
    <w:rsid w:val="00B30641"/>
    <w:rsid w:val="00B34792"/>
    <w:rsid w:val="00B34DE6"/>
    <w:rsid w:val="00B37768"/>
    <w:rsid w:val="00B42738"/>
    <w:rsid w:val="00B42DB9"/>
    <w:rsid w:val="00B445DD"/>
    <w:rsid w:val="00B47B1A"/>
    <w:rsid w:val="00B506A7"/>
    <w:rsid w:val="00B51DD1"/>
    <w:rsid w:val="00B57F84"/>
    <w:rsid w:val="00B65035"/>
    <w:rsid w:val="00B77151"/>
    <w:rsid w:val="00B83FA2"/>
    <w:rsid w:val="00B8576D"/>
    <w:rsid w:val="00B9205D"/>
    <w:rsid w:val="00BA03CC"/>
    <w:rsid w:val="00BA0CF4"/>
    <w:rsid w:val="00BA25EA"/>
    <w:rsid w:val="00BC025A"/>
    <w:rsid w:val="00BC0439"/>
    <w:rsid w:val="00BD1464"/>
    <w:rsid w:val="00BE233A"/>
    <w:rsid w:val="00BE70B4"/>
    <w:rsid w:val="00BF1B0F"/>
    <w:rsid w:val="00BF5A15"/>
    <w:rsid w:val="00C040B6"/>
    <w:rsid w:val="00C07875"/>
    <w:rsid w:val="00C10AF0"/>
    <w:rsid w:val="00C1146E"/>
    <w:rsid w:val="00C11D18"/>
    <w:rsid w:val="00C13BC5"/>
    <w:rsid w:val="00C15CFB"/>
    <w:rsid w:val="00C21CDC"/>
    <w:rsid w:val="00C30B00"/>
    <w:rsid w:val="00C40854"/>
    <w:rsid w:val="00C51CB9"/>
    <w:rsid w:val="00C5311E"/>
    <w:rsid w:val="00C727FC"/>
    <w:rsid w:val="00C739EF"/>
    <w:rsid w:val="00C742F8"/>
    <w:rsid w:val="00C74AEB"/>
    <w:rsid w:val="00C876E4"/>
    <w:rsid w:val="00C95308"/>
    <w:rsid w:val="00CC1490"/>
    <w:rsid w:val="00CC5186"/>
    <w:rsid w:val="00CC7DEF"/>
    <w:rsid w:val="00CD3221"/>
    <w:rsid w:val="00CD6883"/>
    <w:rsid w:val="00CD7F51"/>
    <w:rsid w:val="00CF3702"/>
    <w:rsid w:val="00D016AB"/>
    <w:rsid w:val="00D0488D"/>
    <w:rsid w:val="00D06D20"/>
    <w:rsid w:val="00D10FB3"/>
    <w:rsid w:val="00D174BB"/>
    <w:rsid w:val="00D17CA0"/>
    <w:rsid w:val="00D24FDB"/>
    <w:rsid w:val="00D25A19"/>
    <w:rsid w:val="00D30660"/>
    <w:rsid w:val="00D3304F"/>
    <w:rsid w:val="00D35EAC"/>
    <w:rsid w:val="00D40C5F"/>
    <w:rsid w:val="00D435CB"/>
    <w:rsid w:val="00D4578B"/>
    <w:rsid w:val="00D51773"/>
    <w:rsid w:val="00D529C8"/>
    <w:rsid w:val="00D54A61"/>
    <w:rsid w:val="00D63D4F"/>
    <w:rsid w:val="00D823F6"/>
    <w:rsid w:val="00D85AEE"/>
    <w:rsid w:val="00D87FEF"/>
    <w:rsid w:val="00D9337D"/>
    <w:rsid w:val="00D9631F"/>
    <w:rsid w:val="00DA296C"/>
    <w:rsid w:val="00DA5328"/>
    <w:rsid w:val="00DB1C1E"/>
    <w:rsid w:val="00DB236E"/>
    <w:rsid w:val="00DB4284"/>
    <w:rsid w:val="00DC195D"/>
    <w:rsid w:val="00DD31FD"/>
    <w:rsid w:val="00DD4B87"/>
    <w:rsid w:val="00DE1DCE"/>
    <w:rsid w:val="00DE2ADC"/>
    <w:rsid w:val="00DE6008"/>
    <w:rsid w:val="00DF07A5"/>
    <w:rsid w:val="00DF0AA6"/>
    <w:rsid w:val="00DF5965"/>
    <w:rsid w:val="00E0152F"/>
    <w:rsid w:val="00E040E2"/>
    <w:rsid w:val="00E26D38"/>
    <w:rsid w:val="00E2720B"/>
    <w:rsid w:val="00E30DA6"/>
    <w:rsid w:val="00E35E48"/>
    <w:rsid w:val="00E411BC"/>
    <w:rsid w:val="00E423E0"/>
    <w:rsid w:val="00E51ADF"/>
    <w:rsid w:val="00E57B62"/>
    <w:rsid w:val="00E57DC8"/>
    <w:rsid w:val="00E605AD"/>
    <w:rsid w:val="00E61A9C"/>
    <w:rsid w:val="00E6671B"/>
    <w:rsid w:val="00E66930"/>
    <w:rsid w:val="00E706AD"/>
    <w:rsid w:val="00E81051"/>
    <w:rsid w:val="00E81B0C"/>
    <w:rsid w:val="00E84DCA"/>
    <w:rsid w:val="00E90338"/>
    <w:rsid w:val="00E96C80"/>
    <w:rsid w:val="00E97DBF"/>
    <w:rsid w:val="00EA104C"/>
    <w:rsid w:val="00EA1077"/>
    <w:rsid w:val="00EA3741"/>
    <w:rsid w:val="00EA3AA7"/>
    <w:rsid w:val="00EB09BA"/>
    <w:rsid w:val="00EB1E98"/>
    <w:rsid w:val="00EB5A73"/>
    <w:rsid w:val="00EC03DD"/>
    <w:rsid w:val="00ED1964"/>
    <w:rsid w:val="00ED2721"/>
    <w:rsid w:val="00ED4210"/>
    <w:rsid w:val="00ED56D8"/>
    <w:rsid w:val="00ED5903"/>
    <w:rsid w:val="00ED64F3"/>
    <w:rsid w:val="00ED6A6F"/>
    <w:rsid w:val="00EE0F40"/>
    <w:rsid w:val="00EE2BBF"/>
    <w:rsid w:val="00EE3AEC"/>
    <w:rsid w:val="00EE4A7E"/>
    <w:rsid w:val="00EE7C74"/>
    <w:rsid w:val="00EF0956"/>
    <w:rsid w:val="00F010D8"/>
    <w:rsid w:val="00F05C27"/>
    <w:rsid w:val="00F13DC4"/>
    <w:rsid w:val="00F13E9E"/>
    <w:rsid w:val="00F2550C"/>
    <w:rsid w:val="00F27048"/>
    <w:rsid w:val="00F308A8"/>
    <w:rsid w:val="00F31A50"/>
    <w:rsid w:val="00F41B50"/>
    <w:rsid w:val="00F4645C"/>
    <w:rsid w:val="00F46EC6"/>
    <w:rsid w:val="00F52029"/>
    <w:rsid w:val="00F54849"/>
    <w:rsid w:val="00F55EF2"/>
    <w:rsid w:val="00F5695D"/>
    <w:rsid w:val="00F62487"/>
    <w:rsid w:val="00F6745D"/>
    <w:rsid w:val="00F71F81"/>
    <w:rsid w:val="00F725DD"/>
    <w:rsid w:val="00F761EC"/>
    <w:rsid w:val="00F95A1F"/>
    <w:rsid w:val="00F9795E"/>
    <w:rsid w:val="00FA0AB6"/>
    <w:rsid w:val="00FB7B51"/>
    <w:rsid w:val="00FB7BA6"/>
    <w:rsid w:val="00FC2097"/>
    <w:rsid w:val="00FC4E3F"/>
    <w:rsid w:val="00FD2E13"/>
    <w:rsid w:val="00FD7DA9"/>
    <w:rsid w:val="00FE1F10"/>
    <w:rsid w:val="00FE78B8"/>
    <w:rsid w:val="00FF2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3A5"/>
    <w:pPr>
      <w:ind w:left="720"/>
    </w:pPr>
  </w:style>
  <w:style w:type="paragraph" w:customStyle="1" w:styleId="Body">
    <w:name w:val="Body"/>
    <w:rsid w:val="00352779"/>
    <w:pPr>
      <w:pBdr>
        <w:top w:val="nil"/>
        <w:left w:val="nil"/>
        <w:bottom w:val="nil"/>
        <w:right w:val="nil"/>
        <w:between w:val="nil"/>
        <w:bar w:val="nil"/>
      </w:pBdr>
      <w:spacing w:after="200" w:line="276" w:lineRule="auto"/>
    </w:pPr>
    <w:rPr>
      <w:color w:val="000000"/>
      <w:sz w:val="22"/>
      <w:szCs w:val="22"/>
      <w:u w:color="000000"/>
      <w:bdr w:val="nil"/>
    </w:rPr>
  </w:style>
  <w:style w:type="paragraph" w:styleId="Header">
    <w:name w:val="header"/>
    <w:basedOn w:val="Normal"/>
    <w:link w:val="HeaderChar"/>
    <w:uiPriority w:val="99"/>
    <w:rsid w:val="005F08C1"/>
    <w:pPr>
      <w:tabs>
        <w:tab w:val="center" w:pos="4680"/>
        <w:tab w:val="right" w:pos="9360"/>
      </w:tabs>
    </w:pPr>
    <w:rPr>
      <w:lang w:val="x-none" w:eastAsia="x-none"/>
    </w:rPr>
  </w:style>
  <w:style w:type="character" w:customStyle="1" w:styleId="HeaderChar">
    <w:name w:val="Header Char"/>
    <w:link w:val="Header"/>
    <w:uiPriority w:val="99"/>
    <w:rsid w:val="005F08C1"/>
    <w:rPr>
      <w:sz w:val="24"/>
      <w:szCs w:val="24"/>
    </w:rPr>
  </w:style>
  <w:style w:type="paragraph" w:styleId="Footer">
    <w:name w:val="footer"/>
    <w:basedOn w:val="Normal"/>
    <w:link w:val="FooterChar"/>
    <w:uiPriority w:val="99"/>
    <w:rsid w:val="005F08C1"/>
    <w:pPr>
      <w:tabs>
        <w:tab w:val="center" w:pos="4680"/>
        <w:tab w:val="right" w:pos="9360"/>
      </w:tabs>
    </w:pPr>
    <w:rPr>
      <w:lang w:val="x-none" w:eastAsia="x-none"/>
    </w:rPr>
  </w:style>
  <w:style w:type="character" w:customStyle="1" w:styleId="FooterChar">
    <w:name w:val="Footer Char"/>
    <w:link w:val="Footer"/>
    <w:uiPriority w:val="99"/>
    <w:rsid w:val="005F08C1"/>
    <w:rPr>
      <w:sz w:val="24"/>
      <w:szCs w:val="24"/>
    </w:rPr>
  </w:style>
  <w:style w:type="paragraph" w:customStyle="1" w:styleId="Default">
    <w:name w:val="Default"/>
    <w:rsid w:val="00D3066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8761C"/>
    <w:rPr>
      <w:rFonts w:ascii="Segoe UI" w:hAnsi="Segoe UI"/>
      <w:sz w:val="18"/>
      <w:szCs w:val="18"/>
      <w:lang w:val="x-none" w:eastAsia="x-none"/>
    </w:rPr>
  </w:style>
  <w:style w:type="character" w:customStyle="1" w:styleId="BalloonTextChar">
    <w:name w:val="Balloon Text Char"/>
    <w:link w:val="BalloonText"/>
    <w:rsid w:val="0038761C"/>
    <w:rPr>
      <w:rFonts w:ascii="Segoe UI" w:hAnsi="Segoe UI" w:cs="Segoe UI"/>
      <w:sz w:val="18"/>
      <w:szCs w:val="18"/>
    </w:rPr>
  </w:style>
  <w:style w:type="character" w:styleId="CommentReference">
    <w:name w:val="annotation reference"/>
    <w:semiHidden/>
    <w:unhideWhenUsed/>
    <w:rsid w:val="006661C6"/>
    <w:rPr>
      <w:sz w:val="16"/>
      <w:szCs w:val="16"/>
    </w:rPr>
  </w:style>
  <w:style w:type="paragraph" w:styleId="CommentText">
    <w:name w:val="annotation text"/>
    <w:basedOn w:val="Normal"/>
    <w:link w:val="CommentTextChar"/>
    <w:semiHidden/>
    <w:unhideWhenUsed/>
    <w:rsid w:val="006661C6"/>
    <w:rPr>
      <w:sz w:val="20"/>
      <w:szCs w:val="20"/>
    </w:rPr>
  </w:style>
  <w:style w:type="character" w:customStyle="1" w:styleId="CommentTextChar">
    <w:name w:val="Comment Text Char"/>
    <w:link w:val="CommentText"/>
    <w:semiHidden/>
    <w:rsid w:val="006661C6"/>
    <w:rPr>
      <w:lang w:val="en-US" w:eastAsia="en-US"/>
    </w:rPr>
  </w:style>
  <w:style w:type="paragraph" w:styleId="CommentSubject">
    <w:name w:val="annotation subject"/>
    <w:basedOn w:val="CommentText"/>
    <w:next w:val="CommentText"/>
    <w:link w:val="CommentSubjectChar"/>
    <w:semiHidden/>
    <w:unhideWhenUsed/>
    <w:rsid w:val="006661C6"/>
    <w:rPr>
      <w:b/>
      <w:bCs/>
    </w:rPr>
  </w:style>
  <w:style w:type="character" w:customStyle="1" w:styleId="CommentSubjectChar">
    <w:name w:val="Comment Subject Char"/>
    <w:link w:val="CommentSubject"/>
    <w:semiHidden/>
    <w:rsid w:val="006661C6"/>
    <w:rPr>
      <w:b/>
      <w:bCs/>
      <w:lang w:val="en-US" w:eastAsia="en-US"/>
    </w:rPr>
  </w:style>
  <w:style w:type="paragraph" w:styleId="EndnoteText">
    <w:name w:val="endnote text"/>
    <w:basedOn w:val="Normal"/>
    <w:link w:val="EndnoteTextChar"/>
    <w:semiHidden/>
    <w:unhideWhenUsed/>
    <w:rsid w:val="00910C92"/>
    <w:rPr>
      <w:sz w:val="20"/>
      <w:szCs w:val="20"/>
    </w:rPr>
  </w:style>
  <w:style w:type="character" w:customStyle="1" w:styleId="EndnoteTextChar">
    <w:name w:val="Endnote Text Char"/>
    <w:basedOn w:val="DefaultParagraphFont"/>
    <w:link w:val="EndnoteText"/>
    <w:semiHidden/>
    <w:rsid w:val="00910C92"/>
  </w:style>
  <w:style w:type="character" w:styleId="EndnoteReference">
    <w:name w:val="endnote reference"/>
    <w:basedOn w:val="DefaultParagraphFont"/>
    <w:semiHidden/>
    <w:unhideWhenUsed/>
    <w:rsid w:val="00910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3A5"/>
    <w:pPr>
      <w:ind w:left="720"/>
    </w:pPr>
  </w:style>
  <w:style w:type="paragraph" w:customStyle="1" w:styleId="Body">
    <w:name w:val="Body"/>
    <w:rsid w:val="00352779"/>
    <w:pPr>
      <w:pBdr>
        <w:top w:val="nil"/>
        <w:left w:val="nil"/>
        <w:bottom w:val="nil"/>
        <w:right w:val="nil"/>
        <w:between w:val="nil"/>
        <w:bar w:val="nil"/>
      </w:pBdr>
      <w:spacing w:after="200" w:line="276" w:lineRule="auto"/>
    </w:pPr>
    <w:rPr>
      <w:color w:val="000000"/>
      <w:sz w:val="22"/>
      <w:szCs w:val="22"/>
      <w:u w:color="000000"/>
      <w:bdr w:val="nil"/>
    </w:rPr>
  </w:style>
  <w:style w:type="paragraph" w:styleId="Header">
    <w:name w:val="header"/>
    <w:basedOn w:val="Normal"/>
    <w:link w:val="HeaderChar"/>
    <w:uiPriority w:val="99"/>
    <w:rsid w:val="005F08C1"/>
    <w:pPr>
      <w:tabs>
        <w:tab w:val="center" w:pos="4680"/>
        <w:tab w:val="right" w:pos="9360"/>
      </w:tabs>
    </w:pPr>
    <w:rPr>
      <w:lang w:val="x-none" w:eastAsia="x-none"/>
    </w:rPr>
  </w:style>
  <w:style w:type="character" w:customStyle="1" w:styleId="HeaderChar">
    <w:name w:val="Header Char"/>
    <w:link w:val="Header"/>
    <w:uiPriority w:val="99"/>
    <w:rsid w:val="005F08C1"/>
    <w:rPr>
      <w:sz w:val="24"/>
      <w:szCs w:val="24"/>
    </w:rPr>
  </w:style>
  <w:style w:type="paragraph" w:styleId="Footer">
    <w:name w:val="footer"/>
    <w:basedOn w:val="Normal"/>
    <w:link w:val="FooterChar"/>
    <w:uiPriority w:val="99"/>
    <w:rsid w:val="005F08C1"/>
    <w:pPr>
      <w:tabs>
        <w:tab w:val="center" w:pos="4680"/>
        <w:tab w:val="right" w:pos="9360"/>
      </w:tabs>
    </w:pPr>
    <w:rPr>
      <w:lang w:val="x-none" w:eastAsia="x-none"/>
    </w:rPr>
  </w:style>
  <w:style w:type="character" w:customStyle="1" w:styleId="FooterChar">
    <w:name w:val="Footer Char"/>
    <w:link w:val="Footer"/>
    <w:uiPriority w:val="99"/>
    <w:rsid w:val="005F08C1"/>
    <w:rPr>
      <w:sz w:val="24"/>
      <w:szCs w:val="24"/>
    </w:rPr>
  </w:style>
  <w:style w:type="paragraph" w:customStyle="1" w:styleId="Default">
    <w:name w:val="Default"/>
    <w:rsid w:val="00D3066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8761C"/>
    <w:rPr>
      <w:rFonts w:ascii="Segoe UI" w:hAnsi="Segoe UI"/>
      <w:sz w:val="18"/>
      <w:szCs w:val="18"/>
      <w:lang w:val="x-none" w:eastAsia="x-none"/>
    </w:rPr>
  </w:style>
  <w:style w:type="character" w:customStyle="1" w:styleId="BalloonTextChar">
    <w:name w:val="Balloon Text Char"/>
    <w:link w:val="BalloonText"/>
    <w:rsid w:val="0038761C"/>
    <w:rPr>
      <w:rFonts w:ascii="Segoe UI" w:hAnsi="Segoe UI" w:cs="Segoe UI"/>
      <w:sz w:val="18"/>
      <w:szCs w:val="18"/>
    </w:rPr>
  </w:style>
  <w:style w:type="character" w:styleId="CommentReference">
    <w:name w:val="annotation reference"/>
    <w:semiHidden/>
    <w:unhideWhenUsed/>
    <w:rsid w:val="006661C6"/>
    <w:rPr>
      <w:sz w:val="16"/>
      <w:szCs w:val="16"/>
    </w:rPr>
  </w:style>
  <w:style w:type="paragraph" w:styleId="CommentText">
    <w:name w:val="annotation text"/>
    <w:basedOn w:val="Normal"/>
    <w:link w:val="CommentTextChar"/>
    <w:semiHidden/>
    <w:unhideWhenUsed/>
    <w:rsid w:val="006661C6"/>
    <w:rPr>
      <w:sz w:val="20"/>
      <w:szCs w:val="20"/>
    </w:rPr>
  </w:style>
  <w:style w:type="character" w:customStyle="1" w:styleId="CommentTextChar">
    <w:name w:val="Comment Text Char"/>
    <w:link w:val="CommentText"/>
    <w:semiHidden/>
    <w:rsid w:val="006661C6"/>
    <w:rPr>
      <w:lang w:val="en-US" w:eastAsia="en-US"/>
    </w:rPr>
  </w:style>
  <w:style w:type="paragraph" w:styleId="CommentSubject">
    <w:name w:val="annotation subject"/>
    <w:basedOn w:val="CommentText"/>
    <w:next w:val="CommentText"/>
    <w:link w:val="CommentSubjectChar"/>
    <w:semiHidden/>
    <w:unhideWhenUsed/>
    <w:rsid w:val="006661C6"/>
    <w:rPr>
      <w:b/>
      <w:bCs/>
    </w:rPr>
  </w:style>
  <w:style w:type="character" w:customStyle="1" w:styleId="CommentSubjectChar">
    <w:name w:val="Comment Subject Char"/>
    <w:link w:val="CommentSubject"/>
    <w:semiHidden/>
    <w:rsid w:val="006661C6"/>
    <w:rPr>
      <w:b/>
      <w:bCs/>
      <w:lang w:val="en-US" w:eastAsia="en-US"/>
    </w:rPr>
  </w:style>
  <w:style w:type="paragraph" w:styleId="EndnoteText">
    <w:name w:val="endnote text"/>
    <w:basedOn w:val="Normal"/>
    <w:link w:val="EndnoteTextChar"/>
    <w:semiHidden/>
    <w:unhideWhenUsed/>
    <w:rsid w:val="00910C92"/>
    <w:rPr>
      <w:sz w:val="20"/>
      <w:szCs w:val="20"/>
    </w:rPr>
  </w:style>
  <w:style w:type="character" w:customStyle="1" w:styleId="EndnoteTextChar">
    <w:name w:val="Endnote Text Char"/>
    <w:basedOn w:val="DefaultParagraphFont"/>
    <w:link w:val="EndnoteText"/>
    <w:semiHidden/>
    <w:rsid w:val="00910C92"/>
  </w:style>
  <w:style w:type="character" w:styleId="EndnoteReference">
    <w:name w:val="endnote reference"/>
    <w:basedOn w:val="DefaultParagraphFont"/>
    <w:semiHidden/>
    <w:unhideWhenUsed/>
    <w:rsid w:val="0091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247">
      <w:bodyDiv w:val="1"/>
      <w:marLeft w:val="0"/>
      <w:marRight w:val="0"/>
      <w:marTop w:val="0"/>
      <w:marBottom w:val="0"/>
      <w:divBdr>
        <w:top w:val="none" w:sz="0" w:space="0" w:color="auto"/>
        <w:left w:val="none" w:sz="0" w:space="0" w:color="auto"/>
        <w:bottom w:val="none" w:sz="0" w:space="0" w:color="auto"/>
        <w:right w:val="none" w:sz="0" w:space="0" w:color="auto"/>
      </w:divBdr>
      <w:divsChild>
        <w:div w:id="1071389427">
          <w:marLeft w:val="0"/>
          <w:marRight w:val="0"/>
          <w:marTop w:val="0"/>
          <w:marBottom w:val="0"/>
          <w:divBdr>
            <w:top w:val="none" w:sz="0" w:space="0" w:color="auto"/>
            <w:left w:val="none" w:sz="0" w:space="0" w:color="auto"/>
            <w:bottom w:val="none" w:sz="0" w:space="0" w:color="auto"/>
            <w:right w:val="none" w:sz="0" w:space="0" w:color="auto"/>
          </w:divBdr>
        </w:div>
        <w:div w:id="1472554804">
          <w:marLeft w:val="0"/>
          <w:marRight w:val="0"/>
          <w:marTop w:val="0"/>
          <w:marBottom w:val="0"/>
          <w:divBdr>
            <w:top w:val="none" w:sz="0" w:space="0" w:color="auto"/>
            <w:left w:val="none" w:sz="0" w:space="0" w:color="auto"/>
            <w:bottom w:val="none" w:sz="0" w:space="0" w:color="auto"/>
            <w:right w:val="none" w:sz="0" w:space="0" w:color="auto"/>
          </w:divBdr>
        </w:div>
        <w:div w:id="1484811165">
          <w:marLeft w:val="0"/>
          <w:marRight w:val="0"/>
          <w:marTop w:val="0"/>
          <w:marBottom w:val="0"/>
          <w:divBdr>
            <w:top w:val="none" w:sz="0" w:space="0" w:color="auto"/>
            <w:left w:val="none" w:sz="0" w:space="0" w:color="auto"/>
            <w:bottom w:val="none" w:sz="0" w:space="0" w:color="auto"/>
            <w:right w:val="none" w:sz="0" w:space="0" w:color="auto"/>
          </w:divBdr>
        </w:div>
        <w:div w:id="2086875547">
          <w:marLeft w:val="0"/>
          <w:marRight w:val="0"/>
          <w:marTop w:val="0"/>
          <w:marBottom w:val="0"/>
          <w:divBdr>
            <w:top w:val="none" w:sz="0" w:space="0" w:color="auto"/>
            <w:left w:val="none" w:sz="0" w:space="0" w:color="auto"/>
            <w:bottom w:val="none" w:sz="0" w:space="0" w:color="auto"/>
            <w:right w:val="none" w:sz="0" w:space="0" w:color="auto"/>
          </w:divBdr>
        </w:div>
      </w:divsChild>
    </w:div>
    <w:div w:id="141698882">
      <w:bodyDiv w:val="1"/>
      <w:marLeft w:val="0"/>
      <w:marRight w:val="0"/>
      <w:marTop w:val="0"/>
      <w:marBottom w:val="0"/>
      <w:divBdr>
        <w:top w:val="none" w:sz="0" w:space="0" w:color="auto"/>
        <w:left w:val="none" w:sz="0" w:space="0" w:color="auto"/>
        <w:bottom w:val="none" w:sz="0" w:space="0" w:color="auto"/>
        <w:right w:val="none" w:sz="0" w:space="0" w:color="auto"/>
      </w:divBdr>
      <w:divsChild>
        <w:div w:id="2021227082">
          <w:marLeft w:val="360"/>
          <w:marRight w:val="0"/>
          <w:marTop w:val="200"/>
          <w:marBottom w:val="0"/>
          <w:divBdr>
            <w:top w:val="none" w:sz="0" w:space="0" w:color="auto"/>
            <w:left w:val="none" w:sz="0" w:space="0" w:color="auto"/>
            <w:bottom w:val="none" w:sz="0" w:space="0" w:color="auto"/>
            <w:right w:val="none" w:sz="0" w:space="0" w:color="auto"/>
          </w:divBdr>
        </w:div>
      </w:divsChild>
    </w:div>
    <w:div w:id="209853095">
      <w:bodyDiv w:val="1"/>
      <w:marLeft w:val="0"/>
      <w:marRight w:val="0"/>
      <w:marTop w:val="0"/>
      <w:marBottom w:val="0"/>
      <w:divBdr>
        <w:top w:val="none" w:sz="0" w:space="0" w:color="auto"/>
        <w:left w:val="none" w:sz="0" w:space="0" w:color="auto"/>
        <w:bottom w:val="none" w:sz="0" w:space="0" w:color="auto"/>
        <w:right w:val="none" w:sz="0" w:space="0" w:color="auto"/>
      </w:divBdr>
    </w:div>
    <w:div w:id="216207477">
      <w:bodyDiv w:val="1"/>
      <w:marLeft w:val="0"/>
      <w:marRight w:val="0"/>
      <w:marTop w:val="0"/>
      <w:marBottom w:val="0"/>
      <w:divBdr>
        <w:top w:val="none" w:sz="0" w:space="0" w:color="auto"/>
        <w:left w:val="none" w:sz="0" w:space="0" w:color="auto"/>
        <w:bottom w:val="none" w:sz="0" w:space="0" w:color="auto"/>
        <w:right w:val="none" w:sz="0" w:space="0" w:color="auto"/>
      </w:divBdr>
    </w:div>
    <w:div w:id="264535314">
      <w:bodyDiv w:val="1"/>
      <w:marLeft w:val="0"/>
      <w:marRight w:val="0"/>
      <w:marTop w:val="0"/>
      <w:marBottom w:val="0"/>
      <w:divBdr>
        <w:top w:val="none" w:sz="0" w:space="0" w:color="auto"/>
        <w:left w:val="none" w:sz="0" w:space="0" w:color="auto"/>
        <w:bottom w:val="none" w:sz="0" w:space="0" w:color="auto"/>
        <w:right w:val="none" w:sz="0" w:space="0" w:color="auto"/>
      </w:divBdr>
    </w:div>
    <w:div w:id="271019507">
      <w:bodyDiv w:val="1"/>
      <w:marLeft w:val="0"/>
      <w:marRight w:val="0"/>
      <w:marTop w:val="0"/>
      <w:marBottom w:val="0"/>
      <w:divBdr>
        <w:top w:val="none" w:sz="0" w:space="0" w:color="auto"/>
        <w:left w:val="none" w:sz="0" w:space="0" w:color="auto"/>
        <w:bottom w:val="none" w:sz="0" w:space="0" w:color="auto"/>
        <w:right w:val="none" w:sz="0" w:space="0" w:color="auto"/>
      </w:divBdr>
      <w:divsChild>
        <w:div w:id="528370437">
          <w:marLeft w:val="0"/>
          <w:marRight w:val="0"/>
          <w:marTop w:val="0"/>
          <w:marBottom w:val="0"/>
          <w:divBdr>
            <w:top w:val="none" w:sz="0" w:space="0" w:color="auto"/>
            <w:left w:val="none" w:sz="0" w:space="0" w:color="auto"/>
            <w:bottom w:val="none" w:sz="0" w:space="0" w:color="auto"/>
            <w:right w:val="none" w:sz="0" w:space="0" w:color="auto"/>
          </w:divBdr>
        </w:div>
        <w:div w:id="1449743102">
          <w:marLeft w:val="0"/>
          <w:marRight w:val="0"/>
          <w:marTop w:val="0"/>
          <w:marBottom w:val="0"/>
          <w:divBdr>
            <w:top w:val="none" w:sz="0" w:space="0" w:color="auto"/>
            <w:left w:val="none" w:sz="0" w:space="0" w:color="auto"/>
            <w:bottom w:val="none" w:sz="0" w:space="0" w:color="auto"/>
            <w:right w:val="none" w:sz="0" w:space="0" w:color="auto"/>
          </w:divBdr>
        </w:div>
      </w:divsChild>
    </w:div>
    <w:div w:id="301496298">
      <w:bodyDiv w:val="1"/>
      <w:marLeft w:val="0"/>
      <w:marRight w:val="0"/>
      <w:marTop w:val="0"/>
      <w:marBottom w:val="0"/>
      <w:divBdr>
        <w:top w:val="none" w:sz="0" w:space="0" w:color="auto"/>
        <w:left w:val="none" w:sz="0" w:space="0" w:color="auto"/>
        <w:bottom w:val="none" w:sz="0" w:space="0" w:color="auto"/>
        <w:right w:val="none" w:sz="0" w:space="0" w:color="auto"/>
      </w:divBdr>
    </w:div>
    <w:div w:id="417794963">
      <w:bodyDiv w:val="1"/>
      <w:marLeft w:val="0"/>
      <w:marRight w:val="0"/>
      <w:marTop w:val="0"/>
      <w:marBottom w:val="0"/>
      <w:divBdr>
        <w:top w:val="none" w:sz="0" w:space="0" w:color="auto"/>
        <w:left w:val="none" w:sz="0" w:space="0" w:color="auto"/>
        <w:bottom w:val="none" w:sz="0" w:space="0" w:color="auto"/>
        <w:right w:val="none" w:sz="0" w:space="0" w:color="auto"/>
      </w:divBdr>
      <w:divsChild>
        <w:div w:id="687365557">
          <w:marLeft w:val="360"/>
          <w:marRight w:val="0"/>
          <w:marTop w:val="200"/>
          <w:marBottom w:val="0"/>
          <w:divBdr>
            <w:top w:val="none" w:sz="0" w:space="0" w:color="auto"/>
            <w:left w:val="none" w:sz="0" w:space="0" w:color="auto"/>
            <w:bottom w:val="none" w:sz="0" w:space="0" w:color="auto"/>
            <w:right w:val="none" w:sz="0" w:space="0" w:color="auto"/>
          </w:divBdr>
        </w:div>
      </w:divsChild>
    </w:div>
    <w:div w:id="473370234">
      <w:bodyDiv w:val="1"/>
      <w:marLeft w:val="0"/>
      <w:marRight w:val="0"/>
      <w:marTop w:val="0"/>
      <w:marBottom w:val="0"/>
      <w:divBdr>
        <w:top w:val="none" w:sz="0" w:space="0" w:color="auto"/>
        <w:left w:val="none" w:sz="0" w:space="0" w:color="auto"/>
        <w:bottom w:val="none" w:sz="0" w:space="0" w:color="auto"/>
        <w:right w:val="none" w:sz="0" w:space="0" w:color="auto"/>
      </w:divBdr>
      <w:divsChild>
        <w:div w:id="1372614460">
          <w:marLeft w:val="0"/>
          <w:marRight w:val="0"/>
          <w:marTop w:val="0"/>
          <w:marBottom w:val="0"/>
          <w:divBdr>
            <w:top w:val="none" w:sz="0" w:space="0" w:color="auto"/>
            <w:left w:val="none" w:sz="0" w:space="0" w:color="auto"/>
            <w:bottom w:val="none" w:sz="0" w:space="0" w:color="auto"/>
            <w:right w:val="none" w:sz="0" w:space="0" w:color="auto"/>
          </w:divBdr>
        </w:div>
        <w:div w:id="1530025440">
          <w:marLeft w:val="0"/>
          <w:marRight w:val="0"/>
          <w:marTop w:val="0"/>
          <w:marBottom w:val="0"/>
          <w:divBdr>
            <w:top w:val="none" w:sz="0" w:space="0" w:color="auto"/>
            <w:left w:val="none" w:sz="0" w:space="0" w:color="auto"/>
            <w:bottom w:val="none" w:sz="0" w:space="0" w:color="auto"/>
            <w:right w:val="none" w:sz="0" w:space="0" w:color="auto"/>
          </w:divBdr>
        </w:div>
      </w:divsChild>
    </w:div>
    <w:div w:id="513760869">
      <w:bodyDiv w:val="1"/>
      <w:marLeft w:val="0"/>
      <w:marRight w:val="0"/>
      <w:marTop w:val="0"/>
      <w:marBottom w:val="0"/>
      <w:divBdr>
        <w:top w:val="none" w:sz="0" w:space="0" w:color="auto"/>
        <w:left w:val="none" w:sz="0" w:space="0" w:color="auto"/>
        <w:bottom w:val="none" w:sz="0" w:space="0" w:color="auto"/>
        <w:right w:val="none" w:sz="0" w:space="0" w:color="auto"/>
      </w:divBdr>
    </w:div>
    <w:div w:id="641077217">
      <w:bodyDiv w:val="1"/>
      <w:marLeft w:val="0"/>
      <w:marRight w:val="0"/>
      <w:marTop w:val="0"/>
      <w:marBottom w:val="0"/>
      <w:divBdr>
        <w:top w:val="none" w:sz="0" w:space="0" w:color="auto"/>
        <w:left w:val="none" w:sz="0" w:space="0" w:color="auto"/>
        <w:bottom w:val="none" w:sz="0" w:space="0" w:color="auto"/>
        <w:right w:val="none" w:sz="0" w:space="0" w:color="auto"/>
      </w:divBdr>
    </w:div>
    <w:div w:id="679939583">
      <w:bodyDiv w:val="1"/>
      <w:marLeft w:val="0"/>
      <w:marRight w:val="0"/>
      <w:marTop w:val="0"/>
      <w:marBottom w:val="0"/>
      <w:divBdr>
        <w:top w:val="none" w:sz="0" w:space="0" w:color="auto"/>
        <w:left w:val="none" w:sz="0" w:space="0" w:color="auto"/>
        <w:bottom w:val="none" w:sz="0" w:space="0" w:color="auto"/>
        <w:right w:val="none" w:sz="0" w:space="0" w:color="auto"/>
      </w:divBdr>
    </w:div>
    <w:div w:id="806359686">
      <w:bodyDiv w:val="1"/>
      <w:marLeft w:val="0"/>
      <w:marRight w:val="0"/>
      <w:marTop w:val="0"/>
      <w:marBottom w:val="0"/>
      <w:divBdr>
        <w:top w:val="none" w:sz="0" w:space="0" w:color="auto"/>
        <w:left w:val="none" w:sz="0" w:space="0" w:color="auto"/>
        <w:bottom w:val="none" w:sz="0" w:space="0" w:color="auto"/>
        <w:right w:val="none" w:sz="0" w:space="0" w:color="auto"/>
      </w:divBdr>
      <w:divsChild>
        <w:div w:id="837620464">
          <w:marLeft w:val="0"/>
          <w:marRight w:val="0"/>
          <w:marTop w:val="0"/>
          <w:marBottom w:val="0"/>
          <w:divBdr>
            <w:top w:val="none" w:sz="0" w:space="0" w:color="auto"/>
            <w:left w:val="none" w:sz="0" w:space="0" w:color="auto"/>
            <w:bottom w:val="none" w:sz="0" w:space="0" w:color="auto"/>
            <w:right w:val="none" w:sz="0" w:space="0" w:color="auto"/>
          </w:divBdr>
        </w:div>
        <w:div w:id="1045955317">
          <w:marLeft w:val="0"/>
          <w:marRight w:val="0"/>
          <w:marTop w:val="0"/>
          <w:marBottom w:val="0"/>
          <w:divBdr>
            <w:top w:val="none" w:sz="0" w:space="0" w:color="auto"/>
            <w:left w:val="none" w:sz="0" w:space="0" w:color="auto"/>
            <w:bottom w:val="none" w:sz="0" w:space="0" w:color="auto"/>
            <w:right w:val="none" w:sz="0" w:space="0" w:color="auto"/>
          </w:divBdr>
        </w:div>
      </w:divsChild>
    </w:div>
    <w:div w:id="830215080">
      <w:bodyDiv w:val="1"/>
      <w:marLeft w:val="0"/>
      <w:marRight w:val="0"/>
      <w:marTop w:val="0"/>
      <w:marBottom w:val="0"/>
      <w:divBdr>
        <w:top w:val="none" w:sz="0" w:space="0" w:color="auto"/>
        <w:left w:val="none" w:sz="0" w:space="0" w:color="auto"/>
        <w:bottom w:val="none" w:sz="0" w:space="0" w:color="auto"/>
        <w:right w:val="none" w:sz="0" w:space="0" w:color="auto"/>
      </w:divBdr>
    </w:div>
    <w:div w:id="878128979">
      <w:bodyDiv w:val="1"/>
      <w:marLeft w:val="0"/>
      <w:marRight w:val="0"/>
      <w:marTop w:val="0"/>
      <w:marBottom w:val="0"/>
      <w:divBdr>
        <w:top w:val="none" w:sz="0" w:space="0" w:color="auto"/>
        <w:left w:val="none" w:sz="0" w:space="0" w:color="auto"/>
        <w:bottom w:val="none" w:sz="0" w:space="0" w:color="auto"/>
        <w:right w:val="none" w:sz="0" w:space="0" w:color="auto"/>
      </w:divBdr>
      <w:divsChild>
        <w:div w:id="200360947">
          <w:marLeft w:val="0"/>
          <w:marRight w:val="0"/>
          <w:marTop w:val="0"/>
          <w:marBottom w:val="0"/>
          <w:divBdr>
            <w:top w:val="none" w:sz="0" w:space="0" w:color="auto"/>
            <w:left w:val="none" w:sz="0" w:space="0" w:color="auto"/>
            <w:bottom w:val="none" w:sz="0" w:space="0" w:color="auto"/>
            <w:right w:val="none" w:sz="0" w:space="0" w:color="auto"/>
          </w:divBdr>
        </w:div>
      </w:divsChild>
    </w:div>
    <w:div w:id="915240438">
      <w:bodyDiv w:val="1"/>
      <w:marLeft w:val="0"/>
      <w:marRight w:val="0"/>
      <w:marTop w:val="0"/>
      <w:marBottom w:val="0"/>
      <w:divBdr>
        <w:top w:val="none" w:sz="0" w:space="0" w:color="auto"/>
        <w:left w:val="none" w:sz="0" w:space="0" w:color="auto"/>
        <w:bottom w:val="none" w:sz="0" w:space="0" w:color="auto"/>
        <w:right w:val="none" w:sz="0" w:space="0" w:color="auto"/>
      </w:divBdr>
      <w:divsChild>
        <w:div w:id="1766489003">
          <w:marLeft w:val="0"/>
          <w:marRight w:val="0"/>
          <w:marTop w:val="0"/>
          <w:marBottom w:val="0"/>
          <w:divBdr>
            <w:top w:val="none" w:sz="0" w:space="0" w:color="auto"/>
            <w:left w:val="none" w:sz="0" w:space="0" w:color="auto"/>
            <w:bottom w:val="none" w:sz="0" w:space="0" w:color="auto"/>
            <w:right w:val="none" w:sz="0" w:space="0" w:color="auto"/>
          </w:divBdr>
        </w:div>
      </w:divsChild>
    </w:div>
    <w:div w:id="1138107300">
      <w:bodyDiv w:val="1"/>
      <w:marLeft w:val="0"/>
      <w:marRight w:val="0"/>
      <w:marTop w:val="0"/>
      <w:marBottom w:val="0"/>
      <w:divBdr>
        <w:top w:val="none" w:sz="0" w:space="0" w:color="auto"/>
        <w:left w:val="none" w:sz="0" w:space="0" w:color="auto"/>
        <w:bottom w:val="none" w:sz="0" w:space="0" w:color="auto"/>
        <w:right w:val="none" w:sz="0" w:space="0" w:color="auto"/>
      </w:divBdr>
    </w:div>
    <w:div w:id="1217204007">
      <w:bodyDiv w:val="1"/>
      <w:marLeft w:val="0"/>
      <w:marRight w:val="0"/>
      <w:marTop w:val="0"/>
      <w:marBottom w:val="0"/>
      <w:divBdr>
        <w:top w:val="none" w:sz="0" w:space="0" w:color="auto"/>
        <w:left w:val="none" w:sz="0" w:space="0" w:color="auto"/>
        <w:bottom w:val="none" w:sz="0" w:space="0" w:color="auto"/>
        <w:right w:val="none" w:sz="0" w:space="0" w:color="auto"/>
      </w:divBdr>
    </w:div>
    <w:div w:id="1261644548">
      <w:bodyDiv w:val="1"/>
      <w:marLeft w:val="0"/>
      <w:marRight w:val="0"/>
      <w:marTop w:val="0"/>
      <w:marBottom w:val="0"/>
      <w:divBdr>
        <w:top w:val="none" w:sz="0" w:space="0" w:color="auto"/>
        <w:left w:val="none" w:sz="0" w:space="0" w:color="auto"/>
        <w:bottom w:val="none" w:sz="0" w:space="0" w:color="auto"/>
        <w:right w:val="none" w:sz="0" w:space="0" w:color="auto"/>
      </w:divBdr>
      <w:divsChild>
        <w:div w:id="1720326413">
          <w:marLeft w:val="0"/>
          <w:marRight w:val="0"/>
          <w:marTop w:val="0"/>
          <w:marBottom w:val="0"/>
          <w:divBdr>
            <w:top w:val="none" w:sz="0" w:space="0" w:color="auto"/>
            <w:left w:val="none" w:sz="0" w:space="0" w:color="auto"/>
            <w:bottom w:val="none" w:sz="0" w:space="0" w:color="auto"/>
            <w:right w:val="none" w:sz="0" w:space="0" w:color="auto"/>
          </w:divBdr>
        </w:div>
      </w:divsChild>
    </w:div>
    <w:div w:id="1303342083">
      <w:bodyDiv w:val="1"/>
      <w:marLeft w:val="0"/>
      <w:marRight w:val="0"/>
      <w:marTop w:val="0"/>
      <w:marBottom w:val="0"/>
      <w:divBdr>
        <w:top w:val="none" w:sz="0" w:space="0" w:color="auto"/>
        <w:left w:val="none" w:sz="0" w:space="0" w:color="auto"/>
        <w:bottom w:val="none" w:sz="0" w:space="0" w:color="auto"/>
        <w:right w:val="none" w:sz="0" w:space="0" w:color="auto"/>
      </w:divBdr>
    </w:div>
    <w:div w:id="1370035387">
      <w:bodyDiv w:val="1"/>
      <w:marLeft w:val="0"/>
      <w:marRight w:val="0"/>
      <w:marTop w:val="0"/>
      <w:marBottom w:val="0"/>
      <w:divBdr>
        <w:top w:val="none" w:sz="0" w:space="0" w:color="auto"/>
        <w:left w:val="none" w:sz="0" w:space="0" w:color="auto"/>
        <w:bottom w:val="none" w:sz="0" w:space="0" w:color="auto"/>
        <w:right w:val="none" w:sz="0" w:space="0" w:color="auto"/>
      </w:divBdr>
      <w:divsChild>
        <w:div w:id="418910258">
          <w:marLeft w:val="360"/>
          <w:marRight w:val="0"/>
          <w:marTop w:val="200"/>
          <w:marBottom w:val="0"/>
          <w:divBdr>
            <w:top w:val="none" w:sz="0" w:space="0" w:color="auto"/>
            <w:left w:val="none" w:sz="0" w:space="0" w:color="auto"/>
            <w:bottom w:val="none" w:sz="0" w:space="0" w:color="auto"/>
            <w:right w:val="none" w:sz="0" w:space="0" w:color="auto"/>
          </w:divBdr>
        </w:div>
      </w:divsChild>
    </w:div>
    <w:div w:id="1380976951">
      <w:bodyDiv w:val="1"/>
      <w:marLeft w:val="0"/>
      <w:marRight w:val="0"/>
      <w:marTop w:val="0"/>
      <w:marBottom w:val="0"/>
      <w:divBdr>
        <w:top w:val="none" w:sz="0" w:space="0" w:color="auto"/>
        <w:left w:val="none" w:sz="0" w:space="0" w:color="auto"/>
        <w:bottom w:val="none" w:sz="0" w:space="0" w:color="auto"/>
        <w:right w:val="none" w:sz="0" w:space="0" w:color="auto"/>
      </w:divBdr>
      <w:divsChild>
        <w:div w:id="606813725">
          <w:marLeft w:val="547"/>
          <w:marRight w:val="0"/>
          <w:marTop w:val="0"/>
          <w:marBottom w:val="0"/>
          <w:divBdr>
            <w:top w:val="none" w:sz="0" w:space="0" w:color="auto"/>
            <w:left w:val="none" w:sz="0" w:space="0" w:color="auto"/>
            <w:bottom w:val="none" w:sz="0" w:space="0" w:color="auto"/>
            <w:right w:val="none" w:sz="0" w:space="0" w:color="auto"/>
          </w:divBdr>
        </w:div>
        <w:div w:id="682128271">
          <w:marLeft w:val="547"/>
          <w:marRight w:val="0"/>
          <w:marTop w:val="0"/>
          <w:marBottom w:val="0"/>
          <w:divBdr>
            <w:top w:val="none" w:sz="0" w:space="0" w:color="auto"/>
            <w:left w:val="none" w:sz="0" w:space="0" w:color="auto"/>
            <w:bottom w:val="none" w:sz="0" w:space="0" w:color="auto"/>
            <w:right w:val="none" w:sz="0" w:space="0" w:color="auto"/>
          </w:divBdr>
        </w:div>
        <w:div w:id="1247956197">
          <w:marLeft w:val="547"/>
          <w:marRight w:val="0"/>
          <w:marTop w:val="0"/>
          <w:marBottom w:val="0"/>
          <w:divBdr>
            <w:top w:val="none" w:sz="0" w:space="0" w:color="auto"/>
            <w:left w:val="none" w:sz="0" w:space="0" w:color="auto"/>
            <w:bottom w:val="none" w:sz="0" w:space="0" w:color="auto"/>
            <w:right w:val="none" w:sz="0" w:space="0" w:color="auto"/>
          </w:divBdr>
        </w:div>
      </w:divsChild>
    </w:div>
    <w:div w:id="1459493663">
      <w:bodyDiv w:val="1"/>
      <w:marLeft w:val="0"/>
      <w:marRight w:val="0"/>
      <w:marTop w:val="0"/>
      <w:marBottom w:val="0"/>
      <w:divBdr>
        <w:top w:val="none" w:sz="0" w:space="0" w:color="auto"/>
        <w:left w:val="none" w:sz="0" w:space="0" w:color="auto"/>
        <w:bottom w:val="none" w:sz="0" w:space="0" w:color="auto"/>
        <w:right w:val="none" w:sz="0" w:space="0" w:color="auto"/>
      </w:divBdr>
    </w:div>
    <w:div w:id="1465467217">
      <w:bodyDiv w:val="1"/>
      <w:marLeft w:val="0"/>
      <w:marRight w:val="0"/>
      <w:marTop w:val="0"/>
      <w:marBottom w:val="0"/>
      <w:divBdr>
        <w:top w:val="none" w:sz="0" w:space="0" w:color="auto"/>
        <w:left w:val="none" w:sz="0" w:space="0" w:color="auto"/>
        <w:bottom w:val="none" w:sz="0" w:space="0" w:color="auto"/>
        <w:right w:val="none" w:sz="0" w:space="0" w:color="auto"/>
      </w:divBdr>
    </w:div>
    <w:div w:id="1483543660">
      <w:bodyDiv w:val="1"/>
      <w:marLeft w:val="0"/>
      <w:marRight w:val="0"/>
      <w:marTop w:val="0"/>
      <w:marBottom w:val="0"/>
      <w:divBdr>
        <w:top w:val="none" w:sz="0" w:space="0" w:color="auto"/>
        <w:left w:val="none" w:sz="0" w:space="0" w:color="auto"/>
        <w:bottom w:val="none" w:sz="0" w:space="0" w:color="auto"/>
        <w:right w:val="none" w:sz="0" w:space="0" w:color="auto"/>
      </w:divBdr>
    </w:div>
    <w:div w:id="1501848203">
      <w:bodyDiv w:val="1"/>
      <w:marLeft w:val="0"/>
      <w:marRight w:val="0"/>
      <w:marTop w:val="0"/>
      <w:marBottom w:val="0"/>
      <w:divBdr>
        <w:top w:val="none" w:sz="0" w:space="0" w:color="auto"/>
        <w:left w:val="none" w:sz="0" w:space="0" w:color="auto"/>
        <w:bottom w:val="none" w:sz="0" w:space="0" w:color="auto"/>
        <w:right w:val="none" w:sz="0" w:space="0" w:color="auto"/>
      </w:divBdr>
    </w:div>
    <w:div w:id="1542206477">
      <w:bodyDiv w:val="1"/>
      <w:marLeft w:val="0"/>
      <w:marRight w:val="0"/>
      <w:marTop w:val="0"/>
      <w:marBottom w:val="0"/>
      <w:divBdr>
        <w:top w:val="none" w:sz="0" w:space="0" w:color="auto"/>
        <w:left w:val="none" w:sz="0" w:space="0" w:color="auto"/>
        <w:bottom w:val="none" w:sz="0" w:space="0" w:color="auto"/>
        <w:right w:val="none" w:sz="0" w:space="0" w:color="auto"/>
      </w:divBdr>
    </w:div>
    <w:div w:id="1609240376">
      <w:bodyDiv w:val="1"/>
      <w:marLeft w:val="0"/>
      <w:marRight w:val="0"/>
      <w:marTop w:val="0"/>
      <w:marBottom w:val="0"/>
      <w:divBdr>
        <w:top w:val="none" w:sz="0" w:space="0" w:color="auto"/>
        <w:left w:val="none" w:sz="0" w:space="0" w:color="auto"/>
        <w:bottom w:val="none" w:sz="0" w:space="0" w:color="auto"/>
        <w:right w:val="none" w:sz="0" w:space="0" w:color="auto"/>
      </w:divBdr>
    </w:div>
    <w:div w:id="1706372966">
      <w:bodyDiv w:val="1"/>
      <w:marLeft w:val="0"/>
      <w:marRight w:val="0"/>
      <w:marTop w:val="0"/>
      <w:marBottom w:val="0"/>
      <w:divBdr>
        <w:top w:val="none" w:sz="0" w:space="0" w:color="auto"/>
        <w:left w:val="none" w:sz="0" w:space="0" w:color="auto"/>
        <w:bottom w:val="none" w:sz="0" w:space="0" w:color="auto"/>
        <w:right w:val="none" w:sz="0" w:space="0" w:color="auto"/>
      </w:divBdr>
    </w:div>
    <w:div w:id="1761607740">
      <w:bodyDiv w:val="1"/>
      <w:marLeft w:val="0"/>
      <w:marRight w:val="0"/>
      <w:marTop w:val="0"/>
      <w:marBottom w:val="0"/>
      <w:divBdr>
        <w:top w:val="none" w:sz="0" w:space="0" w:color="auto"/>
        <w:left w:val="none" w:sz="0" w:space="0" w:color="auto"/>
        <w:bottom w:val="none" w:sz="0" w:space="0" w:color="auto"/>
        <w:right w:val="none" w:sz="0" w:space="0" w:color="auto"/>
      </w:divBdr>
      <w:divsChild>
        <w:div w:id="1408501705">
          <w:marLeft w:val="0"/>
          <w:marRight w:val="0"/>
          <w:marTop w:val="0"/>
          <w:marBottom w:val="0"/>
          <w:divBdr>
            <w:top w:val="none" w:sz="0" w:space="0" w:color="auto"/>
            <w:left w:val="none" w:sz="0" w:space="0" w:color="auto"/>
            <w:bottom w:val="none" w:sz="0" w:space="0" w:color="auto"/>
            <w:right w:val="none" w:sz="0" w:space="0" w:color="auto"/>
          </w:divBdr>
        </w:div>
        <w:div w:id="1412391886">
          <w:marLeft w:val="0"/>
          <w:marRight w:val="0"/>
          <w:marTop w:val="0"/>
          <w:marBottom w:val="0"/>
          <w:divBdr>
            <w:top w:val="none" w:sz="0" w:space="0" w:color="auto"/>
            <w:left w:val="none" w:sz="0" w:space="0" w:color="auto"/>
            <w:bottom w:val="none" w:sz="0" w:space="0" w:color="auto"/>
            <w:right w:val="none" w:sz="0" w:space="0" w:color="auto"/>
          </w:divBdr>
        </w:div>
      </w:divsChild>
    </w:div>
    <w:div w:id="1780443127">
      <w:bodyDiv w:val="1"/>
      <w:marLeft w:val="0"/>
      <w:marRight w:val="0"/>
      <w:marTop w:val="0"/>
      <w:marBottom w:val="0"/>
      <w:divBdr>
        <w:top w:val="none" w:sz="0" w:space="0" w:color="auto"/>
        <w:left w:val="none" w:sz="0" w:space="0" w:color="auto"/>
        <w:bottom w:val="none" w:sz="0" w:space="0" w:color="auto"/>
        <w:right w:val="none" w:sz="0" w:space="0" w:color="auto"/>
      </w:divBdr>
      <w:divsChild>
        <w:div w:id="964391946">
          <w:marLeft w:val="0"/>
          <w:marRight w:val="0"/>
          <w:marTop w:val="0"/>
          <w:marBottom w:val="0"/>
          <w:divBdr>
            <w:top w:val="none" w:sz="0" w:space="0" w:color="auto"/>
            <w:left w:val="none" w:sz="0" w:space="0" w:color="auto"/>
            <w:bottom w:val="none" w:sz="0" w:space="0" w:color="auto"/>
            <w:right w:val="none" w:sz="0" w:space="0" w:color="auto"/>
          </w:divBdr>
        </w:div>
        <w:div w:id="1492256466">
          <w:marLeft w:val="0"/>
          <w:marRight w:val="0"/>
          <w:marTop w:val="0"/>
          <w:marBottom w:val="0"/>
          <w:divBdr>
            <w:top w:val="none" w:sz="0" w:space="0" w:color="auto"/>
            <w:left w:val="none" w:sz="0" w:space="0" w:color="auto"/>
            <w:bottom w:val="none" w:sz="0" w:space="0" w:color="auto"/>
            <w:right w:val="none" w:sz="0" w:space="0" w:color="auto"/>
          </w:divBdr>
        </w:div>
        <w:div w:id="1572616049">
          <w:marLeft w:val="0"/>
          <w:marRight w:val="0"/>
          <w:marTop w:val="0"/>
          <w:marBottom w:val="0"/>
          <w:divBdr>
            <w:top w:val="none" w:sz="0" w:space="0" w:color="auto"/>
            <w:left w:val="none" w:sz="0" w:space="0" w:color="auto"/>
            <w:bottom w:val="none" w:sz="0" w:space="0" w:color="auto"/>
            <w:right w:val="none" w:sz="0" w:space="0" w:color="auto"/>
          </w:divBdr>
        </w:div>
      </w:divsChild>
    </w:div>
    <w:div w:id="1796171086">
      <w:bodyDiv w:val="1"/>
      <w:marLeft w:val="0"/>
      <w:marRight w:val="0"/>
      <w:marTop w:val="0"/>
      <w:marBottom w:val="0"/>
      <w:divBdr>
        <w:top w:val="none" w:sz="0" w:space="0" w:color="auto"/>
        <w:left w:val="none" w:sz="0" w:space="0" w:color="auto"/>
        <w:bottom w:val="none" w:sz="0" w:space="0" w:color="auto"/>
        <w:right w:val="none" w:sz="0" w:space="0" w:color="auto"/>
      </w:divBdr>
      <w:divsChild>
        <w:div w:id="883371978">
          <w:marLeft w:val="0"/>
          <w:marRight w:val="0"/>
          <w:marTop w:val="0"/>
          <w:marBottom w:val="0"/>
          <w:divBdr>
            <w:top w:val="none" w:sz="0" w:space="0" w:color="auto"/>
            <w:left w:val="none" w:sz="0" w:space="0" w:color="auto"/>
            <w:bottom w:val="none" w:sz="0" w:space="0" w:color="auto"/>
            <w:right w:val="none" w:sz="0" w:space="0" w:color="auto"/>
          </w:divBdr>
        </w:div>
      </w:divsChild>
    </w:div>
    <w:div w:id="1810895788">
      <w:bodyDiv w:val="1"/>
      <w:marLeft w:val="0"/>
      <w:marRight w:val="0"/>
      <w:marTop w:val="0"/>
      <w:marBottom w:val="0"/>
      <w:divBdr>
        <w:top w:val="none" w:sz="0" w:space="0" w:color="auto"/>
        <w:left w:val="none" w:sz="0" w:space="0" w:color="auto"/>
        <w:bottom w:val="none" w:sz="0" w:space="0" w:color="auto"/>
        <w:right w:val="none" w:sz="0" w:space="0" w:color="auto"/>
      </w:divBdr>
    </w:div>
    <w:div w:id="1888031630">
      <w:bodyDiv w:val="1"/>
      <w:marLeft w:val="0"/>
      <w:marRight w:val="0"/>
      <w:marTop w:val="0"/>
      <w:marBottom w:val="0"/>
      <w:divBdr>
        <w:top w:val="none" w:sz="0" w:space="0" w:color="auto"/>
        <w:left w:val="none" w:sz="0" w:space="0" w:color="auto"/>
        <w:bottom w:val="none" w:sz="0" w:space="0" w:color="auto"/>
        <w:right w:val="none" w:sz="0" w:space="0" w:color="auto"/>
      </w:divBdr>
    </w:div>
    <w:div w:id="1902672409">
      <w:bodyDiv w:val="1"/>
      <w:marLeft w:val="0"/>
      <w:marRight w:val="0"/>
      <w:marTop w:val="0"/>
      <w:marBottom w:val="0"/>
      <w:divBdr>
        <w:top w:val="none" w:sz="0" w:space="0" w:color="auto"/>
        <w:left w:val="none" w:sz="0" w:space="0" w:color="auto"/>
        <w:bottom w:val="none" w:sz="0" w:space="0" w:color="auto"/>
        <w:right w:val="none" w:sz="0" w:space="0" w:color="auto"/>
      </w:divBdr>
      <w:divsChild>
        <w:div w:id="433331219">
          <w:marLeft w:val="0"/>
          <w:marRight w:val="0"/>
          <w:marTop w:val="0"/>
          <w:marBottom w:val="0"/>
          <w:divBdr>
            <w:top w:val="none" w:sz="0" w:space="0" w:color="auto"/>
            <w:left w:val="none" w:sz="0" w:space="0" w:color="auto"/>
            <w:bottom w:val="none" w:sz="0" w:space="0" w:color="auto"/>
            <w:right w:val="none" w:sz="0" w:space="0" w:color="auto"/>
          </w:divBdr>
        </w:div>
      </w:divsChild>
    </w:div>
    <w:div w:id="1931543929">
      <w:bodyDiv w:val="1"/>
      <w:marLeft w:val="0"/>
      <w:marRight w:val="0"/>
      <w:marTop w:val="0"/>
      <w:marBottom w:val="0"/>
      <w:divBdr>
        <w:top w:val="none" w:sz="0" w:space="0" w:color="auto"/>
        <w:left w:val="none" w:sz="0" w:space="0" w:color="auto"/>
        <w:bottom w:val="none" w:sz="0" w:space="0" w:color="auto"/>
        <w:right w:val="none" w:sz="0" w:space="0" w:color="auto"/>
      </w:divBdr>
    </w:div>
    <w:div w:id="2042244378">
      <w:bodyDiv w:val="1"/>
      <w:marLeft w:val="0"/>
      <w:marRight w:val="0"/>
      <w:marTop w:val="0"/>
      <w:marBottom w:val="0"/>
      <w:divBdr>
        <w:top w:val="none" w:sz="0" w:space="0" w:color="auto"/>
        <w:left w:val="none" w:sz="0" w:space="0" w:color="auto"/>
        <w:bottom w:val="none" w:sz="0" w:space="0" w:color="auto"/>
        <w:right w:val="none" w:sz="0" w:space="0" w:color="auto"/>
      </w:divBdr>
    </w:div>
    <w:div w:id="2054578409">
      <w:bodyDiv w:val="1"/>
      <w:marLeft w:val="0"/>
      <w:marRight w:val="0"/>
      <w:marTop w:val="0"/>
      <w:marBottom w:val="0"/>
      <w:divBdr>
        <w:top w:val="none" w:sz="0" w:space="0" w:color="auto"/>
        <w:left w:val="none" w:sz="0" w:space="0" w:color="auto"/>
        <w:bottom w:val="none" w:sz="0" w:space="0" w:color="auto"/>
        <w:right w:val="none" w:sz="0" w:space="0" w:color="auto"/>
      </w:divBdr>
      <w:divsChild>
        <w:div w:id="1688558198">
          <w:marLeft w:val="720"/>
          <w:marRight w:val="0"/>
          <w:marTop w:val="0"/>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081F-6B78-43B2-B1F1-8B435B1B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29</Pages>
  <Words>8555</Words>
  <Characters>52477</Characters>
  <Application>Microsoft Office Word</Application>
  <DocSecurity>0</DocSecurity>
  <Lines>437</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60911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15</cp:revision>
  <cp:lastPrinted>2020-05-26T16:24:00Z</cp:lastPrinted>
  <dcterms:created xsi:type="dcterms:W3CDTF">2020-06-08T14:02:00Z</dcterms:created>
  <dcterms:modified xsi:type="dcterms:W3CDTF">2020-06-09T17:22:00Z</dcterms:modified>
</cp:coreProperties>
</file>