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185F6C" w:rsidRDefault="00FA607C" w:rsidP="00010C0C">
      <w:pPr>
        <w:tabs>
          <w:tab w:val="left" w:pos="7200"/>
        </w:tabs>
        <w:ind w:right="-1080"/>
        <w:rPr>
          <w:sz w:val="22"/>
          <w:szCs w:val="22"/>
          <w:lang w:val="pt-BR"/>
        </w:rPr>
      </w:pPr>
      <w:bookmarkStart w:id="0" w:name="_top"/>
      <w:bookmarkEnd w:id="0"/>
      <w:r>
        <w:rPr>
          <w:sz w:val="22"/>
          <w:szCs w:val="22"/>
        </w:rPr>
        <w:tab/>
      </w:r>
      <w:r w:rsidRPr="00185F6C">
        <w:rPr>
          <w:sz w:val="22"/>
          <w:szCs w:val="22"/>
          <w:lang w:val="pt-BR"/>
        </w:rPr>
        <w:t>OEA/Ser.W</w:t>
      </w:r>
    </w:p>
    <w:p w:rsidR="00722693" w:rsidRPr="00185F6C" w:rsidRDefault="00FA607C" w:rsidP="00010C0C">
      <w:pPr>
        <w:tabs>
          <w:tab w:val="left" w:pos="7200"/>
        </w:tabs>
        <w:ind w:right="-1080"/>
        <w:rPr>
          <w:sz w:val="22"/>
          <w:szCs w:val="22"/>
          <w:lang w:val="pt-BR"/>
        </w:rPr>
      </w:pPr>
      <w:r w:rsidRPr="00185F6C">
        <w:rPr>
          <w:sz w:val="22"/>
          <w:szCs w:val="22"/>
          <w:lang w:val="pt-BR"/>
        </w:rPr>
        <w:tab/>
        <w:t>CIDI/doc.295/20</w:t>
      </w:r>
    </w:p>
    <w:p w:rsidR="00921E9E" w:rsidRPr="006B70C3" w:rsidRDefault="00FA607C" w:rsidP="00010C0C">
      <w:pPr>
        <w:tabs>
          <w:tab w:val="left" w:pos="7200"/>
        </w:tabs>
        <w:ind w:right="-1080"/>
        <w:rPr>
          <w:sz w:val="22"/>
          <w:szCs w:val="22"/>
        </w:rPr>
      </w:pPr>
      <w:r w:rsidRPr="00185F6C">
        <w:rPr>
          <w:sz w:val="22"/>
          <w:szCs w:val="22"/>
          <w:lang w:val="pt-BR"/>
        </w:rPr>
        <w:tab/>
      </w:r>
      <w:r>
        <w:rPr>
          <w:sz w:val="22"/>
          <w:szCs w:val="22"/>
        </w:rPr>
        <w:t>22 July 2020</w:t>
      </w:r>
    </w:p>
    <w:p w:rsidR="00921E9E" w:rsidRPr="006B70C3" w:rsidRDefault="00FA607C" w:rsidP="00010C0C">
      <w:pPr>
        <w:pBdr>
          <w:bottom w:val="single" w:sz="12" w:space="1" w:color="auto"/>
        </w:pBdr>
        <w:tabs>
          <w:tab w:val="left" w:pos="7200"/>
        </w:tabs>
        <w:ind w:right="-389"/>
        <w:rPr>
          <w:sz w:val="22"/>
          <w:szCs w:val="22"/>
        </w:rPr>
      </w:pPr>
      <w:r>
        <w:rPr>
          <w:sz w:val="22"/>
          <w:szCs w:val="22"/>
        </w:rPr>
        <w:tab/>
        <w:t>Original: Spanish</w:t>
      </w:r>
    </w:p>
    <w:p w:rsidR="00921E9E" w:rsidRPr="006B70C3" w:rsidRDefault="00921E9E" w:rsidP="005D7378">
      <w:pPr>
        <w:pBdr>
          <w:bottom w:val="single" w:sz="12" w:space="1" w:color="auto"/>
        </w:pBdr>
        <w:tabs>
          <w:tab w:val="left" w:pos="7200"/>
        </w:tabs>
        <w:spacing w:line="360" w:lineRule="auto"/>
        <w:ind w:right="-389"/>
        <w:rPr>
          <w:sz w:val="22"/>
          <w:szCs w:val="22"/>
        </w:rPr>
      </w:pPr>
    </w:p>
    <w:p w:rsidR="00722693" w:rsidRPr="006B70C3" w:rsidRDefault="00722693" w:rsidP="00185F6C">
      <w:pPr>
        <w:tabs>
          <w:tab w:val="left" w:pos="7200"/>
        </w:tabs>
        <w:ind w:right="-1080"/>
        <w:rPr>
          <w:sz w:val="22"/>
          <w:szCs w:val="22"/>
        </w:rPr>
      </w:pPr>
    </w:p>
    <w:p w:rsidR="00BE3526" w:rsidRDefault="00BE3526" w:rsidP="00185F6C">
      <w:pPr>
        <w:jc w:val="both"/>
        <w:outlineLvl w:val="0"/>
        <w:rPr>
          <w:sz w:val="22"/>
          <w:szCs w:val="22"/>
        </w:rPr>
      </w:pPr>
    </w:p>
    <w:p w:rsidR="00BE3526" w:rsidRDefault="00BE3526" w:rsidP="00185F6C">
      <w:pPr>
        <w:jc w:val="center"/>
        <w:outlineLvl w:val="0"/>
        <w:rPr>
          <w:sz w:val="22"/>
          <w:szCs w:val="22"/>
        </w:rPr>
      </w:pPr>
      <w:r>
        <w:rPr>
          <w:sz w:val="22"/>
          <w:szCs w:val="22"/>
        </w:rPr>
        <w:t>DRAFT RESOLUTION</w:t>
      </w:r>
    </w:p>
    <w:p w:rsidR="005D7378" w:rsidRPr="00BE3526" w:rsidRDefault="005D7378" w:rsidP="00185F6C">
      <w:pPr>
        <w:jc w:val="center"/>
        <w:outlineLvl w:val="0"/>
        <w:rPr>
          <w:sz w:val="22"/>
          <w:szCs w:val="22"/>
        </w:rPr>
      </w:pPr>
    </w:p>
    <w:p w:rsidR="00BE3526" w:rsidRPr="00BE3526" w:rsidRDefault="00BE3526" w:rsidP="00185F6C">
      <w:pPr>
        <w:jc w:val="center"/>
        <w:outlineLvl w:val="0"/>
        <w:rPr>
          <w:sz w:val="22"/>
          <w:szCs w:val="22"/>
        </w:rPr>
      </w:pPr>
      <w:r>
        <w:rPr>
          <w:sz w:val="22"/>
          <w:szCs w:val="22"/>
        </w:rPr>
        <w:t xml:space="preserve">CONVOCATION OF THE </w:t>
      </w:r>
      <w:bookmarkStart w:id="1" w:name="_Toc231851814"/>
      <w:bookmarkStart w:id="2" w:name="_Toc231844531"/>
      <w:bookmarkStart w:id="3" w:name="_Toc231628779"/>
      <w:r>
        <w:rPr>
          <w:sz w:val="22"/>
          <w:szCs w:val="22"/>
        </w:rPr>
        <w:t xml:space="preserve">XXI INTER-AMERICAN </w:t>
      </w:r>
      <w:r>
        <w:rPr>
          <w:sz w:val="22"/>
          <w:szCs w:val="22"/>
        </w:rPr>
        <w:br/>
        <w:t>CONFERENCE OF MINISTERS OF LABOR</w:t>
      </w:r>
      <w:bookmarkEnd w:id="1"/>
      <w:bookmarkEnd w:id="2"/>
      <w:bookmarkEnd w:id="3"/>
      <w:r>
        <w:rPr>
          <w:sz w:val="22"/>
          <w:szCs w:val="22"/>
        </w:rPr>
        <w:t xml:space="preserve"> </w:t>
      </w:r>
    </w:p>
    <w:p w:rsidR="00BE3526" w:rsidRPr="00BE3526" w:rsidRDefault="00BE3526" w:rsidP="00185F6C">
      <w:pPr>
        <w:jc w:val="both"/>
        <w:rPr>
          <w:sz w:val="22"/>
          <w:szCs w:val="22"/>
        </w:rPr>
      </w:pPr>
    </w:p>
    <w:p w:rsidR="00BE3526" w:rsidRPr="00BE3526" w:rsidRDefault="00BE3526" w:rsidP="00185F6C">
      <w:pPr>
        <w:jc w:val="center"/>
        <w:rPr>
          <w:sz w:val="22"/>
          <w:szCs w:val="22"/>
        </w:rPr>
      </w:pPr>
      <w:r>
        <w:rPr>
          <w:sz w:val="22"/>
          <w:szCs w:val="22"/>
        </w:rPr>
        <w:t xml:space="preserve">(Presented by the delegation of the </w:t>
      </w:r>
      <w:r w:rsidR="00CC652C">
        <w:rPr>
          <w:sz w:val="22"/>
          <w:szCs w:val="22"/>
        </w:rPr>
        <w:t xml:space="preserve">Republic of </w:t>
      </w:r>
      <w:bookmarkStart w:id="4" w:name="_GoBack"/>
      <w:bookmarkEnd w:id="4"/>
      <w:r>
        <w:rPr>
          <w:sz w:val="22"/>
          <w:szCs w:val="22"/>
        </w:rPr>
        <w:t>Argentina)</w:t>
      </w:r>
    </w:p>
    <w:p w:rsidR="00BE3526" w:rsidRPr="00BE3526" w:rsidRDefault="00BE3526" w:rsidP="00185F6C">
      <w:pPr>
        <w:jc w:val="both"/>
        <w:rPr>
          <w:sz w:val="22"/>
          <w:szCs w:val="22"/>
        </w:rPr>
      </w:pPr>
    </w:p>
    <w:p w:rsidR="00BE3526" w:rsidRPr="00BE3526" w:rsidRDefault="00BE3526" w:rsidP="00185F6C">
      <w:pPr>
        <w:jc w:val="both"/>
        <w:rPr>
          <w:sz w:val="22"/>
          <w:szCs w:val="22"/>
        </w:rPr>
      </w:pPr>
    </w:p>
    <w:p w:rsidR="00BE3526" w:rsidRPr="00BE3526" w:rsidRDefault="00BE3526" w:rsidP="005D7378">
      <w:pPr>
        <w:spacing w:line="360" w:lineRule="auto"/>
        <w:ind w:firstLine="720"/>
        <w:jc w:val="both"/>
        <w:rPr>
          <w:sz w:val="22"/>
          <w:szCs w:val="22"/>
        </w:rPr>
      </w:pPr>
      <w:r>
        <w:rPr>
          <w:sz w:val="22"/>
          <w:szCs w:val="22"/>
        </w:rPr>
        <w:t>THE INTER-AMERICAN COUNCIL FOR INTEGRAL DEVELOPMENT (CIDI),</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ind w:firstLine="720"/>
        <w:jc w:val="both"/>
        <w:rPr>
          <w:sz w:val="22"/>
          <w:szCs w:val="22"/>
        </w:rPr>
      </w:pPr>
      <w:r>
        <w:rPr>
          <w:sz w:val="22"/>
          <w:szCs w:val="22"/>
        </w:rPr>
        <w:t xml:space="preserve">HAVING SEEN </w:t>
      </w:r>
      <w:bookmarkStart w:id="5" w:name="_Toc398801780"/>
      <w:r>
        <w:rPr>
          <w:sz w:val="22"/>
          <w:szCs w:val="22"/>
        </w:rPr>
        <w:t>resolution AG/RES. 2939 (XLIX-O/19),</w:t>
      </w:r>
      <w:bookmarkEnd w:id="5"/>
      <w:r>
        <w:rPr>
          <w:sz w:val="22"/>
          <w:szCs w:val="22"/>
        </w:rPr>
        <w:t xml:space="preserve"> “Advancing Hemispheric Initiatives on Integral Development”; </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ind w:firstLine="720"/>
        <w:jc w:val="both"/>
        <w:rPr>
          <w:sz w:val="22"/>
          <w:szCs w:val="22"/>
        </w:rPr>
      </w:pPr>
      <w:r>
        <w:rPr>
          <w:sz w:val="22"/>
          <w:szCs w:val="22"/>
        </w:rPr>
        <w:t>HAVING SEEN ALSO the Declaration of  Bridgetown 2017 “Building on our achievements and advancing toward social justice, decent work and sustainable development in the Americas” (CIDI/TRABAJO/DEC. 1/17 rev. 1), the Plan of Action of Bridgetown 2017 (CIDI/TRABAJO/doc.7/17 rev. 2), and the final report of the XX Inter-American Conference of Ministers of Labor (IACML) (CIDI/TRABAJO/doc.23/17);</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jc w:val="both"/>
        <w:rPr>
          <w:sz w:val="22"/>
          <w:szCs w:val="22"/>
        </w:rPr>
      </w:pPr>
      <w:r>
        <w:rPr>
          <w:sz w:val="22"/>
          <w:szCs w:val="22"/>
        </w:rPr>
        <w:t>CONSIDERING:</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ind w:firstLine="720"/>
        <w:jc w:val="both"/>
        <w:rPr>
          <w:sz w:val="22"/>
          <w:szCs w:val="22"/>
        </w:rPr>
      </w:pPr>
      <w:r>
        <w:rPr>
          <w:sz w:val="22"/>
          <w:szCs w:val="22"/>
        </w:rPr>
        <w:t>That the Inter-American Conference of Ministers of Labor (IACML) is a specialized conference of the Organization of American States;</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ind w:right="-29" w:firstLine="720"/>
        <w:jc w:val="both"/>
        <w:rPr>
          <w:sz w:val="22"/>
          <w:szCs w:val="22"/>
        </w:rPr>
      </w:pPr>
      <w:r>
        <w:rPr>
          <w:sz w:val="22"/>
          <w:szCs w:val="22"/>
        </w:rPr>
        <w:t xml:space="preserve">That, at the Third Summit of the Americas, held in Quebec City, Canada, from April 20 to 22, 2001, the Heads of State and Government reaffirmed the fundamental importance of the Inter-American Conference of Ministers of Labor and that at successive Summits they have recognized, </w:t>
      </w:r>
      <w:r>
        <w:rPr>
          <w:i/>
          <w:iCs/>
          <w:sz w:val="22"/>
          <w:szCs w:val="22"/>
        </w:rPr>
        <w:t>inter alia</w:t>
      </w:r>
      <w:r>
        <w:rPr>
          <w:sz w:val="22"/>
          <w:szCs w:val="22"/>
        </w:rPr>
        <w:t>, the important contributions of ministries of labor in achieving their objectives of creating jobs to fight poverty and strengthen democratic governance, and have committed themselves to promoting decent, dignified</w:t>
      </w:r>
      <w:r w:rsidR="00185F6C">
        <w:rPr>
          <w:sz w:val="22"/>
          <w:szCs w:val="22"/>
        </w:rPr>
        <w:t>,</w:t>
      </w:r>
      <w:r>
        <w:rPr>
          <w:sz w:val="22"/>
          <w:szCs w:val="22"/>
        </w:rPr>
        <w:t xml:space="preserve"> and productive work;</w:t>
      </w:r>
    </w:p>
    <w:p w:rsidR="00BE3526" w:rsidRPr="00BE3526" w:rsidRDefault="00BE3526" w:rsidP="005D7378">
      <w:pPr>
        <w:spacing w:line="360" w:lineRule="auto"/>
        <w:ind w:right="-29"/>
        <w:jc w:val="both"/>
        <w:rPr>
          <w:sz w:val="22"/>
          <w:szCs w:val="22"/>
        </w:rPr>
      </w:pPr>
    </w:p>
    <w:p w:rsidR="00BE3526" w:rsidRPr="00BE3526" w:rsidRDefault="00BE3526" w:rsidP="005D7378">
      <w:pPr>
        <w:spacing w:line="360" w:lineRule="auto"/>
        <w:ind w:firstLine="720"/>
        <w:jc w:val="both"/>
        <w:rPr>
          <w:sz w:val="22"/>
          <w:szCs w:val="22"/>
        </w:rPr>
      </w:pPr>
      <w:r>
        <w:rPr>
          <w:sz w:val="22"/>
          <w:szCs w:val="22"/>
        </w:rPr>
        <w:t xml:space="preserve">That the ministers of labor of the region, gathered at the XX IACML in Bridgetown, Barbados, in December 2017, recognized the vital role that ministries of labor play “in articulating and integrating economic and social policies that place full, productive employment and decent work at the center of their objectives" and reaffirmed their commitment to the 2030 Agenda for Sustainable Development, underscoring "the role of ministries of labour in advancing that Agenda, particularly goal 8"; </w:t>
      </w:r>
    </w:p>
    <w:p w:rsidR="00BE3526" w:rsidRPr="00BE3526" w:rsidRDefault="00BE3526" w:rsidP="00185F6C">
      <w:pPr>
        <w:spacing w:line="360" w:lineRule="auto"/>
        <w:jc w:val="both"/>
        <w:rPr>
          <w:sz w:val="22"/>
          <w:szCs w:val="22"/>
        </w:rPr>
      </w:pPr>
    </w:p>
    <w:p w:rsidR="00BE3526" w:rsidRPr="00BE3526" w:rsidRDefault="00BE3526" w:rsidP="005D7378">
      <w:pPr>
        <w:spacing w:line="360" w:lineRule="auto"/>
        <w:jc w:val="both"/>
        <w:rPr>
          <w:sz w:val="22"/>
          <w:szCs w:val="22"/>
        </w:rPr>
      </w:pPr>
      <w:r>
        <w:rPr>
          <w:sz w:val="22"/>
          <w:szCs w:val="22"/>
        </w:rPr>
        <w:tab/>
        <w:t xml:space="preserve">That the 2030 Agenda for Sustainable Development considers that one of the foremost goals for humanity to achieve is to “[p]romote sustained, inclusive and sustainable economic growth, full and productive employment and decent work for all” and establishes a number of crucial targets to which ministries of labor must contribute, including, by 2030, to achieve full and </w:t>
      </w:r>
      <w:r>
        <w:rPr>
          <w:sz w:val="22"/>
          <w:szCs w:val="22"/>
        </w:rPr>
        <w:lastRenderedPageBreak/>
        <w:t xml:space="preserve">productive employment and ensure decent work for all men and women; by 2020, to significantly reduce the proportion of young people not in employment, education, or training; and, by 2025, to end child labor in all its forms; </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jc w:val="both"/>
        <w:rPr>
          <w:sz w:val="22"/>
          <w:szCs w:val="22"/>
        </w:rPr>
      </w:pPr>
      <w:r>
        <w:rPr>
          <w:sz w:val="22"/>
          <w:szCs w:val="22"/>
        </w:rPr>
        <w:tab/>
        <w:t>That the COVID-19 pandemic has posed enormous challenges for our economies and our societies by increasing unemployment, poverty, and inequality in the region; and that ministries of labor have an enormous responsibility in confronting those challenges and contributing to the full recovery of labor markets with guaranteed rights;</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jc w:val="both"/>
        <w:rPr>
          <w:sz w:val="22"/>
          <w:szCs w:val="22"/>
        </w:rPr>
      </w:pPr>
      <w:r>
        <w:rPr>
          <w:sz w:val="22"/>
          <w:szCs w:val="22"/>
        </w:rPr>
        <w:tab/>
        <w:t xml:space="preserve">That the ministries of labor leading the IACML, together with the presidents of the Trade Union Technical Advisory Council (COSATE) and the Business Technical Advisory Committee on Labor Matters (CEATAL), agreed that the IACML should not be held virtually and decided that, in light of the global situation brought about by the COVID-19 pandemic, the XXI IACML, initially scheduled for 2020, should be held in 2021; and </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ind w:firstLine="720"/>
        <w:jc w:val="both"/>
        <w:rPr>
          <w:sz w:val="22"/>
          <w:szCs w:val="22"/>
        </w:rPr>
      </w:pPr>
      <w:r>
        <w:rPr>
          <w:sz w:val="22"/>
          <w:szCs w:val="22"/>
        </w:rPr>
        <w:t>That it is incumbent on the Inter-American Council for Integral Development (CIDI) to foster dialogue to promote the creation of productive employment as one of its priority areas;</w:t>
      </w:r>
    </w:p>
    <w:p w:rsidR="00BE3526" w:rsidRPr="00BE3526" w:rsidRDefault="00BE3526" w:rsidP="005D7378">
      <w:pPr>
        <w:snapToGrid w:val="0"/>
        <w:spacing w:line="360" w:lineRule="auto"/>
        <w:jc w:val="both"/>
        <w:rPr>
          <w:sz w:val="22"/>
          <w:szCs w:val="22"/>
        </w:rPr>
      </w:pPr>
    </w:p>
    <w:p w:rsidR="00BE3526" w:rsidRPr="00BE3526" w:rsidRDefault="00BE3526" w:rsidP="005D7378">
      <w:pPr>
        <w:spacing w:line="360" w:lineRule="auto"/>
        <w:ind w:firstLine="720"/>
        <w:jc w:val="both"/>
        <w:rPr>
          <w:sz w:val="22"/>
          <w:szCs w:val="22"/>
        </w:rPr>
      </w:pPr>
      <w:r>
        <w:rPr>
          <w:sz w:val="22"/>
          <w:szCs w:val="22"/>
        </w:rPr>
        <w:t xml:space="preserve">HAVING SEEN the note from the Permanent Mission of Argentina to the Organization of American States in which it offers to host the XXI Inter-American Conference of Ministers of Labor and proposes that it be held in Buenos Aires, Argentina, from September 22 to 24, 2021 (CIDI/INF.374/20); and </w:t>
      </w:r>
    </w:p>
    <w:p w:rsidR="00BE3526" w:rsidRPr="00BE3526" w:rsidRDefault="00BE3526" w:rsidP="005D7378">
      <w:pPr>
        <w:spacing w:line="360" w:lineRule="auto"/>
        <w:jc w:val="both"/>
        <w:rPr>
          <w:sz w:val="22"/>
          <w:szCs w:val="22"/>
        </w:rPr>
      </w:pPr>
    </w:p>
    <w:p w:rsidR="00BE3526" w:rsidRPr="00BE3526" w:rsidRDefault="00BE3526" w:rsidP="005D7378">
      <w:pPr>
        <w:snapToGrid w:val="0"/>
        <w:spacing w:line="360" w:lineRule="auto"/>
        <w:ind w:firstLine="720"/>
        <w:jc w:val="both"/>
        <w:rPr>
          <w:bCs/>
          <w:sz w:val="22"/>
          <w:szCs w:val="22"/>
        </w:rPr>
      </w:pPr>
      <w:r>
        <w:rPr>
          <w:sz w:val="22"/>
          <w:szCs w:val="22"/>
        </w:rPr>
        <w:t>TAKING INTO ACCOUNT Permanent Council resolution CP/RES. 982 (1797/11), “Update of Costs of Conferences a</w:t>
      </w:r>
      <w:r w:rsidR="00185F6C">
        <w:rPr>
          <w:sz w:val="22"/>
          <w:szCs w:val="22"/>
        </w:rPr>
        <w:t>nd Meetings Funded by the OAS,”</w:t>
      </w:r>
    </w:p>
    <w:p w:rsidR="00BE3526" w:rsidRPr="00BE3526" w:rsidRDefault="00BE3526" w:rsidP="005D7378">
      <w:pPr>
        <w:spacing w:line="360" w:lineRule="auto"/>
        <w:jc w:val="both"/>
        <w:rPr>
          <w:sz w:val="22"/>
          <w:szCs w:val="22"/>
        </w:rPr>
      </w:pPr>
    </w:p>
    <w:p w:rsidR="00BE3526" w:rsidRPr="00BE3526" w:rsidRDefault="00BE3526" w:rsidP="005D7378">
      <w:pPr>
        <w:spacing w:line="360" w:lineRule="auto"/>
        <w:jc w:val="both"/>
        <w:rPr>
          <w:sz w:val="22"/>
          <w:szCs w:val="22"/>
        </w:rPr>
      </w:pPr>
      <w:r>
        <w:rPr>
          <w:sz w:val="22"/>
          <w:szCs w:val="22"/>
        </w:rPr>
        <w:t>RESOLVES:</w:t>
      </w:r>
    </w:p>
    <w:p w:rsidR="00BE3526" w:rsidRPr="00BE3526" w:rsidRDefault="00BE3526" w:rsidP="005D7378">
      <w:pPr>
        <w:spacing w:line="360" w:lineRule="auto"/>
        <w:jc w:val="both"/>
        <w:rPr>
          <w:sz w:val="22"/>
          <w:szCs w:val="22"/>
        </w:rPr>
      </w:pPr>
    </w:p>
    <w:p w:rsidR="00BE3526" w:rsidRPr="00BE3526" w:rsidRDefault="00BE3526" w:rsidP="005D7378">
      <w:pPr>
        <w:numPr>
          <w:ilvl w:val="0"/>
          <w:numId w:val="13"/>
        </w:numPr>
        <w:tabs>
          <w:tab w:val="left" w:pos="720"/>
        </w:tabs>
        <w:spacing w:line="360" w:lineRule="auto"/>
        <w:ind w:left="0" w:firstLine="720"/>
        <w:jc w:val="both"/>
        <w:rPr>
          <w:sz w:val="22"/>
          <w:szCs w:val="22"/>
        </w:rPr>
      </w:pPr>
      <w:r>
        <w:rPr>
          <w:sz w:val="22"/>
          <w:szCs w:val="22"/>
        </w:rPr>
        <w:t>To accept with gratitude the offer of the Government of Argentina to hold the XXI Inter-American Conference of Ministers of Labor (IACML) in Buenos Aires, Argentina, from September 22 to 24, 2021.</w:t>
      </w:r>
    </w:p>
    <w:p w:rsidR="00BE3526" w:rsidRPr="00BE3526" w:rsidRDefault="00BE3526" w:rsidP="005D7378">
      <w:pPr>
        <w:tabs>
          <w:tab w:val="left" w:pos="720"/>
        </w:tabs>
        <w:spacing w:line="360" w:lineRule="auto"/>
        <w:jc w:val="both"/>
        <w:rPr>
          <w:sz w:val="22"/>
          <w:szCs w:val="22"/>
        </w:rPr>
      </w:pPr>
    </w:p>
    <w:p w:rsidR="00BE3526" w:rsidRPr="00BE3526" w:rsidRDefault="00BE3526" w:rsidP="005D7378">
      <w:pPr>
        <w:numPr>
          <w:ilvl w:val="0"/>
          <w:numId w:val="13"/>
        </w:numPr>
        <w:tabs>
          <w:tab w:val="left" w:pos="720"/>
        </w:tabs>
        <w:spacing w:line="360" w:lineRule="auto"/>
        <w:ind w:left="0" w:firstLine="720"/>
        <w:jc w:val="both"/>
        <w:rPr>
          <w:sz w:val="22"/>
          <w:szCs w:val="22"/>
        </w:rPr>
      </w:pPr>
      <w:r>
        <w:rPr>
          <w:sz w:val="22"/>
          <w:szCs w:val="22"/>
        </w:rPr>
        <w:t>To convene the Conference at the date and place mentioned in the foregoing operative paragraph and to urge member states to send their highest-level labor authorities to take part in it.</w:t>
      </w:r>
    </w:p>
    <w:p w:rsidR="00BE3526" w:rsidRPr="00BE3526" w:rsidRDefault="00BE3526" w:rsidP="005D7378">
      <w:pPr>
        <w:tabs>
          <w:tab w:val="left" w:pos="720"/>
        </w:tabs>
        <w:spacing w:line="360" w:lineRule="auto"/>
        <w:jc w:val="both"/>
        <w:rPr>
          <w:sz w:val="22"/>
          <w:szCs w:val="22"/>
        </w:rPr>
      </w:pPr>
    </w:p>
    <w:p w:rsidR="00BE3526" w:rsidRPr="00BE3526" w:rsidRDefault="00BE3526" w:rsidP="005D7378">
      <w:pPr>
        <w:numPr>
          <w:ilvl w:val="0"/>
          <w:numId w:val="13"/>
        </w:numPr>
        <w:tabs>
          <w:tab w:val="left" w:pos="720"/>
        </w:tabs>
        <w:spacing w:line="360" w:lineRule="auto"/>
        <w:ind w:left="0" w:firstLine="720"/>
        <w:jc w:val="both"/>
        <w:rPr>
          <w:sz w:val="22"/>
          <w:szCs w:val="22"/>
        </w:rPr>
      </w:pPr>
      <w:r>
        <w:rPr>
          <w:sz w:val="22"/>
          <w:szCs w:val="22"/>
        </w:rPr>
        <w:t>To instruct that, once the program-budget of the Organization for 2021 is approved, the maximum available resources envisaged in Chapter 7, Subprogram 74F thereof be allocated in accordance with the guidelines set down in resolution CP/RES. 982 (1797/11) for the preparation and holding of the XXI IACML.</w:t>
      </w:r>
    </w:p>
    <w:p w:rsidR="00BE3526" w:rsidRPr="00BE3526" w:rsidRDefault="00BE3526" w:rsidP="005D7378">
      <w:pPr>
        <w:tabs>
          <w:tab w:val="left" w:pos="720"/>
        </w:tabs>
        <w:spacing w:line="360" w:lineRule="auto"/>
        <w:jc w:val="both"/>
        <w:rPr>
          <w:sz w:val="22"/>
          <w:szCs w:val="22"/>
        </w:rPr>
      </w:pPr>
    </w:p>
    <w:p w:rsidR="00BE3526" w:rsidRPr="00BE3526" w:rsidRDefault="00BE3526" w:rsidP="005D7378">
      <w:pPr>
        <w:numPr>
          <w:ilvl w:val="0"/>
          <w:numId w:val="13"/>
        </w:numPr>
        <w:tabs>
          <w:tab w:val="left" w:pos="720"/>
        </w:tabs>
        <w:spacing w:line="360" w:lineRule="auto"/>
        <w:ind w:left="0" w:firstLine="720"/>
        <w:jc w:val="both"/>
        <w:rPr>
          <w:sz w:val="22"/>
          <w:szCs w:val="22"/>
        </w:rPr>
      </w:pPr>
      <w:r>
        <w:rPr>
          <w:sz w:val="22"/>
          <w:szCs w:val="22"/>
        </w:rPr>
        <w:t>To instruct the General Secretariat to assist, through the Executive Secretariat for Integral Development, with the preparation and organization of the XXI IACML and to report to the Inter-American Council for Integral Development on its preparatory process and outcomes.</w:t>
      </w:r>
    </w:p>
    <w:p w:rsidR="00BE3526" w:rsidRPr="00185F6C" w:rsidRDefault="00A2748F" w:rsidP="005D7378">
      <w:pPr>
        <w:spacing w:line="360" w:lineRule="auto"/>
        <w:jc w:val="both"/>
        <w:rPr>
          <w:sz w:val="22"/>
          <w:szCs w:val="22"/>
        </w:rPr>
      </w:pPr>
      <w:r w:rsidRPr="00185F6C">
        <w:rPr>
          <w:noProof/>
          <w:sz w:val="22"/>
          <w:szCs w:val="22"/>
        </w:rPr>
        <w:lastRenderedPageBreak/>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A2748F" w:rsidRPr="00A2748F" w:rsidRDefault="00A2748F">
                            <w:pPr>
                              <w:rPr>
                                <w:sz w:val="18"/>
                              </w:rPr>
                            </w:pPr>
                            <w:r>
                              <w:rPr>
                                <w:sz w:val="18"/>
                              </w:rPr>
                              <w:fldChar w:fldCharType="begin"/>
                            </w:r>
                            <w:r>
                              <w:rPr>
                                <w:sz w:val="18"/>
                              </w:rPr>
                              <w:instrText xml:space="preserve"> FILENAME  \* MERGEFORMAT </w:instrText>
                            </w:r>
                            <w:r>
                              <w:rPr>
                                <w:sz w:val="18"/>
                              </w:rPr>
                              <w:fldChar w:fldCharType="separate"/>
                            </w:r>
                            <w:r>
                              <w:rPr>
                                <w:noProof/>
                                <w:sz w:val="18"/>
                              </w:rPr>
                              <w:t>CIDRP02916E0</w:t>
                            </w:r>
                            <w:r w:rsidR="00185F6C">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A2748F" w:rsidRPr="00A2748F" w:rsidRDefault="00A2748F">
                      <w:pPr>
                        <w:rPr>
                          <w:sz w:val="18"/>
                        </w:rPr>
                      </w:pPr>
                      <w:r>
                        <w:rPr>
                          <w:sz w:val="18"/>
                        </w:rPr>
                        <w:fldChar w:fldCharType="begin"/>
                      </w:r>
                      <w:r>
                        <w:rPr>
                          <w:sz w:val="18"/>
                        </w:rPr>
                        <w:instrText xml:space="preserve"> FILENAME  \* MERGEFORMAT </w:instrText>
                      </w:r>
                      <w:r>
                        <w:rPr>
                          <w:sz w:val="18"/>
                        </w:rPr>
                        <w:fldChar w:fldCharType="separate"/>
                      </w:r>
                      <w:r>
                        <w:rPr>
                          <w:noProof/>
                          <w:sz w:val="18"/>
                        </w:rPr>
                        <w:t>CIDRP02916E0</w:t>
                      </w:r>
                      <w:r w:rsidR="00185F6C">
                        <w:rPr>
                          <w:noProof/>
                          <w:sz w:val="18"/>
                        </w:rPr>
                        <w:t>4</w:t>
                      </w:r>
                      <w:r>
                        <w:rPr>
                          <w:sz w:val="18"/>
                        </w:rPr>
                        <w:fldChar w:fldCharType="end"/>
                      </w:r>
                    </w:p>
                  </w:txbxContent>
                </v:textbox>
                <w10:wrap anchory="page"/>
                <w10:anchorlock/>
              </v:shape>
            </w:pict>
          </mc:Fallback>
        </mc:AlternateContent>
      </w:r>
    </w:p>
    <w:sectPr w:rsidR="00BE3526" w:rsidRPr="00185F6C"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67" w:rsidRDefault="000F4B67">
      <w:r>
        <w:separator/>
      </w:r>
    </w:p>
  </w:endnote>
  <w:endnote w:type="continuationSeparator" w:id="0">
    <w:p w:rsidR="000F4B67" w:rsidRDefault="000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67" w:rsidRDefault="000F4B67">
      <w:r>
        <w:separator/>
      </w:r>
    </w:p>
  </w:footnote>
  <w:footnote w:type="continuationSeparator" w:id="0">
    <w:p w:rsidR="000F4B67" w:rsidRDefault="000F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CC652C">
      <w:rPr>
        <w:noProof/>
        <w:sz w:val="22"/>
        <w:szCs w:val="22"/>
      </w:rPr>
      <w:t>- 3 -</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010C0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CD3E27" w:rsidRDefault="00353059" w:rsidP="00921E9E">
                    <w:pPr>
                      <w:pStyle w:val="Header"/>
                      <w:tabs>
                        <w:tab w:val="left" w:pos="900"/>
                      </w:tabs>
                      <w:spacing w:line="0" w:lineRule="atLeast"/>
                      <w:jc w:val="center"/>
                      <w:rPr>
                        <w:rFonts w:ascii="Garamond" w:hAnsi="Garamond"/>
                        <w:b/>
                        <w:sz w:val="28"/>
                      </w:rPr>
                      <w:bidi w:val="0"/>
                    </w:pPr>
                    <w:r>
                      <w:rPr>
                        <w:rFonts w:ascii="Garamond" w:hAnsi="Garamond"/>
                        <w:sz w:val="28"/>
                        <w:lang w:val="en-us"/>
                        <w:b w:val="1"/>
                        <w:bCs w:val="1"/>
                        <w:i w:val="0"/>
                        <w:iCs w:val="0"/>
                        <w:u w:val="none"/>
                        <w:vertAlign w:val="baseline"/>
                        <w:rtl w:val="0"/>
                      </w:rPr>
                      <w:t xml:space="preserve">ORGANIZATION OF AMERICAN STATES </w:t>
                    </w:r>
                  </w:p>
                  <w:p w:rsidR="00353059" w:rsidRPr="00CD3E27" w:rsidRDefault="00353059" w:rsidP="00921E9E">
                    <w:pPr>
                      <w:pStyle w:val="Header"/>
                      <w:tabs>
                        <w:tab w:val="left" w:pos="900"/>
                      </w:tabs>
                      <w:spacing w:line="0" w:lineRule="atLeast"/>
                      <w:jc w:val="center"/>
                      <w:rPr>
                        <w:rFonts w:ascii="Garamond" w:hAnsi="Garamond"/>
                        <w:b/>
                        <w:szCs w:val="22"/>
                      </w:rPr>
                      <w:bidi w:val="0"/>
                    </w:pPr>
                    <w:r>
                      <w:rPr>
                        <w:rFonts w:ascii="Garamond" w:hAnsi="Garamond"/>
                        <w:szCs w:val="22"/>
                        <w:lang w:val="en-us"/>
                        <w:b w:val="1"/>
                        <w:bCs w:val="1"/>
                        <w:i w:val="0"/>
                        <w:iCs w:val="0"/>
                        <w:u w:val="none"/>
                        <w:vertAlign w:val="baseline"/>
                        <w:rtl w:val="0"/>
                      </w:rPr>
                      <w:t xml:space="preserve">Inter-American Council for Integral Development </w:t>
                    </w:r>
                  </w:p>
                  <w:p w:rsidR="00353059" w:rsidRPr="00CD3E27" w:rsidRDefault="00353059" w:rsidP="00921E9E">
                    <w:pPr>
                      <w:pStyle w:val="Header"/>
                      <w:tabs>
                        <w:tab w:val="left" w:pos="900"/>
                      </w:tabs>
                      <w:spacing w:line="0" w:lineRule="atLeast"/>
                      <w:jc w:val="center"/>
                      <w:rPr>
                        <w:b/>
                        <w:szCs w:val="22"/>
                      </w:rPr>
                      <w:bidi w:val="0"/>
                    </w:pPr>
                    <w:r>
                      <w:rPr>
                        <w:rFonts w:ascii="Garamond" w:hAnsi="Garamond"/>
                        <w:szCs w:val="22"/>
                        <w:lang w:val="en-us"/>
                        <w:b w:val="1"/>
                        <w:bCs w:val="1"/>
                        <w:i w:val="0"/>
                        <w:iCs w:val="0"/>
                        <w:u w:val="none"/>
                        <w:vertAlign w:val="baseline"/>
                        <w:rtl w:val="0"/>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010C0C" w:rsidP="00AB7175">
                    <w:pPr>
                      <w:ind w:right="-130"/>
                      <w:bidi w:val="0"/>
                    </w:pPr>
                    <w:r>
                      <w:rPr>
                        <w:rFonts w:ascii="News Gothic MT" w:hAnsi="News Gothic MT"/>
                        <w:noProof/>
                        <w:color w:val="000000"/>
                        <w:lang w:val="en-us"/>
                        <w:b w:val="0"/>
                        <w:bCs w:val="0"/>
                        <w:i w:val="0"/>
                        <w:iCs w:val="0"/>
                        <w:u w:val="none"/>
                        <w:vertAlign w:val="baseline"/>
                        <w:rtl w:val="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5F6C"/>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D5523"/>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652C"/>
    <w:rsid w:val="00CC7FAC"/>
    <w:rsid w:val="00CD3A0E"/>
    <w:rsid w:val="00CD3B89"/>
    <w:rsid w:val="00CD3E27"/>
    <w:rsid w:val="00CD472D"/>
    <w:rsid w:val="00CE00C4"/>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B9D6527"/>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139B-D510-4480-86E2-6ED0AAF1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2018-08-24T16:52:00Z</cp:lastPrinted>
  <dcterms:created xsi:type="dcterms:W3CDTF">2020-11-04T22:45:00Z</dcterms:created>
  <dcterms:modified xsi:type="dcterms:W3CDTF">2020-11-04T22:45:00Z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