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0C" w:rsidRPr="00BB020C" w:rsidRDefault="00BB020C" w:rsidP="00BB020C">
      <w:pPr>
        <w:tabs>
          <w:tab w:val="left" w:pos="7200"/>
        </w:tabs>
        <w:ind w:right="-929"/>
        <w:rPr>
          <w:sz w:val="22"/>
          <w:szCs w:val="22"/>
          <w:lang w:val="es-US"/>
        </w:rPr>
      </w:pPr>
      <w:r w:rsidRPr="00BB020C">
        <w:rPr>
          <w:sz w:val="22"/>
          <w:szCs w:val="22"/>
          <w:lang w:val="fr-CA"/>
        </w:rPr>
        <w:tab/>
      </w:r>
      <w:r w:rsidRPr="00BB020C">
        <w:rPr>
          <w:sz w:val="22"/>
          <w:szCs w:val="22"/>
          <w:lang w:val="es-US"/>
        </w:rPr>
        <w:t>OEA/Ser. W</w:t>
      </w:r>
    </w:p>
    <w:p w:rsidR="00BB020C" w:rsidRPr="00BB020C" w:rsidRDefault="00BB020C" w:rsidP="00BB020C">
      <w:pPr>
        <w:tabs>
          <w:tab w:val="left" w:pos="7200"/>
        </w:tabs>
        <w:ind w:right="-929"/>
        <w:rPr>
          <w:sz w:val="22"/>
          <w:szCs w:val="22"/>
          <w:lang w:val="es-US"/>
        </w:rPr>
      </w:pPr>
      <w:r w:rsidRPr="00BB020C">
        <w:rPr>
          <w:caps/>
          <w:sz w:val="22"/>
          <w:szCs w:val="22"/>
          <w:lang w:val="es-US"/>
        </w:rPr>
        <w:tab/>
      </w:r>
      <w:r w:rsidRPr="00BB020C">
        <w:rPr>
          <w:sz w:val="22"/>
          <w:szCs w:val="22"/>
          <w:lang w:val="pt-BR"/>
        </w:rPr>
        <w:t>CIDI/doc.301/20</w:t>
      </w:r>
    </w:p>
    <w:p w:rsidR="00BB020C" w:rsidRPr="00BB020C" w:rsidRDefault="00BB020C" w:rsidP="00BB020C">
      <w:pPr>
        <w:tabs>
          <w:tab w:val="left" w:pos="7200"/>
        </w:tabs>
        <w:ind w:right="-929"/>
        <w:rPr>
          <w:sz w:val="22"/>
          <w:szCs w:val="22"/>
          <w:lang w:val="fr-CA"/>
        </w:rPr>
      </w:pPr>
      <w:r w:rsidRPr="00BB020C">
        <w:rPr>
          <w:sz w:val="22"/>
          <w:szCs w:val="22"/>
          <w:lang w:val="es-US"/>
        </w:rPr>
        <w:tab/>
      </w:r>
      <w:r>
        <w:rPr>
          <w:sz w:val="22"/>
          <w:szCs w:val="22"/>
          <w:lang w:val="fr-CA"/>
        </w:rPr>
        <w:t>29</w:t>
      </w:r>
      <w:r w:rsidRPr="00BB020C">
        <w:rPr>
          <w:sz w:val="22"/>
          <w:szCs w:val="22"/>
          <w:lang w:val="fr-CA"/>
        </w:rPr>
        <w:t xml:space="preserve"> </w:t>
      </w:r>
      <w:r>
        <w:rPr>
          <w:sz w:val="22"/>
          <w:szCs w:val="22"/>
          <w:lang w:val="fr-CA"/>
        </w:rPr>
        <w:t>septembre</w:t>
      </w:r>
      <w:r w:rsidRPr="00BB020C">
        <w:rPr>
          <w:sz w:val="22"/>
          <w:szCs w:val="22"/>
          <w:lang w:val="fr-CA"/>
        </w:rPr>
        <w:t xml:space="preserve"> 2020</w:t>
      </w:r>
    </w:p>
    <w:p w:rsidR="00BB020C" w:rsidRPr="00BB020C" w:rsidRDefault="00BB020C" w:rsidP="00BB020C">
      <w:pPr>
        <w:tabs>
          <w:tab w:val="left" w:pos="7200"/>
        </w:tabs>
        <w:ind w:right="-929"/>
        <w:rPr>
          <w:sz w:val="22"/>
          <w:szCs w:val="22"/>
          <w:lang w:val="fr-CA"/>
        </w:rPr>
      </w:pPr>
      <w:r w:rsidRPr="00BB020C">
        <w:rPr>
          <w:sz w:val="22"/>
          <w:szCs w:val="22"/>
          <w:lang w:val="fr-CA"/>
        </w:rPr>
        <w:tab/>
        <w:t>Original: espagnol</w:t>
      </w:r>
    </w:p>
    <w:p w:rsidR="00BB020C" w:rsidRPr="00BB020C" w:rsidRDefault="00BB020C" w:rsidP="00BB020C">
      <w:pPr>
        <w:pBdr>
          <w:bottom w:val="single" w:sz="12" w:space="0" w:color="auto"/>
        </w:pBdr>
        <w:tabs>
          <w:tab w:val="left" w:pos="6750"/>
        </w:tabs>
        <w:ind w:right="-1080"/>
        <w:rPr>
          <w:b/>
          <w:bCs/>
          <w:sz w:val="22"/>
          <w:szCs w:val="22"/>
          <w:lang w:val="fr-FR"/>
        </w:rPr>
      </w:pPr>
    </w:p>
    <w:p w:rsidR="00980D4E" w:rsidRDefault="00980D4E" w:rsidP="00FF4579">
      <w:pPr>
        <w:tabs>
          <w:tab w:val="left" w:pos="6700"/>
        </w:tabs>
        <w:ind w:right="-929"/>
        <w:rPr>
          <w:sz w:val="22"/>
          <w:szCs w:val="22"/>
          <w:lang w:val="fr-CA"/>
        </w:rPr>
      </w:pPr>
    </w:p>
    <w:p w:rsidR="00BB020C" w:rsidRPr="00221F6E" w:rsidRDefault="00BB020C" w:rsidP="00FF4579">
      <w:pPr>
        <w:tabs>
          <w:tab w:val="left" w:pos="6700"/>
        </w:tabs>
        <w:ind w:right="-929"/>
        <w:rPr>
          <w:sz w:val="22"/>
          <w:szCs w:val="22"/>
          <w:lang w:val="fr-CA"/>
        </w:rPr>
      </w:pPr>
    </w:p>
    <w:p w:rsidR="00A13471" w:rsidRPr="00221F6E" w:rsidRDefault="00C97093" w:rsidP="00221F6E">
      <w:pPr>
        <w:jc w:val="center"/>
        <w:rPr>
          <w:caps/>
          <w:lang w:val="fr-CA"/>
        </w:rPr>
      </w:pPr>
      <w:r w:rsidRPr="00221F6E">
        <w:rPr>
          <w:caps/>
          <w:lang w:val="fr-CA"/>
        </w:rPr>
        <w:t xml:space="preserve"> </w:t>
      </w:r>
      <w:r w:rsidR="00221F6E">
        <w:rPr>
          <w:caps/>
          <w:lang w:val="fr-CA"/>
        </w:rPr>
        <w:t xml:space="preserve">RAPPORT DE LA PRÉSIDENCE DE LA COMMISSION DES QUESTIONS DE MIGRATION </w:t>
      </w:r>
      <w:r w:rsidR="00755A64" w:rsidRPr="00221F6E">
        <w:rPr>
          <w:caps/>
          <w:lang w:val="fr-CA"/>
        </w:rPr>
        <w:t>(CAM)</w:t>
      </w:r>
      <w:r w:rsidR="00221F6E">
        <w:rPr>
          <w:caps/>
          <w:lang w:val="fr-CA"/>
        </w:rPr>
        <w:t xml:space="preserve"> SUR LE PROCESSUS DE SUIVI DU PROGRAMME INTERAMÉRICAIN DE PROMOTION ET DE PROTECTION DES DROITS HUMAINS DES PERSONNES MIGRANTES, Y COMPRIS LES TRAVAILLEURS MIGRANTS ET LEURS FAMILLES</w:t>
      </w:r>
    </w:p>
    <w:p w:rsidR="00A13471" w:rsidRDefault="00A13471" w:rsidP="005A2DA8">
      <w:pPr>
        <w:rPr>
          <w:sz w:val="22"/>
          <w:szCs w:val="22"/>
          <w:lang w:val="fr-CA"/>
        </w:rPr>
      </w:pPr>
    </w:p>
    <w:p w:rsidR="00734C59" w:rsidRDefault="00734C59" w:rsidP="00734C59">
      <w:pPr>
        <w:jc w:val="center"/>
        <w:rPr>
          <w:sz w:val="22"/>
          <w:szCs w:val="22"/>
          <w:lang w:val="fr-CA"/>
        </w:rPr>
      </w:pPr>
      <w:r w:rsidRPr="00734C59">
        <w:rPr>
          <w:sz w:val="22"/>
          <w:szCs w:val="22"/>
          <w:lang w:val="fr-CA"/>
        </w:rPr>
        <w:t>(Période 2019-2020)</w:t>
      </w:r>
    </w:p>
    <w:p w:rsidR="00734C59" w:rsidRDefault="00734C59" w:rsidP="005A2DA8">
      <w:pPr>
        <w:rPr>
          <w:sz w:val="22"/>
          <w:szCs w:val="22"/>
          <w:lang w:val="fr-CA"/>
        </w:rPr>
      </w:pPr>
    </w:p>
    <w:p w:rsidR="00252B7F" w:rsidRPr="00221F6E" w:rsidRDefault="004F4DAE" w:rsidP="00FF4579">
      <w:pPr>
        <w:jc w:val="both"/>
        <w:rPr>
          <w:sz w:val="22"/>
          <w:szCs w:val="22"/>
          <w:lang w:val="fr-CA"/>
        </w:rPr>
      </w:pPr>
      <w:r w:rsidRPr="00221F6E">
        <w:rPr>
          <w:sz w:val="22"/>
          <w:szCs w:val="22"/>
          <w:lang w:val="fr-CA"/>
        </w:rPr>
        <w:tab/>
      </w:r>
      <w:r w:rsidRPr="00221F6E">
        <w:rPr>
          <w:sz w:val="22"/>
          <w:szCs w:val="22"/>
          <w:lang w:val="fr-CA"/>
        </w:rPr>
        <w:tab/>
      </w:r>
      <w:r w:rsidR="00BB020C" w:rsidRPr="00412E61">
        <w:rPr>
          <w:sz w:val="22"/>
          <w:szCs w:val="22"/>
          <w:lang w:val="fr-FR" w:eastAsia="ar-SA"/>
        </w:rPr>
        <w:t xml:space="preserve">(Présenté au CIDI lors de la réunion du </w:t>
      </w:r>
      <w:r w:rsidR="008D03EE">
        <w:rPr>
          <w:sz w:val="22"/>
          <w:szCs w:val="22"/>
          <w:lang w:val="fr-FR" w:eastAsia="ar-SA"/>
        </w:rPr>
        <w:t>29</w:t>
      </w:r>
      <w:r w:rsidR="00BB020C" w:rsidRPr="00412E61">
        <w:rPr>
          <w:sz w:val="22"/>
          <w:szCs w:val="22"/>
          <w:lang w:val="fr-FR" w:eastAsia="ar-SA"/>
        </w:rPr>
        <w:t xml:space="preserve"> </w:t>
      </w:r>
      <w:r w:rsidR="008D03EE">
        <w:rPr>
          <w:sz w:val="22"/>
          <w:szCs w:val="22"/>
          <w:lang w:val="fr-FR" w:eastAsia="ar-SA"/>
        </w:rPr>
        <w:t>septembre</w:t>
      </w:r>
      <w:r w:rsidR="00BB020C" w:rsidRPr="00412E61">
        <w:rPr>
          <w:sz w:val="22"/>
          <w:szCs w:val="22"/>
          <w:lang w:val="fr-FR" w:eastAsia="ar-SA"/>
        </w:rPr>
        <w:t xml:space="preserve"> 2020)</w:t>
      </w:r>
    </w:p>
    <w:p w:rsidR="00252B7F" w:rsidRPr="00221F6E" w:rsidRDefault="00252B7F" w:rsidP="00FF4579">
      <w:pPr>
        <w:jc w:val="both"/>
        <w:rPr>
          <w:sz w:val="22"/>
          <w:szCs w:val="22"/>
          <w:lang w:val="fr-CA"/>
        </w:rPr>
      </w:pPr>
    </w:p>
    <w:p w:rsidR="00FF4579" w:rsidRPr="00221F6E" w:rsidRDefault="00FF4579" w:rsidP="00FF4579">
      <w:pPr>
        <w:jc w:val="both"/>
        <w:rPr>
          <w:sz w:val="22"/>
          <w:szCs w:val="22"/>
          <w:lang w:val="fr-CA"/>
        </w:rPr>
      </w:pPr>
    </w:p>
    <w:p w:rsidR="00262ED8" w:rsidRPr="00221F6E" w:rsidRDefault="00262ED8" w:rsidP="004000B7">
      <w:pPr>
        <w:jc w:val="both"/>
        <w:rPr>
          <w:rFonts w:eastAsia="Calibri"/>
          <w:b/>
          <w:sz w:val="22"/>
          <w:szCs w:val="22"/>
          <w:lang w:val="fr-CA"/>
        </w:rPr>
      </w:pPr>
      <w:r w:rsidRPr="00221F6E">
        <w:rPr>
          <w:rFonts w:eastAsia="Calibri"/>
          <w:b/>
          <w:sz w:val="22"/>
          <w:szCs w:val="22"/>
          <w:lang w:val="fr-CA"/>
        </w:rPr>
        <w:t>INTRODUC</w:t>
      </w:r>
      <w:r w:rsidR="00221F6E">
        <w:rPr>
          <w:rFonts w:eastAsia="Calibri"/>
          <w:b/>
          <w:sz w:val="22"/>
          <w:szCs w:val="22"/>
          <w:lang w:val="fr-CA"/>
        </w:rPr>
        <w:t>TION </w:t>
      </w:r>
      <w:r w:rsidRPr="00221F6E">
        <w:rPr>
          <w:rFonts w:eastAsia="Calibri"/>
          <w:b/>
          <w:sz w:val="22"/>
          <w:szCs w:val="22"/>
          <w:lang w:val="fr-CA"/>
        </w:rPr>
        <w:t>:</w:t>
      </w:r>
    </w:p>
    <w:p w:rsidR="00262ED8" w:rsidRPr="00221F6E" w:rsidRDefault="00262ED8" w:rsidP="00FF4579">
      <w:pPr>
        <w:jc w:val="both"/>
        <w:rPr>
          <w:rFonts w:eastAsia="Calibri"/>
          <w:b/>
          <w:sz w:val="22"/>
          <w:szCs w:val="22"/>
          <w:lang w:val="fr-CA"/>
        </w:rPr>
      </w:pPr>
    </w:p>
    <w:p w:rsidR="00262ED8" w:rsidRDefault="00221F6E" w:rsidP="00734C59">
      <w:pPr>
        <w:pStyle w:val="ListParagraph"/>
        <w:numPr>
          <w:ilvl w:val="0"/>
          <w:numId w:val="27"/>
        </w:numPr>
        <w:jc w:val="both"/>
        <w:rPr>
          <w:rFonts w:eastAsia="Calibri"/>
          <w:sz w:val="22"/>
          <w:szCs w:val="22"/>
          <w:lang w:val="fr-CA"/>
        </w:rPr>
      </w:pPr>
      <w:r w:rsidRPr="00002CAD">
        <w:rPr>
          <w:rFonts w:eastAsia="Calibri"/>
          <w:sz w:val="22"/>
          <w:szCs w:val="22"/>
          <w:lang w:val="fr-CA"/>
        </w:rPr>
        <w:t>Dans le cadre de la mission confiée par le Programme interaméricain de promotion des droits humains des personnes migrantes, y compris les travailleurs migrants et leurs familles</w:t>
      </w:r>
      <w:r w:rsidR="008A232B">
        <w:rPr>
          <w:rFonts w:eastAsia="Calibri"/>
          <w:sz w:val="22"/>
          <w:szCs w:val="22"/>
          <w:lang w:val="fr-CA"/>
        </w:rPr>
        <w:t xml:space="preserve"> </w:t>
      </w:r>
      <w:hyperlink r:id="rId8" w:history="1">
        <w:r w:rsidR="008A232B" w:rsidRPr="008A232B">
          <w:rPr>
            <w:color w:val="0000FF"/>
            <w:u w:val="single"/>
            <w:lang w:val="fr-CA"/>
          </w:rPr>
          <w:t>AG/RES. 2883 (XLVI-O/16)</w:t>
        </w:r>
      </w:hyperlink>
      <w:r w:rsidRPr="00002CAD">
        <w:rPr>
          <w:rFonts w:eastAsia="Calibri"/>
          <w:sz w:val="22"/>
          <w:szCs w:val="22"/>
          <w:lang w:val="fr-CA"/>
        </w:rPr>
        <w:t xml:space="preserve">, 0pendant la </w:t>
      </w:r>
      <w:r w:rsidR="00734C59" w:rsidRPr="00734C59">
        <w:rPr>
          <w:rFonts w:eastAsia="Calibri"/>
          <w:sz w:val="22"/>
          <w:szCs w:val="22"/>
          <w:lang w:val="fr-CA"/>
        </w:rPr>
        <w:t>période</w:t>
      </w:r>
      <w:r w:rsidRPr="00002CAD">
        <w:rPr>
          <w:rFonts w:eastAsia="Calibri"/>
          <w:sz w:val="22"/>
          <w:szCs w:val="22"/>
          <w:lang w:val="fr-CA"/>
        </w:rPr>
        <w:t xml:space="preserve"> actuelle </w:t>
      </w:r>
      <w:r w:rsidR="00897358" w:rsidRPr="00002CAD">
        <w:rPr>
          <w:rFonts w:eastAsia="Calibri"/>
          <w:sz w:val="22"/>
          <w:szCs w:val="22"/>
          <w:lang w:val="fr-CA"/>
        </w:rPr>
        <w:t>(2019-2020</w:t>
      </w:r>
      <w:r w:rsidR="00262ED8" w:rsidRPr="00002CAD">
        <w:rPr>
          <w:rFonts w:eastAsia="Calibri"/>
          <w:sz w:val="22"/>
          <w:szCs w:val="22"/>
          <w:lang w:val="fr-CA"/>
        </w:rPr>
        <w:t>)</w:t>
      </w:r>
      <w:r w:rsidR="006D53D5" w:rsidRPr="00002CAD">
        <w:rPr>
          <w:rFonts w:eastAsia="Calibri"/>
          <w:sz w:val="22"/>
          <w:szCs w:val="22"/>
          <w:lang w:val="fr-CA"/>
        </w:rPr>
        <w:t>,</w:t>
      </w:r>
      <w:r w:rsidR="00262ED8" w:rsidRPr="00002CAD">
        <w:rPr>
          <w:rFonts w:eastAsia="Calibri"/>
          <w:sz w:val="22"/>
          <w:szCs w:val="22"/>
          <w:lang w:val="fr-CA"/>
        </w:rPr>
        <w:t xml:space="preserve"> la C</w:t>
      </w:r>
      <w:r w:rsidR="00EF2731" w:rsidRPr="00002CAD">
        <w:rPr>
          <w:rFonts w:eastAsia="Calibri"/>
          <w:sz w:val="22"/>
          <w:szCs w:val="22"/>
          <w:lang w:val="fr-CA"/>
        </w:rPr>
        <w:t>AM</w:t>
      </w:r>
      <w:r w:rsidRPr="00002CAD">
        <w:rPr>
          <w:rFonts w:eastAsia="Calibri"/>
          <w:sz w:val="22"/>
          <w:szCs w:val="22"/>
          <w:lang w:val="fr-CA"/>
        </w:rPr>
        <w:t xml:space="preserve"> a demandé un rapport d’activités </w:t>
      </w:r>
      <w:r w:rsidR="00002CAD" w:rsidRPr="00002CAD">
        <w:rPr>
          <w:rFonts w:eastAsia="Calibri"/>
          <w:sz w:val="22"/>
          <w:szCs w:val="22"/>
          <w:lang w:val="fr-CA"/>
        </w:rPr>
        <w:t>aux divers acteurs responsables de l’atteinte des objectifs du Programme. Ces rapports sont présentés en annexe au présent rapport.</w:t>
      </w:r>
    </w:p>
    <w:p w:rsidR="00002CAD" w:rsidRPr="00002CAD" w:rsidRDefault="00002CAD" w:rsidP="005A2DA8">
      <w:pPr>
        <w:pStyle w:val="ListParagraph"/>
        <w:ind w:hanging="720"/>
        <w:jc w:val="both"/>
        <w:rPr>
          <w:rFonts w:eastAsia="Calibri"/>
          <w:sz w:val="22"/>
          <w:szCs w:val="22"/>
          <w:lang w:val="fr-CA"/>
        </w:rPr>
      </w:pPr>
    </w:p>
    <w:p w:rsidR="00EF2731" w:rsidRPr="00221F6E" w:rsidRDefault="00002CAD" w:rsidP="005A2DA8">
      <w:pPr>
        <w:pStyle w:val="ListParagraph"/>
        <w:numPr>
          <w:ilvl w:val="0"/>
          <w:numId w:val="27"/>
        </w:numPr>
        <w:ind w:hanging="720"/>
        <w:jc w:val="both"/>
        <w:rPr>
          <w:rFonts w:eastAsia="Calibri"/>
          <w:sz w:val="22"/>
          <w:szCs w:val="22"/>
          <w:lang w:val="fr-CA"/>
        </w:rPr>
      </w:pPr>
      <w:r>
        <w:rPr>
          <w:rFonts w:eastAsia="Calibri"/>
          <w:sz w:val="22"/>
          <w:szCs w:val="22"/>
          <w:lang w:val="fr-CA"/>
        </w:rPr>
        <w:lastRenderedPageBreak/>
        <w:t>Je présente ci-dessous un résumé des travaux réalisés par ces acteurs, dans l’atteinte des objectifs du Programme, conformément au contenu du rapport </w:t>
      </w:r>
      <w:r w:rsidR="00EF2731" w:rsidRPr="00221F6E">
        <w:rPr>
          <w:rFonts w:eastAsia="Calibri"/>
          <w:sz w:val="22"/>
          <w:szCs w:val="22"/>
          <w:lang w:val="fr-CA"/>
        </w:rPr>
        <w:t xml:space="preserve">: </w:t>
      </w:r>
    </w:p>
    <w:p w:rsidR="00C760C7" w:rsidRPr="00221F6E" w:rsidRDefault="00C760C7" w:rsidP="004000B7">
      <w:pPr>
        <w:ind w:left="360" w:hanging="360"/>
        <w:jc w:val="both"/>
        <w:rPr>
          <w:sz w:val="22"/>
          <w:szCs w:val="22"/>
          <w:lang w:val="fr-CA"/>
        </w:rPr>
      </w:pPr>
    </w:p>
    <w:p w:rsidR="00C760C7" w:rsidRPr="00221F6E" w:rsidRDefault="00002CAD" w:rsidP="005A2DA8">
      <w:pPr>
        <w:numPr>
          <w:ilvl w:val="0"/>
          <w:numId w:val="11"/>
        </w:numPr>
        <w:ind w:hanging="720"/>
        <w:jc w:val="both"/>
        <w:rPr>
          <w:b/>
          <w:sz w:val="22"/>
          <w:szCs w:val="22"/>
          <w:lang w:val="fr-CA"/>
        </w:rPr>
      </w:pPr>
      <w:r>
        <w:rPr>
          <w:b/>
          <w:sz w:val="22"/>
          <w:szCs w:val="22"/>
          <w:lang w:val="fr-CA"/>
        </w:rPr>
        <w:t>Rapport</w:t>
      </w:r>
      <w:r w:rsidR="00454526">
        <w:rPr>
          <w:b/>
          <w:sz w:val="22"/>
          <w:szCs w:val="22"/>
          <w:lang w:val="fr-CA"/>
        </w:rPr>
        <w:t xml:space="preserve"> du Département de la sécurité publique</w:t>
      </w:r>
      <w:r w:rsidR="00EF2731" w:rsidRPr="00221F6E">
        <w:rPr>
          <w:b/>
          <w:sz w:val="22"/>
          <w:szCs w:val="22"/>
          <w:lang w:val="fr-CA"/>
        </w:rPr>
        <w:t xml:space="preserve"> (DSP)</w:t>
      </w:r>
      <w:r w:rsidR="00454526">
        <w:rPr>
          <w:b/>
          <w:sz w:val="22"/>
          <w:szCs w:val="22"/>
          <w:lang w:val="fr-CA"/>
        </w:rPr>
        <w:t xml:space="preserve"> du Secrétariat à la sécurité multidimensionnelle</w:t>
      </w:r>
      <w:r w:rsidR="00EF2731" w:rsidRPr="00221F6E">
        <w:rPr>
          <w:b/>
          <w:sz w:val="22"/>
          <w:szCs w:val="22"/>
          <w:lang w:val="fr-CA"/>
        </w:rPr>
        <w:t xml:space="preserve"> (SSM). </w:t>
      </w:r>
    </w:p>
    <w:p w:rsidR="00EF2731" w:rsidRPr="00221F6E" w:rsidRDefault="00EF2731" w:rsidP="004000B7">
      <w:pPr>
        <w:ind w:left="360" w:hanging="360"/>
        <w:jc w:val="both"/>
        <w:rPr>
          <w:b/>
          <w:sz w:val="22"/>
          <w:szCs w:val="22"/>
          <w:lang w:val="fr-CA"/>
        </w:rPr>
      </w:pPr>
    </w:p>
    <w:p w:rsidR="001E0A43" w:rsidRPr="00221F6E" w:rsidRDefault="00454526" w:rsidP="005A2DA8">
      <w:pPr>
        <w:pStyle w:val="ListParagraph"/>
        <w:numPr>
          <w:ilvl w:val="0"/>
          <w:numId w:val="27"/>
        </w:numPr>
        <w:ind w:hanging="720"/>
        <w:jc w:val="both"/>
        <w:rPr>
          <w:rFonts w:eastAsia="Calibri"/>
          <w:sz w:val="22"/>
          <w:szCs w:val="22"/>
          <w:lang w:val="fr-CA"/>
        </w:rPr>
      </w:pPr>
      <w:r>
        <w:rPr>
          <w:rFonts w:eastAsia="Calibri"/>
          <w:sz w:val="22"/>
          <w:szCs w:val="22"/>
          <w:lang w:val="fr-CA"/>
        </w:rPr>
        <w:t>Le</w:t>
      </w:r>
      <w:r w:rsidR="00CD41CA" w:rsidRPr="00221F6E">
        <w:rPr>
          <w:rFonts w:eastAsia="Calibri"/>
          <w:sz w:val="22"/>
          <w:szCs w:val="22"/>
          <w:lang w:val="fr-CA"/>
        </w:rPr>
        <w:t xml:space="preserve"> DSP</w:t>
      </w:r>
      <w:r>
        <w:rPr>
          <w:rFonts w:eastAsia="Calibri"/>
          <w:sz w:val="22"/>
          <w:szCs w:val="22"/>
          <w:lang w:val="fr-CA"/>
        </w:rPr>
        <w:t xml:space="preserve"> appuie les États membres dans le renforcement de leurs politiques publiques visant à prévenir les principaux délits qui touchent les personnes migrantes en situation irrégulière, en </w:t>
      </w:r>
      <w:proofErr w:type="gramStart"/>
      <w:r>
        <w:rPr>
          <w:rFonts w:eastAsia="Calibri"/>
          <w:sz w:val="22"/>
          <w:szCs w:val="22"/>
          <w:lang w:val="fr-CA"/>
        </w:rPr>
        <w:t>particulier</w:t>
      </w:r>
      <w:proofErr w:type="gramEnd"/>
      <w:r>
        <w:rPr>
          <w:rFonts w:eastAsia="Calibri"/>
          <w:sz w:val="22"/>
          <w:szCs w:val="22"/>
          <w:lang w:val="fr-CA"/>
        </w:rPr>
        <w:t xml:space="preserve"> la traite des personnes, pour faire face à ces délits et pour en réduire le nombre. Le DSP apporte ce soutien par le biais de deux domaines d’action complémentaires : le domaine politique et le domaine programmatique.</w:t>
      </w:r>
      <w:r w:rsidR="001E0A43" w:rsidRPr="00221F6E">
        <w:rPr>
          <w:rFonts w:eastAsia="Calibri"/>
          <w:sz w:val="22"/>
          <w:szCs w:val="22"/>
          <w:lang w:val="fr-CA"/>
        </w:rPr>
        <w:t xml:space="preserve"> </w:t>
      </w:r>
    </w:p>
    <w:p w:rsidR="001F0861" w:rsidRPr="00221F6E" w:rsidRDefault="001F0861" w:rsidP="005A2DA8">
      <w:pPr>
        <w:pStyle w:val="ListParagraph"/>
        <w:ind w:hanging="720"/>
        <w:jc w:val="both"/>
        <w:rPr>
          <w:rFonts w:eastAsia="Calibri"/>
          <w:sz w:val="22"/>
          <w:szCs w:val="22"/>
          <w:lang w:val="fr-CA"/>
        </w:rPr>
      </w:pPr>
    </w:p>
    <w:p w:rsidR="001E0A43" w:rsidRPr="00221F6E" w:rsidRDefault="00454526" w:rsidP="005A2DA8">
      <w:pPr>
        <w:pStyle w:val="ListParagraph"/>
        <w:numPr>
          <w:ilvl w:val="0"/>
          <w:numId w:val="27"/>
        </w:numPr>
        <w:ind w:hanging="720"/>
        <w:jc w:val="both"/>
        <w:rPr>
          <w:rFonts w:eastAsia="Calibri"/>
          <w:sz w:val="22"/>
          <w:szCs w:val="22"/>
          <w:lang w:val="fr-CA"/>
        </w:rPr>
      </w:pPr>
      <w:r>
        <w:rPr>
          <w:rFonts w:eastAsia="Calibri"/>
          <w:sz w:val="22"/>
          <w:szCs w:val="22"/>
          <w:lang w:val="fr-CA"/>
        </w:rPr>
        <w:t>Dans le</w:t>
      </w:r>
      <w:r w:rsidR="001E0A43" w:rsidRPr="00221F6E">
        <w:rPr>
          <w:rFonts w:eastAsia="Calibri"/>
          <w:sz w:val="22"/>
          <w:szCs w:val="22"/>
          <w:lang w:val="fr-CA"/>
        </w:rPr>
        <w:t xml:space="preserve"> </w:t>
      </w:r>
      <w:r>
        <w:rPr>
          <w:rFonts w:eastAsia="Calibri"/>
          <w:sz w:val="22"/>
          <w:szCs w:val="22"/>
          <w:u w:val="single"/>
          <w:lang w:val="fr-CA"/>
        </w:rPr>
        <w:t>domaine politique</w:t>
      </w:r>
      <w:r w:rsidR="001E0A43" w:rsidRPr="00221F6E">
        <w:rPr>
          <w:rFonts w:eastAsia="Calibri"/>
          <w:sz w:val="22"/>
          <w:szCs w:val="22"/>
          <w:lang w:val="fr-CA"/>
        </w:rPr>
        <w:t xml:space="preserve">, </w:t>
      </w:r>
      <w:r>
        <w:rPr>
          <w:rFonts w:eastAsia="Calibri"/>
          <w:sz w:val="22"/>
          <w:szCs w:val="22"/>
          <w:lang w:val="fr-CA"/>
        </w:rPr>
        <w:t xml:space="preserve">le DSP fait office de Secrétariat technique des Réunions des autorités nationales en matière de traite des personnes, conjointement avec le Département </w:t>
      </w:r>
      <w:r w:rsidR="00847795">
        <w:rPr>
          <w:rFonts w:eastAsia="Calibri"/>
          <w:sz w:val="22"/>
          <w:szCs w:val="22"/>
          <w:lang w:val="fr-CA"/>
        </w:rPr>
        <w:t xml:space="preserve">contre la criminalité transnationale organisée (DCTO). Depuis 2006, un total de 5 réunions </w:t>
      </w:r>
      <w:proofErr w:type="gramStart"/>
      <w:r w:rsidR="00847795">
        <w:rPr>
          <w:rFonts w:eastAsia="Calibri"/>
          <w:sz w:val="22"/>
          <w:szCs w:val="22"/>
          <w:lang w:val="fr-CA"/>
        </w:rPr>
        <w:t>ont</w:t>
      </w:r>
      <w:proofErr w:type="gramEnd"/>
      <w:r w:rsidR="00847795">
        <w:rPr>
          <w:rFonts w:eastAsia="Calibri"/>
          <w:sz w:val="22"/>
          <w:szCs w:val="22"/>
          <w:lang w:val="fr-CA"/>
        </w:rPr>
        <w:t xml:space="preserve"> été tenues, dans le but de créer des espaces de discussion et de coopération entre les plus hautes autorités nationales de la région : dégager les tendances; hiérarchiser les priorités; identifier les préoccupations régionales en la matière et présenter des recommandations conjointes destinées à améliorer les réponses en vue de faire face aux problèmes. </w:t>
      </w:r>
      <w:r w:rsidR="00705973">
        <w:rPr>
          <w:rFonts w:eastAsia="Calibri"/>
          <w:sz w:val="22"/>
          <w:szCs w:val="22"/>
          <w:lang w:val="fr-CA"/>
        </w:rPr>
        <w:t>Ces réunions ont eu pour résultats le premier Plan de travail contre la traite des personnes</w:t>
      </w:r>
      <w:r>
        <w:rPr>
          <w:rFonts w:eastAsia="Calibri"/>
          <w:sz w:val="22"/>
          <w:szCs w:val="22"/>
          <w:lang w:val="fr-CA"/>
        </w:rPr>
        <w:t xml:space="preserve"> </w:t>
      </w:r>
      <w:r w:rsidR="001E0A43" w:rsidRPr="00221F6E">
        <w:rPr>
          <w:rFonts w:eastAsia="Calibri"/>
          <w:sz w:val="22"/>
          <w:szCs w:val="22"/>
          <w:lang w:val="fr-CA"/>
        </w:rPr>
        <w:t>(2010-2014),</w:t>
      </w:r>
      <w:r w:rsidR="00705973">
        <w:rPr>
          <w:rFonts w:eastAsia="Calibri"/>
          <w:sz w:val="22"/>
          <w:szCs w:val="22"/>
          <w:lang w:val="fr-CA"/>
        </w:rPr>
        <w:t xml:space="preserve"> le Deuxième Plan de travail pour lutter contre la traite des personnes dans le Continent américain</w:t>
      </w:r>
      <w:r w:rsidR="001E0A43" w:rsidRPr="00221F6E">
        <w:rPr>
          <w:rFonts w:eastAsia="Calibri"/>
          <w:sz w:val="22"/>
          <w:szCs w:val="22"/>
          <w:lang w:val="fr-CA"/>
        </w:rPr>
        <w:t xml:space="preserve"> (2015-2020), la</w:t>
      </w:r>
      <w:r w:rsidR="00705973">
        <w:rPr>
          <w:rFonts w:eastAsia="Calibri"/>
          <w:sz w:val="22"/>
          <w:szCs w:val="22"/>
          <w:lang w:val="fr-CA"/>
        </w:rPr>
        <w:t xml:space="preserve"> Déclaration interaméricaine de lutte contre la traite des personnes</w:t>
      </w:r>
      <w:r w:rsidR="001E0A43" w:rsidRPr="00221F6E">
        <w:rPr>
          <w:rFonts w:eastAsia="Calibri"/>
          <w:sz w:val="22"/>
          <w:szCs w:val="22"/>
          <w:lang w:val="fr-CA"/>
        </w:rPr>
        <w:t xml:space="preserve"> “D</w:t>
      </w:r>
      <w:r w:rsidR="00705973">
        <w:rPr>
          <w:rFonts w:eastAsia="Calibri"/>
          <w:sz w:val="22"/>
          <w:szCs w:val="22"/>
          <w:lang w:val="fr-CA"/>
        </w:rPr>
        <w:t>éclaration</w:t>
      </w:r>
      <w:r w:rsidR="001E0A43" w:rsidRPr="00221F6E">
        <w:rPr>
          <w:rFonts w:eastAsia="Calibri"/>
          <w:sz w:val="22"/>
          <w:szCs w:val="22"/>
          <w:lang w:val="fr-CA"/>
        </w:rPr>
        <w:t xml:space="preserve"> de Brasilia” (2014)</w:t>
      </w:r>
      <w:r w:rsidR="00705973">
        <w:rPr>
          <w:rFonts w:eastAsia="Calibri"/>
          <w:sz w:val="22"/>
          <w:szCs w:val="22"/>
          <w:lang w:val="fr-CA"/>
        </w:rPr>
        <w:t xml:space="preserve"> et la Déclaration de Mexico</w:t>
      </w:r>
      <w:r w:rsidR="001E0A43" w:rsidRPr="00221F6E">
        <w:rPr>
          <w:rFonts w:eastAsia="Calibri"/>
          <w:sz w:val="22"/>
          <w:szCs w:val="22"/>
          <w:lang w:val="fr-CA"/>
        </w:rPr>
        <w:t xml:space="preserve"> (2018).</w:t>
      </w:r>
    </w:p>
    <w:p w:rsidR="001F0861" w:rsidRPr="00221F6E" w:rsidRDefault="001F0861" w:rsidP="001F0861">
      <w:pPr>
        <w:pStyle w:val="ListParagraph"/>
        <w:ind w:left="0"/>
        <w:jc w:val="both"/>
        <w:rPr>
          <w:rFonts w:eastAsia="Calibri"/>
          <w:sz w:val="22"/>
          <w:szCs w:val="22"/>
          <w:lang w:val="fr-CA"/>
        </w:rPr>
      </w:pPr>
    </w:p>
    <w:p w:rsidR="001E0A43" w:rsidRPr="00221F6E" w:rsidRDefault="00705973" w:rsidP="005A2DA8">
      <w:pPr>
        <w:pStyle w:val="ListParagraph"/>
        <w:numPr>
          <w:ilvl w:val="0"/>
          <w:numId w:val="27"/>
        </w:numPr>
        <w:ind w:hanging="720"/>
        <w:jc w:val="both"/>
        <w:rPr>
          <w:rFonts w:eastAsia="Calibri"/>
          <w:sz w:val="22"/>
          <w:szCs w:val="22"/>
          <w:lang w:val="fr-CA"/>
        </w:rPr>
      </w:pPr>
      <w:r>
        <w:rPr>
          <w:rFonts w:eastAsia="Calibri"/>
          <w:sz w:val="22"/>
          <w:szCs w:val="22"/>
          <w:lang w:val="fr-CA"/>
        </w:rPr>
        <w:lastRenderedPageBreak/>
        <w:t>Un autre résultat des réunions est l’élaboration de la Plateforme de connaissances sur la traite des personnes, qui offrira aux États membres de l’OEA ce qui suit : (i) une</w:t>
      </w:r>
      <w:r w:rsidR="001E0A43" w:rsidRPr="00221F6E">
        <w:rPr>
          <w:rFonts w:eastAsia="Calibri"/>
          <w:sz w:val="22"/>
          <w:szCs w:val="22"/>
          <w:lang w:val="fr-CA"/>
        </w:rPr>
        <w:t xml:space="preserve"> base de</w:t>
      </w:r>
      <w:r>
        <w:rPr>
          <w:rFonts w:eastAsia="Calibri"/>
          <w:sz w:val="22"/>
          <w:szCs w:val="22"/>
          <w:lang w:val="fr-CA"/>
        </w:rPr>
        <w:t xml:space="preserve"> données et de renseignements qualitatifs et quantitatifs sur les mesures prises actuellement </w:t>
      </w:r>
      <w:r w:rsidR="00A64C29">
        <w:rPr>
          <w:rFonts w:eastAsia="Calibri"/>
          <w:sz w:val="22"/>
          <w:szCs w:val="22"/>
          <w:lang w:val="fr-CA"/>
        </w:rPr>
        <w:t>dans les pays dans les domaines de la prévention de ce délit et de la poursuite de ses auteurs, de même que de l’aide aux victimes; (ii) des cadres juridiques nationaux et</w:t>
      </w:r>
      <w:r w:rsidR="001E0A43" w:rsidRPr="00221F6E">
        <w:rPr>
          <w:rFonts w:eastAsia="Calibri"/>
          <w:sz w:val="22"/>
          <w:szCs w:val="22"/>
          <w:lang w:val="fr-CA"/>
        </w:rPr>
        <w:t xml:space="preserve"> </w:t>
      </w:r>
      <w:r w:rsidR="00A64C29">
        <w:rPr>
          <w:rFonts w:eastAsia="Calibri"/>
          <w:sz w:val="22"/>
          <w:szCs w:val="22"/>
          <w:lang w:val="fr-CA"/>
        </w:rPr>
        <w:t>internationaux, des répertoires d’autorités nationales, des projets, des programmes, des pratiques exemplaires, des publications et des cours, entre autres matériels sur la traite des personnes</w:t>
      </w:r>
      <w:r w:rsidR="001E0A43" w:rsidRPr="00221F6E">
        <w:rPr>
          <w:rFonts w:eastAsia="Calibri"/>
          <w:sz w:val="22"/>
          <w:szCs w:val="22"/>
          <w:lang w:val="fr-CA"/>
        </w:rPr>
        <w:t>; (iii)</w:t>
      </w:r>
      <w:r w:rsidR="00A64C29">
        <w:rPr>
          <w:rFonts w:eastAsia="Calibri"/>
          <w:sz w:val="22"/>
          <w:szCs w:val="22"/>
          <w:lang w:val="fr-CA"/>
        </w:rPr>
        <w:t xml:space="preserve"> le partage de connaissances et d’information, de même que la collaboration entre les États membres</w:t>
      </w:r>
      <w:r w:rsidR="001E0A43" w:rsidRPr="00221F6E">
        <w:rPr>
          <w:rFonts w:eastAsia="Calibri"/>
          <w:sz w:val="22"/>
          <w:szCs w:val="22"/>
          <w:lang w:val="fr-CA"/>
        </w:rPr>
        <w:t xml:space="preserve">. </w:t>
      </w:r>
    </w:p>
    <w:p w:rsidR="001F0861" w:rsidRPr="00221F6E" w:rsidRDefault="001F0861" w:rsidP="005A2DA8">
      <w:pPr>
        <w:pStyle w:val="ListParagraph"/>
        <w:ind w:hanging="720"/>
        <w:jc w:val="both"/>
        <w:rPr>
          <w:rFonts w:eastAsia="Calibri"/>
          <w:sz w:val="22"/>
          <w:szCs w:val="22"/>
          <w:lang w:val="fr-CA"/>
        </w:rPr>
      </w:pPr>
    </w:p>
    <w:p w:rsidR="001E0A43" w:rsidRPr="00221F6E" w:rsidRDefault="001E0A43" w:rsidP="005A2DA8">
      <w:pPr>
        <w:pStyle w:val="ListParagraph"/>
        <w:numPr>
          <w:ilvl w:val="0"/>
          <w:numId w:val="27"/>
        </w:numPr>
        <w:ind w:hanging="720"/>
        <w:jc w:val="both"/>
        <w:rPr>
          <w:rFonts w:eastAsia="Calibri"/>
          <w:sz w:val="22"/>
          <w:szCs w:val="22"/>
          <w:lang w:val="fr-CA"/>
        </w:rPr>
      </w:pPr>
      <w:r w:rsidRPr="00221F6E">
        <w:rPr>
          <w:rFonts w:eastAsia="Calibri"/>
          <w:sz w:val="22"/>
          <w:szCs w:val="22"/>
          <w:lang w:val="fr-CA"/>
        </w:rPr>
        <w:t>A</w:t>
      </w:r>
      <w:r w:rsidR="00A64C29">
        <w:rPr>
          <w:rFonts w:eastAsia="Calibri"/>
          <w:sz w:val="22"/>
          <w:szCs w:val="22"/>
          <w:lang w:val="fr-CA"/>
        </w:rPr>
        <w:t>u</w:t>
      </w:r>
      <w:r w:rsidRPr="00221F6E">
        <w:rPr>
          <w:rFonts w:eastAsia="Calibri"/>
          <w:sz w:val="22"/>
          <w:szCs w:val="22"/>
          <w:lang w:val="fr-CA"/>
        </w:rPr>
        <w:t xml:space="preserve"> </w:t>
      </w:r>
      <w:r w:rsidR="00A64C29">
        <w:rPr>
          <w:rFonts w:eastAsia="Calibri"/>
          <w:sz w:val="22"/>
          <w:szCs w:val="22"/>
          <w:u w:val="single"/>
          <w:lang w:val="fr-CA"/>
        </w:rPr>
        <w:t>niveau programmatique</w:t>
      </w:r>
      <w:r w:rsidR="00A64C29">
        <w:rPr>
          <w:rFonts w:eastAsia="Calibri"/>
          <w:sz w:val="22"/>
          <w:szCs w:val="22"/>
          <w:lang w:val="fr-CA"/>
        </w:rPr>
        <w:t>, au cours des dernières années le</w:t>
      </w:r>
      <w:r w:rsidRPr="00221F6E">
        <w:rPr>
          <w:rFonts w:eastAsia="Calibri"/>
          <w:sz w:val="22"/>
          <w:szCs w:val="22"/>
          <w:lang w:val="fr-CA"/>
        </w:rPr>
        <w:t xml:space="preserve"> DSP</w:t>
      </w:r>
      <w:r w:rsidR="00A64C29">
        <w:rPr>
          <w:rFonts w:eastAsia="Calibri"/>
          <w:sz w:val="22"/>
          <w:szCs w:val="22"/>
          <w:lang w:val="fr-CA"/>
        </w:rPr>
        <w:t xml:space="preserve"> a mis en œuvre quatre projets qui contribuent aux processus de prévention de ce délit ainsi que d’aide et de protection pour les victimes de celui-ci. Entre 2014 et</w:t>
      </w:r>
      <w:r w:rsidRPr="00221F6E">
        <w:rPr>
          <w:rFonts w:eastAsia="Calibri"/>
          <w:sz w:val="22"/>
          <w:szCs w:val="22"/>
          <w:lang w:val="fr-CA"/>
        </w:rPr>
        <w:t xml:space="preserve"> </w:t>
      </w:r>
      <w:proofErr w:type="gramStart"/>
      <w:r w:rsidRPr="00221F6E">
        <w:rPr>
          <w:rFonts w:eastAsia="Calibri"/>
          <w:sz w:val="22"/>
          <w:szCs w:val="22"/>
          <w:lang w:val="fr-CA"/>
        </w:rPr>
        <w:t xml:space="preserve">2018, </w:t>
      </w:r>
      <w:r w:rsidR="00A64C29">
        <w:rPr>
          <w:rFonts w:eastAsia="Calibri"/>
          <w:sz w:val="22"/>
          <w:szCs w:val="22"/>
          <w:lang w:val="fr-CA"/>
        </w:rPr>
        <w:t xml:space="preserve"> le</w:t>
      </w:r>
      <w:proofErr w:type="gramEnd"/>
      <w:r w:rsidR="00A64C29">
        <w:rPr>
          <w:rFonts w:eastAsia="Calibri"/>
          <w:sz w:val="22"/>
          <w:szCs w:val="22"/>
          <w:lang w:val="fr-CA"/>
        </w:rPr>
        <w:t xml:space="preserve"> Programme</w:t>
      </w:r>
      <w:r w:rsidR="0078308E">
        <w:rPr>
          <w:rFonts w:eastAsia="Calibri"/>
          <w:sz w:val="22"/>
          <w:szCs w:val="22"/>
          <w:lang w:val="fr-CA"/>
        </w:rPr>
        <w:t xml:space="preserve"> de prévention de délits liés à la migration irrégulière a été mis en place dans huit pays de Méso-Amérique, composé de 3 axes complémentaires (prévention, lutte et protection), dans le but de renforcer les réponses des gouvernements en matière de lutte contre les principaux délits qui touchent la population migrante au</w:t>
      </w:r>
      <w:r w:rsidRPr="00221F6E">
        <w:rPr>
          <w:rFonts w:eastAsia="Calibri"/>
          <w:sz w:val="22"/>
          <w:szCs w:val="22"/>
          <w:lang w:val="fr-CA"/>
        </w:rPr>
        <w:t xml:space="preserve"> Costa Rica, </w:t>
      </w:r>
      <w:r w:rsidR="0078308E">
        <w:rPr>
          <w:rFonts w:eastAsia="Calibri"/>
          <w:sz w:val="22"/>
          <w:szCs w:val="22"/>
          <w:lang w:val="fr-CA"/>
        </w:rPr>
        <w:t xml:space="preserve">en </w:t>
      </w:r>
      <w:r w:rsidRPr="00221F6E">
        <w:rPr>
          <w:rFonts w:eastAsia="Calibri"/>
          <w:sz w:val="22"/>
          <w:szCs w:val="22"/>
          <w:lang w:val="fr-CA"/>
        </w:rPr>
        <w:t>El Salvador,</w:t>
      </w:r>
      <w:r w:rsidR="0078308E">
        <w:rPr>
          <w:rFonts w:eastAsia="Calibri"/>
          <w:sz w:val="22"/>
          <w:szCs w:val="22"/>
          <w:lang w:val="fr-CA"/>
        </w:rPr>
        <w:t xml:space="preserve"> au</w:t>
      </w:r>
      <w:r w:rsidRPr="00221F6E">
        <w:rPr>
          <w:rFonts w:eastAsia="Calibri"/>
          <w:sz w:val="22"/>
          <w:szCs w:val="22"/>
          <w:lang w:val="fr-CA"/>
        </w:rPr>
        <w:t xml:space="preserve"> Guatemala,</w:t>
      </w:r>
      <w:r w:rsidR="0078308E">
        <w:rPr>
          <w:rFonts w:eastAsia="Calibri"/>
          <w:sz w:val="22"/>
          <w:szCs w:val="22"/>
          <w:lang w:val="fr-CA"/>
        </w:rPr>
        <w:t xml:space="preserve"> au</w:t>
      </w:r>
      <w:r w:rsidRPr="00221F6E">
        <w:rPr>
          <w:rFonts w:eastAsia="Calibri"/>
          <w:sz w:val="22"/>
          <w:szCs w:val="22"/>
          <w:lang w:val="fr-CA"/>
        </w:rPr>
        <w:t xml:space="preserve"> Honduras,</w:t>
      </w:r>
      <w:r w:rsidR="0078308E">
        <w:rPr>
          <w:rFonts w:eastAsia="Calibri"/>
          <w:sz w:val="22"/>
          <w:szCs w:val="22"/>
          <w:lang w:val="fr-CA"/>
        </w:rPr>
        <w:t xml:space="preserve"> au Mexique</w:t>
      </w:r>
      <w:r w:rsidRPr="00221F6E">
        <w:rPr>
          <w:rFonts w:eastAsia="Calibri"/>
          <w:sz w:val="22"/>
          <w:szCs w:val="22"/>
          <w:lang w:val="fr-CA"/>
        </w:rPr>
        <w:t>,</w:t>
      </w:r>
      <w:r w:rsidR="0078308E">
        <w:rPr>
          <w:rFonts w:eastAsia="Calibri"/>
          <w:sz w:val="22"/>
          <w:szCs w:val="22"/>
          <w:lang w:val="fr-CA"/>
        </w:rPr>
        <w:t xml:space="preserve"> au</w:t>
      </w:r>
      <w:r w:rsidRPr="00221F6E">
        <w:rPr>
          <w:rFonts w:eastAsia="Calibri"/>
          <w:sz w:val="22"/>
          <w:szCs w:val="22"/>
          <w:lang w:val="fr-CA"/>
        </w:rPr>
        <w:t xml:space="preserve"> Nicaragua, </w:t>
      </w:r>
      <w:r w:rsidR="0078308E">
        <w:rPr>
          <w:rFonts w:eastAsia="Calibri"/>
          <w:sz w:val="22"/>
          <w:szCs w:val="22"/>
          <w:lang w:val="fr-CA"/>
        </w:rPr>
        <w:t>au Panama et en République dominicaine.</w:t>
      </w:r>
    </w:p>
    <w:p w:rsidR="001F0861" w:rsidRPr="00221F6E" w:rsidRDefault="001F0861" w:rsidP="005A2DA8">
      <w:pPr>
        <w:pStyle w:val="ListParagraph"/>
        <w:ind w:hanging="720"/>
        <w:jc w:val="both"/>
        <w:rPr>
          <w:rFonts w:eastAsia="Calibri"/>
          <w:sz w:val="22"/>
          <w:szCs w:val="22"/>
          <w:lang w:val="fr-CA"/>
        </w:rPr>
      </w:pPr>
    </w:p>
    <w:p w:rsidR="001E0A43" w:rsidRPr="00221F6E" w:rsidRDefault="0078308E" w:rsidP="005A2DA8">
      <w:pPr>
        <w:pStyle w:val="ListParagraph"/>
        <w:numPr>
          <w:ilvl w:val="0"/>
          <w:numId w:val="27"/>
        </w:numPr>
        <w:ind w:hanging="720"/>
        <w:jc w:val="both"/>
        <w:rPr>
          <w:rFonts w:eastAsia="Calibri"/>
          <w:sz w:val="22"/>
          <w:szCs w:val="22"/>
          <w:lang w:val="fr-CA"/>
        </w:rPr>
      </w:pPr>
      <w:r>
        <w:rPr>
          <w:rFonts w:eastAsia="Calibri"/>
          <w:sz w:val="22"/>
          <w:szCs w:val="22"/>
          <w:lang w:val="fr-CA"/>
        </w:rPr>
        <w:t>Au Honduras, le</w:t>
      </w:r>
      <w:r w:rsidR="001E0A43" w:rsidRPr="00221F6E">
        <w:rPr>
          <w:rFonts w:eastAsia="Calibri"/>
          <w:sz w:val="22"/>
          <w:szCs w:val="22"/>
          <w:lang w:val="fr-CA"/>
        </w:rPr>
        <w:t xml:space="preserve"> DSP</w:t>
      </w:r>
      <w:r>
        <w:rPr>
          <w:rFonts w:eastAsia="Calibri"/>
          <w:sz w:val="22"/>
          <w:szCs w:val="22"/>
          <w:lang w:val="fr-CA"/>
        </w:rPr>
        <w:t xml:space="preserve"> travaille</w:t>
      </w:r>
      <w:r w:rsidR="00DA0478">
        <w:rPr>
          <w:rFonts w:eastAsia="Calibri"/>
          <w:sz w:val="22"/>
          <w:szCs w:val="22"/>
          <w:lang w:val="fr-CA"/>
        </w:rPr>
        <w:t xml:space="preserve"> depuis 2017 à la promotion de l’accès aux ressources d’aide et de protection des victimes de la traite des personnes et à l’amélioration de ces ressources dans quatre municipalités ayant un taux élevé de migration. </w:t>
      </w:r>
      <w:r w:rsidR="001E0A43" w:rsidRPr="00221F6E">
        <w:rPr>
          <w:rFonts w:eastAsia="Calibri"/>
          <w:sz w:val="22"/>
          <w:szCs w:val="22"/>
          <w:lang w:val="fr-CA"/>
        </w:rPr>
        <w:t>Un total de 70 profes</w:t>
      </w:r>
      <w:r w:rsidR="00DA0478">
        <w:rPr>
          <w:rFonts w:eastAsia="Calibri"/>
          <w:sz w:val="22"/>
          <w:szCs w:val="22"/>
          <w:lang w:val="fr-CA"/>
        </w:rPr>
        <w:t xml:space="preserve">sionnels </w:t>
      </w:r>
      <w:proofErr w:type="gramStart"/>
      <w:r w:rsidR="00DA0478">
        <w:rPr>
          <w:rFonts w:eastAsia="Calibri"/>
          <w:sz w:val="22"/>
          <w:szCs w:val="22"/>
          <w:lang w:val="fr-CA"/>
        </w:rPr>
        <w:t>ont</w:t>
      </w:r>
      <w:proofErr w:type="gramEnd"/>
      <w:r w:rsidR="00DA0478">
        <w:rPr>
          <w:rFonts w:eastAsia="Calibri"/>
          <w:sz w:val="22"/>
          <w:szCs w:val="22"/>
          <w:lang w:val="fr-CA"/>
        </w:rPr>
        <w:t xml:space="preserve"> reçu une formation et ont été certifiés afin d’améliorer leurs capacités à s’occuper de populations en situation de vulnérabi</w:t>
      </w:r>
      <w:r w:rsidR="00506FC2">
        <w:rPr>
          <w:rFonts w:eastAsia="Calibri"/>
          <w:sz w:val="22"/>
          <w:szCs w:val="22"/>
          <w:lang w:val="fr-CA"/>
        </w:rPr>
        <w:t xml:space="preserve">lité à la traite des personnes, et leur intégration à un réseau de coopération interinstitutionnelle et </w:t>
      </w:r>
      <w:proofErr w:type="spellStart"/>
      <w:r w:rsidR="00506FC2">
        <w:rPr>
          <w:rFonts w:eastAsia="Calibri"/>
          <w:sz w:val="22"/>
          <w:szCs w:val="22"/>
          <w:lang w:val="fr-CA"/>
        </w:rPr>
        <w:t>intermunicipale</w:t>
      </w:r>
      <w:proofErr w:type="spellEnd"/>
      <w:r w:rsidR="00506FC2">
        <w:rPr>
          <w:rFonts w:eastAsia="Calibri"/>
          <w:sz w:val="22"/>
          <w:szCs w:val="22"/>
          <w:lang w:val="fr-CA"/>
        </w:rPr>
        <w:t xml:space="preserve"> d’aide </w:t>
      </w:r>
      <w:r w:rsidR="00506FC2">
        <w:rPr>
          <w:rFonts w:eastAsia="Calibri"/>
          <w:sz w:val="22"/>
          <w:szCs w:val="22"/>
          <w:lang w:val="fr-CA"/>
        </w:rPr>
        <w:lastRenderedPageBreak/>
        <w:t>a été facilitée. Dans le cadre de cette initiative, un catalogue d’institutions gouvernementales et non gouvernementales qui offrent des services</w:t>
      </w:r>
      <w:r w:rsidR="00816EA2">
        <w:rPr>
          <w:rFonts w:eastAsia="Calibri"/>
          <w:sz w:val="22"/>
          <w:szCs w:val="22"/>
          <w:lang w:val="fr-CA"/>
        </w:rPr>
        <w:t xml:space="preserve"> auquel peuvent accéder les victimes de la traite des personnes a été élaboré.</w:t>
      </w:r>
      <w:r w:rsidR="00506FC2">
        <w:rPr>
          <w:rFonts w:eastAsia="Calibri"/>
          <w:sz w:val="22"/>
          <w:szCs w:val="22"/>
          <w:lang w:val="fr-CA"/>
        </w:rPr>
        <w:t xml:space="preserve"> </w:t>
      </w:r>
    </w:p>
    <w:p w:rsidR="00CD41CA" w:rsidRPr="00221F6E" w:rsidRDefault="00CD41CA" w:rsidP="005A2DA8">
      <w:pPr>
        <w:pStyle w:val="ListParagraph"/>
        <w:ind w:hanging="720"/>
        <w:jc w:val="both"/>
        <w:rPr>
          <w:rFonts w:eastAsia="Calibri"/>
          <w:sz w:val="22"/>
          <w:szCs w:val="22"/>
          <w:lang w:val="fr-CA"/>
        </w:rPr>
      </w:pPr>
    </w:p>
    <w:p w:rsidR="00CD41CA" w:rsidRPr="00221F6E" w:rsidRDefault="00816EA2" w:rsidP="005A2DA8">
      <w:pPr>
        <w:pStyle w:val="ListParagraph"/>
        <w:numPr>
          <w:ilvl w:val="0"/>
          <w:numId w:val="27"/>
        </w:numPr>
        <w:ind w:hanging="720"/>
        <w:jc w:val="both"/>
        <w:rPr>
          <w:rFonts w:eastAsia="Calibri"/>
          <w:sz w:val="22"/>
          <w:szCs w:val="22"/>
          <w:lang w:val="fr-CA"/>
        </w:rPr>
      </w:pPr>
      <w:r>
        <w:rPr>
          <w:rFonts w:eastAsia="Calibri"/>
          <w:sz w:val="22"/>
          <w:szCs w:val="22"/>
          <w:lang w:val="fr-CA"/>
        </w:rPr>
        <w:t>En outre, le</w:t>
      </w:r>
      <w:r w:rsidR="001E0A43" w:rsidRPr="00221F6E">
        <w:rPr>
          <w:rFonts w:eastAsia="Calibri"/>
          <w:sz w:val="22"/>
          <w:szCs w:val="22"/>
          <w:lang w:val="fr-CA"/>
        </w:rPr>
        <w:t xml:space="preserve"> DSP</w:t>
      </w:r>
      <w:r>
        <w:rPr>
          <w:rFonts w:eastAsia="Calibri"/>
          <w:sz w:val="22"/>
          <w:szCs w:val="22"/>
          <w:lang w:val="fr-CA"/>
        </w:rPr>
        <w:t xml:space="preserve"> a facilité l’élaboration d’une publication comportant les voies d’action pour l’identification et la protection des victimes de la traite des personnes ainsi que l’aide à ces personnes s’appliquant spécifiquement aux quatre municipalités bénéficiaires, qui a été officiellement présentée en mars 2020. Les comités locaux de ces municipalités ont été renforcés par la tenue de réunions périodiques encourageant l’interaction et l’articulation interinstitutionnelle, par des formations ainsi que par la formation d’un réseau composé</w:t>
      </w:r>
      <w:r w:rsidR="0035264A">
        <w:rPr>
          <w:rFonts w:eastAsia="Calibri"/>
          <w:sz w:val="22"/>
          <w:szCs w:val="22"/>
          <w:lang w:val="fr-CA"/>
        </w:rPr>
        <w:t xml:space="preserve"> des points focaux municipaux par le biais d’un réseau de messages instantanés.</w:t>
      </w:r>
      <w:r w:rsidR="001E0A43" w:rsidRPr="00221F6E">
        <w:rPr>
          <w:rFonts w:eastAsia="Calibri"/>
          <w:sz w:val="22"/>
          <w:szCs w:val="22"/>
          <w:lang w:val="fr-CA"/>
        </w:rPr>
        <w:t xml:space="preserve"> </w:t>
      </w:r>
    </w:p>
    <w:p w:rsidR="001E0A43" w:rsidRPr="00221F6E" w:rsidRDefault="001E0A43" w:rsidP="005A2DA8">
      <w:pPr>
        <w:pStyle w:val="ListParagraph"/>
        <w:ind w:hanging="720"/>
        <w:jc w:val="both"/>
        <w:rPr>
          <w:rFonts w:eastAsia="Calibri"/>
          <w:sz w:val="22"/>
          <w:szCs w:val="22"/>
          <w:lang w:val="fr-CA"/>
        </w:rPr>
      </w:pPr>
    </w:p>
    <w:p w:rsidR="001E0A43" w:rsidRPr="00221F6E" w:rsidRDefault="0035264A" w:rsidP="005A2DA8">
      <w:pPr>
        <w:pStyle w:val="ListParagraph"/>
        <w:numPr>
          <w:ilvl w:val="0"/>
          <w:numId w:val="27"/>
        </w:numPr>
        <w:ind w:hanging="720"/>
        <w:jc w:val="both"/>
        <w:rPr>
          <w:rFonts w:eastAsia="Calibri"/>
          <w:sz w:val="22"/>
          <w:szCs w:val="22"/>
          <w:lang w:val="fr-CA"/>
        </w:rPr>
      </w:pPr>
      <w:r>
        <w:rPr>
          <w:rFonts w:eastAsia="Calibri"/>
          <w:sz w:val="22"/>
          <w:szCs w:val="22"/>
          <w:lang w:val="fr-CA"/>
        </w:rPr>
        <w:t>Au Guatemala, le</w:t>
      </w:r>
      <w:r w:rsidR="001E0A43" w:rsidRPr="00221F6E">
        <w:rPr>
          <w:rFonts w:eastAsia="Calibri"/>
          <w:sz w:val="22"/>
          <w:szCs w:val="22"/>
          <w:lang w:val="fr-CA"/>
        </w:rPr>
        <w:t xml:space="preserve"> DSP</w:t>
      </w:r>
      <w:r>
        <w:rPr>
          <w:rFonts w:eastAsia="Calibri"/>
          <w:sz w:val="22"/>
          <w:szCs w:val="22"/>
          <w:lang w:val="fr-CA"/>
        </w:rPr>
        <w:t xml:space="preserve"> met en œuvre un projet visant à renforcer la capacité technique du personnel d’</w:t>
      </w:r>
      <w:r w:rsidR="002F7EB9">
        <w:rPr>
          <w:rFonts w:eastAsia="Calibri"/>
          <w:sz w:val="22"/>
          <w:szCs w:val="22"/>
          <w:lang w:val="fr-CA"/>
        </w:rPr>
        <w:t xml:space="preserve">organisations gouvernementales, non gouvernementales et de la société civile pour apporter une assistance immédiate et de premier ordre aux victimes de la traite des personnes, en particulier celles qui sont en situation de plus grande vulnérabilité. En janvier 2020, le Guide d’aide intégrée aux personnes </w:t>
      </w:r>
      <w:r w:rsidR="00A709B5">
        <w:rPr>
          <w:rFonts w:eastAsia="Calibri"/>
          <w:sz w:val="22"/>
          <w:szCs w:val="22"/>
          <w:lang w:val="fr-CA"/>
        </w:rPr>
        <w:t xml:space="preserve">LGBTIQ+ majeures victimes de la traite des personnes au Guatemala </w:t>
      </w:r>
      <w:proofErr w:type="gramStart"/>
      <w:r w:rsidR="00A709B5">
        <w:rPr>
          <w:rFonts w:eastAsia="Calibri"/>
          <w:sz w:val="22"/>
          <w:szCs w:val="22"/>
          <w:lang w:val="fr-CA"/>
        </w:rPr>
        <w:t>a</w:t>
      </w:r>
      <w:proofErr w:type="gramEnd"/>
      <w:r w:rsidR="00A709B5">
        <w:rPr>
          <w:rFonts w:eastAsia="Calibri"/>
          <w:sz w:val="22"/>
          <w:szCs w:val="22"/>
          <w:lang w:val="fr-CA"/>
        </w:rPr>
        <w:t xml:space="preserve"> été lancé. Un outil éducatif virtuel visant à accroitre les connaissances et les habiletés </w:t>
      </w:r>
      <w:r w:rsidR="0093173A">
        <w:rPr>
          <w:rFonts w:eastAsia="Calibri"/>
          <w:sz w:val="22"/>
          <w:szCs w:val="22"/>
          <w:lang w:val="fr-CA"/>
        </w:rPr>
        <w:t>des professionnels administrant les premiers soins pour identifier, aider, protéger et dériver les victimes de la traite des personnes en général est en cours d’élaboration et sera lancé au cours des prochains mois.</w:t>
      </w:r>
      <w:r w:rsidR="001E0A43" w:rsidRPr="00221F6E">
        <w:rPr>
          <w:rFonts w:eastAsia="Calibri"/>
          <w:sz w:val="22"/>
          <w:szCs w:val="22"/>
          <w:lang w:val="fr-CA"/>
        </w:rPr>
        <w:t xml:space="preserve"> </w:t>
      </w:r>
    </w:p>
    <w:p w:rsidR="001F0861" w:rsidRPr="00221F6E" w:rsidRDefault="001F0861" w:rsidP="005A2DA8">
      <w:pPr>
        <w:pStyle w:val="ListParagraph"/>
        <w:ind w:hanging="720"/>
        <w:jc w:val="both"/>
        <w:rPr>
          <w:rFonts w:eastAsia="Calibri"/>
          <w:sz w:val="22"/>
          <w:szCs w:val="22"/>
          <w:lang w:val="fr-CA"/>
        </w:rPr>
      </w:pPr>
    </w:p>
    <w:p w:rsidR="001E0A43" w:rsidRPr="00221F6E" w:rsidRDefault="001E0A43" w:rsidP="005A2DA8">
      <w:pPr>
        <w:pStyle w:val="ListParagraph"/>
        <w:numPr>
          <w:ilvl w:val="0"/>
          <w:numId w:val="27"/>
        </w:numPr>
        <w:ind w:hanging="720"/>
        <w:jc w:val="both"/>
        <w:rPr>
          <w:rFonts w:eastAsia="Calibri"/>
          <w:sz w:val="22"/>
          <w:szCs w:val="22"/>
          <w:lang w:val="fr-CA"/>
        </w:rPr>
      </w:pPr>
      <w:r w:rsidRPr="00221F6E">
        <w:rPr>
          <w:rFonts w:eastAsia="Calibri"/>
          <w:sz w:val="22"/>
          <w:szCs w:val="22"/>
          <w:lang w:val="fr-CA"/>
        </w:rPr>
        <w:t>En</w:t>
      </w:r>
      <w:r w:rsidR="0093173A">
        <w:rPr>
          <w:rFonts w:eastAsia="Calibri"/>
          <w:sz w:val="22"/>
          <w:szCs w:val="22"/>
          <w:lang w:val="fr-CA"/>
        </w:rPr>
        <w:t xml:space="preserve"> Équateur, le DSP mettra en marche un projet visant à </w:t>
      </w:r>
      <w:r w:rsidR="00FE1896">
        <w:rPr>
          <w:rFonts w:eastAsia="Calibri"/>
          <w:sz w:val="22"/>
          <w:szCs w:val="22"/>
          <w:lang w:val="fr-CA"/>
        </w:rPr>
        <w:t xml:space="preserve">prévenir la traite des personnes, aider et protéger les victimes (y compris de l’aide pour rentrer chez elles) et poursuivre les auteurs du délit, en </w:t>
      </w:r>
      <w:r w:rsidR="00FE1896">
        <w:rPr>
          <w:rFonts w:eastAsia="Calibri"/>
          <w:sz w:val="22"/>
          <w:szCs w:val="22"/>
          <w:lang w:val="fr-CA"/>
        </w:rPr>
        <w:lastRenderedPageBreak/>
        <w:t xml:space="preserve">insistant particulièrement sur les minorités et les populations migrantes. </w:t>
      </w:r>
      <w:r w:rsidR="0063639E">
        <w:rPr>
          <w:rFonts w:eastAsia="Calibri"/>
          <w:sz w:val="22"/>
          <w:szCs w:val="22"/>
          <w:lang w:val="fr-CA"/>
        </w:rPr>
        <w:t>Les interventions comprennent la proposition et l’adéquation de cadres normatifs et législatifs, la formation d’acteurs gouvernementaux et non gouvernementaux et l’application de politiques au niveau local</w:t>
      </w:r>
      <w:r w:rsidRPr="00221F6E">
        <w:rPr>
          <w:rFonts w:eastAsia="Calibri"/>
          <w:sz w:val="22"/>
          <w:szCs w:val="22"/>
          <w:lang w:val="fr-CA"/>
        </w:rPr>
        <w:t xml:space="preserve">. </w:t>
      </w:r>
    </w:p>
    <w:p w:rsidR="001F0861" w:rsidRPr="00221F6E" w:rsidRDefault="001F0861" w:rsidP="001F0861">
      <w:pPr>
        <w:pStyle w:val="ListParagraph"/>
        <w:ind w:left="0"/>
        <w:jc w:val="both"/>
        <w:rPr>
          <w:rFonts w:eastAsia="Calibri"/>
          <w:sz w:val="22"/>
          <w:szCs w:val="22"/>
          <w:lang w:val="fr-CA"/>
        </w:rPr>
      </w:pPr>
    </w:p>
    <w:p w:rsidR="001E0A43" w:rsidRPr="00221F6E" w:rsidRDefault="0063639E" w:rsidP="005A2DA8">
      <w:pPr>
        <w:pStyle w:val="ListParagraph"/>
        <w:numPr>
          <w:ilvl w:val="0"/>
          <w:numId w:val="27"/>
        </w:numPr>
        <w:ind w:hanging="720"/>
        <w:jc w:val="both"/>
        <w:rPr>
          <w:rFonts w:eastAsia="Calibri"/>
          <w:sz w:val="22"/>
          <w:szCs w:val="22"/>
          <w:lang w:val="fr-CA"/>
        </w:rPr>
      </w:pPr>
      <w:r>
        <w:rPr>
          <w:rFonts w:eastAsia="Calibri"/>
          <w:sz w:val="22"/>
          <w:szCs w:val="22"/>
          <w:lang w:val="fr-CA"/>
        </w:rPr>
        <w:t>Les produits des projets de coopération faisant l’objet de rapports en matière de</w:t>
      </w:r>
      <w:r w:rsidR="00FD2AA0">
        <w:rPr>
          <w:rFonts w:eastAsia="Calibri"/>
          <w:sz w:val="22"/>
          <w:szCs w:val="22"/>
          <w:lang w:val="fr-CA"/>
        </w:rPr>
        <w:t xml:space="preserve"> prévention de</w:t>
      </w:r>
      <w:r>
        <w:rPr>
          <w:rFonts w:eastAsia="Calibri"/>
          <w:sz w:val="22"/>
          <w:szCs w:val="22"/>
          <w:lang w:val="fr-CA"/>
        </w:rPr>
        <w:t xml:space="preserve"> délits</w:t>
      </w:r>
      <w:r w:rsidR="00FD2AA0">
        <w:rPr>
          <w:rFonts w:eastAsia="Calibri"/>
          <w:sz w:val="22"/>
          <w:szCs w:val="22"/>
          <w:lang w:val="fr-CA"/>
        </w:rPr>
        <w:t xml:space="preserve"> liés à la migration irrégulière peuvent être consultés sur le site web du Réseau interaméricain de prévention de la violence et du délit et la mise en œuvre des projets figure sur les réseaux sociaux du DSP.</w:t>
      </w:r>
      <w:r w:rsidR="001E0A43" w:rsidRPr="00221F6E">
        <w:rPr>
          <w:rFonts w:eastAsia="Calibri"/>
          <w:sz w:val="22"/>
          <w:szCs w:val="22"/>
          <w:lang w:val="fr-CA"/>
        </w:rPr>
        <w:t xml:space="preserve"> </w:t>
      </w:r>
    </w:p>
    <w:p w:rsidR="001F0861" w:rsidRPr="00221F6E" w:rsidRDefault="001F0861" w:rsidP="005A2DA8">
      <w:pPr>
        <w:pStyle w:val="ListParagraph"/>
        <w:ind w:hanging="720"/>
        <w:jc w:val="both"/>
        <w:rPr>
          <w:rFonts w:eastAsia="Calibri"/>
          <w:sz w:val="22"/>
          <w:szCs w:val="22"/>
          <w:lang w:val="fr-CA"/>
        </w:rPr>
      </w:pPr>
    </w:p>
    <w:p w:rsidR="001E0A43" w:rsidRPr="00221F6E" w:rsidRDefault="00FD2AA0" w:rsidP="005A2DA8">
      <w:pPr>
        <w:pStyle w:val="ListParagraph"/>
        <w:numPr>
          <w:ilvl w:val="0"/>
          <w:numId w:val="27"/>
        </w:numPr>
        <w:ind w:hanging="720"/>
        <w:jc w:val="both"/>
        <w:rPr>
          <w:rFonts w:eastAsia="Calibri"/>
          <w:sz w:val="22"/>
          <w:szCs w:val="22"/>
          <w:lang w:val="fr-CA"/>
        </w:rPr>
      </w:pPr>
      <w:r>
        <w:rPr>
          <w:rFonts w:eastAsia="Calibri"/>
          <w:sz w:val="22"/>
          <w:szCs w:val="22"/>
          <w:lang w:val="fr-CA"/>
        </w:rPr>
        <w:t>L’engagement du</w:t>
      </w:r>
      <w:r w:rsidR="001E0A43" w:rsidRPr="00221F6E">
        <w:rPr>
          <w:rFonts w:eastAsia="Calibri"/>
          <w:sz w:val="22"/>
          <w:szCs w:val="22"/>
          <w:lang w:val="fr-CA"/>
        </w:rPr>
        <w:t xml:space="preserve"> D</w:t>
      </w:r>
      <w:r w:rsidR="00A8382B" w:rsidRPr="00221F6E">
        <w:rPr>
          <w:rFonts w:eastAsia="Calibri"/>
          <w:sz w:val="22"/>
          <w:szCs w:val="22"/>
          <w:lang w:val="fr-CA"/>
        </w:rPr>
        <w:t>SP</w:t>
      </w:r>
      <w:r>
        <w:rPr>
          <w:rFonts w:eastAsia="Calibri"/>
          <w:sz w:val="22"/>
          <w:szCs w:val="22"/>
          <w:lang w:val="fr-CA"/>
        </w:rPr>
        <w:t xml:space="preserve"> est évident dans son atteinte des objectifs du Programme de promotion et de protection des droits des personnes migrantes, y compris les travailleurs migrants et leurs familles. Le DSP</w:t>
      </w:r>
      <w:r w:rsidR="0090365E">
        <w:rPr>
          <w:rFonts w:eastAsia="Calibri"/>
          <w:sz w:val="22"/>
          <w:szCs w:val="22"/>
          <w:lang w:val="fr-CA"/>
        </w:rPr>
        <w:t xml:space="preserve"> réitère sa mission de renforcer les capacités professionnelles d’institutions gouvernementales, non gouvernementales, du secteur privé et d’</w:t>
      </w:r>
      <w:r w:rsidR="003C0AD5">
        <w:rPr>
          <w:rFonts w:eastAsia="Calibri"/>
          <w:sz w:val="22"/>
          <w:szCs w:val="22"/>
          <w:lang w:val="fr-CA"/>
        </w:rPr>
        <w:t>autres a</w:t>
      </w:r>
      <w:r w:rsidR="0090365E">
        <w:rPr>
          <w:rFonts w:eastAsia="Calibri"/>
          <w:sz w:val="22"/>
          <w:szCs w:val="22"/>
          <w:lang w:val="fr-CA"/>
        </w:rPr>
        <w:t>cteurs sociaux</w:t>
      </w:r>
      <w:r w:rsidR="003C0AD5">
        <w:rPr>
          <w:rFonts w:eastAsia="Calibri"/>
          <w:sz w:val="22"/>
          <w:szCs w:val="22"/>
          <w:lang w:val="fr-CA"/>
        </w:rPr>
        <w:t xml:space="preserve"> et de promouvoir la coopération et la collaboration interinstitutionnelles et intersectorielles à tous les niveaux, afin de contribuer à la mise en œuvre de mesures efficientes et efficaces destinées à prévenir les délits qui touchent les personnes migrantes, à lutter contre ces délits et à aider et protéger les victimes dans les Amériques.</w:t>
      </w:r>
      <w:r w:rsidR="001E0A43" w:rsidRPr="00221F6E">
        <w:rPr>
          <w:rFonts w:eastAsia="Calibri"/>
          <w:sz w:val="22"/>
          <w:szCs w:val="22"/>
          <w:lang w:val="fr-CA"/>
        </w:rPr>
        <w:t xml:space="preserve"> </w:t>
      </w:r>
    </w:p>
    <w:p w:rsidR="00AA1FD8" w:rsidRPr="00221F6E" w:rsidRDefault="00AA1FD8" w:rsidP="00FF4579">
      <w:pPr>
        <w:jc w:val="both"/>
        <w:rPr>
          <w:sz w:val="22"/>
          <w:szCs w:val="22"/>
          <w:lang w:val="fr-CA"/>
        </w:rPr>
      </w:pPr>
    </w:p>
    <w:p w:rsidR="00C760C7" w:rsidRPr="00221F6E" w:rsidRDefault="00C0186F" w:rsidP="005A2DA8">
      <w:pPr>
        <w:tabs>
          <w:tab w:val="left" w:pos="720"/>
        </w:tabs>
        <w:ind w:left="720" w:hanging="720"/>
        <w:jc w:val="both"/>
        <w:rPr>
          <w:b/>
          <w:sz w:val="22"/>
          <w:szCs w:val="22"/>
          <w:lang w:val="fr-CA"/>
        </w:rPr>
      </w:pPr>
      <w:r w:rsidRPr="00221F6E">
        <w:rPr>
          <w:b/>
          <w:sz w:val="22"/>
          <w:szCs w:val="22"/>
          <w:lang w:val="fr-CA"/>
        </w:rPr>
        <w:t xml:space="preserve">2. </w:t>
      </w:r>
      <w:r w:rsidR="00202B98" w:rsidRPr="00221F6E">
        <w:rPr>
          <w:b/>
          <w:sz w:val="22"/>
          <w:szCs w:val="22"/>
          <w:lang w:val="fr-CA"/>
        </w:rPr>
        <w:t xml:space="preserve"> </w:t>
      </w:r>
      <w:r w:rsidR="0016148D" w:rsidRPr="00221F6E">
        <w:rPr>
          <w:b/>
          <w:sz w:val="22"/>
          <w:szCs w:val="22"/>
          <w:lang w:val="fr-CA"/>
        </w:rPr>
        <w:tab/>
      </w:r>
      <w:r w:rsidR="003C0AD5">
        <w:rPr>
          <w:b/>
          <w:sz w:val="22"/>
          <w:szCs w:val="22"/>
          <w:lang w:val="fr-CA"/>
        </w:rPr>
        <w:t>Rapport de la Commission interaméricaine des droits de l’homme</w:t>
      </w:r>
      <w:r w:rsidR="00202B98" w:rsidRPr="00221F6E">
        <w:rPr>
          <w:b/>
          <w:sz w:val="22"/>
          <w:szCs w:val="22"/>
          <w:lang w:val="fr-CA"/>
        </w:rPr>
        <w:t xml:space="preserve"> (</w:t>
      </w:r>
      <w:r w:rsidR="00351150" w:rsidRPr="00221F6E">
        <w:rPr>
          <w:b/>
          <w:sz w:val="22"/>
          <w:szCs w:val="22"/>
          <w:lang w:val="fr-CA"/>
        </w:rPr>
        <w:t>CIDH</w:t>
      </w:r>
      <w:r w:rsidR="00202B98" w:rsidRPr="00221F6E">
        <w:rPr>
          <w:b/>
          <w:sz w:val="22"/>
          <w:szCs w:val="22"/>
          <w:lang w:val="fr-CA"/>
        </w:rPr>
        <w:t>)</w:t>
      </w:r>
    </w:p>
    <w:p w:rsidR="00873C15" w:rsidRPr="00221F6E" w:rsidRDefault="00873C15" w:rsidP="00FF4579">
      <w:pPr>
        <w:jc w:val="both"/>
        <w:rPr>
          <w:b/>
          <w:sz w:val="22"/>
          <w:szCs w:val="22"/>
          <w:lang w:val="fr-CA"/>
        </w:rPr>
      </w:pPr>
    </w:p>
    <w:p w:rsidR="00DD38CB" w:rsidRPr="00221F6E" w:rsidRDefault="00964204" w:rsidP="005A2DA8">
      <w:pPr>
        <w:numPr>
          <w:ilvl w:val="0"/>
          <w:numId w:val="32"/>
        </w:numPr>
        <w:ind w:hanging="720"/>
        <w:jc w:val="both"/>
        <w:rPr>
          <w:sz w:val="22"/>
          <w:szCs w:val="22"/>
          <w:lang w:val="fr-CA"/>
        </w:rPr>
      </w:pPr>
      <w:r w:rsidRPr="00221F6E">
        <w:rPr>
          <w:sz w:val="22"/>
          <w:szCs w:val="22"/>
          <w:lang w:val="fr-CA"/>
        </w:rPr>
        <w:t>La CIDH</w:t>
      </w:r>
      <w:r w:rsidR="00F57CB0" w:rsidRPr="00221F6E">
        <w:rPr>
          <w:sz w:val="22"/>
          <w:szCs w:val="22"/>
          <w:lang w:val="fr-CA"/>
        </w:rPr>
        <w:t xml:space="preserve"> </w:t>
      </w:r>
      <w:r w:rsidR="00DD38CB" w:rsidRPr="00221F6E">
        <w:rPr>
          <w:sz w:val="22"/>
          <w:szCs w:val="22"/>
          <w:lang w:val="fr-CA"/>
        </w:rPr>
        <w:t>a</w:t>
      </w:r>
      <w:r w:rsidR="003C0AD5">
        <w:rPr>
          <w:sz w:val="22"/>
          <w:szCs w:val="22"/>
          <w:lang w:val="fr-CA"/>
        </w:rPr>
        <w:t xml:space="preserve"> fait connaître, par le biais de la résolution</w:t>
      </w:r>
      <w:r w:rsidR="00DD38CB" w:rsidRPr="00221F6E">
        <w:rPr>
          <w:sz w:val="22"/>
          <w:szCs w:val="22"/>
          <w:lang w:val="fr-CA"/>
        </w:rPr>
        <w:t xml:space="preserve"> 4/19, ap</w:t>
      </w:r>
      <w:r w:rsidR="00D04692">
        <w:rPr>
          <w:sz w:val="22"/>
          <w:szCs w:val="22"/>
          <w:lang w:val="fr-CA"/>
        </w:rPr>
        <w:t>prouvée le 7 décembre</w:t>
      </w:r>
      <w:r w:rsidR="00DD38CB" w:rsidRPr="00221F6E">
        <w:rPr>
          <w:sz w:val="22"/>
          <w:szCs w:val="22"/>
          <w:lang w:val="fr-CA"/>
        </w:rPr>
        <w:t xml:space="preserve"> 2019,</w:t>
      </w:r>
      <w:r w:rsidR="00D04692">
        <w:rPr>
          <w:sz w:val="22"/>
          <w:szCs w:val="22"/>
          <w:lang w:val="fr-CA"/>
        </w:rPr>
        <w:t xml:space="preserve"> les “Principes interaméricains</w:t>
      </w:r>
      <w:r w:rsidR="00424F96">
        <w:rPr>
          <w:sz w:val="22"/>
          <w:szCs w:val="22"/>
          <w:lang w:val="fr-CA"/>
        </w:rPr>
        <w:t xml:space="preserve"> sur les droits humains de toutes les personnes migrantes, réfugiées, apatrides et victimes de la traite des personnes</w:t>
      </w:r>
      <w:r w:rsidR="00DD38CB" w:rsidRPr="00221F6E">
        <w:rPr>
          <w:sz w:val="22"/>
          <w:szCs w:val="22"/>
          <w:lang w:val="fr-CA"/>
        </w:rPr>
        <w:t xml:space="preserve">”. </w:t>
      </w:r>
      <w:r w:rsidR="00424F96">
        <w:rPr>
          <w:sz w:val="22"/>
          <w:szCs w:val="22"/>
          <w:lang w:val="fr-CA"/>
        </w:rPr>
        <w:t xml:space="preserve">Cette résolution consolide et approfondit les directives et les grandes lignes relatives à la conception, à l’élaboration, à la mise en œuvre et à l’évaluation </w:t>
      </w:r>
      <w:r w:rsidR="00424F96">
        <w:rPr>
          <w:sz w:val="22"/>
          <w:szCs w:val="22"/>
          <w:lang w:val="fr-CA"/>
        </w:rPr>
        <w:lastRenderedPageBreak/>
        <w:t>de politiques publiques visant la protection et la promotion des droits de ces personnes</w:t>
      </w:r>
      <w:r w:rsidR="00DD38CB" w:rsidRPr="00221F6E">
        <w:rPr>
          <w:sz w:val="22"/>
          <w:szCs w:val="22"/>
          <w:lang w:val="fr-CA"/>
        </w:rPr>
        <w:t>.</w:t>
      </w:r>
    </w:p>
    <w:p w:rsidR="00873C15" w:rsidRPr="00221F6E" w:rsidRDefault="00873C15" w:rsidP="005A2DA8">
      <w:pPr>
        <w:ind w:left="720" w:hanging="720"/>
        <w:jc w:val="both"/>
        <w:rPr>
          <w:sz w:val="22"/>
          <w:szCs w:val="22"/>
          <w:lang w:val="fr-CA"/>
        </w:rPr>
      </w:pPr>
    </w:p>
    <w:p w:rsidR="00DD38CB" w:rsidRPr="00221F6E" w:rsidRDefault="00DD38CB" w:rsidP="005A2DA8">
      <w:pPr>
        <w:numPr>
          <w:ilvl w:val="0"/>
          <w:numId w:val="32"/>
        </w:numPr>
        <w:ind w:hanging="720"/>
        <w:jc w:val="both"/>
        <w:rPr>
          <w:sz w:val="22"/>
          <w:szCs w:val="22"/>
          <w:lang w:val="fr-CA"/>
        </w:rPr>
      </w:pPr>
      <w:r w:rsidRPr="00221F6E">
        <w:rPr>
          <w:sz w:val="22"/>
          <w:szCs w:val="22"/>
          <w:lang w:val="fr-CA"/>
        </w:rPr>
        <w:t>La Com</w:t>
      </w:r>
      <w:r w:rsidR="00424F96">
        <w:rPr>
          <w:sz w:val="22"/>
          <w:szCs w:val="22"/>
          <w:lang w:val="fr-CA"/>
        </w:rPr>
        <w:t>mission s’est prononcée dans divers communiqués de presse</w:t>
      </w:r>
      <w:r w:rsidRPr="00221F6E">
        <w:rPr>
          <w:sz w:val="22"/>
          <w:szCs w:val="22"/>
          <w:lang w:val="fr-CA"/>
        </w:rPr>
        <w:t>. La CIDH</w:t>
      </w:r>
      <w:r w:rsidR="00424F96">
        <w:rPr>
          <w:sz w:val="22"/>
          <w:szCs w:val="22"/>
          <w:lang w:val="fr-CA"/>
        </w:rPr>
        <w:t xml:space="preserve"> a condamné des faits se référant à des situations de violence, </w:t>
      </w:r>
      <w:r w:rsidR="00343952">
        <w:rPr>
          <w:sz w:val="22"/>
          <w:szCs w:val="22"/>
          <w:lang w:val="fr-CA"/>
        </w:rPr>
        <w:t xml:space="preserve">de disparition et de mort, de même que l’adoption de politiques restreignant la mobilité des personnes migrantes. Par ailleurs, elle souligne les communiqués qui saluent les mesures prises pour garantir le droit à la nationalité et prévenir l’apatridie dans la région. La CIDH a également lancé un appel aux États </w:t>
      </w:r>
      <w:r w:rsidR="00245347">
        <w:rPr>
          <w:sz w:val="22"/>
          <w:szCs w:val="22"/>
          <w:lang w:val="fr-CA"/>
        </w:rPr>
        <w:t xml:space="preserve">afin qu’ils garantissent les droits des personnes migrantes et à respecter leurs obligations internationales </w:t>
      </w:r>
      <w:r w:rsidR="0059208D">
        <w:rPr>
          <w:sz w:val="22"/>
          <w:szCs w:val="22"/>
          <w:lang w:val="fr-CA"/>
        </w:rPr>
        <w:t>en la matière et elle s’est dite préoccupée par la situation des personnes migrantes et réfugiées aux États-Unis, au Mexique et en Amérique centrale, de même que par la situation de la migration forcée de personnes vénézuéliennes et la situation des personnes qui composent la caravane de migrants et de réfugiés au</w:t>
      </w:r>
      <w:r w:rsidRPr="00221F6E">
        <w:rPr>
          <w:sz w:val="22"/>
          <w:szCs w:val="22"/>
          <w:lang w:val="fr-CA"/>
        </w:rPr>
        <w:t xml:space="preserve"> </w:t>
      </w:r>
      <w:r w:rsidR="0059208D">
        <w:rPr>
          <w:sz w:val="22"/>
          <w:szCs w:val="22"/>
          <w:lang w:val="fr-CA"/>
        </w:rPr>
        <w:t>Honduras et au</w:t>
      </w:r>
      <w:r w:rsidR="0005308D" w:rsidRPr="00221F6E">
        <w:rPr>
          <w:sz w:val="22"/>
          <w:szCs w:val="22"/>
          <w:lang w:val="fr-CA"/>
        </w:rPr>
        <w:t xml:space="preserve"> Guatemala.</w:t>
      </w:r>
    </w:p>
    <w:p w:rsidR="00873C15" w:rsidRPr="00221F6E" w:rsidRDefault="00873C15" w:rsidP="005A2DA8">
      <w:pPr>
        <w:ind w:left="720" w:hanging="720"/>
        <w:jc w:val="both"/>
        <w:rPr>
          <w:sz w:val="22"/>
          <w:szCs w:val="22"/>
          <w:lang w:val="fr-CA"/>
        </w:rPr>
      </w:pPr>
    </w:p>
    <w:p w:rsidR="00CD5672" w:rsidRDefault="00DD38CB" w:rsidP="005A2DA8">
      <w:pPr>
        <w:pStyle w:val="ListParagraph"/>
        <w:numPr>
          <w:ilvl w:val="0"/>
          <w:numId w:val="32"/>
        </w:numPr>
        <w:ind w:hanging="720"/>
        <w:jc w:val="both"/>
        <w:rPr>
          <w:sz w:val="22"/>
          <w:szCs w:val="22"/>
          <w:lang w:val="fr-CA"/>
        </w:rPr>
      </w:pPr>
      <w:r w:rsidRPr="00CF0B4E">
        <w:rPr>
          <w:sz w:val="22"/>
          <w:szCs w:val="22"/>
          <w:lang w:val="fr-CA"/>
        </w:rPr>
        <w:t>La CIDH</w:t>
      </w:r>
      <w:r w:rsidR="00CF0B4E" w:rsidRPr="00CF0B4E">
        <w:rPr>
          <w:sz w:val="22"/>
          <w:szCs w:val="22"/>
          <w:lang w:val="fr-CA"/>
        </w:rPr>
        <w:t xml:space="preserve"> a fait des visites de travail, au nombre desquelles on souligne les suivantes :</w:t>
      </w:r>
      <w:r w:rsidRPr="00CF0B4E">
        <w:rPr>
          <w:sz w:val="22"/>
          <w:szCs w:val="22"/>
          <w:lang w:val="fr-CA"/>
        </w:rPr>
        <w:t xml:space="preserve"> </w:t>
      </w:r>
    </w:p>
    <w:p w:rsidR="00CF0B4E" w:rsidRPr="00CF0B4E" w:rsidRDefault="00CF0B4E" w:rsidP="00CF0B4E">
      <w:pPr>
        <w:pStyle w:val="ListParagraph"/>
        <w:ind w:left="0"/>
        <w:jc w:val="both"/>
        <w:rPr>
          <w:sz w:val="22"/>
          <w:szCs w:val="22"/>
          <w:lang w:val="fr-CA"/>
        </w:rPr>
      </w:pPr>
    </w:p>
    <w:p w:rsidR="00873C15" w:rsidRPr="00221F6E" w:rsidRDefault="00CF0B4E" w:rsidP="005A2DA8">
      <w:pPr>
        <w:pStyle w:val="ListParagraph"/>
        <w:numPr>
          <w:ilvl w:val="0"/>
          <w:numId w:val="41"/>
        </w:numPr>
        <w:ind w:hanging="720"/>
        <w:jc w:val="both"/>
        <w:rPr>
          <w:sz w:val="22"/>
          <w:szCs w:val="22"/>
          <w:lang w:val="fr-CA"/>
        </w:rPr>
      </w:pPr>
      <w:r>
        <w:rPr>
          <w:sz w:val="22"/>
          <w:szCs w:val="22"/>
          <w:lang w:val="fr-CA"/>
        </w:rPr>
        <w:t>Costa Rica, du 19 au 24 mai</w:t>
      </w:r>
      <w:r w:rsidR="00DD38CB" w:rsidRPr="00221F6E">
        <w:rPr>
          <w:sz w:val="22"/>
          <w:szCs w:val="22"/>
          <w:lang w:val="fr-CA"/>
        </w:rPr>
        <w:t xml:space="preserve"> 2019. </w:t>
      </w:r>
      <w:r>
        <w:rPr>
          <w:sz w:val="22"/>
          <w:szCs w:val="22"/>
          <w:lang w:val="fr-CA"/>
        </w:rPr>
        <w:t xml:space="preserve">Surveiller la situation des personnes nicaraguayennes qui ont été forcées à fuir vers divers autres pays et en assurer le suivi. </w:t>
      </w:r>
    </w:p>
    <w:p w:rsidR="00873C15" w:rsidRPr="00221F6E" w:rsidRDefault="00CF0B4E" w:rsidP="005A2DA8">
      <w:pPr>
        <w:pStyle w:val="ListParagraph"/>
        <w:numPr>
          <w:ilvl w:val="0"/>
          <w:numId w:val="41"/>
        </w:numPr>
        <w:ind w:hanging="720"/>
        <w:jc w:val="both"/>
        <w:rPr>
          <w:sz w:val="22"/>
          <w:szCs w:val="22"/>
          <w:lang w:val="fr-CA"/>
        </w:rPr>
      </w:pPr>
      <w:r>
        <w:rPr>
          <w:sz w:val="22"/>
          <w:szCs w:val="22"/>
          <w:lang w:val="fr-CA"/>
        </w:rPr>
        <w:t>Honduras, du 22 au</w:t>
      </w:r>
      <w:r w:rsidR="00DD38CB" w:rsidRPr="00221F6E">
        <w:rPr>
          <w:sz w:val="22"/>
          <w:szCs w:val="22"/>
          <w:lang w:val="fr-CA"/>
        </w:rPr>
        <w:t xml:space="preserve"> 24 </w:t>
      </w:r>
      <w:r>
        <w:rPr>
          <w:sz w:val="22"/>
          <w:szCs w:val="22"/>
          <w:lang w:val="fr-CA"/>
        </w:rPr>
        <w:t>mai</w:t>
      </w:r>
      <w:r w:rsidR="00DD38CB" w:rsidRPr="00221F6E">
        <w:rPr>
          <w:sz w:val="22"/>
          <w:szCs w:val="22"/>
          <w:lang w:val="fr-CA"/>
        </w:rPr>
        <w:t xml:space="preserve"> 2019.</w:t>
      </w:r>
      <w:r>
        <w:rPr>
          <w:sz w:val="22"/>
          <w:szCs w:val="22"/>
          <w:lang w:val="fr-CA"/>
        </w:rPr>
        <w:t xml:space="preserve"> Assurer le suivi de l’application des recommandations formulées par</w:t>
      </w:r>
      <w:r w:rsidR="00DD38CB" w:rsidRPr="00221F6E">
        <w:rPr>
          <w:sz w:val="22"/>
          <w:szCs w:val="22"/>
          <w:lang w:val="fr-CA"/>
        </w:rPr>
        <w:t xml:space="preserve"> la CIDH</w:t>
      </w:r>
      <w:r>
        <w:rPr>
          <w:sz w:val="22"/>
          <w:szCs w:val="22"/>
          <w:lang w:val="fr-CA"/>
        </w:rPr>
        <w:t xml:space="preserve"> dans les Observations préliminaires de la visite faite</w:t>
      </w:r>
      <w:r w:rsidR="00DD38CB" w:rsidRPr="00221F6E">
        <w:rPr>
          <w:sz w:val="22"/>
          <w:szCs w:val="22"/>
          <w:lang w:val="fr-CA"/>
        </w:rPr>
        <w:t xml:space="preserve"> en 2018.</w:t>
      </w:r>
    </w:p>
    <w:p w:rsidR="009F63F5" w:rsidRDefault="00CF0B4E" w:rsidP="005A2DA8">
      <w:pPr>
        <w:pStyle w:val="ListParagraph"/>
        <w:numPr>
          <w:ilvl w:val="0"/>
          <w:numId w:val="41"/>
        </w:numPr>
        <w:ind w:hanging="720"/>
        <w:jc w:val="both"/>
        <w:rPr>
          <w:sz w:val="22"/>
          <w:szCs w:val="22"/>
          <w:lang w:val="fr-CA"/>
        </w:rPr>
      </w:pPr>
      <w:r w:rsidRPr="009F63F5">
        <w:rPr>
          <w:sz w:val="22"/>
          <w:szCs w:val="22"/>
          <w:lang w:val="fr-CA"/>
        </w:rPr>
        <w:t>États-Unis, du 19 au 23 août</w:t>
      </w:r>
      <w:r w:rsidR="00DD38CB" w:rsidRPr="009F63F5">
        <w:rPr>
          <w:sz w:val="22"/>
          <w:szCs w:val="22"/>
          <w:lang w:val="fr-CA"/>
        </w:rPr>
        <w:t xml:space="preserve"> 2019.</w:t>
      </w:r>
      <w:r w:rsidRPr="009F63F5">
        <w:rPr>
          <w:sz w:val="22"/>
          <w:szCs w:val="22"/>
          <w:lang w:val="fr-CA"/>
        </w:rPr>
        <w:t xml:space="preserve"> Surveiller les conditions de réception à la f</w:t>
      </w:r>
      <w:r w:rsidR="003A2009" w:rsidRPr="009F63F5">
        <w:rPr>
          <w:sz w:val="22"/>
          <w:szCs w:val="22"/>
          <w:lang w:val="fr-CA"/>
        </w:rPr>
        <w:t>rontière,</w:t>
      </w:r>
      <w:r w:rsidR="00CD2E8D" w:rsidRPr="009F63F5">
        <w:rPr>
          <w:sz w:val="22"/>
          <w:szCs w:val="22"/>
          <w:lang w:val="fr-CA"/>
        </w:rPr>
        <w:t xml:space="preserve"> l’accès à</w:t>
      </w:r>
      <w:r w:rsidR="003A2009" w:rsidRPr="009F63F5">
        <w:rPr>
          <w:sz w:val="22"/>
          <w:szCs w:val="22"/>
          <w:lang w:val="fr-CA"/>
        </w:rPr>
        <w:t xml:space="preserve"> </w:t>
      </w:r>
      <w:r w:rsidR="00CD2E8D" w:rsidRPr="009F63F5">
        <w:rPr>
          <w:sz w:val="22"/>
          <w:szCs w:val="22"/>
          <w:lang w:val="fr-CA"/>
        </w:rPr>
        <w:t xml:space="preserve">l’asile et aux procédures de protection internationale, les conditions de détention des migrants et les pratiques associées à celle-ci, les procédures relatives à la migration et à l’asile de même </w:t>
      </w:r>
      <w:r w:rsidR="00CD2E8D" w:rsidRPr="009F63F5">
        <w:rPr>
          <w:sz w:val="22"/>
          <w:szCs w:val="22"/>
          <w:lang w:val="fr-CA"/>
        </w:rPr>
        <w:lastRenderedPageBreak/>
        <w:t>que l</w:t>
      </w:r>
      <w:r w:rsidR="009F63F5" w:rsidRPr="009F63F5">
        <w:rPr>
          <w:sz w:val="22"/>
          <w:szCs w:val="22"/>
          <w:lang w:val="fr-CA"/>
        </w:rPr>
        <w:t>es garanties d’un</w:t>
      </w:r>
      <w:r w:rsidR="00CD2E8D" w:rsidRPr="009F63F5">
        <w:rPr>
          <w:sz w:val="22"/>
          <w:szCs w:val="22"/>
          <w:lang w:val="fr-CA"/>
        </w:rPr>
        <w:t xml:space="preserve"> procès</w:t>
      </w:r>
      <w:r w:rsidR="009F63F5" w:rsidRPr="009F63F5">
        <w:rPr>
          <w:sz w:val="22"/>
          <w:szCs w:val="22"/>
          <w:lang w:val="fr-CA"/>
        </w:rPr>
        <w:t xml:space="preserve"> équitable</w:t>
      </w:r>
      <w:r w:rsidR="00CD2E8D" w:rsidRPr="009F63F5">
        <w:rPr>
          <w:sz w:val="22"/>
          <w:szCs w:val="22"/>
          <w:lang w:val="fr-CA"/>
        </w:rPr>
        <w:t xml:space="preserve"> et la protection judiciaire, en portant une attention particulière aux principes de l’unité des familles </w:t>
      </w:r>
      <w:r w:rsidR="009F63F5" w:rsidRPr="009F63F5">
        <w:rPr>
          <w:sz w:val="22"/>
          <w:szCs w:val="22"/>
          <w:lang w:val="fr-CA"/>
        </w:rPr>
        <w:t>et de l’intérêt supérieur des enfants.</w:t>
      </w:r>
      <w:r w:rsidR="00DD38CB" w:rsidRPr="009F63F5">
        <w:rPr>
          <w:sz w:val="22"/>
          <w:szCs w:val="22"/>
          <w:lang w:val="fr-CA"/>
        </w:rPr>
        <w:t xml:space="preserve"> </w:t>
      </w:r>
    </w:p>
    <w:p w:rsidR="00DD38CB" w:rsidRPr="009F63F5" w:rsidRDefault="009F63F5" w:rsidP="005A2DA8">
      <w:pPr>
        <w:pStyle w:val="ListParagraph"/>
        <w:numPr>
          <w:ilvl w:val="0"/>
          <w:numId w:val="41"/>
        </w:numPr>
        <w:ind w:hanging="720"/>
        <w:jc w:val="both"/>
        <w:rPr>
          <w:sz w:val="22"/>
          <w:szCs w:val="22"/>
          <w:lang w:val="fr-CA"/>
        </w:rPr>
      </w:pPr>
      <w:r>
        <w:rPr>
          <w:sz w:val="22"/>
          <w:szCs w:val="22"/>
          <w:lang w:val="fr-CA"/>
        </w:rPr>
        <w:t>Panamá, du 16 au</w:t>
      </w:r>
      <w:r w:rsidR="00DD38CB" w:rsidRPr="009F63F5">
        <w:rPr>
          <w:sz w:val="22"/>
          <w:szCs w:val="22"/>
          <w:lang w:val="fr-CA"/>
        </w:rPr>
        <w:t xml:space="preserve"> 17 </w:t>
      </w:r>
      <w:r>
        <w:rPr>
          <w:sz w:val="22"/>
          <w:szCs w:val="22"/>
          <w:lang w:val="fr-CA"/>
        </w:rPr>
        <w:t>septembre</w:t>
      </w:r>
      <w:r w:rsidR="00DD38CB" w:rsidRPr="009F63F5">
        <w:rPr>
          <w:sz w:val="22"/>
          <w:szCs w:val="22"/>
          <w:lang w:val="fr-CA"/>
        </w:rPr>
        <w:t xml:space="preserve"> 2019.</w:t>
      </w:r>
      <w:r>
        <w:rPr>
          <w:sz w:val="22"/>
          <w:szCs w:val="22"/>
          <w:lang w:val="fr-CA"/>
        </w:rPr>
        <w:t xml:space="preserve"> Surveiller la situation de migrants et de réfugiés nicaraguayens au Panama</w:t>
      </w:r>
      <w:r w:rsidR="00DD38CB" w:rsidRPr="009F63F5">
        <w:rPr>
          <w:sz w:val="22"/>
          <w:szCs w:val="22"/>
          <w:lang w:val="fr-CA"/>
        </w:rPr>
        <w:t>.</w:t>
      </w:r>
    </w:p>
    <w:p w:rsidR="00873C15" w:rsidRPr="005A2DA8" w:rsidRDefault="00873C15" w:rsidP="005A2DA8">
      <w:pPr>
        <w:jc w:val="both"/>
        <w:rPr>
          <w:sz w:val="22"/>
          <w:szCs w:val="22"/>
          <w:lang w:val="fr-CA"/>
        </w:rPr>
      </w:pPr>
    </w:p>
    <w:p w:rsidR="00DD38CB" w:rsidRPr="00221F6E" w:rsidRDefault="009F63F5" w:rsidP="005A2DA8">
      <w:pPr>
        <w:numPr>
          <w:ilvl w:val="0"/>
          <w:numId w:val="32"/>
        </w:numPr>
        <w:ind w:hanging="720"/>
        <w:jc w:val="both"/>
        <w:rPr>
          <w:sz w:val="22"/>
          <w:szCs w:val="22"/>
          <w:lang w:val="fr-CA"/>
        </w:rPr>
      </w:pPr>
      <w:r>
        <w:rPr>
          <w:sz w:val="22"/>
          <w:szCs w:val="22"/>
          <w:lang w:val="fr-CA"/>
        </w:rPr>
        <w:t>En outre,</w:t>
      </w:r>
      <w:r w:rsidR="00DD38CB" w:rsidRPr="00221F6E">
        <w:rPr>
          <w:sz w:val="22"/>
          <w:szCs w:val="22"/>
          <w:lang w:val="fr-CA"/>
        </w:rPr>
        <w:t xml:space="preserve"> la CIDH</w:t>
      </w:r>
      <w:r>
        <w:rPr>
          <w:sz w:val="22"/>
          <w:szCs w:val="22"/>
          <w:lang w:val="fr-CA"/>
        </w:rPr>
        <w:t xml:space="preserve"> a fait une visite en Bolivie du 22 au 25 décembre, dans le but de se renseigner sur des situations de discrimination ethnique et raciale, des arrestations et des détentions arbitraires, l’usage de la force dans le cadre des protestations</w:t>
      </w:r>
      <w:r w:rsidR="00FD2833">
        <w:rPr>
          <w:sz w:val="22"/>
          <w:szCs w:val="22"/>
          <w:lang w:val="fr-CA"/>
        </w:rPr>
        <w:t>, la sécurité citoyenne, la liberté d’expression et les droits des personnes migrantes</w:t>
      </w:r>
      <w:r w:rsidR="00DD38CB" w:rsidRPr="00221F6E">
        <w:rPr>
          <w:sz w:val="22"/>
          <w:szCs w:val="22"/>
          <w:lang w:val="fr-CA"/>
        </w:rPr>
        <w:t xml:space="preserve">. </w:t>
      </w:r>
    </w:p>
    <w:p w:rsidR="00873C15" w:rsidRPr="00221F6E" w:rsidRDefault="00873C15" w:rsidP="005A2DA8">
      <w:pPr>
        <w:ind w:left="720" w:hanging="720"/>
        <w:jc w:val="both"/>
        <w:rPr>
          <w:sz w:val="22"/>
          <w:szCs w:val="22"/>
          <w:lang w:val="fr-CA"/>
        </w:rPr>
      </w:pPr>
    </w:p>
    <w:p w:rsidR="00DD38CB" w:rsidRPr="00221F6E" w:rsidRDefault="00DD38CB" w:rsidP="005A2DA8">
      <w:pPr>
        <w:numPr>
          <w:ilvl w:val="0"/>
          <w:numId w:val="32"/>
        </w:numPr>
        <w:ind w:hanging="720"/>
        <w:jc w:val="both"/>
        <w:rPr>
          <w:sz w:val="22"/>
          <w:szCs w:val="22"/>
          <w:lang w:val="fr-CA"/>
        </w:rPr>
      </w:pPr>
      <w:r w:rsidRPr="00221F6E">
        <w:rPr>
          <w:sz w:val="22"/>
          <w:szCs w:val="22"/>
          <w:lang w:val="fr-CA"/>
        </w:rPr>
        <w:t>La CIDH,</w:t>
      </w:r>
      <w:r w:rsidR="00FD2833">
        <w:rPr>
          <w:sz w:val="22"/>
          <w:szCs w:val="22"/>
          <w:lang w:val="fr-CA"/>
        </w:rPr>
        <w:t xml:space="preserve"> dans l’exercice de ses fonctions de surveillance, a envoyé des demandes d’information à des États, concernant : les mesures migratoires en Argentine; la modification du processus de détermination du statut de réfugié au Canada; la mort de Nicaraguayens au Honduras, et des plaintes de violence sexuelle de la part de mineurs migrants détenus aux États-Unis.</w:t>
      </w:r>
      <w:r w:rsidRPr="00221F6E">
        <w:rPr>
          <w:sz w:val="22"/>
          <w:szCs w:val="22"/>
          <w:lang w:val="fr-CA"/>
        </w:rPr>
        <w:t xml:space="preserve"> </w:t>
      </w:r>
    </w:p>
    <w:p w:rsidR="00873C15" w:rsidRPr="00221F6E" w:rsidRDefault="00873C15" w:rsidP="005A2DA8">
      <w:pPr>
        <w:ind w:left="720" w:hanging="720"/>
        <w:jc w:val="both"/>
        <w:rPr>
          <w:sz w:val="22"/>
          <w:szCs w:val="22"/>
          <w:lang w:val="fr-CA"/>
        </w:rPr>
      </w:pPr>
    </w:p>
    <w:p w:rsidR="008F710F" w:rsidRPr="00221F6E" w:rsidRDefault="008F710F" w:rsidP="005A2DA8">
      <w:pPr>
        <w:numPr>
          <w:ilvl w:val="0"/>
          <w:numId w:val="32"/>
        </w:numPr>
        <w:ind w:hanging="720"/>
        <w:jc w:val="both"/>
        <w:rPr>
          <w:sz w:val="22"/>
          <w:szCs w:val="22"/>
          <w:lang w:val="fr-CA"/>
        </w:rPr>
      </w:pPr>
      <w:r w:rsidRPr="00221F6E">
        <w:rPr>
          <w:sz w:val="22"/>
          <w:szCs w:val="22"/>
          <w:lang w:val="fr-CA"/>
        </w:rPr>
        <w:t>La CIDH</w:t>
      </w:r>
      <w:r w:rsidR="00810613">
        <w:rPr>
          <w:sz w:val="22"/>
          <w:szCs w:val="22"/>
          <w:lang w:val="fr-CA"/>
        </w:rPr>
        <w:t xml:space="preserve"> a présenté</w:t>
      </w:r>
      <w:r w:rsidR="0005308D" w:rsidRPr="00221F6E">
        <w:rPr>
          <w:sz w:val="22"/>
          <w:szCs w:val="22"/>
          <w:lang w:val="fr-CA"/>
        </w:rPr>
        <w:t>,</w:t>
      </w:r>
      <w:r w:rsidR="00810613">
        <w:rPr>
          <w:sz w:val="22"/>
          <w:szCs w:val="22"/>
          <w:lang w:val="fr-CA"/>
        </w:rPr>
        <w:t xml:space="preserve"> par le truchement de son Bureau du Rapporteur sur les droits des migrants, un rapport sur la migration forcée de personnes nicaraguayennes au</w:t>
      </w:r>
      <w:r w:rsidRPr="00221F6E">
        <w:rPr>
          <w:sz w:val="22"/>
          <w:szCs w:val="22"/>
          <w:lang w:val="fr-CA"/>
        </w:rPr>
        <w:t xml:space="preserve"> Costa Rica.</w:t>
      </w:r>
    </w:p>
    <w:p w:rsidR="00873C15" w:rsidRPr="00221F6E" w:rsidRDefault="00873C15" w:rsidP="005A2DA8">
      <w:pPr>
        <w:ind w:left="720" w:hanging="720"/>
        <w:jc w:val="both"/>
        <w:rPr>
          <w:sz w:val="22"/>
          <w:szCs w:val="22"/>
          <w:lang w:val="fr-CA"/>
        </w:rPr>
      </w:pPr>
    </w:p>
    <w:p w:rsidR="008F710F" w:rsidRPr="00221F6E" w:rsidRDefault="0005308D" w:rsidP="005A2DA8">
      <w:pPr>
        <w:pStyle w:val="ListParagraph"/>
        <w:numPr>
          <w:ilvl w:val="0"/>
          <w:numId w:val="32"/>
        </w:numPr>
        <w:ind w:hanging="720"/>
        <w:jc w:val="both"/>
        <w:rPr>
          <w:sz w:val="22"/>
          <w:szCs w:val="22"/>
          <w:lang w:val="fr-CA"/>
        </w:rPr>
      </w:pPr>
      <w:r w:rsidRPr="00221F6E">
        <w:rPr>
          <w:sz w:val="22"/>
          <w:szCs w:val="22"/>
          <w:lang w:val="fr-CA"/>
        </w:rPr>
        <w:t>La CIDH</w:t>
      </w:r>
      <w:r w:rsidR="00810613">
        <w:rPr>
          <w:sz w:val="22"/>
          <w:szCs w:val="22"/>
          <w:lang w:val="fr-CA"/>
        </w:rPr>
        <w:t xml:space="preserve"> a participé à des activités de promotion et de formation, dont les suivantes :</w:t>
      </w:r>
      <w:r w:rsidRPr="00221F6E">
        <w:rPr>
          <w:sz w:val="22"/>
          <w:szCs w:val="22"/>
          <w:lang w:val="fr-CA"/>
        </w:rPr>
        <w:t xml:space="preserve"> </w:t>
      </w:r>
    </w:p>
    <w:p w:rsidR="00873C15" w:rsidRPr="00221F6E" w:rsidRDefault="00873C15" w:rsidP="00CD5672">
      <w:pPr>
        <w:pStyle w:val="ListParagraph"/>
        <w:ind w:left="1080" w:hanging="360"/>
        <w:jc w:val="both"/>
        <w:rPr>
          <w:sz w:val="22"/>
          <w:szCs w:val="22"/>
          <w:lang w:val="fr-CA"/>
        </w:rPr>
      </w:pPr>
    </w:p>
    <w:p w:rsidR="008F710F"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t>Conf</w:t>
      </w:r>
      <w:r w:rsidR="00A063D2">
        <w:rPr>
          <w:sz w:val="22"/>
          <w:szCs w:val="22"/>
          <w:lang w:val="fr-CA"/>
        </w:rPr>
        <w:t>érence au</w:t>
      </w:r>
      <w:r w:rsidRPr="00221F6E">
        <w:rPr>
          <w:sz w:val="22"/>
          <w:szCs w:val="22"/>
          <w:lang w:val="fr-CA"/>
        </w:rPr>
        <w:t xml:space="preserve"> “Migrati</w:t>
      </w:r>
      <w:r w:rsidR="00EA6CDE" w:rsidRPr="00221F6E">
        <w:rPr>
          <w:sz w:val="22"/>
          <w:szCs w:val="22"/>
          <w:lang w:val="fr-CA"/>
        </w:rPr>
        <w:t xml:space="preserve">on Policy Institute”, </w:t>
      </w:r>
      <w:r w:rsidR="00A063D2">
        <w:rPr>
          <w:sz w:val="22"/>
          <w:szCs w:val="22"/>
          <w:lang w:val="fr-CA"/>
        </w:rPr>
        <w:t>à</w:t>
      </w:r>
      <w:r w:rsidRPr="00221F6E">
        <w:rPr>
          <w:sz w:val="22"/>
          <w:szCs w:val="22"/>
          <w:lang w:val="fr-CA"/>
        </w:rPr>
        <w:t xml:space="preserve"> Washington D.C</w:t>
      </w:r>
      <w:r w:rsidR="00A063D2">
        <w:rPr>
          <w:sz w:val="22"/>
          <w:szCs w:val="22"/>
          <w:lang w:val="fr-CA"/>
        </w:rPr>
        <w:t>.</w:t>
      </w:r>
      <w:r w:rsidR="00EA6CDE" w:rsidRPr="00221F6E">
        <w:rPr>
          <w:sz w:val="22"/>
          <w:szCs w:val="22"/>
          <w:lang w:val="fr-CA"/>
        </w:rPr>
        <w:t>;</w:t>
      </w:r>
      <w:r w:rsidRPr="00221F6E">
        <w:rPr>
          <w:sz w:val="22"/>
          <w:szCs w:val="22"/>
          <w:lang w:val="fr-CA"/>
        </w:rPr>
        <w:t xml:space="preserve"> </w:t>
      </w:r>
    </w:p>
    <w:p w:rsidR="008F710F" w:rsidRPr="00221F6E" w:rsidRDefault="00A063D2" w:rsidP="005A2DA8">
      <w:pPr>
        <w:pStyle w:val="ListParagraph"/>
        <w:numPr>
          <w:ilvl w:val="0"/>
          <w:numId w:val="42"/>
        </w:numPr>
        <w:ind w:hanging="720"/>
        <w:jc w:val="both"/>
        <w:rPr>
          <w:sz w:val="22"/>
          <w:szCs w:val="22"/>
          <w:lang w:val="fr-CA"/>
        </w:rPr>
      </w:pPr>
      <w:r>
        <w:rPr>
          <w:sz w:val="22"/>
          <w:szCs w:val="22"/>
          <w:lang w:val="fr-CA"/>
        </w:rPr>
        <w:t>Événement sur les</w:t>
      </w:r>
      <w:r w:rsidR="008F710F" w:rsidRPr="00221F6E">
        <w:rPr>
          <w:sz w:val="22"/>
          <w:szCs w:val="22"/>
          <w:lang w:val="fr-CA"/>
        </w:rPr>
        <w:t xml:space="preserve"> “d</w:t>
      </w:r>
      <w:r>
        <w:rPr>
          <w:sz w:val="22"/>
          <w:szCs w:val="22"/>
          <w:lang w:val="fr-CA"/>
        </w:rPr>
        <w:t>roits des migrant</w:t>
      </w:r>
      <w:r w:rsidR="008F710F" w:rsidRPr="00221F6E">
        <w:rPr>
          <w:sz w:val="22"/>
          <w:szCs w:val="22"/>
          <w:lang w:val="fr-CA"/>
        </w:rPr>
        <w:t>s”</w:t>
      </w:r>
      <w:r w:rsidR="00EA6CDE" w:rsidRPr="00221F6E">
        <w:rPr>
          <w:sz w:val="22"/>
          <w:szCs w:val="22"/>
          <w:lang w:val="fr-CA"/>
        </w:rPr>
        <w:t>,</w:t>
      </w:r>
      <w:r w:rsidR="008F710F" w:rsidRPr="00221F6E">
        <w:rPr>
          <w:sz w:val="22"/>
          <w:szCs w:val="22"/>
          <w:lang w:val="fr-CA"/>
        </w:rPr>
        <w:t xml:space="preserve"> en Colombi</w:t>
      </w:r>
      <w:r>
        <w:rPr>
          <w:sz w:val="22"/>
          <w:szCs w:val="22"/>
          <w:lang w:val="fr-CA"/>
        </w:rPr>
        <w:t>e</w:t>
      </w:r>
      <w:r w:rsidR="008F710F" w:rsidRPr="00221F6E">
        <w:rPr>
          <w:sz w:val="22"/>
          <w:szCs w:val="22"/>
          <w:lang w:val="fr-CA"/>
        </w:rPr>
        <w:t>;</w:t>
      </w:r>
    </w:p>
    <w:p w:rsidR="008F710F" w:rsidRPr="00221F6E" w:rsidRDefault="00A063D2" w:rsidP="005A2DA8">
      <w:pPr>
        <w:pStyle w:val="ListParagraph"/>
        <w:numPr>
          <w:ilvl w:val="0"/>
          <w:numId w:val="42"/>
        </w:numPr>
        <w:ind w:hanging="720"/>
        <w:jc w:val="both"/>
        <w:rPr>
          <w:sz w:val="22"/>
          <w:szCs w:val="22"/>
          <w:lang w:val="fr-CA"/>
        </w:rPr>
      </w:pPr>
      <w:r>
        <w:rPr>
          <w:sz w:val="22"/>
          <w:szCs w:val="22"/>
          <w:lang w:val="fr-CA"/>
        </w:rPr>
        <w:t>Événement sur “Les mécanismes</w:t>
      </w:r>
      <w:r w:rsidR="008F710F" w:rsidRPr="00221F6E">
        <w:rPr>
          <w:sz w:val="22"/>
          <w:szCs w:val="22"/>
          <w:lang w:val="fr-CA"/>
        </w:rPr>
        <w:t xml:space="preserve"> de la CIDH</w:t>
      </w:r>
      <w:r>
        <w:rPr>
          <w:sz w:val="22"/>
          <w:szCs w:val="22"/>
          <w:lang w:val="fr-CA"/>
        </w:rPr>
        <w:t xml:space="preserve"> et formations en matière de mobilité humaine”, à</w:t>
      </w:r>
      <w:r w:rsidR="008F710F" w:rsidRPr="00221F6E">
        <w:rPr>
          <w:sz w:val="22"/>
          <w:szCs w:val="22"/>
          <w:lang w:val="fr-CA"/>
        </w:rPr>
        <w:t xml:space="preserve"> Washington D.C.;</w:t>
      </w:r>
    </w:p>
    <w:p w:rsidR="008F710F"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lastRenderedPageBreak/>
        <w:t>La “Simula</w:t>
      </w:r>
      <w:r w:rsidR="00A063D2">
        <w:rPr>
          <w:sz w:val="22"/>
          <w:szCs w:val="22"/>
          <w:lang w:val="fr-CA"/>
        </w:rPr>
        <w:t>tion de tribunaux à l’Université</w:t>
      </w:r>
      <w:r w:rsidRPr="00221F6E">
        <w:rPr>
          <w:sz w:val="22"/>
          <w:szCs w:val="22"/>
          <w:lang w:val="fr-CA"/>
        </w:rPr>
        <w:t xml:space="preserve"> de</w:t>
      </w:r>
      <w:r w:rsidR="00A063D2">
        <w:rPr>
          <w:sz w:val="22"/>
          <w:szCs w:val="22"/>
          <w:lang w:val="fr-CA"/>
        </w:rPr>
        <w:t xml:space="preserve"> Baltimore”, à</w:t>
      </w:r>
      <w:r w:rsidRPr="00221F6E">
        <w:rPr>
          <w:sz w:val="22"/>
          <w:szCs w:val="22"/>
          <w:lang w:val="fr-CA"/>
        </w:rPr>
        <w:t xml:space="preserve"> Baltimore, </w:t>
      </w:r>
      <w:r w:rsidR="00A063D2">
        <w:rPr>
          <w:sz w:val="22"/>
          <w:szCs w:val="22"/>
          <w:lang w:val="fr-CA"/>
        </w:rPr>
        <w:t>États-Unis</w:t>
      </w:r>
      <w:r w:rsidRPr="00221F6E">
        <w:rPr>
          <w:sz w:val="22"/>
          <w:szCs w:val="22"/>
          <w:lang w:val="fr-CA"/>
        </w:rPr>
        <w:t>;</w:t>
      </w:r>
    </w:p>
    <w:p w:rsidR="008F710F" w:rsidRPr="00221F6E" w:rsidRDefault="00A063D2" w:rsidP="005A2DA8">
      <w:pPr>
        <w:pStyle w:val="ListParagraph"/>
        <w:numPr>
          <w:ilvl w:val="0"/>
          <w:numId w:val="42"/>
        </w:numPr>
        <w:ind w:hanging="720"/>
        <w:jc w:val="both"/>
        <w:rPr>
          <w:sz w:val="22"/>
          <w:szCs w:val="22"/>
          <w:lang w:val="fr-CA"/>
        </w:rPr>
      </w:pPr>
      <w:r>
        <w:rPr>
          <w:sz w:val="22"/>
          <w:szCs w:val="22"/>
          <w:lang w:val="fr-CA"/>
        </w:rPr>
        <w:t>Événement sur</w:t>
      </w:r>
      <w:r w:rsidR="008F710F" w:rsidRPr="00221F6E">
        <w:rPr>
          <w:sz w:val="22"/>
          <w:szCs w:val="22"/>
          <w:lang w:val="fr-CA"/>
        </w:rPr>
        <w:t xml:space="preserve"> </w:t>
      </w:r>
      <w:r w:rsidR="00EA6CDE" w:rsidRPr="00221F6E">
        <w:rPr>
          <w:sz w:val="22"/>
          <w:szCs w:val="22"/>
          <w:lang w:val="fr-CA"/>
        </w:rPr>
        <w:t>“</w:t>
      </w:r>
      <w:r>
        <w:rPr>
          <w:sz w:val="22"/>
          <w:szCs w:val="22"/>
          <w:lang w:val="fr-CA"/>
        </w:rPr>
        <w:t>L’apatridie</w:t>
      </w:r>
      <w:r w:rsidR="00EA6CDE" w:rsidRPr="00221F6E">
        <w:rPr>
          <w:sz w:val="22"/>
          <w:szCs w:val="22"/>
          <w:lang w:val="fr-CA"/>
        </w:rPr>
        <w:t>”</w:t>
      </w:r>
      <w:r>
        <w:rPr>
          <w:sz w:val="22"/>
          <w:szCs w:val="22"/>
          <w:lang w:val="fr-CA"/>
        </w:rPr>
        <w:t xml:space="preserve"> à</w:t>
      </w:r>
      <w:r w:rsidR="008F710F" w:rsidRPr="00221F6E">
        <w:rPr>
          <w:sz w:val="22"/>
          <w:szCs w:val="22"/>
          <w:lang w:val="fr-CA"/>
        </w:rPr>
        <w:t xml:space="preserve"> la Facult</w:t>
      </w:r>
      <w:r>
        <w:rPr>
          <w:sz w:val="22"/>
          <w:szCs w:val="22"/>
          <w:lang w:val="fr-CA"/>
        </w:rPr>
        <w:t>é de droit de l’Université Howard, à</w:t>
      </w:r>
      <w:r w:rsidR="008F710F" w:rsidRPr="00221F6E">
        <w:rPr>
          <w:sz w:val="22"/>
          <w:szCs w:val="22"/>
          <w:lang w:val="fr-CA"/>
        </w:rPr>
        <w:t xml:space="preserve"> Washington, D.C.;</w:t>
      </w:r>
    </w:p>
    <w:p w:rsidR="008F710F" w:rsidRPr="00221F6E" w:rsidRDefault="00A063D2" w:rsidP="005A2DA8">
      <w:pPr>
        <w:pStyle w:val="ListParagraph"/>
        <w:numPr>
          <w:ilvl w:val="0"/>
          <w:numId w:val="42"/>
        </w:numPr>
        <w:ind w:hanging="720"/>
        <w:jc w:val="both"/>
        <w:rPr>
          <w:sz w:val="22"/>
          <w:szCs w:val="22"/>
          <w:lang w:val="fr-CA"/>
        </w:rPr>
      </w:pPr>
      <w:r>
        <w:rPr>
          <w:sz w:val="22"/>
          <w:szCs w:val="22"/>
          <w:lang w:val="fr-CA"/>
        </w:rPr>
        <w:t>“Atelier de formation sur les normes internationales en matière de migration et d’asile</w:t>
      </w:r>
      <w:r w:rsidR="008F710F" w:rsidRPr="00221F6E">
        <w:rPr>
          <w:sz w:val="22"/>
          <w:szCs w:val="22"/>
          <w:lang w:val="fr-CA"/>
        </w:rPr>
        <w:t>”</w:t>
      </w:r>
      <w:r>
        <w:rPr>
          <w:sz w:val="22"/>
          <w:szCs w:val="22"/>
          <w:lang w:val="fr-CA"/>
        </w:rPr>
        <w:t>, à</w:t>
      </w:r>
      <w:r w:rsidR="00EA6CDE" w:rsidRPr="00221F6E">
        <w:rPr>
          <w:sz w:val="22"/>
          <w:szCs w:val="22"/>
          <w:lang w:val="fr-CA"/>
        </w:rPr>
        <w:t xml:space="preserve"> Washington D.C.;</w:t>
      </w:r>
    </w:p>
    <w:p w:rsidR="00873C15"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t>Activi</w:t>
      </w:r>
      <w:r w:rsidR="00A063D2">
        <w:rPr>
          <w:sz w:val="22"/>
          <w:szCs w:val="22"/>
          <w:lang w:val="fr-CA"/>
        </w:rPr>
        <w:t>té sur les</w:t>
      </w:r>
      <w:r w:rsidRPr="00221F6E">
        <w:rPr>
          <w:sz w:val="22"/>
          <w:szCs w:val="22"/>
          <w:lang w:val="fr-CA"/>
        </w:rPr>
        <w:t xml:space="preserve"> “D</w:t>
      </w:r>
      <w:r w:rsidR="00A063D2">
        <w:rPr>
          <w:sz w:val="22"/>
          <w:szCs w:val="22"/>
          <w:lang w:val="fr-CA"/>
        </w:rPr>
        <w:t>roits des migrants”, à</w:t>
      </w:r>
      <w:r w:rsidRPr="00221F6E">
        <w:rPr>
          <w:sz w:val="22"/>
          <w:szCs w:val="22"/>
          <w:lang w:val="fr-CA"/>
        </w:rPr>
        <w:t xml:space="preserve"> Tijuana, M</w:t>
      </w:r>
      <w:r w:rsidR="00A063D2">
        <w:rPr>
          <w:sz w:val="22"/>
          <w:szCs w:val="22"/>
          <w:lang w:val="fr-CA"/>
        </w:rPr>
        <w:t>exique</w:t>
      </w:r>
      <w:r w:rsidRPr="00221F6E">
        <w:rPr>
          <w:sz w:val="22"/>
          <w:szCs w:val="22"/>
          <w:lang w:val="fr-CA"/>
        </w:rPr>
        <w:t>;</w:t>
      </w:r>
    </w:p>
    <w:p w:rsidR="00873C15"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t>“</w:t>
      </w:r>
      <w:r w:rsidR="0015269C">
        <w:rPr>
          <w:sz w:val="22"/>
          <w:szCs w:val="22"/>
          <w:lang w:val="fr-CA"/>
        </w:rPr>
        <w:t>Atelier sur les normes interaméricaines relatives aux droits de la personne en matière de migration et de déplacement interne, à l’intention de fonctionnaires de l’État du pouvoir judiciaire” et</w:t>
      </w:r>
      <w:r w:rsidRPr="00221F6E">
        <w:rPr>
          <w:sz w:val="22"/>
          <w:szCs w:val="22"/>
          <w:lang w:val="fr-CA"/>
        </w:rPr>
        <w:t xml:space="preserve"> “C</w:t>
      </w:r>
      <w:r w:rsidR="0015269C">
        <w:rPr>
          <w:sz w:val="22"/>
          <w:szCs w:val="22"/>
          <w:lang w:val="fr-CA"/>
        </w:rPr>
        <w:t xml:space="preserve">ours à l’intention du personnel technique </w:t>
      </w:r>
      <w:r w:rsidR="00FF76B8">
        <w:rPr>
          <w:sz w:val="22"/>
          <w:szCs w:val="22"/>
          <w:lang w:val="fr-CA"/>
        </w:rPr>
        <w:t>du Commissariat national des droits de la personne du</w:t>
      </w:r>
      <w:r w:rsidR="0015269C">
        <w:rPr>
          <w:sz w:val="22"/>
          <w:szCs w:val="22"/>
          <w:lang w:val="fr-CA"/>
        </w:rPr>
        <w:t xml:space="preserve"> </w:t>
      </w:r>
      <w:r w:rsidRPr="00221F6E">
        <w:rPr>
          <w:sz w:val="22"/>
          <w:szCs w:val="22"/>
          <w:lang w:val="fr-CA"/>
        </w:rPr>
        <w:t>Honduras</w:t>
      </w:r>
      <w:r w:rsidR="00FF76B8">
        <w:rPr>
          <w:sz w:val="22"/>
          <w:szCs w:val="22"/>
          <w:lang w:val="fr-CA"/>
        </w:rPr>
        <w:t xml:space="preserve"> sur la migration et sur les droits économiques, sociaux, culturels et environnementaux”, à</w:t>
      </w:r>
      <w:r w:rsidRPr="00221F6E">
        <w:rPr>
          <w:sz w:val="22"/>
          <w:szCs w:val="22"/>
          <w:lang w:val="fr-CA"/>
        </w:rPr>
        <w:t xml:space="preserve"> Tegucigalpa, Honduras;</w:t>
      </w:r>
    </w:p>
    <w:p w:rsidR="00873C15"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t>C</w:t>
      </w:r>
      <w:r w:rsidR="00FF76B8">
        <w:rPr>
          <w:sz w:val="22"/>
          <w:szCs w:val="22"/>
          <w:lang w:val="fr-CA"/>
        </w:rPr>
        <w:t>ours à l’intention du personnel technique du Bureau du Procureur aux droits de la personne du</w:t>
      </w:r>
      <w:r w:rsidRPr="00221F6E">
        <w:rPr>
          <w:sz w:val="22"/>
          <w:szCs w:val="22"/>
          <w:lang w:val="fr-CA"/>
        </w:rPr>
        <w:t xml:space="preserve"> Guatemala</w:t>
      </w:r>
      <w:r w:rsidR="00FF76B8">
        <w:rPr>
          <w:sz w:val="22"/>
          <w:szCs w:val="22"/>
          <w:lang w:val="fr-CA"/>
        </w:rPr>
        <w:t xml:space="preserve"> sur la migration et sur les droits économiques, sociaux, culturels et </w:t>
      </w:r>
      <w:r w:rsidR="00381BA1">
        <w:rPr>
          <w:sz w:val="22"/>
          <w:szCs w:val="22"/>
          <w:lang w:val="fr-CA"/>
        </w:rPr>
        <w:t>environnementaux”</w:t>
      </w:r>
      <w:r w:rsidR="00BE4728" w:rsidRPr="00221F6E">
        <w:rPr>
          <w:sz w:val="22"/>
          <w:szCs w:val="22"/>
          <w:lang w:val="fr-CA"/>
        </w:rPr>
        <w:t>,</w:t>
      </w:r>
      <w:r w:rsidR="00FF76B8">
        <w:rPr>
          <w:sz w:val="22"/>
          <w:szCs w:val="22"/>
          <w:lang w:val="fr-CA"/>
        </w:rPr>
        <w:t xml:space="preserve"> au</w:t>
      </w:r>
      <w:r w:rsidRPr="00221F6E">
        <w:rPr>
          <w:sz w:val="22"/>
          <w:szCs w:val="22"/>
          <w:lang w:val="fr-CA"/>
        </w:rPr>
        <w:t xml:space="preserve"> Guatemala;</w:t>
      </w:r>
    </w:p>
    <w:p w:rsidR="008F710F" w:rsidRPr="00221F6E" w:rsidRDefault="008F710F" w:rsidP="005A2DA8">
      <w:pPr>
        <w:pStyle w:val="ListParagraph"/>
        <w:numPr>
          <w:ilvl w:val="0"/>
          <w:numId w:val="42"/>
        </w:numPr>
        <w:ind w:hanging="720"/>
        <w:jc w:val="both"/>
        <w:rPr>
          <w:sz w:val="22"/>
          <w:szCs w:val="22"/>
          <w:lang w:val="fr-CA"/>
        </w:rPr>
      </w:pPr>
      <w:r w:rsidRPr="00221F6E">
        <w:rPr>
          <w:sz w:val="22"/>
          <w:szCs w:val="22"/>
          <w:lang w:val="fr-CA"/>
        </w:rPr>
        <w:t>“C</w:t>
      </w:r>
      <w:r w:rsidR="00381BA1">
        <w:rPr>
          <w:sz w:val="22"/>
          <w:szCs w:val="22"/>
          <w:lang w:val="fr-CA"/>
        </w:rPr>
        <w:t>ours à l’intention de fonctionnaires du Pouvoir judiciaire d’</w:t>
      </w:r>
      <w:r w:rsidRPr="00221F6E">
        <w:rPr>
          <w:sz w:val="22"/>
          <w:szCs w:val="22"/>
          <w:lang w:val="fr-CA"/>
        </w:rPr>
        <w:t>El Salvado</w:t>
      </w:r>
      <w:r w:rsidR="00BE4728" w:rsidRPr="00221F6E">
        <w:rPr>
          <w:sz w:val="22"/>
          <w:szCs w:val="22"/>
          <w:lang w:val="fr-CA"/>
        </w:rPr>
        <w:t>r</w:t>
      </w:r>
      <w:r w:rsidR="00381BA1">
        <w:rPr>
          <w:sz w:val="22"/>
          <w:szCs w:val="22"/>
          <w:lang w:val="fr-CA"/>
        </w:rPr>
        <w:t xml:space="preserve"> sur la migration et les droits économiques, sociaux, culturels et environnementaux” et</w:t>
      </w:r>
      <w:r w:rsidR="00BE4728" w:rsidRPr="00221F6E">
        <w:rPr>
          <w:sz w:val="22"/>
          <w:szCs w:val="22"/>
          <w:lang w:val="fr-CA"/>
        </w:rPr>
        <w:t xml:space="preserve"> </w:t>
      </w:r>
      <w:r w:rsidRPr="00221F6E">
        <w:rPr>
          <w:sz w:val="22"/>
          <w:szCs w:val="22"/>
          <w:lang w:val="fr-CA"/>
        </w:rPr>
        <w:t>“C</w:t>
      </w:r>
      <w:r w:rsidR="000F3A63">
        <w:rPr>
          <w:sz w:val="22"/>
          <w:szCs w:val="22"/>
          <w:lang w:val="fr-CA"/>
        </w:rPr>
        <w:t>ours à l’intention du personnel technique du Bureau du Procureur d’</w:t>
      </w:r>
      <w:r w:rsidRPr="00221F6E">
        <w:rPr>
          <w:sz w:val="22"/>
          <w:szCs w:val="22"/>
          <w:lang w:val="fr-CA"/>
        </w:rPr>
        <w:t>El Sa</w:t>
      </w:r>
      <w:r w:rsidR="00BE4728" w:rsidRPr="00221F6E">
        <w:rPr>
          <w:sz w:val="22"/>
          <w:szCs w:val="22"/>
          <w:lang w:val="fr-CA"/>
        </w:rPr>
        <w:t>lvador</w:t>
      </w:r>
      <w:r w:rsidR="000F3A63">
        <w:rPr>
          <w:sz w:val="22"/>
          <w:szCs w:val="22"/>
          <w:lang w:val="fr-CA"/>
        </w:rPr>
        <w:t xml:space="preserve"> sur la migration et sur les droits économiques, sociaux, culturels et environnementaux</w:t>
      </w:r>
      <w:proofErr w:type="gramStart"/>
      <w:r w:rsidR="00BE4728" w:rsidRPr="00221F6E">
        <w:rPr>
          <w:sz w:val="22"/>
          <w:szCs w:val="22"/>
          <w:lang w:val="fr-CA"/>
        </w:rPr>
        <w:t xml:space="preserve">”, </w:t>
      </w:r>
      <w:r w:rsidRPr="00221F6E">
        <w:rPr>
          <w:sz w:val="22"/>
          <w:szCs w:val="22"/>
          <w:lang w:val="fr-CA"/>
        </w:rPr>
        <w:t xml:space="preserve"> San</w:t>
      </w:r>
      <w:proofErr w:type="gramEnd"/>
      <w:r w:rsidRPr="00221F6E">
        <w:rPr>
          <w:sz w:val="22"/>
          <w:szCs w:val="22"/>
          <w:lang w:val="fr-CA"/>
        </w:rPr>
        <w:t xml:space="preserve"> Salvador, El Salvador.</w:t>
      </w:r>
    </w:p>
    <w:p w:rsidR="00873C15" w:rsidRPr="00221F6E" w:rsidRDefault="00873C15" w:rsidP="00CD5672">
      <w:pPr>
        <w:pStyle w:val="ListParagraph"/>
        <w:ind w:left="1080" w:hanging="360"/>
        <w:jc w:val="both"/>
        <w:rPr>
          <w:sz w:val="22"/>
          <w:szCs w:val="22"/>
          <w:lang w:val="fr-CA"/>
        </w:rPr>
      </w:pPr>
    </w:p>
    <w:p w:rsidR="008F710F" w:rsidRPr="00221F6E" w:rsidRDefault="008F710F" w:rsidP="005A2DA8">
      <w:pPr>
        <w:pStyle w:val="ListParagraph"/>
        <w:numPr>
          <w:ilvl w:val="0"/>
          <w:numId w:val="43"/>
        </w:numPr>
        <w:ind w:left="720" w:hanging="720"/>
        <w:jc w:val="both"/>
        <w:rPr>
          <w:sz w:val="22"/>
          <w:szCs w:val="22"/>
          <w:lang w:val="fr-CA"/>
        </w:rPr>
      </w:pPr>
      <w:r w:rsidRPr="00221F6E">
        <w:rPr>
          <w:sz w:val="22"/>
          <w:szCs w:val="22"/>
          <w:lang w:val="fr-CA"/>
        </w:rPr>
        <w:t>En</w:t>
      </w:r>
      <w:r w:rsidR="000F3A63">
        <w:rPr>
          <w:sz w:val="22"/>
          <w:szCs w:val="22"/>
          <w:lang w:val="fr-CA"/>
        </w:rPr>
        <w:t xml:space="preserve"> ce qui concerne les organes politiques de l’OEA, le 18 mars 2019 le Secrétaire exécutif de la CIDH, monsieur</w:t>
      </w:r>
      <w:r w:rsidRPr="00221F6E">
        <w:rPr>
          <w:sz w:val="22"/>
          <w:szCs w:val="22"/>
          <w:lang w:val="fr-CA"/>
        </w:rPr>
        <w:t xml:space="preserve"> Paulo </w:t>
      </w:r>
      <w:proofErr w:type="spellStart"/>
      <w:r w:rsidRPr="00221F6E">
        <w:rPr>
          <w:sz w:val="22"/>
          <w:szCs w:val="22"/>
          <w:lang w:val="fr-CA"/>
        </w:rPr>
        <w:t>Abrão</w:t>
      </w:r>
      <w:proofErr w:type="spellEnd"/>
      <w:r w:rsidRPr="00221F6E">
        <w:rPr>
          <w:sz w:val="22"/>
          <w:szCs w:val="22"/>
          <w:lang w:val="fr-CA"/>
        </w:rPr>
        <w:t>,</w:t>
      </w:r>
      <w:r w:rsidR="000F3A63">
        <w:rPr>
          <w:sz w:val="22"/>
          <w:szCs w:val="22"/>
          <w:lang w:val="fr-CA"/>
        </w:rPr>
        <w:t xml:space="preserve"> a fait un exposé sur la situation des populations migrantes dans la région, lors d’une réunion informelle</w:t>
      </w:r>
      <w:r w:rsidRPr="00221F6E">
        <w:rPr>
          <w:sz w:val="22"/>
          <w:szCs w:val="22"/>
          <w:lang w:val="fr-CA"/>
        </w:rPr>
        <w:t xml:space="preserve"> de la C</w:t>
      </w:r>
      <w:r w:rsidR="00B63CF1" w:rsidRPr="00221F6E">
        <w:rPr>
          <w:sz w:val="22"/>
          <w:szCs w:val="22"/>
          <w:lang w:val="fr-CA"/>
        </w:rPr>
        <w:t>AM</w:t>
      </w:r>
      <w:r w:rsidRPr="00221F6E">
        <w:rPr>
          <w:sz w:val="22"/>
          <w:szCs w:val="22"/>
          <w:lang w:val="fr-CA"/>
        </w:rPr>
        <w:t>.</w:t>
      </w:r>
    </w:p>
    <w:p w:rsidR="00873C15" w:rsidRPr="00221F6E" w:rsidRDefault="00873C15" w:rsidP="005A2DA8">
      <w:pPr>
        <w:pStyle w:val="ListParagraph"/>
        <w:ind w:hanging="720"/>
        <w:jc w:val="both"/>
        <w:rPr>
          <w:sz w:val="22"/>
          <w:szCs w:val="22"/>
          <w:lang w:val="fr-CA"/>
        </w:rPr>
      </w:pPr>
    </w:p>
    <w:p w:rsidR="008F710F" w:rsidRPr="00221F6E" w:rsidRDefault="00435A82" w:rsidP="005A2DA8">
      <w:pPr>
        <w:numPr>
          <w:ilvl w:val="0"/>
          <w:numId w:val="32"/>
        </w:numPr>
        <w:ind w:hanging="720"/>
        <w:jc w:val="both"/>
        <w:rPr>
          <w:sz w:val="22"/>
          <w:szCs w:val="22"/>
          <w:lang w:val="fr-CA"/>
        </w:rPr>
      </w:pPr>
      <w:r>
        <w:rPr>
          <w:sz w:val="22"/>
          <w:szCs w:val="22"/>
          <w:lang w:val="fr-CA"/>
        </w:rPr>
        <w:lastRenderedPageBreak/>
        <w:t>Au cours de</w:t>
      </w:r>
      <w:r w:rsidR="008F710F" w:rsidRPr="00221F6E">
        <w:rPr>
          <w:sz w:val="22"/>
          <w:szCs w:val="22"/>
          <w:lang w:val="fr-CA"/>
        </w:rPr>
        <w:t xml:space="preserve"> 2019 la CIDH</w:t>
      </w:r>
      <w:r>
        <w:rPr>
          <w:sz w:val="22"/>
          <w:szCs w:val="22"/>
          <w:lang w:val="fr-CA"/>
        </w:rPr>
        <w:t xml:space="preserve"> a consulté la société civile sur les</w:t>
      </w:r>
      <w:r w:rsidR="008F710F" w:rsidRPr="00221F6E">
        <w:rPr>
          <w:sz w:val="22"/>
          <w:szCs w:val="22"/>
          <w:lang w:val="fr-CA"/>
        </w:rPr>
        <w:t xml:space="preserve"> “Princip</w:t>
      </w:r>
      <w:r>
        <w:rPr>
          <w:sz w:val="22"/>
          <w:szCs w:val="22"/>
          <w:lang w:val="fr-CA"/>
        </w:rPr>
        <w:t xml:space="preserve">es interaméricains </w:t>
      </w:r>
      <w:r w:rsidR="00F6210A">
        <w:rPr>
          <w:sz w:val="22"/>
          <w:szCs w:val="22"/>
          <w:lang w:val="fr-CA"/>
        </w:rPr>
        <w:t>en matière de droits humains des migrants, réfugiés et autres personnes dans le contexte des mouvements migratoires mixtes</w:t>
      </w:r>
      <w:r w:rsidR="008F710F" w:rsidRPr="00221F6E">
        <w:rPr>
          <w:sz w:val="22"/>
          <w:szCs w:val="22"/>
          <w:lang w:val="fr-CA"/>
        </w:rPr>
        <w:t xml:space="preserve">”. </w:t>
      </w:r>
    </w:p>
    <w:p w:rsidR="00873C15" w:rsidRPr="00221F6E" w:rsidRDefault="00873C15" w:rsidP="005A2DA8">
      <w:pPr>
        <w:ind w:left="720" w:hanging="720"/>
        <w:jc w:val="both"/>
        <w:rPr>
          <w:sz w:val="22"/>
          <w:szCs w:val="22"/>
          <w:lang w:val="fr-CA"/>
        </w:rPr>
      </w:pPr>
    </w:p>
    <w:p w:rsidR="008F710F" w:rsidRPr="00221F6E" w:rsidRDefault="00F6210A" w:rsidP="005A2DA8">
      <w:pPr>
        <w:numPr>
          <w:ilvl w:val="0"/>
          <w:numId w:val="32"/>
        </w:numPr>
        <w:ind w:hanging="720"/>
        <w:jc w:val="both"/>
        <w:rPr>
          <w:sz w:val="22"/>
          <w:szCs w:val="22"/>
          <w:lang w:val="fr-CA"/>
        </w:rPr>
      </w:pPr>
      <w:r>
        <w:rPr>
          <w:sz w:val="22"/>
          <w:szCs w:val="22"/>
          <w:lang w:val="fr-CA"/>
        </w:rPr>
        <w:t xml:space="preserve">En ce qui concerne les activités de la Commission </w:t>
      </w:r>
      <w:r w:rsidR="002D0E74">
        <w:rPr>
          <w:sz w:val="22"/>
          <w:szCs w:val="22"/>
          <w:lang w:val="fr-CA"/>
        </w:rPr>
        <w:t>avec d’autres organes régionaux et mondiaux de droits de la personne, lors de la Quarante-deuxième Session du Conseil des droits de l’homme</w:t>
      </w:r>
      <w:r w:rsidR="008F710F" w:rsidRPr="00221F6E">
        <w:rPr>
          <w:sz w:val="22"/>
          <w:szCs w:val="22"/>
          <w:lang w:val="fr-CA"/>
        </w:rPr>
        <w:t>, la CIDH</w:t>
      </w:r>
      <w:r w:rsidR="002D0E74">
        <w:rPr>
          <w:sz w:val="22"/>
          <w:szCs w:val="22"/>
          <w:lang w:val="fr-CA"/>
        </w:rPr>
        <w:t xml:space="preserve"> a participé en tant qu’invitée à un panel de haut niveau sur le rapport </w:t>
      </w:r>
      <w:r w:rsidR="00EC7E85">
        <w:rPr>
          <w:sz w:val="22"/>
          <w:szCs w:val="22"/>
          <w:lang w:val="fr-CA"/>
        </w:rPr>
        <w:t>du Haut-Commissariat sur la situation des droits de la personne au</w:t>
      </w:r>
      <w:r w:rsidR="008F710F" w:rsidRPr="00221F6E">
        <w:rPr>
          <w:sz w:val="22"/>
          <w:szCs w:val="22"/>
          <w:lang w:val="fr-CA"/>
        </w:rPr>
        <w:t xml:space="preserve"> Nicaragua.</w:t>
      </w:r>
      <w:r w:rsidR="00EC7E85">
        <w:rPr>
          <w:sz w:val="22"/>
          <w:szCs w:val="22"/>
          <w:lang w:val="fr-CA"/>
        </w:rPr>
        <w:t xml:space="preserve"> La Commission est également intervenue dans le dialogue interactif sur la situation des migrants dans la région.</w:t>
      </w:r>
      <w:r w:rsidR="008F710F" w:rsidRPr="00221F6E">
        <w:rPr>
          <w:sz w:val="22"/>
          <w:szCs w:val="22"/>
          <w:lang w:val="fr-CA"/>
        </w:rPr>
        <w:t xml:space="preserve"> </w:t>
      </w:r>
    </w:p>
    <w:p w:rsidR="00873C15" w:rsidRPr="00221F6E" w:rsidRDefault="00873C15" w:rsidP="005A2DA8">
      <w:pPr>
        <w:ind w:left="720" w:hanging="720"/>
        <w:jc w:val="both"/>
        <w:rPr>
          <w:sz w:val="22"/>
          <w:szCs w:val="22"/>
          <w:lang w:val="fr-CA"/>
        </w:rPr>
      </w:pPr>
    </w:p>
    <w:p w:rsidR="008F710F" w:rsidRPr="00221F6E" w:rsidRDefault="00391AFF" w:rsidP="005A2DA8">
      <w:pPr>
        <w:numPr>
          <w:ilvl w:val="0"/>
          <w:numId w:val="32"/>
        </w:numPr>
        <w:ind w:hanging="720"/>
        <w:jc w:val="both"/>
        <w:rPr>
          <w:sz w:val="22"/>
          <w:szCs w:val="22"/>
          <w:lang w:val="fr-CA"/>
        </w:rPr>
      </w:pPr>
      <w:r>
        <w:rPr>
          <w:sz w:val="22"/>
          <w:szCs w:val="22"/>
          <w:lang w:val="fr-CA"/>
        </w:rPr>
        <w:t xml:space="preserve">En ce qui concerne </w:t>
      </w:r>
      <w:r w:rsidR="003419A3">
        <w:rPr>
          <w:sz w:val="22"/>
          <w:szCs w:val="22"/>
          <w:lang w:val="fr-CA"/>
        </w:rPr>
        <w:t>le Mécanisme spécial de suivi pour le</w:t>
      </w:r>
      <w:r w:rsidR="008F710F" w:rsidRPr="00221F6E">
        <w:rPr>
          <w:sz w:val="22"/>
          <w:szCs w:val="22"/>
          <w:lang w:val="fr-CA"/>
        </w:rPr>
        <w:t xml:space="preserve"> Venezuela (MESEVE), la CIDH</w:t>
      </w:r>
      <w:r w:rsidR="003419A3">
        <w:rPr>
          <w:sz w:val="22"/>
          <w:szCs w:val="22"/>
          <w:lang w:val="fr-CA"/>
        </w:rPr>
        <w:t xml:space="preserve"> a déployé d’importants efforts pour assurer le suivi de la crise des droits de la personne que traverse le </w:t>
      </w:r>
      <w:r w:rsidR="008F710F" w:rsidRPr="00221F6E">
        <w:rPr>
          <w:sz w:val="22"/>
          <w:szCs w:val="22"/>
          <w:lang w:val="fr-CA"/>
        </w:rPr>
        <w:t xml:space="preserve">Venezuela. </w:t>
      </w:r>
      <w:r w:rsidR="003419A3">
        <w:rPr>
          <w:sz w:val="22"/>
          <w:szCs w:val="22"/>
          <w:lang w:val="fr-CA"/>
        </w:rPr>
        <w:t>Au cours de</w:t>
      </w:r>
      <w:r w:rsidR="008F710F" w:rsidRPr="00221F6E">
        <w:rPr>
          <w:sz w:val="22"/>
          <w:szCs w:val="22"/>
          <w:lang w:val="fr-CA"/>
        </w:rPr>
        <w:t xml:space="preserve"> 2019, la Com</w:t>
      </w:r>
      <w:r w:rsidR="003419A3">
        <w:rPr>
          <w:sz w:val="22"/>
          <w:szCs w:val="22"/>
          <w:lang w:val="fr-CA"/>
        </w:rPr>
        <w:t xml:space="preserve">mission a émis 30 communiqués de presse sur ce pays. En outre, pendant les sessions de cette même année, 13 audiences thématiques ont été tenues sur la situation des droits de la personne au </w:t>
      </w:r>
      <w:r w:rsidR="008F710F" w:rsidRPr="00221F6E">
        <w:rPr>
          <w:sz w:val="22"/>
          <w:szCs w:val="22"/>
          <w:lang w:val="fr-CA"/>
        </w:rPr>
        <w:t>Venezuela</w:t>
      </w:r>
      <w:r w:rsidR="003419A3">
        <w:rPr>
          <w:sz w:val="22"/>
          <w:szCs w:val="22"/>
          <w:lang w:val="fr-CA"/>
        </w:rPr>
        <w:t xml:space="preserve"> et la situation des migrants vénézuéliens dans la région</w:t>
      </w:r>
      <w:r w:rsidR="008F710F" w:rsidRPr="00221F6E">
        <w:rPr>
          <w:sz w:val="22"/>
          <w:szCs w:val="22"/>
          <w:lang w:val="fr-CA"/>
        </w:rPr>
        <w:t xml:space="preserve">. </w:t>
      </w:r>
    </w:p>
    <w:p w:rsidR="00DD38CB" w:rsidRPr="00221F6E" w:rsidRDefault="00DD38CB" w:rsidP="00050F3E">
      <w:pPr>
        <w:pStyle w:val="ListParagraph"/>
        <w:ind w:left="0"/>
        <w:jc w:val="both"/>
        <w:rPr>
          <w:sz w:val="22"/>
          <w:szCs w:val="22"/>
          <w:lang w:val="fr-CA"/>
        </w:rPr>
      </w:pPr>
    </w:p>
    <w:p w:rsidR="00C760C7" w:rsidRPr="00221F6E" w:rsidRDefault="00224CEB" w:rsidP="005A2DA8">
      <w:pPr>
        <w:ind w:left="720" w:hanging="720"/>
        <w:jc w:val="both"/>
        <w:rPr>
          <w:b/>
          <w:sz w:val="22"/>
          <w:szCs w:val="22"/>
          <w:lang w:val="fr-CA"/>
        </w:rPr>
      </w:pPr>
      <w:r w:rsidRPr="00221F6E">
        <w:rPr>
          <w:b/>
          <w:sz w:val="22"/>
          <w:szCs w:val="22"/>
          <w:lang w:val="fr-CA"/>
        </w:rPr>
        <w:t xml:space="preserve">3. </w:t>
      </w:r>
      <w:r w:rsidR="00050F3E" w:rsidRPr="00221F6E">
        <w:rPr>
          <w:b/>
          <w:sz w:val="22"/>
          <w:szCs w:val="22"/>
          <w:lang w:val="fr-CA"/>
        </w:rPr>
        <w:tab/>
      </w:r>
      <w:r w:rsidR="003419A3">
        <w:rPr>
          <w:b/>
          <w:sz w:val="22"/>
          <w:szCs w:val="22"/>
          <w:lang w:val="fr-CA"/>
        </w:rPr>
        <w:t>Rapport de la Commission interaméricaine des femmes</w:t>
      </w:r>
      <w:r w:rsidRPr="00221F6E">
        <w:rPr>
          <w:b/>
          <w:sz w:val="22"/>
          <w:szCs w:val="22"/>
          <w:lang w:val="fr-CA"/>
        </w:rPr>
        <w:t xml:space="preserve"> (CIM) </w:t>
      </w:r>
    </w:p>
    <w:p w:rsidR="00224CEB" w:rsidRPr="00221F6E" w:rsidRDefault="00224CEB" w:rsidP="00224CEB">
      <w:pPr>
        <w:pStyle w:val="ListParagraph"/>
        <w:ind w:left="1440"/>
        <w:jc w:val="both"/>
        <w:rPr>
          <w:sz w:val="22"/>
          <w:szCs w:val="22"/>
          <w:lang w:val="fr-CA"/>
        </w:rPr>
      </w:pPr>
    </w:p>
    <w:p w:rsidR="00522A2D" w:rsidRDefault="003419A3" w:rsidP="005A2DA8">
      <w:pPr>
        <w:numPr>
          <w:ilvl w:val="0"/>
          <w:numId w:val="37"/>
        </w:numPr>
        <w:ind w:left="720" w:hanging="720"/>
        <w:jc w:val="both"/>
        <w:rPr>
          <w:sz w:val="22"/>
          <w:szCs w:val="22"/>
          <w:lang w:val="fr-CA"/>
        </w:rPr>
      </w:pPr>
      <w:r w:rsidRPr="00522A2D">
        <w:rPr>
          <w:sz w:val="22"/>
          <w:szCs w:val="22"/>
          <w:lang w:val="fr-CA"/>
        </w:rPr>
        <w:t xml:space="preserve">Les migrations des femmes sont historiques, mais elles sont devenues plus nombreuses et plus complexes, et les violences et les </w:t>
      </w:r>
      <w:r w:rsidR="00053220" w:rsidRPr="00522A2D">
        <w:rPr>
          <w:sz w:val="22"/>
          <w:szCs w:val="22"/>
          <w:lang w:val="fr-CA"/>
        </w:rPr>
        <w:t>discriminations auxquelles</w:t>
      </w:r>
      <w:r w:rsidRPr="00522A2D">
        <w:rPr>
          <w:sz w:val="22"/>
          <w:szCs w:val="22"/>
          <w:lang w:val="fr-CA"/>
        </w:rPr>
        <w:t xml:space="preserve"> sont confrontées </w:t>
      </w:r>
      <w:r w:rsidR="00053220" w:rsidRPr="00522A2D">
        <w:rPr>
          <w:sz w:val="22"/>
          <w:szCs w:val="22"/>
          <w:lang w:val="fr-CA"/>
        </w:rPr>
        <w:t xml:space="preserve">les femmes migrantes dans les pays d’origine, de transit et de destination sont devenues plus variées. La collecte et l’identification </w:t>
      </w:r>
      <w:r w:rsidR="00D56674" w:rsidRPr="00522A2D">
        <w:rPr>
          <w:sz w:val="22"/>
          <w:szCs w:val="22"/>
          <w:lang w:val="fr-CA"/>
        </w:rPr>
        <w:t xml:space="preserve">des différences selon le sexe dans l’incidence de celles-ci et les intersections </w:t>
      </w:r>
      <w:r w:rsidR="00522A2D" w:rsidRPr="00522A2D">
        <w:rPr>
          <w:sz w:val="22"/>
          <w:szCs w:val="22"/>
          <w:lang w:val="fr-CA"/>
        </w:rPr>
        <w:t xml:space="preserve">dans la vie des plus de 120 millions de femmes et de filles migrantes dans le monde contribuent à ce que nos sociétés humanisent la situation </w:t>
      </w:r>
      <w:r w:rsidR="00522A2D" w:rsidRPr="00522A2D">
        <w:rPr>
          <w:sz w:val="22"/>
          <w:szCs w:val="22"/>
          <w:lang w:val="fr-CA"/>
        </w:rPr>
        <w:lastRenderedPageBreak/>
        <w:t>différentiée des migrantes et rendent compte de nouvelles dimensions.</w:t>
      </w:r>
    </w:p>
    <w:p w:rsidR="00522A2D" w:rsidRDefault="00522A2D" w:rsidP="005A2DA8">
      <w:pPr>
        <w:ind w:left="720" w:hanging="720"/>
        <w:jc w:val="both"/>
        <w:rPr>
          <w:sz w:val="22"/>
          <w:szCs w:val="22"/>
          <w:lang w:val="fr-CA"/>
        </w:rPr>
      </w:pPr>
    </w:p>
    <w:p w:rsidR="00CB6502" w:rsidRPr="00522A2D" w:rsidRDefault="00522A2D" w:rsidP="005A2DA8">
      <w:pPr>
        <w:numPr>
          <w:ilvl w:val="0"/>
          <w:numId w:val="37"/>
        </w:numPr>
        <w:ind w:left="720" w:hanging="720"/>
        <w:jc w:val="both"/>
        <w:rPr>
          <w:sz w:val="22"/>
          <w:szCs w:val="22"/>
          <w:lang w:val="fr-CA"/>
        </w:rPr>
      </w:pPr>
      <w:r w:rsidRPr="00522A2D">
        <w:rPr>
          <w:sz w:val="22"/>
          <w:szCs w:val="22"/>
          <w:lang w:val="fr-CA"/>
        </w:rPr>
        <w:t>Il est urgent</w:t>
      </w:r>
      <w:r>
        <w:rPr>
          <w:sz w:val="22"/>
          <w:szCs w:val="22"/>
          <w:lang w:val="fr-CA"/>
        </w:rPr>
        <w:t xml:space="preserve"> d’attirer l’attention sur les questions de la pauvreté, l’insécurité, les urgences en matière de santé et d’autres problèmes associés, </w:t>
      </w:r>
      <w:r w:rsidR="00B91AB9">
        <w:rPr>
          <w:sz w:val="22"/>
          <w:szCs w:val="22"/>
          <w:lang w:val="fr-CA"/>
        </w:rPr>
        <w:t xml:space="preserve">mais surtout, sur deux phénomènes transversaux qui accompagnent les femmes migrantes tout au long de la route migratoire : les soins et la violence. La très générale division du travail selon le sexe assigne aux femmes, presqu’exclusivement, le soin non seulement des enfants, mais aussi des autres personnes du groupe familial ayant un handicap ou âgés, et a une incidence sur toutes les sphères de la vie des femmes. </w:t>
      </w:r>
      <w:r w:rsidR="00224CEB" w:rsidRPr="00522A2D">
        <w:rPr>
          <w:sz w:val="22"/>
          <w:szCs w:val="22"/>
          <w:lang w:val="fr-CA"/>
        </w:rPr>
        <w:t xml:space="preserve"> </w:t>
      </w:r>
    </w:p>
    <w:p w:rsidR="00CB6502" w:rsidRPr="00221F6E" w:rsidRDefault="00CB6502" w:rsidP="005A2DA8">
      <w:pPr>
        <w:pStyle w:val="ListParagraph"/>
        <w:ind w:hanging="720"/>
        <w:jc w:val="both"/>
        <w:rPr>
          <w:sz w:val="22"/>
          <w:szCs w:val="22"/>
          <w:lang w:val="fr-CA"/>
        </w:rPr>
      </w:pPr>
    </w:p>
    <w:p w:rsidR="00224CEB" w:rsidRPr="00221F6E" w:rsidRDefault="00B91AB9" w:rsidP="005A2DA8">
      <w:pPr>
        <w:pStyle w:val="ListParagraph"/>
        <w:numPr>
          <w:ilvl w:val="0"/>
          <w:numId w:val="37"/>
        </w:numPr>
        <w:ind w:left="720" w:hanging="720"/>
        <w:jc w:val="both"/>
        <w:rPr>
          <w:sz w:val="22"/>
          <w:szCs w:val="22"/>
          <w:lang w:val="fr-CA"/>
        </w:rPr>
      </w:pPr>
      <w:r>
        <w:rPr>
          <w:sz w:val="22"/>
          <w:szCs w:val="22"/>
          <w:lang w:val="fr-CA"/>
        </w:rPr>
        <w:t>Les travaux liés aux soins sont également présents dans les migrations des femmes, étant donné la préoccupation et la gestion de la culpabilité quand elles laissent leurs personnes à charge dans d’autres mains pour migrer dans d’autres pays, où elles occupent des postes de travail qui ont rapport, en grande majorité aux soins; et tout comme dans leur propre migration avec leurs personnes à charge, surtout les mineurs.</w:t>
      </w:r>
      <w:r w:rsidR="00224CEB" w:rsidRPr="00221F6E">
        <w:rPr>
          <w:sz w:val="22"/>
          <w:szCs w:val="22"/>
          <w:lang w:val="fr-CA"/>
        </w:rPr>
        <w:t xml:space="preserve"> </w:t>
      </w:r>
    </w:p>
    <w:p w:rsidR="00224CEB" w:rsidRPr="00221F6E" w:rsidRDefault="00B2424C" w:rsidP="005A2DA8">
      <w:pPr>
        <w:pStyle w:val="ListParagraph"/>
        <w:numPr>
          <w:ilvl w:val="0"/>
          <w:numId w:val="37"/>
        </w:numPr>
        <w:ind w:left="720" w:hanging="720"/>
        <w:jc w:val="both"/>
        <w:rPr>
          <w:sz w:val="22"/>
          <w:szCs w:val="22"/>
          <w:lang w:val="fr-CA"/>
        </w:rPr>
      </w:pPr>
      <w:r>
        <w:rPr>
          <w:sz w:val="22"/>
          <w:szCs w:val="22"/>
          <w:lang w:val="fr-CA"/>
        </w:rPr>
        <w:t xml:space="preserve">Les situations de violence sont également transversales à la migration de femmes et de filles. À de nombreuses occasions, la violence au sein de la famille et la violence sociale servent de levier. La route migratoire expose le corps et la vie des femmes à de multiples violences, où prédomine la violence sexuelle, le chantage sexuel, le viol et elles sont même conduites, par la tromperie ou la contrainte, à la traite pour des raisons de travail ou la traite à des fins d’exploitation sexuelle, par le biais de réseaux de la criminalité transnationale organisée. </w:t>
      </w:r>
      <w:r w:rsidR="00224CEB" w:rsidRPr="00221F6E">
        <w:rPr>
          <w:sz w:val="22"/>
          <w:szCs w:val="22"/>
          <w:lang w:val="fr-CA"/>
        </w:rPr>
        <w:t xml:space="preserve"> </w:t>
      </w:r>
    </w:p>
    <w:p w:rsidR="00CB6502" w:rsidRPr="00221F6E" w:rsidRDefault="00CB6502" w:rsidP="005A2DA8">
      <w:pPr>
        <w:pStyle w:val="ListParagraph"/>
        <w:ind w:hanging="720"/>
        <w:jc w:val="both"/>
        <w:rPr>
          <w:sz w:val="22"/>
          <w:szCs w:val="22"/>
          <w:lang w:val="fr-CA"/>
        </w:rPr>
      </w:pPr>
    </w:p>
    <w:p w:rsidR="00224CEB" w:rsidRPr="00221F6E" w:rsidRDefault="00B2424C" w:rsidP="005A2DA8">
      <w:pPr>
        <w:pStyle w:val="ListParagraph"/>
        <w:numPr>
          <w:ilvl w:val="0"/>
          <w:numId w:val="37"/>
        </w:numPr>
        <w:ind w:left="720" w:hanging="720"/>
        <w:jc w:val="both"/>
        <w:rPr>
          <w:sz w:val="22"/>
          <w:szCs w:val="22"/>
          <w:lang w:val="fr-CA"/>
        </w:rPr>
      </w:pPr>
      <w:r>
        <w:rPr>
          <w:sz w:val="22"/>
          <w:szCs w:val="22"/>
          <w:lang w:val="fr-CA"/>
        </w:rPr>
        <w:t>Depuis l</w:t>
      </w:r>
      <w:r w:rsidR="000F2941">
        <w:rPr>
          <w:sz w:val="22"/>
          <w:szCs w:val="22"/>
          <w:lang w:val="fr-CA"/>
        </w:rPr>
        <w:t>’é</w:t>
      </w:r>
      <w:r>
        <w:rPr>
          <w:sz w:val="22"/>
          <w:szCs w:val="22"/>
          <w:lang w:val="fr-CA"/>
        </w:rPr>
        <w:t>tablissement du Mécanisme de suivi de la Convention</w:t>
      </w:r>
      <w:r w:rsidR="00224CEB" w:rsidRPr="00221F6E">
        <w:rPr>
          <w:sz w:val="22"/>
          <w:szCs w:val="22"/>
          <w:lang w:val="fr-CA"/>
        </w:rPr>
        <w:t xml:space="preserve"> de Belém do Pará (MESECVI), en 2012</w:t>
      </w:r>
      <w:r w:rsidR="000F2941">
        <w:rPr>
          <w:sz w:val="22"/>
          <w:szCs w:val="22"/>
          <w:lang w:val="fr-CA"/>
        </w:rPr>
        <w:t xml:space="preserve">, le Comité d’expertes a recommandé aux États parties </w:t>
      </w:r>
      <w:r w:rsidR="00232682">
        <w:rPr>
          <w:sz w:val="22"/>
          <w:szCs w:val="22"/>
          <w:lang w:val="fr-CA"/>
        </w:rPr>
        <w:t xml:space="preserve">à la Convention de qualifier la traite </w:t>
      </w:r>
      <w:r w:rsidR="00232682">
        <w:rPr>
          <w:sz w:val="22"/>
          <w:szCs w:val="22"/>
          <w:lang w:val="fr-CA"/>
        </w:rPr>
        <w:lastRenderedPageBreak/>
        <w:t xml:space="preserve">des personnes conformément aux normes contenues dans le Protocole de Palerme. Pendant la troisième ronde d’évaluation multilatérale, </w:t>
      </w:r>
      <w:r w:rsidR="00D851F8">
        <w:rPr>
          <w:sz w:val="22"/>
          <w:szCs w:val="22"/>
          <w:lang w:val="fr-CA"/>
        </w:rPr>
        <w:t>le système d’indicateurs qui a été diffusé auprès des États comportait le groupe de femmes migrantes dans 28 indicateurs. Les réponses des États à ces indicateurs ont été systématisées dans le Troisième Rapport continental sur la mise en œuvre de la Convention</w:t>
      </w:r>
      <w:r w:rsidR="00224CEB" w:rsidRPr="00221F6E">
        <w:rPr>
          <w:sz w:val="22"/>
          <w:szCs w:val="22"/>
          <w:lang w:val="fr-CA"/>
        </w:rPr>
        <w:t xml:space="preserve"> de Belém do Pará (2017).</w:t>
      </w:r>
    </w:p>
    <w:p w:rsidR="00224CEB" w:rsidRPr="00221F6E" w:rsidRDefault="00224CEB" w:rsidP="005A2DA8">
      <w:pPr>
        <w:pStyle w:val="ListParagraph"/>
        <w:ind w:hanging="720"/>
        <w:jc w:val="both"/>
        <w:rPr>
          <w:sz w:val="22"/>
          <w:szCs w:val="22"/>
          <w:lang w:val="fr-CA"/>
        </w:rPr>
      </w:pPr>
    </w:p>
    <w:p w:rsidR="00224CEB" w:rsidRPr="00221F6E" w:rsidRDefault="00224CEB" w:rsidP="005A2DA8">
      <w:pPr>
        <w:pStyle w:val="ListParagraph"/>
        <w:numPr>
          <w:ilvl w:val="0"/>
          <w:numId w:val="37"/>
        </w:numPr>
        <w:ind w:left="720" w:hanging="720"/>
        <w:jc w:val="both"/>
        <w:rPr>
          <w:sz w:val="22"/>
          <w:szCs w:val="22"/>
          <w:lang w:val="fr-CA"/>
        </w:rPr>
      </w:pPr>
      <w:r w:rsidRPr="00221F6E">
        <w:rPr>
          <w:sz w:val="22"/>
          <w:szCs w:val="22"/>
          <w:lang w:val="fr-CA"/>
        </w:rPr>
        <w:t>La</w:t>
      </w:r>
      <w:r w:rsidR="00D851F8">
        <w:rPr>
          <w:sz w:val="22"/>
          <w:szCs w:val="22"/>
          <w:lang w:val="fr-CA"/>
        </w:rPr>
        <w:t xml:space="preserve"> Treizième Réunion du Comité d’expertes, en octobre 2016, a adopté un accord visant à favoriser l’application de la Convention de</w:t>
      </w:r>
      <w:r w:rsidRPr="00221F6E">
        <w:rPr>
          <w:sz w:val="22"/>
          <w:szCs w:val="22"/>
          <w:lang w:val="fr-CA"/>
        </w:rPr>
        <w:t xml:space="preserve"> Belém do Pará</w:t>
      </w:r>
      <w:r w:rsidR="00D851F8">
        <w:rPr>
          <w:sz w:val="22"/>
          <w:szCs w:val="22"/>
          <w:lang w:val="fr-CA"/>
        </w:rPr>
        <w:t xml:space="preserve"> en matière de traite des femmes et des filles. Depuis lors, le</w:t>
      </w:r>
      <w:r w:rsidRPr="00221F6E">
        <w:rPr>
          <w:sz w:val="22"/>
          <w:szCs w:val="22"/>
          <w:lang w:val="fr-CA"/>
        </w:rPr>
        <w:t xml:space="preserve"> MESECVI</w:t>
      </w:r>
      <w:r w:rsidR="00D851F8">
        <w:rPr>
          <w:sz w:val="22"/>
          <w:szCs w:val="22"/>
          <w:lang w:val="fr-CA"/>
        </w:rPr>
        <w:t xml:space="preserve"> a tenu des réunions sur la protection des droits des femmes victimes de la traite</w:t>
      </w:r>
      <w:r w:rsidRPr="00221F6E">
        <w:rPr>
          <w:sz w:val="22"/>
          <w:szCs w:val="22"/>
          <w:lang w:val="fr-CA"/>
        </w:rPr>
        <w:t>.</w:t>
      </w:r>
    </w:p>
    <w:p w:rsidR="00224CEB" w:rsidRPr="00221F6E" w:rsidRDefault="00224CEB" w:rsidP="005A2DA8">
      <w:pPr>
        <w:pStyle w:val="ListParagraph"/>
        <w:ind w:hanging="720"/>
        <w:jc w:val="both"/>
        <w:rPr>
          <w:sz w:val="22"/>
          <w:szCs w:val="22"/>
          <w:lang w:val="fr-CA"/>
        </w:rPr>
      </w:pPr>
    </w:p>
    <w:p w:rsidR="00224CEB" w:rsidRPr="00221F6E" w:rsidRDefault="00224CEB" w:rsidP="005A2DA8">
      <w:pPr>
        <w:pStyle w:val="ListParagraph"/>
        <w:numPr>
          <w:ilvl w:val="0"/>
          <w:numId w:val="37"/>
        </w:numPr>
        <w:ind w:left="720" w:hanging="720"/>
        <w:jc w:val="both"/>
        <w:rPr>
          <w:sz w:val="22"/>
          <w:szCs w:val="22"/>
          <w:lang w:val="fr-CA"/>
        </w:rPr>
      </w:pPr>
      <w:r w:rsidRPr="00221F6E">
        <w:rPr>
          <w:sz w:val="22"/>
          <w:szCs w:val="22"/>
          <w:lang w:val="fr-CA"/>
        </w:rPr>
        <w:t>La CIM</w:t>
      </w:r>
      <w:r w:rsidR="00EF2E4C">
        <w:rPr>
          <w:sz w:val="22"/>
          <w:szCs w:val="22"/>
          <w:lang w:val="fr-CA"/>
        </w:rPr>
        <w:t xml:space="preserve"> a tenu une table ronde en mai 2017 sur les défis qui se posent à l’échelle régionale en matière de traite des femmes et des filles depuis une perspective des droits de la personne. On a tenté de rendre plus visibles les défis communs dans les travaux d’identification et d’assistance</w:t>
      </w:r>
      <w:r w:rsidR="00022520">
        <w:rPr>
          <w:sz w:val="22"/>
          <w:szCs w:val="22"/>
          <w:lang w:val="fr-CA"/>
        </w:rPr>
        <w:t xml:space="preserve"> ainsi que les façons d’en trouver la cause première en abordant tout d’abord </w:t>
      </w:r>
      <w:r w:rsidR="00161522">
        <w:rPr>
          <w:sz w:val="22"/>
          <w:szCs w:val="22"/>
          <w:lang w:val="fr-CA"/>
        </w:rPr>
        <w:t>la poursuite des auteurs du délit</w:t>
      </w:r>
      <w:r w:rsidR="00175683">
        <w:rPr>
          <w:sz w:val="22"/>
          <w:szCs w:val="22"/>
          <w:lang w:val="fr-CA"/>
        </w:rPr>
        <w:t xml:space="preserve"> et/ou le contrôle de l’immigration avant la protection et le respect des droits de la victime. Suite à cette réunion, les États membres de l’OEA ont décidé de </w:t>
      </w:r>
      <w:r w:rsidRPr="00221F6E">
        <w:rPr>
          <w:sz w:val="22"/>
          <w:szCs w:val="22"/>
          <w:lang w:val="fr-CA"/>
        </w:rPr>
        <w:t>“</w:t>
      </w:r>
      <w:r w:rsidR="00175683">
        <w:rPr>
          <w:sz w:val="22"/>
          <w:szCs w:val="22"/>
          <w:lang w:val="fr-CA"/>
        </w:rPr>
        <w:t>Renforcer les capacités institutionnelles dans le but de prévenir les délits et d’en poursuivre les auteurs […], en particulier les délits de la traite des personnes, en particulier des femmes et des enfants; et le trafic illicite de migrants par terre, mer et air, à cause de leur situation de vulnérabilité, en promouvant le respect de leurs droits humains</w:t>
      </w:r>
      <w:r w:rsidRPr="00221F6E">
        <w:rPr>
          <w:sz w:val="22"/>
          <w:szCs w:val="22"/>
          <w:lang w:val="fr-CA"/>
        </w:rPr>
        <w:t xml:space="preserve">”. </w:t>
      </w:r>
    </w:p>
    <w:p w:rsidR="00CB6502" w:rsidRPr="00221F6E" w:rsidRDefault="00CB6502" w:rsidP="005A2DA8">
      <w:pPr>
        <w:pStyle w:val="ListParagraph"/>
        <w:ind w:hanging="720"/>
        <w:jc w:val="both"/>
        <w:rPr>
          <w:sz w:val="22"/>
          <w:szCs w:val="22"/>
          <w:lang w:val="fr-CA"/>
        </w:rPr>
      </w:pPr>
    </w:p>
    <w:p w:rsidR="00611B82" w:rsidRPr="00221F6E" w:rsidRDefault="00260EDE" w:rsidP="005A2DA8">
      <w:pPr>
        <w:pStyle w:val="ListParagraph"/>
        <w:numPr>
          <w:ilvl w:val="0"/>
          <w:numId w:val="37"/>
        </w:numPr>
        <w:ind w:left="720" w:hanging="720"/>
        <w:jc w:val="both"/>
        <w:rPr>
          <w:sz w:val="22"/>
          <w:szCs w:val="22"/>
          <w:lang w:val="fr-CA"/>
        </w:rPr>
      </w:pPr>
      <w:r>
        <w:rPr>
          <w:sz w:val="22"/>
          <w:szCs w:val="22"/>
          <w:lang w:val="fr-CA"/>
        </w:rPr>
        <w:t>À cet égard, la Septième Conférence des États parties au</w:t>
      </w:r>
      <w:r w:rsidR="00B95E7C" w:rsidRPr="00221F6E">
        <w:rPr>
          <w:sz w:val="22"/>
          <w:szCs w:val="22"/>
          <w:lang w:val="fr-CA"/>
        </w:rPr>
        <w:t xml:space="preserve"> MESECVI</w:t>
      </w:r>
      <w:r>
        <w:rPr>
          <w:sz w:val="22"/>
          <w:szCs w:val="22"/>
          <w:lang w:val="fr-CA"/>
        </w:rPr>
        <w:t xml:space="preserve"> a décidé, en novembre </w:t>
      </w:r>
      <w:r w:rsidR="00B95E7C" w:rsidRPr="00221F6E">
        <w:rPr>
          <w:sz w:val="22"/>
          <w:szCs w:val="22"/>
          <w:lang w:val="fr-CA"/>
        </w:rPr>
        <w:t>2017</w:t>
      </w:r>
      <w:r w:rsidR="0019223B">
        <w:rPr>
          <w:sz w:val="22"/>
          <w:szCs w:val="22"/>
          <w:lang w:val="fr-CA"/>
        </w:rPr>
        <w:t>,</w:t>
      </w:r>
      <w:r>
        <w:rPr>
          <w:sz w:val="22"/>
          <w:szCs w:val="22"/>
          <w:lang w:val="fr-CA"/>
        </w:rPr>
        <w:t xml:space="preserve"> de “Demander </w:t>
      </w:r>
      <w:r w:rsidR="0019223B">
        <w:rPr>
          <w:sz w:val="22"/>
          <w:szCs w:val="22"/>
          <w:lang w:val="fr-CA"/>
        </w:rPr>
        <w:t>au Secrétariat technique du</w:t>
      </w:r>
      <w:r w:rsidR="00B95E7C" w:rsidRPr="00221F6E">
        <w:rPr>
          <w:sz w:val="22"/>
          <w:szCs w:val="22"/>
          <w:lang w:val="fr-CA"/>
        </w:rPr>
        <w:t xml:space="preserve"> MESECVI</w:t>
      </w:r>
      <w:r w:rsidR="0019223B">
        <w:rPr>
          <w:sz w:val="22"/>
          <w:szCs w:val="22"/>
          <w:lang w:val="fr-CA"/>
        </w:rPr>
        <w:t xml:space="preserve"> de poursuivre les travaux réalisés conjointement avec le Secrétariat à la sécurité multidimensionnelle de </w:t>
      </w:r>
      <w:r w:rsidR="0019223B">
        <w:rPr>
          <w:sz w:val="22"/>
          <w:szCs w:val="22"/>
          <w:lang w:val="fr-CA"/>
        </w:rPr>
        <w:lastRenderedPageBreak/>
        <w:t xml:space="preserve">l’OEA, relativement au traitement de la question de la traite des personnes dans toutes ses modalités, en portant une attention particulière aux femmes et aux filles, </w:t>
      </w:r>
      <w:r w:rsidR="00DD0E9F">
        <w:rPr>
          <w:sz w:val="22"/>
          <w:szCs w:val="22"/>
          <w:lang w:val="fr-CA"/>
        </w:rPr>
        <w:t>dans une perspective de la parité hommes-femmes</w:t>
      </w:r>
      <w:r w:rsidR="00B95E7C" w:rsidRPr="00221F6E">
        <w:rPr>
          <w:sz w:val="22"/>
          <w:szCs w:val="22"/>
          <w:lang w:val="fr-CA"/>
        </w:rPr>
        <w:t xml:space="preserve"> […]</w:t>
      </w:r>
      <w:r w:rsidR="00611B82" w:rsidRPr="00221F6E">
        <w:rPr>
          <w:sz w:val="22"/>
          <w:szCs w:val="22"/>
          <w:lang w:val="fr-CA"/>
        </w:rPr>
        <w:t>”</w:t>
      </w:r>
      <w:r w:rsidR="00B95E7C" w:rsidRPr="00221F6E">
        <w:rPr>
          <w:sz w:val="22"/>
          <w:szCs w:val="22"/>
          <w:lang w:val="fr-CA"/>
        </w:rPr>
        <w:t>.</w:t>
      </w:r>
    </w:p>
    <w:p w:rsidR="00611B82" w:rsidRPr="00221F6E" w:rsidRDefault="00611B82" w:rsidP="005A2DA8">
      <w:pPr>
        <w:pStyle w:val="ListParagraph"/>
        <w:ind w:hanging="720"/>
        <w:rPr>
          <w:sz w:val="22"/>
          <w:szCs w:val="22"/>
          <w:lang w:val="fr-CA"/>
        </w:rPr>
      </w:pPr>
    </w:p>
    <w:p w:rsidR="00B95E7C" w:rsidRPr="00221F6E" w:rsidRDefault="00DD0E9F" w:rsidP="005A2DA8">
      <w:pPr>
        <w:pStyle w:val="ListParagraph"/>
        <w:numPr>
          <w:ilvl w:val="0"/>
          <w:numId w:val="37"/>
        </w:numPr>
        <w:ind w:left="720" w:hanging="720"/>
        <w:jc w:val="both"/>
        <w:rPr>
          <w:sz w:val="22"/>
          <w:szCs w:val="22"/>
          <w:lang w:val="fr-CA"/>
        </w:rPr>
      </w:pPr>
      <w:r>
        <w:rPr>
          <w:sz w:val="22"/>
          <w:szCs w:val="22"/>
          <w:lang w:val="fr-CA"/>
        </w:rPr>
        <w:t xml:space="preserve">Les mêmes autorités se sont réunies en février 2018 </w:t>
      </w:r>
      <w:r w:rsidR="005F640D">
        <w:rPr>
          <w:sz w:val="22"/>
          <w:szCs w:val="22"/>
          <w:lang w:val="fr-CA"/>
        </w:rPr>
        <w:t>à la Deuxième Conférence extraordinaire des États parties au</w:t>
      </w:r>
      <w:r w:rsidR="00B95E7C" w:rsidRPr="00221F6E">
        <w:rPr>
          <w:sz w:val="22"/>
          <w:szCs w:val="22"/>
          <w:lang w:val="fr-CA"/>
        </w:rPr>
        <w:t xml:space="preserve"> MESECVI,</w:t>
      </w:r>
      <w:r w:rsidR="005F640D">
        <w:rPr>
          <w:sz w:val="22"/>
          <w:szCs w:val="22"/>
          <w:lang w:val="fr-CA"/>
        </w:rPr>
        <w:t xml:space="preserve"> lors de laquelle elles ont décidé de “Favoriser un espace de rencontre entre les autorités compétentes au niveau national en ma</w:t>
      </w:r>
      <w:r w:rsidR="00361D46">
        <w:rPr>
          <w:sz w:val="22"/>
          <w:szCs w:val="22"/>
          <w:lang w:val="fr-CA"/>
        </w:rPr>
        <w:t>tière de traite des personnes et comportant des mécanismes d’intégration régionale de la lutte contre la traite des personnes et du</w:t>
      </w:r>
      <w:r w:rsidR="005F640D">
        <w:rPr>
          <w:sz w:val="22"/>
          <w:szCs w:val="22"/>
          <w:lang w:val="fr-CA"/>
        </w:rPr>
        <w:t xml:space="preserve"> </w:t>
      </w:r>
      <w:r w:rsidR="00B95E7C" w:rsidRPr="00221F6E">
        <w:rPr>
          <w:sz w:val="22"/>
          <w:szCs w:val="22"/>
          <w:lang w:val="fr-CA"/>
        </w:rPr>
        <w:t>ME</w:t>
      </w:r>
      <w:r w:rsidR="00361D46">
        <w:rPr>
          <w:sz w:val="22"/>
          <w:szCs w:val="22"/>
          <w:lang w:val="fr-CA"/>
        </w:rPr>
        <w:t>SECVI permettant le partage permanent de l’information pertinente sur les femmes et la perspective de la parité hommes-femmes dans ce domaine</w:t>
      </w:r>
      <w:r w:rsidR="00B95E7C" w:rsidRPr="00221F6E">
        <w:rPr>
          <w:sz w:val="22"/>
          <w:szCs w:val="22"/>
          <w:lang w:val="fr-CA"/>
        </w:rPr>
        <w:t>”.</w:t>
      </w:r>
    </w:p>
    <w:p w:rsidR="00B95E7C" w:rsidRPr="00221F6E" w:rsidRDefault="00B95E7C" w:rsidP="005A2DA8">
      <w:pPr>
        <w:pStyle w:val="ListParagraph"/>
        <w:ind w:hanging="720"/>
        <w:jc w:val="both"/>
        <w:rPr>
          <w:sz w:val="22"/>
          <w:szCs w:val="22"/>
          <w:lang w:val="fr-CA"/>
        </w:rPr>
      </w:pPr>
    </w:p>
    <w:p w:rsidR="00B95E7C" w:rsidRPr="00221F6E" w:rsidRDefault="00361D46" w:rsidP="005A2DA8">
      <w:pPr>
        <w:pStyle w:val="ListParagraph"/>
        <w:numPr>
          <w:ilvl w:val="0"/>
          <w:numId w:val="37"/>
        </w:numPr>
        <w:ind w:left="720" w:hanging="720"/>
        <w:jc w:val="both"/>
        <w:rPr>
          <w:sz w:val="22"/>
          <w:szCs w:val="22"/>
          <w:lang w:val="fr-CA"/>
        </w:rPr>
      </w:pPr>
      <w:r>
        <w:rPr>
          <w:sz w:val="22"/>
          <w:szCs w:val="22"/>
          <w:lang w:val="fr-CA"/>
        </w:rPr>
        <w:t>Lors de la Deuxième Réunion extraordinaire</w:t>
      </w:r>
      <w:r w:rsidR="00B95E7C" w:rsidRPr="00221F6E">
        <w:rPr>
          <w:sz w:val="22"/>
          <w:szCs w:val="22"/>
          <w:lang w:val="fr-CA"/>
        </w:rPr>
        <w:t xml:space="preserve"> de la CEP,</w:t>
      </w:r>
      <w:r w:rsidR="009A166C">
        <w:rPr>
          <w:sz w:val="22"/>
          <w:szCs w:val="22"/>
          <w:lang w:val="fr-CA"/>
        </w:rPr>
        <w:t xml:space="preserve"> les autorités ont adopté un nouveau Plan stratégique qui régira les activités du</w:t>
      </w:r>
      <w:r w:rsidR="00B95E7C" w:rsidRPr="00221F6E">
        <w:rPr>
          <w:sz w:val="22"/>
          <w:szCs w:val="22"/>
          <w:lang w:val="fr-CA"/>
        </w:rPr>
        <w:t xml:space="preserve"> MESECVI p</w:t>
      </w:r>
      <w:r w:rsidR="009A166C">
        <w:rPr>
          <w:sz w:val="22"/>
          <w:szCs w:val="22"/>
          <w:lang w:val="fr-CA"/>
        </w:rPr>
        <w:t>endant 5 ans</w:t>
      </w:r>
      <w:r w:rsidR="00B95E7C" w:rsidRPr="00221F6E">
        <w:rPr>
          <w:sz w:val="22"/>
          <w:szCs w:val="22"/>
          <w:lang w:val="fr-CA"/>
        </w:rPr>
        <w:t xml:space="preserve"> (2018-2023)</w:t>
      </w:r>
      <w:r w:rsidR="009A166C">
        <w:rPr>
          <w:sz w:val="22"/>
          <w:szCs w:val="22"/>
          <w:lang w:val="fr-CA"/>
        </w:rPr>
        <w:t xml:space="preserve"> et qui établit comme l’un de ses axes principaux le travail sur la question de la traite des personnes et sur les femmes portées disparues, en portant une attention particulière aux femmes et aux filles, dans une perspective de parité hommes-femmes</w:t>
      </w:r>
      <w:r w:rsidR="00B95E7C" w:rsidRPr="00221F6E">
        <w:rPr>
          <w:sz w:val="22"/>
          <w:szCs w:val="22"/>
          <w:lang w:val="fr-CA"/>
        </w:rPr>
        <w:t>.</w:t>
      </w:r>
    </w:p>
    <w:p w:rsidR="00B95E7C" w:rsidRPr="00221F6E" w:rsidRDefault="00B95E7C" w:rsidP="00CD5672">
      <w:pPr>
        <w:pStyle w:val="ListParagraph"/>
        <w:ind w:left="360" w:hanging="360"/>
        <w:jc w:val="both"/>
        <w:rPr>
          <w:sz w:val="22"/>
          <w:szCs w:val="22"/>
          <w:lang w:val="fr-CA"/>
        </w:rPr>
      </w:pPr>
    </w:p>
    <w:p w:rsidR="00B95E7C" w:rsidRPr="00221F6E" w:rsidRDefault="00AB4A69" w:rsidP="005A2DA8">
      <w:pPr>
        <w:pStyle w:val="ListParagraph"/>
        <w:numPr>
          <w:ilvl w:val="0"/>
          <w:numId w:val="37"/>
        </w:numPr>
        <w:ind w:left="720" w:hanging="720"/>
        <w:jc w:val="both"/>
        <w:rPr>
          <w:sz w:val="22"/>
          <w:szCs w:val="22"/>
          <w:lang w:val="fr-CA"/>
        </w:rPr>
      </w:pPr>
      <w:r w:rsidRPr="00221F6E">
        <w:rPr>
          <w:sz w:val="22"/>
          <w:szCs w:val="22"/>
          <w:lang w:val="fr-CA"/>
        </w:rPr>
        <w:t>E</w:t>
      </w:r>
      <w:r w:rsidR="00B95E7C" w:rsidRPr="00221F6E">
        <w:rPr>
          <w:sz w:val="22"/>
          <w:szCs w:val="22"/>
          <w:lang w:val="fr-CA"/>
        </w:rPr>
        <w:t>n 2018</w:t>
      </w:r>
      <w:r w:rsidRPr="00221F6E">
        <w:rPr>
          <w:sz w:val="22"/>
          <w:szCs w:val="22"/>
          <w:lang w:val="fr-CA"/>
        </w:rPr>
        <w:t>,</w:t>
      </w:r>
      <w:r w:rsidR="00342DDF">
        <w:rPr>
          <w:sz w:val="22"/>
          <w:szCs w:val="22"/>
          <w:lang w:val="fr-CA"/>
        </w:rPr>
        <w:t xml:space="preserve"> le</w:t>
      </w:r>
      <w:r w:rsidR="00B95E7C" w:rsidRPr="00221F6E">
        <w:rPr>
          <w:sz w:val="22"/>
          <w:szCs w:val="22"/>
          <w:lang w:val="fr-CA"/>
        </w:rPr>
        <w:t xml:space="preserve"> Comité</w:t>
      </w:r>
      <w:r w:rsidR="00342DDF">
        <w:rPr>
          <w:sz w:val="22"/>
          <w:szCs w:val="22"/>
          <w:lang w:val="fr-CA"/>
        </w:rPr>
        <w:t xml:space="preserve"> d’expertes a adopté la Recommandation générale Nº2 sur les femmes et les filles portées disparues dans le Continent américain, laquelle, entre autres facteurs, analyse la traite et la migration forcée de femmes en tant que causes de la disparition. Cette recommandation vise à encadrer </w:t>
      </w:r>
      <w:r w:rsidR="008525E1">
        <w:rPr>
          <w:sz w:val="22"/>
          <w:szCs w:val="22"/>
          <w:lang w:val="fr-CA"/>
        </w:rPr>
        <w:t>la disparition de femmes et de filles au sein de la Convention et, par conséquent, établir quelles sont les obligations des États parties pour prévenir cette forme de violence</w:t>
      </w:r>
      <w:r w:rsidR="00A27DF0">
        <w:rPr>
          <w:sz w:val="22"/>
          <w:szCs w:val="22"/>
          <w:lang w:val="fr-CA"/>
        </w:rPr>
        <w:t>, faire enquête à ce sujet, punir les coupables et l’éliminer.</w:t>
      </w:r>
      <w:r w:rsidR="00B95E7C" w:rsidRPr="00221F6E">
        <w:rPr>
          <w:sz w:val="22"/>
          <w:szCs w:val="22"/>
          <w:lang w:val="fr-CA"/>
        </w:rPr>
        <w:t xml:space="preserve"> </w:t>
      </w:r>
    </w:p>
    <w:p w:rsidR="00611B82" w:rsidRPr="00221F6E" w:rsidRDefault="00611B82" w:rsidP="005A2DA8">
      <w:pPr>
        <w:pStyle w:val="ListParagraph"/>
        <w:ind w:hanging="720"/>
        <w:jc w:val="both"/>
        <w:rPr>
          <w:sz w:val="22"/>
          <w:szCs w:val="22"/>
          <w:lang w:val="fr-CA"/>
        </w:rPr>
      </w:pPr>
    </w:p>
    <w:p w:rsidR="00B95E7C" w:rsidRPr="00221F6E" w:rsidRDefault="00A27DF0" w:rsidP="005A2DA8">
      <w:pPr>
        <w:numPr>
          <w:ilvl w:val="0"/>
          <w:numId w:val="37"/>
        </w:numPr>
        <w:ind w:left="720" w:hanging="720"/>
        <w:jc w:val="both"/>
        <w:rPr>
          <w:sz w:val="22"/>
          <w:szCs w:val="22"/>
          <w:lang w:val="fr-CA"/>
        </w:rPr>
      </w:pPr>
      <w:r>
        <w:rPr>
          <w:sz w:val="22"/>
          <w:szCs w:val="22"/>
          <w:lang w:val="fr-CA"/>
        </w:rPr>
        <w:lastRenderedPageBreak/>
        <w:t>Le 4 novembre 2019, le Comité d’expertes du</w:t>
      </w:r>
      <w:r w:rsidR="00B95E7C" w:rsidRPr="00221F6E">
        <w:rPr>
          <w:sz w:val="22"/>
          <w:szCs w:val="22"/>
          <w:lang w:val="fr-CA"/>
        </w:rPr>
        <w:t xml:space="preserve"> MESECVI</w:t>
      </w:r>
      <w:r>
        <w:rPr>
          <w:sz w:val="22"/>
          <w:szCs w:val="22"/>
          <w:lang w:val="fr-CA"/>
        </w:rPr>
        <w:t xml:space="preserve"> a envoyé un </w:t>
      </w:r>
      <w:proofErr w:type="spellStart"/>
      <w:r w:rsidRPr="00B36C9F">
        <w:rPr>
          <w:i/>
          <w:sz w:val="22"/>
          <w:szCs w:val="22"/>
          <w:lang w:val="fr-CA"/>
        </w:rPr>
        <w:t>amicus</w:t>
      </w:r>
      <w:proofErr w:type="spellEnd"/>
      <w:r>
        <w:rPr>
          <w:sz w:val="22"/>
          <w:szCs w:val="22"/>
          <w:lang w:val="fr-CA"/>
        </w:rPr>
        <w:t xml:space="preserve"> au Haut-Commissaire des Nations Unies pour les droits de la personne pour accomp</w:t>
      </w:r>
      <w:r w:rsidR="00B36C9F">
        <w:rPr>
          <w:sz w:val="22"/>
          <w:szCs w:val="22"/>
          <w:lang w:val="fr-CA"/>
        </w:rPr>
        <w:t>agner une demande dans l’affaire</w:t>
      </w:r>
      <w:r>
        <w:rPr>
          <w:sz w:val="22"/>
          <w:szCs w:val="22"/>
          <w:lang w:val="fr-CA"/>
        </w:rPr>
        <w:t xml:space="preserve"> </w:t>
      </w:r>
      <w:r w:rsidR="007B7F0F">
        <w:rPr>
          <w:sz w:val="22"/>
          <w:szCs w:val="22"/>
          <w:lang w:val="fr-CA"/>
        </w:rPr>
        <w:t>d’</w:t>
      </w:r>
      <w:r w:rsidR="00B36C9F">
        <w:rPr>
          <w:sz w:val="22"/>
          <w:szCs w:val="22"/>
          <w:lang w:val="fr-CA"/>
        </w:rPr>
        <w:t>A.R.B.M contre</w:t>
      </w:r>
      <w:r w:rsidR="00081DFA" w:rsidRPr="00221F6E">
        <w:rPr>
          <w:sz w:val="22"/>
          <w:szCs w:val="22"/>
          <w:lang w:val="fr-CA"/>
        </w:rPr>
        <w:t xml:space="preserve"> </w:t>
      </w:r>
      <w:r w:rsidR="00B36C9F">
        <w:rPr>
          <w:sz w:val="22"/>
          <w:szCs w:val="22"/>
          <w:lang w:val="fr-CA"/>
        </w:rPr>
        <w:t>l’Espagne face au</w:t>
      </w:r>
      <w:r w:rsidR="00B95E7C" w:rsidRPr="00221F6E">
        <w:rPr>
          <w:sz w:val="22"/>
          <w:szCs w:val="22"/>
          <w:lang w:val="fr-CA"/>
        </w:rPr>
        <w:t xml:space="preserve"> Comité</w:t>
      </w:r>
      <w:r w:rsidR="00B36C9F">
        <w:rPr>
          <w:sz w:val="22"/>
          <w:szCs w:val="22"/>
          <w:lang w:val="fr-CA"/>
        </w:rPr>
        <w:t xml:space="preserve"> pour l’élimination de la discrimination à l’égard des femmes</w:t>
      </w:r>
      <w:r w:rsidR="00B95E7C" w:rsidRPr="00221F6E">
        <w:rPr>
          <w:sz w:val="22"/>
          <w:szCs w:val="22"/>
          <w:lang w:val="fr-CA"/>
        </w:rPr>
        <w:t xml:space="preserve"> </w:t>
      </w:r>
      <w:r w:rsidR="00B36C9F">
        <w:rPr>
          <w:sz w:val="22"/>
          <w:szCs w:val="22"/>
          <w:lang w:val="fr-CA"/>
        </w:rPr>
        <w:t>(</w:t>
      </w:r>
      <w:r w:rsidR="00B95E7C" w:rsidRPr="00221F6E">
        <w:rPr>
          <w:sz w:val="22"/>
          <w:szCs w:val="22"/>
          <w:lang w:val="fr-CA"/>
        </w:rPr>
        <w:t>CEDAW</w:t>
      </w:r>
      <w:r w:rsidR="00B36C9F">
        <w:rPr>
          <w:sz w:val="22"/>
          <w:szCs w:val="22"/>
          <w:lang w:val="fr-CA"/>
        </w:rPr>
        <w:t>)</w:t>
      </w:r>
      <w:r w:rsidR="00081DFA" w:rsidRPr="00221F6E">
        <w:rPr>
          <w:sz w:val="22"/>
          <w:szCs w:val="22"/>
          <w:lang w:val="fr-CA"/>
        </w:rPr>
        <w:t>,</w:t>
      </w:r>
      <w:r w:rsidR="00B36C9F">
        <w:rPr>
          <w:sz w:val="22"/>
          <w:szCs w:val="22"/>
          <w:lang w:val="fr-CA"/>
        </w:rPr>
        <w:t xml:space="preserve"> pour protéger une femme victime de traite et d’exploitation à des fins sexuelles. Au nombre des arguments présentés, le Comité d’expertes s’est référé au devoir renforcé des États d</w:t>
      </w:r>
      <w:r w:rsidR="007B7F0F">
        <w:rPr>
          <w:sz w:val="22"/>
          <w:szCs w:val="22"/>
          <w:lang w:val="fr-CA"/>
        </w:rPr>
        <w:t xml:space="preserve">’origine, de transit et de destination de faire face à la traite des femmes et d’y répondre, considérant celle-ci comme une forme de violence et de discrimination à l’endroit des femmes fondée sur le sexe, selon une approche différentiée et spécialisée. </w:t>
      </w:r>
    </w:p>
    <w:p w:rsidR="00611B82" w:rsidRPr="00221F6E" w:rsidRDefault="00611B82" w:rsidP="005A2DA8">
      <w:pPr>
        <w:ind w:left="720" w:hanging="720"/>
        <w:jc w:val="both"/>
        <w:rPr>
          <w:sz w:val="22"/>
          <w:szCs w:val="22"/>
          <w:lang w:val="fr-CA"/>
        </w:rPr>
      </w:pPr>
    </w:p>
    <w:p w:rsidR="00224CEB" w:rsidRPr="00221F6E" w:rsidRDefault="00081DFA" w:rsidP="005A2DA8">
      <w:pPr>
        <w:numPr>
          <w:ilvl w:val="0"/>
          <w:numId w:val="37"/>
        </w:numPr>
        <w:ind w:left="720" w:hanging="720"/>
        <w:jc w:val="both"/>
        <w:rPr>
          <w:sz w:val="22"/>
          <w:szCs w:val="22"/>
          <w:lang w:val="fr-CA"/>
        </w:rPr>
      </w:pPr>
      <w:r w:rsidRPr="00221F6E">
        <w:rPr>
          <w:sz w:val="22"/>
          <w:szCs w:val="22"/>
          <w:lang w:val="fr-CA"/>
        </w:rPr>
        <w:t>L</w:t>
      </w:r>
      <w:r w:rsidR="00B95E7C" w:rsidRPr="00221F6E">
        <w:rPr>
          <w:sz w:val="22"/>
          <w:szCs w:val="22"/>
          <w:lang w:val="fr-CA"/>
        </w:rPr>
        <w:t>a CIM</w:t>
      </w:r>
      <w:r w:rsidR="00C43DC6">
        <w:rPr>
          <w:sz w:val="22"/>
          <w:szCs w:val="22"/>
          <w:lang w:val="fr-CA"/>
        </w:rPr>
        <w:t xml:space="preserve"> a tenté de créer des</w:t>
      </w:r>
      <w:r w:rsidR="007B7F0F">
        <w:rPr>
          <w:sz w:val="22"/>
          <w:szCs w:val="22"/>
          <w:lang w:val="fr-CA"/>
        </w:rPr>
        <w:t xml:space="preserve"> espace</w:t>
      </w:r>
      <w:r w:rsidR="00C43DC6">
        <w:rPr>
          <w:sz w:val="22"/>
          <w:szCs w:val="22"/>
          <w:lang w:val="fr-CA"/>
        </w:rPr>
        <w:t xml:space="preserve">s importants de dialogue politique sur les migrations et d’avoir une incidence sur ceux-ci. En septembre 2019, en collaboration avec le Centre pour les victimes de torture, la CIM a organisé une table de dialogue et une exposition d’art pour souligner les voix de femmes qui ont souffert de la </w:t>
      </w:r>
      <w:r w:rsidR="00241502">
        <w:rPr>
          <w:sz w:val="22"/>
          <w:szCs w:val="22"/>
          <w:lang w:val="fr-CA"/>
        </w:rPr>
        <w:t xml:space="preserve">violence dans leurs migrations de l’Amérique centrale vers le nord. Les panélistes du </w:t>
      </w:r>
      <w:r w:rsidR="00B95E7C" w:rsidRPr="00221F6E">
        <w:rPr>
          <w:sz w:val="22"/>
          <w:szCs w:val="22"/>
          <w:lang w:val="fr-CA"/>
        </w:rPr>
        <w:t>MESECVI,</w:t>
      </w:r>
      <w:r w:rsidR="00241502">
        <w:rPr>
          <w:sz w:val="22"/>
          <w:szCs w:val="22"/>
          <w:lang w:val="fr-CA"/>
        </w:rPr>
        <w:t xml:space="preserve"> du Groupe de travail sur l’Amérique latine (LAWG) et</w:t>
      </w:r>
      <w:r w:rsidR="00B95E7C" w:rsidRPr="00221F6E">
        <w:rPr>
          <w:sz w:val="22"/>
          <w:szCs w:val="22"/>
          <w:lang w:val="fr-CA"/>
        </w:rPr>
        <w:t xml:space="preserve"> de </w:t>
      </w:r>
      <w:proofErr w:type="spellStart"/>
      <w:r w:rsidR="00B95E7C" w:rsidRPr="00221F6E">
        <w:rPr>
          <w:sz w:val="22"/>
          <w:szCs w:val="22"/>
          <w:lang w:val="fr-CA"/>
        </w:rPr>
        <w:t>Together</w:t>
      </w:r>
      <w:proofErr w:type="spellEnd"/>
      <w:r w:rsidR="00B95E7C" w:rsidRPr="00221F6E">
        <w:rPr>
          <w:sz w:val="22"/>
          <w:szCs w:val="22"/>
          <w:lang w:val="fr-CA"/>
        </w:rPr>
        <w:t xml:space="preserve"> for Girls</w:t>
      </w:r>
      <w:r w:rsidR="00241502">
        <w:rPr>
          <w:sz w:val="22"/>
          <w:szCs w:val="22"/>
          <w:lang w:val="fr-CA"/>
        </w:rPr>
        <w:t xml:space="preserve"> ont analysé les facteurs qui sous-tendent la migration des femmes de la région, les répercussions des politiques actuelles dans les Amériques ainsi que les recommandations en vue de mieux aborder les besoins de ces femmes en tant que migrantes ainsi que dans leurs pays d’origine.</w:t>
      </w:r>
      <w:r w:rsidR="00B95E7C" w:rsidRPr="00221F6E">
        <w:rPr>
          <w:sz w:val="22"/>
          <w:szCs w:val="22"/>
          <w:lang w:val="fr-CA"/>
        </w:rPr>
        <w:t xml:space="preserve"> </w:t>
      </w:r>
    </w:p>
    <w:p w:rsidR="00980D4E" w:rsidRPr="00221F6E" w:rsidRDefault="00980D4E" w:rsidP="00050F3E">
      <w:pPr>
        <w:jc w:val="both"/>
        <w:rPr>
          <w:sz w:val="22"/>
          <w:szCs w:val="22"/>
          <w:lang w:val="fr-CA"/>
        </w:rPr>
      </w:pPr>
    </w:p>
    <w:p w:rsidR="00C0186F" w:rsidRPr="00221F6E" w:rsidRDefault="00C0186F" w:rsidP="005A2DA8">
      <w:pPr>
        <w:ind w:left="720" w:hanging="720"/>
        <w:jc w:val="both"/>
        <w:rPr>
          <w:b/>
          <w:sz w:val="22"/>
          <w:szCs w:val="22"/>
          <w:lang w:val="fr-CA"/>
        </w:rPr>
      </w:pPr>
      <w:r w:rsidRPr="00221F6E">
        <w:rPr>
          <w:b/>
          <w:sz w:val="22"/>
          <w:szCs w:val="22"/>
          <w:lang w:val="fr-CA"/>
        </w:rPr>
        <w:t xml:space="preserve">4. </w:t>
      </w:r>
      <w:r w:rsidR="00050F3E" w:rsidRPr="00221F6E">
        <w:rPr>
          <w:b/>
          <w:sz w:val="22"/>
          <w:szCs w:val="22"/>
          <w:lang w:val="fr-CA"/>
        </w:rPr>
        <w:tab/>
      </w:r>
      <w:r w:rsidR="00241502">
        <w:rPr>
          <w:b/>
          <w:sz w:val="22"/>
          <w:szCs w:val="22"/>
          <w:lang w:val="fr-CA"/>
        </w:rPr>
        <w:t>Rapport de l’Institut interaméricain de l’enfance et de l’adolescence</w:t>
      </w:r>
      <w:r w:rsidR="00B95E7C" w:rsidRPr="00221F6E">
        <w:rPr>
          <w:b/>
          <w:sz w:val="22"/>
          <w:szCs w:val="22"/>
          <w:lang w:val="fr-CA"/>
        </w:rPr>
        <w:t xml:space="preserve"> (INN) </w:t>
      </w:r>
    </w:p>
    <w:p w:rsidR="00B95E7C" w:rsidRPr="00221F6E" w:rsidRDefault="00B95E7C" w:rsidP="00FF4579">
      <w:pPr>
        <w:jc w:val="both"/>
        <w:rPr>
          <w:sz w:val="22"/>
          <w:szCs w:val="22"/>
          <w:lang w:val="fr-CA"/>
        </w:rPr>
      </w:pPr>
    </w:p>
    <w:p w:rsidR="00B95E7C" w:rsidRPr="00221F6E" w:rsidRDefault="00241502" w:rsidP="005A2DA8">
      <w:pPr>
        <w:numPr>
          <w:ilvl w:val="0"/>
          <w:numId w:val="38"/>
        </w:numPr>
        <w:ind w:left="720" w:hanging="720"/>
        <w:jc w:val="both"/>
        <w:rPr>
          <w:sz w:val="22"/>
          <w:szCs w:val="22"/>
          <w:lang w:val="fr-CA"/>
        </w:rPr>
      </w:pPr>
      <w:r>
        <w:rPr>
          <w:sz w:val="22"/>
          <w:szCs w:val="22"/>
          <w:lang w:val="fr-CA"/>
        </w:rPr>
        <w:t>Dans le cadre du Processus</w:t>
      </w:r>
      <w:r w:rsidR="00B95E7C" w:rsidRPr="00221F6E">
        <w:rPr>
          <w:sz w:val="22"/>
          <w:szCs w:val="22"/>
          <w:lang w:val="fr-CA"/>
        </w:rPr>
        <w:t xml:space="preserve"> de Quito,</w:t>
      </w:r>
      <w:r>
        <w:rPr>
          <w:sz w:val="22"/>
          <w:szCs w:val="22"/>
          <w:lang w:val="fr-CA"/>
        </w:rPr>
        <w:t xml:space="preserve"> vers la fin de mars 2019 eut lieu une Réunion régionale technique de haut niveau, à laquelle ont participé des représentants des institutions publiques </w:t>
      </w:r>
      <w:r w:rsidR="00093DAE">
        <w:rPr>
          <w:sz w:val="22"/>
          <w:szCs w:val="22"/>
          <w:lang w:val="fr-CA"/>
        </w:rPr>
        <w:t xml:space="preserve">de protection des personnes réfugiées, des systèmes de promotion, de protection </w:t>
      </w:r>
      <w:r w:rsidR="00093DAE">
        <w:rPr>
          <w:sz w:val="22"/>
          <w:szCs w:val="22"/>
          <w:lang w:val="fr-CA"/>
        </w:rPr>
        <w:lastRenderedPageBreak/>
        <w:t>et d’exercice des droits des enfants et des adolescents, et lors de laquelle les participants ont souligné la nécessité et l’opportunité de créer un Protocole de coopération régionale pour la protection des enfants et des adolescents</w:t>
      </w:r>
      <w:r w:rsidR="00573051">
        <w:rPr>
          <w:sz w:val="22"/>
          <w:szCs w:val="22"/>
          <w:lang w:val="fr-CA"/>
        </w:rPr>
        <w:t xml:space="preserve"> dans un contexte de mobilité humaine. Un groupe interinstitutionnel composé de l’OIM, du HCR, de l’IIN-OEA et de l’IPPDH. On dispose en ce moment d’un projet de protocole.</w:t>
      </w:r>
      <w:r w:rsidR="00B95E7C" w:rsidRPr="00221F6E">
        <w:rPr>
          <w:sz w:val="22"/>
          <w:szCs w:val="22"/>
          <w:lang w:val="fr-CA"/>
        </w:rPr>
        <w:t xml:space="preserve"> </w:t>
      </w:r>
    </w:p>
    <w:p w:rsidR="004000B7" w:rsidRPr="00221F6E" w:rsidRDefault="004000B7" w:rsidP="005A2DA8">
      <w:pPr>
        <w:pStyle w:val="ListParagraph"/>
        <w:ind w:hanging="720"/>
        <w:jc w:val="both"/>
        <w:rPr>
          <w:sz w:val="22"/>
          <w:szCs w:val="22"/>
          <w:lang w:val="fr-CA"/>
        </w:rPr>
      </w:pPr>
    </w:p>
    <w:p w:rsidR="00664BDA" w:rsidRPr="00221F6E" w:rsidRDefault="00573051" w:rsidP="005A2DA8">
      <w:pPr>
        <w:pStyle w:val="ListParagraph"/>
        <w:numPr>
          <w:ilvl w:val="0"/>
          <w:numId w:val="38"/>
        </w:numPr>
        <w:ind w:left="720" w:hanging="720"/>
        <w:jc w:val="both"/>
        <w:rPr>
          <w:sz w:val="22"/>
          <w:szCs w:val="22"/>
          <w:lang w:val="fr-CA"/>
        </w:rPr>
      </w:pPr>
      <w:r>
        <w:rPr>
          <w:sz w:val="22"/>
          <w:szCs w:val="22"/>
          <w:lang w:val="fr-CA"/>
        </w:rPr>
        <w:t>L’</w:t>
      </w:r>
      <w:r w:rsidR="00B95E7C" w:rsidRPr="00221F6E">
        <w:rPr>
          <w:sz w:val="22"/>
          <w:szCs w:val="22"/>
          <w:lang w:val="fr-CA"/>
        </w:rPr>
        <w:t>IIN</w:t>
      </w:r>
      <w:r>
        <w:rPr>
          <w:sz w:val="22"/>
          <w:szCs w:val="22"/>
          <w:lang w:val="fr-CA"/>
        </w:rPr>
        <w:t xml:space="preserve"> a élaboré l’étude</w:t>
      </w:r>
      <w:r w:rsidR="00B95E7C" w:rsidRPr="00221F6E">
        <w:rPr>
          <w:sz w:val="22"/>
          <w:szCs w:val="22"/>
          <w:lang w:val="fr-CA"/>
        </w:rPr>
        <w:t xml:space="preserve"> “Migra</w:t>
      </w:r>
      <w:r w:rsidR="00680E2A">
        <w:rPr>
          <w:sz w:val="22"/>
          <w:szCs w:val="22"/>
          <w:lang w:val="fr-CA"/>
        </w:rPr>
        <w:t>tions et petite enfance en Amérique latine et dans la Caraïbe : croisements entre une nouvelle scène régionale, la loi et l’intervention de l’État”, qui aborde le phénomène de la mobilité humaine de façon générale et principalement la situation des</w:t>
      </w:r>
      <w:r w:rsidR="008051A9">
        <w:rPr>
          <w:sz w:val="22"/>
          <w:szCs w:val="22"/>
          <w:lang w:val="fr-CA"/>
        </w:rPr>
        <w:t xml:space="preserve"> jeunes</w:t>
      </w:r>
      <w:r w:rsidR="00680E2A">
        <w:rPr>
          <w:sz w:val="22"/>
          <w:szCs w:val="22"/>
          <w:lang w:val="fr-CA"/>
        </w:rPr>
        <w:t xml:space="preserve"> enfants</w:t>
      </w:r>
      <w:r w:rsidR="008051A9">
        <w:rPr>
          <w:sz w:val="22"/>
          <w:szCs w:val="22"/>
          <w:lang w:val="fr-CA"/>
        </w:rPr>
        <w:t>. Les résultats et conclusions les plus importants de ce document sont les suivants :</w:t>
      </w:r>
      <w:r w:rsidR="00680E2A">
        <w:rPr>
          <w:sz w:val="22"/>
          <w:szCs w:val="22"/>
          <w:lang w:val="fr-CA"/>
        </w:rPr>
        <w:t xml:space="preserve"> </w:t>
      </w:r>
    </w:p>
    <w:p w:rsidR="00664BDA" w:rsidRPr="00221F6E" w:rsidRDefault="00664BDA" w:rsidP="00664BDA">
      <w:pPr>
        <w:pStyle w:val="ListParagraph"/>
        <w:rPr>
          <w:sz w:val="22"/>
          <w:szCs w:val="22"/>
          <w:lang w:val="fr-CA"/>
        </w:rPr>
      </w:pPr>
    </w:p>
    <w:p w:rsidR="00664BDA" w:rsidRPr="00221F6E" w:rsidRDefault="008051A9" w:rsidP="005A2DA8">
      <w:pPr>
        <w:pStyle w:val="ListParagraph"/>
        <w:numPr>
          <w:ilvl w:val="0"/>
          <w:numId w:val="44"/>
        </w:numPr>
        <w:ind w:left="1440" w:hanging="720"/>
        <w:jc w:val="both"/>
        <w:rPr>
          <w:sz w:val="22"/>
          <w:szCs w:val="22"/>
          <w:lang w:val="fr-CA"/>
        </w:rPr>
      </w:pPr>
      <w:r>
        <w:rPr>
          <w:sz w:val="22"/>
          <w:szCs w:val="22"/>
          <w:lang w:val="fr-CA"/>
        </w:rPr>
        <w:t>L’invisibilité qui est encore le lot des enfants et des adolescents, et encore plus des jeunes enfants, dans la façon d’aborder le phénomène de la mobilité humaine</w:t>
      </w:r>
      <w:r w:rsidR="00664BDA" w:rsidRPr="00221F6E">
        <w:rPr>
          <w:sz w:val="22"/>
          <w:szCs w:val="22"/>
          <w:lang w:val="fr-CA"/>
        </w:rPr>
        <w:t>;</w:t>
      </w:r>
      <w:r w:rsidR="00B95E7C" w:rsidRPr="00221F6E">
        <w:rPr>
          <w:sz w:val="22"/>
          <w:szCs w:val="22"/>
          <w:lang w:val="fr-CA"/>
        </w:rPr>
        <w:t xml:space="preserve"> </w:t>
      </w:r>
    </w:p>
    <w:p w:rsidR="00664BDA" w:rsidRPr="00221F6E" w:rsidRDefault="00B95E7C" w:rsidP="005A2DA8">
      <w:pPr>
        <w:pStyle w:val="ListParagraph"/>
        <w:numPr>
          <w:ilvl w:val="0"/>
          <w:numId w:val="44"/>
        </w:numPr>
        <w:ind w:left="1440" w:hanging="720"/>
        <w:jc w:val="both"/>
        <w:rPr>
          <w:sz w:val="22"/>
          <w:szCs w:val="22"/>
          <w:lang w:val="fr-CA"/>
        </w:rPr>
      </w:pPr>
      <w:proofErr w:type="gramStart"/>
      <w:r w:rsidRPr="00221F6E">
        <w:rPr>
          <w:sz w:val="22"/>
          <w:szCs w:val="22"/>
          <w:lang w:val="fr-CA"/>
        </w:rPr>
        <w:t>la</w:t>
      </w:r>
      <w:proofErr w:type="gramEnd"/>
      <w:r w:rsidRPr="00221F6E">
        <w:rPr>
          <w:sz w:val="22"/>
          <w:szCs w:val="22"/>
          <w:lang w:val="fr-CA"/>
        </w:rPr>
        <w:t xml:space="preserve"> multiplici</w:t>
      </w:r>
      <w:r w:rsidR="008051A9">
        <w:rPr>
          <w:sz w:val="22"/>
          <w:szCs w:val="22"/>
          <w:lang w:val="fr-CA"/>
        </w:rPr>
        <w:t>té des causes structurelles qui créent des inégalités et des barrières dans l’exercice des droits, celles qui se convertissent en causes de la migration depuis le pays d’origine</w:t>
      </w:r>
      <w:r w:rsidR="00664BDA" w:rsidRPr="00221F6E">
        <w:rPr>
          <w:sz w:val="22"/>
          <w:szCs w:val="22"/>
          <w:lang w:val="fr-CA"/>
        </w:rPr>
        <w:t>;</w:t>
      </w:r>
      <w:r w:rsidRPr="00221F6E">
        <w:rPr>
          <w:sz w:val="22"/>
          <w:szCs w:val="22"/>
          <w:lang w:val="fr-CA"/>
        </w:rPr>
        <w:t xml:space="preserve"> </w:t>
      </w:r>
    </w:p>
    <w:p w:rsidR="00664BDA" w:rsidRPr="00221F6E" w:rsidRDefault="00714009" w:rsidP="005A2DA8">
      <w:pPr>
        <w:pStyle w:val="ListParagraph"/>
        <w:numPr>
          <w:ilvl w:val="0"/>
          <w:numId w:val="44"/>
        </w:numPr>
        <w:ind w:left="1440" w:hanging="720"/>
        <w:jc w:val="both"/>
        <w:rPr>
          <w:sz w:val="22"/>
          <w:szCs w:val="22"/>
          <w:lang w:val="fr-CA"/>
        </w:rPr>
      </w:pPr>
      <w:proofErr w:type="gramStart"/>
      <w:r>
        <w:rPr>
          <w:sz w:val="22"/>
          <w:szCs w:val="22"/>
          <w:lang w:val="fr-CA"/>
        </w:rPr>
        <w:t>il</w:t>
      </w:r>
      <w:proofErr w:type="gramEnd"/>
      <w:r>
        <w:rPr>
          <w:sz w:val="22"/>
          <w:szCs w:val="22"/>
          <w:lang w:val="fr-CA"/>
        </w:rPr>
        <w:t xml:space="preserve"> existe dans les cadres normatifs nationaux </w:t>
      </w:r>
      <w:r w:rsidR="00BA02F7">
        <w:rPr>
          <w:sz w:val="22"/>
          <w:szCs w:val="22"/>
          <w:lang w:val="fr-CA"/>
        </w:rPr>
        <w:t>une tendance à inclure les droits des enfants et des adolescents migrants, mais il reste encore bien du chemin à faire pour que cette reconnaissance puisse être exercée en égalité de conditions avec les gens du pays</w:t>
      </w:r>
      <w:r w:rsidR="00664BDA" w:rsidRPr="00221F6E">
        <w:rPr>
          <w:sz w:val="22"/>
          <w:szCs w:val="22"/>
          <w:lang w:val="fr-CA"/>
        </w:rPr>
        <w:t>;</w:t>
      </w:r>
    </w:p>
    <w:p w:rsidR="00664BDA" w:rsidRPr="00221F6E" w:rsidRDefault="00B95E7C" w:rsidP="005A2DA8">
      <w:pPr>
        <w:pStyle w:val="ListParagraph"/>
        <w:numPr>
          <w:ilvl w:val="0"/>
          <w:numId w:val="44"/>
        </w:numPr>
        <w:ind w:left="1440" w:hanging="720"/>
        <w:jc w:val="both"/>
        <w:rPr>
          <w:sz w:val="22"/>
          <w:szCs w:val="22"/>
          <w:lang w:val="fr-CA"/>
        </w:rPr>
      </w:pPr>
      <w:proofErr w:type="gramStart"/>
      <w:r w:rsidRPr="00221F6E">
        <w:rPr>
          <w:sz w:val="22"/>
          <w:szCs w:val="22"/>
          <w:lang w:val="fr-CA"/>
        </w:rPr>
        <w:t>la</w:t>
      </w:r>
      <w:proofErr w:type="gramEnd"/>
      <w:r w:rsidRPr="00221F6E">
        <w:rPr>
          <w:sz w:val="22"/>
          <w:szCs w:val="22"/>
          <w:lang w:val="fr-CA"/>
        </w:rPr>
        <w:t xml:space="preserve"> n</w:t>
      </w:r>
      <w:r w:rsidR="00BA02F7">
        <w:rPr>
          <w:sz w:val="22"/>
          <w:szCs w:val="22"/>
          <w:lang w:val="fr-CA"/>
        </w:rPr>
        <w:t>écessité d</w:t>
      </w:r>
      <w:r w:rsidR="00E0307F">
        <w:rPr>
          <w:sz w:val="22"/>
          <w:szCs w:val="22"/>
          <w:lang w:val="fr-CA"/>
        </w:rPr>
        <w:t>e participer plus aux systèmes de promotion, de protection et d’exercice des droits des enfants et des adolescents afin d’intervenir depuis la formulation même de politiques publiques</w:t>
      </w:r>
      <w:r w:rsidR="00955EA6" w:rsidRPr="00221F6E">
        <w:rPr>
          <w:sz w:val="22"/>
          <w:szCs w:val="22"/>
          <w:lang w:val="fr-CA"/>
        </w:rPr>
        <w:t>;</w:t>
      </w:r>
    </w:p>
    <w:p w:rsidR="00B95E7C" w:rsidRPr="00221F6E" w:rsidRDefault="00B95E7C" w:rsidP="005A2DA8">
      <w:pPr>
        <w:pStyle w:val="ListParagraph"/>
        <w:numPr>
          <w:ilvl w:val="0"/>
          <w:numId w:val="44"/>
        </w:numPr>
        <w:ind w:left="1440" w:hanging="720"/>
        <w:jc w:val="both"/>
        <w:rPr>
          <w:sz w:val="22"/>
          <w:szCs w:val="22"/>
          <w:lang w:val="fr-CA"/>
        </w:rPr>
      </w:pPr>
      <w:proofErr w:type="gramStart"/>
      <w:r w:rsidRPr="00221F6E">
        <w:rPr>
          <w:sz w:val="22"/>
          <w:szCs w:val="22"/>
          <w:lang w:val="fr-CA"/>
        </w:rPr>
        <w:t>la</w:t>
      </w:r>
      <w:proofErr w:type="gramEnd"/>
      <w:r w:rsidRPr="00221F6E">
        <w:rPr>
          <w:sz w:val="22"/>
          <w:szCs w:val="22"/>
          <w:lang w:val="fr-CA"/>
        </w:rPr>
        <w:t xml:space="preserve"> n</w:t>
      </w:r>
      <w:r w:rsidR="00E0307F">
        <w:rPr>
          <w:sz w:val="22"/>
          <w:szCs w:val="22"/>
          <w:lang w:val="fr-CA"/>
        </w:rPr>
        <w:t xml:space="preserve">écessité </w:t>
      </w:r>
      <w:r w:rsidR="00D41EE1">
        <w:rPr>
          <w:sz w:val="22"/>
          <w:szCs w:val="22"/>
          <w:lang w:val="fr-CA"/>
        </w:rPr>
        <w:t xml:space="preserve">et l’importance de progresser dans des voies ou des mécanismes régionaux de promotion, de protection </w:t>
      </w:r>
      <w:r w:rsidR="00D41EE1">
        <w:rPr>
          <w:sz w:val="22"/>
          <w:szCs w:val="22"/>
          <w:lang w:val="fr-CA"/>
        </w:rPr>
        <w:lastRenderedPageBreak/>
        <w:t>et d’exercice des droits ainsi que dans leurs mécanismes d’articulation</w:t>
      </w:r>
      <w:r w:rsidRPr="00221F6E">
        <w:rPr>
          <w:sz w:val="22"/>
          <w:szCs w:val="22"/>
          <w:lang w:val="fr-CA"/>
        </w:rPr>
        <w:t>.</w:t>
      </w:r>
    </w:p>
    <w:p w:rsidR="004000B7" w:rsidRPr="00221F6E" w:rsidRDefault="004000B7" w:rsidP="004000B7">
      <w:pPr>
        <w:pStyle w:val="ListParagraph"/>
        <w:jc w:val="both"/>
        <w:rPr>
          <w:sz w:val="22"/>
          <w:szCs w:val="22"/>
          <w:lang w:val="fr-CA"/>
        </w:rPr>
      </w:pPr>
    </w:p>
    <w:p w:rsidR="00B95E7C" w:rsidRPr="00221F6E" w:rsidRDefault="00B95E7C" w:rsidP="005A2DA8">
      <w:pPr>
        <w:pStyle w:val="ListParagraph"/>
        <w:numPr>
          <w:ilvl w:val="0"/>
          <w:numId w:val="38"/>
        </w:numPr>
        <w:ind w:left="720" w:hanging="720"/>
        <w:jc w:val="both"/>
        <w:rPr>
          <w:sz w:val="22"/>
          <w:szCs w:val="22"/>
          <w:lang w:val="fr-CA"/>
        </w:rPr>
      </w:pPr>
      <w:r w:rsidRPr="00221F6E">
        <w:rPr>
          <w:sz w:val="22"/>
          <w:szCs w:val="22"/>
          <w:lang w:val="fr-CA"/>
        </w:rPr>
        <w:t>De</w:t>
      </w:r>
      <w:r w:rsidR="00D41EE1">
        <w:rPr>
          <w:sz w:val="22"/>
          <w:szCs w:val="22"/>
          <w:lang w:val="fr-CA"/>
        </w:rPr>
        <w:t>puis le second semestre de 2019, l’IIN travaille à la création et à la consolidation d’un Réseau de liens techniques qui fasse office régulièrement d’espace virtuel d’échange et de discussion</w:t>
      </w:r>
      <w:r w:rsidR="0080097C">
        <w:rPr>
          <w:sz w:val="22"/>
          <w:szCs w:val="22"/>
          <w:lang w:val="fr-CA"/>
        </w:rPr>
        <w:t>, dans le but d’é</w:t>
      </w:r>
      <w:r w:rsidR="0048240F">
        <w:rPr>
          <w:sz w:val="22"/>
          <w:szCs w:val="22"/>
          <w:lang w:val="fr-CA"/>
        </w:rPr>
        <w:t>valuer</w:t>
      </w:r>
      <w:r w:rsidR="0080097C">
        <w:rPr>
          <w:sz w:val="22"/>
          <w:szCs w:val="22"/>
          <w:lang w:val="fr-CA"/>
        </w:rPr>
        <w:t xml:space="preserve"> l’état de la situation</w:t>
      </w:r>
      <w:r w:rsidR="0048240F">
        <w:rPr>
          <w:sz w:val="22"/>
          <w:szCs w:val="22"/>
          <w:lang w:val="fr-CA"/>
        </w:rPr>
        <w:t xml:space="preserve"> dans la région et de partager des bonnes pratiques en matière de relations avec les enfants et les adolescents en situation de mobilité humaine. Pour l’année en cours, l’élaboration d’un document contenant des bonnes pratiques et des recommandations est prévue</w:t>
      </w:r>
      <w:r w:rsidRPr="00221F6E">
        <w:rPr>
          <w:sz w:val="22"/>
          <w:szCs w:val="22"/>
          <w:lang w:val="fr-CA"/>
        </w:rPr>
        <w:t>.</w:t>
      </w:r>
    </w:p>
    <w:p w:rsidR="004000B7" w:rsidRPr="00221F6E" w:rsidRDefault="004000B7" w:rsidP="005A2DA8">
      <w:pPr>
        <w:pStyle w:val="ListParagraph"/>
        <w:ind w:hanging="720"/>
        <w:jc w:val="both"/>
        <w:rPr>
          <w:sz w:val="22"/>
          <w:szCs w:val="22"/>
          <w:lang w:val="fr-CA"/>
        </w:rPr>
      </w:pPr>
    </w:p>
    <w:p w:rsidR="00B95E7C" w:rsidRPr="00221F6E" w:rsidRDefault="0048240F" w:rsidP="005A2DA8">
      <w:pPr>
        <w:pStyle w:val="ListParagraph"/>
        <w:numPr>
          <w:ilvl w:val="0"/>
          <w:numId w:val="38"/>
        </w:numPr>
        <w:ind w:left="720" w:hanging="720"/>
        <w:jc w:val="both"/>
        <w:rPr>
          <w:sz w:val="22"/>
          <w:szCs w:val="22"/>
          <w:lang w:val="fr-CA"/>
        </w:rPr>
      </w:pPr>
      <w:r>
        <w:rPr>
          <w:sz w:val="22"/>
          <w:szCs w:val="22"/>
          <w:lang w:val="fr-CA"/>
        </w:rPr>
        <w:t>Le document</w:t>
      </w:r>
      <w:r w:rsidR="005546EE">
        <w:rPr>
          <w:sz w:val="22"/>
          <w:szCs w:val="22"/>
          <w:lang w:val="fr-CA"/>
        </w:rPr>
        <w:t xml:space="preserve"> </w:t>
      </w:r>
      <w:r w:rsidR="00B95E7C" w:rsidRPr="00221F6E">
        <w:rPr>
          <w:sz w:val="22"/>
          <w:szCs w:val="22"/>
          <w:lang w:val="fr-CA"/>
        </w:rPr>
        <w:t>“</w:t>
      </w:r>
      <w:r w:rsidR="005546EE">
        <w:rPr>
          <w:sz w:val="22"/>
          <w:szCs w:val="22"/>
          <w:lang w:val="fr-CA"/>
        </w:rPr>
        <w:t>Enfants et adolescents : concepts fondamentaux</w:t>
      </w:r>
      <w:r w:rsidR="00B95E7C" w:rsidRPr="00221F6E">
        <w:rPr>
          <w:sz w:val="22"/>
          <w:szCs w:val="22"/>
          <w:lang w:val="fr-CA"/>
        </w:rPr>
        <w:t>”</w:t>
      </w:r>
      <w:r>
        <w:rPr>
          <w:sz w:val="22"/>
          <w:szCs w:val="22"/>
          <w:lang w:val="fr-CA"/>
        </w:rPr>
        <w:t xml:space="preserve"> a également été élaboré</w:t>
      </w:r>
      <w:r w:rsidR="005546EE">
        <w:rPr>
          <w:sz w:val="22"/>
          <w:szCs w:val="22"/>
          <w:lang w:val="fr-CA"/>
        </w:rPr>
        <w:t>, de même que la note thématique</w:t>
      </w:r>
      <w:r w:rsidR="00B95E7C" w:rsidRPr="00221F6E">
        <w:rPr>
          <w:sz w:val="22"/>
          <w:szCs w:val="22"/>
          <w:lang w:val="fr-CA"/>
        </w:rPr>
        <w:t xml:space="preserve"> “R</w:t>
      </w:r>
      <w:r w:rsidR="005546EE">
        <w:rPr>
          <w:sz w:val="22"/>
          <w:szCs w:val="22"/>
          <w:lang w:val="fr-CA"/>
        </w:rPr>
        <w:t>éflexions sur l’exploitations d’enfants et d’adolescents à des fins sexuelles dans une perspective de parité hommes-femmes</w:t>
      </w:r>
      <w:r w:rsidR="00B95E7C" w:rsidRPr="00221F6E">
        <w:rPr>
          <w:sz w:val="22"/>
          <w:szCs w:val="22"/>
          <w:lang w:val="fr-CA"/>
        </w:rPr>
        <w:t>”.</w:t>
      </w:r>
    </w:p>
    <w:p w:rsidR="004000B7" w:rsidRPr="00221F6E" w:rsidRDefault="004000B7" w:rsidP="005A2DA8">
      <w:pPr>
        <w:pStyle w:val="ListParagraph"/>
        <w:ind w:hanging="720"/>
        <w:rPr>
          <w:sz w:val="22"/>
          <w:szCs w:val="22"/>
          <w:lang w:val="fr-CA"/>
        </w:rPr>
      </w:pPr>
    </w:p>
    <w:p w:rsidR="00B95E7C" w:rsidRPr="00221F6E" w:rsidRDefault="005546EE" w:rsidP="005A2DA8">
      <w:pPr>
        <w:pStyle w:val="ListParagraph"/>
        <w:numPr>
          <w:ilvl w:val="0"/>
          <w:numId w:val="38"/>
        </w:numPr>
        <w:ind w:left="720" w:hanging="720"/>
        <w:jc w:val="both"/>
        <w:rPr>
          <w:sz w:val="22"/>
          <w:szCs w:val="22"/>
          <w:lang w:val="fr-CA"/>
        </w:rPr>
      </w:pPr>
      <w:r>
        <w:rPr>
          <w:sz w:val="22"/>
          <w:szCs w:val="22"/>
          <w:lang w:val="fr-CA"/>
        </w:rPr>
        <w:t>L’</w:t>
      </w:r>
      <w:r w:rsidR="00B95E7C" w:rsidRPr="00221F6E">
        <w:rPr>
          <w:sz w:val="22"/>
          <w:szCs w:val="22"/>
          <w:lang w:val="fr-CA"/>
        </w:rPr>
        <w:t>IIN</w:t>
      </w:r>
      <w:r>
        <w:rPr>
          <w:sz w:val="22"/>
          <w:szCs w:val="22"/>
          <w:lang w:val="fr-CA"/>
        </w:rPr>
        <w:t xml:space="preserve"> a apporté une aide technique au Ministère de l’enfance et de l’adolescence du</w:t>
      </w:r>
      <w:r w:rsidR="00B95E7C" w:rsidRPr="00221F6E">
        <w:rPr>
          <w:sz w:val="22"/>
          <w:szCs w:val="22"/>
          <w:lang w:val="fr-CA"/>
        </w:rPr>
        <w:t xml:space="preserve"> Paraguay</w:t>
      </w:r>
      <w:r>
        <w:rPr>
          <w:sz w:val="22"/>
          <w:szCs w:val="22"/>
          <w:lang w:val="fr-CA"/>
        </w:rPr>
        <w:t xml:space="preserve"> pour l’élaboration du texte de l’avant-projet de loi “qui réglemente la restitution internationale d’enfants et d’adolescents</w:t>
      </w:r>
      <w:r w:rsidR="00B95E7C" w:rsidRPr="00221F6E">
        <w:rPr>
          <w:sz w:val="22"/>
          <w:szCs w:val="22"/>
          <w:lang w:val="fr-CA"/>
        </w:rPr>
        <w:t>”.</w:t>
      </w:r>
    </w:p>
    <w:p w:rsidR="004000B7" w:rsidRPr="00221F6E" w:rsidRDefault="004000B7" w:rsidP="005A2DA8">
      <w:pPr>
        <w:pStyle w:val="ListParagraph"/>
        <w:ind w:hanging="720"/>
        <w:jc w:val="both"/>
        <w:rPr>
          <w:sz w:val="22"/>
          <w:szCs w:val="22"/>
          <w:lang w:val="fr-CA"/>
        </w:rPr>
      </w:pPr>
    </w:p>
    <w:p w:rsidR="00B95E7C" w:rsidRPr="00221F6E" w:rsidRDefault="00B752DB" w:rsidP="005A2DA8">
      <w:pPr>
        <w:pStyle w:val="ListParagraph"/>
        <w:numPr>
          <w:ilvl w:val="0"/>
          <w:numId w:val="38"/>
        </w:numPr>
        <w:ind w:left="720" w:hanging="720"/>
        <w:jc w:val="both"/>
        <w:rPr>
          <w:sz w:val="22"/>
          <w:szCs w:val="22"/>
          <w:lang w:val="fr-CA"/>
        </w:rPr>
      </w:pPr>
      <w:r>
        <w:rPr>
          <w:sz w:val="22"/>
          <w:szCs w:val="22"/>
          <w:lang w:val="fr-CA"/>
        </w:rPr>
        <w:t xml:space="preserve">L’INN fournit également une assistance technique à caractère permanent au Groupe d’action régionale des Amériques </w:t>
      </w:r>
      <w:r w:rsidR="00B95E7C" w:rsidRPr="00221F6E">
        <w:rPr>
          <w:sz w:val="22"/>
          <w:szCs w:val="22"/>
          <w:lang w:val="fr-CA"/>
        </w:rPr>
        <w:t>(GARA)</w:t>
      </w:r>
      <w:r>
        <w:rPr>
          <w:sz w:val="22"/>
          <w:szCs w:val="22"/>
          <w:lang w:val="fr-CA"/>
        </w:rPr>
        <w:t xml:space="preserve"> pour la prévention de l’exploitation d’enfants et d’adolescents à des fins sexuelles dans des voyages ou dans le domaine du tourisme</w:t>
      </w:r>
      <w:r w:rsidR="00B95E7C" w:rsidRPr="00221F6E">
        <w:rPr>
          <w:sz w:val="22"/>
          <w:szCs w:val="22"/>
          <w:lang w:val="fr-CA"/>
        </w:rPr>
        <w:t>.</w:t>
      </w:r>
    </w:p>
    <w:p w:rsidR="004000B7" w:rsidRPr="00221F6E" w:rsidRDefault="004000B7" w:rsidP="005A2DA8">
      <w:pPr>
        <w:pStyle w:val="ListParagraph"/>
        <w:ind w:hanging="720"/>
        <w:jc w:val="both"/>
        <w:rPr>
          <w:sz w:val="22"/>
          <w:szCs w:val="22"/>
          <w:lang w:val="fr-CA"/>
        </w:rPr>
      </w:pPr>
    </w:p>
    <w:p w:rsidR="00B95E7C" w:rsidRPr="00221F6E" w:rsidRDefault="00B752DB" w:rsidP="005A2DA8">
      <w:pPr>
        <w:pStyle w:val="ListParagraph"/>
        <w:numPr>
          <w:ilvl w:val="0"/>
          <w:numId w:val="38"/>
        </w:numPr>
        <w:ind w:left="720" w:hanging="720"/>
        <w:jc w:val="both"/>
        <w:rPr>
          <w:sz w:val="22"/>
          <w:szCs w:val="22"/>
          <w:lang w:val="fr-CA"/>
        </w:rPr>
      </w:pPr>
      <w:r>
        <w:rPr>
          <w:sz w:val="22"/>
          <w:szCs w:val="22"/>
          <w:lang w:val="fr-CA"/>
        </w:rPr>
        <w:t xml:space="preserve">La Cinquième Rencontre </w:t>
      </w:r>
      <w:proofErr w:type="spellStart"/>
      <w:r>
        <w:rPr>
          <w:sz w:val="22"/>
          <w:szCs w:val="22"/>
          <w:lang w:val="fr-CA"/>
        </w:rPr>
        <w:t>sous-régionale</w:t>
      </w:r>
      <w:proofErr w:type="spellEnd"/>
      <w:r w:rsidR="00B95E7C" w:rsidRPr="00221F6E">
        <w:rPr>
          <w:sz w:val="22"/>
          <w:szCs w:val="22"/>
          <w:lang w:val="fr-CA"/>
        </w:rPr>
        <w:t xml:space="preserve"> “Pr</w:t>
      </w:r>
      <w:r w:rsidR="005C33C2">
        <w:rPr>
          <w:sz w:val="22"/>
          <w:szCs w:val="22"/>
          <w:lang w:val="fr-CA"/>
        </w:rPr>
        <w:t>évention, protection et restitution des droits face à l’exploitation d’enfants et d’adolescents à des fins sexuelles : données d’expériences qui font réfléchir</w:t>
      </w:r>
      <w:r w:rsidR="00B95E7C" w:rsidRPr="00221F6E">
        <w:rPr>
          <w:sz w:val="22"/>
          <w:szCs w:val="22"/>
          <w:lang w:val="fr-CA"/>
        </w:rPr>
        <w:t>…”,</w:t>
      </w:r>
      <w:r w:rsidR="005C33C2">
        <w:rPr>
          <w:sz w:val="22"/>
          <w:szCs w:val="22"/>
          <w:lang w:val="fr-CA"/>
        </w:rPr>
        <w:t xml:space="preserve"> qui a eu lieu à Quito en aout 2019, a convoqué les liens </w:t>
      </w:r>
      <w:r w:rsidR="005C33C2">
        <w:rPr>
          <w:sz w:val="22"/>
          <w:szCs w:val="22"/>
          <w:lang w:val="fr-CA"/>
        </w:rPr>
        <w:lastRenderedPageBreak/>
        <w:t>techniques de l’IIN en matière de l’exploitation d’enfants et d’adolescents à des fins sexuelles des États du sud de la région et visait le partage de données d’expériences concrètes qui se sont déroulées dans la région</w:t>
      </w:r>
      <w:r w:rsidR="00634E2B">
        <w:rPr>
          <w:sz w:val="22"/>
          <w:szCs w:val="22"/>
          <w:lang w:val="fr-CA"/>
        </w:rPr>
        <w:t xml:space="preserve"> relativement à la prévention, la protection et la réparation de droits face à l’exploitation d’enfants et d’adolescents à des fins sexuelles, en portant une attention particulière aux modalités de l’exploitation d’enfants et d’adolescents à des fins sexuelles sur Internet</w:t>
      </w:r>
      <w:r w:rsidR="00D13AB9">
        <w:rPr>
          <w:sz w:val="22"/>
          <w:szCs w:val="22"/>
          <w:lang w:val="fr-CA"/>
        </w:rPr>
        <w:t>, de même que dans des voyages ou dans le domaine du tourisme</w:t>
      </w:r>
      <w:r w:rsidR="004000B7" w:rsidRPr="00221F6E">
        <w:rPr>
          <w:sz w:val="22"/>
          <w:szCs w:val="22"/>
          <w:lang w:val="fr-CA"/>
        </w:rPr>
        <w:t>.</w:t>
      </w:r>
    </w:p>
    <w:p w:rsidR="004000B7" w:rsidRPr="00221F6E" w:rsidRDefault="004000B7" w:rsidP="00DA4A62">
      <w:pPr>
        <w:pStyle w:val="ListParagraph"/>
        <w:ind w:left="360" w:hanging="360"/>
        <w:jc w:val="both"/>
        <w:rPr>
          <w:sz w:val="22"/>
          <w:szCs w:val="22"/>
          <w:lang w:val="fr-CA"/>
        </w:rPr>
      </w:pPr>
    </w:p>
    <w:p w:rsidR="00B95E7C" w:rsidRPr="00221F6E" w:rsidRDefault="00D13AB9" w:rsidP="005A2DA8">
      <w:pPr>
        <w:pStyle w:val="ListParagraph"/>
        <w:numPr>
          <w:ilvl w:val="0"/>
          <w:numId w:val="38"/>
        </w:numPr>
        <w:ind w:left="720" w:hanging="720"/>
        <w:jc w:val="both"/>
        <w:rPr>
          <w:sz w:val="22"/>
          <w:szCs w:val="22"/>
          <w:lang w:val="fr-CA"/>
        </w:rPr>
      </w:pPr>
      <w:r>
        <w:rPr>
          <w:sz w:val="22"/>
          <w:szCs w:val="22"/>
          <w:lang w:val="fr-CA"/>
        </w:rPr>
        <w:t xml:space="preserve">La deuxième édition du Cours virtuel spécialisé sur l’enfance migrante dans les Amériques est en cours d’élaboration. Ce cours est préparé à l’intention des administrateurs </w:t>
      </w:r>
      <w:r w:rsidR="00783C22">
        <w:rPr>
          <w:sz w:val="22"/>
          <w:szCs w:val="22"/>
          <w:lang w:val="fr-CA"/>
        </w:rPr>
        <w:t>des institutions publiques et non gouvernementales qui travaillent en la matière</w:t>
      </w:r>
      <w:r w:rsidR="00B95E7C" w:rsidRPr="00221F6E">
        <w:rPr>
          <w:sz w:val="22"/>
          <w:szCs w:val="22"/>
          <w:lang w:val="fr-CA"/>
        </w:rPr>
        <w:t xml:space="preserve">. </w:t>
      </w:r>
    </w:p>
    <w:p w:rsidR="00B95E7C" w:rsidRPr="00221F6E" w:rsidRDefault="00783C22" w:rsidP="005A2DA8">
      <w:pPr>
        <w:pStyle w:val="ListParagraph"/>
        <w:numPr>
          <w:ilvl w:val="0"/>
          <w:numId w:val="38"/>
        </w:numPr>
        <w:ind w:left="720" w:hanging="720"/>
        <w:jc w:val="both"/>
        <w:rPr>
          <w:sz w:val="22"/>
          <w:szCs w:val="22"/>
          <w:lang w:val="fr-CA"/>
        </w:rPr>
      </w:pPr>
      <w:r>
        <w:rPr>
          <w:sz w:val="22"/>
          <w:szCs w:val="22"/>
          <w:lang w:val="fr-CA"/>
        </w:rPr>
        <w:t>La douzième édition du cours virtuel</w:t>
      </w:r>
      <w:r w:rsidR="00955EA6" w:rsidRPr="00221F6E">
        <w:rPr>
          <w:sz w:val="22"/>
          <w:szCs w:val="22"/>
          <w:lang w:val="fr-CA"/>
        </w:rPr>
        <w:t xml:space="preserve"> “</w:t>
      </w:r>
      <w:r>
        <w:rPr>
          <w:sz w:val="22"/>
          <w:szCs w:val="22"/>
          <w:lang w:val="fr-CA"/>
        </w:rPr>
        <w:t>Aspect</w:t>
      </w:r>
      <w:r w:rsidR="00B95E7C" w:rsidRPr="00221F6E">
        <w:rPr>
          <w:sz w:val="22"/>
          <w:szCs w:val="22"/>
          <w:lang w:val="fr-CA"/>
        </w:rPr>
        <w:t>s</w:t>
      </w:r>
      <w:r>
        <w:rPr>
          <w:sz w:val="22"/>
          <w:szCs w:val="22"/>
          <w:lang w:val="fr-CA"/>
        </w:rPr>
        <w:t xml:space="preserve"> civils de l’enlèvement international d’enfants et d’adolescents</w:t>
      </w:r>
      <w:r w:rsidR="00955EA6" w:rsidRPr="00221F6E">
        <w:rPr>
          <w:sz w:val="22"/>
          <w:szCs w:val="22"/>
          <w:lang w:val="fr-CA"/>
        </w:rPr>
        <w:t>”</w:t>
      </w:r>
      <w:r>
        <w:rPr>
          <w:sz w:val="22"/>
          <w:szCs w:val="22"/>
          <w:lang w:val="fr-CA"/>
        </w:rPr>
        <w:t xml:space="preserve"> en espagnol et la sixième édition en anglais ont eu lieu, de même que le cours </w:t>
      </w:r>
      <w:proofErr w:type="spellStart"/>
      <w:r>
        <w:rPr>
          <w:sz w:val="22"/>
          <w:szCs w:val="22"/>
          <w:lang w:val="fr-CA"/>
        </w:rPr>
        <w:t>semiprésentiel</w:t>
      </w:r>
      <w:proofErr w:type="spellEnd"/>
      <w:r w:rsidR="00B95E7C" w:rsidRPr="00221F6E">
        <w:rPr>
          <w:sz w:val="22"/>
          <w:szCs w:val="22"/>
          <w:lang w:val="fr-CA"/>
        </w:rPr>
        <w:t xml:space="preserve"> </w:t>
      </w:r>
      <w:r w:rsidR="00955EA6" w:rsidRPr="00221F6E">
        <w:rPr>
          <w:sz w:val="22"/>
          <w:szCs w:val="22"/>
          <w:lang w:val="fr-CA"/>
        </w:rPr>
        <w:t>“</w:t>
      </w:r>
      <w:r w:rsidR="00B95E7C" w:rsidRPr="00221F6E">
        <w:rPr>
          <w:sz w:val="22"/>
          <w:szCs w:val="22"/>
          <w:lang w:val="fr-CA"/>
        </w:rPr>
        <w:t>Explo</w:t>
      </w:r>
      <w:r>
        <w:rPr>
          <w:sz w:val="22"/>
          <w:szCs w:val="22"/>
          <w:lang w:val="fr-CA"/>
        </w:rPr>
        <w:t>itation d’enfants et d’adolescents à des fins sexuelles</w:t>
      </w:r>
      <w:r w:rsidR="00955EA6" w:rsidRPr="00221F6E">
        <w:rPr>
          <w:sz w:val="22"/>
          <w:szCs w:val="22"/>
          <w:lang w:val="fr-CA"/>
        </w:rPr>
        <w:t>”</w:t>
      </w:r>
      <w:r>
        <w:rPr>
          <w:sz w:val="22"/>
          <w:szCs w:val="22"/>
          <w:lang w:val="fr-CA"/>
        </w:rPr>
        <w:t xml:space="preserve"> ont été donnés</w:t>
      </w:r>
      <w:r w:rsidR="00955EA6" w:rsidRPr="00221F6E">
        <w:rPr>
          <w:sz w:val="22"/>
          <w:szCs w:val="22"/>
          <w:lang w:val="fr-CA"/>
        </w:rPr>
        <w:t>.</w:t>
      </w:r>
    </w:p>
    <w:p w:rsidR="00DA4A62" w:rsidRPr="00221F6E" w:rsidRDefault="00DA4A62" w:rsidP="005A2DA8">
      <w:pPr>
        <w:pStyle w:val="ListParagraph"/>
        <w:ind w:hanging="720"/>
        <w:jc w:val="both"/>
        <w:rPr>
          <w:sz w:val="22"/>
          <w:szCs w:val="22"/>
          <w:lang w:val="fr-CA"/>
        </w:rPr>
      </w:pPr>
    </w:p>
    <w:p w:rsidR="00B95E7C" w:rsidRPr="00221F6E" w:rsidRDefault="00783C22" w:rsidP="005A2DA8">
      <w:pPr>
        <w:pStyle w:val="ListParagraph"/>
        <w:numPr>
          <w:ilvl w:val="0"/>
          <w:numId w:val="38"/>
        </w:numPr>
        <w:ind w:left="720" w:hanging="720"/>
        <w:jc w:val="both"/>
        <w:rPr>
          <w:sz w:val="22"/>
          <w:szCs w:val="22"/>
          <w:lang w:val="fr-CA"/>
        </w:rPr>
      </w:pPr>
      <w:r>
        <w:rPr>
          <w:sz w:val="22"/>
          <w:szCs w:val="22"/>
          <w:lang w:val="fr-CA"/>
        </w:rPr>
        <w:t>Face à la situation découlant de la pandémie de</w:t>
      </w:r>
      <w:r w:rsidR="00B95E7C" w:rsidRPr="00221F6E">
        <w:rPr>
          <w:sz w:val="22"/>
          <w:szCs w:val="22"/>
          <w:lang w:val="fr-CA"/>
        </w:rPr>
        <w:t xml:space="preserve"> COVID-19,</w:t>
      </w:r>
      <w:r>
        <w:rPr>
          <w:sz w:val="22"/>
          <w:szCs w:val="22"/>
          <w:lang w:val="fr-CA"/>
        </w:rPr>
        <w:t xml:space="preserve"> l’IIN est entré en contact avec les organismes de protection de l’enfance et a reçu diverses demandes d’assistance technique</w:t>
      </w:r>
      <w:r w:rsidR="00931584">
        <w:rPr>
          <w:sz w:val="22"/>
          <w:szCs w:val="22"/>
          <w:lang w:val="fr-CA"/>
        </w:rPr>
        <w:t xml:space="preserve"> et y a répondu. Cette assistance est spécifiquement associée à la situation actuelle. Les enfants migrants </w:t>
      </w:r>
      <w:r w:rsidR="0096666E">
        <w:rPr>
          <w:sz w:val="22"/>
          <w:szCs w:val="22"/>
          <w:lang w:val="fr-CA"/>
        </w:rPr>
        <w:t>s’avèrent être une population particulièrement vulnérable tant aux effets médico-sanitaires qu’aux effets sociaux et économiques découlant de la pan</w:t>
      </w:r>
      <w:r w:rsidR="004B717E">
        <w:rPr>
          <w:sz w:val="22"/>
          <w:szCs w:val="22"/>
          <w:lang w:val="fr-CA"/>
        </w:rPr>
        <w:t>démie</w:t>
      </w:r>
      <w:r w:rsidR="00B95E7C" w:rsidRPr="00221F6E">
        <w:rPr>
          <w:sz w:val="22"/>
          <w:szCs w:val="22"/>
          <w:lang w:val="fr-CA"/>
        </w:rPr>
        <w:t>.</w:t>
      </w:r>
    </w:p>
    <w:p w:rsidR="00DA4A62" w:rsidRPr="00221F6E" w:rsidRDefault="00DA4A62" w:rsidP="005A2DA8">
      <w:pPr>
        <w:pStyle w:val="ListParagraph"/>
        <w:ind w:hanging="720"/>
        <w:jc w:val="both"/>
        <w:rPr>
          <w:sz w:val="22"/>
          <w:szCs w:val="22"/>
          <w:lang w:val="fr-CA"/>
        </w:rPr>
      </w:pPr>
    </w:p>
    <w:p w:rsidR="00B95E7C" w:rsidRPr="00221F6E" w:rsidRDefault="00B95E7C" w:rsidP="005A2DA8">
      <w:pPr>
        <w:pStyle w:val="ListParagraph"/>
        <w:numPr>
          <w:ilvl w:val="0"/>
          <w:numId w:val="38"/>
        </w:numPr>
        <w:ind w:left="720" w:hanging="720"/>
        <w:jc w:val="both"/>
        <w:rPr>
          <w:sz w:val="22"/>
          <w:szCs w:val="22"/>
          <w:lang w:val="fr-CA"/>
        </w:rPr>
      </w:pPr>
      <w:r w:rsidRPr="00221F6E">
        <w:rPr>
          <w:sz w:val="22"/>
          <w:szCs w:val="22"/>
          <w:lang w:val="fr-CA"/>
        </w:rPr>
        <w:t>La</w:t>
      </w:r>
      <w:r w:rsidR="006D3EF5">
        <w:rPr>
          <w:sz w:val="22"/>
          <w:szCs w:val="22"/>
          <w:lang w:val="fr-CA"/>
        </w:rPr>
        <w:t xml:space="preserve"> majorité de cette population n’a pas accès aux services de santé, et l’absence de documentation et la peur d’être expulsés </w:t>
      </w:r>
      <w:r w:rsidR="007D154B">
        <w:rPr>
          <w:sz w:val="22"/>
          <w:szCs w:val="22"/>
          <w:lang w:val="fr-CA"/>
        </w:rPr>
        <w:t xml:space="preserve">rendent plus difficile la surveillance épidémiologique. Les conditions de logement sont habituellement précaires et ces personnes vivent </w:t>
      </w:r>
      <w:r w:rsidR="007D154B">
        <w:rPr>
          <w:sz w:val="22"/>
          <w:szCs w:val="22"/>
          <w:lang w:val="fr-CA"/>
        </w:rPr>
        <w:lastRenderedPageBreak/>
        <w:t>souvent entassées, ce qui empêche l’isolement préventif ou le rend tout simplement inefficace</w:t>
      </w:r>
      <w:r w:rsidRPr="00221F6E">
        <w:rPr>
          <w:sz w:val="22"/>
          <w:szCs w:val="22"/>
          <w:lang w:val="fr-CA"/>
        </w:rPr>
        <w:t xml:space="preserve">. </w:t>
      </w:r>
    </w:p>
    <w:p w:rsidR="00DA4A62" w:rsidRPr="00221F6E" w:rsidRDefault="00DA4A62" w:rsidP="005A2DA8">
      <w:pPr>
        <w:pStyle w:val="ListParagraph"/>
        <w:ind w:hanging="720"/>
        <w:jc w:val="both"/>
        <w:rPr>
          <w:sz w:val="22"/>
          <w:szCs w:val="22"/>
          <w:lang w:val="fr-CA"/>
        </w:rPr>
      </w:pPr>
    </w:p>
    <w:p w:rsidR="00B95E7C" w:rsidRPr="00221F6E" w:rsidRDefault="007D154B" w:rsidP="005A2DA8">
      <w:pPr>
        <w:pStyle w:val="ListParagraph"/>
        <w:numPr>
          <w:ilvl w:val="0"/>
          <w:numId w:val="38"/>
        </w:numPr>
        <w:ind w:left="720" w:hanging="720"/>
        <w:jc w:val="both"/>
        <w:rPr>
          <w:sz w:val="22"/>
          <w:szCs w:val="22"/>
          <w:lang w:val="fr-CA"/>
        </w:rPr>
      </w:pPr>
      <w:r>
        <w:rPr>
          <w:sz w:val="22"/>
          <w:szCs w:val="22"/>
          <w:lang w:val="fr-CA"/>
        </w:rPr>
        <w:t>L’</w:t>
      </w:r>
      <w:r w:rsidR="00B95E7C" w:rsidRPr="00221F6E">
        <w:rPr>
          <w:sz w:val="22"/>
          <w:szCs w:val="22"/>
          <w:lang w:val="fr-CA"/>
        </w:rPr>
        <w:t>IIN</w:t>
      </w:r>
      <w:r>
        <w:rPr>
          <w:sz w:val="22"/>
          <w:szCs w:val="22"/>
          <w:lang w:val="fr-CA"/>
        </w:rPr>
        <w:t xml:space="preserve"> a donné des orientations concrètes, il a facilité la communication entre les États et les organismes en vue du partage de bonnes pratiques. Il prépare également un matériel d’une présentation conviviale qui recueille les principales recommandations de l’étude de Migrations et petite enfance, dans le contexte de la pandémie actuelle.</w:t>
      </w:r>
      <w:r w:rsidR="00B95E7C" w:rsidRPr="00221F6E">
        <w:rPr>
          <w:sz w:val="22"/>
          <w:szCs w:val="22"/>
          <w:lang w:val="fr-CA"/>
        </w:rPr>
        <w:t xml:space="preserve"> </w:t>
      </w: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Default="008A232B" w:rsidP="00375163">
      <w:pPr>
        <w:rPr>
          <w:sz w:val="22"/>
          <w:szCs w:val="22"/>
          <w:lang w:val="fr-CA"/>
        </w:rPr>
      </w:pPr>
    </w:p>
    <w:p w:rsidR="008A232B" w:rsidRPr="00734C59" w:rsidRDefault="008A232B" w:rsidP="008A232B">
      <w:pPr>
        <w:jc w:val="right"/>
        <w:rPr>
          <w:noProof/>
          <w:lang w:val="fr-CA"/>
        </w:rPr>
      </w:pPr>
      <w:r w:rsidRPr="00734C59">
        <w:rPr>
          <w:noProof/>
          <w:lang w:val="fr-CA"/>
        </w:rPr>
        <w:lastRenderedPageBreak/>
        <w:t>ANNEXE</w:t>
      </w:r>
    </w:p>
    <w:p w:rsidR="008A232B" w:rsidRPr="00734C59" w:rsidRDefault="008A232B" w:rsidP="008A232B">
      <w:pPr>
        <w:jc w:val="right"/>
        <w:rPr>
          <w:noProof/>
          <w:lang w:val="fr-CA"/>
        </w:rPr>
      </w:pPr>
    </w:p>
    <w:p w:rsidR="008A232B" w:rsidRPr="00734C59" w:rsidRDefault="008A232B" w:rsidP="008A232B">
      <w:pPr>
        <w:jc w:val="right"/>
        <w:rPr>
          <w:sz w:val="22"/>
          <w:szCs w:val="22"/>
          <w:lang w:val="fr-CA"/>
        </w:rPr>
      </w:pPr>
    </w:p>
    <w:p w:rsidR="008A232B" w:rsidRPr="00734C59" w:rsidRDefault="008A232B" w:rsidP="008A232B">
      <w:pPr>
        <w:jc w:val="center"/>
        <w:rPr>
          <w:b/>
          <w:i/>
          <w:sz w:val="22"/>
          <w:szCs w:val="22"/>
          <w:lang w:val="fr-CA"/>
        </w:rPr>
      </w:pPr>
    </w:p>
    <w:p w:rsidR="008A232B" w:rsidRPr="00734C59" w:rsidRDefault="008A232B" w:rsidP="008A232B">
      <w:pPr>
        <w:jc w:val="center"/>
        <w:rPr>
          <w:sz w:val="22"/>
          <w:szCs w:val="22"/>
          <w:lang w:val="fr-CA"/>
        </w:rPr>
      </w:pPr>
      <w:r w:rsidRPr="00734C59">
        <w:rPr>
          <w:sz w:val="22"/>
          <w:szCs w:val="22"/>
          <w:lang w:val="fr-CA"/>
        </w:rPr>
        <w:t>Rapports complets reçus des acteurs du Programme interaméricain de promotion et de protection des droits humains des migrants, y compris les travailleurs migrants et leurs familles</w:t>
      </w:r>
    </w:p>
    <w:p w:rsidR="008A232B" w:rsidRPr="008A232B" w:rsidRDefault="008A232B" w:rsidP="008A232B">
      <w:pPr>
        <w:jc w:val="right"/>
        <w:rPr>
          <w:sz w:val="22"/>
          <w:szCs w:val="22"/>
          <w:lang w:val="fr-CA"/>
        </w:rPr>
      </w:pPr>
    </w:p>
    <w:p w:rsidR="008A232B" w:rsidRPr="008A232B" w:rsidRDefault="008A232B" w:rsidP="008A232B">
      <w:pPr>
        <w:jc w:val="right"/>
        <w:rPr>
          <w:sz w:val="22"/>
          <w:szCs w:val="22"/>
          <w:lang w:val="fr-CA"/>
        </w:rPr>
      </w:pPr>
    </w:p>
    <w:p w:rsidR="008A232B" w:rsidRPr="008A232B" w:rsidRDefault="008A232B" w:rsidP="008A232B">
      <w:pPr>
        <w:numPr>
          <w:ilvl w:val="0"/>
          <w:numId w:val="46"/>
        </w:numPr>
        <w:tabs>
          <w:tab w:val="left" w:pos="1260"/>
        </w:tabs>
        <w:ind w:left="990"/>
        <w:contextualSpacing/>
        <w:rPr>
          <w:sz w:val="22"/>
          <w:szCs w:val="22"/>
          <w:lang w:val="fr-CA"/>
        </w:rPr>
      </w:pPr>
      <w:r w:rsidRPr="005551A1">
        <w:rPr>
          <w:sz w:val="22"/>
          <w:szCs w:val="22"/>
          <w:lang w:val="fr-CA"/>
        </w:rPr>
        <w:t xml:space="preserve">Commission interaméricaine des droits de l’homme </w:t>
      </w:r>
      <w:r w:rsidRPr="008A232B">
        <w:rPr>
          <w:sz w:val="22"/>
          <w:szCs w:val="22"/>
          <w:lang w:val="fr-CA"/>
        </w:rPr>
        <w:t>(CIDH):</w:t>
      </w:r>
    </w:p>
    <w:p w:rsidR="008A232B" w:rsidRPr="005551A1" w:rsidRDefault="005551A1" w:rsidP="008A232B">
      <w:pPr>
        <w:ind w:left="1800" w:hanging="180"/>
        <w:outlineLvl w:val="0"/>
        <w:rPr>
          <w:rFonts w:eastAsia="Arial Unicode MS"/>
          <w:color w:val="0000FF"/>
          <w:szCs w:val="20"/>
          <w:u w:val="single" w:color="000000"/>
          <w:lang w:val="fr-CA"/>
        </w:rPr>
      </w:pPr>
      <w:r>
        <w:rPr>
          <w:rFonts w:eastAsia="Arial Unicode MS"/>
          <w:color w:val="000000"/>
          <w:sz w:val="22"/>
          <w:szCs w:val="22"/>
          <w:u w:color="000000"/>
          <w:lang w:val="fr-CA"/>
        </w:rPr>
        <w:t>E</w:t>
      </w:r>
      <w:r w:rsidRPr="005551A1">
        <w:rPr>
          <w:rFonts w:eastAsia="Arial Unicode MS"/>
          <w:color w:val="000000"/>
          <w:sz w:val="22"/>
          <w:szCs w:val="22"/>
          <w:u w:color="000000"/>
          <w:lang w:val="fr-CA"/>
        </w:rPr>
        <w:t>spagnol</w:t>
      </w:r>
      <w:r w:rsidR="008A232B" w:rsidRPr="008A232B">
        <w:rPr>
          <w:rFonts w:eastAsia="Arial Unicode MS"/>
          <w:color w:val="000000"/>
          <w:szCs w:val="20"/>
          <w:u w:color="000000"/>
          <w:lang w:val="fr-CA"/>
        </w:rPr>
        <w:t xml:space="preserve">: </w:t>
      </w:r>
      <w:hyperlink r:id="rId9" w:history="1">
        <w:r w:rsidR="008A232B" w:rsidRPr="005551A1">
          <w:rPr>
            <w:rFonts w:eastAsia="Arial Unicode MS"/>
            <w:color w:val="0000FF"/>
            <w:szCs w:val="20"/>
            <w:u w:val="single" w:color="000000"/>
            <w:lang w:val="fr-CA"/>
          </w:rPr>
          <w:t>http://scm.oas.org/pdfs/2020/Informe-CIDH-CAM.docx</w:t>
        </w:r>
      </w:hyperlink>
    </w:p>
    <w:p w:rsidR="008A232B" w:rsidRPr="008A232B" w:rsidRDefault="008A232B" w:rsidP="008A232B">
      <w:pPr>
        <w:spacing w:line="360" w:lineRule="auto"/>
        <w:ind w:left="1440"/>
        <w:rPr>
          <w:sz w:val="22"/>
          <w:szCs w:val="22"/>
          <w:lang w:val="fr-CA"/>
        </w:rPr>
      </w:pPr>
    </w:p>
    <w:p w:rsidR="008A232B" w:rsidRPr="008A232B" w:rsidRDefault="005551A1" w:rsidP="008A232B">
      <w:pPr>
        <w:numPr>
          <w:ilvl w:val="0"/>
          <w:numId w:val="46"/>
        </w:numPr>
        <w:ind w:left="990"/>
        <w:contextualSpacing/>
        <w:rPr>
          <w:sz w:val="22"/>
          <w:szCs w:val="22"/>
          <w:lang w:val="fr-CA"/>
        </w:rPr>
      </w:pPr>
      <w:r w:rsidRPr="005551A1">
        <w:rPr>
          <w:sz w:val="22"/>
          <w:szCs w:val="22"/>
          <w:lang w:val="fr-CA"/>
        </w:rPr>
        <w:t xml:space="preserve">Commission interaméricaine des femmes </w:t>
      </w:r>
      <w:r w:rsidR="008A232B" w:rsidRPr="008A232B">
        <w:rPr>
          <w:sz w:val="22"/>
          <w:szCs w:val="22"/>
          <w:lang w:val="fr-CA"/>
        </w:rPr>
        <w:t>(CIM):</w:t>
      </w:r>
    </w:p>
    <w:p w:rsidR="008A232B" w:rsidRPr="005551A1" w:rsidRDefault="008A232B" w:rsidP="008A232B">
      <w:pPr>
        <w:ind w:left="1800" w:hanging="180"/>
        <w:outlineLvl w:val="0"/>
        <w:rPr>
          <w:rFonts w:eastAsia="Arial Unicode MS"/>
          <w:color w:val="0000FF"/>
          <w:szCs w:val="20"/>
          <w:u w:val="single" w:color="000000"/>
          <w:lang w:val="fr-CA"/>
        </w:rPr>
      </w:pPr>
      <w:r w:rsidRPr="008A232B">
        <w:rPr>
          <w:rFonts w:eastAsia="Arial Unicode MS"/>
          <w:color w:val="000000"/>
          <w:sz w:val="22"/>
          <w:szCs w:val="22"/>
          <w:u w:color="000000"/>
          <w:lang w:val="fr-CA"/>
        </w:rPr>
        <w:t>Espa</w:t>
      </w:r>
      <w:r w:rsidR="005551A1" w:rsidRPr="005551A1">
        <w:rPr>
          <w:rFonts w:eastAsia="Arial Unicode MS"/>
          <w:color w:val="000000"/>
          <w:sz w:val="22"/>
          <w:szCs w:val="22"/>
          <w:u w:color="000000"/>
          <w:lang w:val="fr-CA"/>
        </w:rPr>
        <w:t>gn</w:t>
      </w:r>
      <w:r w:rsidRPr="008A232B">
        <w:rPr>
          <w:rFonts w:eastAsia="Arial Unicode MS"/>
          <w:color w:val="000000"/>
          <w:sz w:val="22"/>
          <w:szCs w:val="22"/>
          <w:u w:color="000000"/>
          <w:lang w:val="fr-CA"/>
        </w:rPr>
        <w:t>ol</w:t>
      </w:r>
      <w:r w:rsidRPr="008A232B">
        <w:rPr>
          <w:rFonts w:eastAsia="Arial Unicode MS"/>
          <w:color w:val="000000"/>
          <w:szCs w:val="20"/>
          <w:u w:color="000000"/>
          <w:lang w:val="fr-CA"/>
        </w:rPr>
        <w:t xml:space="preserve">: </w:t>
      </w:r>
      <w:hyperlink r:id="rId10" w:history="1">
        <w:r w:rsidRPr="005551A1">
          <w:rPr>
            <w:rFonts w:eastAsia="Arial Unicode MS"/>
            <w:color w:val="0000FF"/>
            <w:szCs w:val="20"/>
            <w:u w:val="single" w:color="000000"/>
            <w:lang w:val="fr-CA"/>
          </w:rPr>
          <w:t>http://scm.oas.org/pdfs/2020/Informe-CIM-CAM.docx</w:t>
        </w:r>
      </w:hyperlink>
    </w:p>
    <w:p w:rsidR="008A232B" w:rsidRPr="008A232B" w:rsidRDefault="008A232B" w:rsidP="008A232B">
      <w:pPr>
        <w:spacing w:line="360" w:lineRule="auto"/>
        <w:ind w:left="1440"/>
        <w:rPr>
          <w:sz w:val="22"/>
          <w:szCs w:val="22"/>
          <w:lang w:val="fr-CA"/>
        </w:rPr>
      </w:pPr>
    </w:p>
    <w:p w:rsidR="008A232B" w:rsidRPr="008A232B" w:rsidRDefault="005551A1" w:rsidP="008A232B">
      <w:pPr>
        <w:numPr>
          <w:ilvl w:val="0"/>
          <w:numId w:val="46"/>
        </w:numPr>
        <w:ind w:left="1080"/>
        <w:contextualSpacing/>
        <w:rPr>
          <w:sz w:val="22"/>
          <w:szCs w:val="22"/>
          <w:lang w:val="fr-CA"/>
        </w:rPr>
      </w:pPr>
      <w:r w:rsidRPr="005551A1">
        <w:rPr>
          <w:sz w:val="22"/>
          <w:szCs w:val="22"/>
          <w:lang w:val="fr-CA"/>
        </w:rPr>
        <w:t xml:space="preserve">Institut interaméricain de l'enfance et de l'adolescence </w:t>
      </w:r>
      <w:r w:rsidR="008A232B" w:rsidRPr="008A232B">
        <w:rPr>
          <w:sz w:val="22"/>
          <w:szCs w:val="22"/>
          <w:lang w:val="fr-CA"/>
        </w:rPr>
        <w:t>(IIN-OEA):</w:t>
      </w:r>
    </w:p>
    <w:p w:rsidR="008A232B" w:rsidRPr="008A232B" w:rsidRDefault="008A232B" w:rsidP="008A232B">
      <w:pPr>
        <w:ind w:left="1440" w:firstLine="180"/>
        <w:rPr>
          <w:sz w:val="22"/>
          <w:szCs w:val="22"/>
          <w:lang w:val="fr-CA"/>
        </w:rPr>
      </w:pPr>
      <w:r w:rsidRPr="008A232B">
        <w:rPr>
          <w:sz w:val="22"/>
          <w:szCs w:val="22"/>
          <w:lang w:val="fr-CA"/>
        </w:rPr>
        <w:t>Espa</w:t>
      </w:r>
      <w:r w:rsidR="005551A1" w:rsidRPr="005551A1">
        <w:rPr>
          <w:sz w:val="22"/>
          <w:szCs w:val="22"/>
          <w:lang w:val="fr-CA"/>
        </w:rPr>
        <w:t>gn</w:t>
      </w:r>
      <w:r w:rsidRPr="008A232B">
        <w:rPr>
          <w:sz w:val="22"/>
          <w:szCs w:val="22"/>
          <w:lang w:val="fr-CA"/>
        </w:rPr>
        <w:t>ol</w:t>
      </w:r>
      <w:r w:rsidRPr="008A232B">
        <w:rPr>
          <w:lang w:val="fr-CA"/>
        </w:rPr>
        <w:t xml:space="preserve">: </w:t>
      </w:r>
      <w:hyperlink r:id="rId11" w:history="1">
        <w:r w:rsidRPr="005551A1">
          <w:rPr>
            <w:color w:val="0000FF"/>
            <w:u w:val="single"/>
            <w:lang w:val="fr-CA"/>
          </w:rPr>
          <w:t>http://scm.oas.org/pdfs/2020/Informe-IIN-CAM.pdf</w:t>
        </w:r>
      </w:hyperlink>
    </w:p>
    <w:p w:rsidR="008A232B" w:rsidRPr="008A232B" w:rsidRDefault="008A232B" w:rsidP="008A232B">
      <w:pPr>
        <w:spacing w:line="360" w:lineRule="auto"/>
        <w:rPr>
          <w:sz w:val="22"/>
          <w:szCs w:val="22"/>
          <w:lang w:val="fr-CA"/>
        </w:rPr>
      </w:pPr>
    </w:p>
    <w:p w:rsidR="008A232B" w:rsidRPr="008A232B" w:rsidRDefault="005551A1" w:rsidP="008A232B">
      <w:pPr>
        <w:numPr>
          <w:ilvl w:val="0"/>
          <w:numId w:val="46"/>
        </w:numPr>
        <w:ind w:left="1080"/>
        <w:contextualSpacing/>
        <w:rPr>
          <w:sz w:val="22"/>
          <w:szCs w:val="22"/>
          <w:lang w:val="fr-CA"/>
        </w:rPr>
      </w:pPr>
      <w:r w:rsidRPr="005551A1">
        <w:rPr>
          <w:sz w:val="22"/>
          <w:szCs w:val="22"/>
          <w:lang w:val="fr-CA"/>
        </w:rPr>
        <w:t xml:space="preserve">Département de la sécurité publique </w:t>
      </w:r>
      <w:r w:rsidR="008A232B" w:rsidRPr="008A232B">
        <w:rPr>
          <w:sz w:val="22"/>
          <w:szCs w:val="22"/>
          <w:lang w:val="fr-CA"/>
        </w:rPr>
        <w:t>(DSP):</w:t>
      </w:r>
    </w:p>
    <w:p w:rsidR="008A232B" w:rsidRPr="008A232B" w:rsidRDefault="008A232B" w:rsidP="008A232B">
      <w:pPr>
        <w:ind w:left="1440" w:firstLine="180"/>
        <w:contextualSpacing/>
        <w:rPr>
          <w:sz w:val="22"/>
          <w:szCs w:val="22"/>
          <w:lang w:val="fr-CA"/>
        </w:rPr>
      </w:pPr>
      <w:r w:rsidRPr="008A232B">
        <w:rPr>
          <w:sz w:val="22"/>
          <w:szCs w:val="22"/>
          <w:lang w:val="fr-CA"/>
        </w:rPr>
        <w:t>Espa</w:t>
      </w:r>
      <w:r w:rsidR="005551A1" w:rsidRPr="005551A1">
        <w:rPr>
          <w:sz w:val="22"/>
          <w:szCs w:val="22"/>
          <w:lang w:val="fr-CA"/>
        </w:rPr>
        <w:t>gn</w:t>
      </w:r>
      <w:r w:rsidRPr="008A232B">
        <w:rPr>
          <w:sz w:val="22"/>
          <w:szCs w:val="22"/>
          <w:lang w:val="fr-CA"/>
        </w:rPr>
        <w:t>ol</w:t>
      </w:r>
      <w:r w:rsidRPr="008A232B">
        <w:rPr>
          <w:lang w:val="fr-CA"/>
        </w:rPr>
        <w:t xml:space="preserve">: </w:t>
      </w:r>
      <w:hyperlink r:id="rId12" w:history="1">
        <w:r w:rsidRPr="005551A1">
          <w:rPr>
            <w:color w:val="0000FF"/>
            <w:u w:val="single"/>
            <w:lang w:val="fr-CA"/>
          </w:rPr>
          <w:t>http://scm.oas.org/pdfs/2020/Informe-DSP-CAM.docx</w:t>
        </w:r>
      </w:hyperlink>
    </w:p>
    <w:p w:rsidR="008A232B" w:rsidRPr="005551A1" w:rsidRDefault="008A232B" w:rsidP="00375163">
      <w:pPr>
        <w:rPr>
          <w:sz w:val="22"/>
          <w:szCs w:val="22"/>
          <w:lang w:val="fr-CA"/>
        </w:rPr>
      </w:pPr>
    </w:p>
    <w:p w:rsidR="008A232B" w:rsidRPr="005551A1" w:rsidRDefault="008A232B" w:rsidP="00375163">
      <w:pPr>
        <w:rPr>
          <w:sz w:val="22"/>
          <w:szCs w:val="22"/>
          <w:lang w:val="fr-CA"/>
        </w:rPr>
      </w:pPr>
    </w:p>
    <w:p w:rsidR="00087D7F" w:rsidRPr="00221F6E" w:rsidRDefault="008542DA" w:rsidP="00375163">
      <w:pPr>
        <w:rPr>
          <w:sz w:val="22"/>
          <w:szCs w:val="22"/>
          <w:lang w:val="fr-CA"/>
        </w:rPr>
      </w:pPr>
      <w:bookmarkStart w:id="0" w:name="_GoBack"/>
      <w:bookmarkEnd w:id="0"/>
      <w:r w:rsidRPr="00221F6E">
        <w:rPr>
          <w:noProof/>
          <w:sz w:val="22"/>
          <w:szCs w:val="22"/>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EE" w:rsidRPr="00375163" w:rsidRDefault="008D03EE">
                            <w:pPr>
                              <w:rPr>
                                <w:sz w:val="18"/>
                              </w:rPr>
                            </w:pPr>
                            <w:r>
                              <w:rPr>
                                <w:sz w:val="18"/>
                              </w:rPr>
                              <w:fldChar w:fldCharType="begin"/>
                            </w:r>
                            <w:r>
                              <w:rPr>
                                <w:sz w:val="18"/>
                              </w:rPr>
                              <w:instrText xml:space="preserve"> FILENAME  \* MERGEFORMAT </w:instrText>
                            </w:r>
                            <w:r>
                              <w:rPr>
                                <w:sz w:val="18"/>
                              </w:rPr>
                              <w:fldChar w:fldCharType="separate"/>
                            </w:r>
                            <w:r w:rsidR="001B7A16">
                              <w:rPr>
                                <w:noProof/>
                                <w:sz w:val="18"/>
                              </w:rPr>
                              <w:t>CIDRP03036F02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1B6kLLYCAAC5&#10;BQAADgAAAAAAAAAAAAAAAAAuAgAAZHJzL2Uyb0RvYy54bWxQSwECLQAUAAYACAAAACEAoiJjj94A&#10;AAANAQAADwAAAAAAAAAAAAAAAAAQBQAAZHJzL2Rvd25yZXYueG1sUEsFBgAAAAAEAAQA8wAAABsG&#10;AAAAAA==&#10;" filled="f" stroked="f">
                <v:textbox>
                  <w:txbxContent>
                    <w:p w:rsidR="008D03EE" w:rsidRPr="00375163" w:rsidRDefault="008D03EE">
                      <w:pPr>
                        <w:rPr>
                          <w:sz w:val="18"/>
                        </w:rPr>
                      </w:pPr>
                      <w:r>
                        <w:rPr>
                          <w:sz w:val="18"/>
                        </w:rPr>
                        <w:fldChar w:fldCharType="begin"/>
                      </w:r>
                      <w:r>
                        <w:rPr>
                          <w:sz w:val="18"/>
                        </w:rPr>
                        <w:instrText xml:space="preserve"> FILENAME  \* MERGEFORMAT </w:instrText>
                      </w:r>
                      <w:r>
                        <w:rPr>
                          <w:sz w:val="18"/>
                        </w:rPr>
                        <w:fldChar w:fldCharType="separate"/>
                      </w:r>
                      <w:r w:rsidR="001B7A16">
                        <w:rPr>
                          <w:noProof/>
                          <w:sz w:val="18"/>
                        </w:rPr>
                        <w:t>CIDRP03036F02</w:t>
                      </w:r>
                      <w:r>
                        <w:rPr>
                          <w:sz w:val="18"/>
                        </w:rPr>
                        <w:fldChar w:fldCharType="end"/>
                      </w:r>
                    </w:p>
                  </w:txbxContent>
                </v:textbox>
                <w10:wrap anchory="page"/>
                <w10:anchorlock/>
              </v:shape>
            </w:pict>
          </mc:Fallback>
        </mc:AlternateContent>
      </w:r>
    </w:p>
    <w:sectPr w:rsidR="00087D7F" w:rsidRPr="00221F6E">
      <w:headerReference w:type="default" r:id="rId13"/>
      <w:headerReference w:type="first" r:id="rId14"/>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EE" w:rsidRDefault="008D03EE">
      <w:r>
        <w:separator/>
      </w:r>
    </w:p>
  </w:endnote>
  <w:endnote w:type="continuationSeparator" w:id="0">
    <w:p w:rsidR="008D03EE" w:rsidRDefault="008D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EE" w:rsidRDefault="008D03EE">
      <w:r>
        <w:separator/>
      </w:r>
    </w:p>
  </w:footnote>
  <w:footnote w:type="continuationSeparator" w:id="0">
    <w:p w:rsidR="008D03EE" w:rsidRDefault="008D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EE" w:rsidRDefault="008D03EE">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1B7A16">
      <w:rPr>
        <w:noProof/>
        <w:sz w:val="22"/>
        <w:szCs w:val="22"/>
      </w:rPr>
      <w:t>10</w:t>
    </w:r>
    <w:r>
      <w:rPr>
        <w:sz w:val="22"/>
        <w:szCs w:val="22"/>
      </w:rPr>
      <w:fldChar w:fldCharType="end"/>
    </w:r>
    <w:r>
      <w:rPr>
        <w:sz w:val="22"/>
        <w:szCs w:val="22"/>
      </w:rPr>
      <w:t xml:space="preserve"> -</w:t>
    </w:r>
  </w:p>
  <w:p w:rsidR="008D03EE" w:rsidRDefault="008D03E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EE" w:rsidRDefault="008D03EE">
    <w:pPr>
      <w:pStyle w:val="Header"/>
    </w:pPr>
  </w:p>
  <w:p w:rsidR="008D03EE" w:rsidRDefault="008D03EE">
    <w:pPr>
      <w:pStyle w:val="Header"/>
    </w:pPr>
  </w:p>
  <w:p w:rsidR="008D03EE" w:rsidRDefault="008D03EE" w:rsidP="00BB020C">
    <w:pPr>
      <w:pStyle w:val="Header"/>
    </w:pPr>
    <w:r>
      <w:rPr>
        <w:noProof/>
        <w:lang w:val="en-US"/>
      </w:rPr>
      <w:drawing>
        <wp:anchor distT="0" distB="0" distL="114300" distR="114300" simplePos="0" relativeHeight="251659264" behindDoc="0" locked="0" layoutInCell="1" allowOverlap="1" wp14:anchorId="2C4F8C37" wp14:editId="02C2F46C">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C278FEE" wp14:editId="64C955E2">
              <wp:simplePos x="0" y="0"/>
              <wp:positionH relativeFrom="column">
                <wp:posOffset>5080000</wp:posOffset>
              </wp:positionH>
              <wp:positionV relativeFrom="paragraph">
                <wp:posOffset>-483235</wp:posOffset>
              </wp:positionV>
              <wp:extent cx="1287780" cy="862330"/>
              <wp:effectExtent l="3175" t="254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3EE" w:rsidRDefault="008D03EE" w:rsidP="00BB020C">
                          <w:pPr>
                            <w:ind w:right="-130"/>
                          </w:pPr>
                          <w:r>
                            <w:rPr>
                              <w:noProof/>
                              <w:lang w:val="en-US"/>
                            </w:rPr>
                            <w:drawing>
                              <wp:inline distT="0" distB="0" distL="0" distR="0" wp14:anchorId="21890A13" wp14:editId="21543F17">
                                <wp:extent cx="1104900" cy="771525"/>
                                <wp:effectExtent l="0" t="0" r="0" b="9525"/>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78FEE" id="_x0000_t202" coordsize="21600,21600" o:spt="202" path="m,l,21600r21600,l21600,xe">
              <v:stroke joinstyle="miter"/>
              <v:path gradientshapeok="t" o:connecttype="rect"/>
            </v:shapetype>
            <v:shape id="Text Box 4" o:spid="_x0000_s1027"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" stroked="f">
              <v:textbox>
                <w:txbxContent>
                  <w:p w:rsidR="008D03EE" w:rsidRDefault="008D03EE" w:rsidP="00BB020C">
                    <w:pPr>
                      <w:ind w:right="-130"/>
                    </w:pPr>
                    <w:r>
                      <w:rPr>
                        <w:noProof/>
                        <w:lang w:val="en-US"/>
                      </w:rPr>
                      <w:drawing>
                        <wp:inline distT="0" distB="0" distL="0" distR="0" wp14:anchorId="21890A13" wp14:editId="21543F17">
                          <wp:extent cx="1104900" cy="771525"/>
                          <wp:effectExtent l="0" t="0" r="0" b="9525"/>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1AF0A752" wp14:editId="1D4FB262">
              <wp:simplePos x="0" y="0"/>
              <wp:positionH relativeFrom="column">
                <wp:posOffset>417195</wp:posOffset>
              </wp:positionH>
              <wp:positionV relativeFrom="paragraph">
                <wp:posOffset>-330835</wp:posOffset>
              </wp:positionV>
              <wp:extent cx="4663440" cy="709930"/>
              <wp:effectExtent l="0" t="254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3EE" w:rsidRDefault="008D03EE" w:rsidP="00BB020C">
                          <w:pPr>
                            <w:pStyle w:val="Header"/>
                            <w:tabs>
                              <w:tab w:val="left" w:pos="900"/>
                            </w:tabs>
                            <w:spacing w:line="240" w:lineRule="atLeast"/>
                            <w:jc w:val="center"/>
                            <w:rPr>
                              <w:rFonts w:ascii="Garamond" w:hAnsi="Garamond"/>
                              <w:b/>
                              <w:sz w:val="28"/>
                              <w:lang w:val="fr-FR"/>
                            </w:rPr>
                          </w:pPr>
                          <w:r>
                            <w:rPr>
                              <w:rFonts w:ascii="Garamond" w:hAnsi="Garamond"/>
                              <w:b/>
                              <w:sz w:val="28"/>
                              <w:lang w:val="fr-FR"/>
                            </w:rPr>
                            <w:t>ORGANISATION DES ÉTATS AMÉRICAINS</w:t>
                          </w:r>
                        </w:p>
                        <w:p w:rsidR="008D03EE" w:rsidRDefault="008D03EE" w:rsidP="00BB020C">
                          <w:pPr>
                            <w:pStyle w:val="Header"/>
                            <w:tabs>
                              <w:tab w:val="left" w:pos="900"/>
                            </w:tabs>
                            <w:spacing w:line="240" w:lineRule="atLeast"/>
                            <w:jc w:val="center"/>
                            <w:rPr>
                              <w:rFonts w:ascii="Garamond" w:hAnsi="Garamond"/>
                              <w:b/>
                              <w:sz w:val="22"/>
                              <w:szCs w:val="22"/>
                              <w:lang w:val="fr-FR"/>
                            </w:rPr>
                          </w:pPr>
                          <w:r>
                            <w:rPr>
                              <w:rFonts w:ascii="Garamond" w:hAnsi="Garamond"/>
                              <w:b/>
                              <w:sz w:val="22"/>
                              <w:lang w:val="fr-FR"/>
                            </w:rPr>
                            <w:t>Conseil interaméricain pour le développement intégré</w:t>
                          </w:r>
                        </w:p>
                        <w:p w:rsidR="008D03EE" w:rsidRDefault="008D03EE" w:rsidP="00BB020C">
                          <w:pPr>
                            <w:pStyle w:val="Header"/>
                            <w:tabs>
                              <w:tab w:val="left" w:pos="900"/>
                            </w:tabs>
                            <w:spacing w:line="240" w:lineRule="atLeast"/>
                            <w:jc w:val="center"/>
                            <w:rPr>
                              <w:b/>
                              <w:sz w:val="22"/>
                              <w:szCs w:val="22"/>
                              <w:lang w:val="fr-FR"/>
                            </w:rPr>
                          </w:pPr>
                          <w:r>
                            <w:rPr>
                              <w:rFonts w:ascii="Garamond" w:hAnsi="Garamond"/>
                              <w:b/>
                              <w:sz w:val="22"/>
                              <w:lang w:val="fr-FR"/>
                            </w:rPr>
                            <w:t>(CIDI)</w:t>
                          </w:r>
                        </w:p>
                        <w:p w:rsidR="008D03EE" w:rsidRDefault="008D03EE" w:rsidP="00BB020C">
                          <w:pPr>
                            <w:rPr>
                              <w:b/>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A752" id="Text Box 7" o:spid="_x0000_s1028" type="#_x0000_t202" style="position:absolute;margin-left:32.85pt;margin-top:-26.05pt;width:367.2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ix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" stroked="f">
              <v:textbox>
                <w:txbxContent>
                  <w:p w:rsidR="008D03EE" w:rsidRDefault="008D03EE" w:rsidP="00BB020C">
                    <w:pPr>
                      <w:pStyle w:val="Header"/>
                      <w:tabs>
                        <w:tab w:val="left" w:pos="900"/>
                      </w:tabs>
                      <w:spacing w:line="240" w:lineRule="atLeast"/>
                      <w:jc w:val="center"/>
                      <w:rPr>
                        <w:rFonts w:ascii="Garamond" w:hAnsi="Garamond"/>
                        <w:b/>
                        <w:sz w:val="28"/>
                        <w:lang w:val="fr-FR"/>
                      </w:rPr>
                    </w:pPr>
                    <w:r>
                      <w:rPr>
                        <w:rFonts w:ascii="Garamond" w:hAnsi="Garamond"/>
                        <w:b/>
                        <w:sz w:val="28"/>
                        <w:lang w:val="fr-FR"/>
                      </w:rPr>
                      <w:t>ORGANISATION DES ÉTATS AMÉRICAINS</w:t>
                    </w:r>
                  </w:p>
                  <w:p w:rsidR="008D03EE" w:rsidRDefault="008D03EE" w:rsidP="00BB020C">
                    <w:pPr>
                      <w:pStyle w:val="Header"/>
                      <w:tabs>
                        <w:tab w:val="left" w:pos="900"/>
                      </w:tabs>
                      <w:spacing w:line="240" w:lineRule="atLeast"/>
                      <w:jc w:val="center"/>
                      <w:rPr>
                        <w:rFonts w:ascii="Garamond" w:hAnsi="Garamond"/>
                        <w:b/>
                        <w:sz w:val="22"/>
                        <w:szCs w:val="22"/>
                        <w:lang w:val="fr-FR"/>
                      </w:rPr>
                    </w:pPr>
                    <w:r>
                      <w:rPr>
                        <w:rFonts w:ascii="Garamond" w:hAnsi="Garamond"/>
                        <w:b/>
                        <w:sz w:val="22"/>
                        <w:lang w:val="fr-FR"/>
                      </w:rPr>
                      <w:t>Conseil interaméricain pour le développement intégré</w:t>
                    </w:r>
                  </w:p>
                  <w:p w:rsidR="008D03EE" w:rsidRDefault="008D03EE" w:rsidP="00BB020C">
                    <w:pPr>
                      <w:pStyle w:val="Header"/>
                      <w:tabs>
                        <w:tab w:val="left" w:pos="900"/>
                      </w:tabs>
                      <w:spacing w:line="240" w:lineRule="atLeast"/>
                      <w:jc w:val="center"/>
                      <w:rPr>
                        <w:b/>
                        <w:sz w:val="22"/>
                        <w:szCs w:val="22"/>
                        <w:lang w:val="fr-FR"/>
                      </w:rPr>
                    </w:pPr>
                    <w:r>
                      <w:rPr>
                        <w:rFonts w:ascii="Garamond" w:hAnsi="Garamond"/>
                        <w:b/>
                        <w:sz w:val="22"/>
                        <w:lang w:val="fr-FR"/>
                      </w:rPr>
                      <w:t>(CIDI)</w:t>
                    </w:r>
                  </w:p>
                  <w:p w:rsidR="008D03EE" w:rsidRDefault="008D03EE" w:rsidP="00BB020C">
                    <w:pPr>
                      <w:rPr>
                        <w:b/>
                        <w:sz w:val="22"/>
                        <w:szCs w:val="22"/>
                        <w:lang w:val="fr-FR"/>
                      </w:rPr>
                    </w:pPr>
                  </w:p>
                </w:txbxContent>
              </v:textbox>
            </v:shape>
          </w:pict>
        </mc:Fallback>
      </mc:AlternateContent>
    </w:r>
  </w:p>
  <w:p w:rsidR="008D03EE" w:rsidRDefault="008D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AEB"/>
    <w:multiLevelType w:val="hybridMultilevel"/>
    <w:tmpl w:val="744854A0"/>
    <w:lvl w:ilvl="0" w:tplc="7FC41F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D51CC"/>
    <w:multiLevelType w:val="hybridMultilevel"/>
    <w:tmpl w:val="4CAE306E"/>
    <w:lvl w:ilvl="0" w:tplc="A2C25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D6AF9"/>
    <w:multiLevelType w:val="hybridMultilevel"/>
    <w:tmpl w:val="C03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A06"/>
    <w:multiLevelType w:val="hybridMultilevel"/>
    <w:tmpl w:val="32AC3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11173"/>
    <w:multiLevelType w:val="hybridMultilevel"/>
    <w:tmpl w:val="5BB2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A43BCF"/>
    <w:multiLevelType w:val="hybridMultilevel"/>
    <w:tmpl w:val="1368D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D5A33"/>
    <w:multiLevelType w:val="hybridMultilevel"/>
    <w:tmpl w:val="C804FE26"/>
    <w:lvl w:ilvl="0" w:tplc="4A48F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C2805"/>
    <w:multiLevelType w:val="hybridMultilevel"/>
    <w:tmpl w:val="AA54C962"/>
    <w:lvl w:ilvl="0" w:tplc="361A0E5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E5547"/>
    <w:multiLevelType w:val="hybridMultilevel"/>
    <w:tmpl w:val="AC7A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446850"/>
    <w:multiLevelType w:val="hybridMultilevel"/>
    <w:tmpl w:val="127A22E6"/>
    <w:lvl w:ilvl="0" w:tplc="CB284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04327"/>
    <w:multiLevelType w:val="hybridMultilevel"/>
    <w:tmpl w:val="B9127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C87FCD"/>
    <w:multiLevelType w:val="hybridMultilevel"/>
    <w:tmpl w:val="3ABC8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3A703792">
      <w:start w:val="1"/>
      <w:numFmt w:val="decimal"/>
      <w:lvlText w:val="%1."/>
      <w:lvlJc w:val="left"/>
      <w:pPr>
        <w:ind w:left="1440" w:hanging="360"/>
      </w:pPr>
      <w:rPr>
        <w:rFonts w:hint="default"/>
        <w:b w:val="0"/>
        <w:i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BF8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E2A83"/>
    <w:multiLevelType w:val="hybridMultilevel"/>
    <w:tmpl w:val="390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A27B8"/>
    <w:multiLevelType w:val="hybridMultilevel"/>
    <w:tmpl w:val="00D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088F"/>
    <w:multiLevelType w:val="hybridMultilevel"/>
    <w:tmpl w:val="A894B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32C2"/>
    <w:multiLevelType w:val="hybridMultilevel"/>
    <w:tmpl w:val="D0BAF206"/>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37F68"/>
    <w:multiLevelType w:val="hybridMultilevel"/>
    <w:tmpl w:val="22D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096A"/>
    <w:multiLevelType w:val="hybridMultilevel"/>
    <w:tmpl w:val="CA0C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8EDAE286">
      <w:start w:val="1"/>
      <w:numFmt w:val="bullet"/>
      <w:lvlText w:val=""/>
      <w:lvlJc w:val="left"/>
      <w:pPr>
        <w:ind w:left="360" w:hanging="360"/>
      </w:pPr>
      <w:rPr>
        <w:rFonts w:ascii="Symbol" w:hAnsi="Symbol"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0A56B5"/>
    <w:multiLevelType w:val="hybridMultilevel"/>
    <w:tmpl w:val="3EBE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7"/>
    <w:rsid w:val="00002CAD"/>
    <w:rsid w:val="00022520"/>
    <w:rsid w:val="00050F3E"/>
    <w:rsid w:val="0005308D"/>
    <w:rsid w:val="00053220"/>
    <w:rsid w:val="00081DFA"/>
    <w:rsid w:val="00087D7F"/>
    <w:rsid w:val="00093DAE"/>
    <w:rsid w:val="00093F92"/>
    <w:rsid w:val="000D2F6B"/>
    <w:rsid w:val="000F2941"/>
    <w:rsid w:val="000F2DFA"/>
    <w:rsid w:val="000F3A63"/>
    <w:rsid w:val="0015269C"/>
    <w:rsid w:val="0016148D"/>
    <w:rsid w:val="00161522"/>
    <w:rsid w:val="00175683"/>
    <w:rsid w:val="0019223B"/>
    <w:rsid w:val="001B7A16"/>
    <w:rsid w:val="001C0CD7"/>
    <w:rsid w:val="001E0A43"/>
    <w:rsid w:val="001F0861"/>
    <w:rsid w:val="00202B98"/>
    <w:rsid w:val="002142FE"/>
    <w:rsid w:val="0021656E"/>
    <w:rsid w:val="00221F6E"/>
    <w:rsid w:val="00224CEB"/>
    <w:rsid w:val="00232682"/>
    <w:rsid w:val="00235536"/>
    <w:rsid w:val="00241502"/>
    <w:rsid w:val="00245347"/>
    <w:rsid w:val="00252692"/>
    <w:rsid w:val="00252B7F"/>
    <w:rsid w:val="00260EDE"/>
    <w:rsid w:val="00262ED8"/>
    <w:rsid w:val="002740DE"/>
    <w:rsid w:val="002B740F"/>
    <w:rsid w:val="002D0E74"/>
    <w:rsid w:val="002E1053"/>
    <w:rsid w:val="002F7EB9"/>
    <w:rsid w:val="00334EF5"/>
    <w:rsid w:val="003419A3"/>
    <w:rsid w:val="00342DDF"/>
    <w:rsid w:val="00343952"/>
    <w:rsid w:val="00351150"/>
    <w:rsid w:val="0035264A"/>
    <w:rsid w:val="00361D46"/>
    <w:rsid w:val="00375163"/>
    <w:rsid w:val="00381BA1"/>
    <w:rsid w:val="00391AFF"/>
    <w:rsid w:val="003A2009"/>
    <w:rsid w:val="003C0AD5"/>
    <w:rsid w:val="003C7F93"/>
    <w:rsid w:val="004000B7"/>
    <w:rsid w:val="00407399"/>
    <w:rsid w:val="004249B1"/>
    <w:rsid w:val="00424F96"/>
    <w:rsid w:val="0043163C"/>
    <w:rsid w:val="00435A82"/>
    <w:rsid w:val="00435E12"/>
    <w:rsid w:val="0045229E"/>
    <w:rsid w:val="00454526"/>
    <w:rsid w:val="004624B2"/>
    <w:rsid w:val="00471DC0"/>
    <w:rsid w:val="0048240F"/>
    <w:rsid w:val="0049272A"/>
    <w:rsid w:val="004B717E"/>
    <w:rsid w:val="004F4DAE"/>
    <w:rsid w:val="00506FC2"/>
    <w:rsid w:val="00520077"/>
    <w:rsid w:val="00522A2D"/>
    <w:rsid w:val="005546EE"/>
    <w:rsid w:val="005551A1"/>
    <w:rsid w:val="0055717D"/>
    <w:rsid w:val="00573051"/>
    <w:rsid w:val="0059208D"/>
    <w:rsid w:val="005A2DA8"/>
    <w:rsid w:val="005A44B7"/>
    <w:rsid w:val="005A62DB"/>
    <w:rsid w:val="005C33C2"/>
    <w:rsid w:val="005F3221"/>
    <w:rsid w:val="005F4A69"/>
    <w:rsid w:val="005F640D"/>
    <w:rsid w:val="00611B82"/>
    <w:rsid w:val="00634E2B"/>
    <w:rsid w:val="0063639E"/>
    <w:rsid w:val="0064400F"/>
    <w:rsid w:val="00663502"/>
    <w:rsid w:val="00664BDA"/>
    <w:rsid w:val="00680E2A"/>
    <w:rsid w:val="00687D24"/>
    <w:rsid w:val="006A61D8"/>
    <w:rsid w:val="006D3EF5"/>
    <w:rsid w:val="006D53D5"/>
    <w:rsid w:val="006E163B"/>
    <w:rsid w:val="006E55F6"/>
    <w:rsid w:val="00705973"/>
    <w:rsid w:val="0071104D"/>
    <w:rsid w:val="00714009"/>
    <w:rsid w:val="00721DE0"/>
    <w:rsid w:val="00727EC1"/>
    <w:rsid w:val="00734C59"/>
    <w:rsid w:val="00755A64"/>
    <w:rsid w:val="00756C0C"/>
    <w:rsid w:val="0076262E"/>
    <w:rsid w:val="0078308E"/>
    <w:rsid w:val="00783C22"/>
    <w:rsid w:val="007A6467"/>
    <w:rsid w:val="007B7F0F"/>
    <w:rsid w:val="007D0ABF"/>
    <w:rsid w:val="007D154B"/>
    <w:rsid w:val="0080097C"/>
    <w:rsid w:val="008051A9"/>
    <w:rsid w:val="00810613"/>
    <w:rsid w:val="008127A9"/>
    <w:rsid w:val="00816EA2"/>
    <w:rsid w:val="00824682"/>
    <w:rsid w:val="00833466"/>
    <w:rsid w:val="00847795"/>
    <w:rsid w:val="008525E1"/>
    <w:rsid w:val="008542DA"/>
    <w:rsid w:val="00873C15"/>
    <w:rsid w:val="00897358"/>
    <w:rsid w:val="008A232B"/>
    <w:rsid w:val="008D03EE"/>
    <w:rsid w:val="008D12D2"/>
    <w:rsid w:val="008E4049"/>
    <w:rsid w:val="008E45A7"/>
    <w:rsid w:val="008F5F1D"/>
    <w:rsid w:val="008F710F"/>
    <w:rsid w:val="008F768D"/>
    <w:rsid w:val="0090365E"/>
    <w:rsid w:val="00931584"/>
    <w:rsid w:val="0093173A"/>
    <w:rsid w:val="009515AE"/>
    <w:rsid w:val="00955EA6"/>
    <w:rsid w:val="00964204"/>
    <w:rsid w:val="0096666E"/>
    <w:rsid w:val="00980D4E"/>
    <w:rsid w:val="009A166C"/>
    <w:rsid w:val="009C29BD"/>
    <w:rsid w:val="009F63F5"/>
    <w:rsid w:val="00A063D2"/>
    <w:rsid w:val="00A13471"/>
    <w:rsid w:val="00A248DA"/>
    <w:rsid w:val="00A27DF0"/>
    <w:rsid w:val="00A3280A"/>
    <w:rsid w:val="00A64C29"/>
    <w:rsid w:val="00A67DD2"/>
    <w:rsid w:val="00A709B5"/>
    <w:rsid w:val="00A8382B"/>
    <w:rsid w:val="00A921C6"/>
    <w:rsid w:val="00AA1FD8"/>
    <w:rsid w:val="00AB4A69"/>
    <w:rsid w:val="00AE2015"/>
    <w:rsid w:val="00B11A66"/>
    <w:rsid w:val="00B15F00"/>
    <w:rsid w:val="00B2424C"/>
    <w:rsid w:val="00B36C9F"/>
    <w:rsid w:val="00B40239"/>
    <w:rsid w:val="00B43D65"/>
    <w:rsid w:val="00B63CF1"/>
    <w:rsid w:val="00B752DB"/>
    <w:rsid w:val="00B91AB9"/>
    <w:rsid w:val="00B95E7C"/>
    <w:rsid w:val="00BA02F7"/>
    <w:rsid w:val="00BB020C"/>
    <w:rsid w:val="00BC1967"/>
    <w:rsid w:val="00BE4728"/>
    <w:rsid w:val="00C0186F"/>
    <w:rsid w:val="00C43DC6"/>
    <w:rsid w:val="00C760C7"/>
    <w:rsid w:val="00C97093"/>
    <w:rsid w:val="00C97E8C"/>
    <w:rsid w:val="00CB6502"/>
    <w:rsid w:val="00CD2E8D"/>
    <w:rsid w:val="00CD41CA"/>
    <w:rsid w:val="00CD5672"/>
    <w:rsid w:val="00CE4E59"/>
    <w:rsid w:val="00CF0B4E"/>
    <w:rsid w:val="00CF41EE"/>
    <w:rsid w:val="00D04692"/>
    <w:rsid w:val="00D13AB9"/>
    <w:rsid w:val="00D41A4B"/>
    <w:rsid w:val="00D41EE1"/>
    <w:rsid w:val="00D50157"/>
    <w:rsid w:val="00D51C94"/>
    <w:rsid w:val="00D56674"/>
    <w:rsid w:val="00D851F8"/>
    <w:rsid w:val="00D861F5"/>
    <w:rsid w:val="00DA0478"/>
    <w:rsid w:val="00DA4A62"/>
    <w:rsid w:val="00DB3487"/>
    <w:rsid w:val="00DB4077"/>
    <w:rsid w:val="00DD0E9F"/>
    <w:rsid w:val="00DD38CB"/>
    <w:rsid w:val="00DD5B8B"/>
    <w:rsid w:val="00DE5367"/>
    <w:rsid w:val="00DF2EE8"/>
    <w:rsid w:val="00E0307F"/>
    <w:rsid w:val="00E117B0"/>
    <w:rsid w:val="00E817E1"/>
    <w:rsid w:val="00EA27B8"/>
    <w:rsid w:val="00EA6CDE"/>
    <w:rsid w:val="00EC3D1A"/>
    <w:rsid w:val="00EC7E85"/>
    <w:rsid w:val="00EE7BDA"/>
    <w:rsid w:val="00EF2731"/>
    <w:rsid w:val="00EF2E4C"/>
    <w:rsid w:val="00F2269F"/>
    <w:rsid w:val="00F25FE4"/>
    <w:rsid w:val="00F57CB0"/>
    <w:rsid w:val="00F6210A"/>
    <w:rsid w:val="00FA4429"/>
    <w:rsid w:val="00FD2833"/>
    <w:rsid w:val="00FD2AA0"/>
    <w:rsid w:val="00FE1896"/>
    <w:rsid w:val="00FF4579"/>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F04D"/>
  <w15:docId w15:val="{8F3A50EE-7076-47A2-BB65-DFE9F1C1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262ED8"/>
    <w:pPr>
      <w:ind w:left="720"/>
      <w:contextualSpacing/>
    </w:pPr>
  </w:style>
  <w:style w:type="character" w:customStyle="1" w:styleId="ListParagraphChar">
    <w:name w:val="List Paragraph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character" w:styleId="IntenseEmphasis">
    <w:name w:val="Intense Emphasis"/>
    <w:basedOn w:val="DefaultParagraphFont"/>
    <w:uiPriority w:val="21"/>
    <w:qFormat/>
    <w:rsid w:val="0063639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404329319">
      <w:bodyDiv w:val="1"/>
      <w:marLeft w:val="0"/>
      <w:marRight w:val="0"/>
      <w:marTop w:val="0"/>
      <w:marBottom w:val="0"/>
      <w:divBdr>
        <w:top w:val="none" w:sz="0" w:space="0" w:color="auto"/>
        <w:left w:val="none" w:sz="0" w:space="0" w:color="auto"/>
        <w:bottom w:val="none" w:sz="0" w:space="0" w:color="auto"/>
        <w:right w:val="none" w:sz="0" w:space="0" w:color="auto"/>
      </w:divBdr>
    </w:div>
    <w:div w:id="181020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FRENCH/HIST_18/CIDSC00039F0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Informe-DSP-CA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Informe-IIN-CA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pdfs/2020/Informe-CIM-CAM.docx" TargetMode="External"/><Relationship Id="rId4" Type="http://schemas.openxmlformats.org/officeDocument/2006/relationships/settings" Target="settings.xml"/><Relationship Id="rId9" Type="http://schemas.openxmlformats.org/officeDocument/2006/relationships/hyperlink" Target="http://scm.oas.org/pdfs/2020/Informe-CIDH-CAM.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CC32-93D4-4711-B649-0D4F25E2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2020-11-18T16:17:00Z</dcterms:created>
  <dcterms:modified xsi:type="dcterms:W3CDTF">2020-11-18T16:18:00Z</dcterms:modified>
</cp:coreProperties>
</file>