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8E" w:rsidRPr="008E3B85" w:rsidRDefault="00FA1B8E" w:rsidP="00FA1B8E">
      <w:pPr>
        <w:tabs>
          <w:tab w:val="left" w:pos="7200"/>
        </w:tabs>
        <w:ind w:right="-720"/>
        <w:rPr>
          <w:rFonts w:eastAsia="Times New Roman"/>
          <w:sz w:val="22"/>
          <w:szCs w:val="22"/>
          <w:lang w:val="pt-BR" w:eastAsia="en-US"/>
        </w:rPr>
      </w:pPr>
      <w:r w:rsidRPr="008E3B85">
        <w:rPr>
          <w:rFonts w:eastAsia="Times New Roman"/>
          <w:sz w:val="22"/>
          <w:szCs w:val="22"/>
          <w:lang w:val="fr-CA" w:eastAsia="en-US"/>
        </w:rPr>
        <w:tab/>
      </w:r>
      <w:r w:rsidRPr="008E3B85">
        <w:rPr>
          <w:rFonts w:eastAsia="Times New Roman"/>
          <w:sz w:val="22"/>
          <w:szCs w:val="22"/>
          <w:lang w:val="pt-BR" w:eastAsia="en-US"/>
        </w:rPr>
        <w:t>OEA/Ser.W</w:t>
      </w:r>
    </w:p>
    <w:p w:rsidR="00FA1B8E" w:rsidRPr="0071580A" w:rsidRDefault="00FA1B8E" w:rsidP="00FA1B8E">
      <w:pPr>
        <w:tabs>
          <w:tab w:val="left" w:pos="7200"/>
        </w:tabs>
        <w:ind w:right="-1080"/>
        <w:rPr>
          <w:rFonts w:eastAsia="Times New Roman"/>
          <w:sz w:val="22"/>
          <w:szCs w:val="22"/>
          <w:lang w:val="fr-CA" w:eastAsia="en-US"/>
        </w:rPr>
      </w:pPr>
      <w:r w:rsidRPr="008E3B85">
        <w:rPr>
          <w:rFonts w:eastAsia="Times New Roman"/>
          <w:b/>
          <w:sz w:val="22"/>
          <w:szCs w:val="22"/>
          <w:lang w:val="pt-BR" w:eastAsia="en-US"/>
        </w:rPr>
        <w:tab/>
      </w:r>
      <w:r w:rsidR="008E3B85" w:rsidRPr="0071580A">
        <w:rPr>
          <w:rFonts w:eastAsia="Times New Roman"/>
          <w:sz w:val="22"/>
          <w:szCs w:val="22"/>
          <w:lang w:val="fr-CA" w:eastAsia="en-US"/>
        </w:rPr>
        <w:t>CIDI/doc.</w:t>
      </w:r>
      <w:r w:rsidR="00A969C3" w:rsidRPr="0071580A">
        <w:rPr>
          <w:rFonts w:eastAsia="Times New Roman"/>
          <w:sz w:val="22"/>
          <w:szCs w:val="22"/>
          <w:lang w:val="fr-CA" w:eastAsia="en-US"/>
        </w:rPr>
        <w:t>304</w:t>
      </w:r>
      <w:r w:rsidRPr="0071580A">
        <w:rPr>
          <w:rFonts w:eastAsia="Times New Roman"/>
          <w:sz w:val="22"/>
          <w:szCs w:val="22"/>
          <w:lang w:val="fr-CA" w:eastAsia="en-US"/>
        </w:rPr>
        <w:t>/</w:t>
      </w:r>
      <w:r w:rsidR="00180E63" w:rsidRPr="0071580A">
        <w:rPr>
          <w:rFonts w:eastAsia="Times New Roman"/>
          <w:sz w:val="22"/>
          <w:szCs w:val="22"/>
          <w:lang w:val="fr-CA" w:eastAsia="en-US"/>
        </w:rPr>
        <w:t>20</w:t>
      </w:r>
      <w:r w:rsidR="0071580A" w:rsidRPr="0071580A">
        <w:rPr>
          <w:rFonts w:eastAsia="Times New Roman"/>
          <w:sz w:val="22"/>
          <w:szCs w:val="22"/>
          <w:lang w:val="fr-CA" w:eastAsia="en-US"/>
        </w:rPr>
        <w:t xml:space="preserve"> rev.1</w:t>
      </w:r>
    </w:p>
    <w:p w:rsidR="00FA1B8E" w:rsidRPr="008E3B85" w:rsidRDefault="0071580A" w:rsidP="00FA1B8E">
      <w:pPr>
        <w:tabs>
          <w:tab w:val="left" w:pos="7200"/>
        </w:tabs>
        <w:ind w:right="-1080"/>
        <w:rPr>
          <w:rFonts w:eastAsia="Times New Roman"/>
          <w:sz w:val="22"/>
          <w:szCs w:val="22"/>
          <w:lang w:val="fr-CA" w:eastAsia="en-US"/>
        </w:rPr>
      </w:pPr>
      <w:r>
        <w:rPr>
          <w:rFonts w:eastAsia="Times New Roman"/>
          <w:sz w:val="22"/>
          <w:szCs w:val="22"/>
          <w:lang w:val="fr-CA" w:eastAsia="en-US"/>
        </w:rPr>
        <w:tab/>
      </w:r>
      <w:r w:rsidRPr="0071580A">
        <w:rPr>
          <w:rFonts w:eastAsia="Times New Roman"/>
          <w:sz w:val="22"/>
          <w:szCs w:val="22"/>
          <w:lang w:val="fr-CA" w:eastAsia="en-US"/>
        </w:rPr>
        <w:t>11</w:t>
      </w:r>
      <w:r>
        <w:rPr>
          <w:rFonts w:eastAsia="Times New Roman"/>
          <w:sz w:val="22"/>
          <w:szCs w:val="22"/>
          <w:lang w:val="fr-CA" w:eastAsia="en-US"/>
        </w:rPr>
        <w:t xml:space="preserve"> </w:t>
      </w:r>
      <w:r w:rsidR="00180E63" w:rsidRPr="008E3B85">
        <w:rPr>
          <w:rFonts w:eastAsia="Times New Roman"/>
          <w:sz w:val="22"/>
          <w:szCs w:val="22"/>
          <w:lang w:val="fr-CA" w:eastAsia="en-US"/>
        </w:rPr>
        <w:t>d</w:t>
      </w:r>
      <w:r w:rsidR="009270E5" w:rsidRPr="008E3B85">
        <w:rPr>
          <w:rFonts w:eastAsia="Times New Roman"/>
          <w:sz w:val="22"/>
          <w:szCs w:val="22"/>
          <w:lang w:val="fr-CA" w:eastAsia="en-US"/>
        </w:rPr>
        <w:t>é</w:t>
      </w:r>
      <w:r w:rsidR="00180E63" w:rsidRPr="008E3B85">
        <w:rPr>
          <w:rFonts w:eastAsia="Times New Roman"/>
          <w:sz w:val="22"/>
          <w:szCs w:val="22"/>
          <w:lang w:val="fr-CA" w:eastAsia="en-US"/>
        </w:rPr>
        <w:t>cembre</w:t>
      </w:r>
      <w:r w:rsidR="00FA1B8E" w:rsidRPr="008E3B85">
        <w:rPr>
          <w:rFonts w:eastAsia="Times New Roman"/>
          <w:sz w:val="22"/>
          <w:szCs w:val="22"/>
          <w:lang w:val="fr-CA" w:eastAsia="en-US"/>
        </w:rPr>
        <w:t xml:space="preserve"> 20</w:t>
      </w:r>
      <w:r w:rsidR="00180E63" w:rsidRPr="008E3B85">
        <w:rPr>
          <w:rFonts w:eastAsia="Times New Roman"/>
          <w:sz w:val="22"/>
          <w:szCs w:val="22"/>
          <w:lang w:val="fr-CA" w:eastAsia="en-US"/>
        </w:rPr>
        <w:t>20</w:t>
      </w:r>
    </w:p>
    <w:p w:rsidR="00FA1B8E" w:rsidRPr="008E3B85" w:rsidRDefault="00FA1B8E" w:rsidP="00FA1B8E">
      <w:pPr>
        <w:pBdr>
          <w:bottom w:val="single" w:sz="12" w:space="1" w:color="auto"/>
        </w:pBdr>
        <w:tabs>
          <w:tab w:val="left" w:pos="7200"/>
        </w:tabs>
        <w:ind w:right="-29"/>
        <w:rPr>
          <w:rFonts w:eastAsia="Times New Roman"/>
          <w:sz w:val="22"/>
          <w:szCs w:val="22"/>
          <w:lang w:val="fr-CA" w:eastAsia="en-US"/>
        </w:rPr>
      </w:pPr>
      <w:r w:rsidRPr="008E3B85">
        <w:rPr>
          <w:rFonts w:eastAsia="Times New Roman"/>
          <w:sz w:val="22"/>
          <w:szCs w:val="22"/>
          <w:lang w:val="fr-CA" w:eastAsia="en-US"/>
        </w:rPr>
        <w:tab/>
        <w:t xml:space="preserve">Original: </w:t>
      </w:r>
      <w:r w:rsidR="009270E5" w:rsidRPr="008E3B85">
        <w:rPr>
          <w:rFonts w:eastAsia="Times New Roman"/>
          <w:sz w:val="22"/>
          <w:szCs w:val="22"/>
          <w:lang w:val="fr-CA" w:eastAsia="en-US"/>
        </w:rPr>
        <w:t>a</w:t>
      </w:r>
      <w:r w:rsidR="00C640AC" w:rsidRPr="008E3B85">
        <w:rPr>
          <w:rFonts w:eastAsia="Times New Roman"/>
          <w:sz w:val="22"/>
          <w:szCs w:val="22"/>
          <w:lang w:val="fr-CA" w:eastAsia="en-US"/>
        </w:rPr>
        <w:t>n</w:t>
      </w:r>
      <w:r w:rsidR="009270E5" w:rsidRPr="008E3B85">
        <w:rPr>
          <w:rFonts w:eastAsia="Times New Roman"/>
          <w:sz w:val="22"/>
          <w:szCs w:val="22"/>
          <w:lang w:val="fr-CA" w:eastAsia="en-US"/>
        </w:rPr>
        <w:t>glais</w:t>
      </w:r>
    </w:p>
    <w:p w:rsidR="00FA1B8E" w:rsidRPr="008E3B85" w:rsidRDefault="00FA1B8E" w:rsidP="00FA1B8E">
      <w:pPr>
        <w:pBdr>
          <w:bottom w:val="single" w:sz="12" w:space="1" w:color="auto"/>
        </w:pBdr>
        <w:tabs>
          <w:tab w:val="left" w:pos="7200"/>
        </w:tabs>
        <w:ind w:right="-29"/>
        <w:rPr>
          <w:rFonts w:eastAsia="Times New Roman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A72ACC" w:rsidRPr="008E3B85" w:rsidRDefault="00A72ACC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142932" w:rsidP="00FA1B8E">
      <w:pPr>
        <w:jc w:val="center"/>
        <w:rPr>
          <w:sz w:val="22"/>
          <w:szCs w:val="22"/>
          <w:lang w:val="fr-CA" w:eastAsia="en-US"/>
        </w:rPr>
      </w:pPr>
      <w:r w:rsidRPr="008E3B85">
        <w:rPr>
          <w:sz w:val="22"/>
          <w:szCs w:val="22"/>
          <w:lang w:val="fr-CA" w:eastAsia="en-US"/>
        </w:rPr>
        <w:t xml:space="preserve">ÉLIGIBILITÉ </w:t>
      </w:r>
      <w:r w:rsidR="003E6279" w:rsidRPr="008E3B85">
        <w:rPr>
          <w:sz w:val="22"/>
          <w:szCs w:val="22"/>
          <w:lang w:val="fr-CA" w:eastAsia="en-US"/>
        </w:rPr>
        <w:t>ET BUDGET</w:t>
      </w:r>
      <w:r w:rsidR="00A72ACC" w:rsidRPr="00A72ACC">
        <w:rPr>
          <w:lang w:val="fr-CA"/>
        </w:rPr>
        <w:t xml:space="preserve"> </w:t>
      </w:r>
      <w:r w:rsidR="00A72ACC" w:rsidRPr="00A72ACC">
        <w:rPr>
          <w:sz w:val="22"/>
          <w:szCs w:val="22"/>
          <w:lang w:val="fr-CA" w:eastAsia="en-US"/>
        </w:rPr>
        <w:t>AVEC LE DOMAINE D'ACTION ET LES THÈMES</w:t>
      </w:r>
      <w:r w:rsidR="00A72ACC">
        <w:rPr>
          <w:sz w:val="22"/>
          <w:szCs w:val="22"/>
          <w:lang w:val="fr-CA" w:eastAsia="en-US"/>
        </w:rPr>
        <w:t xml:space="preserve"> </w:t>
      </w:r>
      <w:r w:rsidR="00A72ACC" w:rsidRPr="008E3B85">
        <w:rPr>
          <w:sz w:val="22"/>
          <w:szCs w:val="22"/>
          <w:lang w:val="fr-CA" w:eastAsia="en-US"/>
        </w:rPr>
        <w:t>POUR</w:t>
      </w:r>
      <w:r w:rsidRPr="008E3B85">
        <w:rPr>
          <w:sz w:val="22"/>
          <w:szCs w:val="22"/>
          <w:lang w:val="fr-CA" w:eastAsia="en-US"/>
        </w:rPr>
        <w:t xml:space="preserve"> LE </w:t>
      </w:r>
      <w:r w:rsidR="003E6279" w:rsidRPr="008E3B85">
        <w:rPr>
          <w:sz w:val="22"/>
          <w:szCs w:val="22"/>
          <w:lang w:val="fr-CA" w:eastAsia="en-US"/>
        </w:rPr>
        <w:t xml:space="preserve">CYCLE DE PROGRAMMATION </w:t>
      </w:r>
      <w:r w:rsidR="00FA1B8E" w:rsidRPr="008E3B85">
        <w:rPr>
          <w:sz w:val="22"/>
          <w:szCs w:val="22"/>
          <w:lang w:val="fr-CA" w:eastAsia="en-US"/>
        </w:rPr>
        <w:t>2021-2024 D</w:t>
      </w:r>
      <w:r w:rsidR="003E6279" w:rsidRPr="008E3B85">
        <w:rPr>
          <w:sz w:val="22"/>
          <w:szCs w:val="22"/>
          <w:lang w:val="fr-CA" w:eastAsia="en-US"/>
        </w:rPr>
        <w:t>U FONDS DE COOPÉRATION POUR LE DÉVELOPPEMENT DE L’OEA</w:t>
      </w:r>
      <w:r w:rsidR="00B53798">
        <w:rPr>
          <w:sz w:val="22"/>
          <w:szCs w:val="22"/>
          <w:lang w:val="fr-CA" w:eastAsia="en-US"/>
        </w:rPr>
        <w:t xml:space="preserve"> </w:t>
      </w:r>
      <w:r w:rsidR="00B53798" w:rsidRPr="00B53798">
        <w:rPr>
          <w:sz w:val="22"/>
          <w:szCs w:val="22"/>
          <w:lang w:val="fr-CA" w:eastAsia="en-US"/>
        </w:rPr>
        <w:t>(FCD/OEA)</w:t>
      </w:r>
      <w:bookmarkStart w:id="0" w:name="_GoBack"/>
      <w:bookmarkEnd w:id="0"/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71580A" w:rsidRPr="0071580A" w:rsidRDefault="0071580A" w:rsidP="0071580A">
      <w:pPr>
        <w:widowControl w:val="0"/>
        <w:jc w:val="center"/>
        <w:rPr>
          <w:rFonts w:eastAsia="Times New Roman"/>
          <w:sz w:val="22"/>
          <w:szCs w:val="22"/>
          <w:lang w:val="fr-CA" w:eastAsia="en-US"/>
        </w:rPr>
      </w:pPr>
      <w:r w:rsidRPr="0071580A">
        <w:rPr>
          <w:rFonts w:eastAsia="Times New Roman"/>
          <w:sz w:val="22"/>
          <w:szCs w:val="22"/>
          <w:lang w:val="fr-CA" w:eastAsia="en-US"/>
        </w:rPr>
        <w:t>(</w:t>
      </w:r>
      <w:r w:rsidRPr="0071580A">
        <w:rPr>
          <w:rFonts w:eastAsia="Times New Roman"/>
          <w:color w:val="000000"/>
          <w:sz w:val="22"/>
          <w:szCs w:val="22"/>
          <w:lang w:val="fr-CA" w:eastAsia="en-US"/>
        </w:rPr>
        <w:t>Approuvée</w:t>
      </w:r>
      <w:r>
        <w:rPr>
          <w:rFonts w:eastAsia="Times New Roman"/>
          <w:color w:val="000000"/>
          <w:sz w:val="22"/>
          <w:szCs w:val="22"/>
          <w:lang w:val="fr-CA" w:eastAsia="en-US"/>
        </w:rPr>
        <w:t xml:space="preserve"> pour le CIDI</w:t>
      </w:r>
      <w:r w:rsidRPr="0071580A">
        <w:rPr>
          <w:rFonts w:eastAsia="Times New Roman"/>
          <w:color w:val="000000"/>
          <w:sz w:val="22"/>
          <w:szCs w:val="22"/>
          <w:lang w:val="fr-CA" w:eastAsia="en-US"/>
        </w:rPr>
        <w:t xml:space="preserve"> </w:t>
      </w:r>
      <w:r>
        <w:rPr>
          <w:rFonts w:eastAsia="Times New Roman"/>
          <w:color w:val="000000"/>
          <w:sz w:val="22"/>
          <w:szCs w:val="22"/>
          <w:lang w:val="fr-CA" w:eastAsia="en-US"/>
        </w:rPr>
        <w:t>à sa séance ordinaire tenue le 8 décembre</w:t>
      </w:r>
      <w:r w:rsidRPr="0071580A">
        <w:rPr>
          <w:rFonts w:eastAsia="Times New Roman"/>
          <w:color w:val="000000"/>
          <w:sz w:val="22"/>
          <w:szCs w:val="22"/>
          <w:lang w:val="fr-CA" w:eastAsia="en-US"/>
        </w:rPr>
        <w:t xml:space="preserve"> 2020</w:t>
      </w:r>
      <w:r w:rsidRPr="0071580A">
        <w:rPr>
          <w:rFonts w:eastAsia="Times New Roman"/>
          <w:sz w:val="22"/>
          <w:szCs w:val="22"/>
          <w:lang w:val="fr-CA" w:eastAsia="en-US"/>
        </w:rPr>
        <w:t>)</w:t>
      </w:r>
    </w:p>
    <w:p w:rsidR="00FA1B8E" w:rsidRPr="008E3B85" w:rsidRDefault="00FA1B8E" w:rsidP="00FA1B8E">
      <w:pPr>
        <w:jc w:val="center"/>
        <w:rPr>
          <w:rFonts w:eastAsia="Times New Roman"/>
          <w:snapToGrid w:val="0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outlineLvl w:val="0"/>
        <w:rPr>
          <w:rFonts w:eastAsia="Times New Roman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outlineLvl w:val="0"/>
        <w:rPr>
          <w:rFonts w:eastAsia="Times New Roman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outlineLvl w:val="0"/>
        <w:rPr>
          <w:rFonts w:eastAsia="Times New Roman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outlineLvl w:val="0"/>
        <w:rPr>
          <w:rFonts w:eastAsia="Times New Roman"/>
          <w:sz w:val="22"/>
          <w:szCs w:val="22"/>
          <w:lang w:val="fr-CA" w:eastAsia="en-US"/>
        </w:rPr>
      </w:pPr>
    </w:p>
    <w:p w:rsidR="00FA1B8E" w:rsidRPr="008E3B85" w:rsidRDefault="00FA1B8E" w:rsidP="00FA1B8E">
      <w:pPr>
        <w:jc w:val="center"/>
        <w:outlineLvl w:val="0"/>
        <w:rPr>
          <w:rFonts w:eastAsia="Times New Roman"/>
          <w:sz w:val="22"/>
          <w:szCs w:val="22"/>
          <w:lang w:val="fr-CA" w:eastAsia="en-US"/>
        </w:rPr>
      </w:pPr>
    </w:p>
    <w:p w:rsidR="008E3B85" w:rsidRPr="008E3B85" w:rsidRDefault="008E3B85">
      <w:pPr>
        <w:rPr>
          <w:b/>
          <w:bCs/>
          <w:spacing w:val="-2"/>
          <w:sz w:val="22"/>
          <w:szCs w:val="22"/>
          <w:lang w:val="fr-CA" w:eastAsia="en-US"/>
        </w:rPr>
        <w:sectPr w:rsidR="008E3B85" w:rsidRPr="008E3B85" w:rsidSect="008E3B85">
          <w:headerReference w:type="even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/>
          <w:cols w:space="720"/>
          <w:titlePg/>
          <w:docGrid w:linePitch="360"/>
        </w:sectPr>
      </w:pPr>
    </w:p>
    <w:p w:rsidR="001576BB" w:rsidRPr="008E3B85" w:rsidRDefault="00BA1104" w:rsidP="00BA1104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fr-CA" w:eastAsia="en-US"/>
        </w:rPr>
      </w:pPr>
      <w:r w:rsidRPr="008E3B85">
        <w:rPr>
          <w:b/>
          <w:bCs/>
          <w:spacing w:val="-2"/>
          <w:sz w:val="22"/>
          <w:szCs w:val="22"/>
          <w:lang w:val="fr-CA" w:eastAsia="en-US"/>
        </w:rPr>
        <w:lastRenderedPageBreak/>
        <w:t>AGENC</w:t>
      </w:r>
      <w:r w:rsidR="009270E5" w:rsidRPr="008E3B85">
        <w:rPr>
          <w:b/>
          <w:bCs/>
          <w:spacing w:val="-2"/>
          <w:sz w:val="22"/>
          <w:szCs w:val="22"/>
          <w:lang w:val="fr-CA" w:eastAsia="en-US"/>
        </w:rPr>
        <w:t xml:space="preserve">E 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>INTERA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>M</w:t>
      </w:r>
      <w:r w:rsidR="009270E5" w:rsidRPr="008E3B85">
        <w:rPr>
          <w:b/>
          <w:bCs/>
          <w:spacing w:val="-2"/>
          <w:sz w:val="22"/>
          <w:szCs w:val="22"/>
          <w:lang w:val="fr-CA" w:eastAsia="en-US"/>
        </w:rPr>
        <w:t>É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>RICA</w:t>
      </w:r>
      <w:r w:rsidR="009270E5" w:rsidRPr="008E3B85">
        <w:rPr>
          <w:b/>
          <w:bCs/>
          <w:spacing w:val="-2"/>
          <w:sz w:val="22"/>
          <w:szCs w:val="22"/>
          <w:lang w:val="fr-CA" w:eastAsia="en-US"/>
        </w:rPr>
        <w:t>INE</w:t>
      </w:r>
      <w:r w:rsidRPr="008E3B85">
        <w:rPr>
          <w:b/>
          <w:spacing w:val="-2"/>
          <w:sz w:val="22"/>
          <w:szCs w:val="22"/>
          <w:lang w:val="fr-CA" w:eastAsia="en-US"/>
        </w:rPr>
        <w:t xml:space="preserve"> </w:t>
      </w:r>
      <w:r w:rsidRPr="008E3B85">
        <w:rPr>
          <w:b/>
          <w:spacing w:val="-2"/>
          <w:sz w:val="22"/>
          <w:szCs w:val="22"/>
          <w:lang w:val="fr-CA" w:eastAsia="en-US"/>
        </w:rPr>
        <w:tab/>
      </w:r>
      <w:r w:rsidR="008E3B85">
        <w:rPr>
          <w:rFonts w:eastAsia="Times New Roman"/>
          <w:sz w:val="22"/>
          <w:szCs w:val="22"/>
          <w:lang w:val="fr-CA" w:eastAsia="en-US"/>
        </w:rPr>
        <w:t>OEA/Ser.</w:t>
      </w:r>
      <w:r w:rsidR="001576BB" w:rsidRPr="008E3B85">
        <w:rPr>
          <w:rFonts w:eastAsia="Times New Roman"/>
          <w:sz w:val="22"/>
          <w:szCs w:val="22"/>
          <w:lang w:val="fr-CA" w:eastAsia="en-US"/>
        </w:rPr>
        <w:t>W</w:t>
      </w:r>
    </w:p>
    <w:p w:rsidR="00BA1104" w:rsidRPr="008E3B85" w:rsidRDefault="001576BB" w:rsidP="00BA1104">
      <w:pPr>
        <w:tabs>
          <w:tab w:val="left" w:pos="7200"/>
        </w:tabs>
        <w:suppressAutoHyphens/>
        <w:ind w:right="-900"/>
        <w:jc w:val="both"/>
        <w:rPr>
          <w:b/>
          <w:spacing w:val="-2"/>
          <w:sz w:val="22"/>
          <w:szCs w:val="22"/>
          <w:lang w:val="fr-CA"/>
        </w:rPr>
      </w:pPr>
      <w:r w:rsidRPr="008E3B85">
        <w:rPr>
          <w:b/>
          <w:bCs/>
          <w:spacing w:val="-2"/>
          <w:sz w:val="22"/>
          <w:szCs w:val="22"/>
          <w:lang w:val="fr-CA" w:eastAsia="en-US"/>
        </w:rPr>
        <w:t>P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>OUR LA C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>OOP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>É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>RA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>T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 xml:space="preserve">ION 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 xml:space="preserve">ET 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>L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>E</w:t>
      </w:r>
      <w:r w:rsidRPr="008E3B85">
        <w:rPr>
          <w:b/>
          <w:bCs/>
          <w:spacing w:val="-2"/>
          <w:sz w:val="22"/>
          <w:szCs w:val="22"/>
          <w:lang w:val="fr-CA" w:eastAsia="en-US"/>
        </w:rPr>
        <w:t xml:space="preserve"> D</w:t>
      </w:r>
      <w:r w:rsidR="00C640AC" w:rsidRPr="008E3B85">
        <w:rPr>
          <w:b/>
          <w:bCs/>
          <w:spacing w:val="-2"/>
          <w:sz w:val="22"/>
          <w:szCs w:val="22"/>
          <w:lang w:val="fr-CA" w:eastAsia="en-US"/>
        </w:rPr>
        <w:t>ÉVELOPPEMENT</w:t>
      </w:r>
      <w:r w:rsidRPr="008E3B85">
        <w:rPr>
          <w:spacing w:val="-2"/>
          <w:sz w:val="22"/>
          <w:szCs w:val="22"/>
          <w:lang w:val="fr-CA" w:eastAsia="en-US"/>
        </w:rPr>
        <w:tab/>
      </w:r>
      <w:r w:rsidR="001F7679" w:rsidRPr="008E3B85">
        <w:rPr>
          <w:spacing w:val="-2"/>
          <w:sz w:val="22"/>
          <w:szCs w:val="22"/>
          <w:lang w:val="fr-CA" w:eastAsia="en-US"/>
        </w:rPr>
        <w:t>AICD/JD/doc.183/20 rev.</w:t>
      </w:r>
      <w:r w:rsidR="008E3B85">
        <w:rPr>
          <w:spacing w:val="-2"/>
          <w:sz w:val="22"/>
          <w:szCs w:val="22"/>
          <w:lang w:val="fr-CA" w:eastAsia="en-US"/>
        </w:rPr>
        <w:t xml:space="preserve"> </w:t>
      </w:r>
      <w:r w:rsidR="000D206D" w:rsidRPr="008E3B85">
        <w:rPr>
          <w:spacing w:val="-2"/>
          <w:sz w:val="22"/>
          <w:szCs w:val="22"/>
          <w:lang w:val="fr-CA" w:eastAsia="en-US"/>
        </w:rPr>
        <w:t>2</w:t>
      </w:r>
    </w:p>
    <w:p w:rsidR="00BA1104" w:rsidRPr="008E3B85" w:rsidRDefault="001576BB" w:rsidP="00BA1104">
      <w:pPr>
        <w:pStyle w:val="Header"/>
        <w:tabs>
          <w:tab w:val="left" w:pos="7200"/>
        </w:tabs>
        <w:suppressAutoHyphens/>
        <w:ind w:right="-900"/>
        <w:rPr>
          <w:spacing w:val="-2"/>
          <w:sz w:val="22"/>
          <w:szCs w:val="22"/>
          <w:lang w:val="fr-CA"/>
        </w:rPr>
      </w:pPr>
      <w:r w:rsidRPr="008E3B85">
        <w:rPr>
          <w:b/>
          <w:spacing w:val="-2"/>
          <w:sz w:val="22"/>
          <w:szCs w:val="22"/>
          <w:lang w:val="fr-CA" w:eastAsia="en-US"/>
        </w:rPr>
        <w:t>R</w:t>
      </w:r>
      <w:r w:rsidR="00C640AC" w:rsidRPr="008E3B85">
        <w:rPr>
          <w:b/>
          <w:spacing w:val="-2"/>
          <w:sz w:val="22"/>
          <w:szCs w:val="22"/>
          <w:lang w:val="fr-CA" w:eastAsia="en-US"/>
        </w:rPr>
        <w:t>ÉUNION DU CONSEIL D’ADMINISTRATION</w:t>
      </w:r>
      <w:r w:rsidR="00BA1104" w:rsidRPr="008E3B85">
        <w:rPr>
          <w:b/>
          <w:spacing w:val="-2"/>
          <w:sz w:val="22"/>
          <w:szCs w:val="22"/>
          <w:lang w:val="fr-CA" w:eastAsia="en-US"/>
        </w:rPr>
        <w:tab/>
      </w:r>
      <w:r w:rsidR="008E3B85">
        <w:rPr>
          <w:b/>
          <w:spacing w:val="-2"/>
          <w:sz w:val="22"/>
          <w:szCs w:val="22"/>
          <w:lang w:val="fr-CA" w:eastAsia="en-US"/>
        </w:rPr>
        <w:tab/>
      </w:r>
      <w:r w:rsidR="000D206D" w:rsidRPr="008E3B85">
        <w:rPr>
          <w:spacing w:val="-2"/>
          <w:sz w:val="22"/>
          <w:szCs w:val="22"/>
          <w:lang w:val="fr-CA" w:eastAsia="en-US"/>
        </w:rPr>
        <w:t>3</w:t>
      </w:r>
      <w:r w:rsidR="00AA6B76" w:rsidRPr="008E3B85">
        <w:rPr>
          <w:spacing w:val="-2"/>
          <w:sz w:val="22"/>
          <w:szCs w:val="22"/>
          <w:lang w:val="fr-CA" w:eastAsia="en-US"/>
        </w:rPr>
        <w:t xml:space="preserve"> </w:t>
      </w:r>
      <w:r w:rsidR="00C640AC" w:rsidRPr="008E3B85">
        <w:rPr>
          <w:spacing w:val="-2"/>
          <w:sz w:val="22"/>
          <w:szCs w:val="22"/>
          <w:lang w:val="fr-CA" w:eastAsia="en-US"/>
        </w:rPr>
        <w:t xml:space="preserve">décembre </w:t>
      </w:r>
      <w:r w:rsidR="00AA6B76" w:rsidRPr="008E3B85">
        <w:rPr>
          <w:spacing w:val="-2"/>
          <w:sz w:val="22"/>
          <w:szCs w:val="22"/>
          <w:lang w:val="fr-CA" w:eastAsia="en-US"/>
        </w:rPr>
        <w:t>20</w:t>
      </w:r>
      <w:r w:rsidR="002821D7" w:rsidRPr="008E3B85">
        <w:rPr>
          <w:spacing w:val="-2"/>
          <w:sz w:val="22"/>
          <w:szCs w:val="22"/>
          <w:lang w:val="fr-CA" w:eastAsia="en-US"/>
        </w:rPr>
        <w:t>20</w:t>
      </w:r>
    </w:p>
    <w:p w:rsidR="00BA1104" w:rsidRPr="008E3B85" w:rsidRDefault="00BA1104" w:rsidP="00BA1104">
      <w:pPr>
        <w:pStyle w:val="Header"/>
        <w:tabs>
          <w:tab w:val="clear" w:pos="4680"/>
          <w:tab w:val="clear" w:pos="936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fr-CA"/>
        </w:rPr>
      </w:pPr>
      <w:r w:rsidRPr="008E3B85">
        <w:rPr>
          <w:spacing w:val="-2"/>
          <w:sz w:val="22"/>
          <w:szCs w:val="22"/>
          <w:lang w:val="fr-CA" w:eastAsia="en-US"/>
        </w:rPr>
        <w:tab/>
        <w:t xml:space="preserve">Original: </w:t>
      </w:r>
      <w:r w:rsidR="00C640AC" w:rsidRPr="008E3B85">
        <w:rPr>
          <w:spacing w:val="-2"/>
          <w:sz w:val="22"/>
          <w:szCs w:val="22"/>
          <w:lang w:val="fr-CA" w:eastAsia="en-US"/>
        </w:rPr>
        <w:t>anglais</w:t>
      </w:r>
    </w:p>
    <w:p w:rsidR="00BA1104" w:rsidRPr="008E3B85" w:rsidRDefault="00BA1104" w:rsidP="00BA1104">
      <w:pPr>
        <w:pBdr>
          <w:bottom w:val="single" w:sz="12" w:space="1" w:color="auto"/>
        </w:pBdr>
        <w:rPr>
          <w:sz w:val="22"/>
          <w:szCs w:val="22"/>
          <w:lang w:val="fr-CA"/>
        </w:rPr>
      </w:pPr>
    </w:p>
    <w:p w:rsidR="00BA1104" w:rsidRPr="008E3B85" w:rsidRDefault="00BA1104" w:rsidP="00BA1104">
      <w:pPr>
        <w:rPr>
          <w:sz w:val="22"/>
          <w:szCs w:val="22"/>
          <w:lang w:val="fr-CA"/>
        </w:rPr>
      </w:pPr>
    </w:p>
    <w:p w:rsidR="004665CB" w:rsidRPr="008E3B85" w:rsidRDefault="004665CB" w:rsidP="00426D52">
      <w:pPr>
        <w:jc w:val="center"/>
        <w:rPr>
          <w:sz w:val="22"/>
          <w:szCs w:val="22"/>
          <w:lang w:val="fr-CA" w:eastAsia="en-US"/>
        </w:rPr>
      </w:pPr>
    </w:p>
    <w:p w:rsidR="00180E63" w:rsidRPr="008E3B85" w:rsidRDefault="00142932" w:rsidP="00180E63">
      <w:pPr>
        <w:jc w:val="center"/>
        <w:rPr>
          <w:sz w:val="22"/>
          <w:szCs w:val="22"/>
          <w:lang w:val="fr-CA" w:eastAsia="en-US"/>
        </w:rPr>
      </w:pPr>
      <w:r w:rsidRPr="008E3B85">
        <w:rPr>
          <w:sz w:val="22"/>
          <w:szCs w:val="22"/>
          <w:lang w:val="fr-CA" w:eastAsia="en-US"/>
        </w:rPr>
        <w:t xml:space="preserve">ÉLIGIBILITÉ </w:t>
      </w:r>
      <w:r w:rsidR="00C640AC" w:rsidRPr="008E3B85">
        <w:rPr>
          <w:sz w:val="22"/>
          <w:szCs w:val="22"/>
          <w:lang w:val="fr-CA" w:eastAsia="en-US"/>
        </w:rPr>
        <w:t xml:space="preserve">ET BUDGET </w:t>
      </w:r>
      <w:r w:rsidRPr="008E3B85">
        <w:rPr>
          <w:sz w:val="22"/>
          <w:szCs w:val="22"/>
          <w:lang w:val="fr-CA" w:eastAsia="en-US"/>
        </w:rPr>
        <w:t xml:space="preserve">POUR LE </w:t>
      </w:r>
      <w:r w:rsidR="00C640AC" w:rsidRPr="008E3B85">
        <w:rPr>
          <w:sz w:val="22"/>
          <w:szCs w:val="22"/>
          <w:lang w:val="fr-CA" w:eastAsia="en-US"/>
        </w:rPr>
        <w:t xml:space="preserve">CYCLE DE PROGRAMMATION </w:t>
      </w:r>
      <w:r w:rsidR="00180E63" w:rsidRPr="008E3B85">
        <w:rPr>
          <w:sz w:val="22"/>
          <w:szCs w:val="22"/>
          <w:lang w:val="fr-CA" w:eastAsia="en-US"/>
        </w:rPr>
        <w:t>2021-2024 D</w:t>
      </w:r>
      <w:r w:rsidR="00C640AC" w:rsidRPr="008E3B85">
        <w:rPr>
          <w:sz w:val="22"/>
          <w:szCs w:val="22"/>
          <w:lang w:val="fr-CA" w:eastAsia="en-US"/>
        </w:rPr>
        <w:t xml:space="preserve">U FONDS DE COOPÉRATION POUR LE DÉVELOPPEMENT DE L’OEA </w:t>
      </w:r>
      <w:r w:rsidR="00180E63" w:rsidRPr="008E3B85">
        <w:rPr>
          <w:sz w:val="22"/>
          <w:szCs w:val="22"/>
          <w:lang w:val="fr-CA" w:eastAsia="en-US"/>
        </w:rPr>
        <w:t>(FCD/OEA)</w:t>
      </w:r>
    </w:p>
    <w:p w:rsidR="00180E63" w:rsidRPr="008E3B85" w:rsidRDefault="00180E63" w:rsidP="00180E63">
      <w:pPr>
        <w:rPr>
          <w:sz w:val="22"/>
          <w:szCs w:val="22"/>
          <w:lang w:val="fr-CA"/>
        </w:rPr>
      </w:pPr>
    </w:p>
    <w:p w:rsidR="00180E63" w:rsidRPr="008E3B85" w:rsidRDefault="00180E63" w:rsidP="00180E63">
      <w:pPr>
        <w:jc w:val="center"/>
        <w:rPr>
          <w:sz w:val="22"/>
          <w:szCs w:val="22"/>
          <w:lang w:val="fr-CA" w:eastAsia="en-US"/>
        </w:rPr>
      </w:pPr>
      <w:r w:rsidRPr="008E3B85">
        <w:rPr>
          <w:sz w:val="22"/>
          <w:szCs w:val="22"/>
          <w:lang w:val="fr-CA" w:eastAsia="en-US"/>
        </w:rPr>
        <w:t>(Ap</w:t>
      </w:r>
      <w:r w:rsidR="00C640AC" w:rsidRPr="008E3B85">
        <w:rPr>
          <w:sz w:val="22"/>
          <w:szCs w:val="22"/>
          <w:lang w:val="fr-CA" w:eastAsia="en-US"/>
        </w:rPr>
        <w:t xml:space="preserve">prouvé par le Conseil d’administration de l’Agence interaméricaine pour la coopération et le développement par la décision </w:t>
      </w:r>
      <w:r w:rsidRPr="008E3B85">
        <w:rPr>
          <w:sz w:val="22"/>
          <w:szCs w:val="22"/>
          <w:lang w:val="fr-CA" w:eastAsia="en-US"/>
        </w:rPr>
        <w:t xml:space="preserve">AICD/JD/DE-127/20 </w:t>
      </w:r>
      <w:r w:rsidR="00C640AC" w:rsidRPr="008E3B85">
        <w:rPr>
          <w:sz w:val="22"/>
          <w:szCs w:val="22"/>
          <w:lang w:val="fr-CA" w:eastAsia="en-US"/>
        </w:rPr>
        <w:t xml:space="preserve">en date du </w:t>
      </w:r>
      <w:r w:rsidRPr="008E3B85">
        <w:rPr>
          <w:sz w:val="22"/>
          <w:szCs w:val="22"/>
          <w:lang w:val="fr-CA" w:eastAsia="en-US"/>
        </w:rPr>
        <w:t>3 d</w:t>
      </w:r>
      <w:r w:rsidR="00C640AC" w:rsidRPr="008E3B85">
        <w:rPr>
          <w:sz w:val="22"/>
          <w:szCs w:val="22"/>
          <w:lang w:val="fr-CA" w:eastAsia="en-US"/>
        </w:rPr>
        <w:t>é</w:t>
      </w:r>
      <w:r w:rsidRPr="008E3B85">
        <w:rPr>
          <w:sz w:val="22"/>
          <w:szCs w:val="22"/>
          <w:lang w:val="fr-CA" w:eastAsia="en-US"/>
        </w:rPr>
        <w:t>cembre 2020)</w:t>
      </w:r>
    </w:p>
    <w:p w:rsidR="00180E63" w:rsidRPr="008E3B85" w:rsidRDefault="00180E63" w:rsidP="008E3B85">
      <w:pPr>
        <w:jc w:val="both"/>
        <w:rPr>
          <w:sz w:val="22"/>
          <w:szCs w:val="22"/>
          <w:lang w:val="fr-CA" w:eastAsia="en-US"/>
        </w:rPr>
      </w:pPr>
    </w:p>
    <w:p w:rsidR="00180E63" w:rsidRPr="008E3B85" w:rsidRDefault="00180E63" w:rsidP="008E3B85">
      <w:pPr>
        <w:jc w:val="both"/>
        <w:rPr>
          <w:sz w:val="22"/>
          <w:szCs w:val="22"/>
          <w:lang w:val="fr-CA" w:eastAsia="en-US"/>
        </w:rPr>
      </w:pPr>
    </w:p>
    <w:p w:rsidR="00180E63" w:rsidRPr="008E3B85" w:rsidRDefault="00180E63" w:rsidP="00180E63">
      <w:pPr>
        <w:ind w:firstLine="720"/>
        <w:jc w:val="both"/>
        <w:rPr>
          <w:sz w:val="22"/>
          <w:szCs w:val="22"/>
          <w:lang w:val="fr-CA" w:eastAsia="en-US"/>
        </w:rPr>
      </w:pPr>
      <w:r w:rsidRPr="008E3B85">
        <w:rPr>
          <w:sz w:val="22"/>
          <w:szCs w:val="22"/>
          <w:lang w:val="fr-CA" w:eastAsia="en-US"/>
        </w:rPr>
        <w:t>L</w:t>
      </w:r>
      <w:r w:rsidR="003F2DFC" w:rsidRPr="008E3B85">
        <w:rPr>
          <w:sz w:val="22"/>
          <w:szCs w:val="22"/>
          <w:lang w:val="fr-CA" w:eastAsia="en-US"/>
        </w:rPr>
        <w:t>es procédures p</w:t>
      </w:r>
      <w:r w:rsidRPr="008E3B85">
        <w:rPr>
          <w:sz w:val="22"/>
          <w:szCs w:val="22"/>
          <w:lang w:val="fr-CA" w:eastAsia="en-US"/>
        </w:rPr>
        <w:t>o</w:t>
      </w:r>
      <w:r w:rsidR="003F2DFC" w:rsidRPr="008E3B85">
        <w:rPr>
          <w:sz w:val="22"/>
          <w:szCs w:val="22"/>
          <w:lang w:val="fr-CA" w:eastAsia="en-US"/>
        </w:rPr>
        <w:t>ur la programmation du Fonds de coopération pour le développement doivent être approuvées par l</w:t>
      </w:r>
      <w:r w:rsidR="00437C86" w:rsidRPr="008E3B85">
        <w:rPr>
          <w:sz w:val="22"/>
          <w:szCs w:val="22"/>
          <w:lang w:val="fr-CA" w:eastAsia="en-US"/>
        </w:rPr>
        <w:t xml:space="preserve">e domaine d’action </w:t>
      </w:r>
      <w:r w:rsidR="003F2DFC" w:rsidRPr="008E3B85">
        <w:rPr>
          <w:sz w:val="22"/>
          <w:szCs w:val="22"/>
          <w:lang w:val="fr-CA" w:eastAsia="en-US"/>
        </w:rPr>
        <w:t xml:space="preserve">du CIDI </w:t>
      </w:r>
      <w:r w:rsidR="00082C33" w:rsidRPr="008E3B85">
        <w:rPr>
          <w:sz w:val="22"/>
          <w:szCs w:val="22"/>
          <w:lang w:val="fr-CA" w:eastAsia="en-US"/>
        </w:rPr>
        <w:t>pour c</w:t>
      </w:r>
      <w:r w:rsidR="003F2DFC" w:rsidRPr="008E3B85">
        <w:rPr>
          <w:sz w:val="22"/>
          <w:szCs w:val="22"/>
          <w:lang w:val="fr-CA" w:eastAsia="en-US"/>
        </w:rPr>
        <w:t>haque cycle de programmation</w:t>
      </w:r>
      <w:r w:rsidR="00082C33" w:rsidRPr="008E3B85">
        <w:rPr>
          <w:sz w:val="22"/>
          <w:szCs w:val="22"/>
          <w:lang w:val="fr-CA" w:eastAsia="en-US"/>
        </w:rPr>
        <w:t>. Le 21 septembre 2020, le Conseil d’administration de l’AICD</w:t>
      </w:r>
      <w:r w:rsidR="003F2DFC" w:rsidRPr="008E3B85">
        <w:rPr>
          <w:sz w:val="22"/>
          <w:szCs w:val="22"/>
          <w:lang w:val="fr-CA" w:eastAsia="en-US"/>
        </w:rPr>
        <w:t xml:space="preserve"> </w:t>
      </w:r>
      <w:r w:rsidR="00437C86" w:rsidRPr="008E3B85">
        <w:rPr>
          <w:sz w:val="22"/>
          <w:szCs w:val="22"/>
          <w:lang w:val="fr-CA" w:eastAsia="en-US"/>
        </w:rPr>
        <w:t xml:space="preserve">a approuvé le domaine d’action intitulé </w:t>
      </w:r>
      <w:r w:rsidR="00437C86" w:rsidRPr="008E3B85">
        <w:rPr>
          <w:i/>
          <w:sz w:val="22"/>
          <w:szCs w:val="22"/>
          <w:lang w:val="fr-CA" w:eastAsia="en-US"/>
        </w:rPr>
        <w:t xml:space="preserve">Résilience inclusive pour une récupération efficace ciblée sur la science et la technologie </w:t>
      </w:r>
      <w:r w:rsidR="00437C86" w:rsidRPr="008E3B85">
        <w:rPr>
          <w:sz w:val="22"/>
          <w:szCs w:val="22"/>
          <w:lang w:val="fr-CA" w:eastAsia="en-US"/>
        </w:rPr>
        <w:t>pour</w:t>
      </w:r>
      <w:r w:rsidR="00437C86" w:rsidRPr="008E3B85">
        <w:rPr>
          <w:i/>
          <w:sz w:val="22"/>
          <w:szCs w:val="22"/>
          <w:lang w:val="fr-CA" w:eastAsia="en-US"/>
        </w:rPr>
        <w:t xml:space="preserve"> </w:t>
      </w:r>
      <w:r w:rsidR="00437C86" w:rsidRPr="008E3B85">
        <w:rPr>
          <w:sz w:val="22"/>
          <w:szCs w:val="22"/>
          <w:lang w:val="fr-CA" w:eastAsia="en-US"/>
        </w:rPr>
        <w:t xml:space="preserve">le cycle de programmation </w:t>
      </w:r>
      <w:r w:rsidRPr="008E3B85">
        <w:rPr>
          <w:sz w:val="22"/>
          <w:szCs w:val="22"/>
          <w:lang w:val="fr-CA" w:eastAsia="en-US"/>
        </w:rPr>
        <w:t>2021-2024 d</w:t>
      </w:r>
      <w:r w:rsidR="00437C86" w:rsidRPr="008E3B85">
        <w:rPr>
          <w:sz w:val="22"/>
          <w:szCs w:val="22"/>
          <w:lang w:val="fr-CA" w:eastAsia="en-US"/>
        </w:rPr>
        <w:t xml:space="preserve">u Fonds de coopération pour le développement </w:t>
      </w:r>
      <w:r w:rsidRPr="008E3B85">
        <w:rPr>
          <w:sz w:val="22"/>
          <w:szCs w:val="22"/>
          <w:lang w:val="fr-CA" w:eastAsia="en-US"/>
        </w:rPr>
        <w:t xml:space="preserve">(FCD/OEA) </w:t>
      </w:r>
      <w:r w:rsidRPr="008E3B85">
        <w:rPr>
          <w:sz w:val="22"/>
          <w:szCs w:val="22"/>
          <w:lang w:val="fr-CA"/>
        </w:rPr>
        <w:t>(</w:t>
      </w:r>
      <w:hyperlink r:id="rId10" w:history="1">
        <w:r w:rsidRPr="008E3B85">
          <w:rPr>
            <w:rStyle w:val="Hyperlink"/>
            <w:rFonts w:eastAsia="Calibri"/>
            <w:noProof/>
            <w:sz w:val="22"/>
            <w:szCs w:val="22"/>
            <w:lang w:val="fr-CA" w:eastAsia="en-US"/>
          </w:rPr>
          <w:t>AICD/JD/DE-126/20</w:t>
        </w:r>
      </w:hyperlink>
      <w:r w:rsidRPr="008E3B85">
        <w:rPr>
          <w:sz w:val="22"/>
          <w:szCs w:val="22"/>
          <w:lang w:val="fr-CA"/>
        </w:rPr>
        <w:t>)</w:t>
      </w:r>
      <w:r w:rsidRPr="008E3B85">
        <w:rPr>
          <w:sz w:val="22"/>
          <w:szCs w:val="22"/>
          <w:lang w:val="fr-CA" w:eastAsia="en-US"/>
        </w:rPr>
        <w:t xml:space="preserve">. </w:t>
      </w:r>
      <w:r w:rsidR="00437C86" w:rsidRPr="008E3B85">
        <w:rPr>
          <w:sz w:val="22"/>
          <w:szCs w:val="22"/>
          <w:lang w:val="fr-CA" w:eastAsia="en-US"/>
        </w:rPr>
        <w:t xml:space="preserve">En outre, les procédures indiquent que le Conseil d’administration de l’AICD confirmera le montant </w:t>
      </w:r>
      <w:r w:rsidR="007C194D" w:rsidRPr="008E3B85">
        <w:rPr>
          <w:sz w:val="22"/>
          <w:szCs w:val="22"/>
          <w:lang w:val="fr-CA" w:eastAsia="en-US"/>
        </w:rPr>
        <w:t xml:space="preserve">disponible des </w:t>
      </w:r>
      <w:r w:rsidR="00437C86" w:rsidRPr="008E3B85">
        <w:rPr>
          <w:sz w:val="22"/>
          <w:szCs w:val="22"/>
          <w:lang w:val="fr-CA" w:eastAsia="en-US"/>
        </w:rPr>
        <w:t>fonds d</w:t>
      </w:r>
      <w:r w:rsidR="00EF6255" w:rsidRPr="008E3B85">
        <w:rPr>
          <w:sz w:val="22"/>
          <w:szCs w:val="22"/>
          <w:lang w:val="fr-CA" w:eastAsia="en-US"/>
        </w:rPr>
        <w:t xml:space="preserve">’amorçage </w:t>
      </w:r>
      <w:r w:rsidR="00437C86" w:rsidRPr="008E3B85">
        <w:rPr>
          <w:sz w:val="22"/>
          <w:szCs w:val="22"/>
          <w:lang w:val="fr-CA" w:eastAsia="en-US"/>
        </w:rPr>
        <w:t>pour le cycle de programmation a</w:t>
      </w:r>
      <w:r w:rsidR="007C194D" w:rsidRPr="008E3B85">
        <w:rPr>
          <w:sz w:val="22"/>
          <w:szCs w:val="22"/>
          <w:lang w:val="fr-CA" w:eastAsia="en-US"/>
        </w:rPr>
        <w:t xml:space="preserve">u plus tard </w:t>
      </w:r>
      <w:r w:rsidR="00437C86" w:rsidRPr="008E3B85">
        <w:rPr>
          <w:sz w:val="22"/>
          <w:szCs w:val="22"/>
          <w:lang w:val="fr-CA" w:eastAsia="en-US"/>
        </w:rPr>
        <w:t>le 30 avril</w:t>
      </w:r>
      <w:r w:rsidR="007C194D" w:rsidRPr="008E3B85">
        <w:rPr>
          <w:sz w:val="22"/>
          <w:szCs w:val="22"/>
          <w:lang w:val="fr-CA" w:eastAsia="en-US"/>
        </w:rPr>
        <w:t xml:space="preserve">. </w:t>
      </w:r>
      <w:r w:rsidR="00437C86" w:rsidRPr="008E3B85">
        <w:rPr>
          <w:sz w:val="22"/>
          <w:szCs w:val="22"/>
          <w:lang w:val="fr-CA" w:eastAsia="en-US"/>
        </w:rPr>
        <w:t>À cette fin, le Secrétariat a élaboré ce qui suit</w:t>
      </w:r>
      <w:r w:rsidR="00142932" w:rsidRPr="008E3B85">
        <w:rPr>
          <w:sz w:val="22"/>
          <w:szCs w:val="22"/>
          <w:lang w:val="fr-CA" w:eastAsia="en-US"/>
        </w:rPr>
        <w:t>,</w:t>
      </w:r>
      <w:r w:rsidR="00437C86" w:rsidRPr="008E3B85">
        <w:rPr>
          <w:sz w:val="22"/>
          <w:szCs w:val="22"/>
          <w:lang w:val="fr-CA" w:eastAsia="en-US"/>
        </w:rPr>
        <w:t xml:space="preserve"> pour examen puis approbation </w:t>
      </w:r>
      <w:r w:rsidR="00FF0633" w:rsidRPr="008E3B85">
        <w:rPr>
          <w:sz w:val="22"/>
          <w:szCs w:val="22"/>
          <w:lang w:val="fr-CA" w:eastAsia="en-US"/>
        </w:rPr>
        <w:t xml:space="preserve">par le </w:t>
      </w:r>
      <w:r w:rsidR="00437C86" w:rsidRPr="008E3B85">
        <w:rPr>
          <w:sz w:val="22"/>
          <w:szCs w:val="22"/>
          <w:lang w:val="fr-CA" w:eastAsia="en-US"/>
        </w:rPr>
        <w:t xml:space="preserve">Conseil d’administration de l’AICD. </w:t>
      </w:r>
    </w:p>
    <w:p w:rsidR="00180E63" w:rsidRPr="008E3B85" w:rsidRDefault="00180E63" w:rsidP="00180E63">
      <w:pPr>
        <w:jc w:val="both"/>
        <w:rPr>
          <w:sz w:val="22"/>
          <w:szCs w:val="22"/>
          <w:lang w:val="fr-CA" w:eastAsia="en-US"/>
        </w:rPr>
      </w:pPr>
    </w:p>
    <w:p w:rsidR="00180E63" w:rsidRPr="008E3B85" w:rsidRDefault="00180E63" w:rsidP="00180E63">
      <w:pPr>
        <w:ind w:firstLine="720"/>
        <w:jc w:val="both"/>
        <w:rPr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>L</w:t>
      </w:r>
      <w:r w:rsidR="00437C86" w:rsidRPr="008E3B85">
        <w:rPr>
          <w:color w:val="000000"/>
          <w:sz w:val="22"/>
          <w:szCs w:val="22"/>
          <w:lang w:val="fr-CA"/>
        </w:rPr>
        <w:t xml:space="preserve">es thèmes approuvés dans le domaine d’action de la </w:t>
      </w:r>
      <w:r w:rsidR="00437C86" w:rsidRPr="008E3B85">
        <w:rPr>
          <w:i/>
          <w:sz w:val="22"/>
          <w:szCs w:val="22"/>
          <w:lang w:val="fr-CA" w:eastAsia="en-US"/>
        </w:rPr>
        <w:t>Résilience inclusive pour une récupération efficace ciblée sur la science et la technologie</w:t>
      </w:r>
      <w:r w:rsidR="00437C86" w:rsidRPr="008E3B85">
        <w:rPr>
          <w:color w:val="000000"/>
          <w:sz w:val="22"/>
          <w:szCs w:val="22"/>
          <w:lang w:val="fr-CA"/>
        </w:rPr>
        <w:t xml:space="preserve"> sont les suivants : </w:t>
      </w:r>
      <w:r w:rsidRPr="008E3B85">
        <w:rPr>
          <w:sz w:val="22"/>
          <w:szCs w:val="22"/>
          <w:lang w:val="fr-CA"/>
        </w:rPr>
        <w:t xml:space="preserve"> </w:t>
      </w:r>
    </w:p>
    <w:p w:rsidR="00180E63" w:rsidRPr="008E3B85" w:rsidRDefault="00180E63" w:rsidP="00A26683">
      <w:pPr>
        <w:jc w:val="both"/>
        <w:rPr>
          <w:sz w:val="22"/>
          <w:szCs w:val="22"/>
          <w:lang w:val="fr-CA"/>
        </w:rPr>
      </w:pPr>
    </w:p>
    <w:p w:rsidR="00180E63" w:rsidRPr="008E3B85" w:rsidRDefault="00180E63" w:rsidP="00A26683">
      <w:pPr>
        <w:numPr>
          <w:ilvl w:val="0"/>
          <w:numId w:val="24"/>
        </w:numPr>
        <w:ind w:left="1440" w:hanging="720"/>
        <w:jc w:val="both"/>
        <w:rPr>
          <w:sz w:val="22"/>
          <w:szCs w:val="22"/>
          <w:lang w:val="fr-CA"/>
        </w:rPr>
      </w:pPr>
      <w:r w:rsidRPr="008E3B85">
        <w:rPr>
          <w:bCs/>
          <w:sz w:val="22"/>
          <w:szCs w:val="22"/>
          <w:lang w:val="fr-CA"/>
        </w:rPr>
        <w:t>Re</w:t>
      </w:r>
      <w:r w:rsidR="00437C86" w:rsidRPr="008E3B85">
        <w:rPr>
          <w:bCs/>
          <w:sz w:val="22"/>
          <w:szCs w:val="22"/>
          <w:lang w:val="fr-CA"/>
        </w:rPr>
        <w:t xml:space="preserve">nforcement des MPME </w:t>
      </w:r>
      <w:r w:rsidR="00EF6255" w:rsidRPr="008E3B85">
        <w:rPr>
          <w:bCs/>
          <w:sz w:val="22"/>
          <w:szCs w:val="22"/>
          <w:lang w:val="fr-CA"/>
        </w:rPr>
        <w:t xml:space="preserve">par </w:t>
      </w:r>
      <w:r w:rsidR="00437C86" w:rsidRPr="008E3B85">
        <w:rPr>
          <w:bCs/>
          <w:sz w:val="22"/>
          <w:szCs w:val="22"/>
          <w:lang w:val="fr-CA"/>
        </w:rPr>
        <w:t>l’innovation et la technologie</w:t>
      </w:r>
      <w:r w:rsidRPr="008E3B85">
        <w:rPr>
          <w:bCs/>
          <w:sz w:val="22"/>
          <w:szCs w:val="22"/>
          <w:lang w:val="fr-CA"/>
        </w:rPr>
        <w:t xml:space="preserve"> </w:t>
      </w:r>
    </w:p>
    <w:p w:rsidR="00180E63" w:rsidRPr="008E3B85" w:rsidRDefault="00180E63" w:rsidP="00A26683">
      <w:pPr>
        <w:numPr>
          <w:ilvl w:val="0"/>
          <w:numId w:val="24"/>
        </w:numPr>
        <w:ind w:left="1440" w:hanging="720"/>
        <w:jc w:val="both"/>
        <w:rPr>
          <w:bCs/>
          <w:sz w:val="22"/>
          <w:szCs w:val="22"/>
          <w:lang w:val="fr-CA"/>
        </w:rPr>
      </w:pPr>
      <w:r w:rsidRPr="008E3B85">
        <w:rPr>
          <w:bCs/>
          <w:sz w:val="22"/>
          <w:szCs w:val="22"/>
          <w:lang w:val="fr-CA"/>
        </w:rPr>
        <w:t>Reconversi</w:t>
      </w:r>
      <w:r w:rsidR="00EF6255" w:rsidRPr="008E3B85">
        <w:rPr>
          <w:bCs/>
          <w:sz w:val="22"/>
          <w:szCs w:val="22"/>
          <w:lang w:val="fr-CA"/>
        </w:rPr>
        <w:t xml:space="preserve">on de la main-d’œuvre </w:t>
      </w:r>
      <w:r w:rsidR="00142932" w:rsidRPr="008E3B85">
        <w:rPr>
          <w:bCs/>
          <w:sz w:val="22"/>
          <w:szCs w:val="22"/>
          <w:lang w:val="fr-CA"/>
        </w:rPr>
        <w:t xml:space="preserve">en utilisant </w:t>
      </w:r>
      <w:r w:rsidR="00EF6255" w:rsidRPr="008E3B85">
        <w:rPr>
          <w:bCs/>
          <w:sz w:val="22"/>
          <w:szCs w:val="22"/>
          <w:lang w:val="fr-CA"/>
        </w:rPr>
        <w:t>une approche novatrice pour la relance du secteur du tourisme et des économies régionales</w:t>
      </w:r>
      <w:r w:rsidRPr="008E3B85">
        <w:rPr>
          <w:bCs/>
          <w:sz w:val="22"/>
          <w:szCs w:val="22"/>
          <w:lang w:val="fr-CA"/>
        </w:rPr>
        <w:t xml:space="preserve"> </w:t>
      </w:r>
    </w:p>
    <w:p w:rsidR="00180E63" w:rsidRPr="008E3B85" w:rsidRDefault="00180E63" w:rsidP="00A26683">
      <w:pPr>
        <w:numPr>
          <w:ilvl w:val="0"/>
          <w:numId w:val="24"/>
        </w:numPr>
        <w:ind w:left="1440" w:hanging="720"/>
        <w:jc w:val="both"/>
        <w:rPr>
          <w:bCs/>
          <w:sz w:val="22"/>
          <w:szCs w:val="22"/>
          <w:lang w:val="fr-CA"/>
        </w:rPr>
      </w:pPr>
      <w:r w:rsidRPr="008E3B85">
        <w:rPr>
          <w:bCs/>
          <w:sz w:val="22"/>
          <w:szCs w:val="22"/>
          <w:lang w:val="fr-CA"/>
        </w:rPr>
        <w:t>Innova</w:t>
      </w:r>
      <w:r w:rsidR="00EF6255" w:rsidRPr="008E3B85">
        <w:rPr>
          <w:bCs/>
          <w:sz w:val="22"/>
          <w:szCs w:val="22"/>
          <w:lang w:val="fr-CA"/>
        </w:rPr>
        <w:t xml:space="preserve">tion scientifique et technologique </w:t>
      </w:r>
      <w:r w:rsidR="00142932" w:rsidRPr="008E3B85">
        <w:rPr>
          <w:bCs/>
          <w:sz w:val="22"/>
          <w:szCs w:val="22"/>
          <w:lang w:val="fr-CA"/>
        </w:rPr>
        <w:t xml:space="preserve">en vue </w:t>
      </w:r>
      <w:r w:rsidR="00EF6255" w:rsidRPr="008E3B85">
        <w:rPr>
          <w:bCs/>
          <w:sz w:val="22"/>
          <w:szCs w:val="22"/>
          <w:lang w:val="fr-CA"/>
        </w:rPr>
        <w:t>de renforcer la résilience</w:t>
      </w:r>
    </w:p>
    <w:p w:rsidR="00180E63" w:rsidRPr="008E3B85" w:rsidRDefault="00180E63" w:rsidP="00A26683">
      <w:pPr>
        <w:numPr>
          <w:ilvl w:val="0"/>
          <w:numId w:val="24"/>
        </w:numPr>
        <w:ind w:left="1440" w:hanging="720"/>
        <w:jc w:val="both"/>
        <w:rPr>
          <w:bCs/>
          <w:sz w:val="22"/>
          <w:szCs w:val="22"/>
          <w:lang w:val="fr-CA"/>
        </w:rPr>
      </w:pPr>
      <w:r w:rsidRPr="008E3B85">
        <w:rPr>
          <w:bCs/>
          <w:sz w:val="22"/>
          <w:szCs w:val="22"/>
          <w:lang w:val="fr-CA"/>
        </w:rPr>
        <w:t xml:space="preserve">La </w:t>
      </w:r>
      <w:r w:rsidR="00EF6255" w:rsidRPr="008E3B85">
        <w:rPr>
          <w:bCs/>
          <w:sz w:val="22"/>
          <w:szCs w:val="22"/>
          <w:lang w:val="fr-CA"/>
        </w:rPr>
        <w:t xml:space="preserve">science pour la prise de décisions </w:t>
      </w:r>
      <w:r w:rsidR="00142932" w:rsidRPr="008E3B85">
        <w:rPr>
          <w:bCs/>
          <w:sz w:val="22"/>
          <w:szCs w:val="22"/>
          <w:lang w:val="fr-CA"/>
        </w:rPr>
        <w:t xml:space="preserve">lors de </w:t>
      </w:r>
      <w:r w:rsidR="00EF6255" w:rsidRPr="008E3B85">
        <w:rPr>
          <w:bCs/>
          <w:sz w:val="22"/>
          <w:szCs w:val="22"/>
          <w:lang w:val="fr-CA"/>
        </w:rPr>
        <w:t xml:space="preserve">la planification du risque de catastrophes. </w:t>
      </w:r>
      <w:r w:rsidRPr="008E3B85">
        <w:rPr>
          <w:bCs/>
          <w:sz w:val="22"/>
          <w:szCs w:val="22"/>
          <w:lang w:val="fr-CA"/>
        </w:rPr>
        <w:t xml:space="preserve"> </w:t>
      </w:r>
    </w:p>
    <w:p w:rsidR="00180E63" w:rsidRPr="008E3B85" w:rsidRDefault="00180E63" w:rsidP="00A26683">
      <w:pPr>
        <w:jc w:val="both"/>
        <w:rPr>
          <w:bCs/>
          <w:sz w:val="22"/>
          <w:szCs w:val="22"/>
          <w:lang w:val="fr-CA"/>
        </w:rPr>
      </w:pPr>
    </w:p>
    <w:p w:rsidR="00180E63" w:rsidRPr="008E3B85" w:rsidRDefault="00EF6255" w:rsidP="00180E63">
      <w:pPr>
        <w:ind w:firstLine="720"/>
        <w:jc w:val="both"/>
        <w:rPr>
          <w:color w:val="000000"/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 xml:space="preserve">Le fonds d’amorçage disponible pour la programmation </w:t>
      </w:r>
      <w:r w:rsidR="00180E63" w:rsidRPr="008E3B85">
        <w:rPr>
          <w:color w:val="000000"/>
          <w:sz w:val="22"/>
          <w:szCs w:val="22"/>
          <w:lang w:val="fr-CA"/>
        </w:rPr>
        <w:t xml:space="preserve">2021-2024 </w:t>
      </w:r>
      <w:r w:rsidRPr="008E3B85">
        <w:rPr>
          <w:color w:val="000000"/>
          <w:sz w:val="22"/>
          <w:szCs w:val="22"/>
          <w:lang w:val="fr-CA"/>
        </w:rPr>
        <w:t xml:space="preserve">s’élève </w:t>
      </w:r>
      <w:r w:rsidR="008D222B" w:rsidRPr="008E3B85">
        <w:rPr>
          <w:color w:val="000000"/>
          <w:sz w:val="22"/>
          <w:szCs w:val="22"/>
          <w:lang w:val="fr-CA"/>
        </w:rPr>
        <w:t>à $</w:t>
      </w:r>
      <w:r w:rsidR="00180E63" w:rsidRPr="008E3B85">
        <w:rPr>
          <w:color w:val="000000"/>
          <w:sz w:val="22"/>
          <w:szCs w:val="22"/>
          <w:lang w:val="fr-CA"/>
        </w:rPr>
        <w:t>3</w:t>
      </w:r>
      <w:r w:rsidRPr="008E3B85">
        <w:rPr>
          <w:color w:val="000000"/>
          <w:sz w:val="22"/>
          <w:szCs w:val="22"/>
          <w:lang w:val="fr-CA"/>
        </w:rPr>
        <w:t>.</w:t>
      </w:r>
      <w:r w:rsidR="00180E63" w:rsidRPr="008E3B85">
        <w:rPr>
          <w:color w:val="000000"/>
          <w:sz w:val="22"/>
          <w:szCs w:val="22"/>
          <w:lang w:val="fr-CA"/>
        </w:rPr>
        <w:t>048</w:t>
      </w:r>
      <w:r w:rsidRPr="008E3B85">
        <w:rPr>
          <w:color w:val="000000"/>
          <w:sz w:val="22"/>
          <w:szCs w:val="22"/>
          <w:lang w:val="fr-CA"/>
        </w:rPr>
        <w:t>.</w:t>
      </w:r>
      <w:r w:rsidR="00180E63" w:rsidRPr="008E3B85">
        <w:rPr>
          <w:color w:val="000000"/>
          <w:sz w:val="22"/>
          <w:szCs w:val="22"/>
          <w:lang w:val="fr-CA"/>
        </w:rPr>
        <w:t>780</w:t>
      </w:r>
      <w:r w:rsidRPr="008E3B85">
        <w:rPr>
          <w:color w:val="000000"/>
          <w:sz w:val="22"/>
          <w:szCs w:val="22"/>
          <w:lang w:val="fr-CA"/>
        </w:rPr>
        <w:t>,</w:t>
      </w:r>
      <w:r w:rsidR="00180E63" w:rsidRPr="008E3B85">
        <w:rPr>
          <w:color w:val="000000"/>
          <w:sz w:val="22"/>
          <w:szCs w:val="22"/>
          <w:lang w:val="fr-CA"/>
        </w:rPr>
        <w:t xml:space="preserve">96. </w:t>
      </w:r>
      <w:r w:rsidR="00142932" w:rsidRPr="008E3B85">
        <w:rPr>
          <w:color w:val="000000"/>
          <w:sz w:val="22"/>
          <w:szCs w:val="22"/>
          <w:lang w:val="fr-CA"/>
        </w:rPr>
        <w:t xml:space="preserve">En tout, </w:t>
      </w:r>
      <w:r w:rsidRPr="008E3B85">
        <w:rPr>
          <w:color w:val="000000"/>
          <w:sz w:val="22"/>
          <w:szCs w:val="22"/>
          <w:lang w:val="fr-CA"/>
        </w:rPr>
        <w:t xml:space="preserve">17 pays sont éligibles à participer au cycle de </w:t>
      </w:r>
      <w:r w:rsidR="008D222B" w:rsidRPr="008E3B85">
        <w:rPr>
          <w:color w:val="000000"/>
          <w:sz w:val="22"/>
          <w:szCs w:val="22"/>
          <w:lang w:val="fr-CA"/>
        </w:rPr>
        <w:t>programmation 2021</w:t>
      </w:r>
      <w:r w:rsidR="00180E63" w:rsidRPr="008E3B85">
        <w:rPr>
          <w:color w:val="000000"/>
          <w:sz w:val="22"/>
          <w:szCs w:val="22"/>
          <w:lang w:val="fr-CA"/>
        </w:rPr>
        <w:t xml:space="preserve">-2024 </w:t>
      </w:r>
      <w:r w:rsidRPr="008E3B85">
        <w:rPr>
          <w:color w:val="000000"/>
          <w:sz w:val="22"/>
          <w:szCs w:val="22"/>
          <w:lang w:val="fr-CA"/>
        </w:rPr>
        <w:t xml:space="preserve">au titre des quatre thèmes </w:t>
      </w:r>
      <w:r w:rsidR="00142932" w:rsidRPr="008E3B85">
        <w:rPr>
          <w:color w:val="000000"/>
          <w:sz w:val="22"/>
          <w:szCs w:val="22"/>
          <w:lang w:val="fr-CA"/>
        </w:rPr>
        <w:t>de</w:t>
      </w:r>
      <w:r w:rsidRPr="008E3B85">
        <w:rPr>
          <w:color w:val="000000"/>
          <w:sz w:val="22"/>
          <w:szCs w:val="22"/>
          <w:lang w:val="fr-CA"/>
        </w:rPr>
        <w:t xml:space="preserve"> programme recommandés</w:t>
      </w:r>
      <w:r w:rsidR="00180E63" w:rsidRPr="008E3B85">
        <w:rPr>
          <w:color w:val="000000"/>
          <w:sz w:val="22"/>
          <w:szCs w:val="22"/>
          <w:lang w:val="fr-CA"/>
        </w:rPr>
        <w:t>.</w:t>
      </w:r>
    </w:p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EF6255" w:rsidP="00180E63">
      <w:pPr>
        <w:ind w:firstLine="720"/>
        <w:jc w:val="both"/>
        <w:rPr>
          <w:color w:val="000000"/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>Sur la base de ce qui précède, le Conseil d’administration de l’</w:t>
      </w:r>
      <w:r w:rsidR="00180E63" w:rsidRPr="008E3B85">
        <w:rPr>
          <w:color w:val="000000"/>
          <w:sz w:val="22"/>
          <w:szCs w:val="22"/>
          <w:lang w:val="fr-CA"/>
        </w:rPr>
        <w:t>AICD confirm</w:t>
      </w:r>
      <w:r w:rsidRPr="008E3B85">
        <w:rPr>
          <w:color w:val="000000"/>
          <w:sz w:val="22"/>
          <w:szCs w:val="22"/>
          <w:lang w:val="fr-CA"/>
        </w:rPr>
        <w:t xml:space="preserve">e que pour le cycle de programmation </w:t>
      </w:r>
      <w:r w:rsidR="00180E63" w:rsidRPr="008E3B85">
        <w:rPr>
          <w:color w:val="000000"/>
          <w:sz w:val="22"/>
          <w:szCs w:val="22"/>
          <w:lang w:val="fr-CA"/>
        </w:rPr>
        <w:t>2021-2024 un total de $1</w:t>
      </w:r>
      <w:r w:rsidRPr="008E3B85">
        <w:rPr>
          <w:color w:val="000000"/>
          <w:sz w:val="22"/>
          <w:szCs w:val="22"/>
          <w:lang w:val="fr-CA"/>
        </w:rPr>
        <w:t>,</w:t>
      </w:r>
      <w:r w:rsidR="00180E63" w:rsidRPr="008E3B85">
        <w:rPr>
          <w:color w:val="000000"/>
          <w:sz w:val="22"/>
          <w:szCs w:val="22"/>
          <w:lang w:val="fr-CA"/>
        </w:rPr>
        <w:t>7 mill</w:t>
      </w:r>
      <w:r w:rsidRPr="008E3B85">
        <w:rPr>
          <w:color w:val="000000"/>
          <w:sz w:val="22"/>
          <w:szCs w:val="22"/>
          <w:lang w:val="fr-CA"/>
        </w:rPr>
        <w:t>ion ser</w:t>
      </w:r>
      <w:r w:rsidR="00142932" w:rsidRPr="008E3B85">
        <w:rPr>
          <w:color w:val="000000"/>
          <w:sz w:val="22"/>
          <w:szCs w:val="22"/>
          <w:lang w:val="fr-CA"/>
        </w:rPr>
        <w:t>a</w:t>
      </w:r>
      <w:r w:rsidRPr="008E3B85">
        <w:rPr>
          <w:color w:val="000000"/>
          <w:sz w:val="22"/>
          <w:szCs w:val="22"/>
          <w:lang w:val="fr-CA"/>
        </w:rPr>
        <w:t xml:space="preserve"> affecté en tant que fonds d’amorçage. Ces fonds seront répartis conformément à l’article </w:t>
      </w:r>
      <w:r w:rsidR="00180E63" w:rsidRPr="008E3B85">
        <w:rPr>
          <w:color w:val="000000"/>
          <w:sz w:val="22"/>
          <w:szCs w:val="22"/>
          <w:lang w:val="fr-CA"/>
        </w:rPr>
        <w:t>(g) de</w:t>
      </w:r>
      <w:r w:rsidRPr="008E3B85">
        <w:rPr>
          <w:color w:val="000000"/>
          <w:sz w:val="22"/>
          <w:szCs w:val="22"/>
          <w:lang w:val="fr-CA"/>
        </w:rPr>
        <w:t xml:space="preserve">s </w:t>
      </w:r>
      <w:r w:rsidR="00180E63" w:rsidRPr="008E3B85">
        <w:rPr>
          <w:color w:val="000000"/>
          <w:sz w:val="22"/>
          <w:szCs w:val="22"/>
          <w:lang w:val="fr-CA"/>
        </w:rPr>
        <w:t>Crit</w:t>
      </w:r>
      <w:r w:rsidRPr="008E3B85">
        <w:rPr>
          <w:color w:val="000000"/>
          <w:sz w:val="22"/>
          <w:szCs w:val="22"/>
          <w:lang w:val="fr-CA"/>
        </w:rPr>
        <w:t xml:space="preserve">ères de sélection et d’évaluation pour le </w:t>
      </w:r>
      <w:r w:rsidR="00114242" w:rsidRPr="008E3B85">
        <w:rPr>
          <w:color w:val="000000"/>
          <w:sz w:val="22"/>
          <w:szCs w:val="22"/>
          <w:lang w:val="fr-CA"/>
        </w:rPr>
        <w:t xml:space="preserve">FCD </w:t>
      </w:r>
      <w:r w:rsidR="00180E63" w:rsidRPr="008E3B85">
        <w:rPr>
          <w:sz w:val="22"/>
          <w:szCs w:val="22"/>
          <w:lang w:val="fr-CA"/>
        </w:rPr>
        <w:t>(CIDI/doc.100/14 -</w:t>
      </w:r>
      <w:r w:rsidR="00180E63" w:rsidRPr="008E3B85">
        <w:rPr>
          <w:color w:val="333333"/>
          <w:sz w:val="22"/>
          <w:szCs w:val="22"/>
          <w:lang w:val="fr-CA"/>
        </w:rPr>
        <w:t> </w:t>
      </w:r>
      <w:hyperlink r:id="rId11" w:history="1">
        <w:r w:rsidR="00180E63" w:rsidRPr="008E3B85">
          <w:rPr>
            <w:rStyle w:val="Hyperlink"/>
            <w:sz w:val="22"/>
            <w:szCs w:val="22"/>
            <w:lang w:val="fr-CA"/>
          </w:rPr>
          <w:t>English</w:t>
        </w:r>
      </w:hyperlink>
      <w:r w:rsidR="00180E63" w:rsidRPr="008E3B85">
        <w:rPr>
          <w:color w:val="333333"/>
          <w:sz w:val="22"/>
          <w:szCs w:val="22"/>
          <w:lang w:val="fr-CA"/>
        </w:rPr>
        <w:t xml:space="preserve"> - </w:t>
      </w:r>
      <w:hyperlink r:id="rId12" w:history="1">
        <w:r w:rsidR="00180E63" w:rsidRPr="008E3B85">
          <w:rPr>
            <w:rStyle w:val="Hyperlink"/>
            <w:sz w:val="22"/>
            <w:szCs w:val="22"/>
            <w:lang w:val="fr-CA"/>
          </w:rPr>
          <w:t>Español</w:t>
        </w:r>
      </w:hyperlink>
      <w:r w:rsidR="00180E63" w:rsidRPr="008E3B85">
        <w:rPr>
          <w:color w:val="333333"/>
          <w:sz w:val="22"/>
          <w:szCs w:val="22"/>
          <w:lang w:val="fr-CA"/>
        </w:rPr>
        <w:t xml:space="preserve">) </w:t>
      </w:r>
      <w:r w:rsidR="00180E63" w:rsidRPr="008E3B85">
        <w:rPr>
          <w:color w:val="000000"/>
          <w:sz w:val="22"/>
          <w:szCs w:val="22"/>
          <w:lang w:val="fr-CA"/>
        </w:rPr>
        <w:t>qu</w:t>
      </w:r>
      <w:r w:rsidR="00114242" w:rsidRPr="008E3B85">
        <w:rPr>
          <w:color w:val="000000"/>
          <w:sz w:val="22"/>
          <w:szCs w:val="22"/>
          <w:lang w:val="fr-CA"/>
        </w:rPr>
        <w:t>i établit que le financement des programmes sera réparti proportionnellement à la dimension du programme</w:t>
      </w:r>
      <w:r w:rsidR="00142932" w:rsidRPr="008E3B85">
        <w:rPr>
          <w:color w:val="000000"/>
          <w:sz w:val="22"/>
          <w:szCs w:val="22"/>
          <w:lang w:val="fr-CA"/>
        </w:rPr>
        <w:t xml:space="preserve"> et </w:t>
      </w:r>
      <w:r w:rsidR="00114242" w:rsidRPr="008E3B85">
        <w:rPr>
          <w:color w:val="000000"/>
          <w:sz w:val="22"/>
          <w:szCs w:val="22"/>
          <w:lang w:val="fr-CA"/>
        </w:rPr>
        <w:t xml:space="preserve">en tenant compte des activités et du nombre de pays participants. </w:t>
      </w:r>
      <w:r w:rsidR="00180E63" w:rsidRPr="008E3B85">
        <w:rPr>
          <w:color w:val="000000"/>
          <w:sz w:val="22"/>
          <w:szCs w:val="22"/>
          <w:lang w:val="fr-CA"/>
        </w:rPr>
        <w:t xml:space="preserve"> </w:t>
      </w:r>
    </w:p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114242" w:rsidP="00180E63">
      <w:pPr>
        <w:ind w:firstLine="720"/>
        <w:jc w:val="both"/>
        <w:rPr>
          <w:color w:val="000000"/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 xml:space="preserve">Il est important de remarquer que, conformément aux critères régissant la programmation pour le développement </w:t>
      </w:r>
      <w:r w:rsidR="00180E63" w:rsidRPr="008E3B85">
        <w:rPr>
          <w:color w:val="000000"/>
          <w:sz w:val="22"/>
          <w:szCs w:val="22"/>
          <w:lang w:val="fr-CA"/>
        </w:rPr>
        <w:t>(art</w:t>
      </w:r>
      <w:r w:rsidRPr="008E3B85">
        <w:rPr>
          <w:color w:val="000000"/>
          <w:sz w:val="22"/>
          <w:szCs w:val="22"/>
          <w:lang w:val="fr-CA"/>
        </w:rPr>
        <w:t xml:space="preserve">icles </w:t>
      </w:r>
      <w:r w:rsidR="00180E63" w:rsidRPr="008E3B85">
        <w:rPr>
          <w:color w:val="000000"/>
          <w:sz w:val="22"/>
          <w:szCs w:val="22"/>
          <w:lang w:val="fr-CA"/>
        </w:rPr>
        <w:t xml:space="preserve">(e) </w:t>
      </w:r>
      <w:r w:rsidRPr="008E3B85">
        <w:rPr>
          <w:color w:val="000000"/>
          <w:sz w:val="22"/>
          <w:szCs w:val="22"/>
          <w:lang w:val="fr-CA"/>
        </w:rPr>
        <w:t>et</w:t>
      </w:r>
      <w:r w:rsidR="00180E63" w:rsidRPr="008E3B85">
        <w:rPr>
          <w:color w:val="000000"/>
          <w:sz w:val="22"/>
          <w:szCs w:val="22"/>
          <w:lang w:val="fr-CA"/>
        </w:rPr>
        <w:t xml:space="preserve"> (j), </w:t>
      </w:r>
      <w:r w:rsidR="00180E63" w:rsidRPr="008E3B85">
        <w:rPr>
          <w:b/>
          <w:color w:val="000000"/>
          <w:sz w:val="22"/>
          <w:szCs w:val="22"/>
          <w:lang w:val="fr-CA"/>
        </w:rPr>
        <w:t>v</w:t>
      </w:r>
      <w:r w:rsidRPr="008E3B85">
        <w:rPr>
          <w:b/>
          <w:color w:val="000000"/>
          <w:sz w:val="22"/>
          <w:szCs w:val="22"/>
          <w:lang w:val="fr-CA"/>
        </w:rPr>
        <w:t>oir ci-dessous les critères détaillés pour les programmes</w:t>
      </w:r>
      <w:r w:rsidR="00180E63" w:rsidRPr="008E3B85">
        <w:rPr>
          <w:color w:val="000000"/>
          <w:sz w:val="22"/>
          <w:szCs w:val="22"/>
          <w:lang w:val="fr-CA"/>
        </w:rPr>
        <w:t>) de la structur</w:t>
      </w:r>
      <w:r w:rsidRPr="008E3B85">
        <w:rPr>
          <w:color w:val="000000"/>
          <w:sz w:val="22"/>
          <w:szCs w:val="22"/>
          <w:lang w:val="fr-CA"/>
        </w:rPr>
        <w:t xml:space="preserve">e approuvée pour le FCD, il faut </w:t>
      </w:r>
      <w:r w:rsidR="007C194D" w:rsidRPr="008E3B85">
        <w:rPr>
          <w:color w:val="000000"/>
          <w:sz w:val="22"/>
          <w:szCs w:val="22"/>
          <w:lang w:val="fr-CA"/>
        </w:rPr>
        <w:t>re</w:t>
      </w:r>
      <w:r w:rsidRPr="008E3B85">
        <w:rPr>
          <w:color w:val="000000"/>
          <w:sz w:val="22"/>
          <w:szCs w:val="22"/>
          <w:lang w:val="fr-CA"/>
        </w:rPr>
        <w:t>chercher des sources supplémentaires de f</w:t>
      </w:r>
      <w:r w:rsidR="001E13B0" w:rsidRPr="008E3B85">
        <w:rPr>
          <w:color w:val="000000"/>
          <w:sz w:val="22"/>
          <w:szCs w:val="22"/>
          <w:lang w:val="fr-CA"/>
        </w:rPr>
        <w:t xml:space="preserve">inancement </w:t>
      </w:r>
      <w:r w:rsidRPr="008E3B85">
        <w:rPr>
          <w:color w:val="000000"/>
          <w:sz w:val="22"/>
          <w:szCs w:val="22"/>
          <w:lang w:val="fr-CA"/>
        </w:rPr>
        <w:t xml:space="preserve">qui complèteront les fonds d’amorçage disponibles. Compte tenu de ce qui précède et conformément à </w:t>
      </w:r>
      <w:r w:rsidRPr="008E3B85">
        <w:rPr>
          <w:color w:val="000000"/>
          <w:sz w:val="22"/>
          <w:szCs w:val="22"/>
          <w:lang w:val="fr-CA"/>
        </w:rPr>
        <w:lastRenderedPageBreak/>
        <w:t xml:space="preserve">l’exigence de travailler en collaboration avec les États membres, la Section de la coopération technique collaborera avec les États membres afin de s’assurer que de nouvelles ressources sont recherchées. </w:t>
      </w:r>
    </w:p>
    <w:p w:rsidR="00180E63" w:rsidRPr="008E3B85" w:rsidRDefault="00180E63" w:rsidP="008E3B85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180E63" w:rsidP="00180E63">
      <w:pPr>
        <w:ind w:firstLine="720"/>
        <w:jc w:val="both"/>
        <w:rPr>
          <w:color w:val="000000"/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>L</w:t>
      </w:r>
      <w:r w:rsidR="00114242" w:rsidRPr="008E3B85">
        <w:rPr>
          <w:color w:val="000000"/>
          <w:sz w:val="22"/>
          <w:szCs w:val="22"/>
          <w:lang w:val="fr-CA"/>
        </w:rPr>
        <w:t>e Secrétar</w:t>
      </w:r>
      <w:r w:rsidR="001E13B0" w:rsidRPr="008E3B85">
        <w:rPr>
          <w:color w:val="000000"/>
          <w:sz w:val="22"/>
          <w:szCs w:val="22"/>
          <w:lang w:val="fr-CA"/>
        </w:rPr>
        <w:t xml:space="preserve">iat </w:t>
      </w:r>
      <w:r w:rsidR="00114242" w:rsidRPr="008E3B85">
        <w:rPr>
          <w:color w:val="000000"/>
          <w:sz w:val="22"/>
          <w:szCs w:val="22"/>
          <w:lang w:val="fr-CA"/>
        </w:rPr>
        <w:t>présentera un rapport détaillé, lequel inclura les fonds de contrepartie et les autres contributions en espèces et en nature lorsque le cadre de programmation pour le cycle 2021-2024 sera soumis au Conseil d’administration, pour approbation définitive</w:t>
      </w:r>
      <w:r w:rsidR="001E13B0" w:rsidRPr="008E3B85">
        <w:rPr>
          <w:color w:val="000000"/>
          <w:sz w:val="22"/>
          <w:szCs w:val="22"/>
          <w:lang w:val="fr-CA"/>
        </w:rPr>
        <w:t>.</w:t>
      </w:r>
    </w:p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197A56" w:rsidP="00180E63">
      <w:pPr>
        <w:jc w:val="both"/>
        <w:rPr>
          <w:b/>
          <w:color w:val="000000"/>
          <w:sz w:val="22"/>
          <w:szCs w:val="22"/>
          <w:u w:val="single"/>
          <w:lang w:val="fr-CA"/>
        </w:rPr>
      </w:pPr>
      <w:r w:rsidRPr="008E3B85">
        <w:rPr>
          <w:b/>
          <w:color w:val="000000"/>
          <w:sz w:val="22"/>
          <w:szCs w:val="22"/>
          <w:u w:val="single"/>
          <w:lang w:val="fr-CA"/>
        </w:rPr>
        <w:t>Éligib</w:t>
      </w:r>
      <w:r w:rsidR="001E13B0" w:rsidRPr="008E3B85">
        <w:rPr>
          <w:b/>
          <w:color w:val="000000"/>
          <w:sz w:val="22"/>
          <w:szCs w:val="22"/>
          <w:u w:val="single"/>
          <w:lang w:val="fr-CA"/>
        </w:rPr>
        <w:t>i</w:t>
      </w:r>
      <w:r w:rsidRPr="008E3B85">
        <w:rPr>
          <w:b/>
          <w:color w:val="000000"/>
          <w:sz w:val="22"/>
          <w:szCs w:val="22"/>
          <w:u w:val="single"/>
          <w:lang w:val="fr-CA"/>
        </w:rPr>
        <w:t xml:space="preserve">lité des États membres à participer au </w:t>
      </w:r>
      <w:r w:rsidR="008D222B" w:rsidRPr="008E3B85">
        <w:rPr>
          <w:b/>
          <w:color w:val="000000"/>
          <w:sz w:val="22"/>
          <w:szCs w:val="22"/>
          <w:u w:val="single"/>
          <w:lang w:val="fr-CA"/>
        </w:rPr>
        <w:t>cycle</w:t>
      </w:r>
      <w:r w:rsidRPr="008E3B85">
        <w:rPr>
          <w:b/>
          <w:color w:val="000000"/>
          <w:sz w:val="22"/>
          <w:szCs w:val="22"/>
          <w:u w:val="single"/>
          <w:lang w:val="fr-CA"/>
        </w:rPr>
        <w:t xml:space="preserve"> de programmation </w:t>
      </w:r>
      <w:r w:rsidR="00180E63" w:rsidRPr="008E3B85">
        <w:rPr>
          <w:b/>
          <w:color w:val="000000"/>
          <w:sz w:val="22"/>
          <w:szCs w:val="22"/>
          <w:u w:val="single"/>
          <w:lang w:val="fr-CA"/>
        </w:rPr>
        <w:t xml:space="preserve">2021-2024 </w:t>
      </w:r>
    </w:p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5862FF" w:rsidRPr="008E3B85" w:rsidRDefault="00197A56" w:rsidP="005862FF">
      <w:pPr>
        <w:ind w:firstLine="720"/>
        <w:jc w:val="both"/>
        <w:rPr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>L’ar</w:t>
      </w:r>
      <w:r w:rsidR="005862FF" w:rsidRPr="008E3B85">
        <w:rPr>
          <w:color w:val="000000"/>
          <w:sz w:val="22"/>
          <w:szCs w:val="22"/>
          <w:lang w:val="fr-CA"/>
        </w:rPr>
        <w:t>t</w:t>
      </w:r>
      <w:r w:rsidRPr="008E3B85">
        <w:rPr>
          <w:color w:val="000000"/>
          <w:sz w:val="22"/>
          <w:szCs w:val="22"/>
          <w:lang w:val="fr-CA"/>
        </w:rPr>
        <w:t xml:space="preserve">icle </w:t>
      </w:r>
      <w:r w:rsidR="00180E63" w:rsidRPr="008E3B85">
        <w:rPr>
          <w:color w:val="000000"/>
          <w:sz w:val="22"/>
          <w:szCs w:val="22"/>
          <w:lang w:val="fr-CA"/>
        </w:rPr>
        <w:t>13 d</w:t>
      </w:r>
      <w:r w:rsidRPr="008E3B85">
        <w:rPr>
          <w:color w:val="000000"/>
          <w:sz w:val="22"/>
          <w:szCs w:val="22"/>
          <w:lang w:val="fr-CA"/>
        </w:rPr>
        <w:t xml:space="preserve">u </w:t>
      </w:r>
      <w:r w:rsidRPr="008E3B85">
        <w:rPr>
          <w:color w:val="2E74B5" w:themeColor="accent1" w:themeShade="BF"/>
          <w:sz w:val="22"/>
          <w:szCs w:val="22"/>
          <w:u w:val="single"/>
          <w:lang w:val="fr-CA"/>
        </w:rPr>
        <w:t xml:space="preserve">Statut du Fonds de coopération pour le développement </w:t>
      </w:r>
      <w:r w:rsidRPr="008E3B85">
        <w:rPr>
          <w:color w:val="000000"/>
          <w:sz w:val="22"/>
          <w:szCs w:val="22"/>
          <w:lang w:val="fr-CA"/>
        </w:rPr>
        <w:t>(FCD/OEA)</w:t>
      </w:r>
      <w:r w:rsidR="00180E63" w:rsidRPr="008E3B85">
        <w:rPr>
          <w:color w:val="000000"/>
          <w:sz w:val="22"/>
          <w:szCs w:val="22"/>
          <w:lang w:val="fr-CA"/>
        </w:rPr>
        <w:t xml:space="preserve"> </w:t>
      </w:r>
      <w:r w:rsidRPr="008E3B85">
        <w:rPr>
          <w:color w:val="000000"/>
          <w:sz w:val="22"/>
          <w:szCs w:val="22"/>
          <w:lang w:val="fr-CA"/>
        </w:rPr>
        <w:t xml:space="preserve">établit les conditions régissant la participation des États membres au cycle de programmation du </w:t>
      </w:r>
      <w:r w:rsidR="00180E63" w:rsidRPr="008E3B85">
        <w:rPr>
          <w:color w:val="000000"/>
          <w:sz w:val="22"/>
          <w:szCs w:val="22"/>
          <w:lang w:val="fr-CA"/>
        </w:rPr>
        <w:t xml:space="preserve">FCD: </w:t>
      </w:r>
      <w:r w:rsidRPr="008E3B85">
        <w:rPr>
          <w:color w:val="000000"/>
          <w:sz w:val="22"/>
          <w:szCs w:val="22"/>
          <w:lang w:val="fr-CA"/>
        </w:rPr>
        <w:t>« </w:t>
      </w:r>
      <w:r w:rsidR="00180E63" w:rsidRPr="008E3B85">
        <w:rPr>
          <w:color w:val="000000"/>
          <w:sz w:val="22"/>
          <w:szCs w:val="22"/>
          <w:lang w:val="fr-CA"/>
        </w:rPr>
        <w:t xml:space="preserve">a) </w:t>
      </w:r>
      <w:r w:rsidR="005862FF" w:rsidRPr="008E3B85">
        <w:rPr>
          <w:color w:val="000000"/>
          <w:sz w:val="22"/>
          <w:szCs w:val="22"/>
          <w:lang w:val="fr-CA"/>
        </w:rPr>
        <w:t>a</w:t>
      </w:r>
      <w:r w:rsidR="005862FF" w:rsidRPr="008E3B85">
        <w:rPr>
          <w:sz w:val="22"/>
          <w:szCs w:val="22"/>
          <w:lang w:val="fr-CA"/>
        </w:rPr>
        <w:t xml:space="preserve">voir effectué une offre de contribution volontaire dans les délais impartis à l’alinéa </w:t>
      </w:r>
      <w:r w:rsidR="001E13B0" w:rsidRPr="008E3B85">
        <w:rPr>
          <w:sz w:val="22"/>
          <w:szCs w:val="22"/>
          <w:lang w:val="fr-CA"/>
        </w:rPr>
        <w:t>(</w:t>
      </w:r>
      <w:r w:rsidR="005862FF" w:rsidRPr="008E3B85">
        <w:rPr>
          <w:sz w:val="22"/>
          <w:szCs w:val="22"/>
          <w:lang w:val="fr-CA"/>
        </w:rPr>
        <w:t>a</w:t>
      </w:r>
      <w:r w:rsidR="001E13B0" w:rsidRPr="008E3B85">
        <w:rPr>
          <w:sz w:val="22"/>
          <w:szCs w:val="22"/>
          <w:lang w:val="fr-CA"/>
        </w:rPr>
        <w:t>)</w:t>
      </w:r>
      <w:r w:rsidR="005862FF" w:rsidRPr="008E3B85">
        <w:rPr>
          <w:sz w:val="22"/>
          <w:szCs w:val="22"/>
          <w:lang w:val="fr-CA"/>
        </w:rPr>
        <w:t xml:space="preserve"> de l’article 17 du présent Statut ; et b)  </w:t>
      </w:r>
      <w:r w:rsidR="005862FF" w:rsidRPr="008E3B85">
        <w:rPr>
          <w:color w:val="000000"/>
          <w:sz w:val="22"/>
          <w:szCs w:val="22"/>
          <w:lang w:val="fr-CA"/>
        </w:rPr>
        <w:t xml:space="preserve"> </w:t>
      </w:r>
      <w:r w:rsidR="00C42F23" w:rsidRPr="008E3B85">
        <w:rPr>
          <w:color w:val="000000"/>
          <w:sz w:val="22"/>
          <w:szCs w:val="22"/>
          <w:lang w:val="fr-CA"/>
        </w:rPr>
        <w:t>a</w:t>
      </w:r>
      <w:r w:rsidR="005862FF" w:rsidRPr="008E3B85">
        <w:rPr>
          <w:sz w:val="22"/>
          <w:szCs w:val="22"/>
          <w:lang w:val="fr-CA"/>
        </w:rPr>
        <w:t xml:space="preserve">voir effectué le versement de la totalité des contributions annoncées dans les délais fixés à l’alinéa </w:t>
      </w:r>
      <w:r w:rsidR="001E13B0" w:rsidRPr="008E3B85">
        <w:rPr>
          <w:sz w:val="22"/>
          <w:szCs w:val="22"/>
          <w:lang w:val="fr-CA"/>
        </w:rPr>
        <w:t xml:space="preserve">(b) </w:t>
      </w:r>
      <w:r w:rsidR="005862FF" w:rsidRPr="008E3B85">
        <w:rPr>
          <w:sz w:val="22"/>
          <w:szCs w:val="22"/>
          <w:lang w:val="fr-CA"/>
        </w:rPr>
        <w:t>de l’article 17 du présent Statut ».</w:t>
      </w:r>
    </w:p>
    <w:p w:rsidR="00180E63" w:rsidRPr="008E3B85" w:rsidRDefault="00180E63" w:rsidP="00180E63">
      <w:pPr>
        <w:jc w:val="both"/>
        <w:rPr>
          <w:sz w:val="22"/>
          <w:szCs w:val="22"/>
          <w:lang w:val="fr-CA"/>
        </w:rPr>
      </w:pPr>
    </w:p>
    <w:p w:rsidR="00180E63" w:rsidRPr="008E3B85" w:rsidRDefault="005862FF" w:rsidP="00180E63">
      <w:pPr>
        <w:ind w:firstLine="720"/>
        <w:jc w:val="both"/>
        <w:rPr>
          <w:sz w:val="22"/>
          <w:szCs w:val="22"/>
          <w:lang w:val="fr-CA" w:eastAsia="en-US"/>
        </w:rPr>
      </w:pPr>
      <w:r w:rsidRPr="008E3B85">
        <w:rPr>
          <w:sz w:val="22"/>
          <w:szCs w:val="22"/>
          <w:lang w:val="fr-CA" w:eastAsia="en-US"/>
        </w:rPr>
        <w:t xml:space="preserve">Sur la base de l’article qui précède, la liste des États membres qui sont éligibles à participer au cycle de programmation </w:t>
      </w:r>
      <w:r w:rsidR="00180E63" w:rsidRPr="008E3B85">
        <w:rPr>
          <w:sz w:val="22"/>
          <w:szCs w:val="22"/>
          <w:lang w:val="fr-CA" w:eastAsia="en-US"/>
        </w:rPr>
        <w:t>2021-2024 d</w:t>
      </w:r>
      <w:r w:rsidRPr="008E3B85">
        <w:rPr>
          <w:sz w:val="22"/>
          <w:szCs w:val="22"/>
          <w:lang w:val="fr-CA" w:eastAsia="en-US"/>
        </w:rPr>
        <w:t>u</w:t>
      </w:r>
      <w:r w:rsidR="00180E63" w:rsidRPr="008E3B85">
        <w:rPr>
          <w:sz w:val="22"/>
          <w:szCs w:val="22"/>
          <w:lang w:val="fr-CA" w:eastAsia="en-US"/>
        </w:rPr>
        <w:t xml:space="preserve"> FCD es</w:t>
      </w:r>
      <w:r w:rsidRPr="008E3B85">
        <w:rPr>
          <w:sz w:val="22"/>
          <w:szCs w:val="22"/>
          <w:lang w:val="fr-CA" w:eastAsia="en-US"/>
        </w:rPr>
        <w:t xml:space="preserve">t la suivante </w:t>
      </w:r>
      <w:r w:rsidR="00180E63" w:rsidRPr="008E3B85">
        <w:rPr>
          <w:sz w:val="22"/>
          <w:szCs w:val="22"/>
          <w:lang w:val="fr-CA" w:eastAsia="en-US"/>
        </w:rPr>
        <w:t>:</w:t>
      </w:r>
    </w:p>
    <w:p w:rsidR="00180E63" w:rsidRPr="008E3B85" w:rsidRDefault="00180E63" w:rsidP="008E3B85">
      <w:pPr>
        <w:jc w:val="both"/>
        <w:rPr>
          <w:sz w:val="22"/>
          <w:szCs w:val="22"/>
          <w:lang w:val="fr-CA" w:eastAsia="en-US"/>
        </w:rPr>
      </w:pPr>
    </w:p>
    <w:tbl>
      <w:tblPr>
        <w:tblW w:w="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2790"/>
      </w:tblGrid>
      <w:tr w:rsidR="00180E63" w:rsidRPr="008E3B85" w:rsidTr="00022767">
        <w:trPr>
          <w:trHeight w:val="392"/>
          <w:jc w:val="center"/>
        </w:trPr>
        <w:tc>
          <w:tcPr>
            <w:tcW w:w="3277" w:type="dxa"/>
            <w:shd w:val="clear" w:color="000000" w:fill="D9D9D9"/>
            <w:vAlign w:val="center"/>
          </w:tcPr>
          <w:p w:rsidR="00180E63" w:rsidRPr="008E3B85" w:rsidRDefault="00180E63" w:rsidP="005862FF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 w:eastAsia="en-US"/>
              </w:rPr>
            </w:pPr>
            <w:r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PA</w:t>
            </w:r>
            <w:r w:rsidR="005862FF"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Y</w:t>
            </w:r>
            <w:r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S</w:t>
            </w:r>
          </w:p>
        </w:tc>
        <w:tc>
          <w:tcPr>
            <w:tcW w:w="2790" w:type="dxa"/>
            <w:shd w:val="clear" w:color="000000" w:fill="D9D9D9"/>
            <w:vAlign w:val="center"/>
          </w:tcPr>
          <w:p w:rsidR="00180E63" w:rsidRPr="008E3B85" w:rsidRDefault="005862FF" w:rsidP="005862FF">
            <w:pPr>
              <w:jc w:val="center"/>
              <w:rPr>
                <w:b/>
                <w:bCs/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É</w:t>
            </w:r>
            <w:r w:rsidR="00180E63"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L</w:t>
            </w:r>
            <w:r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I</w:t>
            </w:r>
            <w:r w:rsidR="00180E63" w:rsidRPr="008E3B85">
              <w:rPr>
                <w:b/>
                <w:bCs/>
                <w:color w:val="000000"/>
                <w:sz w:val="22"/>
                <w:szCs w:val="22"/>
                <w:lang w:val="fr-CA"/>
              </w:rPr>
              <w:t>GIBLE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Antigua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-et-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Barbuda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Argentin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Bahamas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Barbad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Belize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Bolivi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Br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és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il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Canad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Chil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i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Colombi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Costa Rica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Domini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que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5862FF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 xml:space="preserve">Équateur 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El Salvador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5862FF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États-Unis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Gr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nad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Guatemala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Guyana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Ha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ïti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Honduras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Jama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ïque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5862FF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 xml:space="preserve">Mexique 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Nicaragua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lastRenderedPageBreak/>
              <w:t>Panam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Paraguay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P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 xml:space="preserve">érou 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R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 xml:space="preserve">épublique dominicaine 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St. Kitts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-et-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Nevis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S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ain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t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e-Lucie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S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aint-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Vincent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Suriname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5862FF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Trini</w:t>
            </w:r>
            <w:r w:rsidR="005862FF" w:rsidRPr="008E3B85">
              <w:rPr>
                <w:color w:val="000000"/>
                <w:sz w:val="22"/>
                <w:szCs w:val="22"/>
                <w:lang w:val="fr-CA"/>
              </w:rPr>
              <w:t>té-et-</w:t>
            </w:r>
            <w:r w:rsidRPr="008E3B85">
              <w:rPr>
                <w:color w:val="000000"/>
                <w:sz w:val="22"/>
                <w:szCs w:val="22"/>
                <w:lang w:val="fr-CA"/>
              </w:rPr>
              <w:t>Tobago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Uruguay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X</w:t>
            </w:r>
          </w:p>
        </w:tc>
      </w:tr>
      <w:tr w:rsidR="00180E63" w:rsidRPr="008E3B85" w:rsidTr="00022767">
        <w:trPr>
          <w:trHeight w:val="298"/>
          <w:jc w:val="center"/>
        </w:trPr>
        <w:tc>
          <w:tcPr>
            <w:tcW w:w="3277" w:type="dxa"/>
            <w:shd w:val="clear" w:color="000000" w:fill="FFFFFF"/>
            <w:noWrap/>
            <w:vAlign w:val="center"/>
            <w:hideMark/>
          </w:tcPr>
          <w:p w:rsidR="00180E63" w:rsidRPr="008E3B85" w:rsidRDefault="00180E63" w:rsidP="00022767">
            <w:pPr>
              <w:rPr>
                <w:color w:val="000000"/>
                <w:sz w:val="22"/>
                <w:szCs w:val="22"/>
                <w:lang w:val="fr-CA"/>
              </w:rPr>
            </w:pPr>
            <w:r w:rsidRPr="008E3B85">
              <w:rPr>
                <w:color w:val="000000"/>
                <w:sz w:val="22"/>
                <w:szCs w:val="22"/>
                <w:lang w:val="fr-CA"/>
              </w:rPr>
              <w:t>Venezuela</w:t>
            </w:r>
          </w:p>
        </w:tc>
        <w:tc>
          <w:tcPr>
            <w:tcW w:w="2790" w:type="dxa"/>
            <w:shd w:val="clear" w:color="000000" w:fill="FFFFFF"/>
            <w:vAlign w:val="center"/>
          </w:tcPr>
          <w:p w:rsidR="00180E63" w:rsidRPr="008E3B85" w:rsidRDefault="00180E63" w:rsidP="00022767">
            <w:pPr>
              <w:jc w:val="center"/>
              <w:rPr>
                <w:color w:val="000000"/>
                <w:sz w:val="22"/>
                <w:szCs w:val="22"/>
                <w:lang w:val="fr-CA"/>
              </w:rPr>
            </w:pPr>
          </w:p>
        </w:tc>
      </w:tr>
      <w:tr w:rsidR="00180E63" w:rsidRPr="008E3B85" w:rsidTr="00022767">
        <w:trPr>
          <w:trHeight w:val="347"/>
          <w:jc w:val="center"/>
        </w:trPr>
        <w:tc>
          <w:tcPr>
            <w:tcW w:w="3277" w:type="dxa"/>
            <w:shd w:val="clear" w:color="auto" w:fill="D0CECE"/>
            <w:noWrap/>
            <w:vAlign w:val="center"/>
            <w:hideMark/>
          </w:tcPr>
          <w:p w:rsidR="00180E63" w:rsidRPr="008E3B85" w:rsidRDefault="00180E63" w:rsidP="0002276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fr-CA"/>
              </w:rPr>
            </w:pPr>
            <w:r w:rsidRPr="008E3B85">
              <w:rPr>
                <w:rFonts w:eastAsia="Times New Roman"/>
                <w:b/>
                <w:bCs/>
                <w:sz w:val="22"/>
                <w:szCs w:val="22"/>
                <w:lang w:val="fr-CA"/>
              </w:rPr>
              <w:t>TOTAL</w:t>
            </w:r>
          </w:p>
        </w:tc>
        <w:tc>
          <w:tcPr>
            <w:tcW w:w="2790" w:type="dxa"/>
            <w:shd w:val="clear" w:color="auto" w:fill="D0CECE"/>
            <w:vAlign w:val="center"/>
          </w:tcPr>
          <w:p w:rsidR="00180E63" w:rsidRPr="008E3B85" w:rsidRDefault="00180E63" w:rsidP="00022767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fr-CA"/>
              </w:rPr>
            </w:pPr>
            <w:r w:rsidRPr="008E3B85">
              <w:rPr>
                <w:rFonts w:eastAsia="Times New Roman"/>
                <w:b/>
                <w:bCs/>
                <w:sz w:val="22"/>
                <w:szCs w:val="22"/>
                <w:lang w:val="fr-CA"/>
              </w:rPr>
              <w:t>17</w:t>
            </w:r>
          </w:p>
        </w:tc>
      </w:tr>
    </w:tbl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180E63" w:rsidP="00180E63">
      <w:pPr>
        <w:jc w:val="both"/>
        <w:rPr>
          <w:color w:val="000000"/>
          <w:sz w:val="22"/>
          <w:szCs w:val="22"/>
          <w:lang w:val="fr-CA"/>
        </w:rPr>
      </w:pPr>
    </w:p>
    <w:p w:rsidR="00180E63" w:rsidRPr="008E3B85" w:rsidRDefault="00585468" w:rsidP="00585468">
      <w:pPr>
        <w:ind w:firstLine="720"/>
        <w:jc w:val="both"/>
        <w:rPr>
          <w:color w:val="000000"/>
          <w:sz w:val="22"/>
          <w:szCs w:val="22"/>
          <w:lang w:val="fr-CA"/>
        </w:rPr>
      </w:pPr>
      <w:r w:rsidRPr="008E3B85">
        <w:rPr>
          <w:color w:val="000000"/>
          <w:sz w:val="22"/>
          <w:szCs w:val="22"/>
          <w:lang w:val="fr-CA"/>
        </w:rPr>
        <w:t xml:space="preserve">Les règles ci-après du document intitulé Critères de sélection et d’évaluation des activités de partenariat pour le développement du Fonds de coopération pour le développement de l’OEA </w:t>
      </w:r>
      <w:r w:rsidR="00180E63" w:rsidRPr="008E3B85">
        <w:rPr>
          <w:color w:val="000000"/>
          <w:sz w:val="22"/>
          <w:szCs w:val="22"/>
          <w:lang w:val="fr-CA"/>
        </w:rPr>
        <w:t>(FCD/OEA)</w:t>
      </w:r>
      <w:r w:rsidRPr="008E3B85">
        <w:rPr>
          <w:color w:val="000000"/>
          <w:sz w:val="22"/>
          <w:szCs w:val="22"/>
          <w:lang w:val="fr-CA"/>
        </w:rPr>
        <w:t xml:space="preserve"> orientent l’élaboration du programme : </w:t>
      </w:r>
      <w:r w:rsidR="00180E63" w:rsidRPr="008E3B85">
        <w:rPr>
          <w:color w:val="000000"/>
          <w:sz w:val="22"/>
          <w:szCs w:val="22"/>
          <w:lang w:val="fr-CA"/>
        </w:rPr>
        <w:t xml:space="preserve"> </w:t>
      </w:r>
    </w:p>
    <w:p w:rsidR="00180E63" w:rsidRPr="008E3B85" w:rsidRDefault="00180E63" w:rsidP="00180E63">
      <w:pPr>
        <w:jc w:val="both"/>
        <w:rPr>
          <w:sz w:val="22"/>
          <w:szCs w:val="22"/>
          <w:lang w:val="fr-CA"/>
        </w:rPr>
      </w:pPr>
    </w:p>
    <w:p w:rsidR="00180E63" w:rsidRPr="008E3B85" w:rsidRDefault="00180E63" w:rsidP="00180E6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720"/>
        <w:jc w:val="both"/>
        <w:rPr>
          <w:rFonts w:eastAsia="Times New Roman"/>
          <w:snapToGrid w:val="0"/>
          <w:spacing w:val="-2"/>
          <w:sz w:val="22"/>
          <w:szCs w:val="22"/>
          <w:lang w:val="fr-CA"/>
        </w:rPr>
      </w:pPr>
      <w:r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C</w:t>
      </w:r>
      <w:r w:rsidR="00585468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 xml:space="preserve">haque programme doit contenir les critères suivants : </w:t>
      </w:r>
    </w:p>
    <w:p w:rsidR="00180E63" w:rsidRPr="008E3B85" w:rsidRDefault="00180E63" w:rsidP="008E3B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jc w:val="both"/>
        <w:rPr>
          <w:rFonts w:eastAsia="Times New Roman"/>
          <w:snapToGrid w:val="0"/>
          <w:spacing w:val="-2"/>
          <w:sz w:val="22"/>
          <w:szCs w:val="22"/>
          <w:lang w:val="fr-CA"/>
        </w:rPr>
      </w:pPr>
    </w:p>
    <w:p w:rsidR="00180E63" w:rsidRPr="008E3B85" w:rsidRDefault="006722D4" w:rsidP="00180E63">
      <w:pPr>
        <w:widowControl w:val="0"/>
        <w:numPr>
          <w:ilvl w:val="0"/>
          <w:numId w:val="22"/>
        </w:numPr>
        <w:tabs>
          <w:tab w:val="clear" w:pos="1080"/>
          <w:tab w:val="left" w:pos="-1440"/>
          <w:tab w:val="left" w:pos="-720"/>
          <w:tab w:val="left" w:pos="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26"/>
          <w:tab w:val="left" w:pos="7980"/>
          <w:tab w:val="left" w:pos="8664"/>
          <w:tab w:val="left" w:pos="9360"/>
        </w:tabs>
        <w:suppressAutoHyphens/>
        <w:ind w:left="1440" w:hanging="720"/>
        <w:jc w:val="both"/>
        <w:rPr>
          <w:rFonts w:eastAsia="Times New Roman"/>
          <w:snapToGrid w:val="0"/>
          <w:spacing w:val="-2"/>
          <w:sz w:val="22"/>
          <w:szCs w:val="22"/>
          <w:lang w:val="fr-CA"/>
        </w:rPr>
      </w:pPr>
      <w:r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Avoir u</w:t>
      </w:r>
      <w:r w:rsidR="00180E63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n obje</w:t>
      </w:r>
      <w:r w:rsidR="00585468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c</w:t>
      </w:r>
      <w:r w:rsidR="00180E63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ti</w:t>
      </w:r>
      <w:r w:rsidR="00585468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 xml:space="preserve">f clairement défini </w:t>
      </w:r>
      <w:r w:rsidR="001E13B0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 xml:space="preserve">basé </w:t>
      </w:r>
      <w:r w:rsidR="00585468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sur le domaine thématique</w:t>
      </w:r>
      <w:r w:rsidR="00180E63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 xml:space="preserve">. </w:t>
      </w:r>
    </w:p>
    <w:p w:rsidR="00180E63" w:rsidRPr="008E3B85" w:rsidRDefault="00585468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sz w:val="22"/>
          <w:szCs w:val="22"/>
          <w:lang w:val="fr-CA"/>
        </w:rPr>
      </w:pPr>
      <w:r w:rsidRPr="008E3B85">
        <w:rPr>
          <w:rFonts w:eastAsia="Times New Roman"/>
          <w:sz w:val="22"/>
          <w:szCs w:val="22"/>
          <w:lang w:val="fr-CA"/>
        </w:rPr>
        <w:t>Contribuer à la solution d’un problème national ou régional qu’affrontent les gouvernements et/ou les communautés</w:t>
      </w:r>
      <w:r w:rsidR="00180E63" w:rsidRPr="008E3B85">
        <w:rPr>
          <w:rFonts w:eastAsia="Times New Roman"/>
          <w:sz w:val="22"/>
          <w:szCs w:val="22"/>
          <w:lang w:val="fr-CA"/>
        </w:rPr>
        <w:t xml:space="preserve">. </w:t>
      </w:r>
    </w:p>
    <w:p w:rsidR="00180E63" w:rsidRPr="008E3B85" w:rsidRDefault="00180E63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>Facilit</w:t>
      </w:r>
      <w:r w:rsidR="00585468" w:rsidRPr="008E3B85">
        <w:rPr>
          <w:rFonts w:eastAsia="Times New Roman"/>
          <w:bCs/>
          <w:sz w:val="22"/>
          <w:szCs w:val="22"/>
          <w:lang w:val="fr-CA"/>
        </w:rPr>
        <w:t xml:space="preserve">er ou promouvoir le transfert ou l’échange de données d’expériences, de connaissances, de bonnes pratiques, de techniques et de technologie </w:t>
      </w:r>
      <w:r w:rsidR="006722D4" w:rsidRPr="008E3B85">
        <w:rPr>
          <w:rFonts w:eastAsia="Times New Roman"/>
          <w:bCs/>
          <w:sz w:val="22"/>
          <w:szCs w:val="22"/>
          <w:lang w:val="fr-CA"/>
        </w:rPr>
        <w:t xml:space="preserve">à caractère international </w:t>
      </w:r>
      <w:r w:rsidR="00585468" w:rsidRPr="008E3B85">
        <w:rPr>
          <w:rFonts w:eastAsia="Times New Roman"/>
          <w:bCs/>
          <w:sz w:val="22"/>
          <w:szCs w:val="22"/>
          <w:lang w:val="fr-CA"/>
        </w:rPr>
        <w:t xml:space="preserve">dans la mesure du possible ou qui </w:t>
      </w:r>
      <w:r w:rsidR="00C86A53" w:rsidRPr="008E3B85">
        <w:rPr>
          <w:rFonts w:eastAsia="Times New Roman"/>
          <w:bCs/>
          <w:sz w:val="22"/>
          <w:szCs w:val="22"/>
          <w:lang w:val="fr-CA"/>
        </w:rPr>
        <w:t xml:space="preserve">renforcent celles existant déjà au niveau national et/ou régional. </w:t>
      </w:r>
      <w:r w:rsidRPr="008E3B85">
        <w:rPr>
          <w:rFonts w:eastAsia="Times New Roman"/>
          <w:sz w:val="22"/>
          <w:szCs w:val="22"/>
          <w:lang w:val="fr-CA"/>
        </w:rPr>
        <w:t>Promo</w:t>
      </w:r>
      <w:r w:rsidR="00C86A53" w:rsidRPr="008E3B85">
        <w:rPr>
          <w:rFonts w:eastAsia="Times New Roman"/>
          <w:sz w:val="22"/>
          <w:szCs w:val="22"/>
          <w:lang w:val="fr-CA"/>
        </w:rPr>
        <w:t xml:space="preserve">uvoir les modalités de coopération triangulaire, Sud-Sud et horizontale, entre autres, dans la mesure du possible. </w:t>
      </w:r>
      <w:r w:rsidRPr="008E3B85">
        <w:rPr>
          <w:rFonts w:eastAsia="Times New Roman"/>
          <w:sz w:val="22"/>
          <w:szCs w:val="22"/>
          <w:lang w:val="fr-CA"/>
        </w:rPr>
        <w:t xml:space="preserve"> </w:t>
      </w:r>
    </w:p>
    <w:p w:rsidR="00180E63" w:rsidRPr="008E3B85" w:rsidRDefault="00180E63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sz w:val="22"/>
          <w:szCs w:val="22"/>
          <w:lang w:val="fr-CA"/>
        </w:rPr>
      </w:pPr>
      <w:r w:rsidRPr="008E3B85">
        <w:rPr>
          <w:rFonts w:eastAsia="Times New Roman"/>
          <w:sz w:val="22"/>
          <w:szCs w:val="22"/>
          <w:lang w:val="fr-CA"/>
        </w:rPr>
        <w:t>A</w:t>
      </w:r>
      <w:r w:rsidR="00C86A53" w:rsidRPr="008E3B85">
        <w:rPr>
          <w:rFonts w:eastAsia="Times New Roman"/>
          <w:sz w:val="22"/>
          <w:szCs w:val="22"/>
          <w:lang w:val="fr-CA"/>
        </w:rPr>
        <w:t xml:space="preserve">ccroître les possibilités de coordonner et </w:t>
      </w:r>
      <w:r w:rsidR="006722D4" w:rsidRPr="008E3B85">
        <w:rPr>
          <w:rFonts w:eastAsia="Times New Roman"/>
          <w:sz w:val="22"/>
          <w:szCs w:val="22"/>
          <w:lang w:val="fr-CA"/>
        </w:rPr>
        <w:t xml:space="preserve">de </w:t>
      </w:r>
      <w:r w:rsidR="00C86A53" w:rsidRPr="008E3B85">
        <w:rPr>
          <w:rFonts w:eastAsia="Times New Roman"/>
          <w:sz w:val="22"/>
          <w:szCs w:val="22"/>
          <w:lang w:val="fr-CA"/>
        </w:rPr>
        <w:t xml:space="preserve">mobiliser le cofinancement national et provenant de multiples sources, y compris les donateurs et le secteur privé. </w:t>
      </w:r>
      <w:r w:rsidRPr="008E3B85">
        <w:rPr>
          <w:rFonts w:eastAsia="Times New Roman"/>
          <w:sz w:val="22"/>
          <w:szCs w:val="22"/>
          <w:lang w:val="fr-CA"/>
        </w:rPr>
        <w:t xml:space="preserve"> </w:t>
      </w:r>
    </w:p>
    <w:p w:rsidR="00180E63" w:rsidRPr="008E3B85" w:rsidRDefault="00180E63" w:rsidP="00180E63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>Contribu</w:t>
      </w:r>
      <w:r w:rsidR="00C86A53" w:rsidRPr="008E3B85">
        <w:rPr>
          <w:rFonts w:eastAsia="Times New Roman"/>
          <w:bCs/>
          <w:sz w:val="22"/>
          <w:szCs w:val="22"/>
          <w:lang w:val="fr-CA"/>
        </w:rPr>
        <w:t xml:space="preserve">er à la mise à profit et au développement des capacités locales et accroître ainsi le capital humain. </w:t>
      </w:r>
    </w:p>
    <w:p w:rsidR="00180E63" w:rsidRPr="008E3B85" w:rsidRDefault="00C86A53" w:rsidP="00180E63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 xml:space="preserve">Centrer les programmes sur le renforcement des institutions et la formation des ressources humaines et que les dépenses de fonctionnement proviennent plutôt des fonds de contrepartie. </w:t>
      </w:r>
    </w:p>
    <w:p w:rsidR="00180E63" w:rsidRPr="008E3B85" w:rsidRDefault="00C86A53" w:rsidP="00180E63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 xml:space="preserve">Éviter les doubles emplois lors de l’affection des ressources </w:t>
      </w:r>
      <w:r w:rsidR="006722D4" w:rsidRPr="008E3B85">
        <w:rPr>
          <w:rFonts w:eastAsia="Times New Roman"/>
          <w:bCs/>
          <w:sz w:val="22"/>
          <w:szCs w:val="22"/>
          <w:lang w:val="fr-CA"/>
        </w:rPr>
        <w:t xml:space="preserve">ainsi que </w:t>
      </w:r>
      <w:r w:rsidRPr="008E3B85">
        <w:rPr>
          <w:rFonts w:eastAsia="Times New Roman"/>
          <w:bCs/>
          <w:sz w:val="22"/>
          <w:szCs w:val="22"/>
          <w:lang w:val="fr-CA"/>
        </w:rPr>
        <w:t xml:space="preserve">les activités similaires à celles déjà réalisés ou </w:t>
      </w:r>
      <w:r w:rsidR="006722D4" w:rsidRPr="008E3B85">
        <w:rPr>
          <w:rFonts w:eastAsia="Times New Roman"/>
          <w:bCs/>
          <w:sz w:val="22"/>
          <w:szCs w:val="22"/>
          <w:lang w:val="fr-CA"/>
        </w:rPr>
        <w:t xml:space="preserve">en cours d’exécution </w:t>
      </w:r>
      <w:r w:rsidRPr="008E3B85">
        <w:rPr>
          <w:rFonts w:eastAsia="Times New Roman"/>
          <w:bCs/>
          <w:sz w:val="22"/>
          <w:szCs w:val="22"/>
          <w:lang w:val="fr-CA"/>
        </w:rPr>
        <w:t>dans les pays concernés</w:t>
      </w:r>
      <w:r w:rsidR="00180E63" w:rsidRPr="008E3B85">
        <w:rPr>
          <w:rFonts w:eastAsia="Times New Roman"/>
          <w:bCs/>
          <w:sz w:val="22"/>
          <w:szCs w:val="22"/>
          <w:lang w:val="fr-CA"/>
        </w:rPr>
        <w:t>.</w:t>
      </w:r>
    </w:p>
    <w:p w:rsidR="00C42F23" w:rsidRPr="008E3B85" w:rsidRDefault="00C86A53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 xml:space="preserve">Assurer la </w:t>
      </w:r>
      <w:r w:rsidR="00C42F23" w:rsidRPr="008E3B85">
        <w:rPr>
          <w:rFonts w:eastAsia="Times New Roman"/>
          <w:bCs/>
          <w:sz w:val="22"/>
          <w:szCs w:val="22"/>
          <w:lang w:val="fr-CA"/>
        </w:rPr>
        <w:t xml:space="preserve">durabilité des résultats des programmes, de sorte que l’organe d’exécution ait la capacité de reproduire et </w:t>
      </w:r>
      <w:r w:rsidR="006722D4" w:rsidRPr="008E3B85">
        <w:rPr>
          <w:rFonts w:eastAsia="Times New Roman"/>
          <w:bCs/>
          <w:sz w:val="22"/>
          <w:szCs w:val="22"/>
          <w:lang w:val="fr-CA"/>
        </w:rPr>
        <w:t xml:space="preserve">de </w:t>
      </w:r>
      <w:r w:rsidR="00C42F23" w:rsidRPr="008E3B85">
        <w:rPr>
          <w:rFonts w:eastAsia="Times New Roman"/>
          <w:bCs/>
          <w:sz w:val="22"/>
          <w:szCs w:val="22"/>
          <w:lang w:val="fr-CA"/>
        </w:rPr>
        <w:t>poursuivre par lui-même les réalisations accomplies</w:t>
      </w:r>
      <w:r w:rsidR="001E13B0" w:rsidRPr="008E3B85">
        <w:rPr>
          <w:rFonts w:eastAsia="Times New Roman"/>
          <w:bCs/>
          <w:sz w:val="22"/>
          <w:szCs w:val="22"/>
          <w:lang w:val="fr-CA"/>
        </w:rPr>
        <w:t>,</w:t>
      </w:r>
      <w:r w:rsidR="00C42F23" w:rsidRPr="008E3B85">
        <w:rPr>
          <w:rFonts w:eastAsia="Times New Roman"/>
          <w:bCs/>
          <w:sz w:val="22"/>
          <w:szCs w:val="22"/>
          <w:lang w:val="fr-CA"/>
        </w:rPr>
        <w:t xml:space="preserve"> une fois que le financement du programme aura pris fin. </w:t>
      </w:r>
    </w:p>
    <w:p w:rsidR="00180E63" w:rsidRPr="008E3B85" w:rsidRDefault="00180E63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sz w:val="22"/>
          <w:szCs w:val="22"/>
          <w:lang w:val="fr-CA"/>
        </w:rPr>
      </w:pPr>
      <w:r w:rsidRPr="008E3B85">
        <w:rPr>
          <w:rFonts w:eastAsia="Times New Roman"/>
          <w:sz w:val="22"/>
          <w:szCs w:val="22"/>
          <w:lang w:val="fr-CA"/>
        </w:rPr>
        <w:t>Combin</w:t>
      </w:r>
      <w:r w:rsidR="00C42F23" w:rsidRPr="008E3B85">
        <w:rPr>
          <w:rFonts w:eastAsia="Times New Roman"/>
          <w:sz w:val="22"/>
          <w:szCs w:val="22"/>
          <w:lang w:val="fr-CA"/>
        </w:rPr>
        <w:t>er les ressources et les expériences des partenaires concernés au sein des secteurs public et privé – entreprises, fondations, organisations non gouvernementales (ONG), universités, commerces locaux</w:t>
      </w:r>
      <w:r w:rsidR="006722D4" w:rsidRPr="008E3B85">
        <w:rPr>
          <w:rFonts w:eastAsia="Times New Roman"/>
          <w:sz w:val="22"/>
          <w:szCs w:val="22"/>
          <w:lang w:val="fr-CA"/>
        </w:rPr>
        <w:t xml:space="preserve">, </w:t>
      </w:r>
      <w:r w:rsidR="00C42F23" w:rsidRPr="008E3B85">
        <w:rPr>
          <w:rFonts w:eastAsia="Times New Roman"/>
          <w:sz w:val="22"/>
          <w:szCs w:val="22"/>
          <w:lang w:val="fr-CA"/>
        </w:rPr>
        <w:t xml:space="preserve">groupes de la diaspora, membres observateurs </w:t>
      </w:r>
      <w:r w:rsidRPr="008E3B85">
        <w:rPr>
          <w:rFonts w:eastAsia="Times New Roman"/>
          <w:sz w:val="22"/>
          <w:szCs w:val="22"/>
          <w:lang w:val="fr-CA"/>
        </w:rPr>
        <w:t xml:space="preserve">– </w:t>
      </w:r>
      <w:r w:rsidR="00C42F23" w:rsidRPr="008E3B85">
        <w:rPr>
          <w:rFonts w:eastAsia="Times New Roman"/>
          <w:sz w:val="22"/>
          <w:szCs w:val="22"/>
          <w:lang w:val="fr-CA"/>
        </w:rPr>
        <w:t xml:space="preserve">en mettant à profit au maximum leur capital et leurs investissements. </w:t>
      </w:r>
    </w:p>
    <w:p w:rsidR="00180E63" w:rsidRPr="008E3B85" w:rsidRDefault="00236B30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>Prendre en compte</w:t>
      </w:r>
      <w:r w:rsidR="006722D4" w:rsidRPr="008E3B85">
        <w:rPr>
          <w:rFonts w:eastAsia="Times New Roman"/>
          <w:bCs/>
          <w:sz w:val="22"/>
          <w:szCs w:val="22"/>
          <w:lang w:val="fr-CA"/>
        </w:rPr>
        <w:t xml:space="preserve">, dans chaque cycle de programmation du </w:t>
      </w:r>
      <w:r w:rsidR="006722D4" w:rsidRPr="008E3B85">
        <w:rPr>
          <w:rFonts w:eastAsia="Times New Roman"/>
          <w:snapToGrid w:val="0"/>
          <w:spacing w:val="-2"/>
          <w:sz w:val="22"/>
          <w:szCs w:val="22"/>
          <w:lang w:val="fr-CA"/>
        </w:rPr>
        <w:t>FCD/OEA,</w:t>
      </w:r>
      <w:r w:rsidRPr="008E3B85">
        <w:rPr>
          <w:rFonts w:eastAsia="Times New Roman"/>
          <w:bCs/>
          <w:sz w:val="22"/>
          <w:szCs w:val="22"/>
          <w:lang w:val="fr-CA"/>
        </w:rPr>
        <w:t xml:space="preserve"> les secteurs de l’éducation et de la science et la technologie dans la structuration des programmes </w:t>
      </w:r>
      <w:r w:rsidRPr="008E3B85">
        <w:rPr>
          <w:rFonts w:eastAsia="Times New Roman"/>
          <w:bCs/>
          <w:sz w:val="22"/>
          <w:szCs w:val="22"/>
          <w:lang w:val="fr-CA"/>
        </w:rPr>
        <w:lastRenderedPageBreak/>
        <w:t xml:space="preserve">en </w:t>
      </w:r>
      <w:r w:rsidR="001E13B0" w:rsidRPr="008E3B85">
        <w:rPr>
          <w:rFonts w:eastAsia="Times New Roman"/>
          <w:bCs/>
          <w:sz w:val="22"/>
          <w:szCs w:val="22"/>
          <w:lang w:val="fr-CA"/>
        </w:rPr>
        <w:t>tant qu’</w:t>
      </w:r>
      <w:r w:rsidRPr="008E3B85">
        <w:rPr>
          <w:rFonts w:eastAsia="Times New Roman"/>
          <w:bCs/>
          <w:sz w:val="22"/>
          <w:szCs w:val="22"/>
          <w:lang w:val="fr-CA"/>
        </w:rPr>
        <w:t>éléments transversaux</w:t>
      </w:r>
      <w:r w:rsidR="00180E63" w:rsidRPr="008E3B85">
        <w:rPr>
          <w:rFonts w:eastAsia="Times New Roman"/>
          <w:bCs/>
          <w:sz w:val="22"/>
          <w:szCs w:val="22"/>
          <w:lang w:val="fr-CA"/>
        </w:rPr>
        <w:t xml:space="preserve">. </w:t>
      </w:r>
    </w:p>
    <w:p w:rsidR="00180E63" w:rsidRPr="008E3B85" w:rsidRDefault="00180E63" w:rsidP="00180E63">
      <w:pPr>
        <w:widowControl w:val="0"/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bCs/>
          <w:sz w:val="22"/>
          <w:szCs w:val="22"/>
          <w:lang w:val="fr-CA"/>
        </w:rPr>
      </w:pPr>
      <w:r w:rsidRPr="008E3B85">
        <w:rPr>
          <w:rFonts w:eastAsia="Times New Roman"/>
          <w:bCs/>
          <w:sz w:val="22"/>
          <w:szCs w:val="22"/>
          <w:lang w:val="fr-CA"/>
        </w:rPr>
        <w:t>Inclu</w:t>
      </w:r>
      <w:r w:rsidR="00236B30" w:rsidRPr="008E3B85">
        <w:rPr>
          <w:rFonts w:eastAsia="Times New Roman"/>
          <w:bCs/>
          <w:sz w:val="22"/>
          <w:szCs w:val="22"/>
          <w:lang w:val="fr-CA"/>
        </w:rPr>
        <w:t xml:space="preserve">re une première ébauche de plan de suivi et d’évaluation. La version finale devra être présentée dans les 90 jours qui suivront la signature de l’accord. </w:t>
      </w:r>
      <w:r w:rsidRPr="008E3B85">
        <w:rPr>
          <w:rFonts w:eastAsia="Times New Roman"/>
          <w:bCs/>
          <w:sz w:val="22"/>
          <w:szCs w:val="22"/>
          <w:lang w:val="fr-CA"/>
        </w:rPr>
        <w:t xml:space="preserve"> </w:t>
      </w:r>
    </w:p>
    <w:p w:rsidR="00180E63" w:rsidRPr="008E3B85" w:rsidRDefault="00236B30" w:rsidP="00180E63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jc w:val="both"/>
        <w:rPr>
          <w:rFonts w:eastAsia="Times New Roman"/>
          <w:sz w:val="22"/>
          <w:szCs w:val="22"/>
          <w:lang w:val="fr-CA"/>
        </w:rPr>
      </w:pPr>
      <w:r w:rsidRPr="008E3B85">
        <w:rPr>
          <w:rFonts w:eastAsia="Times New Roman"/>
          <w:sz w:val="22"/>
          <w:szCs w:val="22"/>
          <w:lang w:val="fr-CA"/>
        </w:rPr>
        <w:t>Faire preuve d’innovation dans son approche et d</w:t>
      </w:r>
      <w:r w:rsidR="001E13B0" w:rsidRPr="008E3B85">
        <w:rPr>
          <w:rFonts w:eastAsia="Times New Roman"/>
          <w:sz w:val="22"/>
          <w:szCs w:val="22"/>
          <w:lang w:val="fr-CA"/>
        </w:rPr>
        <w:t xml:space="preserve">e </w:t>
      </w:r>
      <w:r w:rsidRPr="008E3B85">
        <w:rPr>
          <w:rFonts w:eastAsia="Times New Roman"/>
          <w:sz w:val="22"/>
          <w:szCs w:val="22"/>
          <w:lang w:val="fr-CA"/>
        </w:rPr>
        <w:t>durabilité d</w:t>
      </w:r>
      <w:r w:rsidR="001E13B0" w:rsidRPr="008E3B85">
        <w:rPr>
          <w:rFonts w:eastAsia="Times New Roman"/>
          <w:sz w:val="22"/>
          <w:szCs w:val="22"/>
          <w:lang w:val="fr-CA"/>
        </w:rPr>
        <w:t>ans</w:t>
      </w:r>
      <w:r w:rsidR="008E3B85">
        <w:rPr>
          <w:rFonts w:eastAsia="Times New Roman"/>
          <w:sz w:val="22"/>
          <w:szCs w:val="22"/>
          <w:lang w:val="fr-CA"/>
        </w:rPr>
        <w:t xml:space="preserve"> ses résultats ou ses effets.</w:t>
      </w:r>
    </w:p>
    <w:p w:rsidR="00AD115B" w:rsidRPr="008E3B85" w:rsidRDefault="009856E3" w:rsidP="008E3B85">
      <w:pPr>
        <w:jc w:val="both"/>
        <w:rPr>
          <w:color w:val="000000"/>
          <w:sz w:val="22"/>
          <w:szCs w:val="22"/>
          <w:lang w:val="fr-CA"/>
        </w:rPr>
      </w:pPr>
      <w:r>
        <w:rPr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856E3" w:rsidRPr="009856E3" w:rsidRDefault="009856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CIDRP03051F01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9856E3" w:rsidRPr="009856E3" w:rsidRDefault="009856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CIDRP03051F01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D115B" w:rsidRPr="008E3B85" w:rsidSect="008E3B85">
      <w:headerReference w:type="even" r:id="rId13"/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8E" w:rsidRDefault="00B3238E" w:rsidP="00C30F2F">
      <w:r>
        <w:separator/>
      </w:r>
    </w:p>
  </w:endnote>
  <w:endnote w:type="continuationSeparator" w:id="0">
    <w:p w:rsidR="00B3238E" w:rsidRDefault="00B3238E" w:rsidP="00C30F2F">
      <w:r>
        <w:continuationSeparator/>
      </w:r>
    </w:p>
  </w:endnote>
  <w:endnote w:type="continuationNotice" w:id="1">
    <w:p w:rsidR="00B3238E" w:rsidRDefault="00B323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8E" w:rsidRDefault="00B3238E" w:rsidP="00C30F2F">
      <w:r>
        <w:separator/>
      </w:r>
    </w:p>
  </w:footnote>
  <w:footnote w:type="continuationSeparator" w:id="0">
    <w:p w:rsidR="00B3238E" w:rsidRDefault="00B3238E" w:rsidP="00C30F2F">
      <w:r>
        <w:continuationSeparator/>
      </w:r>
    </w:p>
  </w:footnote>
  <w:footnote w:type="continuationNotice" w:id="1">
    <w:p w:rsidR="00B3238E" w:rsidRDefault="00B323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D" w:rsidRPr="006568F0" w:rsidRDefault="00AA61BC">
    <w:pPr>
      <w:pStyle w:val="Header"/>
      <w:jc w:val="center"/>
      <w:rPr>
        <w:sz w:val="22"/>
        <w:szCs w:val="22"/>
      </w:rPr>
    </w:pPr>
    <w:r w:rsidRPr="006568F0">
      <w:rPr>
        <w:sz w:val="22"/>
        <w:szCs w:val="22"/>
      </w:rPr>
      <w:fldChar w:fldCharType="begin"/>
    </w:r>
    <w:r w:rsidR="000D206D" w:rsidRPr="006568F0">
      <w:rPr>
        <w:sz w:val="22"/>
        <w:szCs w:val="22"/>
      </w:rPr>
      <w:instrText xml:space="preserve"> PAGE   \* MERGEFORMAT </w:instrText>
    </w:r>
    <w:r w:rsidRPr="006568F0">
      <w:rPr>
        <w:sz w:val="22"/>
        <w:szCs w:val="22"/>
      </w:rPr>
      <w:fldChar w:fldCharType="separate"/>
    </w:r>
    <w:r w:rsidR="008E3B85">
      <w:rPr>
        <w:noProof/>
        <w:sz w:val="22"/>
        <w:szCs w:val="22"/>
      </w:rPr>
      <w:t>- 4 -</w:t>
    </w:r>
    <w:r w:rsidRPr="006568F0">
      <w:rPr>
        <w:noProof/>
        <w:sz w:val="22"/>
        <w:szCs w:val="22"/>
      </w:rPr>
      <w:fldChar w:fldCharType="end"/>
    </w:r>
  </w:p>
  <w:p w:rsidR="000D206D" w:rsidRDefault="000D2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8E" w:rsidRDefault="000A3E0A" w:rsidP="00FA1B8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-372745</wp:posOffset>
              </wp:positionV>
              <wp:extent cx="4663440" cy="73152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B8E" w:rsidRPr="008E3B85" w:rsidRDefault="00FA1B8E" w:rsidP="00FA1B8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8"/>
                              <w:lang w:val="fr-FR"/>
                            </w:rPr>
                          </w:pP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ORGANI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S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A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TION DES ÉTATS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 xml:space="preserve"> AM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É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RICA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I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8"/>
                              <w:szCs w:val="20"/>
                              <w:lang w:val="fr-FR"/>
                            </w:rPr>
                            <w:t>NS</w:t>
                          </w:r>
                        </w:p>
                        <w:p w:rsidR="00FA1B8E" w:rsidRPr="008E3B85" w:rsidRDefault="00FA1B8E" w:rsidP="00FA1B8E">
                          <w:pPr>
                            <w:tabs>
                              <w:tab w:val="left" w:pos="900"/>
                              <w:tab w:val="center" w:pos="4320"/>
                              <w:tab w:val="right" w:pos="8640"/>
                            </w:tabs>
                            <w:spacing w:line="240" w:lineRule="atLeast"/>
                            <w:jc w:val="center"/>
                            <w:rPr>
                              <w:rFonts w:ascii="Garamond" w:eastAsia="Times New Roman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Conse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il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 xml:space="preserve"> Interam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ér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ica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i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n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 xml:space="preserve"> pour le</w:t>
                          </w:r>
                          <w:r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8E3B85" w:rsidRPr="008E3B85">
                            <w:rPr>
                              <w:rFonts w:ascii="Garamond" w:eastAsia="Times New Roman" w:hAnsi="Garamond"/>
                              <w:b/>
                              <w:sz w:val="22"/>
                              <w:szCs w:val="20"/>
                              <w:lang w:val="fr-FR"/>
                            </w:rPr>
                            <w:t>développement intégral</w:t>
                          </w:r>
                        </w:p>
                        <w:p w:rsidR="00FA1B8E" w:rsidRDefault="00FA1B8E" w:rsidP="00FA1B8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25pt;margin-top:-29.35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Zd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" stroked="f">
              <v:textbox>
                <w:txbxContent>
                  <w:p w:rsidR="00FA1B8E" w:rsidRPr="008E3B85" w:rsidRDefault="00FA1B8E" w:rsidP="00FA1B8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8"/>
                        <w:lang w:val="fr-FR"/>
                      </w:rPr>
                    </w:pPr>
                    <w:r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ORGANI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S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A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TION DES ÉTATS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 xml:space="preserve"> AM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É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RICA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I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8"/>
                        <w:szCs w:val="20"/>
                        <w:lang w:val="fr-FR"/>
                      </w:rPr>
                      <w:t>NS</w:t>
                    </w:r>
                  </w:p>
                  <w:p w:rsidR="00FA1B8E" w:rsidRPr="008E3B85" w:rsidRDefault="00FA1B8E" w:rsidP="00FA1B8E">
                    <w:pPr>
                      <w:tabs>
                        <w:tab w:val="left" w:pos="900"/>
                        <w:tab w:val="center" w:pos="4320"/>
                        <w:tab w:val="right" w:pos="8640"/>
                      </w:tabs>
                      <w:spacing w:line="240" w:lineRule="atLeast"/>
                      <w:jc w:val="center"/>
                      <w:rPr>
                        <w:rFonts w:ascii="Garamond" w:eastAsia="Times New Roman" w:hAnsi="Garamond"/>
                        <w:b/>
                        <w:sz w:val="22"/>
                        <w:szCs w:val="22"/>
                        <w:lang w:val="fr-FR"/>
                      </w:rPr>
                    </w:pPr>
                    <w:r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Conse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il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 xml:space="preserve"> Interam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ér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ica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i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n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 xml:space="preserve"> pour le</w:t>
                    </w:r>
                    <w:r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 xml:space="preserve"> </w:t>
                    </w:r>
                    <w:r w:rsidR="008E3B85" w:rsidRPr="008E3B85">
                      <w:rPr>
                        <w:rFonts w:ascii="Garamond" w:eastAsia="Times New Roman" w:hAnsi="Garamond"/>
                        <w:b/>
                        <w:sz w:val="22"/>
                        <w:szCs w:val="20"/>
                        <w:lang w:val="fr-FR"/>
                      </w:rPr>
                      <w:t>développement intégral</w:t>
                    </w:r>
                  </w:p>
                  <w:p w:rsidR="00FA1B8E" w:rsidRDefault="00FA1B8E" w:rsidP="00FA1B8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FA1B8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-570230</wp:posOffset>
          </wp:positionH>
          <wp:positionV relativeFrom="paragraph">
            <wp:posOffset>-485775</wp:posOffset>
          </wp:positionV>
          <wp:extent cx="822960" cy="8248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-502920</wp:posOffset>
              </wp:positionV>
              <wp:extent cx="1287780" cy="86233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B8E" w:rsidRDefault="00FA1B8E" w:rsidP="00FA1B8E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104900" cy="76200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8" type="#_x0000_t202" style="position:absolute;margin-left:387pt;margin-top:-39.6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tN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" stroked="f">
              <v:textbox>
                <w:txbxContent>
                  <w:p w:rsidR="00FA1B8E" w:rsidRDefault="00FA1B8E" w:rsidP="00FA1B8E">
                    <w:r>
                      <w:rPr>
                        <w:rFonts w:ascii="News Gothic MT" w:hAnsi="News Gothic MT"/>
                        <w:noProof/>
                        <w:color w:val="000000"/>
                        <w:lang w:val="en-US" w:eastAsia="en-US"/>
                      </w:rPr>
                      <w:drawing>
                        <wp:inline distT="0" distB="0" distL="0" distR="0">
                          <wp:extent cx="1104900" cy="762000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206D" w:rsidRDefault="000D2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85" w:rsidRPr="008E3B85" w:rsidRDefault="008E3B85" w:rsidP="008E3B85">
    <w:pPr>
      <w:pStyle w:val="Header"/>
      <w:jc w:val="center"/>
      <w:rPr>
        <w:sz w:val="22"/>
        <w:szCs w:val="22"/>
      </w:rPr>
    </w:pPr>
    <w:r w:rsidRPr="006568F0">
      <w:rPr>
        <w:sz w:val="22"/>
        <w:szCs w:val="22"/>
      </w:rPr>
      <w:fldChar w:fldCharType="begin"/>
    </w:r>
    <w:r w:rsidRPr="006568F0">
      <w:rPr>
        <w:sz w:val="22"/>
        <w:szCs w:val="22"/>
      </w:rPr>
      <w:instrText xml:space="preserve"> PAGE   \* MERGEFORMAT </w:instrText>
    </w:r>
    <w:r w:rsidRPr="006568F0">
      <w:rPr>
        <w:sz w:val="22"/>
        <w:szCs w:val="22"/>
      </w:rPr>
      <w:fldChar w:fldCharType="separate"/>
    </w:r>
    <w:r w:rsidR="00B53798">
      <w:rPr>
        <w:noProof/>
        <w:sz w:val="22"/>
        <w:szCs w:val="22"/>
      </w:rPr>
      <w:t>- 6 -</w:t>
    </w:r>
    <w:r w:rsidRPr="006568F0">
      <w:rPr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85" w:rsidRDefault="008E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6E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C44A1"/>
    <w:multiLevelType w:val="hybridMultilevel"/>
    <w:tmpl w:val="35347470"/>
    <w:lvl w:ilvl="0" w:tplc="D21CF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5AF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67E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0B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6C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E2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F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07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53A"/>
    <w:multiLevelType w:val="hybridMultilevel"/>
    <w:tmpl w:val="360CCDEA"/>
    <w:lvl w:ilvl="0" w:tplc="464E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01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A3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EA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B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2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6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0C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06C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D3AC4"/>
    <w:multiLevelType w:val="hybridMultilevel"/>
    <w:tmpl w:val="41443904"/>
    <w:lvl w:ilvl="0" w:tplc="BCAA4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4BA8"/>
    <w:multiLevelType w:val="hybridMultilevel"/>
    <w:tmpl w:val="8E32ADC6"/>
    <w:lvl w:ilvl="0" w:tplc="F954AF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6E7F"/>
    <w:multiLevelType w:val="hybridMultilevel"/>
    <w:tmpl w:val="0ADE39D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F2F70"/>
    <w:multiLevelType w:val="hybridMultilevel"/>
    <w:tmpl w:val="E52EAE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862898"/>
    <w:multiLevelType w:val="hybridMultilevel"/>
    <w:tmpl w:val="F0601990"/>
    <w:lvl w:ilvl="0" w:tplc="E08C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C1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6D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D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4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C12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62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9E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8F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3EEB"/>
    <w:multiLevelType w:val="hybridMultilevel"/>
    <w:tmpl w:val="D1E6F9E6"/>
    <w:lvl w:ilvl="0" w:tplc="81868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anish w:val="0"/>
      </w:rPr>
    </w:lvl>
    <w:lvl w:ilvl="1" w:tplc="472AAAD6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B607E6"/>
    <w:multiLevelType w:val="hybridMultilevel"/>
    <w:tmpl w:val="865C0FB2"/>
    <w:lvl w:ilvl="0" w:tplc="03680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40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441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4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4E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CA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06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68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2CE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4A37"/>
    <w:multiLevelType w:val="hybridMultilevel"/>
    <w:tmpl w:val="9E0EE8BA"/>
    <w:lvl w:ilvl="0" w:tplc="547688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0265E"/>
    <w:multiLevelType w:val="hybridMultilevel"/>
    <w:tmpl w:val="61BA7F2C"/>
    <w:lvl w:ilvl="0" w:tplc="7FAA3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87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3E5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EA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24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E4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C5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22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4A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A33B0"/>
    <w:multiLevelType w:val="hybridMultilevel"/>
    <w:tmpl w:val="2BCED062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51ED"/>
    <w:multiLevelType w:val="hybridMultilevel"/>
    <w:tmpl w:val="F238FB74"/>
    <w:lvl w:ilvl="0" w:tplc="BBD8CF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91A62"/>
    <w:multiLevelType w:val="hybridMultilevel"/>
    <w:tmpl w:val="C3705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011E1"/>
    <w:multiLevelType w:val="hybridMultilevel"/>
    <w:tmpl w:val="360CCDEA"/>
    <w:lvl w:ilvl="0" w:tplc="E034B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A6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85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B45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AD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24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4E7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42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26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D76502"/>
    <w:multiLevelType w:val="hybridMultilevel"/>
    <w:tmpl w:val="B2BC6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D1115"/>
    <w:multiLevelType w:val="hybridMultilevel"/>
    <w:tmpl w:val="F210FE2E"/>
    <w:lvl w:ilvl="0" w:tplc="575A71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C7D"/>
    <w:multiLevelType w:val="hybridMultilevel"/>
    <w:tmpl w:val="4894D9A0"/>
    <w:lvl w:ilvl="0" w:tplc="651A00C0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 w:hint="default"/>
        <w:b w:val="0"/>
        <w:i w:val="0"/>
        <w:color w:val="auto"/>
      </w:rPr>
    </w:lvl>
    <w:lvl w:ilvl="1" w:tplc="02860D60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hint="default"/>
        <w:b w:val="0"/>
        <w:i w:val="0"/>
        <w:color w:val="auto"/>
        <w:sz w:val="22"/>
        <w:vertAlign w:val="baseline"/>
      </w:rPr>
    </w:lvl>
    <w:lvl w:ilvl="2" w:tplc="8EEC8622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  <w:rPr>
        <w:rFonts w:hint="default"/>
      </w:rPr>
    </w:lvl>
    <w:lvl w:ilvl="3" w:tplc="30769120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98A4862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393E7612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2123E14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E2B83696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7FE886AE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19" w15:restartNumberingAfterBreak="0">
    <w:nsid w:val="676B48BD"/>
    <w:multiLevelType w:val="hybridMultilevel"/>
    <w:tmpl w:val="F72CF75E"/>
    <w:lvl w:ilvl="0" w:tplc="3C1AF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0174"/>
    <w:multiLevelType w:val="hybridMultilevel"/>
    <w:tmpl w:val="E8966096"/>
    <w:lvl w:ilvl="0" w:tplc="91AA9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4C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C9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A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B00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06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693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308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81A4A"/>
    <w:multiLevelType w:val="hybridMultilevel"/>
    <w:tmpl w:val="5F942D08"/>
    <w:lvl w:ilvl="0" w:tplc="BBD8CF6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6C0D68"/>
    <w:multiLevelType w:val="hybridMultilevel"/>
    <w:tmpl w:val="4DD2F52C"/>
    <w:lvl w:ilvl="0" w:tplc="55589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74788"/>
    <w:multiLevelType w:val="hybridMultilevel"/>
    <w:tmpl w:val="CE68EEAA"/>
    <w:lvl w:ilvl="0" w:tplc="00921FB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7"/>
  </w:num>
  <w:num w:numId="5">
    <w:abstractNumId w:val="1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3"/>
  </w:num>
  <w:num w:numId="12">
    <w:abstractNumId w:val="22"/>
  </w:num>
  <w:num w:numId="13">
    <w:abstractNumId w:val="17"/>
  </w:num>
  <w:num w:numId="14">
    <w:abstractNumId w:val="3"/>
  </w:num>
  <w:num w:numId="15">
    <w:abstractNumId w:val="19"/>
  </w:num>
  <w:num w:numId="16">
    <w:abstractNumId w:val="4"/>
  </w:num>
  <w:num w:numId="17">
    <w:abstractNumId w:val="23"/>
  </w:num>
  <w:num w:numId="18">
    <w:abstractNumId w:val="10"/>
  </w:num>
  <w:num w:numId="19">
    <w:abstractNumId w:val="21"/>
  </w:num>
  <w:num w:numId="20">
    <w:abstractNumId w:val="1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A5"/>
    <w:rsid w:val="00007B20"/>
    <w:rsid w:val="00012BCB"/>
    <w:rsid w:val="000224F5"/>
    <w:rsid w:val="00024896"/>
    <w:rsid w:val="00026C05"/>
    <w:rsid w:val="00027E1A"/>
    <w:rsid w:val="00044F9F"/>
    <w:rsid w:val="00046F7F"/>
    <w:rsid w:val="00050FF7"/>
    <w:rsid w:val="00067E5F"/>
    <w:rsid w:val="00067EEC"/>
    <w:rsid w:val="000743D8"/>
    <w:rsid w:val="00074A8F"/>
    <w:rsid w:val="0007549C"/>
    <w:rsid w:val="00082C33"/>
    <w:rsid w:val="000A1AE2"/>
    <w:rsid w:val="000A3E0A"/>
    <w:rsid w:val="000A5EEB"/>
    <w:rsid w:val="000A6F4A"/>
    <w:rsid w:val="000B0EFF"/>
    <w:rsid w:val="000D1624"/>
    <w:rsid w:val="000D206D"/>
    <w:rsid w:val="000D3D0C"/>
    <w:rsid w:val="000E078D"/>
    <w:rsid w:val="000E102E"/>
    <w:rsid w:val="000E21DF"/>
    <w:rsid w:val="00113B91"/>
    <w:rsid w:val="00114242"/>
    <w:rsid w:val="00115FD7"/>
    <w:rsid w:val="001229E3"/>
    <w:rsid w:val="00126FAF"/>
    <w:rsid w:val="00134E8F"/>
    <w:rsid w:val="00142932"/>
    <w:rsid w:val="00142D38"/>
    <w:rsid w:val="001452DD"/>
    <w:rsid w:val="00154940"/>
    <w:rsid w:val="00155618"/>
    <w:rsid w:val="00155B5D"/>
    <w:rsid w:val="001569F1"/>
    <w:rsid w:val="001576BB"/>
    <w:rsid w:val="001722D2"/>
    <w:rsid w:val="001740B0"/>
    <w:rsid w:val="0017638B"/>
    <w:rsid w:val="001765AB"/>
    <w:rsid w:val="00180E63"/>
    <w:rsid w:val="001937A0"/>
    <w:rsid w:val="00194984"/>
    <w:rsid w:val="00197A56"/>
    <w:rsid w:val="001A4113"/>
    <w:rsid w:val="001B0952"/>
    <w:rsid w:val="001B7360"/>
    <w:rsid w:val="001D1064"/>
    <w:rsid w:val="001D4CE5"/>
    <w:rsid w:val="001E13B0"/>
    <w:rsid w:val="001F680A"/>
    <w:rsid w:val="001F7679"/>
    <w:rsid w:val="002018D2"/>
    <w:rsid w:val="002206BF"/>
    <w:rsid w:val="00221755"/>
    <w:rsid w:val="00224330"/>
    <w:rsid w:val="00234011"/>
    <w:rsid w:val="00236B30"/>
    <w:rsid w:val="00237351"/>
    <w:rsid w:val="002538E6"/>
    <w:rsid w:val="00266611"/>
    <w:rsid w:val="00281173"/>
    <w:rsid w:val="002821D7"/>
    <w:rsid w:val="00290C25"/>
    <w:rsid w:val="002924C9"/>
    <w:rsid w:val="002A3646"/>
    <w:rsid w:val="002B0172"/>
    <w:rsid w:val="002D4969"/>
    <w:rsid w:val="002D682F"/>
    <w:rsid w:val="002D762F"/>
    <w:rsid w:val="002E2F56"/>
    <w:rsid w:val="002E6FD7"/>
    <w:rsid w:val="00302976"/>
    <w:rsid w:val="00311A27"/>
    <w:rsid w:val="003204EB"/>
    <w:rsid w:val="00354854"/>
    <w:rsid w:val="00355071"/>
    <w:rsid w:val="00361806"/>
    <w:rsid w:val="00362EA3"/>
    <w:rsid w:val="00376CC8"/>
    <w:rsid w:val="00386624"/>
    <w:rsid w:val="003A29E3"/>
    <w:rsid w:val="003A400F"/>
    <w:rsid w:val="003A7E09"/>
    <w:rsid w:val="003B56C7"/>
    <w:rsid w:val="003D0BE5"/>
    <w:rsid w:val="003D7260"/>
    <w:rsid w:val="003E6279"/>
    <w:rsid w:val="003F2DFC"/>
    <w:rsid w:val="003F74E6"/>
    <w:rsid w:val="0041273C"/>
    <w:rsid w:val="004160C4"/>
    <w:rsid w:val="004227AD"/>
    <w:rsid w:val="00426D52"/>
    <w:rsid w:val="00437C86"/>
    <w:rsid w:val="004432BF"/>
    <w:rsid w:val="00447DE2"/>
    <w:rsid w:val="00450B83"/>
    <w:rsid w:val="00451D33"/>
    <w:rsid w:val="0045468E"/>
    <w:rsid w:val="004665CB"/>
    <w:rsid w:val="00466C71"/>
    <w:rsid w:val="004725D4"/>
    <w:rsid w:val="00476C71"/>
    <w:rsid w:val="00480142"/>
    <w:rsid w:val="004863CE"/>
    <w:rsid w:val="00490DDC"/>
    <w:rsid w:val="00493C71"/>
    <w:rsid w:val="004B2D6E"/>
    <w:rsid w:val="004B3E6B"/>
    <w:rsid w:val="004B6681"/>
    <w:rsid w:val="004B6F23"/>
    <w:rsid w:val="004D3E15"/>
    <w:rsid w:val="005062B4"/>
    <w:rsid w:val="0051315A"/>
    <w:rsid w:val="0053701D"/>
    <w:rsid w:val="005451F4"/>
    <w:rsid w:val="0056367B"/>
    <w:rsid w:val="00570422"/>
    <w:rsid w:val="005750D8"/>
    <w:rsid w:val="00585468"/>
    <w:rsid w:val="005862FF"/>
    <w:rsid w:val="00596218"/>
    <w:rsid w:val="00597BDE"/>
    <w:rsid w:val="005B5D45"/>
    <w:rsid w:val="005C293F"/>
    <w:rsid w:val="005C40C7"/>
    <w:rsid w:val="005D62CE"/>
    <w:rsid w:val="005F3654"/>
    <w:rsid w:val="005F6C9C"/>
    <w:rsid w:val="00605D8E"/>
    <w:rsid w:val="00615E08"/>
    <w:rsid w:val="00620A54"/>
    <w:rsid w:val="00627DEA"/>
    <w:rsid w:val="006325E0"/>
    <w:rsid w:val="00645C2C"/>
    <w:rsid w:val="00651278"/>
    <w:rsid w:val="0065210B"/>
    <w:rsid w:val="006568F0"/>
    <w:rsid w:val="0066234E"/>
    <w:rsid w:val="006722D4"/>
    <w:rsid w:val="00676ADF"/>
    <w:rsid w:val="00695349"/>
    <w:rsid w:val="006A61EF"/>
    <w:rsid w:val="006B1831"/>
    <w:rsid w:val="006C4906"/>
    <w:rsid w:val="006C658C"/>
    <w:rsid w:val="006D35FF"/>
    <w:rsid w:val="006D398D"/>
    <w:rsid w:val="006F65F2"/>
    <w:rsid w:val="0071580A"/>
    <w:rsid w:val="00727C38"/>
    <w:rsid w:val="00727F92"/>
    <w:rsid w:val="00742666"/>
    <w:rsid w:val="007434A3"/>
    <w:rsid w:val="00776825"/>
    <w:rsid w:val="00784C8C"/>
    <w:rsid w:val="00785015"/>
    <w:rsid w:val="007A4A37"/>
    <w:rsid w:val="007C194D"/>
    <w:rsid w:val="007C1F09"/>
    <w:rsid w:val="007C4915"/>
    <w:rsid w:val="007D0CE9"/>
    <w:rsid w:val="007D31D4"/>
    <w:rsid w:val="007D3BF6"/>
    <w:rsid w:val="007E2F01"/>
    <w:rsid w:val="007E3E6A"/>
    <w:rsid w:val="007F3EAE"/>
    <w:rsid w:val="0080749D"/>
    <w:rsid w:val="008075BE"/>
    <w:rsid w:val="00811D22"/>
    <w:rsid w:val="00811D9D"/>
    <w:rsid w:val="0082538C"/>
    <w:rsid w:val="00826BC9"/>
    <w:rsid w:val="00831402"/>
    <w:rsid w:val="00855668"/>
    <w:rsid w:val="008573B2"/>
    <w:rsid w:val="008620C2"/>
    <w:rsid w:val="008676C7"/>
    <w:rsid w:val="00870F32"/>
    <w:rsid w:val="00872F3C"/>
    <w:rsid w:val="00874493"/>
    <w:rsid w:val="0089071B"/>
    <w:rsid w:val="008A3F04"/>
    <w:rsid w:val="008B2C0E"/>
    <w:rsid w:val="008B37DE"/>
    <w:rsid w:val="008B7EFE"/>
    <w:rsid w:val="008C7397"/>
    <w:rsid w:val="008D1050"/>
    <w:rsid w:val="008D222B"/>
    <w:rsid w:val="008D776C"/>
    <w:rsid w:val="008E1645"/>
    <w:rsid w:val="008E2873"/>
    <w:rsid w:val="008E3B85"/>
    <w:rsid w:val="008E5577"/>
    <w:rsid w:val="008F3847"/>
    <w:rsid w:val="00901EF9"/>
    <w:rsid w:val="00906FDE"/>
    <w:rsid w:val="009270E5"/>
    <w:rsid w:val="00930010"/>
    <w:rsid w:val="009371D3"/>
    <w:rsid w:val="0095405E"/>
    <w:rsid w:val="009652FA"/>
    <w:rsid w:val="0096751A"/>
    <w:rsid w:val="009722B6"/>
    <w:rsid w:val="00973442"/>
    <w:rsid w:val="009740E3"/>
    <w:rsid w:val="00977671"/>
    <w:rsid w:val="00982E33"/>
    <w:rsid w:val="009856E3"/>
    <w:rsid w:val="009A4AD2"/>
    <w:rsid w:val="009B46BA"/>
    <w:rsid w:val="009C0ABF"/>
    <w:rsid w:val="009D077C"/>
    <w:rsid w:val="009D4EEC"/>
    <w:rsid w:val="009D6074"/>
    <w:rsid w:val="009E25AD"/>
    <w:rsid w:val="009F77B2"/>
    <w:rsid w:val="00A05F1A"/>
    <w:rsid w:val="00A11E57"/>
    <w:rsid w:val="00A11F88"/>
    <w:rsid w:val="00A14529"/>
    <w:rsid w:val="00A2181D"/>
    <w:rsid w:val="00A26683"/>
    <w:rsid w:val="00A33079"/>
    <w:rsid w:val="00A35D44"/>
    <w:rsid w:val="00A41DE5"/>
    <w:rsid w:val="00A47796"/>
    <w:rsid w:val="00A60BFE"/>
    <w:rsid w:val="00A64C64"/>
    <w:rsid w:val="00A72ACC"/>
    <w:rsid w:val="00A73670"/>
    <w:rsid w:val="00A86C00"/>
    <w:rsid w:val="00A969C3"/>
    <w:rsid w:val="00AA61BC"/>
    <w:rsid w:val="00AA6B76"/>
    <w:rsid w:val="00AC4F1D"/>
    <w:rsid w:val="00AD115B"/>
    <w:rsid w:val="00AD2740"/>
    <w:rsid w:val="00AE444B"/>
    <w:rsid w:val="00AF2287"/>
    <w:rsid w:val="00B022FF"/>
    <w:rsid w:val="00B24363"/>
    <w:rsid w:val="00B3238E"/>
    <w:rsid w:val="00B33EB1"/>
    <w:rsid w:val="00B34B48"/>
    <w:rsid w:val="00B44CC6"/>
    <w:rsid w:val="00B53798"/>
    <w:rsid w:val="00B56491"/>
    <w:rsid w:val="00B8113E"/>
    <w:rsid w:val="00B87843"/>
    <w:rsid w:val="00BA1104"/>
    <w:rsid w:val="00BA186C"/>
    <w:rsid w:val="00BA330C"/>
    <w:rsid w:val="00BA3E18"/>
    <w:rsid w:val="00BB6020"/>
    <w:rsid w:val="00BC0309"/>
    <w:rsid w:val="00BC1364"/>
    <w:rsid w:val="00BC3A98"/>
    <w:rsid w:val="00BE008B"/>
    <w:rsid w:val="00BE7A41"/>
    <w:rsid w:val="00C0621F"/>
    <w:rsid w:val="00C13615"/>
    <w:rsid w:val="00C16B64"/>
    <w:rsid w:val="00C22516"/>
    <w:rsid w:val="00C30F2F"/>
    <w:rsid w:val="00C42020"/>
    <w:rsid w:val="00C42F23"/>
    <w:rsid w:val="00C60BF1"/>
    <w:rsid w:val="00C61AF9"/>
    <w:rsid w:val="00C61FE3"/>
    <w:rsid w:val="00C640AC"/>
    <w:rsid w:val="00C80524"/>
    <w:rsid w:val="00C81964"/>
    <w:rsid w:val="00C83D14"/>
    <w:rsid w:val="00C86A53"/>
    <w:rsid w:val="00C93AEB"/>
    <w:rsid w:val="00CB58B2"/>
    <w:rsid w:val="00CC11A5"/>
    <w:rsid w:val="00CE1676"/>
    <w:rsid w:val="00CE1D68"/>
    <w:rsid w:val="00CF4A6C"/>
    <w:rsid w:val="00CF686A"/>
    <w:rsid w:val="00D05B0E"/>
    <w:rsid w:val="00D34EA5"/>
    <w:rsid w:val="00D47E80"/>
    <w:rsid w:val="00D51C78"/>
    <w:rsid w:val="00D57384"/>
    <w:rsid w:val="00D612A1"/>
    <w:rsid w:val="00D73B5E"/>
    <w:rsid w:val="00D75C67"/>
    <w:rsid w:val="00DA5CB7"/>
    <w:rsid w:val="00DB2B7A"/>
    <w:rsid w:val="00DB4670"/>
    <w:rsid w:val="00DC128D"/>
    <w:rsid w:val="00DD320A"/>
    <w:rsid w:val="00DD35F7"/>
    <w:rsid w:val="00DD6E46"/>
    <w:rsid w:val="00DF6597"/>
    <w:rsid w:val="00DF68E6"/>
    <w:rsid w:val="00E103AA"/>
    <w:rsid w:val="00E12808"/>
    <w:rsid w:val="00E163B1"/>
    <w:rsid w:val="00E2293D"/>
    <w:rsid w:val="00E22AED"/>
    <w:rsid w:val="00E30E5D"/>
    <w:rsid w:val="00E331D9"/>
    <w:rsid w:val="00E33313"/>
    <w:rsid w:val="00E51A1F"/>
    <w:rsid w:val="00E61359"/>
    <w:rsid w:val="00E63C80"/>
    <w:rsid w:val="00E64F4A"/>
    <w:rsid w:val="00E66192"/>
    <w:rsid w:val="00E82C0E"/>
    <w:rsid w:val="00E82CCD"/>
    <w:rsid w:val="00E84FF3"/>
    <w:rsid w:val="00E91C76"/>
    <w:rsid w:val="00EC1910"/>
    <w:rsid w:val="00EC1DA3"/>
    <w:rsid w:val="00EC2669"/>
    <w:rsid w:val="00EC5865"/>
    <w:rsid w:val="00ED3820"/>
    <w:rsid w:val="00ED4CE4"/>
    <w:rsid w:val="00ED4E83"/>
    <w:rsid w:val="00ED502E"/>
    <w:rsid w:val="00EE58AD"/>
    <w:rsid w:val="00EF6255"/>
    <w:rsid w:val="00F045F0"/>
    <w:rsid w:val="00F076B8"/>
    <w:rsid w:val="00F20729"/>
    <w:rsid w:val="00F2502E"/>
    <w:rsid w:val="00F328B3"/>
    <w:rsid w:val="00F33F13"/>
    <w:rsid w:val="00F46190"/>
    <w:rsid w:val="00F538A5"/>
    <w:rsid w:val="00F66ABB"/>
    <w:rsid w:val="00F714CF"/>
    <w:rsid w:val="00F7427C"/>
    <w:rsid w:val="00F82B83"/>
    <w:rsid w:val="00F912CE"/>
    <w:rsid w:val="00F918D1"/>
    <w:rsid w:val="00F92FBE"/>
    <w:rsid w:val="00F951D5"/>
    <w:rsid w:val="00F96E85"/>
    <w:rsid w:val="00FA1B8E"/>
    <w:rsid w:val="00FA6B67"/>
    <w:rsid w:val="00FA6DB2"/>
    <w:rsid w:val="00FC17A1"/>
    <w:rsid w:val="00FC22E7"/>
    <w:rsid w:val="00FC4019"/>
    <w:rsid w:val="00FC4E82"/>
    <w:rsid w:val="00FD5DEF"/>
    <w:rsid w:val="00FD7430"/>
    <w:rsid w:val="00FE0EC3"/>
    <w:rsid w:val="00FE1A20"/>
    <w:rsid w:val="00FE2F89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3BEB2"/>
  <w15:docId w15:val="{5E4EB938-5F5F-445C-AB13-8EE452B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A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4C8D"/>
    <w:rPr>
      <w:rFonts w:ascii="Tahoma" w:hAnsi="Tahoma" w:cs="Tahoma"/>
      <w:sz w:val="16"/>
      <w:szCs w:val="16"/>
      <w:lang w:val="es-ES" w:eastAsia="es-ES"/>
    </w:rPr>
  </w:style>
  <w:style w:type="paragraph" w:customStyle="1" w:styleId="MediumGrid1-Accent21">
    <w:name w:val="Medium Grid 1 - Accent 21"/>
    <w:basedOn w:val="Normal"/>
    <w:uiPriority w:val="34"/>
    <w:qFormat/>
    <w:rsid w:val="009E1DD6"/>
    <w:pPr>
      <w:ind w:left="720"/>
    </w:pPr>
  </w:style>
  <w:style w:type="character" w:styleId="CommentReference">
    <w:name w:val="annotation reference"/>
    <w:semiHidden/>
    <w:rsid w:val="00840628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840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40628"/>
    <w:rPr>
      <w:b/>
      <w:bCs/>
    </w:rPr>
  </w:style>
  <w:style w:type="table" w:styleId="TableGrid">
    <w:name w:val="Table Grid"/>
    <w:basedOn w:val="TableNormal"/>
    <w:rsid w:val="008320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Times New Roman" w:hAnsi="CG Times"/>
      <w:sz w:val="22"/>
      <w:szCs w:val="20"/>
    </w:rPr>
  </w:style>
  <w:style w:type="character" w:customStyle="1" w:styleId="EndnoteTextChar">
    <w:name w:val="Endnote Text Char"/>
    <w:link w:val="EndnoteText"/>
    <w:rsid w:val="008320E6"/>
    <w:rPr>
      <w:rFonts w:ascii="CG Times" w:eastAsia="Times New Roman" w:hAnsi="CG Times"/>
      <w:sz w:val="22"/>
      <w:lang w:val="es-ES" w:eastAsia="es-ES"/>
    </w:rPr>
  </w:style>
  <w:style w:type="paragraph" w:styleId="Title">
    <w:name w:val="Title"/>
    <w:basedOn w:val="Normal"/>
    <w:link w:val="TitleChar"/>
    <w:qFormat/>
    <w:rsid w:val="008320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eastAsia="Times New Roman" w:hAnsi="Arial" w:cs="Arial"/>
      <w:b/>
      <w:bCs/>
      <w:spacing w:val="-2"/>
      <w:sz w:val="22"/>
      <w:szCs w:val="22"/>
    </w:rPr>
  </w:style>
  <w:style w:type="character" w:customStyle="1" w:styleId="TitleChar">
    <w:name w:val="Title Char"/>
    <w:link w:val="Title"/>
    <w:rsid w:val="008320E6"/>
    <w:rPr>
      <w:rFonts w:ascii="Arial" w:eastAsia="Times New Roman" w:hAnsi="Arial" w:cs="Arial"/>
      <w:b/>
      <w:bCs/>
      <w:spacing w:val="-2"/>
      <w:sz w:val="22"/>
      <w:szCs w:val="22"/>
      <w:lang w:val="es-ES" w:eastAsia="es-ES"/>
    </w:rPr>
  </w:style>
  <w:style w:type="paragraph" w:styleId="Header">
    <w:name w:val="header"/>
    <w:aliases w:val="encabezado"/>
    <w:basedOn w:val="Normal"/>
    <w:link w:val="Head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link w:val="Header"/>
    <w:uiPriority w:val="99"/>
    <w:rsid w:val="00A01528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01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1528"/>
    <w:rPr>
      <w:sz w:val="24"/>
      <w:szCs w:val="24"/>
      <w:lang w:val="es-ES" w:eastAsia="es-ES"/>
    </w:rPr>
  </w:style>
  <w:style w:type="paragraph" w:customStyle="1" w:styleId="Prrafodelista">
    <w:name w:val="Párrafo de lista"/>
    <w:basedOn w:val="Normal"/>
    <w:uiPriority w:val="34"/>
    <w:qFormat/>
    <w:rsid w:val="000B75A2"/>
    <w:pPr>
      <w:ind w:left="708"/>
    </w:pPr>
  </w:style>
  <w:style w:type="character" w:styleId="PageNumber">
    <w:name w:val="page number"/>
    <w:basedOn w:val="DefaultParagraphFont"/>
    <w:rsid w:val="00142D38"/>
  </w:style>
  <w:style w:type="character" w:styleId="Hyperlink">
    <w:name w:val="Hyperlink"/>
    <w:rsid w:val="00F045F0"/>
    <w:rPr>
      <w:color w:val="0000FF"/>
      <w:u w:val="single"/>
    </w:rPr>
  </w:style>
  <w:style w:type="character" w:styleId="FollowedHyperlink">
    <w:name w:val="FollowedHyperlink"/>
    <w:rsid w:val="00FC17A1"/>
    <w:rPr>
      <w:color w:val="800080"/>
      <w:u w:val="single"/>
    </w:rPr>
  </w:style>
  <w:style w:type="paragraph" w:customStyle="1" w:styleId="Default">
    <w:name w:val="Default"/>
    <w:rsid w:val="005062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D320A"/>
    <w:rPr>
      <w:sz w:val="20"/>
      <w:szCs w:val="20"/>
    </w:rPr>
  </w:style>
  <w:style w:type="character" w:customStyle="1" w:styleId="FootnoteTextChar">
    <w:name w:val="Footnote Text Char"/>
    <w:link w:val="FootnoteText"/>
    <w:rsid w:val="00DD320A"/>
    <w:rPr>
      <w:lang w:val="es-ES" w:eastAsia="es-ES"/>
    </w:rPr>
  </w:style>
  <w:style w:type="character" w:styleId="FootnoteReference">
    <w:name w:val="footnote reference"/>
    <w:rsid w:val="00DD320A"/>
    <w:rPr>
      <w:vertAlign w:val="superscript"/>
    </w:rPr>
  </w:style>
  <w:style w:type="paragraph" w:customStyle="1" w:styleId="MediumList2-Accent21">
    <w:name w:val="Medium List 2 - Accent 21"/>
    <w:hidden/>
    <w:uiPriority w:val="99"/>
    <w:semiHidden/>
    <w:rsid w:val="00DD320A"/>
    <w:rPr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rsid w:val="00FA1B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A1B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100&amp;lang=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100&amp;lang=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AICD/JD/DE&amp;classNum=126&amp;lang=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F63C-7A37-4670-B9F0-D95FF12B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Cooperation:</vt:lpstr>
    </vt:vector>
  </TitlesOfParts>
  <Company>OAS</Company>
  <LinksUpToDate>false</LinksUpToDate>
  <CharactersWithSpaces>7705</CharactersWithSpaces>
  <SharedDoc>false</SharedDoc>
  <HLinks>
    <vt:vector size="24" baseType="variant">
      <vt:variant>
        <vt:i4>4718675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http://scm.oas.org/IDMS/Redirectpage.aspx?class=cidi/doc.&amp;classNum=100&amp;lang=s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http://scm.oas.org/IDMS/Redirectpage.aspx?class=cidi/doc.&amp;classNum=100&amp;lang=e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http://scm.oas.org/IDMS/Redirectpage.aspx?class=AICD/JD/DE&amp;classNum=126&amp;lang=s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Cooperation:</dc:title>
  <dc:creator>USER1</dc:creator>
  <cp:lastModifiedBy>Burns, Sandra</cp:lastModifiedBy>
  <cp:revision>3</cp:revision>
  <cp:lastPrinted>2020-12-04T20:22:00Z</cp:lastPrinted>
  <dcterms:created xsi:type="dcterms:W3CDTF">2020-12-14T17:14:00Z</dcterms:created>
  <dcterms:modified xsi:type="dcterms:W3CDTF">2020-12-14T17:26:00Z</dcterms:modified>
</cp:coreProperties>
</file>