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396A3" w14:textId="77777777" w:rsidR="00FA1B8E" w:rsidRDefault="00FA1B8E" w:rsidP="00BA1104">
      <w:pPr>
        <w:tabs>
          <w:tab w:val="left" w:pos="7200"/>
        </w:tabs>
        <w:suppressAutoHyphens/>
        <w:ind w:right="-900"/>
        <w:jc w:val="both"/>
        <w:rPr>
          <w:b/>
          <w:bCs/>
          <w:spacing w:val="-2"/>
          <w:lang w:eastAsia="en-US"/>
        </w:rPr>
      </w:pPr>
    </w:p>
    <w:p w14:paraId="2F36B1E0" w14:textId="77777777" w:rsidR="00FA1B8E" w:rsidRDefault="00FA1B8E">
      <w:pPr>
        <w:rPr>
          <w:b/>
          <w:bCs/>
          <w:spacing w:val="-2"/>
          <w:lang w:eastAsia="en-US"/>
        </w:rPr>
      </w:pPr>
    </w:p>
    <w:p w14:paraId="60529CDD" w14:textId="77777777" w:rsidR="00FA1B8E" w:rsidRPr="00FA1B8E" w:rsidRDefault="00FA1B8E" w:rsidP="00FA1B8E">
      <w:pPr>
        <w:tabs>
          <w:tab w:val="left" w:pos="7200"/>
        </w:tabs>
        <w:ind w:right="-720"/>
        <w:rPr>
          <w:rFonts w:eastAsia="Times New Roman"/>
          <w:sz w:val="22"/>
          <w:szCs w:val="22"/>
        </w:rPr>
      </w:pPr>
      <w:r>
        <w:rPr>
          <w:sz w:val="22"/>
        </w:rPr>
        <w:tab/>
        <w:t>OEA/Ser.W</w:t>
      </w:r>
    </w:p>
    <w:p w14:paraId="5C58B6DB" w14:textId="6E187249" w:rsidR="00FA1B8E" w:rsidRPr="00FA1B8E" w:rsidRDefault="00FA1B8E" w:rsidP="00FA1B8E">
      <w:pPr>
        <w:tabs>
          <w:tab w:val="left" w:pos="7200"/>
        </w:tabs>
        <w:ind w:right="-1080"/>
        <w:rPr>
          <w:rFonts w:eastAsia="Times New Roman"/>
          <w:sz w:val="22"/>
          <w:szCs w:val="22"/>
        </w:rPr>
      </w:pPr>
      <w:r>
        <w:rPr>
          <w:b/>
          <w:sz w:val="22"/>
        </w:rPr>
        <w:tab/>
      </w:r>
      <w:r>
        <w:rPr>
          <w:sz w:val="22"/>
        </w:rPr>
        <w:t>CIDI/doc. 304/20</w:t>
      </w:r>
      <w:r w:rsidR="00E46774">
        <w:rPr>
          <w:sz w:val="22"/>
        </w:rPr>
        <w:t xml:space="preserve"> rev.1</w:t>
      </w:r>
    </w:p>
    <w:p w14:paraId="526BD0F7" w14:textId="54ADC3AF" w:rsidR="00FA1B8E" w:rsidRPr="00FA1B8E" w:rsidRDefault="00FA1B8E" w:rsidP="00FA1B8E">
      <w:pPr>
        <w:tabs>
          <w:tab w:val="left" w:pos="7200"/>
        </w:tabs>
        <w:ind w:right="-1080"/>
        <w:rPr>
          <w:rFonts w:eastAsia="Times New Roman"/>
          <w:sz w:val="22"/>
          <w:szCs w:val="22"/>
        </w:rPr>
      </w:pPr>
      <w:r>
        <w:rPr>
          <w:sz w:val="22"/>
        </w:rPr>
        <w:tab/>
      </w:r>
      <w:r w:rsidR="00E46774">
        <w:rPr>
          <w:sz w:val="22"/>
        </w:rPr>
        <w:t xml:space="preserve">11 </w:t>
      </w:r>
      <w:r>
        <w:rPr>
          <w:sz w:val="22"/>
        </w:rPr>
        <w:t>dezembro 2020</w:t>
      </w:r>
    </w:p>
    <w:p w14:paraId="0D3C72AB" w14:textId="77777777" w:rsidR="00FA1B8E" w:rsidRPr="00E22AED" w:rsidRDefault="00FA1B8E" w:rsidP="00FA1B8E">
      <w:pPr>
        <w:pBdr>
          <w:bottom w:val="single" w:sz="12" w:space="1" w:color="auto"/>
        </w:pBdr>
        <w:tabs>
          <w:tab w:val="left" w:pos="7200"/>
        </w:tabs>
        <w:ind w:right="-29"/>
        <w:rPr>
          <w:rFonts w:eastAsia="Times New Roman"/>
          <w:sz w:val="22"/>
          <w:szCs w:val="22"/>
        </w:rPr>
      </w:pPr>
      <w:r>
        <w:rPr>
          <w:sz w:val="22"/>
        </w:rPr>
        <w:tab/>
        <w:t>Original: inglês</w:t>
      </w:r>
    </w:p>
    <w:p w14:paraId="6307C2EA" w14:textId="77777777" w:rsidR="00FA1B8E" w:rsidRPr="00026D0D" w:rsidRDefault="00FA1B8E" w:rsidP="00FA1B8E">
      <w:pPr>
        <w:pBdr>
          <w:bottom w:val="single" w:sz="12" w:space="1" w:color="auto"/>
        </w:pBdr>
        <w:tabs>
          <w:tab w:val="left" w:pos="7200"/>
        </w:tabs>
        <w:ind w:right="-29"/>
        <w:rPr>
          <w:rFonts w:eastAsia="Times New Roman"/>
          <w:sz w:val="22"/>
          <w:szCs w:val="22"/>
          <w:lang w:eastAsia="en-US"/>
        </w:rPr>
      </w:pPr>
    </w:p>
    <w:p w14:paraId="3BCD7F13" w14:textId="77777777" w:rsidR="00FA1B8E" w:rsidRPr="00026D0D" w:rsidRDefault="00FA1B8E" w:rsidP="00FA1B8E">
      <w:pPr>
        <w:jc w:val="center"/>
        <w:rPr>
          <w:rFonts w:eastAsia="Times New Roman"/>
          <w:snapToGrid w:val="0"/>
          <w:sz w:val="22"/>
          <w:szCs w:val="22"/>
          <w:lang w:eastAsia="en-US"/>
        </w:rPr>
      </w:pPr>
    </w:p>
    <w:p w14:paraId="5590BD3D" w14:textId="77777777" w:rsidR="00FA1B8E" w:rsidRPr="00026D0D" w:rsidRDefault="00FA1B8E" w:rsidP="00FA1B8E">
      <w:pPr>
        <w:jc w:val="center"/>
        <w:rPr>
          <w:rFonts w:eastAsia="Times New Roman"/>
          <w:snapToGrid w:val="0"/>
          <w:sz w:val="22"/>
          <w:szCs w:val="22"/>
          <w:lang w:eastAsia="en-US"/>
        </w:rPr>
      </w:pPr>
    </w:p>
    <w:p w14:paraId="2CB8B5FD" w14:textId="77777777" w:rsidR="00FA1B8E" w:rsidRPr="00026D0D" w:rsidRDefault="00FA1B8E" w:rsidP="00FA1B8E">
      <w:pPr>
        <w:jc w:val="center"/>
        <w:rPr>
          <w:rFonts w:eastAsia="Times New Roman"/>
          <w:snapToGrid w:val="0"/>
          <w:sz w:val="22"/>
          <w:szCs w:val="22"/>
          <w:lang w:eastAsia="en-US"/>
        </w:rPr>
      </w:pPr>
    </w:p>
    <w:p w14:paraId="452A62CF" w14:textId="77777777" w:rsidR="00FA1B8E" w:rsidRPr="00026D0D" w:rsidRDefault="00FA1B8E" w:rsidP="00FA1B8E">
      <w:pPr>
        <w:jc w:val="center"/>
        <w:rPr>
          <w:rFonts w:eastAsia="Times New Roman"/>
          <w:snapToGrid w:val="0"/>
          <w:sz w:val="22"/>
          <w:szCs w:val="22"/>
          <w:lang w:eastAsia="en-US"/>
        </w:rPr>
      </w:pPr>
    </w:p>
    <w:p w14:paraId="061D6603" w14:textId="77777777" w:rsidR="00FA1B8E" w:rsidRPr="00026D0D" w:rsidRDefault="00FA1B8E" w:rsidP="00FA1B8E">
      <w:pPr>
        <w:jc w:val="center"/>
        <w:rPr>
          <w:rFonts w:eastAsia="Times New Roman"/>
          <w:snapToGrid w:val="0"/>
          <w:sz w:val="22"/>
          <w:szCs w:val="22"/>
          <w:lang w:eastAsia="en-US"/>
        </w:rPr>
      </w:pPr>
    </w:p>
    <w:p w14:paraId="30DF2728" w14:textId="77777777" w:rsidR="00FA1B8E" w:rsidRPr="00026D0D" w:rsidRDefault="00FA1B8E" w:rsidP="00FA1B8E">
      <w:pPr>
        <w:jc w:val="center"/>
        <w:rPr>
          <w:rFonts w:eastAsia="Times New Roman"/>
          <w:snapToGrid w:val="0"/>
          <w:sz w:val="22"/>
          <w:szCs w:val="22"/>
          <w:lang w:eastAsia="en-US"/>
        </w:rPr>
      </w:pPr>
    </w:p>
    <w:p w14:paraId="70D6D54A" w14:textId="77777777" w:rsidR="00FA1B8E" w:rsidRPr="00026D0D" w:rsidRDefault="00FA1B8E" w:rsidP="00FA1B8E">
      <w:pPr>
        <w:jc w:val="center"/>
        <w:rPr>
          <w:rFonts w:eastAsia="Times New Roman"/>
          <w:snapToGrid w:val="0"/>
          <w:sz w:val="22"/>
          <w:szCs w:val="22"/>
          <w:lang w:eastAsia="en-US"/>
        </w:rPr>
      </w:pPr>
    </w:p>
    <w:p w14:paraId="7CC17649" w14:textId="77777777" w:rsidR="00FA1B8E" w:rsidRPr="00026D0D" w:rsidRDefault="00FA1B8E" w:rsidP="00FA1B8E">
      <w:pPr>
        <w:jc w:val="center"/>
        <w:rPr>
          <w:rFonts w:eastAsia="Times New Roman"/>
          <w:snapToGrid w:val="0"/>
          <w:sz w:val="22"/>
          <w:szCs w:val="22"/>
          <w:lang w:eastAsia="en-US"/>
        </w:rPr>
      </w:pPr>
    </w:p>
    <w:p w14:paraId="24E3B8D8" w14:textId="77777777" w:rsidR="00FA1B8E" w:rsidRPr="00026D0D" w:rsidRDefault="00FA1B8E" w:rsidP="00FA1B8E">
      <w:pPr>
        <w:jc w:val="center"/>
        <w:rPr>
          <w:rFonts w:eastAsia="Times New Roman"/>
          <w:snapToGrid w:val="0"/>
          <w:sz w:val="22"/>
          <w:szCs w:val="22"/>
          <w:lang w:eastAsia="en-US"/>
        </w:rPr>
      </w:pPr>
    </w:p>
    <w:p w14:paraId="4F3706B7" w14:textId="77777777" w:rsidR="00FA1B8E" w:rsidRPr="00026D0D" w:rsidRDefault="00FA1B8E" w:rsidP="00FA1B8E">
      <w:pPr>
        <w:jc w:val="center"/>
        <w:rPr>
          <w:rFonts w:eastAsia="Times New Roman"/>
          <w:snapToGrid w:val="0"/>
          <w:sz w:val="22"/>
          <w:szCs w:val="22"/>
          <w:lang w:eastAsia="en-US"/>
        </w:rPr>
      </w:pPr>
    </w:p>
    <w:p w14:paraId="0D0988EE" w14:textId="77777777" w:rsidR="00FA1B8E" w:rsidRPr="00026D0D" w:rsidRDefault="00FA1B8E" w:rsidP="00FA1B8E">
      <w:pPr>
        <w:jc w:val="center"/>
        <w:rPr>
          <w:rFonts w:eastAsia="Times New Roman"/>
          <w:snapToGrid w:val="0"/>
          <w:sz w:val="22"/>
          <w:szCs w:val="22"/>
          <w:lang w:eastAsia="en-US"/>
        </w:rPr>
      </w:pPr>
    </w:p>
    <w:p w14:paraId="41D6BBE6" w14:textId="77777777" w:rsidR="00FA1B8E" w:rsidRPr="00026D0D" w:rsidRDefault="00FA1B8E" w:rsidP="00FA1B8E">
      <w:pPr>
        <w:jc w:val="center"/>
        <w:rPr>
          <w:rFonts w:eastAsia="Times New Roman"/>
          <w:snapToGrid w:val="0"/>
          <w:sz w:val="22"/>
          <w:szCs w:val="22"/>
          <w:lang w:eastAsia="en-US"/>
        </w:rPr>
      </w:pPr>
    </w:p>
    <w:p w14:paraId="65F32B30" w14:textId="77777777" w:rsidR="00FA1B8E" w:rsidRPr="00026D0D" w:rsidRDefault="00FA1B8E" w:rsidP="00FA1B8E">
      <w:pPr>
        <w:jc w:val="center"/>
        <w:rPr>
          <w:rFonts w:eastAsia="Times New Roman"/>
          <w:snapToGrid w:val="0"/>
          <w:sz w:val="22"/>
          <w:szCs w:val="22"/>
          <w:lang w:eastAsia="en-US"/>
        </w:rPr>
      </w:pPr>
    </w:p>
    <w:p w14:paraId="3CCCB8F7" w14:textId="606FDD95" w:rsidR="00FA1B8E" w:rsidRDefault="00FA1B8E" w:rsidP="00FA1B8E">
      <w:pPr>
        <w:jc w:val="center"/>
        <w:rPr>
          <w:rFonts w:eastAsia="Times New Roman"/>
          <w:snapToGrid w:val="0"/>
          <w:sz w:val="22"/>
          <w:szCs w:val="22"/>
          <w:lang w:eastAsia="en-US"/>
        </w:rPr>
      </w:pPr>
    </w:p>
    <w:p w14:paraId="3E9476BE" w14:textId="77777777" w:rsidR="008C7219" w:rsidRPr="00026D0D" w:rsidRDefault="008C7219" w:rsidP="00FA1B8E">
      <w:pPr>
        <w:jc w:val="center"/>
        <w:rPr>
          <w:rFonts w:eastAsia="Times New Roman"/>
          <w:snapToGrid w:val="0"/>
          <w:sz w:val="22"/>
          <w:szCs w:val="22"/>
          <w:lang w:eastAsia="en-US"/>
        </w:rPr>
      </w:pPr>
    </w:p>
    <w:p w14:paraId="14E09E1F" w14:textId="5E3249A0" w:rsidR="00FA1B8E" w:rsidRPr="008B37DE" w:rsidRDefault="00790403" w:rsidP="00FA1B8E">
      <w:pPr>
        <w:jc w:val="center"/>
      </w:pPr>
      <w:r>
        <w:t xml:space="preserve">ELEGIBILIDADE </w:t>
      </w:r>
      <w:r w:rsidR="00FA1B8E">
        <w:t>E ORÇAMENTO</w:t>
      </w:r>
      <w:r w:rsidR="008C7219" w:rsidRPr="008C7219">
        <w:t xml:space="preserve"> COM A ÁREA DE AÇÃO E TEMAS</w:t>
      </w:r>
      <w:r w:rsidR="008C7219">
        <w:t xml:space="preserve"> </w:t>
      </w:r>
      <w:r w:rsidR="00FA1B8E">
        <w:t xml:space="preserve"> PARA O CICLO DE PROGRAMAÇÃO 2021-2024 DO FUNDO DE COOPERAÇÃO PARA O DESENVOLVIMENTO DA OEA</w:t>
      </w:r>
      <w:r w:rsidR="008C7219">
        <w:t xml:space="preserve"> </w:t>
      </w:r>
      <w:r w:rsidR="008C7219" w:rsidRPr="008C7219">
        <w:t>(FCD/OEA)</w:t>
      </w:r>
      <w:bookmarkStart w:id="0" w:name="_GoBack"/>
      <w:bookmarkEnd w:id="0"/>
    </w:p>
    <w:p w14:paraId="081EBC32" w14:textId="77777777" w:rsidR="00FA1B8E" w:rsidRPr="00026D0D" w:rsidRDefault="00FA1B8E" w:rsidP="00FA1B8E">
      <w:pPr>
        <w:jc w:val="center"/>
        <w:rPr>
          <w:rFonts w:eastAsia="Times New Roman"/>
          <w:snapToGrid w:val="0"/>
          <w:sz w:val="22"/>
          <w:szCs w:val="22"/>
          <w:lang w:eastAsia="en-US"/>
        </w:rPr>
      </w:pPr>
    </w:p>
    <w:p w14:paraId="1E266EBB" w14:textId="77777777" w:rsidR="00FA1B8E" w:rsidRPr="00026D0D" w:rsidRDefault="00FA1B8E" w:rsidP="00FA1B8E">
      <w:pPr>
        <w:jc w:val="center"/>
        <w:rPr>
          <w:rFonts w:eastAsia="Times New Roman"/>
          <w:snapToGrid w:val="0"/>
          <w:sz w:val="22"/>
          <w:szCs w:val="22"/>
          <w:lang w:eastAsia="en-US"/>
        </w:rPr>
      </w:pPr>
    </w:p>
    <w:p w14:paraId="51498DC5" w14:textId="292048B5" w:rsidR="00E46774" w:rsidRPr="00E46774" w:rsidRDefault="00E46774" w:rsidP="00E46774">
      <w:pPr>
        <w:jc w:val="center"/>
        <w:rPr>
          <w:rFonts w:eastAsia="Times New Roman"/>
          <w:szCs w:val="22"/>
          <w:lang w:eastAsia="en-US"/>
        </w:rPr>
      </w:pPr>
      <w:r w:rsidRPr="00E46774">
        <w:rPr>
          <w:rFonts w:eastAsia="Times New Roman"/>
          <w:szCs w:val="22"/>
          <w:lang w:eastAsia="en-US"/>
        </w:rPr>
        <w:t>(</w:t>
      </w:r>
      <w:r w:rsidRPr="00E46774">
        <w:rPr>
          <w:rFonts w:eastAsia="Times New Roman"/>
          <w:lang w:eastAsia="en-US"/>
        </w:rPr>
        <w:t>Aprovad</w:t>
      </w:r>
      <w:r>
        <w:rPr>
          <w:rFonts w:eastAsia="Times New Roman"/>
          <w:lang w:eastAsia="en-US"/>
        </w:rPr>
        <w:t xml:space="preserve">o pelo CIDI </w:t>
      </w:r>
      <w:r w:rsidRPr="00E46774">
        <w:rPr>
          <w:rFonts w:eastAsia="Times New Roman"/>
          <w:lang w:eastAsia="en-US"/>
        </w:rPr>
        <w:t xml:space="preserve">na sessão ordinária de </w:t>
      </w:r>
      <w:r>
        <w:rPr>
          <w:rFonts w:eastAsia="Times New Roman"/>
          <w:lang w:eastAsia="en-US"/>
        </w:rPr>
        <w:t>8</w:t>
      </w:r>
      <w:r w:rsidRPr="00E46774">
        <w:rPr>
          <w:rFonts w:eastAsia="Times New Roman"/>
          <w:lang w:eastAsia="en-US"/>
        </w:rPr>
        <w:t xml:space="preserve"> de </w:t>
      </w:r>
      <w:r>
        <w:rPr>
          <w:rFonts w:eastAsia="Times New Roman"/>
          <w:lang w:eastAsia="en-US"/>
        </w:rPr>
        <w:t>dez</w:t>
      </w:r>
      <w:r w:rsidRPr="00E46774">
        <w:rPr>
          <w:rFonts w:eastAsia="Times New Roman"/>
          <w:lang w:eastAsia="en-US"/>
        </w:rPr>
        <w:t>embro de 2020</w:t>
      </w:r>
      <w:r w:rsidRPr="00E46774">
        <w:rPr>
          <w:rFonts w:eastAsia="Times New Roman"/>
          <w:szCs w:val="22"/>
          <w:lang w:eastAsia="en-US"/>
        </w:rPr>
        <w:t>)</w:t>
      </w:r>
    </w:p>
    <w:p w14:paraId="256EF666" w14:textId="5BCAAAB3" w:rsidR="00FA1B8E" w:rsidRPr="00026D0D" w:rsidRDefault="00FA1B8E" w:rsidP="00FA1B8E">
      <w:pPr>
        <w:jc w:val="center"/>
        <w:outlineLvl w:val="0"/>
        <w:rPr>
          <w:rFonts w:eastAsia="Times New Roman"/>
          <w:sz w:val="22"/>
          <w:szCs w:val="22"/>
          <w:lang w:eastAsia="en-US"/>
        </w:rPr>
      </w:pPr>
    </w:p>
    <w:p w14:paraId="2CEF7774" w14:textId="77777777" w:rsidR="00FA1B8E" w:rsidRPr="00026D0D" w:rsidRDefault="00FA1B8E" w:rsidP="00FA1B8E">
      <w:pPr>
        <w:jc w:val="center"/>
        <w:outlineLvl w:val="0"/>
        <w:rPr>
          <w:rFonts w:eastAsia="Times New Roman"/>
          <w:sz w:val="22"/>
          <w:szCs w:val="22"/>
          <w:lang w:eastAsia="en-US"/>
        </w:rPr>
      </w:pPr>
    </w:p>
    <w:p w14:paraId="79C67328" w14:textId="77777777" w:rsidR="00FA1B8E" w:rsidRPr="00026D0D" w:rsidRDefault="00FA1B8E" w:rsidP="00FA1B8E">
      <w:pPr>
        <w:jc w:val="center"/>
        <w:outlineLvl w:val="0"/>
        <w:rPr>
          <w:rFonts w:eastAsia="Times New Roman"/>
          <w:sz w:val="22"/>
          <w:szCs w:val="22"/>
          <w:lang w:eastAsia="en-US"/>
        </w:rPr>
      </w:pPr>
    </w:p>
    <w:p w14:paraId="4D3CB373" w14:textId="77777777" w:rsidR="00FA1B8E" w:rsidRPr="00026D0D" w:rsidRDefault="00FA1B8E" w:rsidP="00FA1B8E">
      <w:pPr>
        <w:jc w:val="center"/>
        <w:outlineLvl w:val="0"/>
        <w:rPr>
          <w:rFonts w:eastAsia="Times New Roman"/>
          <w:sz w:val="22"/>
          <w:szCs w:val="22"/>
          <w:lang w:eastAsia="en-US"/>
        </w:rPr>
      </w:pPr>
    </w:p>
    <w:p w14:paraId="2CBD2E9A" w14:textId="77777777" w:rsidR="00FA1B8E" w:rsidRPr="00026D0D" w:rsidRDefault="00FA1B8E" w:rsidP="00FA1B8E">
      <w:pPr>
        <w:jc w:val="center"/>
        <w:outlineLvl w:val="0"/>
        <w:rPr>
          <w:rFonts w:eastAsia="Times New Roman"/>
          <w:sz w:val="22"/>
          <w:szCs w:val="22"/>
          <w:lang w:eastAsia="en-US"/>
        </w:rPr>
      </w:pPr>
    </w:p>
    <w:p w14:paraId="1D9B25D8" w14:textId="77777777" w:rsidR="00283056" w:rsidRDefault="00283056" w:rsidP="004B4E45">
      <w:pPr>
        <w:tabs>
          <w:tab w:val="left" w:pos="7200"/>
        </w:tabs>
        <w:suppressAutoHyphens/>
        <w:ind w:right="-900"/>
        <w:jc w:val="both"/>
        <w:rPr>
          <w:b/>
        </w:rPr>
        <w:sectPr w:rsidR="00283056" w:rsidSect="00BA1104">
          <w:headerReference w:type="even" r:id="rId8"/>
          <w:headerReference w:type="first" r:id="rId9"/>
          <w:type w:val="oddPage"/>
          <w:pgSz w:w="12240" w:h="15840" w:code="1"/>
          <w:pgMar w:top="1260" w:right="1570" w:bottom="1152" w:left="1699" w:header="1296" w:footer="1296" w:gutter="0"/>
          <w:pgNumType w:fmt="numberInDash"/>
          <w:cols w:space="720"/>
          <w:titlePg/>
          <w:docGrid w:linePitch="360"/>
        </w:sectPr>
      </w:pPr>
    </w:p>
    <w:p w14:paraId="6655F0B0" w14:textId="0A0930A0" w:rsidR="001576BB" w:rsidRPr="008B37DE" w:rsidRDefault="00BA1104" w:rsidP="004B4E45">
      <w:pPr>
        <w:tabs>
          <w:tab w:val="left" w:pos="7200"/>
        </w:tabs>
        <w:suppressAutoHyphens/>
        <w:ind w:right="-900"/>
        <w:jc w:val="both"/>
        <w:rPr>
          <w:b/>
          <w:spacing w:val="-2"/>
        </w:rPr>
      </w:pPr>
      <w:r>
        <w:rPr>
          <w:b/>
        </w:rPr>
        <w:lastRenderedPageBreak/>
        <w:t>AGÊNCIA INTERAMERICANA</w:t>
      </w:r>
      <w:r>
        <w:rPr>
          <w:b/>
        </w:rPr>
        <w:tab/>
      </w:r>
      <w:r>
        <w:t>OEA/</w:t>
      </w:r>
      <w:r w:rsidR="004B4E45">
        <w:t>Ser</w:t>
      </w:r>
      <w:r>
        <w:t>. W</w:t>
      </w:r>
    </w:p>
    <w:p w14:paraId="09FF6B6E" w14:textId="38BB4424" w:rsidR="00BA1104" w:rsidRPr="008B37DE" w:rsidRDefault="001576BB" w:rsidP="004B4E45">
      <w:pPr>
        <w:tabs>
          <w:tab w:val="left" w:pos="7200"/>
        </w:tabs>
        <w:suppressAutoHyphens/>
        <w:ind w:right="-900"/>
        <w:jc w:val="both"/>
        <w:rPr>
          <w:b/>
          <w:spacing w:val="-2"/>
        </w:rPr>
      </w:pPr>
      <w:r>
        <w:rPr>
          <w:b/>
        </w:rPr>
        <w:t>DE COOPERAÇÃO E DESENVOLVIMENTO</w:t>
      </w:r>
      <w:r w:rsidR="00004BC9">
        <w:tab/>
      </w:r>
      <w:r>
        <w:t>AICD/JD/doc.183/20 rev.2</w:t>
      </w:r>
    </w:p>
    <w:p w14:paraId="26C9061F" w14:textId="0331F432" w:rsidR="00BA1104" w:rsidRPr="008B37DE" w:rsidRDefault="001576BB" w:rsidP="004B4E45">
      <w:pPr>
        <w:pStyle w:val="Header"/>
        <w:tabs>
          <w:tab w:val="left" w:pos="7200"/>
        </w:tabs>
        <w:suppressAutoHyphens/>
        <w:ind w:right="-900"/>
        <w:rPr>
          <w:spacing w:val="-2"/>
        </w:rPr>
      </w:pPr>
      <w:r>
        <w:rPr>
          <w:b/>
        </w:rPr>
        <w:t>REUNIÃO DA JUNTA DIRETORA</w:t>
      </w:r>
      <w:r w:rsidR="004B4E45">
        <w:tab/>
      </w:r>
      <w:r w:rsidR="004B4E45">
        <w:tab/>
      </w:r>
      <w:r>
        <w:t>3 dezembro 2020</w:t>
      </w:r>
    </w:p>
    <w:p w14:paraId="08FC9EB8" w14:textId="77777777" w:rsidR="00BA1104" w:rsidRPr="008B37DE" w:rsidRDefault="00BA1104" w:rsidP="004B4E45">
      <w:pPr>
        <w:pStyle w:val="Header"/>
        <w:tabs>
          <w:tab w:val="clear" w:pos="4680"/>
          <w:tab w:val="clear" w:pos="9360"/>
          <w:tab w:val="left" w:pos="7200"/>
        </w:tabs>
        <w:suppressAutoHyphens/>
        <w:ind w:right="-900"/>
        <w:rPr>
          <w:snapToGrid w:val="0"/>
          <w:spacing w:val="-2"/>
        </w:rPr>
      </w:pPr>
      <w:r>
        <w:tab/>
        <w:t>Original: inglês</w:t>
      </w:r>
    </w:p>
    <w:p w14:paraId="5E61A8F2" w14:textId="77777777" w:rsidR="00BA1104" w:rsidRPr="00026D0D" w:rsidRDefault="00BA1104" w:rsidP="00BA1104">
      <w:pPr>
        <w:pBdr>
          <w:bottom w:val="single" w:sz="12" w:space="1" w:color="auto"/>
        </w:pBdr>
      </w:pPr>
    </w:p>
    <w:p w14:paraId="639B3D47" w14:textId="77777777" w:rsidR="00BA1104" w:rsidRPr="008B37DE" w:rsidRDefault="00BA1104" w:rsidP="00BA1104"/>
    <w:p w14:paraId="558AC62D" w14:textId="77777777" w:rsidR="004665CB" w:rsidRPr="00026D0D" w:rsidRDefault="004665CB" w:rsidP="00283056">
      <w:pPr>
        <w:rPr>
          <w:lang w:eastAsia="en-US"/>
        </w:rPr>
      </w:pPr>
    </w:p>
    <w:p w14:paraId="47E19014" w14:textId="6390DF26" w:rsidR="00180E63" w:rsidRPr="008B37DE" w:rsidRDefault="00180E63" w:rsidP="00180E63">
      <w:pPr>
        <w:jc w:val="center"/>
      </w:pPr>
      <w:r>
        <w:t>ELEGIBILIDADE E ORÇAMENTO PARA O CICLO DE PROGRAMAÇÃO 2021-2024 DO FUNDO DE COOPERAÇÃO PARA O DESENVOLVIMENTO</w:t>
      </w:r>
      <w:r w:rsidR="003D650E">
        <w:t xml:space="preserve"> DA OEA</w:t>
      </w:r>
      <w:r>
        <w:t xml:space="preserve"> (FCD/OEA)</w:t>
      </w:r>
    </w:p>
    <w:p w14:paraId="3361200A" w14:textId="77777777" w:rsidR="00180E63" w:rsidRPr="00026D0D" w:rsidRDefault="00180E63" w:rsidP="00180E63"/>
    <w:p w14:paraId="3016F221" w14:textId="77777777" w:rsidR="00180E63" w:rsidRPr="008B37DE" w:rsidRDefault="00180E63" w:rsidP="00180E63">
      <w:pPr>
        <w:jc w:val="center"/>
      </w:pPr>
      <w:r>
        <w:t>(Aprovado pela Junta Diretora da Agência Interamericana de Cooperação e Desenvolvimento por meio da decisão AICD/JD/DE-127/20, de 3 de dezembro de 2020)</w:t>
      </w:r>
    </w:p>
    <w:p w14:paraId="7B53B54D" w14:textId="77777777" w:rsidR="00180E63" w:rsidRPr="00026D0D" w:rsidRDefault="00180E63" w:rsidP="00004BC9">
      <w:pPr>
        <w:jc w:val="both"/>
        <w:rPr>
          <w:lang w:eastAsia="en-US"/>
        </w:rPr>
      </w:pPr>
    </w:p>
    <w:p w14:paraId="555F3897" w14:textId="77777777" w:rsidR="00180E63" w:rsidRPr="00026D0D" w:rsidRDefault="00180E63" w:rsidP="00004BC9">
      <w:pPr>
        <w:jc w:val="both"/>
        <w:rPr>
          <w:lang w:eastAsia="en-US"/>
        </w:rPr>
      </w:pPr>
    </w:p>
    <w:p w14:paraId="410AEF2B" w14:textId="1AC48DDC" w:rsidR="00180E63" w:rsidRPr="008B37DE" w:rsidRDefault="00180E63" w:rsidP="00180E63">
      <w:pPr>
        <w:ind w:firstLine="720"/>
        <w:jc w:val="both"/>
      </w:pPr>
      <w:r>
        <w:t>Os procedimentos para a programação do Fundo de Cooperação para o Desenvolvimento</w:t>
      </w:r>
      <w:r w:rsidR="008E7F7B">
        <w:t xml:space="preserve"> (FCD)</w:t>
      </w:r>
      <w:r>
        <w:t xml:space="preserve"> requerem que o</w:t>
      </w:r>
      <w:r w:rsidR="008C5095">
        <w:t xml:space="preserve"> Conselho Interamericano de Desenvolvimento Integral (</w:t>
      </w:r>
      <w:r>
        <w:t>CIDI</w:t>
      </w:r>
      <w:r w:rsidR="008C5095">
        <w:t>)</w:t>
      </w:r>
      <w:r>
        <w:t xml:space="preserve"> aprove a área de ação para cada ciclo de programação. Em 21 de setembro de 2020, a </w:t>
      </w:r>
      <w:r w:rsidR="008E7F7B">
        <w:t>Junta Diretora da Agência Interamericana de Cooperação e Desenvolvimento (</w:t>
      </w:r>
      <w:r>
        <w:t>JD/AICD</w:t>
      </w:r>
      <w:r w:rsidR="008E7F7B">
        <w:t>)</w:t>
      </w:r>
      <w:r>
        <w:t xml:space="preserve"> aprovou a área de ação </w:t>
      </w:r>
      <w:r>
        <w:rPr>
          <w:i/>
        </w:rPr>
        <w:t xml:space="preserve">“Resiliência inclusiva para uma recuperação eficaz com foco em ciência e tecnologia” </w:t>
      </w:r>
      <w:r>
        <w:t xml:space="preserve">para o ciclo de programação do </w:t>
      </w:r>
      <w:r w:rsidR="00E82421">
        <w:t>FCD para</w:t>
      </w:r>
      <w:r>
        <w:t xml:space="preserve"> 2021-2024 (</w:t>
      </w:r>
      <w:hyperlink r:id="rId10" w:history="1">
        <w:r>
          <w:rPr>
            <w:rStyle w:val="Hyperlink"/>
          </w:rPr>
          <w:t>AICD/JD/DE-126/20</w:t>
        </w:r>
      </w:hyperlink>
      <w:r>
        <w:t xml:space="preserve">). Além disso, os procedimentos indicam que “A JD/AICD confirmará o montante disponível dos fundos semente para o ciclo de programação o mais tardar até 30 de abril”. Para tanto, a Secretaria preparou o documento a seguir para consideração e posterior aprovação </w:t>
      </w:r>
      <w:r w:rsidR="00321A95">
        <w:t xml:space="preserve">por parte </w:t>
      </w:r>
      <w:r>
        <w:t>da JD/AICD.</w:t>
      </w:r>
    </w:p>
    <w:p w14:paraId="5B861731" w14:textId="77777777" w:rsidR="00180E63" w:rsidRPr="00026D0D" w:rsidRDefault="00180E63" w:rsidP="00180E63">
      <w:pPr>
        <w:jc w:val="both"/>
        <w:rPr>
          <w:lang w:eastAsia="en-US"/>
        </w:rPr>
      </w:pPr>
    </w:p>
    <w:p w14:paraId="42349315" w14:textId="77777777" w:rsidR="00180E63" w:rsidRPr="008B37DE" w:rsidRDefault="00180E63" w:rsidP="00180E63">
      <w:pPr>
        <w:ind w:firstLine="720"/>
        <w:jc w:val="both"/>
      </w:pPr>
      <w:r>
        <w:rPr>
          <w:color w:val="000000"/>
        </w:rPr>
        <w:t xml:space="preserve">As temáticas aprovadas no âmbito da área de ação </w:t>
      </w:r>
      <w:r>
        <w:rPr>
          <w:i/>
        </w:rPr>
        <w:t>“Resiliência inclusiva para uma recuperação eficaz com foco em ciência e tecnologia</w:t>
      </w:r>
      <w:r>
        <w:t xml:space="preserve">” são: </w:t>
      </w:r>
    </w:p>
    <w:p w14:paraId="75FB7620" w14:textId="77777777" w:rsidR="00180E63" w:rsidRPr="00026D0D" w:rsidRDefault="00180E63" w:rsidP="00004BC9">
      <w:pPr>
        <w:jc w:val="both"/>
      </w:pPr>
    </w:p>
    <w:p w14:paraId="4AEFA03C" w14:textId="702A2746" w:rsidR="00180E63" w:rsidRPr="00E61359" w:rsidRDefault="00180E63" w:rsidP="00004BC9">
      <w:pPr>
        <w:numPr>
          <w:ilvl w:val="0"/>
          <w:numId w:val="24"/>
        </w:numPr>
        <w:ind w:left="1440" w:hanging="720"/>
        <w:jc w:val="both"/>
      </w:pPr>
      <w:r>
        <w:t>Fortalecimento das MPME</w:t>
      </w:r>
      <w:r w:rsidR="008A574A">
        <w:t>s</w:t>
      </w:r>
      <w:r>
        <w:t xml:space="preserve"> por meio da inovação e da tecnologia. </w:t>
      </w:r>
    </w:p>
    <w:p w14:paraId="65E30C50" w14:textId="705959E4" w:rsidR="00180E63" w:rsidRPr="00E61359" w:rsidRDefault="00180E63" w:rsidP="00004BC9">
      <w:pPr>
        <w:numPr>
          <w:ilvl w:val="0"/>
          <w:numId w:val="24"/>
        </w:numPr>
        <w:ind w:left="1440" w:hanging="720"/>
        <w:jc w:val="both"/>
        <w:rPr>
          <w:bCs/>
        </w:rPr>
      </w:pPr>
      <w:r>
        <w:t xml:space="preserve">Reconversão da força de trabalho com um </w:t>
      </w:r>
      <w:r w:rsidR="008A574A">
        <w:t>enfoque</w:t>
      </w:r>
      <w:r>
        <w:t xml:space="preserve"> inovador para recuperar o setor do turismo e as economias regionais. </w:t>
      </w:r>
    </w:p>
    <w:p w14:paraId="525C5631" w14:textId="77777777" w:rsidR="00180E63" w:rsidRPr="00E61359" w:rsidRDefault="00180E63" w:rsidP="00004BC9">
      <w:pPr>
        <w:numPr>
          <w:ilvl w:val="0"/>
          <w:numId w:val="24"/>
        </w:numPr>
        <w:ind w:left="1440" w:hanging="720"/>
        <w:jc w:val="both"/>
        <w:rPr>
          <w:bCs/>
        </w:rPr>
      </w:pPr>
      <w:r>
        <w:t>Inovação científica e tecnológica para fortalecer a resiliência.</w:t>
      </w:r>
    </w:p>
    <w:p w14:paraId="3B637CAE" w14:textId="77777777" w:rsidR="00180E63" w:rsidRPr="00E61359" w:rsidRDefault="00180E63" w:rsidP="00004BC9">
      <w:pPr>
        <w:numPr>
          <w:ilvl w:val="0"/>
          <w:numId w:val="24"/>
        </w:numPr>
        <w:ind w:left="1440" w:hanging="720"/>
        <w:jc w:val="both"/>
        <w:rPr>
          <w:bCs/>
        </w:rPr>
      </w:pPr>
      <w:r>
        <w:t xml:space="preserve">A ciência para a tomada de decisões no planejamento do risco de desastres. </w:t>
      </w:r>
    </w:p>
    <w:p w14:paraId="72B2E1BF" w14:textId="77777777" w:rsidR="00180E63" w:rsidRPr="00026D0D" w:rsidRDefault="00180E63" w:rsidP="00004BC9">
      <w:pPr>
        <w:jc w:val="both"/>
        <w:rPr>
          <w:bCs/>
        </w:rPr>
      </w:pPr>
    </w:p>
    <w:p w14:paraId="538B419D" w14:textId="0DACA185" w:rsidR="00180E63" w:rsidRPr="001F680A" w:rsidRDefault="00180E63" w:rsidP="00180E63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O montante semente disponível para programação 2021-2024 é de US$ 3.048.780,96. </w:t>
      </w:r>
      <w:r w:rsidR="008A574A">
        <w:rPr>
          <w:color w:val="000000"/>
        </w:rPr>
        <w:t>No total,</w:t>
      </w:r>
      <w:r>
        <w:rPr>
          <w:color w:val="000000"/>
        </w:rPr>
        <w:t xml:space="preserve"> 17 países</w:t>
      </w:r>
      <w:r>
        <w:rPr>
          <w:b/>
          <w:color w:val="000000"/>
        </w:rPr>
        <w:t xml:space="preserve"> </w:t>
      </w:r>
      <w:r>
        <w:rPr>
          <w:color w:val="000000"/>
        </w:rPr>
        <w:t>estão qualificados para participar do ciclo 2021-2024 no âmbito dos quatro temas programáticos recomendados.</w:t>
      </w:r>
    </w:p>
    <w:p w14:paraId="20610D29" w14:textId="77777777" w:rsidR="00180E63" w:rsidRPr="00026D0D" w:rsidRDefault="00180E63" w:rsidP="00180E63">
      <w:pPr>
        <w:jc w:val="both"/>
        <w:rPr>
          <w:color w:val="000000"/>
        </w:rPr>
      </w:pPr>
    </w:p>
    <w:p w14:paraId="4642B1AA" w14:textId="56C2C2A9" w:rsidR="00180E63" w:rsidRPr="008B37DE" w:rsidRDefault="00180E63" w:rsidP="00180E63">
      <w:pPr>
        <w:ind w:firstLine="720"/>
        <w:jc w:val="both"/>
        <w:rPr>
          <w:color w:val="000000"/>
        </w:rPr>
      </w:pPr>
      <w:r>
        <w:rPr>
          <w:color w:val="000000"/>
        </w:rPr>
        <w:t>Dessa forma, a Junta Diretora da AICD confirma que, para o ciclo de programação 2021-2024, um total de US$ 1,7 milhões ser</w:t>
      </w:r>
      <w:r w:rsidR="004302CE">
        <w:rPr>
          <w:color w:val="000000"/>
        </w:rPr>
        <w:t>á</w:t>
      </w:r>
      <w:r>
        <w:rPr>
          <w:color w:val="000000"/>
        </w:rPr>
        <w:t xml:space="preserve"> alocado como fundo semente. </w:t>
      </w:r>
      <w:r w:rsidR="00D84051">
        <w:rPr>
          <w:color w:val="000000"/>
        </w:rPr>
        <w:t>Esse</w:t>
      </w:r>
      <w:r>
        <w:rPr>
          <w:color w:val="000000"/>
        </w:rPr>
        <w:t xml:space="preserve">s </w:t>
      </w:r>
      <w:r w:rsidR="00D84051">
        <w:rPr>
          <w:color w:val="000000"/>
        </w:rPr>
        <w:t>recursos</w:t>
      </w:r>
      <w:r>
        <w:rPr>
          <w:color w:val="000000"/>
        </w:rPr>
        <w:t xml:space="preserve"> serão distribuídos de acordo com a alínea </w:t>
      </w:r>
      <w:r>
        <w:rPr>
          <w:color w:val="000000"/>
          <w:u w:val="single"/>
        </w:rPr>
        <w:t>g</w:t>
      </w:r>
      <w:r>
        <w:rPr>
          <w:color w:val="000000"/>
        </w:rPr>
        <w:t xml:space="preserve">, dos </w:t>
      </w:r>
      <w:r w:rsidR="00BA081D">
        <w:rPr>
          <w:color w:val="000000"/>
        </w:rPr>
        <w:t xml:space="preserve">critérios de seleção e avaliação </w:t>
      </w:r>
      <w:r>
        <w:rPr>
          <w:color w:val="000000"/>
        </w:rPr>
        <w:t xml:space="preserve">para o FCD </w:t>
      </w:r>
      <w:r>
        <w:t>(CIDI/doc.100/14</w:t>
      </w:r>
      <w:r>
        <w:rPr>
          <w:color w:val="333333"/>
        </w:rPr>
        <w:t> </w:t>
      </w:r>
      <w:hyperlink r:id="rId11" w:history="1">
        <w:r>
          <w:rPr>
            <w:rStyle w:val="Hyperlink"/>
          </w:rPr>
          <w:t>- English</w:t>
        </w:r>
      </w:hyperlink>
      <w:r>
        <w:rPr>
          <w:color w:val="333333"/>
        </w:rPr>
        <w:t xml:space="preserve"> - </w:t>
      </w:r>
      <w:hyperlink r:id="rId12" w:history="1">
        <w:r>
          <w:rPr>
            <w:rStyle w:val="Hyperlink"/>
          </w:rPr>
          <w:t>Español</w:t>
        </w:r>
      </w:hyperlink>
      <w:r>
        <w:rPr>
          <w:color w:val="333333"/>
        </w:rPr>
        <w:t xml:space="preserve">), </w:t>
      </w:r>
      <w:r>
        <w:rPr>
          <w:color w:val="000000"/>
        </w:rPr>
        <w:t xml:space="preserve">que estabelece que “[o] financiamento dos programas será distribuído proporcionalmente à dimensão do programa, levando em conta as atividades e o número de países participantes”. </w:t>
      </w:r>
    </w:p>
    <w:p w14:paraId="07A6A373" w14:textId="77777777" w:rsidR="00180E63" w:rsidRPr="00026D0D" w:rsidRDefault="00180E63" w:rsidP="00180E63">
      <w:pPr>
        <w:jc w:val="both"/>
        <w:rPr>
          <w:color w:val="000000"/>
        </w:rPr>
      </w:pPr>
    </w:p>
    <w:p w14:paraId="1ED91A58" w14:textId="614683EC" w:rsidR="00180E63" w:rsidRPr="008B37DE" w:rsidRDefault="00180E63" w:rsidP="00180E63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É importante observar que, de acordo com os critérios que regem a programação para o desenvolvimento (alíneas </w:t>
      </w:r>
      <w:r>
        <w:rPr>
          <w:color w:val="000000"/>
          <w:u w:val="single"/>
        </w:rPr>
        <w:t>e</w:t>
      </w:r>
      <w:r>
        <w:rPr>
          <w:color w:val="000000"/>
        </w:rPr>
        <w:t xml:space="preserve"> e </w:t>
      </w:r>
      <w:r>
        <w:rPr>
          <w:color w:val="000000"/>
          <w:u w:val="single"/>
        </w:rPr>
        <w:t>j</w:t>
      </w:r>
      <w:r>
        <w:rPr>
          <w:color w:val="000000"/>
        </w:rPr>
        <w:t>,</w:t>
      </w:r>
      <w:r>
        <w:rPr>
          <w:b/>
          <w:color w:val="000000"/>
        </w:rPr>
        <w:t xml:space="preserve"> ver abaixo os critérios detalhados para os programas</w:t>
      </w:r>
      <w:r>
        <w:rPr>
          <w:color w:val="000000"/>
        </w:rPr>
        <w:t xml:space="preserve">) da estrutura aprovada para o FCD, devem ser procuradas fontes adicionais de financiamento que complementem os fundos semente disponíveis. Tendo em conta o que </w:t>
      </w:r>
      <w:r w:rsidR="00713E4B">
        <w:rPr>
          <w:color w:val="000000"/>
        </w:rPr>
        <w:t>foi descrito acima,</w:t>
      </w:r>
      <w:r>
        <w:rPr>
          <w:color w:val="000000"/>
        </w:rPr>
        <w:t xml:space="preserve"> e de acordo com o requisito de </w:t>
      </w:r>
      <w:r w:rsidR="00713E4B">
        <w:rPr>
          <w:color w:val="000000"/>
        </w:rPr>
        <w:t>se trabalhar</w:t>
      </w:r>
      <w:r>
        <w:rPr>
          <w:color w:val="000000"/>
        </w:rPr>
        <w:t xml:space="preserve"> em colaboração com os Estados membros, a Seção de Cooperação Técnica trabalhará com os países para assegurar que sejam buscados novos recursos. </w:t>
      </w:r>
    </w:p>
    <w:p w14:paraId="09D451DA" w14:textId="77777777" w:rsidR="00180E63" w:rsidRPr="00026D0D" w:rsidRDefault="00180E63" w:rsidP="00004BC9">
      <w:pPr>
        <w:jc w:val="both"/>
        <w:rPr>
          <w:color w:val="000000"/>
        </w:rPr>
      </w:pPr>
    </w:p>
    <w:p w14:paraId="3154CE4B" w14:textId="77777777" w:rsidR="00180E63" w:rsidRPr="008B37DE" w:rsidRDefault="00180E63" w:rsidP="00180E63">
      <w:pPr>
        <w:ind w:firstLine="720"/>
        <w:jc w:val="both"/>
        <w:rPr>
          <w:color w:val="000000"/>
        </w:rPr>
      </w:pPr>
      <w:r>
        <w:rPr>
          <w:color w:val="000000"/>
        </w:rPr>
        <w:t>A Secretaria apresentará um relatório pormenorizado, incluindo a contrapartida e outras contribuições em dinheiro e em espécie, quando o quadro programático para o ciclo 2021-2024 for submetido à aprovação final da Junta Diretora.</w:t>
      </w:r>
    </w:p>
    <w:p w14:paraId="1D7AF2A2" w14:textId="77777777" w:rsidR="00180E63" w:rsidRPr="00026D0D" w:rsidRDefault="00180E63" w:rsidP="00180E63">
      <w:pPr>
        <w:jc w:val="both"/>
        <w:rPr>
          <w:color w:val="000000"/>
        </w:rPr>
      </w:pPr>
    </w:p>
    <w:p w14:paraId="10BAED19" w14:textId="77777777" w:rsidR="00180E63" w:rsidRPr="00026D0D" w:rsidRDefault="00180E63" w:rsidP="00180E63">
      <w:pPr>
        <w:jc w:val="both"/>
        <w:rPr>
          <w:color w:val="000000"/>
        </w:rPr>
      </w:pPr>
    </w:p>
    <w:p w14:paraId="6E268D0E" w14:textId="77777777" w:rsidR="00180E63" w:rsidRPr="008B37DE" w:rsidRDefault="00180E63" w:rsidP="00180E63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Elegibilidade dos Estados membros para participação no ciclo de programação 2021-2024 </w:t>
      </w:r>
    </w:p>
    <w:p w14:paraId="57FE3C09" w14:textId="2E71D0D9" w:rsidR="00180E63" w:rsidRPr="008B37DE" w:rsidRDefault="00180E63" w:rsidP="00180E63">
      <w:pPr>
        <w:jc w:val="both"/>
        <w:rPr>
          <w:color w:val="000000"/>
        </w:rPr>
      </w:pPr>
    </w:p>
    <w:p w14:paraId="4F51F91D" w14:textId="5A9EC5E0" w:rsidR="00180E63" w:rsidRPr="008B37DE" w:rsidRDefault="00180E63" w:rsidP="00180E63">
      <w:pPr>
        <w:ind w:firstLine="720"/>
        <w:jc w:val="both"/>
        <w:rPr>
          <w:color w:val="000000"/>
        </w:rPr>
      </w:pPr>
      <w:r>
        <w:rPr>
          <w:color w:val="000000"/>
        </w:rPr>
        <w:t>O artigo 13</w:t>
      </w:r>
      <w:r w:rsidR="00790403">
        <w:rPr>
          <w:color w:val="000000"/>
        </w:rPr>
        <w:t xml:space="preserve"> do</w:t>
      </w:r>
      <w:r>
        <w:rPr>
          <w:color w:val="000000"/>
        </w:rPr>
        <w:t xml:space="preserve"> </w:t>
      </w:r>
      <w:hyperlink r:id="rId13" w:history="1">
        <w:r w:rsidR="00790403">
          <w:rPr>
            <w:rStyle w:val="Hyperlink"/>
          </w:rPr>
          <w:t>Estatuto do Fundo de Cooperação para o Desenvolvimento da OEA</w:t>
        </w:r>
      </w:hyperlink>
      <w:r>
        <w:rPr>
          <w:color w:val="000000"/>
        </w:rPr>
        <w:t xml:space="preserve"> (FCD</w:t>
      </w:r>
      <w:r w:rsidR="00065C39">
        <w:rPr>
          <w:color w:val="000000"/>
        </w:rPr>
        <w:t>/OEA</w:t>
      </w:r>
      <w:r>
        <w:rPr>
          <w:color w:val="000000"/>
        </w:rPr>
        <w:t xml:space="preserve">) estabelece os requisitos para a participação dos Estados membros no ciclo programático do FCD: “a) ter feito um oferecimento de contribuição voluntária dentro do prazo estabelecido no inciso </w:t>
      </w:r>
      <w:r>
        <w:rPr>
          <w:color w:val="000000"/>
          <w:u w:val="single"/>
        </w:rPr>
        <w:t>a</w:t>
      </w:r>
      <w:r>
        <w:rPr>
          <w:color w:val="000000"/>
        </w:rPr>
        <w:t xml:space="preserve"> do Artigo 17 deste Estatuto; e b)</w:t>
      </w:r>
      <w:r>
        <w:rPr>
          <w:color w:val="000000"/>
        </w:rPr>
        <w:tab/>
        <w:t xml:space="preserve">ter pago a totalidade do oferecimento de contribuição dentro do prazo estipulado no inciso </w:t>
      </w:r>
      <w:r>
        <w:rPr>
          <w:color w:val="000000"/>
          <w:u w:val="single"/>
        </w:rPr>
        <w:t>b</w:t>
      </w:r>
      <w:r>
        <w:rPr>
          <w:color w:val="000000"/>
        </w:rPr>
        <w:t xml:space="preserve"> do Artigo 17 deste Estatuto</w:t>
      </w:r>
      <w:r w:rsidR="00334D13">
        <w:rPr>
          <w:color w:val="000000"/>
        </w:rPr>
        <w:t>”</w:t>
      </w:r>
      <w:r>
        <w:rPr>
          <w:color w:val="000000"/>
        </w:rPr>
        <w:t>.</w:t>
      </w:r>
    </w:p>
    <w:p w14:paraId="16CEB131" w14:textId="77777777" w:rsidR="00180E63" w:rsidRPr="00026D0D" w:rsidRDefault="00180E63" w:rsidP="00180E63">
      <w:pPr>
        <w:jc w:val="both"/>
      </w:pPr>
    </w:p>
    <w:p w14:paraId="12706E9C" w14:textId="77777777" w:rsidR="00180E63" w:rsidRDefault="00180E63" w:rsidP="00180E63">
      <w:pPr>
        <w:ind w:firstLine="720"/>
        <w:jc w:val="both"/>
      </w:pPr>
      <w:r>
        <w:t>Com base no artigo anterior, a lista dos Estados membros qualificados para participar do ciclo de programação 2021-2024 do FCD encontra-se a seguir:</w:t>
      </w:r>
    </w:p>
    <w:p w14:paraId="7E5006EC" w14:textId="77777777" w:rsidR="00180E63" w:rsidRPr="00026D0D" w:rsidRDefault="00180E63" w:rsidP="00004BC9">
      <w:pPr>
        <w:jc w:val="both"/>
        <w:rPr>
          <w:lang w:eastAsia="en-US"/>
        </w:rPr>
      </w:pPr>
    </w:p>
    <w:tbl>
      <w:tblPr>
        <w:tblW w:w="6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790"/>
      </w:tblGrid>
      <w:tr w:rsidR="00180E63" w:rsidRPr="00713118" w14:paraId="6D2E857E" w14:textId="77777777" w:rsidTr="00022767">
        <w:trPr>
          <w:trHeight w:val="392"/>
          <w:jc w:val="center"/>
        </w:trPr>
        <w:tc>
          <w:tcPr>
            <w:tcW w:w="3277" w:type="dxa"/>
            <w:shd w:val="clear" w:color="000000" w:fill="D9D9D9"/>
            <w:vAlign w:val="center"/>
          </w:tcPr>
          <w:p w14:paraId="5F268B09" w14:textId="77777777" w:rsidR="00180E63" w:rsidRDefault="00180E63" w:rsidP="000227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PAÍS</w:t>
            </w:r>
          </w:p>
        </w:tc>
        <w:tc>
          <w:tcPr>
            <w:tcW w:w="2790" w:type="dxa"/>
            <w:shd w:val="clear" w:color="000000" w:fill="D9D9D9"/>
            <w:vAlign w:val="center"/>
          </w:tcPr>
          <w:p w14:paraId="64B0C97C" w14:textId="77777777" w:rsidR="00180E63" w:rsidRDefault="00180E63" w:rsidP="000227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QUALIFICADO</w:t>
            </w:r>
          </w:p>
        </w:tc>
      </w:tr>
      <w:tr w:rsidR="00180E63" w:rsidRPr="00713118" w14:paraId="71C8568D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2CC41EBF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Antígua e Barbuda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7ADC557B" w14:textId="77777777" w:rsidR="00180E63" w:rsidRDefault="00180E63" w:rsidP="00022767">
            <w:pPr>
              <w:jc w:val="center"/>
              <w:rPr>
                <w:color w:val="000000"/>
              </w:rPr>
            </w:pPr>
          </w:p>
        </w:tc>
      </w:tr>
      <w:tr w:rsidR="00180E63" w:rsidRPr="00713118" w14:paraId="2F23E4F4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2DAD5DA1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Argentina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6EEDAD72" w14:textId="77777777" w:rsidR="00180E63" w:rsidRDefault="00180E63" w:rsidP="00022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180E63" w:rsidRPr="00713118" w14:paraId="1B9EBE50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0F1325E8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Bahamas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6CA1F0C6" w14:textId="77777777" w:rsidR="00180E63" w:rsidRDefault="00180E63" w:rsidP="00022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180E63" w:rsidRPr="00713118" w14:paraId="51E9D174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33F7C992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Barbados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43FCBCF5" w14:textId="77777777" w:rsidR="00180E63" w:rsidRDefault="00180E63" w:rsidP="00022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180E63" w:rsidRPr="00713118" w14:paraId="54FFACFF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12152FCD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Belize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51D78B16" w14:textId="77777777" w:rsidR="00180E63" w:rsidRDefault="00180E63" w:rsidP="00022767">
            <w:pPr>
              <w:jc w:val="center"/>
              <w:rPr>
                <w:color w:val="000000"/>
              </w:rPr>
            </w:pPr>
          </w:p>
        </w:tc>
      </w:tr>
      <w:tr w:rsidR="00180E63" w:rsidRPr="00713118" w14:paraId="76FF0202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6F9CA2F4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Bolívia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67244F31" w14:textId="77777777" w:rsidR="00180E63" w:rsidRDefault="00180E63" w:rsidP="00022767">
            <w:pPr>
              <w:jc w:val="center"/>
              <w:rPr>
                <w:color w:val="000000"/>
              </w:rPr>
            </w:pPr>
          </w:p>
        </w:tc>
      </w:tr>
      <w:tr w:rsidR="00180E63" w:rsidRPr="00713118" w14:paraId="7BD46207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2FFD068E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Brasil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18F14AEF" w14:textId="77777777" w:rsidR="00180E63" w:rsidRDefault="00180E63" w:rsidP="00022767">
            <w:pPr>
              <w:jc w:val="center"/>
              <w:rPr>
                <w:color w:val="000000"/>
              </w:rPr>
            </w:pPr>
          </w:p>
        </w:tc>
      </w:tr>
      <w:tr w:rsidR="00180E63" w:rsidRPr="00713118" w14:paraId="62BB676A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1DC19105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Canadá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25E524A4" w14:textId="77777777" w:rsidR="00180E63" w:rsidRDefault="00180E63" w:rsidP="00022767">
            <w:pPr>
              <w:jc w:val="center"/>
              <w:rPr>
                <w:color w:val="000000"/>
              </w:rPr>
            </w:pPr>
          </w:p>
        </w:tc>
      </w:tr>
      <w:tr w:rsidR="00180E63" w:rsidRPr="00713118" w14:paraId="77B2A454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4A7B446B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Chile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75FCA0D3" w14:textId="77777777" w:rsidR="00180E63" w:rsidRDefault="00180E63" w:rsidP="00022767">
            <w:pPr>
              <w:jc w:val="center"/>
              <w:rPr>
                <w:color w:val="000000"/>
              </w:rPr>
            </w:pPr>
          </w:p>
        </w:tc>
      </w:tr>
      <w:tr w:rsidR="00180E63" w:rsidRPr="00713118" w14:paraId="43096FDC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1B571717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Colômbia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771D8879" w14:textId="77777777" w:rsidR="00180E63" w:rsidRDefault="00180E63" w:rsidP="00022767">
            <w:pPr>
              <w:jc w:val="center"/>
              <w:rPr>
                <w:color w:val="000000"/>
              </w:rPr>
            </w:pPr>
          </w:p>
        </w:tc>
      </w:tr>
      <w:tr w:rsidR="00180E63" w:rsidRPr="00713118" w14:paraId="5F75FF3A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5C1525F5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Costa Rica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325E1C72" w14:textId="77777777" w:rsidR="00180E63" w:rsidRDefault="00180E63" w:rsidP="00022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180E63" w:rsidRPr="00713118" w14:paraId="29DC6009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4CCD4EA7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Dominica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7B4F3CCC" w14:textId="77777777" w:rsidR="00180E63" w:rsidRDefault="00180E63" w:rsidP="00022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180E63" w:rsidRPr="00713118" w14:paraId="75819B9B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065D11EA" w14:textId="72A52751" w:rsidR="00180E63" w:rsidRDefault="00453FC5" w:rsidP="00022767">
            <w:pPr>
              <w:rPr>
                <w:color w:val="000000"/>
              </w:rPr>
            </w:pPr>
            <w:r>
              <w:rPr>
                <w:color w:val="000000"/>
              </w:rPr>
              <w:t>El Salvador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3B84ECEA" w14:textId="77777777" w:rsidR="00180E63" w:rsidRDefault="00180E63" w:rsidP="00022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180E63" w:rsidRPr="00713118" w14:paraId="2E33076D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083B77E8" w14:textId="2256AFDB" w:rsidR="00180E63" w:rsidRDefault="00453FC5" w:rsidP="00022767">
            <w:pPr>
              <w:rPr>
                <w:color w:val="000000"/>
              </w:rPr>
            </w:pPr>
            <w:r>
              <w:rPr>
                <w:color w:val="000000"/>
              </w:rPr>
              <w:t xml:space="preserve">Equador 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6C73B6A7" w14:textId="77777777" w:rsidR="00180E63" w:rsidRDefault="00180E63" w:rsidP="00022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180E63" w:rsidRPr="00713118" w14:paraId="562DE033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76B0A3A8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Estados Unidos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718353AC" w14:textId="77777777" w:rsidR="00180E63" w:rsidRDefault="00180E63" w:rsidP="00022767">
            <w:pPr>
              <w:jc w:val="center"/>
              <w:rPr>
                <w:color w:val="000000"/>
              </w:rPr>
            </w:pPr>
          </w:p>
        </w:tc>
      </w:tr>
      <w:tr w:rsidR="00180E63" w:rsidRPr="00713118" w14:paraId="2B72656F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38FEE1F7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Grenada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252F879D" w14:textId="77777777" w:rsidR="00180E63" w:rsidRDefault="00180E63" w:rsidP="00022767">
            <w:pPr>
              <w:jc w:val="center"/>
              <w:rPr>
                <w:color w:val="000000"/>
              </w:rPr>
            </w:pPr>
          </w:p>
        </w:tc>
      </w:tr>
      <w:tr w:rsidR="00180E63" w:rsidRPr="00713118" w14:paraId="61AD6589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5EAA0D2B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Guatemala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3CC80D27" w14:textId="77777777" w:rsidR="00180E63" w:rsidRDefault="00180E63" w:rsidP="00022767">
            <w:pPr>
              <w:jc w:val="center"/>
              <w:rPr>
                <w:color w:val="000000"/>
              </w:rPr>
            </w:pPr>
          </w:p>
        </w:tc>
      </w:tr>
      <w:tr w:rsidR="00180E63" w:rsidRPr="00713118" w14:paraId="140D03D7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541D26D7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Guiana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7D67D96C" w14:textId="77777777" w:rsidR="00180E63" w:rsidRDefault="00180E63" w:rsidP="00022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180E63" w:rsidRPr="00713118" w14:paraId="2219BA0F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52590F78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Haiti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3DB3498F" w14:textId="77777777" w:rsidR="00180E63" w:rsidRDefault="00180E63" w:rsidP="00022767">
            <w:pPr>
              <w:jc w:val="center"/>
              <w:rPr>
                <w:color w:val="000000"/>
              </w:rPr>
            </w:pPr>
          </w:p>
        </w:tc>
      </w:tr>
      <w:tr w:rsidR="00180E63" w:rsidRPr="00713118" w14:paraId="32A3B8DB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50039363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Honduras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343A10D0" w14:textId="77777777" w:rsidR="00180E63" w:rsidRDefault="00180E63" w:rsidP="00022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180E63" w:rsidRPr="00713118" w14:paraId="216A815C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4DF7735D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Jamaica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29118D67" w14:textId="77777777" w:rsidR="00180E63" w:rsidRDefault="00180E63" w:rsidP="00022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180E63" w:rsidRPr="00713118" w14:paraId="7FD79474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0DF17134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México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02909603" w14:textId="77777777" w:rsidR="00180E63" w:rsidRDefault="00180E63" w:rsidP="00022767">
            <w:pPr>
              <w:jc w:val="center"/>
              <w:rPr>
                <w:color w:val="000000"/>
              </w:rPr>
            </w:pPr>
          </w:p>
        </w:tc>
      </w:tr>
      <w:tr w:rsidR="00180E63" w:rsidRPr="00713118" w14:paraId="7BD2D722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0C671C29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Nicarágua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6AAFF83B" w14:textId="77777777" w:rsidR="00180E63" w:rsidRDefault="00180E63" w:rsidP="00022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180E63" w:rsidRPr="00713118" w14:paraId="7D64AF59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62941C2D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Panamá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6709C8AE" w14:textId="77777777" w:rsidR="00180E63" w:rsidRDefault="00180E63" w:rsidP="00022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180E63" w:rsidRPr="00713118" w14:paraId="58F223E5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1AA7D801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Paraguai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34165CC8" w14:textId="77777777" w:rsidR="00180E63" w:rsidRDefault="00180E63" w:rsidP="00022767">
            <w:pPr>
              <w:jc w:val="center"/>
              <w:rPr>
                <w:color w:val="000000"/>
              </w:rPr>
            </w:pPr>
          </w:p>
        </w:tc>
      </w:tr>
      <w:tr w:rsidR="00180E63" w:rsidRPr="00713118" w14:paraId="37957419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5C57EDB8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Peru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34478A67" w14:textId="77777777" w:rsidR="00180E63" w:rsidRDefault="00180E63" w:rsidP="00022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180E63" w:rsidRPr="00713118" w14:paraId="2C76DBE4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7B93C562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República Dominicana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6F084CCA" w14:textId="77777777" w:rsidR="00180E63" w:rsidRDefault="00180E63" w:rsidP="00022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180E63" w:rsidRPr="00713118" w14:paraId="7EFD6E02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66DE9311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Saint Kitts e Nevis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03BCD9D5" w14:textId="77777777" w:rsidR="00180E63" w:rsidRDefault="00180E63" w:rsidP="00022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180E63" w:rsidRPr="00713118" w14:paraId="13E42711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5B723451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Santa Lúcia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474DEF5A" w14:textId="77777777" w:rsidR="00180E63" w:rsidRDefault="00180E63" w:rsidP="00022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180E63" w:rsidRPr="00713118" w14:paraId="3529BC96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32BB62B6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São Vicente e Granadinas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59C6A80C" w14:textId="77777777" w:rsidR="00180E63" w:rsidRDefault="00180E63" w:rsidP="00022767">
            <w:pPr>
              <w:jc w:val="center"/>
              <w:rPr>
                <w:color w:val="000000"/>
              </w:rPr>
            </w:pPr>
          </w:p>
        </w:tc>
      </w:tr>
      <w:tr w:rsidR="00180E63" w:rsidRPr="00713118" w14:paraId="615AA187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1D34935F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Suriname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050664EE" w14:textId="77777777" w:rsidR="00180E63" w:rsidRDefault="00180E63" w:rsidP="00022767">
            <w:pPr>
              <w:jc w:val="center"/>
              <w:rPr>
                <w:color w:val="000000"/>
              </w:rPr>
            </w:pPr>
          </w:p>
        </w:tc>
      </w:tr>
      <w:tr w:rsidR="00180E63" w:rsidRPr="00713118" w14:paraId="2E7D9908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6CF3922E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Trindade e Tobago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573BDC41" w14:textId="77777777" w:rsidR="00180E63" w:rsidRDefault="00180E63" w:rsidP="00022767">
            <w:pPr>
              <w:jc w:val="center"/>
              <w:rPr>
                <w:color w:val="000000"/>
              </w:rPr>
            </w:pPr>
          </w:p>
        </w:tc>
      </w:tr>
      <w:tr w:rsidR="00180E63" w:rsidRPr="00713118" w14:paraId="4BC9A743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2364A592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Uruguai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67308776" w14:textId="77777777" w:rsidR="00180E63" w:rsidRDefault="00180E63" w:rsidP="00022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180E63" w:rsidRPr="00713118" w14:paraId="637F4B0E" w14:textId="77777777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14:paraId="122296AD" w14:textId="77777777" w:rsidR="00180E63" w:rsidRDefault="00180E63" w:rsidP="00022767">
            <w:pPr>
              <w:rPr>
                <w:color w:val="000000"/>
              </w:rPr>
            </w:pPr>
            <w:r>
              <w:rPr>
                <w:color w:val="000000"/>
              </w:rPr>
              <w:t>Venezuela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53FB1C73" w14:textId="77777777" w:rsidR="00180E63" w:rsidRDefault="00180E63" w:rsidP="00022767">
            <w:pPr>
              <w:jc w:val="center"/>
              <w:rPr>
                <w:color w:val="000000"/>
              </w:rPr>
            </w:pPr>
          </w:p>
        </w:tc>
      </w:tr>
      <w:tr w:rsidR="00180E63" w:rsidRPr="00713118" w14:paraId="4FB66D3C" w14:textId="77777777" w:rsidTr="00022767">
        <w:trPr>
          <w:trHeight w:val="347"/>
          <w:jc w:val="center"/>
        </w:trPr>
        <w:tc>
          <w:tcPr>
            <w:tcW w:w="3277" w:type="dxa"/>
            <w:shd w:val="clear" w:color="auto" w:fill="D0CECE"/>
            <w:noWrap/>
            <w:vAlign w:val="center"/>
            <w:hideMark/>
          </w:tcPr>
          <w:p w14:paraId="256F4BC7" w14:textId="77777777" w:rsidR="00180E63" w:rsidRPr="00713118" w:rsidRDefault="00180E63" w:rsidP="0002276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</w:rPr>
              <w:t>TOTAL</w:t>
            </w:r>
          </w:p>
        </w:tc>
        <w:tc>
          <w:tcPr>
            <w:tcW w:w="2790" w:type="dxa"/>
            <w:shd w:val="clear" w:color="auto" w:fill="D0CECE"/>
            <w:vAlign w:val="center"/>
          </w:tcPr>
          <w:p w14:paraId="39BAD627" w14:textId="77777777" w:rsidR="00180E63" w:rsidRPr="00713118" w:rsidRDefault="00180E63" w:rsidP="0002276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</w:rPr>
              <w:t>17</w:t>
            </w:r>
          </w:p>
        </w:tc>
      </w:tr>
    </w:tbl>
    <w:p w14:paraId="2489732F" w14:textId="77777777" w:rsidR="00180E63" w:rsidRPr="008B37DE" w:rsidRDefault="00180E63" w:rsidP="00180E63">
      <w:pPr>
        <w:jc w:val="both"/>
        <w:rPr>
          <w:color w:val="000000"/>
          <w:lang w:val="es-CO"/>
        </w:rPr>
      </w:pPr>
    </w:p>
    <w:p w14:paraId="4814AA7D" w14:textId="77777777" w:rsidR="00180E63" w:rsidRPr="008B37DE" w:rsidRDefault="00180E63" w:rsidP="00180E63">
      <w:pPr>
        <w:jc w:val="both"/>
        <w:rPr>
          <w:color w:val="000000"/>
          <w:lang w:val="en-US"/>
        </w:rPr>
      </w:pPr>
    </w:p>
    <w:p w14:paraId="5BDD6423" w14:textId="2EEC9231" w:rsidR="00180E63" w:rsidRPr="008B37DE" w:rsidRDefault="00180E63" w:rsidP="00180E63">
      <w:pPr>
        <w:jc w:val="both"/>
        <w:rPr>
          <w:color w:val="000000"/>
        </w:rPr>
      </w:pPr>
      <w:r>
        <w:rPr>
          <w:color w:val="000000"/>
        </w:rPr>
        <w:t xml:space="preserve">Os requisitos do documento “Critérios de seleção e avaliação das atividades de cooperação solidária para o </w:t>
      </w:r>
      <w:r w:rsidR="00C822DE">
        <w:rPr>
          <w:color w:val="000000"/>
        </w:rPr>
        <w:t>d</w:t>
      </w:r>
      <w:r>
        <w:rPr>
          <w:color w:val="000000"/>
        </w:rPr>
        <w:t xml:space="preserve">esenvolvimento do Fundo de Cooperação para o Desenvolvimento da OEA (FCD/OEA)” orientarão o desenvolvimento do programa. </w:t>
      </w:r>
    </w:p>
    <w:p w14:paraId="57576DAD" w14:textId="77777777" w:rsidR="00180E63" w:rsidRPr="00026D0D" w:rsidRDefault="00180E63" w:rsidP="00180E63">
      <w:pPr>
        <w:jc w:val="both"/>
      </w:pPr>
    </w:p>
    <w:p w14:paraId="50177351" w14:textId="77777777" w:rsidR="00180E63" w:rsidRPr="008B37DE" w:rsidRDefault="00180E63" w:rsidP="00180E6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26"/>
          <w:tab w:val="left" w:pos="7980"/>
          <w:tab w:val="left" w:pos="8664"/>
          <w:tab w:val="left" w:pos="9360"/>
        </w:tabs>
        <w:suppressAutoHyphens/>
        <w:ind w:left="720"/>
        <w:jc w:val="both"/>
        <w:rPr>
          <w:rFonts w:eastAsia="Times New Roman"/>
          <w:snapToGrid w:val="0"/>
          <w:spacing w:val="-2"/>
        </w:rPr>
      </w:pPr>
      <w:r>
        <w:rPr>
          <w:snapToGrid w:val="0"/>
        </w:rPr>
        <w:t>Cada programa deve:</w:t>
      </w:r>
    </w:p>
    <w:p w14:paraId="2EAFD2BA" w14:textId="77777777" w:rsidR="00180E63" w:rsidRPr="008B37DE" w:rsidRDefault="00180E63" w:rsidP="00004BC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26"/>
          <w:tab w:val="left" w:pos="7980"/>
          <w:tab w:val="left" w:pos="8664"/>
          <w:tab w:val="left" w:pos="9360"/>
        </w:tabs>
        <w:suppressAutoHyphens/>
        <w:jc w:val="both"/>
        <w:rPr>
          <w:rFonts w:eastAsia="Times New Roman"/>
          <w:snapToGrid w:val="0"/>
          <w:spacing w:val="-2"/>
        </w:rPr>
      </w:pPr>
    </w:p>
    <w:p w14:paraId="2A33FD6B" w14:textId="77777777" w:rsidR="00180E63" w:rsidRPr="008B37DE" w:rsidRDefault="00180E63" w:rsidP="00004BC9">
      <w:pPr>
        <w:widowControl w:val="0"/>
        <w:numPr>
          <w:ilvl w:val="0"/>
          <w:numId w:val="25"/>
        </w:numPr>
        <w:tabs>
          <w:tab w:val="clear" w:pos="1080"/>
          <w:tab w:val="left" w:pos="-1440"/>
          <w:tab w:val="left" w:pos="-720"/>
          <w:tab w:val="left" w:pos="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26"/>
          <w:tab w:val="left" w:pos="7980"/>
          <w:tab w:val="left" w:pos="8664"/>
          <w:tab w:val="left" w:pos="9360"/>
        </w:tabs>
        <w:suppressAutoHyphens/>
        <w:ind w:left="1440" w:hanging="720"/>
        <w:jc w:val="both"/>
        <w:rPr>
          <w:rFonts w:eastAsia="Times New Roman"/>
          <w:snapToGrid w:val="0"/>
          <w:spacing w:val="-2"/>
        </w:rPr>
      </w:pPr>
      <w:r>
        <w:rPr>
          <w:snapToGrid w:val="0"/>
        </w:rPr>
        <w:t xml:space="preserve">Definir claramente um objetivo com base na área temática. </w:t>
      </w:r>
    </w:p>
    <w:p w14:paraId="278DAF2A" w14:textId="77777777" w:rsidR="00180E63" w:rsidRPr="008B37DE" w:rsidRDefault="00180E63" w:rsidP="00004BC9">
      <w:pPr>
        <w:widowControl w:val="0"/>
        <w:numPr>
          <w:ilvl w:val="0"/>
          <w:numId w:val="25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</w:rPr>
      </w:pPr>
      <w:r>
        <w:t xml:space="preserve">Contribuir para resolver um problema nacional ou regional enfrentado por governos ou comunidades. </w:t>
      </w:r>
    </w:p>
    <w:p w14:paraId="0185A811" w14:textId="11607942" w:rsidR="00180E63" w:rsidRPr="008B37DE" w:rsidRDefault="00180E63" w:rsidP="00004BC9">
      <w:pPr>
        <w:widowControl w:val="0"/>
        <w:numPr>
          <w:ilvl w:val="0"/>
          <w:numId w:val="25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</w:rPr>
      </w:pPr>
      <w:r>
        <w:t>Facilitar ou promover a transferência ou o intercâmbio de experiências, conhecimentos, boas práticas, técnicas e tecnologias</w:t>
      </w:r>
      <w:r w:rsidR="00A64138">
        <w:t xml:space="preserve"> </w:t>
      </w:r>
      <w:r w:rsidR="009D3F96">
        <w:t>—</w:t>
      </w:r>
      <w:r>
        <w:t xml:space="preserve"> </w:t>
      </w:r>
      <w:r w:rsidR="005820C1">
        <w:t>se</w:t>
      </w:r>
      <w:r>
        <w:t xml:space="preserve"> possível </w:t>
      </w:r>
      <w:r w:rsidR="005D161E">
        <w:t xml:space="preserve">que sejam </w:t>
      </w:r>
      <w:r>
        <w:t xml:space="preserve">de </w:t>
      </w:r>
      <w:r w:rsidR="005D161E">
        <w:t>caráter</w:t>
      </w:r>
      <w:r>
        <w:t xml:space="preserve"> internacional ou que potencializem as já existe</w:t>
      </w:r>
      <w:r w:rsidR="005D161E">
        <w:t>ntes</w:t>
      </w:r>
      <w:r>
        <w:t xml:space="preserve"> no âmbito nacional ou regional. Promover, na medida do possível, as modalidades de cooperação triangular, Sul-Sul e horizontal, entre outras. </w:t>
      </w:r>
    </w:p>
    <w:p w14:paraId="7F8D446D" w14:textId="4FE30041" w:rsidR="00180E63" w:rsidRPr="008B37DE" w:rsidRDefault="00180E63" w:rsidP="00004BC9">
      <w:pPr>
        <w:widowControl w:val="0"/>
        <w:numPr>
          <w:ilvl w:val="0"/>
          <w:numId w:val="25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</w:rPr>
      </w:pPr>
      <w:r>
        <w:t xml:space="preserve">Aumentar as oportunidades de coordenação e mobilização do cofinanciamento nacional e de múltiplas fontes, inclusive </w:t>
      </w:r>
      <w:r w:rsidR="008B7658">
        <w:t xml:space="preserve">de </w:t>
      </w:r>
      <w:r>
        <w:t xml:space="preserve">doadores e </w:t>
      </w:r>
      <w:r w:rsidR="008B7658">
        <w:t xml:space="preserve">do </w:t>
      </w:r>
      <w:r>
        <w:t xml:space="preserve">setor privado. </w:t>
      </w:r>
    </w:p>
    <w:p w14:paraId="698708E6" w14:textId="77777777" w:rsidR="00180E63" w:rsidRPr="008B37DE" w:rsidRDefault="00180E63" w:rsidP="00004BC9">
      <w:pPr>
        <w:numPr>
          <w:ilvl w:val="0"/>
          <w:numId w:val="25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  <w:bCs/>
        </w:rPr>
      </w:pPr>
      <w:r>
        <w:t>Contribuir para aproveitar e desenvolver as capacidades locais e, assim, aumentar o capital humano.</w:t>
      </w:r>
    </w:p>
    <w:p w14:paraId="7C6D5C4F" w14:textId="49E07674" w:rsidR="00180E63" w:rsidRPr="008B37DE" w:rsidRDefault="00180E63" w:rsidP="00004BC9">
      <w:pPr>
        <w:numPr>
          <w:ilvl w:val="0"/>
          <w:numId w:val="25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  <w:bCs/>
        </w:rPr>
      </w:pPr>
      <w:r>
        <w:t>Centrar os programas no fortalecimento das instituições e na capacitação dos recursos humanos e fazer com que as despesas de funcionamento sejam de contrapartida.</w:t>
      </w:r>
    </w:p>
    <w:p w14:paraId="0A7B2D1A" w14:textId="77777777" w:rsidR="00180E63" w:rsidRPr="008B37DE" w:rsidRDefault="00180E63" w:rsidP="00004BC9">
      <w:pPr>
        <w:numPr>
          <w:ilvl w:val="0"/>
          <w:numId w:val="25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  <w:bCs/>
        </w:rPr>
      </w:pPr>
      <w:r>
        <w:t>Evitar, na alocação de recursos, a duplicação de esforços com ações semelhantes já realizadas ou em curso nos respectivos países.</w:t>
      </w:r>
    </w:p>
    <w:p w14:paraId="327DEF3A" w14:textId="3DBB0F47" w:rsidR="00180E63" w:rsidRPr="008B37DE" w:rsidRDefault="00180E63" w:rsidP="00004BC9">
      <w:pPr>
        <w:numPr>
          <w:ilvl w:val="0"/>
          <w:numId w:val="25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  <w:bCs/>
        </w:rPr>
      </w:pPr>
      <w:r>
        <w:lastRenderedPageBreak/>
        <w:t xml:space="preserve">Assegurar a sustentabilidade dos resultados dos programas, de modo que a entidade executora tenha a capacidade de replicar e </w:t>
      </w:r>
      <w:r w:rsidR="005B0F76">
        <w:t xml:space="preserve">de </w:t>
      </w:r>
      <w:r>
        <w:t>continuar por si própria os resultados obtidos, uma vez terminado o financiamento do programa.</w:t>
      </w:r>
    </w:p>
    <w:p w14:paraId="244F4110" w14:textId="2012620F" w:rsidR="00180E63" w:rsidRPr="008B37DE" w:rsidRDefault="00180E63" w:rsidP="00004BC9">
      <w:pPr>
        <w:widowControl w:val="0"/>
        <w:numPr>
          <w:ilvl w:val="0"/>
          <w:numId w:val="25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</w:rPr>
      </w:pPr>
      <w:r>
        <w:t xml:space="preserve">Combinar os recursos e as experiências dos </w:t>
      </w:r>
      <w:r w:rsidR="004C359F">
        <w:t xml:space="preserve">respectivos </w:t>
      </w:r>
      <w:r>
        <w:t xml:space="preserve">parceiros nos setores público e privado </w:t>
      </w:r>
      <w:r w:rsidR="00E03D33">
        <w:t xml:space="preserve">— </w:t>
      </w:r>
      <w:r>
        <w:t>empresas, fundações, organizações não governamentais (ONG</w:t>
      </w:r>
      <w:r w:rsidR="004C359F">
        <w:t>s</w:t>
      </w:r>
      <w:r>
        <w:t>), universidades, comércios locais</w:t>
      </w:r>
      <w:r w:rsidR="00C97977">
        <w:t xml:space="preserve">, </w:t>
      </w:r>
      <w:r>
        <w:t>grupos da diáspora</w:t>
      </w:r>
      <w:r w:rsidR="00C97977">
        <w:t xml:space="preserve"> e</w:t>
      </w:r>
      <w:r>
        <w:t xml:space="preserve"> membros observadores </w:t>
      </w:r>
      <w:r w:rsidR="00060984">
        <w:t xml:space="preserve">— , </w:t>
      </w:r>
      <w:r>
        <w:t>aproveitando ao máximo seu capital e investimentos.</w:t>
      </w:r>
    </w:p>
    <w:p w14:paraId="0F7FD71C" w14:textId="06C62C9A" w:rsidR="00180E63" w:rsidRPr="008B37DE" w:rsidRDefault="00180E63" w:rsidP="00004BC9">
      <w:pPr>
        <w:widowControl w:val="0"/>
        <w:numPr>
          <w:ilvl w:val="0"/>
          <w:numId w:val="25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  <w:bCs/>
        </w:rPr>
      </w:pPr>
      <w:r>
        <w:t>Considerar</w:t>
      </w:r>
      <w:r w:rsidR="00666C1C">
        <w:t>, na estruturação dos programas,</w:t>
      </w:r>
      <w:r>
        <w:t xml:space="preserve"> as áreas de educação e ciência e tecnologia como elementos transversais </w:t>
      </w:r>
      <w:r w:rsidR="00666C1C">
        <w:t>em</w:t>
      </w:r>
      <w:r>
        <w:t xml:space="preserve"> cada ciclo de programação d</w:t>
      </w:r>
      <w:r w:rsidR="00060984">
        <w:t>o</w:t>
      </w:r>
      <w:r>
        <w:t xml:space="preserve"> </w:t>
      </w:r>
      <w:r>
        <w:rPr>
          <w:snapToGrid w:val="0"/>
        </w:rPr>
        <w:t>FCD/OEA</w:t>
      </w:r>
      <w:r>
        <w:t xml:space="preserve">. </w:t>
      </w:r>
    </w:p>
    <w:p w14:paraId="366C0DE9" w14:textId="246C1683" w:rsidR="00180E63" w:rsidRPr="008B37DE" w:rsidRDefault="00180E63" w:rsidP="00004BC9">
      <w:pPr>
        <w:widowControl w:val="0"/>
        <w:numPr>
          <w:ilvl w:val="0"/>
          <w:numId w:val="25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  <w:bCs/>
        </w:rPr>
      </w:pPr>
      <w:r>
        <w:t xml:space="preserve">Incluir um </w:t>
      </w:r>
      <w:r w:rsidR="00666C1C">
        <w:t>projeto</w:t>
      </w:r>
      <w:r>
        <w:t xml:space="preserve"> inicial de </w:t>
      </w:r>
      <w:r w:rsidR="008A3728">
        <w:t>p</w:t>
      </w:r>
      <w:r>
        <w:t xml:space="preserve">lano de monitoramento e avaliação. A versão final deve ser apresentada no prazo de 90 dias a partir da data de assinatura do acordo. </w:t>
      </w:r>
    </w:p>
    <w:p w14:paraId="6A5E7B15" w14:textId="77777777" w:rsidR="00180E63" w:rsidRPr="008B37DE" w:rsidRDefault="00180E63" w:rsidP="00004BC9">
      <w:pPr>
        <w:numPr>
          <w:ilvl w:val="0"/>
          <w:numId w:val="25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</w:rPr>
      </w:pPr>
      <w:r>
        <w:t>Demonstrar inovação em seu enfoque e sustentabilidade de resultados/efeitos.</w:t>
      </w:r>
    </w:p>
    <w:p w14:paraId="45A4D3DB" w14:textId="037C74D8" w:rsidR="00180E63" w:rsidRPr="008B37DE" w:rsidRDefault="00180E63" w:rsidP="00180E63">
      <w:pPr>
        <w:jc w:val="both"/>
        <w:rPr>
          <w:color w:val="000000"/>
        </w:rPr>
      </w:pPr>
    </w:p>
    <w:p w14:paraId="5F6062BB" w14:textId="4651F717" w:rsidR="00AD115B" w:rsidRPr="00026D0D" w:rsidRDefault="003336B1" w:rsidP="00283056">
      <w:pPr>
        <w:rPr>
          <w:color w:val="000000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1811222" wp14:editId="697187F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2E9812B" w14:textId="0032FB95" w:rsidR="003336B1" w:rsidRPr="003336B1" w:rsidRDefault="003336B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CIDRP03051P01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112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14:paraId="52E9812B" w14:textId="0032FB95" w:rsidR="003336B1" w:rsidRPr="003336B1" w:rsidRDefault="003336B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CIDRP03051P01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D115B" w:rsidRPr="00026D0D" w:rsidSect="00004BC9">
      <w:headerReference w:type="default" r:id="rId14"/>
      <w:headerReference w:type="first" r:id="rId15"/>
      <w:type w:val="oddPage"/>
      <w:pgSz w:w="12240" w:h="15840" w:code="1"/>
      <w:pgMar w:top="1260" w:right="1570" w:bottom="1152" w:left="1699" w:header="1296" w:footer="1296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4D194" w14:textId="77777777" w:rsidR="00C60BF1" w:rsidRDefault="00C60BF1" w:rsidP="00C30F2F">
      <w:r>
        <w:separator/>
      </w:r>
    </w:p>
  </w:endnote>
  <w:endnote w:type="continuationSeparator" w:id="0">
    <w:p w14:paraId="371387D7" w14:textId="77777777" w:rsidR="00C60BF1" w:rsidRDefault="00C60BF1" w:rsidP="00C30F2F">
      <w:r>
        <w:continuationSeparator/>
      </w:r>
    </w:p>
  </w:endnote>
  <w:endnote w:type="continuationNotice" w:id="1">
    <w:p w14:paraId="0916EFA1" w14:textId="77777777" w:rsidR="00C60BF1" w:rsidRDefault="00C60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CD3CB" w14:textId="77777777" w:rsidR="00C60BF1" w:rsidRDefault="00C60BF1" w:rsidP="00C30F2F">
      <w:r>
        <w:separator/>
      </w:r>
    </w:p>
  </w:footnote>
  <w:footnote w:type="continuationSeparator" w:id="0">
    <w:p w14:paraId="74741F1C" w14:textId="77777777" w:rsidR="00C60BF1" w:rsidRDefault="00C60BF1" w:rsidP="00C30F2F">
      <w:r>
        <w:continuationSeparator/>
      </w:r>
    </w:p>
  </w:footnote>
  <w:footnote w:type="continuationNotice" w:id="1">
    <w:p w14:paraId="48E6F4D8" w14:textId="77777777" w:rsidR="00C60BF1" w:rsidRDefault="00C60B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C6B22" w14:textId="68C5267A" w:rsidR="000D206D" w:rsidRPr="006568F0" w:rsidRDefault="000D206D">
    <w:pPr>
      <w:pStyle w:val="Header"/>
      <w:jc w:val="center"/>
      <w:rPr>
        <w:sz w:val="22"/>
        <w:szCs w:val="22"/>
      </w:rPr>
    </w:pPr>
    <w:r w:rsidRPr="006568F0">
      <w:rPr>
        <w:sz w:val="22"/>
      </w:rPr>
      <w:fldChar w:fldCharType="begin"/>
    </w:r>
    <w:r w:rsidRPr="006568F0">
      <w:rPr>
        <w:sz w:val="22"/>
      </w:rPr>
      <w:instrText xml:space="preserve"> PAGE   \* MERGEFORMAT </w:instrText>
    </w:r>
    <w:r w:rsidRPr="006568F0">
      <w:rPr>
        <w:sz w:val="22"/>
      </w:rPr>
      <w:fldChar w:fldCharType="separate"/>
    </w:r>
    <w:r w:rsidR="008C7219">
      <w:rPr>
        <w:noProof/>
        <w:sz w:val="22"/>
      </w:rPr>
      <w:t>- 4 -</w:t>
    </w:r>
    <w:r w:rsidRPr="006568F0">
      <w:rPr>
        <w:sz w:val="22"/>
      </w:rPr>
      <w:fldChar w:fldCharType="end"/>
    </w:r>
  </w:p>
  <w:p w14:paraId="3B96EB31" w14:textId="77777777" w:rsidR="000D206D" w:rsidRDefault="000D2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08167" w14:textId="77777777" w:rsidR="00FA1B8E" w:rsidRDefault="00FA1B8E" w:rsidP="00FA1B8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612586" wp14:editId="7AE929F1">
              <wp:simplePos x="0" y="0"/>
              <wp:positionH relativeFrom="column">
                <wp:posOffset>317500</wp:posOffset>
              </wp:positionH>
              <wp:positionV relativeFrom="paragraph">
                <wp:posOffset>-372745</wp:posOffset>
              </wp:positionV>
              <wp:extent cx="4663440" cy="731520"/>
              <wp:effectExtent l="0" t="254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656B0" w14:textId="77777777" w:rsidR="00FA1B8E" w:rsidRPr="00FA1B8E" w:rsidRDefault="00FA1B8E" w:rsidP="00FA1B8E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eastAsia="Times New Roman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3BD88D48" w14:textId="77777777" w:rsidR="00FA1B8E" w:rsidRPr="00FA1B8E" w:rsidRDefault="00FA1B8E" w:rsidP="00FA1B8E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eastAsia="Times New Roman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Conselho Interamericano de Desenvolvimento Integral</w:t>
                          </w:r>
                        </w:p>
                        <w:p w14:paraId="7DB0D9D8" w14:textId="77777777" w:rsidR="00FA1B8E" w:rsidRDefault="00FA1B8E" w:rsidP="00FA1B8E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 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1258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25pt;margin-top:-29.35pt;width:367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Zd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" stroked="f">
              <v:textbox>
                <w:txbxContent>
                  <w:p w14:paraId="4A2656B0" w14:textId="77777777" w:rsidR="00FA1B8E" w:rsidRPr="00FA1B8E" w:rsidRDefault="00FA1B8E" w:rsidP="00FA1B8E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eastAsia="Times New Roman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ORGANIZAÇÃO DOS ESTADOS AMERICANOS</w:t>
                    </w:r>
                  </w:p>
                  <w:p w14:paraId="3BD88D48" w14:textId="77777777" w:rsidR="00FA1B8E" w:rsidRPr="00FA1B8E" w:rsidRDefault="00FA1B8E" w:rsidP="00FA1B8E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eastAsia="Times New Roman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Conselho Interamericano de Desenvolvimento Integral</w:t>
                    </w:r>
                  </w:p>
                  <w:p w14:paraId="7DB0D9D8" w14:textId="77777777" w:rsidR="00FA1B8E" w:rsidRDefault="00FA1B8E" w:rsidP="00FA1B8E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 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DFAFF74" wp14:editId="0126FD8E">
          <wp:simplePos x="0" y="0"/>
          <wp:positionH relativeFrom="column">
            <wp:posOffset>-570230</wp:posOffset>
          </wp:positionH>
          <wp:positionV relativeFrom="paragraph">
            <wp:posOffset>-485775</wp:posOffset>
          </wp:positionV>
          <wp:extent cx="822960" cy="82486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D9E017" wp14:editId="7476B256">
              <wp:simplePos x="0" y="0"/>
              <wp:positionH relativeFrom="column">
                <wp:posOffset>4914900</wp:posOffset>
              </wp:positionH>
              <wp:positionV relativeFrom="paragraph">
                <wp:posOffset>-502920</wp:posOffset>
              </wp:positionV>
              <wp:extent cx="1287780" cy="862330"/>
              <wp:effectExtent l="2540" t="0" r="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DF4AE" w14:textId="77777777" w:rsidR="00FA1B8E" w:rsidRDefault="00FA1B8E" w:rsidP="00FA1B8E"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 w:eastAsia="en-US"/>
                            </w:rPr>
                            <w:drawing>
                              <wp:inline distT="0" distB="0" distL="0" distR="0" wp14:anchorId="2FEED702" wp14:editId="78BB46A8">
                                <wp:extent cx="1104900" cy="762000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D9E017" id="Text Box 20" o:spid="_x0000_s1028" type="#_x0000_t202" style="position:absolute;margin-left:387pt;margin-top:-39.6pt;width:101.4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tN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" stroked="f">
              <v:textbox>
                <w:txbxContent>
                  <w:p w14:paraId="5E8DF4AE" w14:textId="77777777" w:rsidR="00FA1B8E" w:rsidRDefault="00FA1B8E" w:rsidP="00FA1B8E">
                    <w:r>
                      <w:rPr>
                        <w:rFonts w:ascii="News Gothic MT" w:hAnsi="News Gothic MT"/>
                        <w:noProof/>
                        <w:color w:val="000000"/>
                        <w:lang w:val="en-US" w:eastAsia="en-US"/>
                      </w:rPr>
                      <w:drawing>
                        <wp:inline distT="0" distB="0" distL="0" distR="0" wp14:anchorId="2FEED702" wp14:editId="78BB46A8">
                          <wp:extent cx="1104900" cy="762000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3614FEC" w14:textId="77777777" w:rsidR="000D206D" w:rsidRDefault="000D2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2762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F5179F" w14:textId="17AC26D6" w:rsidR="00004BC9" w:rsidRDefault="00004BC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219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14:paraId="62F77806" w14:textId="77777777" w:rsidR="00004BC9" w:rsidRDefault="00004BC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D0BD4" w14:textId="4B33EFE7" w:rsidR="00004BC9" w:rsidRDefault="00004BC9">
    <w:pPr>
      <w:pStyle w:val="Header"/>
      <w:jc w:val="center"/>
    </w:pPr>
  </w:p>
  <w:p w14:paraId="4D7A6325" w14:textId="77777777" w:rsidR="00283056" w:rsidRDefault="00283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06E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C44A1"/>
    <w:multiLevelType w:val="hybridMultilevel"/>
    <w:tmpl w:val="35347470"/>
    <w:lvl w:ilvl="0" w:tplc="D21CF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56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5AF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67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0B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66C6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E2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0F6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807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053A"/>
    <w:multiLevelType w:val="hybridMultilevel"/>
    <w:tmpl w:val="360CCDEA"/>
    <w:lvl w:ilvl="0" w:tplc="464E8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013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8A33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7EA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CB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E2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6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90C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B06C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D3AC4"/>
    <w:multiLevelType w:val="hybridMultilevel"/>
    <w:tmpl w:val="41443904"/>
    <w:lvl w:ilvl="0" w:tplc="BCAA44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F4BA8"/>
    <w:multiLevelType w:val="hybridMultilevel"/>
    <w:tmpl w:val="8E32ADC6"/>
    <w:lvl w:ilvl="0" w:tplc="F954AF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66E7F"/>
    <w:multiLevelType w:val="hybridMultilevel"/>
    <w:tmpl w:val="0ADE39D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DF2F70"/>
    <w:multiLevelType w:val="hybridMultilevel"/>
    <w:tmpl w:val="E52EAE6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DA78D6"/>
    <w:multiLevelType w:val="hybridMultilevel"/>
    <w:tmpl w:val="F4A644A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862898"/>
    <w:multiLevelType w:val="hybridMultilevel"/>
    <w:tmpl w:val="F0601990"/>
    <w:lvl w:ilvl="0" w:tplc="E08CF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C1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6D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0D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4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DC12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62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E0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C8F6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D3EEB"/>
    <w:multiLevelType w:val="hybridMultilevel"/>
    <w:tmpl w:val="D1E6F9E6"/>
    <w:lvl w:ilvl="0" w:tplc="81868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anish w:val="0"/>
      </w:rPr>
    </w:lvl>
    <w:lvl w:ilvl="1" w:tplc="472AAAD6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B607E6"/>
    <w:multiLevelType w:val="hybridMultilevel"/>
    <w:tmpl w:val="865C0FB2"/>
    <w:lvl w:ilvl="0" w:tplc="03680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40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441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4B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4E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6CA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06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2686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2CE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A37"/>
    <w:multiLevelType w:val="hybridMultilevel"/>
    <w:tmpl w:val="9E0EE8BA"/>
    <w:lvl w:ilvl="0" w:tplc="547688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0265E"/>
    <w:multiLevelType w:val="hybridMultilevel"/>
    <w:tmpl w:val="61BA7F2C"/>
    <w:lvl w:ilvl="0" w:tplc="7FAA3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887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3E5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EA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D24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E4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C5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22C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F4A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A33B0"/>
    <w:multiLevelType w:val="hybridMultilevel"/>
    <w:tmpl w:val="2BCED062"/>
    <w:lvl w:ilvl="0" w:tplc="BBD8CF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C51ED"/>
    <w:multiLevelType w:val="hybridMultilevel"/>
    <w:tmpl w:val="F238FB74"/>
    <w:lvl w:ilvl="0" w:tplc="BBD8CF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011E1"/>
    <w:multiLevelType w:val="hybridMultilevel"/>
    <w:tmpl w:val="360CCDEA"/>
    <w:lvl w:ilvl="0" w:tplc="E034B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CA64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F85C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B45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AD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124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4E7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427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26D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D76502"/>
    <w:multiLevelType w:val="hybridMultilevel"/>
    <w:tmpl w:val="B2BC6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D1115"/>
    <w:multiLevelType w:val="hybridMultilevel"/>
    <w:tmpl w:val="F210FE2E"/>
    <w:lvl w:ilvl="0" w:tplc="575A71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87C7D"/>
    <w:multiLevelType w:val="hybridMultilevel"/>
    <w:tmpl w:val="4894D9A0"/>
    <w:lvl w:ilvl="0" w:tplc="651A00C0">
      <w:start w:val="1"/>
      <w:numFmt w:val="decimal"/>
      <w:lvlText w:val="%1."/>
      <w:lvlJc w:val="left"/>
      <w:pPr>
        <w:tabs>
          <w:tab w:val="num" w:pos="1604"/>
        </w:tabs>
        <w:ind w:left="1604" w:hanging="720"/>
      </w:pPr>
      <w:rPr>
        <w:rFonts w:cs="Times New Roman" w:hint="default"/>
        <w:b w:val="0"/>
        <w:i w:val="0"/>
        <w:color w:val="auto"/>
      </w:rPr>
    </w:lvl>
    <w:lvl w:ilvl="1" w:tplc="02860D60">
      <w:start w:val="1"/>
      <w:numFmt w:val="lowerRoman"/>
      <w:lvlText w:val="%2."/>
      <w:lvlJc w:val="left"/>
      <w:pPr>
        <w:tabs>
          <w:tab w:val="num" w:pos="1784"/>
        </w:tabs>
        <w:ind w:left="1784" w:hanging="360"/>
      </w:pPr>
      <w:rPr>
        <w:rFonts w:ascii="Times New Roman" w:hAnsi="Times New Roman" w:hint="default"/>
        <w:b w:val="0"/>
        <w:i w:val="0"/>
        <w:color w:val="auto"/>
        <w:sz w:val="22"/>
        <w:vertAlign w:val="baseline"/>
      </w:rPr>
    </w:lvl>
    <w:lvl w:ilvl="2" w:tplc="8EEC8622">
      <w:start w:val="18"/>
      <w:numFmt w:val="decimal"/>
      <w:lvlText w:val="%3"/>
      <w:lvlJc w:val="left"/>
      <w:pPr>
        <w:tabs>
          <w:tab w:val="num" w:pos="2684"/>
        </w:tabs>
        <w:ind w:left="2684" w:hanging="360"/>
      </w:pPr>
      <w:rPr>
        <w:rFonts w:hint="default"/>
      </w:rPr>
    </w:lvl>
    <w:lvl w:ilvl="3" w:tplc="30769120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098A4862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393E7612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F2123E14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E2B83696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7FE886AE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19" w15:restartNumberingAfterBreak="0">
    <w:nsid w:val="676B48BD"/>
    <w:multiLevelType w:val="hybridMultilevel"/>
    <w:tmpl w:val="F72CF75E"/>
    <w:lvl w:ilvl="0" w:tplc="3C1AFB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B0174"/>
    <w:multiLevelType w:val="hybridMultilevel"/>
    <w:tmpl w:val="E8966096"/>
    <w:lvl w:ilvl="0" w:tplc="91AA9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54C8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BC9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EA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00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F06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8B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693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308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81A4A"/>
    <w:multiLevelType w:val="hybridMultilevel"/>
    <w:tmpl w:val="5F942D08"/>
    <w:lvl w:ilvl="0" w:tplc="BBD8CF6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6C0D68"/>
    <w:multiLevelType w:val="hybridMultilevel"/>
    <w:tmpl w:val="4DD2F52C"/>
    <w:lvl w:ilvl="0" w:tplc="55589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74788"/>
    <w:multiLevelType w:val="hybridMultilevel"/>
    <w:tmpl w:val="CE68EEAA"/>
    <w:lvl w:ilvl="0" w:tplc="00921FB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8"/>
  </w:num>
  <w:num w:numId="5">
    <w:abstractNumId w:val="1"/>
  </w:num>
  <w:num w:numId="6">
    <w:abstractNumId w:val="2"/>
  </w:num>
  <w:num w:numId="7">
    <w:abstractNumId w:val="18"/>
  </w:num>
  <w:num w:numId="8">
    <w:abstractNumId w:val="15"/>
  </w:num>
  <w:num w:numId="9">
    <w:abstractNumId w:val="16"/>
  </w:num>
  <w:num w:numId="10">
    <w:abstractNumId w:val="5"/>
  </w:num>
  <w:num w:numId="11">
    <w:abstractNumId w:val="14"/>
  </w:num>
  <w:num w:numId="12">
    <w:abstractNumId w:val="22"/>
  </w:num>
  <w:num w:numId="13">
    <w:abstractNumId w:val="17"/>
  </w:num>
  <w:num w:numId="14">
    <w:abstractNumId w:val="3"/>
  </w:num>
  <w:num w:numId="15">
    <w:abstractNumId w:val="19"/>
  </w:num>
  <w:num w:numId="16">
    <w:abstractNumId w:val="4"/>
  </w:num>
  <w:num w:numId="17">
    <w:abstractNumId w:val="23"/>
  </w:num>
  <w:num w:numId="18">
    <w:abstractNumId w:val="11"/>
  </w:num>
  <w:num w:numId="19">
    <w:abstractNumId w:val="21"/>
  </w:num>
  <w:num w:numId="20">
    <w:abstractNumId w:val="1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0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NTOxNDcxMDUwMzVQ0lEKTi0uzszPAykwqgUAYXF+xiwAAAA="/>
  </w:docVars>
  <w:rsids>
    <w:rsidRoot w:val="00F538A5"/>
    <w:rsid w:val="00004BC9"/>
    <w:rsid w:val="00007B20"/>
    <w:rsid w:val="00012BCB"/>
    <w:rsid w:val="000224F5"/>
    <w:rsid w:val="00024896"/>
    <w:rsid w:val="00026C05"/>
    <w:rsid w:val="00026D0D"/>
    <w:rsid w:val="00027E1A"/>
    <w:rsid w:val="00044F9F"/>
    <w:rsid w:val="00046F7F"/>
    <w:rsid w:val="00050FF7"/>
    <w:rsid w:val="00060984"/>
    <w:rsid w:val="00065C39"/>
    <w:rsid w:val="00067E5F"/>
    <w:rsid w:val="00067EEC"/>
    <w:rsid w:val="000743D8"/>
    <w:rsid w:val="00074A8F"/>
    <w:rsid w:val="0007549C"/>
    <w:rsid w:val="000A1AE2"/>
    <w:rsid w:val="000A5EEB"/>
    <w:rsid w:val="000A6F4A"/>
    <w:rsid w:val="000B0EFF"/>
    <w:rsid w:val="000D1624"/>
    <w:rsid w:val="000D206D"/>
    <w:rsid w:val="000D3D0C"/>
    <w:rsid w:val="000E078D"/>
    <w:rsid w:val="000E102E"/>
    <w:rsid w:val="000E21DF"/>
    <w:rsid w:val="00113B91"/>
    <w:rsid w:val="00115FD7"/>
    <w:rsid w:val="001229E3"/>
    <w:rsid w:val="00126FAF"/>
    <w:rsid w:val="00134E8F"/>
    <w:rsid w:val="00142D38"/>
    <w:rsid w:val="001452DD"/>
    <w:rsid w:val="00154940"/>
    <w:rsid w:val="00155618"/>
    <w:rsid w:val="00155B5D"/>
    <w:rsid w:val="001569F1"/>
    <w:rsid w:val="001576BB"/>
    <w:rsid w:val="00163F4E"/>
    <w:rsid w:val="001722D2"/>
    <w:rsid w:val="001740B0"/>
    <w:rsid w:val="0017638B"/>
    <w:rsid w:val="001765AB"/>
    <w:rsid w:val="00180E63"/>
    <w:rsid w:val="001937A0"/>
    <w:rsid w:val="00194984"/>
    <w:rsid w:val="001A4113"/>
    <w:rsid w:val="001B0952"/>
    <w:rsid w:val="001B7360"/>
    <w:rsid w:val="001D1064"/>
    <w:rsid w:val="001D4CE5"/>
    <w:rsid w:val="001F680A"/>
    <w:rsid w:val="001F7679"/>
    <w:rsid w:val="002018D2"/>
    <w:rsid w:val="002206BF"/>
    <w:rsid w:val="00221755"/>
    <w:rsid w:val="00224330"/>
    <w:rsid w:val="00234011"/>
    <w:rsid w:val="00237351"/>
    <w:rsid w:val="002538E6"/>
    <w:rsid w:val="00260017"/>
    <w:rsid w:val="00266611"/>
    <w:rsid w:val="00281173"/>
    <w:rsid w:val="002821D7"/>
    <w:rsid w:val="00283056"/>
    <w:rsid w:val="00290C25"/>
    <w:rsid w:val="002924C9"/>
    <w:rsid w:val="002A3646"/>
    <w:rsid w:val="002B0172"/>
    <w:rsid w:val="002D4969"/>
    <w:rsid w:val="002D682F"/>
    <w:rsid w:val="002D762F"/>
    <w:rsid w:val="002E2F56"/>
    <w:rsid w:val="002E6FD7"/>
    <w:rsid w:val="00302976"/>
    <w:rsid w:val="00311A27"/>
    <w:rsid w:val="003204EB"/>
    <w:rsid w:val="00321A95"/>
    <w:rsid w:val="003336B1"/>
    <w:rsid w:val="00334D13"/>
    <w:rsid w:val="00354854"/>
    <w:rsid w:val="00354A9E"/>
    <w:rsid w:val="00355071"/>
    <w:rsid w:val="00361806"/>
    <w:rsid w:val="00362EA3"/>
    <w:rsid w:val="00376CC8"/>
    <w:rsid w:val="003A29E3"/>
    <w:rsid w:val="003A7E09"/>
    <w:rsid w:val="003B56C7"/>
    <w:rsid w:val="003D0BE5"/>
    <w:rsid w:val="003D650E"/>
    <w:rsid w:val="003D7260"/>
    <w:rsid w:val="003E6979"/>
    <w:rsid w:val="003F74E6"/>
    <w:rsid w:val="0041273C"/>
    <w:rsid w:val="004160C4"/>
    <w:rsid w:val="004227AD"/>
    <w:rsid w:val="00426D52"/>
    <w:rsid w:val="004302CE"/>
    <w:rsid w:val="004432BF"/>
    <w:rsid w:val="00447DE2"/>
    <w:rsid w:val="00450B83"/>
    <w:rsid w:val="00451D33"/>
    <w:rsid w:val="00453FC5"/>
    <w:rsid w:val="0045468E"/>
    <w:rsid w:val="004665CB"/>
    <w:rsid w:val="00466C71"/>
    <w:rsid w:val="004725D4"/>
    <w:rsid w:val="00476C71"/>
    <w:rsid w:val="00480142"/>
    <w:rsid w:val="004863CE"/>
    <w:rsid w:val="00490DDC"/>
    <w:rsid w:val="00493C71"/>
    <w:rsid w:val="004B2D6E"/>
    <w:rsid w:val="004B3E6B"/>
    <w:rsid w:val="004B4E45"/>
    <w:rsid w:val="004B6681"/>
    <w:rsid w:val="004C359F"/>
    <w:rsid w:val="004D3E15"/>
    <w:rsid w:val="005062B4"/>
    <w:rsid w:val="0051315A"/>
    <w:rsid w:val="0053701D"/>
    <w:rsid w:val="005451F4"/>
    <w:rsid w:val="0056367B"/>
    <w:rsid w:val="00570422"/>
    <w:rsid w:val="005820C1"/>
    <w:rsid w:val="00596218"/>
    <w:rsid w:val="00597BDE"/>
    <w:rsid w:val="005B0F76"/>
    <w:rsid w:val="005B5D45"/>
    <w:rsid w:val="005C293F"/>
    <w:rsid w:val="005C40C7"/>
    <w:rsid w:val="005D161E"/>
    <w:rsid w:val="005D62CE"/>
    <w:rsid w:val="005F3654"/>
    <w:rsid w:val="005F6C9C"/>
    <w:rsid w:val="00605D8E"/>
    <w:rsid w:val="00615E08"/>
    <w:rsid w:val="00620A54"/>
    <w:rsid w:val="00627DEA"/>
    <w:rsid w:val="006325E0"/>
    <w:rsid w:val="00636A71"/>
    <w:rsid w:val="00645C2C"/>
    <w:rsid w:val="00651278"/>
    <w:rsid w:val="0065210B"/>
    <w:rsid w:val="006568F0"/>
    <w:rsid w:val="0066234E"/>
    <w:rsid w:val="00666C1C"/>
    <w:rsid w:val="00676ADF"/>
    <w:rsid w:val="00695349"/>
    <w:rsid w:val="006A61EF"/>
    <w:rsid w:val="006B1831"/>
    <w:rsid w:val="006C658C"/>
    <w:rsid w:val="006D35FF"/>
    <w:rsid w:val="006D398D"/>
    <w:rsid w:val="006F65F2"/>
    <w:rsid w:val="00713E4B"/>
    <w:rsid w:val="00727C38"/>
    <w:rsid w:val="00727F92"/>
    <w:rsid w:val="00742666"/>
    <w:rsid w:val="007434A3"/>
    <w:rsid w:val="00776825"/>
    <w:rsid w:val="00784C8C"/>
    <w:rsid w:val="00785015"/>
    <w:rsid w:val="00790403"/>
    <w:rsid w:val="007A4A37"/>
    <w:rsid w:val="007C1F09"/>
    <w:rsid w:val="007C4915"/>
    <w:rsid w:val="007D0CE9"/>
    <w:rsid w:val="007D31D4"/>
    <w:rsid w:val="007D3BF6"/>
    <w:rsid w:val="007E2F01"/>
    <w:rsid w:val="007E3E6A"/>
    <w:rsid w:val="007F3EAE"/>
    <w:rsid w:val="0080749D"/>
    <w:rsid w:val="008075BE"/>
    <w:rsid w:val="00811D22"/>
    <w:rsid w:val="00811D9D"/>
    <w:rsid w:val="0082538C"/>
    <w:rsid w:val="00826BC9"/>
    <w:rsid w:val="00831402"/>
    <w:rsid w:val="00855668"/>
    <w:rsid w:val="008573B2"/>
    <w:rsid w:val="008620C2"/>
    <w:rsid w:val="008676C7"/>
    <w:rsid w:val="00870F32"/>
    <w:rsid w:val="00872F3C"/>
    <w:rsid w:val="00874493"/>
    <w:rsid w:val="0089071B"/>
    <w:rsid w:val="008A3728"/>
    <w:rsid w:val="008A3F04"/>
    <w:rsid w:val="008A574A"/>
    <w:rsid w:val="008B2C0E"/>
    <w:rsid w:val="008B37DE"/>
    <w:rsid w:val="008B7658"/>
    <w:rsid w:val="008B7EFE"/>
    <w:rsid w:val="008C5095"/>
    <w:rsid w:val="008C7219"/>
    <w:rsid w:val="008C7397"/>
    <w:rsid w:val="008D1050"/>
    <w:rsid w:val="008D776C"/>
    <w:rsid w:val="008E1645"/>
    <w:rsid w:val="008E2873"/>
    <w:rsid w:val="008E5577"/>
    <w:rsid w:val="008E7F7B"/>
    <w:rsid w:val="008F3847"/>
    <w:rsid w:val="00901EF9"/>
    <w:rsid w:val="00906FDE"/>
    <w:rsid w:val="00911367"/>
    <w:rsid w:val="00930010"/>
    <w:rsid w:val="009371D3"/>
    <w:rsid w:val="0095405E"/>
    <w:rsid w:val="009652FA"/>
    <w:rsid w:val="0096751A"/>
    <w:rsid w:val="009722B6"/>
    <w:rsid w:val="00973442"/>
    <w:rsid w:val="009740E3"/>
    <w:rsid w:val="00977671"/>
    <w:rsid w:val="00982E33"/>
    <w:rsid w:val="009A4AD2"/>
    <w:rsid w:val="009B46BA"/>
    <w:rsid w:val="009C0ABF"/>
    <w:rsid w:val="009D077C"/>
    <w:rsid w:val="009D3F96"/>
    <w:rsid w:val="009D4EEC"/>
    <w:rsid w:val="009D5D3B"/>
    <w:rsid w:val="009D6074"/>
    <w:rsid w:val="009F77B2"/>
    <w:rsid w:val="00A05F1A"/>
    <w:rsid w:val="00A11E57"/>
    <w:rsid w:val="00A11F88"/>
    <w:rsid w:val="00A14529"/>
    <w:rsid w:val="00A2181D"/>
    <w:rsid w:val="00A23794"/>
    <w:rsid w:val="00A33079"/>
    <w:rsid w:val="00A35D44"/>
    <w:rsid w:val="00A41DE5"/>
    <w:rsid w:val="00A47796"/>
    <w:rsid w:val="00A60BFE"/>
    <w:rsid w:val="00A64138"/>
    <w:rsid w:val="00A64C64"/>
    <w:rsid w:val="00A72AF8"/>
    <w:rsid w:val="00A73670"/>
    <w:rsid w:val="00A86C00"/>
    <w:rsid w:val="00A969C3"/>
    <w:rsid w:val="00AA6B76"/>
    <w:rsid w:val="00AC08B1"/>
    <w:rsid w:val="00AC4F1D"/>
    <w:rsid w:val="00AD115B"/>
    <w:rsid w:val="00AD2740"/>
    <w:rsid w:val="00AE444B"/>
    <w:rsid w:val="00AF2287"/>
    <w:rsid w:val="00B022FF"/>
    <w:rsid w:val="00B2360B"/>
    <w:rsid w:val="00B24363"/>
    <w:rsid w:val="00B33EB1"/>
    <w:rsid w:val="00B44CC6"/>
    <w:rsid w:val="00B56491"/>
    <w:rsid w:val="00B8113E"/>
    <w:rsid w:val="00B87843"/>
    <w:rsid w:val="00BA081D"/>
    <w:rsid w:val="00BA1104"/>
    <w:rsid w:val="00BA186C"/>
    <w:rsid w:val="00BA330C"/>
    <w:rsid w:val="00BA3E18"/>
    <w:rsid w:val="00BB6020"/>
    <w:rsid w:val="00BC0309"/>
    <w:rsid w:val="00BC1364"/>
    <w:rsid w:val="00BC3A98"/>
    <w:rsid w:val="00BC3FA1"/>
    <w:rsid w:val="00BE008B"/>
    <w:rsid w:val="00BE7A41"/>
    <w:rsid w:val="00C0621F"/>
    <w:rsid w:val="00C13615"/>
    <w:rsid w:val="00C16B64"/>
    <w:rsid w:val="00C22516"/>
    <w:rsid w:val="00C30F2F"/>
    <w:rsid w:val="00C42020"/>
    <w:rsid w:val="00C60BF1"/>
    <w:rsid w:val="00C61AF9"/>
    <w:rsid w:val="00C61FE3"/>
    <w:rsid w:val="00C80045"/>
    <w:rsid w:val="00C80524"/>
    <w:rsid w:val="00C81964"/>
    <w:rsid w:val="00C822DE"/>
    <w:rsid w:val="00C83D14"/>
    <w:rsid w:val="00C97977"/>
    <w:rsid w:val="00CB58B2"/>
    <w:rsid w:val="00CC11A5"/>
    <w:rsid w:val="00CE1676"/>
    <w:rsid w:val="00CE1D68"/>
    <w:rsid w:val="00CF4A6C"/>
    <w:rsid w:val="00CF686A"/>
    <w:rsid w:val="00D05B0E"/>
    <w:rsid w:val="00D34EA5"/>
    <w:rsid w:val="00D47E80"/>
    <w:rsid w:val="00D51C78"/>
    <w:rsid w:val="00D57384"/>
    <w:rsid w:val="00D73B5E"/>
    <w:rsid w:val="00D75C67"/>
    <w:rsid w:val="00D84051"/>
    <w:rsid w:val="00DA5CB7"/>
    <w:rsid w:val="00DB2B7A"/>
    <w:rsid w:val="00DB4670"/>
    <w:rsid w:val="00DC128D"/>
    <w:rsid w:val="00DD320A"/>
    <w:rsid w:val="00DD35F7"/>
    <w:rsid w:val="00DD6E46"/>
    <w:rsid w:val="00DF6597"/>
    <w:rsid w:val="00DF68E6"/>
    <w:rsid w:val="00E03D33"/>
    <w:rsid w:val="00E103AA"/>
    <w:rsid w:val="00E12808"/>
    <w:rsid w:val="00E163B1"/>
    <w:rsid w:val="00E2293D"/>
    <w:rsid w:val="00E22AED"/>
    <w:rsid w:val="00E30E5D"/>
    <w:rsid w:val="00E331D9"/>
    <w:rsid w:val="00E33313"/>
    <w:rsid w:val="00E46774"/>
    <w:rsid w:val="00E51A1F"/>
    <w:rsid w:val="00E61359"/>
    <w:rsid w:val="00E62E05"/>
    <w:rsid w:val="00E63C80"/>
    <w:rsid w:val="00E64F4A"/>
    <w:rsid w:val="00E66192"/>
    <w:rsid w:val="00E82421"/>
    <w:rsid w:val="00E82C0E"/>
    <w:rsid w:val="00E82CCD"/>
    <w:rsid w:val="00E84FF3"/>
    <w:rsid w:val="00E91C76"/>
    <w:rsid w:val="00EC1910"/>
    <w:rsid w:val="00EC1FE8"/>
    <w:rsid w:val="00EC2669"/>
    <w:rsid w:val="00EC5865"/>
    <w:rsid w:val="00ED3820"/>
    <w:rsid w:val="00ED4CE4"/>
    <w:rsid w:val="00ED4E83"/>
    <w:rsid w:val="00ED502E"/>
    <w:rsid w:val="00EE58AD"/>
    <w:rsid w:val="00F045F0"/>
    <w:rsid w:val="00F076B8"/>
    <w:rsid w:val="00F20729"/>
    <w:rsid w:val="00F2502E"/>
    <w:rsid w:val="00F328B3"/>
    <w:rsid w:val="00F33F13"/>
    <w:rsid w:val="00F46190"/>
    <w:rsid w:val="00F538A5"/>
    <w:rsid w:val="00F66ABB"/>
    <w:rsid w:val="00F714CF"/>
    <w:rsid w:val="00F7427C"/>
    <w:rsid w:val="00F82B83"/>
    <w:rsid w:val="00F912CE"/>
    <w:rsid w:val="00F918D1"/>
    <w:rsid w:val="00F92FBE"/>
    <w:rsid w:val="00F951D5"/>
    <w:rsid w:val="00F96E85"/>
    <w:rsid w:val="00FA1B8E"/>
    <w:rsid w:val="00FA6B67"/>
    <w:rsid w:val="00FA6DB2"/>
    <w:rsid w:val="00FC17A1"/>
    <w:rsid w:val="00FC22E7"/>
    <w:rsid w:val="00FC4019"/>
    <w:rsid w:val="00FC4E82"/>
    <w:rsid w:val="00FD5DEF"/>
    <w:rsid w:val="00FD7430"/>
    <w:rsid w:val="00FE0EC3"/>
    <w:rsid w:val="00FE1A20"/>
    <w:rsid w:val="00F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26356F"/>
  <w15:docId w15:val="{73FF027D-DD4B-4C70-83AC-C1B8C278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4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4C8D"/>
    <w:rPr>
      <w:rFonts w:ascii="Tahoma" w:hAnsi="Tahoma" w:cs="Tahoma"/>
      <w:sz w:val="16"/>
      <w:szCs w:val="16"/>
      <w:lang w:val="pt-BR" w:eastAsia="es-ES"/>
    </w:rPr>
  </w:style>
  <w:style w:type="paragraph" w:customStyle="1" w:styleId="MediumGrid1-Accent21">
    <w:name w:val="Medium Grid 1 - Accent 21"/>
    <w:basedOn w:val="Normal"/>
    <w:uiPriority w:val="34"/>
    <w:qFormat/>
    <w:rsid w:val="009E1DD6"/>
    <w:pPr>
      <w:ind w:left="720"/>
    </w:pPr>
  </w:style>
  <w:style w:type="character" w:styleId="CommentReference">
    <w:name w:val="annotation reference"/>
    <w:semiHidden/>
    <w:rsid w:val="00840628"/>
    <w:rPr>
      <w:sz w:val="16"/>
      <w:szCs w:val="16"/>
      <w:lang w:val="pt-BR" w:eastAsia="es-ES"/>
    </w:rPr>
  </w:style>
  <w:style w:type="paragraph" w:styleId="CommentText">
    <w:name w:val="annotation text"/>
    <w:basedOn w:val="Normal"/>
    <w:semiHidden/>
    <w:rsid w:val="00840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40628"/>
    <w:rPr>
      <w:b/>
      <w:bCs/>
    </w:rPr>
  </w:style>
  <w:style w:type="table" w:styleId="TableGrid">
    <w:name w:val="Table Grid"/>
    <w:basedOn w:val="TableNormal"/>
    <w:rsid w:val="008320E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8320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eastAsia="Times New Roman" w:hAnsi="CG Times"/>
      <w:sz w:val="22"/>
      <w:szCs w:val="20"/>
    </w:rPr>
  </w:style>
  <w:style w:type="character" w:customStyle="1" w:styleId="EndnoteTextChar">
    <w:name w:val="Endnote Text Char"/>
    <w:link w:val="EndnoteText"/>
    <w:rsid w:val="008320E6"/>
    <w:rPr>
      <w:rFonts w:ascii="CG Times" w:eastAsia="Times New Roman" w:hAnsi="CG Times"/>
      <w:sz w:val="22"/>
      <w:lang w:val="pt-BR" w:eastAsia="es-ES"/>
    </w:rPr>
  </w:style>
  <w:style w:type="paragraph" w:styleId="Title">
    <w:name w:val="Title"/>
    <w:basedOn w:val="Normal"/>
    <w:link w:val="TitleChar"/>
    <w:qFormat/>
    <w:rsid w:val="008320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eastAsia="Times New Roman" w:hAnsi="Arial" w:cs="Arial"/>
      <w:b/>
      <w:bCs/>
      <w:spacing w:val="-2"/>
      <w:sz w:val="22"/>
      <w:szCs w:val="22"/>
    </w:rPr>
  </w:style>
  <w:style w:type="character" w:customStyle="1" w:styleId="TitleChar">
    <w:name w:val="Title Char"/>
    <w:link w:val="Title"/>
    <w:rsid w:val="008320E6"/>
    <w:rPr>
      <w:rFonts w:ascii="Arial" w:eastAsia="Times New Roman" w:hAnsi="Arial" w:cs="Arial"/>
      <w:b/>
      <w:bCs/>
      <w:spacing w:val="-2"/>
      <w:sz w:val="22"/>
      <w:szCs w:val="22"/>
      <w:lang w:val="pt-BR" w:eastAsia="es-ES"/>
    </w:rPr>
  </w:style>
  <w:style w:type="paragraph" w:styleId="Header">
    <w:name w:val="header"/>
    <w:aliases w:val="encabezado"/>
    <w:basedOn w:val="Normal"/>
    <w:link w:val="HeaderChar"/>
    <w:uiPriority w:val="99"/>
    <w:rsid w:val="00A01528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link w:val="Header"/>
    <w:uiPriority w:val="99"/>
    <w:rsid w:val="00A01528"/>
    <w:rPr>
      <w:sz w:val="24"/>
      <w:szCs w:val="24"/>
      <w:lang w:val="pt-BR" w:eastAsia="es-ES"/>
    </w:rPr>
  </w:style>
  <w:style w:type="paragraph" w:styleId="Footer">
    <w:name w:val="footer"/>
    <w:basedOn w:val="Normal"/>
    <w:link w:val="FooterChar"/>
    <w:uiPriority w:val="99"/>
    <w:rsid w:val="00A015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1528"/>
    <w:rPr>
      <w:sz w:val="24"/>
      <w:szCs w:val="24"/>
      <w:lang w:val="pt-BR" w:eastAsia="es-ES"/>
    </w:rPr>
  </w:style>
  <w:style w:type="paragraph" w:customStyle="1" w:styleId="Prrafodelista">
    <w:name w:val="Párrafo de lista"/>
    <w:basedOn w:val="Normal"/>
    <w:uiPriority w:val="34"/>
    <w:qFormat/>
    <w:rsid w:val="000B75A2"/>
    <w:pPr>
      <w:ind w:left="708"/>
    </w:pPr>
  </w:style>
  <w:style w:type="character" w:styleId="PageNumber">
    <w:name w:val="page number"/>
    <w:basedOn w:val="DefaultParagraphFont"/>
    <w:rsid w:val="00142D38"/>
  </w:style>
  <w:style w:type="character" w:styleId="Hyperlink">
    <w:name w:val="Hyperlink"/>
    <w:rsid w:val="00F045F0"/>
    <w:rPr>
      <w:color w:val="0000FF"/>
      <w:u w:val="single"/>
    </w:rPr>
  </w:style>
  <w:style w:type="character" w:styleId="FollowedHyperlink">
    <w:name w:val="FollowedHyperlink"/>
    <w:rsid w:val="00FC17A1"/>
    <w:rPr>
      <w:color w:val="800080"/>
      <w:u w:val="single"/>
    </w:rPr>
  </w:style>
  <w:style w:type="paragraph" w:customStyle="1" w:styleId="Default">
    <w:name w:val="Default"/>
    <w:rsid w:val="005062B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DD320A"/>
    <w:rPr>
      <w:sz w:val="20"/>
      <w:szCs w:val="20"/>
    </w:rPr>
  </w:style>
  <w:style w:type="character" w:customStyle="1" w:styleId="FootnoteTextChar">
    <w:name w:val="Footnote Text Char"/>
    <w:link w:val="FootnoteText"/>
    <w:rsid w:val="00DD320A"/>
    <w:rPr>
      <w:lang w:val="pt-BR" w:eastAsia="es-ES"/>
    </w:rPr>
  </w:style>
  <w:style w:type="character" w:styleId="FootnoteReference">
    <w:name w:val="footnote reference"/>
    <w:rsid w:val="00DD320A"/>
    <w:rPr>
      <w:vertAlign w:val="superscript"/>
    </w:rPr>
  </w:style>
  <w:style w:type="paragraph" w:customStyle="1" w:styleId="MediumList2-Accent21">
    <w:name w:val="Medium List 2 - Accent 21"/>
    <w:hidden/>
    <w:uiPriority w:val="99"/>
    <w:semiHidden/>
    <w:rsid w:val="00DD320A"/>
    <w:rPr>
      <w:sz w:val="24"/>
      <w:szCs w:val="24"/>
      <w:lang w:eastAsia="es-ES"/>
    </w:rPr>
  </w:style>
  <w:style w:type="paragraph" w:styleId="BodyTextIndent">
    <w:name w:val="Body Text Indent"/>
    <w:basedOn w:val="Normal"/>
    <w:link w:val="BodyTextIndentChar"/>
    <w:rsid w:val="00FA1B8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A1B8E"/>
    <w:rPr>
      <w:sz w:val="24"/>
      <w:szCs w:val="24"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cm.oas.org/IDMS/Redirectpage.aspx?class=cidi/doc.&amp;classNum=99&amp;lang=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doc.&amp;classNum=100&amp;lang=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doc.&amp;classNum=100&amp;lang=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scm.oas.org/IDMS/Redirectpage.aspx?class=AICD/JD/DE&amp;classNum=126&amp;lang=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2F9C-C06D-411E-9E45-07078E01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6139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Cooperation:</vt:lpstr>
    </vt:vector>
  </TitlesOfParts>
  <Company>OAS</Company>
  <LinksUpToDate>false</LinksUpToDate>
  <CharactersWithSpaces>7201</CharactersWithSpaces>
  <SharedDoc>false</SharedDoc>
  <HLinks>
    <vt:vector size="24" baseType="variant">
      <vt:variant>
        <vt:i4>4718675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1835077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http://scm.oas.org/IDMS/Redirectpage.aspx?class=cidi/doc.&amp;classNum=100&amp;lang=s</vt:lpwstr>
      </vt:variant>
      <vt:variant>
        <vt:lpwstr/>
      </vt:variant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http://scm.oas.org/IDMS/Redirectpage.aspx?class=cidi/doc.&amp;classNum=100&amp;lang=e</vt:lpwstr>
      </vt:variant>
      <vt:variant>
        <vt:lpwstr/>
      </vt:variant>
      <vt:variant>
        <vt:i4>6946858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http://scm.oas.org/IDMS/Redirectpage.aspx?class=AICD/JD/DE&amp;classNum=126&amp;lang=s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Cooperation:</dc:title>
  <dc:subject/>
  <dc:creator>USER1</dc:creator>
  <cp:keywords/>
  <cp:lastModifiedBy>Burns, Sandra</cp:lastModifiedBy>
  <cp:revision>2</cp:revision>
  <cp:lastPrinted>2015-02-09T19:29:00Z</cp:lastPrinted>
  <dcterms:created xsi:type="dcterms:W3CDTF">2020-12-14T17:22:00Z</dcterms:created>
  <dcterms:modified xsi:type="dcterms:W3CDTF">2020-12-14T17:22:00Z</dcterms:modified>
</cp:coreProperties>
</file>