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6BDB" w:rsidRPr="005F7E60" w:rsidRDefault="00C6098A" w:rsidP="00A16BDB">
      <w:pPr>
        <w:tabs>
          <w:tab w:val="left" w:pos="7200"/>
        </w:tabs>
        <w:spacing w:after="0" w:line="240" w:lineRule="auto"/>
        <w:ind w:right="-1080"/>
        <w:rPr>
          <w:rFonts w:ascii="Times New Roman" w:eastAsia="Times New Roman" w:hAnsi="Times New Roman"/>
          <w:lang w:val="pt-BR"/>
        </w:rPr>
      </w:pPr>
      <w:bookmarkStart w:id="0" w:name="_top"/>
      <w:bookmarkEnd w:id="0"/>
      <w:r>
        <w:rPr>
          <w:rFonts w:ascii="Times New Roman" w:hAnsi="Times New Roman"/>
        </w:rPr>
        <w:tab/>
      </w:r>
      <w:r w:rsidRPr="005F7E60">
        <w:rPr>
          <w:rFonts w:ascii="Times New Roman" w:hAnsi="Times New Roman"/>
          <w:lang w:val="pt-BR"/>
        </w:rPr>
        <w:t>OEA/Ser.W</w:t>
      </w:r>
    </w:p>
    <w:p w:rsidR="00A16BDB" w:rsidRPr="005F7E60" w:rsidRDefault="00C6098A" w:rsidP="00A16BDB">
      <w:pPr>
        <w:tabs>
          <w:tab w:val="left" w:pos="7200"/>
        </w:tabs>
        <w:spacing w:after="0" w:line="240" w:lineRule="auto"/>
        <w:ind w:right="-1080"/>
        <w:rPr>
          <w:rFonts w:ascii="Times New Roman" w:eastAsia="Times New Roman" w:hAnsi="Times New Roman"/>
          <w:lang w:val="pt-BR"/>
        </w:rPr>
      </w:pPr>
      <w:r w:rsidRPr="005F7E60">
        <w:rPr>
          <w:rFonts w:ascii="Times New Roman" w:hAnsi="Times New Roman"/>
          <w:lang w:val="pt-BR"/>
        </w:rPr>
        <w:tab/>
      </w:r>
      <w:r w:rsidR="00F22360" w:rsidRPr="002C1D14">
        <w:rPr>
          <w:rFonts w:ascii="Times New Roman" w:eastAsia="Times New Roman" w:hAnsi="Times New Roman"/>
          <w:lang w:val="pt-BR"/>
        </w:rPr>
        <w:t>CIDI/</w:t>
      </w:r>
      <w:r w:rsidR="0077019B" w:rsidRPr="002C1D14">
        <w:rPr>
          <w:rFonts w:ascii="Times New Roman" w:eastAsia="Times New Roman" w:hAnsi="Times New Roman"/>
          <w:lang w:val="pt-BR"/>
        </w:rPr>
        <w:t>doc.307/21</w:t>
      </w:r>
    </w:p>
    <w:p w:rsidR="00A16BDB" w:rsidRPr="00A16BDB" w:rsidRDefault="00C6098A" w:rsidP="00A16BDB">
      <w:pPr>
        <w:tabs>
          <w:tab w:val="left" w:pos="7200"/>
        </w:tabs>
        <w:spacing w:after="0" w:line="240" w:lineRule="auto"/>
        <w:ind w:right="-1080"/>
        <w:rPr>
          <w:rFonts w:ascii="Times New Roman" w:eastAsia="Times New Roman" w:hAnsi="Times New Roman"/>
        </w:rPr>
      </w:pPr>
      <w:r w:rsidRPr="005F7E60">
        <w:rPr>
          <w:rFonts w:ascii="Times New Roman" w:hAnsi="Times New Roman"/>
          <w:lang w:val="pt-BR"/>
        </w:rPr>
        <w:tab/>
      </w:r>
      <w:r w:rsidR="00912395">
        <w:rPr>
          <w:rFonts w:ascii="Times New Roman" w:hAnsi="Times New Roman"/>
          <w:lang w:val="pt-BR"/>
        </w:rPr>
        <w:t>21 janvier 2021</w:t>
      </w:r>
      <w:r>
        <w:rPr>
          <w:rFonts w:ascii="Times New Roman" w:hAnsi="Times New Roman"/>
        </w:rPr>
        <w:t xml:space="preserve"> </w:t>
      </w:r>
    </w:p>
    <w:p w:rsidR="00A16BDB" w:rsidRPr="00A16BDB" w:rsidRDefault="00C6098A" w:rsidP="00A16BDB">
      <w:pPr>
        <w:pBdr>
          <w:bottom w:val="single" w:sz="12" w:space="1" w:color="auto"/>
        </w:pBdr>
        <w:tabs>
          <w:tab w:val="left" w:pos="7200"/>
        </w:tabs>
        <w:spacing w:after="0" w:line="240" w:lineRule="auto"/>
        <w:ind w:right="-389"/>
        <w:rPr>
          <w:rFonts w:ascii="Times New Roman" w:eastAsia="Times New Roman" w:hAnsi="Times New Roman"/>
        </w:rPr>
      </w:pPr>
      <w:r>
        <w:rPr>
          <w:rFonts w:ascii="Times New Roman" w:hAnsi="Times New Roman"/>
        </w:rPr>
        <w:tab/>
        <w:t>Original: espagnol</w:t>
      </w:r>
    </w:p>
    <w:p w:rsidR="00A16BDB" w:rsidRPr="005F7E60" w:rsidRDefault="00A16BDB" w:rsidP="00A16BDB">
      <w:pPr>
        <w:pBdr>
          <w:bottom w:val="single" w:sz="12" w:space="1" w:color="auto"/>
        </w:pBdr>
        <w:tabs>
          <w:tab w:val="left" w:pos="7200"/>
        </w:tabs>
        <w:spacing w:after="0" w:line="240" w:lineRule="auto"/>
        <w:ind w:right="-389"/>
        <w:rPr>
          <w:rFonts w:ascii="Times New Roman" w:eastAsia="Times New Roman" w:hAnsi="Times New Roman"/>
          <w:lang w:val="fr-FR"/>
        </w:rPr>
      </w:pPr>
    </w:p>
    <w:p w:rsidR="00A16BDB" w:rsidRPr="005F7E60" w:rsidRDefault="00A16BDB" w:rsidP="00A16BDB">
      <w:pPr>
        <w:tabs>
          <w:tab w:val="left" w:pos="7200"/>
        </w:tabs>
        <w:spacing w:after="0" w:line="240" w:lineRule="auto"/>
        <w:ind w:right="-1080"/>
        <w:rPr>
          <w:rFonts w:ascii="Times New Roman" w:eastAsia="Times New Roman" w:hAnsi="Times New Roman"/>
          <w:lang w:val="fr-FR"/>
        </w:rPr>
      </w:pPr>
    </w:p>
    <w:p w:rsidR="0077019B" w:rsidRPr="0077019B" w:rsidRDefault="0077019B" w:rsidP="0077019B">
      <w:pPr>
        <w:suppressAutoHyphens/>
        <w:spacing w:after="0" w:line="240" w:lineRule="auto"/>
        <w:jc w:val="center"/>
        <w:outlineLvl w:val="0"/>
        <w:rPr>
          <w:rFonts w:ascii="Times New Roman" w:eastAsia="Times New Roman" w:hAnsi="Times New Roman"/>
        </w:rPr>
      </w:pPr>
      <w:r w:rsidRPr="0077019B">
        <w:rPr>
          <w:rFonts w:ascii="Times New Roman" w:eastAsia="Times New Roman" w:hAnsi="Times New Roman"/>
        </w:rPr>
        <w:t>PROJET DE RÉSOLUTION</w:t>
      </w:r>
    </w:p>
    <w:p w:rsidR="0077019B" w:rsidRPr="0077019B" w:rsidRDefault="0077019B" w:rsidP="0077019B">
      <w:pPr>
        <w:suppressAutoHyphens/>
        <w:spacing w:after="0" w:line="240" w:lineRule="auto"/>
        <w:outlineLvl w:val="0"/>
        <w:rPr>
          <w:rFonts w:ascii="Times New Roman" w:eastAsia="Times New Roman" w:hAnsi="Times New Roman"/>
        </w:rPr>
      </w:pPr>
    </w:p>
    <w:p w:rsidR="0077019B" w:rsidRPr="0077019B" w:rsidRDefault="0077019B" w:rsidP="0077019B">
      <w:pPr>
        <w:suppressAutoHyphens/>
        <w:spacing w:after="0" w:line="240" w:lineRule="auto"/>
        <w:jc w:val="center"/>
        <w:outlineLvl w:val="0"/>
        <w:rPr>
          <w:rFonts w:ascii="Times New Roman" w:eastAsia="Times New Roman" w:hAnsi="Times New Roman"/>
        </w:rPr>
      </w:pPr>
      <w:r w:rsidRPr="0077019B">
        <w:rPr>
          <w:rFonts w:ascii="Times New Roman" w:eastAsia="Times New Roman" w:hAnsi="Times New Roman"/>
        </w:rPr>
        <w:t xml:space="preserve">TENUE SELON DES MODALITÉS VIRTUELLES DE LA DOUZIÈME RÉUNION ORDINAIRE DE LA COMMISSION INTERAMÉRICAINE DES PORTS </w:t>
      </w:r>
      <w:bookmarkStart w:id="1" w:name="_Toc231628779"/>
      <w:bookmarkStart w:id="2" w:name="_Toc231844531"/>
      <w:bookmarkStart w:id="3" w:name="_Toc231851814"/>
    </w:p>
    <w:p w:rsidR="0077019B" w:rsidRPr="0077019B" w:rsidRDefault="0077019B" w:rsidP="0077019B">
      <w:pPr>
        <w:suppressAutoHyphens/>
        <w:spacing w:after="0" w:line="240" w:lineRule="auto"/>
        <w:outlineLvl w:val="0"/>
        <w:rPr>
          <w:rFonts w:ascii="Times New Roman" w:eastAsia="Times New Roman" w:hAnsi="Times New Roman"/>
        </w:rPr>
      </w:pPr>
    </w:p>
    <w:bookmarkEnd w:id="1"/>
    <w:bookmarkEnd w:id="2"/>
    <w:bookmarkEnd w:id="3"/>
    <w:p w:rsidR="0077019B" w:rsidRPr="0077019B" w:rsidRDefault="0077019B" w:rsidP="0077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02124"/>
        </w:rPr>
      </w:pPr>
      <w:r>
        <w:rPr>
          <w:rFonts w:ascii="Times New Roman" w:eastAsia="Times New Roman" w:hAnsi="Times New Roman"/>
          <w:color w:val="202124"/>
          <w:lang w:val="fr-FR"/>
        </w:rPr>
        <w:t>(</w:t>
      </w:r>
      <w:r w:rsidRPr="0077019B">
        <w:rPr>
          <w:rFonts w:ascii="Times New Roman" w:eastAsia="Times New Roman" w:hAnsi="Times New Roman"/>
          <w:color w:val="202124"/>
          <w:lang w:val="fr-FR"/>
        </w:rPr>
        <w:t>Présenté par la Mission permanente de l'Argentine</w:t>
      </w:r>
      <w:r>
        <w:rPr>
          <w:rFonts w:ascii="Times New Roman" w:eastAsia="Times New Roman" w:hAnsi="Times New Roman"/>
          <w:color w:val="202124"/>
          <w:lang w:val="fr-FR"/>
        </w:rPr>
        <w:t>)</w:t>
      </w:r>
    </w:p>
    <w:p w:rsidR="0077019B" w:rsidRPr="0077019B" w:rsidRDefault="0077019B" w:rsidP="0077019B">
      <w:pPr>
        <w:suppressAutoHyphens/>
        <w:spacing w:after="0" w:line="240" w:lineRule="auto"/>
        <w:jc w:val="both"/>
        <w:rPr>
          <w:rFonts w:ascii="Times New Roman" w:eastAsia="Times New Roman" w:hAnsi="Times New Roman"/>
        </w:rPr>
      </w:pPr>
    </w:p>
    <w:p w:rsidR="0077019B" w:rsidRPr="0077019B" w:rsidRDefault="0077019B" w:rsidP="0077019B">
      <w:pPr>
        <w:suppressAutoHyphens/>
        <w:spacing w:after="0" w:line="240" w:lineRule="auto"/>
        <w:jc w:val="both"/>
        <w:rPr>
          <w:rFonts w:ascii="Times New Roman" w:eastAsia="Times New Roman" w:hAnsi="Times New Roman"/>
        </w:rPr>
      </w:pPr>
    </w:p>
    <w:p w:rsidR="0077019B" w:rsidRPr="0077019B" w:rsidRDefault="0077019B" w:rsidP="0077019B">
      <w:pPr>
        <w:suppressAutoHyphens/>
        <w:spacing w:after="0" w:line="240" w:lineRule="auto"/>
        <w:ind w:firstLine="720"/>
        <w:jc w:val="both"/>
        <w:rPr>
          <w:rFonts w:ascii="Times New Roman" w:eastAsia="Times New Roman" w:hAnsi="Times New Roman"/>
        </w:rPr>
      </w:pPr>
      <w:r w:rsidRPr="0077019B">
        <w:rPr>
          <w:rFonts w:ascii="Times New Roman" w:eastAsia="Times New Roman" w:hAnsi="Times New Roman"/>
        </w:rPr>
        <w:t>LE CONSEIL INTERAMÉRICAIN POUR LE DÉVELOPPEMENT INTÉGRÉ (CIDI),</w:t>
      </w:r>
    </w:p>
    <w:p w:rsidR="0077019B" w:rsidRPr="0077019B" w:rsidRDefault="0077019B" w:rsidP="0077019B">
      <w:pPr>
        <w:suppressAutoHyphens/>
        <w:spacing w:after="0" w:line="240" w:lineRule="auto"/>
        <w:jc w:val="both"/>
        <w:rPr>
          <w:rFonts w:ascii="Times New Roman" w:eastAsia="Times New Roman" w:hAnsi="Times New Roman"/>
        </w:rPr>
      </w:pPr>
    </w:p>
    <w:p w:rsidR="0077019B" w:rsidRPr="0077019B" w:rsidRDefault="0077019B" w:rsidP="0077019B">
      <w:pPr>
        <w:suppressAutoHyphens/>
        <w:spacing w:after="0" w:line="240" w:lineRule="auto"/>
        <w:jc w:val="both"/>
        <w:rPr>
          <w:rFonts w:ascii="Times New Roman" w:eastAsia="Times New Roman" w:hAnsi="Times New Roman"/>
        </w:rPr>
      </w:pPr>
      <w:r w:rsidRPr="0077019B">
        <w:rPr>
          <w:rFonts w:ascii="Times New Roman" w:eastAsia="Times New Roman" w:hAnsi="Times New Roman"/>
        </w:rPr>
        <w:t>VU :</w:t>
      </w:r>
    </w:p>
    <w:p w:rsidR="0077019B" w:rsidRPr="0077019B" w:rsidRDefault="0077019B" w:rsidP="0077019B">
      <w:pPr>
        <w:suppressAutoHyphens/>
        <w:spacing w:after="0" w:line="240" w:lineRule="auto"/>
        <w:jc w:val="both"/>
        <w:rPr>
          <w:rFonts w:ascii="Times New Roman" w:eastAsia="Times New Roman" w:hAnsi="Times New Roman"/>
        </w:rPr>
      </w:pPr>
    </w:p>
    <w:p w:rsidR="0077019B" w:rsidRPr="0077019B" w:rsidRDefault="0077019B" w:rsidP="0077019B">
      <w:pPr>
        <w:suppressAutoHyphens/>
        <w:spacing w:after="0" w:line="360" w:lineRule="auto"/>
        <w:ind w:firstLine="720"/>
        <w:jc w:val="both"/>
        <w:rPr>
          <w:rFonts w:ascii="Times New Roman" w:eastAsia="Times New Roman" w:hAnsi="Times New Roman"/>
        </w:rPr>
      </w:pPr>
      <w:r w:rsidRPr="0077019B">
        <w:rPr>
          <w:rFonts w:ascii="Times New Roman" w:eastAsia="Times New Roman" w:hAnsi="Times New Roman"/>
        </w:rPr>
        <w:t>La résolution de Roatán (</w:t>
      </w:r>
      <w:hyperlink r:id="rId7" w:history="1">
        <w:r w:rsidRPr="0077019B">
          <w:rPr>
            <w:rFonts w:ascii="Times New Roman" w:eastAsia="Times New Roman" w:hAnsi="Times New Roman"/>
            <w:color w:val="0000FF"/>
            <w:u w:val="single"/>
          </w:rPr>
          <w:t>CECIP/RES. 1/19 corr. 1</w:t>
        </w:r>
      </w:hyperlink>
      <w:r w:rsidRPr="0077019B">
        <w:rPr>
          <w:rFonts w:ascii="Times New Roman" w:eastAsia="Times New Roman" w:hAnsi="Times New Roman"/>
        </w:rPr>
        <w:t xml:space="preserve">), par laquelle l’offre d’accueil du Gouvernement de la République argentine à célébrer à Buenos Aires (Argentine) les 5, 6 et 7 aout 2020, sur le thème « Relation port-ville » la Douzième Réunion ordinaire de la Commission interaméricaine des ports (CIP), le Forum interaméricain de meilleures pratiques et la Vingt-et-unième Réunion du Comité exécutif de la CIP (CECIP) a été acceptée avec plaisir, </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jc w:val="both"/>
        <w:rPr>
          <w:rFonts w:ascii="Times New Roman" w:eastAsia="Times New Roman" w:hAnsi="Times New Roman"/>
        </w:rPr>
      </w:pPr>
      <w:r w:rsidRPr="0077019B">
        <w:rPr>
          <w:rFonts w:ascii="Times New Roman" w:eastAsia="Times New Roman" w:hAnsi="Times New Roman"/>
        </w:rPr>
        <w:tab/>
        <w:t xml:space="preserve">La résolution CIDI/RES. 338 (XCIII-O/19) “Convocation de la Douzième Réunion ordinaire de la Commission interaméricaine des ports”, adoptée le 26 septembre 2019 et la résolution </w:t>
      </w:r>
      <w:r w:rsidRPr="0077019B">
        <w:rPr>
          <w:rFonts w:ascii="Times New Roman" w:eastAsia="Times New Roman" w:hAnsi="Times New Roman"/>
          <w:color w:val="000000"/>
        </w:rPr>
        <w:t>CIDI/RES. 341 (CII-O/20) “Remise à plus tard de la Douzième Réunion ordinaire de la Commission interaméricaine des ports”, adoptée le 30 juin 2020 et par laquelle, vu l’incidence de la pandémie de COVID-19, il a été décidé de remettre à plus tard la Réunion et de la tenir du 19 au 21 mai 2021 à Buenos Aires,</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jc w:val="both"/>
        <w:rPr>
          <w:rFonts w:ascii="Times New Roman" w:eastAsia="Times New Roman" w:hAnsi="Times New Roman"/>
        </w:rPr>
      </w:pPr>
      <w:r w:rsidRPr="0077019B">
        <w:rPr>
          <w:rFonts w:ascii="Times New Roman" w:eastAsia="Times New Roman" w:hAnsi="Times New Roman"/>
        </w:rPr>
        <w:t>CONSIDÉRANT :</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ind w:firstLine="720"/>
        <w:jc w:val="both"/>
        <w:rPr>
          <w:rFonts w:ascii="Times New Roman" w:eastAsia="Times New Roman" w:hAnsi="Times New Roman"/>
          <w:color w:val="000000"/>
        </w:rPr>
      </w:pPr>
      <w:r w:rsidRPr="0077019B">
        <w:rPr>
          <w:rFonts w:ascii="Times New Roman" w:eastAsia="Times New Roman" w:hAnsi="Times New Roman"/>
        </w:rPr>
        <w:t>Q</w:t>
      </w:r>
      <w:r w:rsidRPr="0077019B">
        <w:rPr>
          <w:rFonts w:ascii="Times New Roman" w:eastAsia="Times New Roman" w:hAnsi="Times New Roman"/>
          <w:color w:val="000000"/>
        </w:rPr>
        <w:t xml:space="preserve">u’à cause des événements que tout le monde connait relativement à la pandémie causée par la transmission du coronavirus (COVID-19) et que la pandémie de COVID-19 entre dans une nouvelle étape avec de nouvelles souches d’une plus grande transmissibilité et plus contagieuses,  </w:t>
      </w:r>
    </w:p>
    <w:p w:rsidR="0077019B" w:rsidRPr="0077019B" w:rsidRDefault="0077019B" w:rsidP="0077019B">
      <w:pPr>
        <w:suppressAutoHyphens/>
        <w:spacing w:after="0" w:line="360" w:lineRule="auto"/>
        <w:jc w:val="both"/>
        <w:rPr>
          <w:rFonts w:ascii="Times New Roman" w:eastAsia="Times New Roman" w:hAnsi="Times New Roman"/>
          <w:color w:val="000000"/>
        </w:rPr>
      </w:pPr>
    </w:p>
    <w:p w:rsidR="0077019B" w:rsidRPr="0077019B" w:rsidRDefault="0077019B" w:rsidP="0077019B">
      <w:pPr>
        <w:suppressAutoHyphens/>
        <w:spacing w:after="0" w:line="360" w:lineRule="auto"/>
        <w:jc w:val="both"/>
        <w:rPr>
          <w:rFonts w:ascii="Times New Roman" w:eastAsia="Times New Roman" w:hAnsi="Times New Roman"/>
        </w:rPr>
      </w:pPr>
      <w:r w:rsidRPr="0077019B">
        <w:rPr>
          <w:rFonts w:ascii="Times New Roman" w:eastAsia="Times New Roman" w:hAnsi="Times New Roman"/>
          <w:color w:val="000000"/>
        </w:rPr>
        <w:tab/>
        <w:t>Qu’</w:t>
      </w:r>
      <w:r w:rsidRPr="0077019B">
        <w:rPr>
          <w:rFonts w:ascii="Times New Roman" w:eastAsia="Times New Roman" w:hAnsi="Times New Roman"/>
        </w:rPr>
        <w:t xml:space="preserve">un facteur prioritaire tant pour la compagnie argentine Administration générale des ports S.E. (AGPSE) que pour la CIP est de garantir la santé des fonctionnaires des ports des États membres de l’OEA ainsi que de toute autre personne assistant à la Réunion, </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jc w:val="both"/>
        <w:rPr>
          <w:rFonts w:ascii="Times New Roman" w:hAnsi="Times New Roman"/>
          <w:lang w:bidi="en-US"/>
        </w:rPr>
      </w:pPr>
      <w:r w:rsidRPr="0077019B">
        <w:rPr>
          <w:rFonts w:ascii="Times New Roman" w:eastAsia="Times New Roman" w:hAnsi="Times New Roman"/>
          <w:color w:val="000000"/>
        </w:rPr>
        <w:tab/>
        <w:t xml:space="preserve">Que par la résolution </w:t>
      </w:r>
      <w:r w:rsidRPr="0077019B">
        <w:rPr>
          <w:rFonts w:ascii="Times New Roman" w:eastAsia="Times New Roman" w:hAnsi="Times New Roman"/>
        </w:rPr>
        <w:t>CIDI/RES. 340 (</w:t>
      </w:r>
      <w:r w:rsidRPr="0077019B">
        <w:rPr>
          <w:rFonts w:ascii="Times New Roman" w:hAnsi="Times New Roman"/>
        </w:rPr>
        <w:t>C-O/20), adoptée le 28 avril 2020, le CIDI a décidé d’autoriser la tenue de réunions virtuelles pour ses organes subsidiaires pendant que les mesures imposées pour contenir la pandémie de COVID-19 sont observées,</w:t>
      </w:r>
    </w:p>
    <w:p w:rsidR="0077019B" w:rsidRPr="0077019B" w:rsidRDefault="0077019B" w:rsidP="0077019B">
      <w:pPr>
        <w:suppressAutoHyphens/>
        <w:spacing w:after="0" w:line="360" w:lineRule="auto"/>
        <w:jc w:val="both"/>
        <w:rPr>
          <w:rFonts w:ascii="Times New Roman" w:eastAsia="Times New Roman" w:hAnsi="Times New Roman"/>
          <w:color w:val="000000"/>
        </w:rPr>
      </w:pPr>
    </w:p>
    <w:p w:rsidR="0077019B" w:rsidRPr="0077019B" w:rsidRDefault="0077019B" w:rsidP="0077019B">
      <w:pPr>
        <w:suppressAutoHyphens/>
        <w:spacing w:after="0" w:line="360" w:lineRule="auto"/>
        <w:jc w:val="both"/>
        <w:rPr>
          <w:rFonts w:ascii="Times New Roman" w:eastAsia="Times New Roman" w:hAnsi="Times New Roman"/>
          <w:color w:val="000000"/>
        </w:rPr>
      </w:pPr>
    </w:p>
    <w:p w:rsidR="0077019B" w:rsidRPr="0077019B" w:rsidRDefault="0077019B" w:rsidP="0077019B">
      <w:pPr>
        <w:suppressAutoHyphens/>
        <w:spacing w:after="0" w:line="360" w:lineRule="auto"/>
        <w:rPr>
          <w:rFonts w:ascii="Times New Roman" w:eastAsia="Times New Roman" w:hAnsi="Times New Roman"/>
        </w:rPr>
      </w:pPr>
      <w:r w:rsidRPr="0077019B">
        <w:rPr>
          <w:rFonts w:ascii="Times New Roman" w:eastAsia="Times New Roman" w:hAnsi="Times New Roman"/>
        </w:rPr>
        <w:t>PRENANT EN COMPTE :</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jc w:val="both"/>
        <w:rPr>
          <w:rFonts w:ascii="Times New Roman" w:eastAsia="Times New Roman" w:hAnsi="Times New Roman"/>
        </w:rPr>
      </w:pPr>
      <w:r w:rsidRPr="0077019B">
        <w:rPr>
          <w:rFonts w:ascii="Times New Roman" w:eastAsia="Times New Roman" w:hAnsi="Times New Roman"/>
        </w:rPr>
        <w:tab/>
        <w:t xml:space="preserve">Que le Règlement de la CIP établit, en son article 5, que la Commission tient une réunion ordinaire au moins tous les deux ans, </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jc w:val="both"/>
        <w:rPr>
          <w:rFonts w:ascii="Times New Roman" w:eastAsia="Times New Roman" w:hAnsi="Times New Roman"/>
        </w:rPr>
      </w:pPr>
      <w:r w:rsidRPr="0077019B">
        <w:rPr>
          <w:rFonts w:ascii="Times New Roman" w:eastAsia="Times New Roman" w:hAnsi="Times New Roman"/>
        </w:rPr>
        <w:tab/>
        <w:t xml:space="preserve">Que l’article 9 de ce même Règlement établit que le CIDI convoque une réunion ordinaire de la Commission après que le pays ayant offert d’accueillir celle-ci ait confirmé la date, la ville et l’endroit précis de la réunion, </w:t>
      </w:r>
    </w:p>
    <w:p w:rsidR="0077019B" w:rsidRPr="0077019B" w:rsidRDefault="0077019B" w:rsidP="0077019B">
      <w:pPr>
        <w:suppressAutoHyphens/>
        <w:spacing w:after="0" w:line="360" w:lineRule="auto"/>
        <w:jc w:val="both"/>
        <w:rPr>
          <w:rFonts w:ascii="Times New Roman" w:eastAsia="Times New Roman" w:hAnsi="Times New Roman"/>
        </w:rPr>
      </w:pPr>
    </w:p>
    <w:p w:rsidR="0077019B" w:rsidRPr="0077019B" w:rsidRDefault="0077019B" w:rsidP="0077019B">
      <w:pPr>
        <w:suppressAutoHyphens/>
        <w:spacing w:after="0" w:line="360" w:lineRule="auto"/>
        <w:jc w:val="both"/>
        <w:rPr>
          <w:rFonts w:ascii="Times New Roman" w:eastAsia="Times New Roman" w:hAnsi="Times New Roman"/>
        </w:rPr>
      </w:pPr>
      <w:r w:rsidRPr="0077019B">
        <w:rPr>
          <w:rFonts w:ascii="Times New Roman" w:eastAsia="Times New Roman" w:hAnsi="Times New Roman"/>
        </w:rPr>
        <w:tab/>
        <w:t>Que vu l’impact causé par la pandémie mondiale de COVID-19 et vu la possibilité d’une contagion accrue à cause des nouvelles souches, l’AGPSE de l’Argentine, en sa qualité de Présidente du Comité exécutif de la CIP (CECIP), en coordination avec les autres autorités du CECIP, recommande de tenir la Douzième Réunion ordinaire de la CIP selon le mode virtuel,</w:t>
      </w:r>
    </w:p>
    <w:p w:rsidR="0077019B" w:rsidRPr="0077019B" w:rsidRDefault="0077019B" w:rsidP="0077019B">
      <w:pPr>
        <w:suppressAutoHyphens/>
        <w:spacing w:after="0" w:line="360" w:lineRule="auto"/>
        <w:jc w:val="both"/>
        <w:rPr>
          <w:rFonts w:ascii="Times New Roman" w:eastAsia="Times New Roman" w:hAnsi="Times New Roman"/>
          <w:color w:val="000000"/>
        </w:rPr>
      </w:pPr>
    </w:p>
    <w:p w:rsidR="0077019B" w:rsidRPr="0077019B" w:rsidRDefault="0077019B" w:rsidP="0077019B">
      <w:pPr>
        <w:suppressAutoHyphens/>
        <w:spacing w:after="0" w:line="360" w:lineRule="auto"/>
        <w:jc w:val="both"/>
        <w:rPr>
          <w:rFonts w:ascii="Times New Roman" w:eastAsia="Times New Roman" w:hAnsi="Times New Roman"/>
          <w:color w:val="000000"/>
        </w:rPr>
      </w:pPr>
      <w:r w:rsidRPr="0077019B">
        <w:rPr>
          <w:rFonts w:ascii="Times New Roman" w:eastAsia="Times New Roman" w:hAnsi="Times New Roman"/>
          <w:color w:val="000000"/>
        </w:rPr>
        <w:t>DÉCIDE :</w:t>
      </w:r>
    </w:p>
    <w:p w:rsidR="0077019B" w:rsidRPr="0077019B" w:rsidRDefault="0077019B" w:rsidP="0077019B">
      <w:pPr>
        <w:suppressAutoHyphens/>
        <w:spacing w:after="0" w:line="360" w:lineRule="auto"/>
        <w:jc w:val="both"/>
        <w:rPr>
          <w:rFonts w:ascii="Times New Roman" w:eastAsia="Times New Roman" w:hAnsi="Times New Roman"/>
          <w:color w:val="000000"/>
        </w:rPr>
      </w:pPr>
    </w:p>
    <w:p w:rsidR="0077019B" w:rsidRPr="0077019B" w:rsidRDefault="0077019B" w:rsidP="0077019B">
      <w:pPr>
        <w:numPr>
          <w:ilvl w:val="0"/>
          <w:numId w:val="2"/>
        </w:numPr>
        <w:tabs>
          <w:tab w:val="clear" w:pos="1440"/>
          <w:tab w:val="num" w:pos="720"/>
        </w:tabs>
        <w:suppressAutoHyphens/>
        <w:spacing w:after="0" w:line="360" w:lineRule="auto"/>
        <w:ind w:left="0" w:firstLine="720"/>
        <w:jc w:val="both"/>
        <w:rPr>
          <w:rFonts w:ascii="Times New Roman" w:eastAsia="Times New Roman" w:hAnsi="Times New Roman"/>
          <w:color w:val="000000"/>
        </w:rPr>
      </w:pPr>
      <w:r w:rsidRPr="0077019B">
        <w:rPr>
          <w:rFonts w:ascii="Times New Roman" w:eastAsia="Times New Roman" w:hAnsi="Times New Roman"/>
          <w:color w:val="000000"/>
        </w:rPr>
        <w:t>De tenir la Douzième Réunion ordinaire de la Commission interaméricaine des ports</w:t>
      </w:r>
      <w:r w:rsidRPr="0077019B">
        <w:rPr>
          <w:rFonts w:ascii="Times New Roman" w:eastAsia="Times New Roman" w:hAnsi="Times New Roman"/>
        </w:rPr>
        <w:t xml:space="preserve"> (CIP) selon le mode virtuel le mercredi, 19 mai 2021, et qu’elle devra faire porter ses travaux sur des questions réglementaires et les procédures relatives au processus politique en matière portuaire.</w:t>
      </w:r>
    </w:p>
    <w:p w:rsidR="0077019B" w:rsidRPr="0077019B" w:rsidRDefault="0077019B" w:rsidP="0077019B">
      <w:pPr>
        <w:tabs>
          <w:tab w:val="num" w:pos="720"/>
        </w:tabs>
        <w:suppressAutoHyphens/>
        <w:spacing w:after="0" w:line="360" w:lineRule="auto"/>
        <w:ind w:firstLine="720"/>
        <w:jc w:val="both"/>
        <w:rPr>
          <w:rFonts w:ascii="Times New Roman" w:eastAsia="Times New Roman" w:hAnsi="Times New Roman"/>
          <w:color w:val="000000"/>
        </w:rPr>
      </w:pPr>
    </w:p>
    <w:p w:rsidR="0077019B" w:rsidRPr="0077019B" w:rsidRDefault="0077019B" w:rsidP="0077019B">
      <w:pPr>
        <w:numPr>
          <w:ilvl w:val="0"/>
          <w:numId w:val="2"/>
        </w:numPr>
        <w:tabs>
          <w:tab w:val="clear" w:pos="1440"/>
          <w:tab w:val="num" w:pos="720"/>
        </w:tabs>
        <w:suppressAutoHyphens/>
        <w:spacing w:after="0" w:line="360" w:lineRule="auto"/>
        <w:ind w:left="0" w:firstLine="720"/>
        <w:jc w:val="both"/>
        <w:rPr>
          <w:rFonts w:ascii="Times New Roman" w:eastAsia="Times New Roman" w:hAnsi="Times New Roman"/>
          <w:color w:val="000000"/>
        </w:rPr>
      </w:pPr>
      <w:r w:rsidRPr="0077019B">
        <w:rPr>
          <w:rFonts w:ascii="Times New Roman" w:eastAsia="Times New Roman" w:hAnsi="Times New Roman"/>
        </w:rPr>
        <w:lastRenderedPageBreak/>
        <w:t xml:space="preserve">De lancer un appel aux États membres afin qu’ils participent à cette réunion, en encourageant la participation de leurs plus hautes autorités portuaires. </w:t>
      </w:r>
    </w:p>
    <w:p w:rsidR="0077019B" w:rsidRPr="0077019B" w:rsidRDefault="0077019B" w:rsidP="0077019B">
      <w:pPr>
        <w:suppressAutoHyphens/>
        <w:spacing w:after="0" w:line="360" w:lineRule="auto"/>
        <w:rPr>
          <w:rFonts w:ascii="Times New Roman" w:eastAsia="Times New Roman" w:hAnsi="Times New Roman"/>
        </w:rPr>
      </w:pPr>
    </w:p>
    <w:p w:rsidR="0077019B" w:rsidRPr="0077019B" w:rsidRDefault="0077019B" w:rsidP="0077019B">
      <w:pPr>
        <w:numPr>
          <w:ilvl w:val="0"/>
          <w:numId w:val="2"/>
        </w:numPr>
        <w:tabs>
          <w:tab w:val="clear" w:pos="1440"/>
          <w:tab w:val="num" w:pos="0"/>
        </w:tabs>
        <w:suppressAutoHyphens/>
        <w:spacing w:after="0" w:line="360" w:lineRule="auto"/>
        <w:ind w:left="0" w:firstLine="720"/>
        <w:jc w:val="both"/>
        <w:rPr>
          <w:rFonts w:ascii="Times New Roman" w:eastAsia="Times New Roman" w:hAnsi="Times New Roman"/>
        </w:rPr>
      </w:pPr>
      <w:r w:rsidRPr="0077019B">
        <w:rPr>
          <w:rFonts w:ascii="Times New Roman" w:eastAsia="Times New Roman" w:hAnsi="Times New Roman"/>
        </w:rPr>
        <w:t>De demander que le montant de 18 685 $US soit alloué sur les ressources disponibles prévues au Chapitre 7, Sous-programme 74F du Programme-budget 2021 de l’Organisation soient réparties, conformément aux lignes directrices établies dans la résolution CP/RES. 982 (1797/11), pour la préparation et la tenue de la Douzième Réunion ordinaire de la CIP.</w:t>
      </w:r>
    </w:p>
    <w:p w:rsidR="0077019B" w:rsidRPr="0077019B" w:rsidRDefault="0077019B" w:rsidP="0077019B">
      <w:pPr>
        <w:tabs>
          <w:tab w:val="num" w:pos="0"/>
        </w:tabs>
        <w:suppressAutoHyphens/>
        <w:spacing w:after="0" w:line="360" w:lineRule="auto"/>
        <w:ind w:firstLine="720"/>
        <w:jc w:val="both"/>
        <w:rPr>
          <w:rFonts w:ascii="Times New Roman" w:eastAsia="Times New Roman" w:hAnsi="Times New Roman"/>
        </w:rPr>
      </w:pPr>
    </w:p>
    <w:p w:rsidR="0077019B" w:rsidRPr="0077019B" w:rsidRDefault="0077019B" w:rsidP="0077019B">
      <w:pPr>
        <w:numPr>
          <w:ilvl w:val="0"/>
          <w:numId w:val="2"/>
        </w:numPr>
        <w:tabs>
          <w:tab w:val="clear" w:pos="1440"/>
          <w:tab w:val="num" w:pos="0"/>
        </w:tabs>
        <w:suppressAutoHyphens/>
        <w:spacing w:after="0" w:line="360" w:lineRule="auto"/>
        <w:ind w:left="0" w:firstLine="720"/>
        <w:jc w:val="both"/>
        <w:rPr>
          <w:rFonts w:ascii="Times New Roman" w:eastAsia="Times New Roman" w:hAnsi="Times New Roman"/>
        </w:rPr>
      </w:pPr>
      <w:r w:rsidRPr="0077019B">
        <w:rPr>
          <w:rFonts w:ascii="Times New Roman" w:eastAsia="Times New Roman" w:hAnsi="Times New Roman"/>
          <w:color w:val="000000"/>
        </w:rPr>
        <w:t>De charger le Secrétariat général d’appuyer, par le truchement du Secrétariat exécutif au développement intégré et du Secrétariat de la CIP, les travaux de préparation et d’organisation de la Douzième Réunion ordinaire de la CIP et de faire rapport au CIDI sur les résultats de celle-ci.</w:t>
      </w:r>
    </w:p>
    <w:bookmarkStart w:id="4" w:name="_GoBack"/>
    <w:bookmarkEnd w:id="4"/>
    <w:p w:rsidR="00A16BDB" w:rsidRPr="0077019B" w:rsidRDefault="002C1D14" w:rsidP="0077019B">
      <w:pPr>
        <w:spacing w:after="0" w:line="360" w:lineRule="auto"/>
        <w:rPr>
          <w:rFonts w:ascii="Times New Roman" w:hAnsi="Times New Roman"/>
          <w:noProof/>
          <w:lang w:bidi="en-US"/>
        </w:rPr>
      </w:pPr>
      <w:r>
        <w:rPr>
          <w:rFonts w:ascii="Times New Roman" w:hAnsi="Times New Roman"/>
          <w:noProof/>
          <w:lang w:val="en-US"/>
        </w:rPr>
        <mc:AlternateContent>
          <mc:Choice Requires="wps">
            <w:drawing>
              <wp:anchor distT="0" distB="0" distL="114300" distR="114300" simplePos="0" relativeHeight="251659264" behindDoc="0" locked="1" layoutInCell="1" allowOverlap="1">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rsidR="002C1D14" w:rsidRPr="002C1D14" w:rsidRDefault="002C1D1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CIDRP03064F01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r5fgIAAAI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vzr5fgIA&#10;AAIFAAAOAAAAAAAAAAAAAAAAAC4CAABkcnMvZTJvRG9jLnhtbFBLAQItABQABgAIAAAAIQC/IMDX&#10;3wAAAA0BAAAPAAAAAAAAAAAAAAAAANgEAABkcnMvZG93bnJldi54bWxQSwUGAAAAAAQABADzAAAA&#10;5AUAAAAA&#10;" filled="f" stroked="f">
                <v:stroke joinstyle="round"/>
                <v:path arrowok="t"/>
                <v:textbox>
                  <w:txbxContent>
                    <w:p w:rsidR="002C1D14" w:rsidRPr="002C1D14" w:rsidRDefault="002C1D14">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CIDRP03064F01</w:t>
                      </w:r>
                      <w:r>
                        <w:rPr>
                          <w:rFonts w:ascii="Times New Roman" w:hAnsi="Times New Roman"/>
                          <w:sz w:val="18"/>
                        </w:rPr>
                        <w:fldChar w:fldCharType="end"/>
                      </w:r>
                    </w:p>
                  </w:txbxContent>
                </v:textbox>
                <w10:wrap anchory="page"/>
                <w10:anchorlock/>
              </v:shape>
            </w:pict>
          </mc:Fallback>
        </mc:AlternateContent>
      </w:r>
    </w:p>
    <w:sectPr w:rsidR="00A16BDB" w:rsidRPr="0077019B" w:rsidSect="00A16BDB">
      <w:headerReference w:type="default" r:id="rId8"/>
      <w:headerReference w:type="first" r:id="rId9"/>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354" w:rsidRDefault="00642354">
      <w:pPr>
        <w:spacing w:after="0" w:line="240" w:lineRule="auto"/>
      </w:pPr>
      <w:r>
        <w:separator/>
      </w:r>
    </w:p>
  </w:endnote>
  <w:endnote w:type="continuationSeparator" w:id="0">
    <w:p w:rsidR="00642354" w:rsidRDefault="00642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auto"/>
    <w:pitch w:val="variable"/>
    <w:sig w:usb0="03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354" w:rsidRDefault="00642354">
      <w:pPr>
        <w:spacing w:after="0" w:line="240" w:lineRule="auto"/>
      </w:pPr>
      <w:r>
        <w:separator/>
      </w:r>
    </w:p>
  </w:footnote>
  <w:footnote w:type="continuationSeparator" w:id="0">
    <w:p w:rsidR="00642354" w:rsidRDefault="00642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C6098A">
    <w:pPr>
      <w:pStyle w:val="Header"/>
      <w:jc w:val="center"/>
    </w:pPr>
    <w:r>
      <w:fldChar w:fldCharType="begin"/>
    </w:r>
    <w:r>
      <w:instrText xml:space="preserve"> PAGE   \* MERGEFORMAT </w:instrText>
    </w:r>
    <w:r>
      <w:fldChar w:fldCharType="separate"/>
    </w:r>
    <w:r w:rsidR="008D6569">
      <w:rPr>
        <w:noProof/>
      </w:rPr>
      <w:t>- 3 -</w:t>
    </w:r>
    <w:r>
      <w:fldChar w:fldCharType="end"/>
    </w:r>
  </w:p>
  <w:p w:rsidR="003B1FC2" w:rsidRDefault="003B1F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1FC2" w:rsidRDefault="0077019B">
    <w:pPr>
      <w:pStyle w:val="Header"/>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440690</wp:posOffset>
              </wp:positionH>
              <wp:positionV relativeFrom="paragraph">
                <wp:posOffset>-501650</wp:posOffset>
              </wp:positionV>
              <wp:extent cx="4728845" cy="92202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pt;margin-top:-39.5pt;width:372.35pt;height:7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" stroked="f">
              <v:textbox>
                <w:txbxContent>
                  <w:p w:rsidR="003B1FC2" w:rsidRPr="00133A15" w:rsidRDefault="00C6098A" w:rsidP="005F7E60">
                    <w:pPr>
                      <w:pStyle w:val="Header"/>
                      <w:tabs>
                        <w:tab w:val="left" w:pos="900"/>
                      </w:tabs>
                      <w:spacing w:after="0" w:line="240" w:lineRule="auto"/>
                      <w:jc w:val="center"/>
                      <w:rPr>
                        <w:rFonts w:ascii="Garamond" w:hAnsi="Garamond"/>
                        <w:b/>
                        <w:sz w:val="28"/>
                      </w:rPr>
                    </w:pPr>
                    <w:r>
                      <w:rPr>
                        <w:rFonts w:ascii="Garamond" w:hAnsi="Garamond"/>
                        <w:b/>
                        <w:sz w:val="28"/>
                      </w:rPr>
                      <w:t xml:space="preserve">ORGANISATION DES ÉTATS AMÉRICAINS </w:t>
                    </w:r>
                  </w:p>
                  <w:p w:rsidR="003B1FC2" w:rsidRPr="00133A15" w:rsidRDefault="00C6098A" w:rsidP="005F7E60">
                    <w:pPr>
                      <w:pStyle w:val="Header"/>
                      <w:tabs>
                        <w:tab w:val="left" w:pos="900"/>
                      </w:tabs>
                      <w:spacing w:after="0" w:line="240" w:lineRule="auto"/>
                      <w:jc w:val="center"/>
                      <w:rPr>
                        <w:rFonts w:ascii="Garamond" w:hAnsi="Garamond"/>
                        <w:b/>
                      </w:rPr>
                    </w:pPr>
                    <w:r>
                      <w:rPr>
                        <w:rFonts w:ascii="Garamond" w:hAnsi="Garamond"/>
                        <w:b/>
                      </w:rPr>
                      <w:t xml:space="preserve">Conseil interaméricain pour le développement intégré </w:t>
                    </w:r>
                  </w:p>
                  <w:p w:rsidR="003B1FC2" w:rsidRPr="00EA7DE7" w:rsidRDefault="00C6098A" w:rsidP="005F7E60">
                    <w:pPr>
                      <w:pStyle w:val="Header"/>
                      <w:tabs>
                        <w:tab w:val="left" w:pos="900"/>
                      </w:tabs>
                      <w:spacing w:after="0" w:line="240" w:lineRule="auto"/>
                      <w:jc w:val="center"/>
                      <w:rPr>
                        <w:b/>
                      </w:rPr>
                    </w:pPr>
                    <w:r>
                      <w:rPr>
                        <w:rFonts w:ascii="Garamond" w:hAnsi="Garamond"/>
                        <w:b/>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simplePos x="0" y="0"/>
              <wp:positionH relativeFrom="column">
                <wp:posOffset>5080000</wp:posOffset>
              </wp:positionH>
              <wp:positionV relativeFrom="paragraph">
                <wp:posOffset>-483235</wp:posOffset>
              </wp:positionV>
              <wp:extent cx="1287780" cy="86233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FC2" w:rsidRDefault="0077019B"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rsidR="003B1FC2" w:rsidRDefault="0077019B" w:rsidP="003B1FC2">
                    <w:pPr>
                      <w:ind w:right="-130"/>
                    </w:pPr>
                    <w:r>
                      <w:rPr>
                        <w:rFonts w:ascii="News Gothic MT" w:hAnsi="News Gothic MT"/>
                        <w:noProof/>
                        <w:color w:val="000000"/>
                        <w:lang w:val="en-US"/>
                      </w:rPr>
                      <w:drawing>
                        <wp:inline distT="0" distB="0" distL="0" distR="0">
                          <wp:extent cx="1105535" cy="77597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597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1FC2" w:rsidRDefault="003B1FC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0EBE"/>
    <w:multiLevelType w:val="hybridMultilevel"/>
    <w:tmpl w:val="F8CEA9FE"/>
    <w:lvl w:ilvl="0" w:tplc="EA0C64A4">
      <w:start w:val="1"/>
      <w:numFmt w:val="decimal"/>
      <w:lvlText w:val="%1."/>
      <w:lvlJc w:val="left"/>
      <w:pPr>
        <w:tabs>
          <w:tab w:val="num" w:pos="1440"/>
        </w:tabs>
        <w:ind w:left="1440" w:hanging="720"/>
      </w:pPr>
      <w:rPr>
        <w:rFonts w:cs="Times New Roman"/>
      </w:rPr>
    </w:lvl>
    <w:lvl w:ilvl="1" w:tplc="5A921702">
      <w:start w:val="1"/>
      <w:numFmt w:val="decimal"/>
      <w:lvlText w:val="%2."/>
      <w:lvlJc w:val="left"/>
      <w:pPr>
        <w:tabs>
          <w:tab w:val="num" w:pos="1440"/>
        </w:tabs>
        <w:ind w:left="1440" w:hanging="360"/>
      </w:pPr>
      <w:rPr>
        <w:rFonts w:cs="Times New Roman"/>
      </w:rPr>
    </w:lvl>
    <w:lvl w:ilvl="2" w:tplc="00A2A034">
      <w:start w:val="1"/>
      <w:numFmt w:val="decimal"/>
      <w:lvlText w:val="%3."/>
      <w:lvlJc w:val="left"/>
      <w:pPr>
        <w:tabs>
          <w:tab w:val="num" w:pos="2160"/>
        </w:tabs>
        <w:ind w:left="2160" w:hanging="360"/>
      </w:pPr>
      <w:rPr>
        <w:rFonts w:cs="Times New Roman"/>
      </w:rPr>
    </w:lvl>
    <w:lvl w:ilvl="3" w:tplc="81B46284">
      <w:start w:val="1"/>
      <w:numFmt w:val="decimal"/>
      <w:lvlText w:val="%4."/>
      <w:lvlJc w:val="left"/>
      <w:pPr>
        <w:tabs>
          <w:tab w:val="num" w:pos="2880"/>
        </w:tabs>
        <w:ind w:left="2880" w:hanging="360"/>
      </w:pPr>
      <w:rPr>
        <w:rFonts w:cs="Times New Roman"/>
      </w:rPr>
    </w:lvl>
    <w:lvl w:ilvl="4" w:tplc="EF56797E">
      <w:start w:val="1"/>
      <w:numFmt w:val="decimal"/>
      <w:lvlText w:val="%5."/>
      <w:lvlJc w:val="left"/>
      <w:pPr>
        <w:tabs>
          <w:tab w:val="num" w:pos="3600"/>
        </w:tabs>
        <w:ind w:left="3600" w:hanging="360"/>
      </w:pPr>
      <w:rPr>
        <w:rFonts w:cs="Times New Roman"/>
      </w:rPr>
    </w:lvl>
    <w:lvl w:ilvl="5" w:tplc="4F76B926">
      <w:start w:val="1"/>
      <w:numFmt w:val="decimal"/>
      <w:lvlText w:val="%6."/>
      <w:lvlJc w:val="left"/>
      <w:pPr>
        <w:tabs>
          <w:tab w:val="num" w:pos="4320"/>
        </w:tabs>
        <w:ind w:left="4320" w:hanging="360"/>
      </w:pPr>
      <w:rPr>
        <w:rFonts w:cs="Times New Roman"/>
      </w:rPr>
    </w:lvl>
    <w:lvl w:ilvl="6" w:tplc="799A804A">
      <w:start w:val="1"/>
      <w:numFmt w:val="decimal"/>
      <w:lvlText w:val="%7."/>
      <w:lvlJc w:val="left"/>
      <w:pPr>
        <w:tabs>
          <w:tab w:val="num" w:pos="5040"/>
        </w:tabs>
        <w:ind w:left="5040" w:hanging="360"/>
      </w:pPr>
      <w:rPr>
        <w:rFonts w:cs="Times New Roman"/>
      </w:rPr>
    </w:lvl>
    <w:lvl w:ilvl="7" w:tplc="16B0BDB0">
      <w:start w:val="1"/>
      <w:numFmt w:val="decimal"/>
      <w:lvlText w:val="%8."/>
      <w:lvlJc w:val="left"/>
      <w:pPr>
        <w:tabs>
          <w:tab w:val="num" w:pos="5760"/>
        </w:tabs>
        <w:ind w:left="5760" w:hanging="360"/>
      </w:pPr>
      <w:rPr>
        <w:rFonts w:cs="Times New Roman"/>
      </w:rPr>
    </w:lvl>
    <w:lvl w:ilvl="8" w:tplc="96305854">
      <w:start w:val="1"/>
      <w:numFmt w:val="decimal"/>
      <w:lvlText w:val="%9."/>
      <w:lvlJc w:val="left"/>
      <w:pPr>
        <w:tabs>
          <w:tab w:val="num" w:pos="6480"/>
        </w:tabs>
        <w:ind w:left="6480" w:hanging="360"/>
      </w:pPr>
      <w:rPr>
        <w:rFonts w:cs="Times New Roman"/>
      </w:rPr>
    </w:lvl>
  </w:abstractNum>
  <w:abstractNum w:abstractNumId="1" w15:restartNumberingAfterBreak="0">
    <w:nsid w:val="612C1281"/>
    <w:multiLevelType w:val="hybridMultilevel"/>
    <w:tmpl w:val="F8CEA9FE"/>
    <w:lvl w:ilvl="0" w:tplc="185E5748">
      <w:start w:val="1"/>
      <w:numFmt w:val="decimal"/>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BDB"/>
    <w:rsid w:val="00133A15"/>
    <w:rsid w:val="001429A6"/>
    <w:rsid w:val="00172434"/>
    <w:rsid w:val="0022662F"/>
    <w:rsid w:val="00283821"/>
    <w:rsid w:val="002912E9"/>
    <w:rsid w:val="002C1D14"/>
    <w:rsid w:val="002F4C52"/>
    <w:rsid w:val="003B1FC2"/>
    <w:rsid w:val="00540985"/>
    <w:rsid w:val="005F7E60"/>
    <w:rsid w:val="00642354"/>
    <w:rsid w:val="00706054"/>
    <w:rsid w:val="0077019B"/>
    <w:rsid w:val="00771FAF"/>
    <w:rsid w:val="008D6569"/>
    <w:rsid w:val="00912395"/>
    <w:rsid w:val="00952C5B"/>
    <w:rsid w:val="00A16BDB"/>
    <w:rsid w:val="00A44C86"/>
    <w:rsid w:val="00A57F19"/>
    <w:rsid w:val="00B32413"/>
    <w:rsid w:val="00BE5AF1"/>
    <w:rsid w:val="00C6098A"/>
    <w:rsid w:val="00C86BCD"/>
    <w:rsid w:val="00D12BCB"/>
    <w:rsid w:val="00DC0F22"/>
    <w:rsid w:val="00E373B3"/>
    <w:rsid w:val="00EA7DE7"/>
    <w:rsid w:val="00F22360"/>
    <w:rsid w:val="00F63BC4"/>
    <w:rsid w:val="00F64398"/>
    <w:rsid w:val="00F757AF"/>
    <w:rsid w:val="00FC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74DE43A-A0E2-4DB6-AA4A-605E20FC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BDB"/>
    <w:pPr>
      <w:tabs>
        <w:tab w:val="center" w:pos="4680"/>
        <w:tab w:val="right" w:pos="9360"/>
      </w:tabs>
    </w:pPr>
  </w:style>
  <w:style w:type="character" w:customStyle="1" w:styleId="HeaderChar">
    <w:name w:val="Header Char"/>
    <w:link w:val="Header"/>
    <w:uiPriority w:val="99"/>
    <w:rsid w:val="00A16BDB"/>
    <w:rPr>
      <w:sz w:val="22"/>
      <w:szCs w:val="22"/>
    </w:rPr>
  </w:style>
  <w:style w:type="paragraph" w:styleId="Footer">
    <w:name w:val="footer"/>
    <w:basedOn w:val="Normal"/>
    <w:link w:val="FooterChar"/>
    <w:uiPriority w:val="99"/>
    <w:unhideWhenUsed/>
    <w:rsid w:val="00A16BDB"/>
    <w:pPr>
      <w:tabs>
        <w:tab w:val="center" w:pos="4680"/>
        <w:tab w:val="right" w:pos="9360"/>
      </w:tabs>
    </w:pPr>
  </w:style>
  <w:style w:type="character" w:customStyle="1" w:styleId="FooterChar">
    <w:name w:val="Footer Char"/>
    <w:link w:val="Footer"/>
    <w:uiPriority w:val="99"/>
    <w:rsid w:val="00A16BD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492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m.oas.org/doc_public/SPANISH/HIST_19/CIP01169S03.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cp:lastModifiedBy>Azoulay, Mauricio</cp:lastModifiedBy>
  <cp:revision>2</cp:revision>
  <cp:lastPrinted>1900-01-01T05:00:00Z</cp:lastPrinted>
  <dcterms:created xsi:type="dcterms:W3CDTF">2021-01-28T12:36:00Z</dcterms:created>
  <dcterms:modified xsi:type="dcterms:W3CDTF">2021-01-28T12:36:00Z</dcterms:modified>
</cp:coreProperties>
</file>