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242E" w14:textId="77777777" w:rsidR="00E82E10" w:rsidRPr="00C17753" w:rsidRDefault="00E82E10" w:rsidP="00493A9B">
      <w:pPr>
        <w:autoSpaceDE w:val="0"/>
        <w:autoSpaceDN w:val="0"/>
        <w:adjustRightInd w:val="0"/>
        <w:ind w:left="7200"/>
        <w:rPr>
          <w:rFonts w:eastAsia="MS PGothic"/>
          <w:bCs/>
          <w:color w:val="000000" w:themeColor="text1"/>
          <w:kern w:val="24"/>
          <w:sz w:val="22"/>
          <w:szCs w:val="22"/>
          <w:lang w:val="pt-BR"/>
        </w:rPr>
      </w:pPr>
      <w:r w:rsidRPr="00B62618">
        <w:rPr>
          <w:noProof/>
          <w:color w:val="000000"/>
          <w:sz w:val="22"/>
          <w:szCs w:val="22"/>
          <w:lang w:val="fr-FR"/>
        </w:rPr>
        <w:drawing>
          <wp:anchor distT="0" distB="0" distL="114300" distR="114300" simplePos="0" relativeHeight="251661312" behindDoc="0" locked="0" layoutInCell="1" allowOverlap="0" wp14:anchorId="6D173F3E" wp14:editId="2FE2159A">
            <wp:simplePos x="0" y="0"/>
            <wp:positionH relativeFrom="column">
              <wp:posOffset>4988560</wp:posOffset>
            </wp:positionH>
            <wp:positionV relativeFrom="page">
              <wp:posOffset>380365</wp:posOffset>
            </wp:positionV>
            <wp:extent cx="1106170" cy="767715"/>
            <wp:effectExtent l="0" t="0" r="0" b="0"/>
            <wp:wrapSquare wrapText="bothSides"/>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618">
        <w:rPr>
          <w:rFonts w:eastAsia="MS PGothic"/>
          <w:b/>
          <w:bCs/>
          <w:noProof/>
          <w:color w:val="000000" w:themeColor="text1"/>
          <w:kern w:val="24"/>
          <w:sz w:val="22"/>
          <w:szCs w:val="22"/>
          <w:lang w:val="fr-FR"/>
        </w:rPr>
        <mc:AlternateContent>
          <mc:Choice Requires="wps">
            <w:drawing>
              <wp:anchor distT="0" distB="0" distL="114300" distR="114300" simplePos="0" relativeHeight="251660288" behindDoc="0" locked="0" layoutInCell="1" allowOverlap="1" wp14:anchorId="0F6373F7" wp14:editId="756474FD">
                <wp:simplePos x="0" y="0"/>
                <wp:positionH relativeFrom="column">
                  <wp:posOffset>476719</wp:posOffset>
                </wp:positionH>
                <wp:positionV relativeFrom="paragraph">
                  <wp:posOffset>-872352</wp:posOffset>
                </wp:positionV>
                <wp:extent cx="4320540" cy="664210"/>
                <wp:effectExtent l="0" t="0" r="381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BB573" w14:textId="69463041" w:rsidR="008A2ECD" w:rsidRPr="00DC1B39" w:rsidRDefault="008A2ECD" w:rsidP="00E82E10">
                            <w:pPr>
                              <w:pStyle w:val="Header"/>
                              <w:tabs>
                                <w:tab w:val="left" w:pos="900"/>
                              </w:tabs>
                              <w:spacing w:line="240" w:lineRule="atLeast"/>
                              <w:jc w:val="center"/>
                              <w:rPr>
                                <w:rFonts w:ascii="Garamond" w:hAnsi="Garamond"/>
                                <w:b/>
                                <w:sz w:val="28"/>
                                <w:lang w:val="fr-CA"/>
                              </w:rPr>
                            </w:pPr>
                            <w:r w:rsidRPr="00DC1B39">
                              <w:rPr>
                                <w:rFonts w:ascii="Garamond" w:hAnsi="Garamond"/>
                                <w:b/>
                                <w:sz w:val="28"/>
                                <w:lang w:val="fr-CA"/>
                              </w:rPr>
                              <w:t>ORGANISATION DES ÉTATS AMÉRICAINS</w:t>
                            </w:r>
                          </w:p>
                          <w:p w14:paraId="3D6CEFCB" w14:textId="36D789ED" w:rsidR="008A2ECD" w:rsidRPr="00DC1B39" w:rsidRDefault="008A2ECD" w:rsidP="00E82E10">
                            <w:pPr>
                              <w:pStyle w:val="Header"/>
                              <w:tabs>
                                <w:tab w:val="left" w:pos="900"/>
                              </w:tabs>
                              <w:spacing w:line="240" w:lineRule="atLeast"/>
                              <w:jc w:val="center"/>
                              <w:rPr>
                                <w:rFonts w:ascii="Garamond" w:hAnsi="Garamond"/>
                                <w:b/>
                                <w:lang w:val="fr-CA"/>
                              </w:rPr>
                            </w:pPr>
                            <w:r w:rsidRPr="00DC1B39">
                              <w:rPr>
                                <w:rFonts w:ascii="Garamond" w:hAnsi="Garamond"/>
                                <w:b/>
                                <w:lang w:val="fr-CA"/>
                              </w:rPr>
                              <w:t>Conseil interaméricain pour le développement intégré</w:t>
                            </w:r>
                          </w:p>
                          <w:p w14:paraId="173811B2" w14:textId="77777777" w:rsidR="008A2ECD" w:rsidRPr="00DC1B39" w:rsidRDefault="008A2ECD" w:rsidP="00E82E10">
                            <w:pPr>
                              <w:pStyle w:val="Header"/>
                              <w:tabs>
                                <w:tab w:val="left" w:pos="900"/>
                              </w:tabs>
                              <w:spacing w:line="240" w:lineRule="atLeast"/>
                              <w:jc w:val="center"/>
                              <w:rPr>
                                <w:b/>
                                <w:lang w:val="fr-CA"/>
                              </w:rPr>
                            </w:pPr>
                            <w:r w:rsidRPr="00DC1B39">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73F7" id="_x0000_t202" coordsize="21600,21600" o:spt="202" path="m,l,21600r21600,l21600,xe">
                <v:stroke joinstyle="miter"/>
                <v:path gradientshapeok="t" o:connecttype="rect"/>
              </v:shapetype>
              <v:shape id="Text Box 8" o:spid="_x0000_s1026" type="#_x0000_t202" style="position:absolute;left:0;text-align:left;margin-left:37.55pt;margin-top:-68.7pt;width:340.2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4UBQIAAO8DAAAOAAAAZHJzL2Uyb0RvYy54bWysU9tu2zAMfR+wfxD0vjjJ0qwz4hRdigwD&#10;ugvQ7gNoWbaF2aJGKbG7rx8lp1nQvQ3zg2CK1BHPOdTmZuw7cdTkDdpCLmZzKbRVWBnbFPL74/7N&#10;tRQ+gK2gQ6sL+aS9vNm+frUZXK6X2GJXaRIMYn0+uEK2Ibg8y7xqdQ9+hk5bTtZIPQQOqckqgoHR&#10;+y5bzufrbECqHKHS3vPu3ZSU24Rf11qFr3XtdRBdIbm3kFZKaxnXbLuBvCFwrVGnNuAfuujBWL70&#10;DHUHAcSBzF9QvVGEHuswU9hnWNdG6cSB2SzmL9g8tOB04sLieHeWyf8/WPXl+I2EqQrJRlno2aJH&#10;PQbxAUdxHdUZnM+56MFxWRh5m11OTL27R/XDC4u7Fmyjb4lwaDVU3N0inswujk44PoKUw2es+Bo4&#10;BExAY019lI7FEIzOLj2dnYmtKN5cvV3Or1acUpxbr1fLRbIug/z5tCMfPmrsRfwpJLHzCR2O9z7E&#10;biB/LomXeexMtTddlwJqyl1H4gg8Jfv0JQIvyjobiy3GYxNi3Ek0I7OJYxjL8SRbidUTEyacpo5f&#10;Cf+0SL+kGHjiCul/HoC0FN0ny6K9X6wiw5CC1dW7JQd0mSkvM2AVQxUySDH97sI01gdHpmn5pskm&#10;i7csdG2SBtGRqatT3zxVSZrTC4hjexmnqj/vdPsbAAD//wMAUEsDBBQABgAIAAAAIQD277ur4AAA&#10;AAsBAAAPAAAAZHJzL2Rvd25yZXYueG1sTI9BbsIwEEX3lXoHayp1U4ETwBhCHNRWatUtlANM4iGJ&#10;GttRbEi4fd1VWc7M05/38/1kOnalwbfOKkjnCTCyldOtrRWcvj9mG2A+oNXYOUsKbuRhXzw+5Jhp&#10;N9oDXY+hZjHE+gwVNCH0Gee+asign7uebLyd3WAwxHGouR5wjOGm44skWXODrY0fGuzpvaHq53gx&#10;Cs5f44vYjuVnOMnDav2GrSzdTannp+l1ByzQFP5h+NOP6lBEp9JdrPasUyBFGkkFs3QpV8AiIYUQ&#10;wMq4Wi42wIuc33cofgEAAP//AwBQSwECLQAUAAYACAAAACEAtoM4kv4AAADhAQAAEwAAAAAAAAAA&#10;AAAAAAAAAAAAW0NvbnRlbnRfVHlwZXNdLnhtbFBLAQItABQABgAIAAAAIQA4/SH/1gAAAJQBAAAL&#10;AAAAAAAAAAAAAAAAAC8BAABfcmVscy8ucmVsc1BLAQItABQABgAIAAAAIQDywY4UBQIAAO8DAAAO&#10;AAAAAAAAAAAAAAAAAC4CAABkcnMvZTJvRG9jLnhtbFBLAQItABQABgAIAAAAIQD277ur4AAAAAsB&#10;AAAPAAAAAAAAAAAAAAAAAF8EAABkcnMvZG93bnJldi54bWxQSwUGAAAAAAQABADzAAAAbAUAAAAA&#10;" stroked="f">
                <v:textbox>
                  <w:txbxContent>
                    <w:p w14:paraId="72FBB573" w14:textId="69463041" w:rsidR="008A2ECD" w:rsidRPr="00DC1B39" w:rsidRDefault="008A2ECD" w:rsidP="00E82E10">
                      <w:pPr>
                        <w:pStyle w:val="Header"/>
                        <w:tabs>
                          <w:tab w:val="left" w:pos="900"/>
                        </w:tabs>
                        <w:spacing w:line="240" w:lineRule="atLeast"/>
                        <w:jc w:val="center"/>
                        <w:rPr>
                          <w:rFonts w:ascii="Garamond" w:hAnsi="Garamond"/>
                          <w:b/>
                          <w:sz w:val="28"/>
                          <w:lang w:val="fr-CA"/>
                        </w:rPr>
                      </w:pPr>
                      <w:r w:rsidRPr="00DC1B39">
                        <w:rPr>
                          <w:rFonts w:ascii="Garamond" w:hAnsi="Garamond"/>
                          <w:b/>
                          <w:sz w:val="28"/>
                          <w:lang w:val="fr-CA"/>
                        </w:rPr>
                        <w:t>ORGANISATION DES ÉTATS AMÉRICAINS</w:t>
                      </w:r>
                    </w:p>
                    <w:p w14:paraId="3D6CEFCB" w14:textId="36D789ED" w:rsidR="008A2ECD" w:rsidRPr="00DC1B39" w:rsidRDefault="008A2ECD" w:rsidP="00E82E10">
                      <w:pPr>
                        <w:pStyle w:val="Header"/>
                        <w:tabs>
                          <w:tab w:val="left" w:pos="900"/>
                        </w:tabs>
                        <w:spacing w:line="240" w:lineRule="atLeast"/>
                        <w:jc w:val="center"/>
                        <w:rPr>
                          <w:rFonts w:ascii="Garamond" w:hAnsi="Garamond"/>
                          <w:b/>
                          <w:lang w:val="fr-CA"/>
                        </w:rPr>
                      </w:pPr>
                      <w:r w:rsidRPr="00DC1B39">
                        <w:rPr>
                          <w:rFonts w:ascii="Garamond" w:hAnsi="Garamond"/>
                          <w:b/>
                          <w:lang w:val="fr-CA"/>
                        </w:rPr>
                        <w:t>Conseil interaméricain pour le développement intégré</w:t>
                      </w:r>
                    </w:p>
                    <w:p w14:paraId="173811B2" w14:textId="77777777" w:rsidR="008A2ECD" w:rsidRPr="00DC1B39" w:rsidRDefault="008A2ECD" w:rsidP="00E82E10">
                      <w:pPr>
                        <w:pStyle w:val="Header"/>
                        <w:tabs>
                          <w:tab w:val="left" w:pos="900"/>
                        </w:tabs>
                        <w:spacing w:line="240" w:lineRule="atLeast"/>
                        <w:jc w:val="center"/>
                        <w:rPr>
                          <w:b/>
                          <w:lang w:val="fr-CA"/>
                        </w:rPr>
                      </w:pPr>
                      <w:r w:rsidRPr="00DC1B39">
                        <w:rPr>
                          <w:rFonts w:ascii="Garamond" w:hAnsi="Garamond"/>
                          <w:b/>
                          <w:lang w:val="fr-CA"/>
                        </w:rPr>
                        <w:t>(CIDI)</w:t>
                      </w:r>
                    </w:p>
                  </w:txbxContent>
                </v:textbox>
              </v:shape>
            </w:pict>
          </mc:Fallback>
        </mc:AlternateContent>
      </w:r>
      <w:r w:rsidRPr="00B62618">
        <w:rPr>
          <w:rFonts w:eastAsia="MS PGothic"/>
          <w:b/>
          <w:bCs/>
          <w:noProof/>
          <w:color w:val="000000" w:themeColor="text1"/>
          <w:kern w:val="24"/>
          <w:sz w:val="22"/>
          <w:szCs w:val="22"/>
          <w:lang w:val="fr-FR"/>
        </w:rPr>
        <w:drawing>
          <wp:anchor distT="0" distB="0" distL="114300" distR="114300" simplePos="0" relativeHeight="251659264" behindDoc="0" locked="0" layoutInCell="1" allowOverlap="1" wp14:anchorId="29E8F8D6" wp14:editId="699EE502">
            <wp:simplePos x="0" y="0"/>
            <wp:positionH relativeFrom="column">
              <wp:posOffset>-585747</wp:posOffset>
            </wp:positionH>
            <wp:positionV relativeFrom="paragraph">
              <wp:posOffset>-976437</wp:posOffset>
            </wp:positionV>
            <wp:extent cx="975360" cy="923925"/>
            <wp:effectExtent l="0" t="0" r="0" b="9525"/>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753">
        <w:rPr>
          <w:rFonts w:eastAsia="MS PGothic"/>
          <w:bCs/>
          <w:color w:val="000000" w:themeColor="text1"/>
          <w:kern w:val="24"/>
          <w:sz w:val="22"/>
          <w:szCs w:val="22"/>
          <w:lang w:val="pt-BR"/>
        </w:rPr>
        <w:t>OEA/Ser.W</w:t>
      </w:r>
    </w:p>
    <w:p w14:paraId="1CABF17F" w14:textId="483BC7F0" w:rsidR="00E82E10" w:rsidRPr="00121D09" w:rsidRDefault="00E82E10" w:rsidP="00493A9B">
      <w:pPr>
        <w:autoSpaceDE w:val="0"/>
        <w:autoSpaceDN w:val="0"/>
        <w:adjustRightInd w:val="0"/>
        <w:ind w:left="7200" w:right="-389"/>
        <w:rPr>
          <w:rFonts w:eastAsia="MS PGothic"/>
          <w:bCs/>
          <w:color w:val="000000" w:themeColor="text1"/>
          <w:kern w:val="24"/>
          <w:sz w:val="22"/>
          <w:szCs w:val="22"/>
          <w:lang w:val="pt-BR"/>
        </w:rPr>
      </w:pPr>
      <w:r w:rsidRPr="00121D09">
        <w:rPr>
          <w:rFonts w:eastAsia="MS PGothic"/>
          <w:bCs/>
          <w:color w:val="000000" w:themeColor="text1"/>
          <w:kern w:val="24"/>
          <w:sz w:val="22"/>
          <w:szCs w:val="22"/>
          <w:lang w:val="pt-BR"/>
        </w:rPr>
        <w:t>CIDI/doc.</w:t>
      </w:r>
      <w:r w:rsidR="00493A9B" w:rsidRPr="00121D09">
        <w:rPr>
          <w:rFonts w:eastAsia="MS PGothic"/>
          <w:bCs/>
          <w:color w:val="000000" w:themeColor="text1"/>
          <w:kern w:val="24"/>
          <w:sz w:val="22"/>
          <w:szCs w:val="22"/>
          <w:lang w:val="pt-BR"/>
        </w:rPr>
        <w:t>309</w:t>
      </w:r>
      <w:r w:rsidRPr="00121D09">
        <w:rPr>
          <w:rFonts w:eastAsia="MS PGothic"/>
          <w:bCs/>
          <w:color w:val="000000" w:themeColor="text1"/>
          <w:kern w:val="24"/>
          <w:sz w:val="22"/>
          <w:szCs w:val="22"/>
          <w:lang w:val="pt-BR"/>
        </w:rPr>
        <w:t>/21</w:t>
      </w:r>
      <w:r w:rsidR="00597243" w:rsidRPr="00121D09">
        <w:rPr>
          <w:rFonts w:eastAsia="MS PGothic"/>
          <w:bCs/>
          <w:color w:val="000000" w:themeColor="text1"/>
          <w:kern w:val="24"/>
          <w:sz w:val="22"/>
          <w:szCs w:val="22"/>
          <w:lang w:val="pt-BR"/>
        </w:rPr>
        <w:t xml:space="preserve"> rev.1</w:t>
      </w:r>
    </w:p>
    <w:p w14:paraId="0B5C677D" w14:textId="2BC2FA2D" w:rsidR="00E82E10" w:rsidRPr="00B62618" w:rsidRDefault="00597243" w:rsidP="00493A9B">
      <w:pPr>
        <w:autoSpaceDE w:val="0"/>
        <w:autoSpaceDN w:val="0"/>
        <w:adjustRightInd w:val="0"/>
        <w:ind w:left="7200"/>
        <w:rPr>
          <w:rFonts w:eastAsia="MS PGothic"/>
          <w:bCs/>
          <w:color w:val="000000" w:themeColor="text1"/>
          <w:kern w:val="24"/>
          <w:sz w:val="22"/>
          <w:szCs w:val="22"/>
          <w:lang w:val="fr-FR"/>
        </w:rPr>
      </w:pPr>
      <w:r>
        <w:rPr>
          <w:rFonts w:eastAsia="MS PGothic"/>
          <w:bCs/>
          <w:color w:val="000000" w:themeColor="text1"/>
          <w:kern w:val="24"/>
          <w:sz w:val="22"/>
          <w:szCs w:val="22"/>
          <w:lang w:val="fr-FR"/>
        </w:rPr>
        <w:t>23</w:t>
      </w:r>
      <w:r w:rsidR="00493A9B" w:rsidRPr="00B62618">
        <w:rPr>
          <w:rFonts w:eastAsia="MS PGothic"/>
          <w:bCs/>
          <w:color w:val="000000" w:themeColor="text1"/>
          <w:kern w:val="24"/>
          <w:sz w:val="22"/>
          <w:szCs w:val="22"/>
          <w:lang w:val="fr-FR"/>
        </w:rPr>
        <w:t xml:space="preserve"> </w:t>
      </w:r>
      <w:r w:rsidR="00DC1B39" w:rsidRPr="00B62618">
        <w:rPr>
          <w:rFonts w:eastAsia="MS PGothic"/>
          <w:bCs/>
          <w:color w:val="000000" w:themeColor="text1"/>
          <w:kern w:val="24"/>
          <w:sz w:val="22"/>
          <w:szCs w:val="22"/>
          <w:lang w:val="fr-FR"/>
        </w:rPr>
        <w:t>février</w:t>
      </w:r>
      <w:r w:rsidR="00493A9B" w:rsidRPr="00B62618">
        <w:rPr>
          <w:rFonts w:eastAsia="MS PGothic"/>
          <w:bCs/>
          <w:color w:val="000000" w:themeColor="text1"/>
          <w:kern w:val="24"/>
          <w:sz w:val="22"/>
          <w:szCs w:val="22"/>
          <w:lang w:val="fr-FR"/>
        </w:rPr>
        <w:t xml:space="preserve"> 2021</w:t>
      </w:r>
    </w:p>
    <w:p w14:paraId="72FACB6C" w14:textId="33DC958D" w:rsidR="00E82E10" w:rsidRPr="00B62618" w:rsidRDefault="00E82E10" w:rsidP="00493A9B">
      <w:pPr>
        <w:autoSpaceDE w:val="0"/>
        <w:autoSpaceDN w:val="0"/>
        <w:adjustRightInd w:val="0"/>
        <w:ind w:left="7200"/>
        <w:rPr>
          <w:rFonts w:eastAsia="MS PGothic"/>
          <w:bCs/>
          <w:color w:val="000000" w:themeColor="text1"/>
          <w:kern w:val="24"/>
          <w:sz w:val="22"/>
          <w:szCs w:val="22"/>
          <w:lang w:val="fr-FR"/>
        </w:rPr>
      </w:pPr>
      <w:proofErr w:type="gramStart"/>
      <w:r w:rsidRPr="00B62618">
        <w:rPr>
          <w:rFonts w:eastAsia="MS PGothic"/>
          <w:bCs/>
          <w:color w:val="000000" w:themeColor="text1"/>
          <w:kern w:val="24"/>
          <w:sz w:val="22"/>
          <w:szCs w:val="22"/>
          <w:lang w:val="fr-FR"/>
        </w:rPr>
        <w:t>Original:</w:t>
      </w:r>
      <w:proofErr w:type="gramEnd"/>
      <w:r w:rsidRPr="00B62618">
        <w:rPr>
          <w:rFonts w:eastAsia="MS PGothic"/>
          <w:bCs/>
          <w:color w:val="000000" w:themeColor="text1"/>
          <w:kern w:val="24"/>
          <w:sz w:val="22"/>
          <w:szCs w:val="22"/>
          <w:lang w:val="fr-FR"/>
        </w:rPr>
        <w:t xml:space="preserve"> </w:t>
      </w:r>
      <w:r w:rsidR="00DC1B39" w:rsidRPr="00B62618">
        <w:rPr>
          <w:rFonts w:eastAsia="MS PGothic"/>
          <w:bCs/>
          <w:color w:val="000000" w:themeColor="text1"/>
          <w:kern w:val="24"/>
          <w:sz w:val="22"/>
          <w:szCs w:val="22"/>
          <w:lang w:val="fr-FR"/>
        </w:rPr>
        <w:t>anglais</w:t>
      </w:r>
    </w:p>
    <w:p w14:paraId="1A5AE419"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2BED6248"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4CE03DC5"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51AE91B2"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31183F6B"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0A45B8FA"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2FD5FEC7" w14:textId="3815F52C"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3D6B57DA" w14:textId="72CD48D0" w:rsidR="007E113D" w:rsidRPr="00B62618" w:rsidRDefault="007E113D" w:rsidP="00493A9B">
      <w:pPr>
        <w:autoSpaceDE w:val="0"/>
        <w:autoSpaceDN w:val="0"/>
        <w:adjustRightInd w:val="0"/>
        <w:rPr>
          <w:rFonts w:eastAsia="MS PGothic"/>
          <w:bCs/>
          <w:color w:val="000000" w:themeColor="text1"/>
          <w:kern w:val="24"/>
          <w:sz w:val="22"/>
          <w:szCs w:val="22"/>
          <w:lang w:val="fr-FR"/>
        </w:rPr>
      </w:pPr>
    </w:p>
    <w:p w14:paraId="486F3C3D" w14:textId="1BCCF6CF" w:rsidR="007E113D" w:rsidRPr="00B62618" w:rsidRDefault="007E113D" w:rsidP="00493A9B">
      <w:pPr>
        <w:autoSpaceDE w:val="0"/>
        <w:autoSpaceDN w:val="0"/>
        <w:adjustRightInd w:val="0"/>
        <w:rPr>
          <w:rFonts w:eastAsia="MS PGothic"/>
          <w:bCs/>
          <w:color w:val="000000" w:themeColor="text1"/>
          <w:kern w:val="24"/>
          <w:sz w:val="22"/>
          <w:szCs w:val="22"/>
          <w:lang w:val="fr-FR"/>
        </w:rPr>
      </w:pPr>
    </w:p>
    <w:p w14:paraId="212512EE" w14:textId="60009BE7" w:rsidR="007E113D" w:rsidRPr="00B62618" w:rsidRDefault="007E113D" w:rsidP="00493A9B">
      <w:pPr>
        <w:autoSpaceDE w:val="0"/>
        <w:autoSpaceDN w:val="0"/>
        <w:adjustRightInd w:val="0"/>
        <w:rPr>
          <w:rFonts w:eastAsia="MS PGothic"/>
          <w:bCs/>
          <w:color w:val="000000" w:themeColor="text1"/>
          <w:kern w:val="24"/>
          <w:sz w:val="22"/>
          <w:szCs w:val="22"/>
          <w:lang w:val="fr-FR"/>
        </w:rPr>
      </w:pPr>
    </w:p>
    <w:p w14:paraId="1269CCD4" w14:textId="1652C439" w:rsidR="007E113D" w:rsidRPr="00B62618" w:rsidRDefault="007E113D" w:rsidP="00493A9B">
      <w:pPr>
        <w:autoSpaceDE w:val="0"/>
        <w:autoSpaceDN w:val="0"/>
        <w:adjustRightInd w:val="0"/>
        <w:rPr>
          <w:rFonts w:eastAsia="MS PGothic"/>
          <w:bCs/>
          <w:color w:val="000000" w:themeColor="text1"/>
          <w:kern w:val="24"/>
          <w:sz w:val="22"/>
          <w:szCs w:val="22"/>
          <w:lang w:val="fr-FR"/>
        </w:rPr>
      </w:pPr>
    </w:p>
    <w:p w14:paraId="003E79C1" w14:textId="77777777" w:rsidR="007E113D" w:rsidRPr="00B62618" w:rsidRDefault="007E113D" w:rsidP="00493A9B">
      <w:pPr>
        <w:autoSpaceDE w:val="0"/>
        <w:autoSpaceDN w:val="0"/>
        <w:adjustRightInd w:val="0"/>
        <w:rPr>
          <w:rFonts w:eastAsia="MS PGothic"/>
          <w:bCs/>
          <w:color w:val="000000" w:themeColor="text1"/>
          <w:kern w:val="24"/>
          <w:sz w:val="22"/>
          <w:szCs w:val="22"/>
          <w:lang w:val="fr-FR"/>
        </w:rPr>
      </w:pPr>
    </w:p>
    <w:p w14:paraId="3F9BD55C"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585505AF"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50C7ED8E" w14:textId="77777777" w:rsidR="00E82E10" w:rsidRPr="00B62618" w:rsidRDefault="00E82E10" w:rsidP="00493A9B">
      <w:pPr>
        <w:autoSpaceDE w:val="0"/>
        <w:autoSpaceDN w:val="0"/>
        <w:adjustRightInd w:val="0"/>
        <w:jc w:val="center"/>
        <w:rPr>
          <w:rFonts w:eastAsia="MS PGothic"/>
          <w:bCs/>
          <w:color w:val="000000" w:themeColor="text1"/>
          <w:kern w:val="24"/>
          <w:sz w:val="22"/>
          <w:szCs w:val="22"/>
          <w:lang w:val="fr-FR"/>
        </w:rPr>
      </w:pPr>
    </w:p>
    <w:p w14:paraId="4E1D5752" w14:textId="72045F65" w:rsidR="00DC1B39" w:rsidRPr="00B62618" w:rsidRDefault="00DC1B39" w:rsidP="00493A9B">
      <w:pPr>
        <w:autoSpaceDE w:val="0"/>
        <w:autoSpaceDN w:val="0"/>
        <w:adjustRightInd w:val="0"/>
        <w:jc w:val="center"/>
        <w:rPr>
          <w:rFonts w:eastAsia="MS PGothic"/>
          <w:b/>
          <w:bCs/>
          <w:color w:val="000000" w:themeColor="text1"/>
          <w:kern w:val="24"/>
          <w:sz w:val="22"/>
          <w:szCs w:val="22"/>
          <w:lang w:val="fr-FR"/>
        </w:rPr>
      </w:pPr>
      <w:r w:rsidRPr="00B62618">
        <w:rPr>
          <w:rFonts w:eastAsia="MS PGothic"/>
          <w:b/>
          <w:bCs/>
          <w:color w:val="000000" w:themeColor="text1"/>
          <w:kern w:val="24"/>
          <w:sz w:val="22"/>
          <w:szCs w:val="22"/>
          <w:lang w:val="fr-FR"/>
        </w:rPr>
        <w:t xml:space="preserve">PLAN DE TRAVAIL DU SECRÉTARIAT EXÉCUTIF </w:t>
      </w:r>
    </w:p>
    <w:p w14:paraId="441BE2D3" w14:textId="5A5D734E" w:rsidR="007E113D" w:rsidRPr="00B62618" w:rsidRDefault="00DC1B39" w:rsidP="00493A9B">
      <w:pPr>
        <w:autoSpaceDE w:val="0"/>
        <w:autoSpaceDN w:val="0"/>
        <w:adjustRightInd w:val="0"/>
        <w:jc w:val="center"/>
        <w:rPr>
          <w:rFonts w:eastAsia="MS PGothic"/>
          <w:b/>
          <w:bCs/>
          <w:color w:val="000000" w:themeColor="text1"/>
          <w:kern w:val="24"/>
          <w:sz w:val="22"/>
          <w:szCs w:val="22"/>
          <w:lang w:val="fr-FR"/>
        </w:rPr>
      </w:pPr>
      <w:r w:rsidRPr="00B62618">
        <w:rPr>
          <w:rFonts w:eastAsia="MS PGothic"/>
          <w:b/>
          <w:bCs/>
          <w:color w:val="000000" w:themeColor="text1"/>
          <w:kern w:val="24"/>
          <w:sz w:val="22"/>
          <w:szCs w:val="22"/>
          <w:lang w:val="fr-FR"/>
        </w:rPr>
        <w:t>AU DÉVELOPPEMENT INTÉGRÉ</w:t>
      </w:r>
      <w:r w:rsidR="007E113D" w:rsidRPr="00B62618">
        <w:rPr>
          <w:rFonts w:eastAsia="MS PGothic"/>
          <w:b/>
          <w:bCs/>
          <w:color w:val="000000" w:themeColor="text1"/>
          <w:kern w:val="24"/>
          <w:sz w:val="22"/>
          <w:szCs w:val="22"/>
          <w:lang w:val="fr-FR"/>
        </w:rPr>
        <w:t xml:space="preserve"> (SEDI)</w:t>
      </w:r>
    </w:p>
    <w:p w14:paraId="20253E70" w14:textId="76FDD163" w:rsidR="00E82E10" w:rsidRPr="00B62618" w:rsidRDefault="00E82E10" w:rsidP="00493A9B">
      <w:pPr>
        <w:autoSpaceDE w:val="0"/>
        <w:autoSpaceDN w:val="0"/>
        <w:adjustRightInd w:val="0"/>
        <w:jc w:val="center"/>
        <w:rPr>
          <w:rFonts w:eastAsia="MS PGothic"/>
          <w:b/>
          <w:bCs/>
          <w:color w:val="000000" w:themeColor="text1"/>
          <w:kern w:val="24"/>
          <w:sz w:val="22"/>
          <w:szCs w:val="22"/>
          <w:lang w:val="fr-FR"/>
        </w:rPr>
      </w:pPr>
    </w:p>
    <w:p w14:paraId="42E24135" w14:textId="085758E9" w:rsidR="007E113D" w:rsidRDefault="007E113D" w:rsidP="00493A9B">
      <w:pPr>
        <w:autoSpaceDE w:val="0"/>
        <w:autoSpaceDN w:val="0"/>
        <w:adjustRightInd w:val="0"/>
        <w:jc w:val="center"/>
        <w:rPr>
          <w:rFonts w:eastAsia="MS PGothic"/>
          <w:b/>
          <w:bCs/>
          <w:color w:val="000000" w:themeColor="text1"/>
          <w:kern w:val="24"/>
          <w:sz w:val="22"/>
          <w:szCs w:val="22"/>
          <w:lang w:val="fr-FR"/>
        </w:rPr>
      </w:pPr>
      <w:r w:rsidRPr="00B62618">
        <w:rPr>
          <w:rFonts w:eastAsia="MS PGothic"/>
          <w:b/>
          <w:bCs/>
          <w:color w:val="000000" w:themeColor="text1"/>
          <w:kern w:val="24"/>
          <w:sz w:val="22"/>
          <w:szCs w:val="22"/>
          <w:lang w:val="fr-FR"/>
        </w:rPr>
        <w:t>Jan</w:t>
      </w:r>
      <w:r w:rsidR="00DC1B39" w:rsidRPr="00B62618">
        <w:rPr>
          <w:rFonts w:eastAsia="MS PGothic"/>
          <w:b/>
          <w:bCs/>
          <w:color w:val="000000" w:themeColor="text1"/>
          <w:kern w:val="24"/>
          <w:sz w:val="22"/>
          <w:szCs w:val="22"/>
          <w:lang w:val="fr-FR"/>
        </w:rPr>
        <w:t>vier</w:t>
      </w:r>
      <w:r w:rsidRPr="00B62618">
        <w:rPr>
          <w:rFonts w:eastAsia="MS PGothic"/>
          <w:b/>
          <w:bCs/>
          <w:color w:val="000000" w:themeColor="text1"/>
          <w:kern w:val="24"/>
          <w:sz w:val="22"/>
          <w:szCs w:val="22"/>
          <w:lang w:val="fr-FR"/>
        </w:rPr>
        <w:t xml:space="preserve"> – </w:t>
      </w:r>
      <w:r w:rsidR="00B62618" w:rsidRPr="00B62618">
        <w:rPr>
          <w:rFonts w:eastAsia="MS PGothic"/>
          <w:b/>
          <w:bCs/>
          <w:color w:val="000000" w:themeColor="text1"/>
          <w:kern w:val="24"/>
          <w:sz w:val="22"/>
          <w:szCs w:val="22"/>
          <w:lang w:val="fr-FR"/>
        </w:rPr>
        <w:t>D</w:t>
      </w:r>
      <w:r w:rsidR="00DC1B39" w:rsidRPr="00B62618">
        <w:rPr>
          <w:rFonts w:eastAsia="MS PGothic"/>
          <w:b/>
          <w:bCs/>
          <w:color w:val="000000" w:themeColor="text1"/>
          <w:kern w:val="24"/>
          <w:sz w:val="22"/>
          <w:szCs w:val="22"/>
          <w:lang w:val="fr-FR"/>
        </w:rPr>
        <w:t>écembre</w:t>
      </w:r>
      <w:r w:rsidRPr="00B62618">
        <w:rPr>
          <w:rFonts w:eastAsia="MS PGothic"/>
          <w:b/>
          <w:bCs/>
          <w:color w:val="000000" w:themeColor="text1"/>
          <w:kern w:val="24"/>
          <w:sz w:val="22"/>
          <w:szCs w:val="22"/>
          <w:lang w:val="fr-FR"/>
        </w:rPr>
        <w:t xml:space="preserve"> 2021</w:t>
      </w:r>
    </w:p>
    <w:p w14:paraId="19FA8E08" w14:textId="77777777" w:rsidR="00597243" w:rsidRPr="00B62618" w:rsidRDefault="00597243" w:rsidP="00493A9B">
      <w:pPr>
        <w:autoSpaceDE w:val="0"/>
        <w:autoSpaceDN w:val="0"/>
        <w:adjustRightInd w:val="0"/>
        <w:jc w:val="center"/>
        <w:rPr>
          <w:rFonts w:eastAsia="MS PGothic"/>
          <w:b/>
          <w:bCs/>
          <w:color w:val="000000" w:themeColor="text1"/>
          <w:kern w:val="24"/>
          <w:sz w:val="22"/>
          <w:szCs w:val="22"/>
          <w:lang w:val="fr-FR"/>
        </w:rPr>
      </w:pPr>
    </w:p>
    <w:p w14:paraId="18A896DB" w14:textId="5ED6BD17" w:rsidR="00597243" w:rsidRPr="00597243" w:rsidRDefault="00597243" w:rsidP="00597243">
      <w:pPr>
        <w:widowControl w:val="0"/>
        <w:jc w:val="center"/>
        <w:rPr>
          <w:lang w:val="fr-CA"/>
        </w:rPr>
      </w:pPr>
      <w:r w:rsidRPr="00597243">
        <w:rPr>
          <w:lang w:val="fr-CA"/>
        </w:rPr>
        <w:t>(</w:t>
      </w:r>
      <w:r w:rsidRPr="00597243">
        <w:rPr>
          <w:color w:val="000000"/>
          <w:lang w:val="fr-CA"/>
        </w:rPr>
        <w:t>Approuvée à sa séance ordinaire tenue le 2</w:t>
      </w:r>
      <w:r>
        <w:rPr>
          <w:color w:val="000000"/>
          <w:lang w:val="fr-CA"/>
        </w:rPr>
        <w:t xml:space="preserve">3 </w:t>
      </w:r>
      <w:r w:rsidRPr="00B62618">
        <w:rPr>
          <w:rFonts w:eastAsia="MS PGothic"/>
          <w:bCs/>
          <w:color w:val="000000" w:themeColor="text1"/>
          <w:kern w:val="24"/>
          <w:sz w:val="22"/>
          <w:szCs w:val="22"/>
          <w:lang w:val="fr-FR"/>
        </w:rPr>
        <w:t xml:space="preserve">février </w:t>
      </w:r>
      <w:r w:rsidRPr="00597243">
        <w:rPr>
          <w:color w:val="000000"/>
          <w:lang w:val="fr-CA"/>
        </w:rPr>
        <w:t>202</w:t>
      </w:r>
      <w:r>
        <w:rPr>
          <w:color w:val="000000"/>
          <w:lang w:val="fr-CA"/>
        </w:rPr>
        <w:t>1</w:t>
      </w:r>
      <w:r w:rsidRPr="00597243">
        <w:rPr>
          <w:lang w:val="fr-CA"/>
        </w:rPr>
        <w:t>)</w:t>
      </w:r>
    </w:p>
    <w:p w14:paraId="7CEC66D1" w14:textId="77777777" w:rsidR="007E113D" w:rsidRPr="00597243" w:rsidRDefault="007E113D" w:rsidP="00493A9B">
      <w:pPr>
        <w:autoSpaceDE w:val="0"/>
        <w:autoSpaceDN w:val="0"/>
        <w:adjustRightInd w:val="0"/>
        <w:jc w:val="center"/>
        <w:rPr>
          <w:rFonts w:eastAsia="MS PGothic"/>
          <w:bCs/>
          <w:color w:val="000000" w:themeColor="text1"/>
          <w:kern w:val="24"/>
          <w:sz w:val="22"/>
          <w:szCs w:val="22"/>
          <w:lang w:val="fr-CA"/>
        </w:rPr>
      </w:pPr>
    </w:p>
    <w:p w14:paraId="0256C6EB" w14:textId="77777777" w:rsidR="007E113D" w:rsidRPr="00597243" w:rsidRDefault="007E113D" w:rsidP="00493A9B">
      <w:pPr>
        <w:autoSpaceDE w:val="0"/>
        <w:autoSpaceDN w:val="0"/>
        <w:adjustRightInd w:val="0"/>
        <w:rPr>
          <w:rFonts w:eastAsia="MS PGothic"/>
          <w:b/>
          <w:bCs/>
          <w:color w:val="000000" w:themeColor="text1"/>
          <w:kern w:val="24"/>
          <w:sz w:val="22"/>
          <w:szCs w:val="22"/>
          <w:lang w:val="fr-CA"/>
        </w:rPr>
        <w:sectPr w:rsidR="007E113D" w:rsidRPr="00597243" w:rsidSect="00390D1B">
          <w:headerReference w:type="default" r:id="rId10"/>
          <w:pgSz w:w="12240" w:h="15840" w:code="1"/>
          <w:pgMar w:top="2160" w:right="1570" w:bottom="1296" w:left="1699" w:header="1296" w:footer="1296" w:gutter="0"/>
          <w:cols w:space="720"/>
          <w:titlePg/>
          <w:docGrid w:linePitch="360"/>
        </w:sectPr>
      </w:pPr>
    </w:p>
    <w:p w14:paraId="2ACB2B0B" w14:textId="3FFF8238" w:rsidR="007E113D" w:rsidRPr="00B62618" w:rsidRDefault="006C2E29" w:rsidP="00493A9B">
      <w:pPr>
        <w:autoSpaceDE w:val="0"/>
        <w:autoSpaceDN w:val="0"/>
        <w:adjustRightInd w:val="0"/>
        <w:jc w:val="center"/>
        <w:rPr>
          <w:rFonts w:eastAsia="MS PGothic"/>
          <w:b/>
          <w:bCs/>
          <w:color w:val="000000" w:themeColor="text1"/>
          <w:kern w:val="24"/>
          <w:sz w:val="22"/>
          <w:szCs w:val="22"/>
          <w:lang w:val="fr-FR"/>
        </w:rPr>
      </w:pPr>
      <w:r w:rsidRPr="00B62618">
        <w:rPr>
          <w:rFonts w:eastAsia="MS PGothic"/>
          <w:b/>
          <w:bCs/>
          <w:color w:val="000000" w:themeColor="text1"/>
          <w:kern w:val="24"/>
          <w:sz w:val="22"/>
          <w:szCs w:val="22"/>
          <w:lang w:val="fr-FR"/>
        </w:rPr>
        <w:lastRenderedPageBreak/>
        <w:t>PLAN DE TRAVAIL</w:t>
      </w:r>
      <w:r w:rsidR="007E113D" w:rsidRPr="00B62618">
        <w:rPr>
          <w:rFonts w:eastAsia="MS PGothic"/>
          <w:b/>
          <w:bCs/>
          <w:color w:val="000000" w:themeColor="text1"/>
          <w:kern w:val="24"/>
          <w:sz w:val="22"/>
          <w:szCs w:val="22"/>
          <w:lang w:val="fr-FR"/>
        </w:rPr>
        <w:t xml:space="preserve"> 2021 </w:t>
      </w:r>
      <w:r w:rsidRPr="00B62618">
        <w:rPr>
          <w:rFonts w:eastAsia="MS PGothic"/>
          <w:b/>
          <w:bCs/>
          <w:color w:val="000000" w:themeColor="text1"/>
          <w:kern w:val="24"/>
          <w:sz w:val="22"/>
          <w:szCs w:val="22"/>
          <w:lang w:val="fr-FR"/>
        </w:rPr>
        <w:t>POUR LE</w:t>
      </w:r>
    </w:p>
    <w:p w14:paraId="36F75999" w14:textId="77777777" w:rsidR="007E113D" w:rsidRPr="00B62618" w:rsidRDefault="007E113D" w:rsidP="00493A9B">
      <w:pPr>
        <w:autoSpaceDE w:val="0"/>
        <w:autoSpaceDN w:val="0"/>
        <w:adjustRightInd w:val="0"/>
        <w:jc w:val="center"/>
        <w:rPr>
          <w:rFonts w:eastAsia="MS PGothic"/>
          <w:b/>
          <w:bCs/>
          <w:color w:val="000000" w:themeColor="text1"/>
          <w:kern w:val="24"/>
          <w:sz w:val="22"/>
          <w:szCs w:val="22"/>
          <w:lang w:val="fr-FR"/>
        </w:rPr>
      </w:pPr>
    </w:p>
    <w:p w14:paraId="4FD90310" w14:textId="353CFC46" w:rsidR="00E82E10" w:rsidRPr="00B62618" w:rsidRDefault="006C2E29" w:rsidP="00493A9B">
      <w:pPr>
        <w:autoSpaceDE w:val="0"/>
        <w:autoSpaceDN w:val="0"/>
        <w:adjustRightInd w:val="0"/>
        <w:jc w:val="center"/>
        <w:rPr>
          <w:rFonts w:eastAsia="MS PGothic"/>
          <w:b/>
          <w:bCs/>
          <w:color w:val="000000" w:themeColor="text1"/>
          <w:kern w:val="24"/>
          <w:sz w:val="22"/>
          <w:szCs w:val="22"/>
          <w:lang w:val="fr-FR"/>
        </w:rPr>
      </w:pPr>
      <w:r w:rsidRPr="00B62618">
        <w:rPr>
          <w:rFonts w:eastAsia="MS PGothic"/>
          <w:b/>
          <w:bCs/>
          <w:color w:val="000000" w:themeColor="text1"/>
          <w:kern w:val="24"/>
          <w:sz w:val="22"/>
          <w:szCs w:val="22"/>
          <w:lang w:val="fr-FR"/>
        </w:rPr>
        <w:t>SECRÉTARIAT EXÉCUTIF AU DÉVELOPPEMENT INTÉGRÉ</w:t>
      </w:r>
      <w:r w:rsidR="00E82E10" w:rsidRPr="00B62618">
        <w:rPr>
          <w:rFonts w:eastAsia="MS PGothic"/>
          <w:b/>
          <w:bCs/>
          <w:color w:val="000000" w:themeColor="text1"/>
          <w:kern w:val="24"/>
          <w:sz w:val="22"/>
          <w:szCs w:val="22"/>
          <w:lang w:val="fr-FR"/>
        </w:rPr>
        <w:t xml:space="preserve"> (SEDI)</w:t>
      </w:r>
    </w:p>
    <w:p w14:paraId="71C18207" w14:textId="27A62C99" w:rsidR="007E113D" w:rsidRPr="00B62618" w:rsidRDefault="007E113D" w:rsidP="00493A9B">
      <w:pPr>
        <w:autoSpaceDE w:val="0"/>
        <w:autoSpaceDN w:val="0"/>
        <w:adjustRightInd w:val="0"/>
        <w:jc w:val="center"/>
        <w:rPr>
          <w:rFonts w:eastAsia="MS PGothic"/>
          <w:b/>
          <w:bCs/>
          <w:color w:val="000000" w:themeColor="text1"/>
          <w:kern w:val="24"/>
          <w:sz w:val="22"/>
          <w:szCs w:val="22"/>
          <w:lang w:val="fr-FR"/>
        </w:rPr>
      </w:pPr>
    </w:p>
    <w:p w14:paraId="37D8E51B" w14:textId="4DF64197" w:rsidR="007E113D" w:rsidRPr="00B62618" w:rsidRDefault="007E113D" w:rsidP="00493A9B">
      <w:pPr>
        <w:autoSpaceDE w:val="0"/>
        <w:autoSpaceDN w:val="0"/>
        <w:adjustRightInd w:val="0"/>
        <w:jc w:val="center"/>
        <w:rPr>
          <w:rFonts w:eastAsia="MS PGothic"/>
          <w:b/>
          <w:bCs/>
          <w:color w:val="000000" w:themeColor="text1"/>
          <w:kern w:val="24"/>
          <w:sz w:val="22"/>
          <w:szCs w:val="22"/>
          <w:lang w:val="fr-FR"/>
        </w:rPr>
      </w:pPr>
      <w:r w:rsidRPr="00B62618">
        <w:rPr>
          <w:rFonts w:eastAsia="MS PGothic"/>
          <w:b/>
          <w:bCs/>
          <w:color w:val="000000" w:themeColor="text1"/>
          <w:kern w:val="24"/>
          <w:sz w:val="22"/>
          <w:szCs w:val="22"/>
          <w:lang w:val="fr-FR"/>
        </w:rPr>
        <w:t>J</w:t>
      </w:r>
      <w:r w:rsidR="006C2E29" w:rsidRPr="00B62618">
        <w:rPr>
          <w:rFonts w:eastAsia="MS PGothic"/>
          <w:b/>
          <w:bCs/>
          <w:color w:val="000000" w:themeColor="text1"/>
          <w:kern w:val="24"/>
          <w:sz w:val="22"/>
          <w:szCs w:val="22"/>
          <w:lang w:val="fr-FR"/>
        </w:rPr>
        <w:t>anvier</w:t>
      </w:r>
      <w:r w:rsidRPr="00B62618">
        <w:rPr>
          <w:rFonts w:eastAsia="MS PGothic"/>
          <w:b/>
          <w:bCs/>
          <w:color w:val="000000" w:themeColor="text1"/>
          <w:kern w:val="24"/>
          <w:sz w:val="22"/>
          <w:szCs w:val="22"/>
          <w:lang w:val="fr-FR"/>
        </w:rPr>
        <w:t xml:space="preserve"> – </w:t>
      </w:r>
      <w:r w:rsidR="006C2E29" w:rsidRPr="00B62618">
        <w:rPr>
          <w:rFonts w:eastAsia="MS PGothic"/>
          <w:b/>
          <w:bCs/>
          <w:color w:val="000000" w:themeColor="text1"/>
          <w:kern w:val="24"/>
          <w:sz w:val="22"/>
          <w:szCs w:val="22"/>
          <w:lang w:val="fr-FR"/>
        </w:rPr>
        <w:t>décembre</w:t>
      </w:r>
      <w:r w:rsidRPr="00B62618">
        <w:rPr>
          <w:rFonts w:eastAsia="MS PGothic"/>
          <w:b/>
          <w:bCs/>
          <w:color w:val="000000" w:themeColor="text1"/>
          <w:kern w:val="24"/>
          <w:sz w:val="22"/>
          <w:szCs w:val="22"/>
          <w:lang w:val="fr-FR"/>
        </w:rPr>
        <w:t xml:space="preserve"> 2021</w:t>
      </w:r>
    </w:p>
    <w:p w14:paraId="2D09AC58" w14:textId="77777777" w:rsidR="007E113D" w:rsidRPr="00B62618" w:rsidRDefault="007E113D" w:rsidP="00493A9B">
      <w:pPr>
        <w:autoSpaceDE w:val="0"/>
        <w:autoSpaceDN w:val="0"/>
        <w:adjustRightInd w:val="0"/>
        <w:rPr>
          <w:rFonts w:eastAsia="MS PGothic"/>
          <w:bCs/>
          <w:color w:val="000000" w:themeColor="text1"/>
          <w:kern w:val="24"/>
          <w:sz w:val="22"/>
          <w:szCs w:val="22"/>
          <w:lang w:val="fr-FR"/>
        </w:rPr>
      </w:pPr>
    </w:p>
    <w:p w14:paraId="53575560" w14:textId="6112A751"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574CD8DA" w14:textId="77777777" w:rsidR="00E82E10" w:rsidRPr="00B62618" w:rsidRDefault="00E82E10" w:rsidP="00493A9B">
      <w:pPr>
        <w:autoSpaceDE w:val="0"/>
        <w:autoSpaceDN w:val="0"/>
        <w:adjustRightInd w:val="0"/>
        <w:rPr>
          <w:rFonts w:eastAsia="MS PGothic"/>
          <w:bCs/>
          <w:color w:val="000000" w:themeColor="text1"/>
          <w:kern w:val="24"/>
          <w:sz w:val="22"/>
          <w:szCs w:val="22"/>
          <w:lang w:val="fr-FR"/>
        </w:rPr>
      </w:pPr>
    </w:p>
    <w:p w14:paraId="32246BEE" w14:textId="7C65B078" w:rsidR="00E82E10" w:rsidRPr="00B62618" w:rsidRDefault="007D43B5" w:rsidP="00493A9B">
      <w:pPr>
        <w:jc w:val="both"/>
        <w:rPr>
          <w:b/>
          <w:bCs/>
          <w:color w:val="000000" w:themeColor="text1"/>
          <w:sz w:val="22"/>
          <w:szCs w:val="22"/>
          <w:lang w:val="fr-FR"/>
        </w:rPr>
      </w:pPr>
      <w:r w:rsidRPr="00B62618">
        <w:rPr>
          <w:b/>
          <w:bCs/>
          <w:color w:val="000000" w:themeColor="text1"/>
          <w:sz w:val="22"/>
          <w:szCs w:val="22"/>
          <w:lang w:val="fr-FR"/>
        </w:rPr>
        <w:t>IN</w:t>
      </w:r>
      <w:r w:rsidR="00E82E10" w:rsidRPr="00B62618">
        <w:rPr>
          <w:b/>
          <w:bCs/>
          <w:color w:val="000000" w:themeColor="text1"/>
          <w:sz w:val="22"/>
          <w:szCs w:val="22"/>
          <w:lang w:val="fr-FR"/>
        </w:rPr>
        <w:t>TRODUCTION</w:t>
      </w:r>
    </w:p>
    <w:p w14:paraId="11AD0C21" w14:textId="36B70031" w:rsidR="00A60D0C" w:rsidRPr="00B62618" w:rsidRDefault="00A60D0C" w:rsidP="00493A9B">
      <w:pPr>
        <w:jc w:val="both"/>
        <w:rPr>
          <w:b/>
          <w:bCs/>
          <w:color w:val="000000" w:themeColor="text1"/>
          <w:sz w:val="22"/>
          <w:szCs w:val="22"/>
          <w:lang w:val="fr-FR"/>
        </w:rPr>
      </w:pPr>
    </w:p>
    <w:p w14:paraId="258F261A" w14:textId="77777777" w:rsidR="00A60D0C" w:rsidRPr="00B62618" w:rsidRDefault="00A60D0C" w:rsidP="00493A9B">
      <w:pPr>
        <w:jc w:val="both"/>
        <w:rPr>
          <w:b/>
          <w:bCs/>
          <w:color w:val="000000" w:themeColor="text1"/>
          <w:sz w:val="22"/>
          <w:szCs w:val="22"/>
          <w:lang w:val="fr-FR"/>
        </w:rPr>
      </w:pPr>
    </w:p>
    <w:p w14:paraId="3034E445" w14:textId="0F2A7E5F" w:rsidR="005B7924" w:rsidRPr="00B62618" w:rsidRDefault="003F22DB" w:rsidP="00493A9B">
      <w:pPr>
        <w:ind w:firstLine="720"/>
        <w:jc w:val="both"/>
        <w:rPr>
          <w:bCs/>
          <w:color w:val="000000" w:themeColor="text1"/>
          <w:sz w:val="22"/>
          <w:szCs w:val="22"/>
          <w:lang w:val="fr-FR"/>
        </w:rPr>
      </w:pPr>
      <w:r w:rsidRPr="00B62618">
        <w:rPr>
          <w:bCs/>
          <w:color w:val="000000" w:themeColor="text1"/>
          <w:sz w:val="22"/>
          <w:szCs w:val="22"/>
          <w:lang w:val="fr-FR"/>
        </w:rPr>
        <w:t>Le plan de travail du Secrétariat exécutif au développement intégré</w:t>
      </w:r>
      <w:r w:rsidR="007D43B5" w:rsidRPr="00B62618">
        <w:rPr>
          <w:bCs/>
          <w:color w:val="000000" w:themeColor="text1"/>
          <w:sz w:val="22"/>
          <w:szCs w:val="22"/>
          <w:lang w:val="fr-FR"/>
        </w:rPr>
        <w:t xml:space="preserve"> (SEDI)</w:t>
      </w:r>
      <w:r w:rsidR="00397E4F" w:rsidRPr="00B62618">
        <w:rPr>
          <w:bCs/>
          <w:color w:val="000000" w:themeColor="text1"/>
          <w:sz w:val="22"/>
          <w:szCs w:val="22"/>
          <w:lang w:val="fr-FR"/>
        </w:rPr>
        <w:t xml:space="preserve"> </w:t>
      </w:r>
      <w:r w:rsidRPr="00B62618">
        <w:rPr>
          <w:bCs/>
          <w:color w:val="000000" w:themeColor="text1"/>
          <w:sz w:val="22"/>
          <w:szCs w:val="22"/>
          <w:lang w:val="fr-FR"/>
        </w:rPr>
        <w:t>pour</w:t>
      </w:r>
      <w:r w:rsidR="00397E4F" w:rsidRPr="00B62618">
        <w:rPr>
          <w:bCs/>
          <w:color w:val="000000" w:themeColor="text1"/>
          <w:sz w:val="22"/>
          <w:szCs w:val="22"/>
          <w:lang w:val="fr-FR"/>
        </w:rPr>
        <w:t xml:space="preserve"> 2021</w:t>
      </w:r>
      <w:r w:rsidRPr="00B62618">
        <w:rPr>
          <w:bCs/>
          <w:color w:val="000000" w:themeColor="text1"/>
          <w:sz w:val="22"/>
          <w:szCs w:val="22"/>
          <w:lang w:val="fr-FR"/>
        </w:rPr>
        <w:t xml:space="preserve"> a été élaboré </w:t>
      </w:r>
      <w:r w:rsidR="00C70624" w:rsidRPr="00B62618">
        <w:rPr>
          <w:bCs/>
          <w:color w:val="000000" w:themeColor="text1"/>
          <w:sz w:val="22"/>
          <w:szCs w:val="22"/>
          <w:lang w:val="fr-FR"/>
        </w:rPr>
        <w:t xml:space="preserve">dans le contexte des défis auxquels les États membres sont confrontés dans les efforts qu’ils déploient pour se remettre du bouleversement tant sur </w:t>
      </w:r>
      <w:proofErr w:type="gramStart"/>
      <w:r w:rsidR="00C70624" w:rsidRPr="00B62618">
        <w:rPr>
          <w:bCs/>
          <w:color w:val="000000" w:themeColor="text1"/>
          <w:sz w:val="22"/>
          <w:szCs w:val="22"/>
          <w:lang w:val="fr-FR"/>
        </w:rPr>
        <w:t>les plans sanitaire</w:t>
      </w:r>
      <w:proofErr w:type="gramEnd"/>
      <w:r w:rsidR="00C70624" w:rsidRPr="00B62618">
        <w:rPr>
          <w:bCs/>
          <w:color w:val="000000" w:themeColor="text1"/>
          <w:sz w:val="22"/>
          <w:szCs w:val="22"/>
          <w:lang w:val="fr-FR"/>
        </w:rPr>
        <w:t xml:space="preserve"> qu’économique causé par la pandémie de COVID-19. Étant donné cett</w:t>
      </w:r>
      <w:r w:rsidR="00F806DA" w:rsidRPr="00B62618">
        <w:rPr>
          <w:bCs/>
          <w:color w:val="000000" w:themeColor="text1"/>
          <w:sz w:val="22"/>
          <w:szCs w:val="22"/>
          <w:lang w:val="fr-FR"/>
        </w:rPr>
        <w:t>e situation et malgré le fait qu’il faille travailler à distance, le plan de travail vise à utiliser les attributions principales du SEDI, qui sont de renforcer les capacités humaines, institutionnelles et techniques dans les États membres dans le but d’assurer leur développement durable, en harnachant la puissance de la coopération et des partenariats multisectoriels.</w:t>
      </w:r>
      <w:r w:rsidR="00A60D0C" w:rsidRPr="00B62618">
        <w:rPr>
          <w:bCs/>
          <w:color w:val="000000" w:themeColor="text1"/>
          <w:sz w:val="22"/>
          <w:szCs w:val="22"/>
          <w:lang w:val="fr-FR"/>
        </w:rPr>
        <w:t xml:space="preserve"> </w:t>
      </w:r>
    </w:p>
    <w:p w14:paraId="621ED1EA" w14:textId="77777777" w:rsidR="005B7924" w:rsidRPr="00B62618" w:rsidRDefault="005B7924" w:rsidP="00493A9B">
      <w:pPr>
        <w:jc w:val="both"/>
        <w:rPr>
          <w:bCs/>
          <w:color w:val="000000" w:themeColor="text1"/>
          <w:sz w:val="22"/>
          <w:szCs w:val="22"/>
          <w:lang w:val="fr-FR"/>
        </w:rPr>
      </w:pPr>
    </w:p>
    <w:p w14:paraId="3A4D566A" w14:textId="3B56C424" w:rsidR="00E82E10" w:rsidRPr="00B62618" w:rsidRDefault="00F806DA" w:rsidP="00493A9B">
      <w:pPr>
        <w:ind w:firstLine="720"/>
        <w:jc w:val="both"/>
        <w:rPr>
          <w:bCs/>
          <w:color w:val="000000" w:themeColor="text1"/>
          <w:sz w:val="22"/>
          <w:szCs w:val="22"/>
          <w:lang w:val="fr-FR"/>
        </w:rPr>
      </w:pPr>
      <w:r w:rsidRPr="00B62618">
        <w:rPr>
          <w:bCs/>
          <w:color w:val="000000" w:themeColor="text1"/>
          <w:sz w:val="22"/>
          <w:szCs w:val="22"/>
          <w:lang w:val="fr-FR"/>
        </w:rPr>
        <w:t xml:space="preserve">Toutes les mesures présentées sont en accord avec des mandats spécifiques confiés au Secrétariat par l’Assemblée générale et par les réunions ministérielles. Les mandats ont été convertis en programmes, projets et activités </w:t>
      </w:r>
      <w:r w:rsidR="000448B8" w:rsidRPr="00B62618">
        <w:rPr>
          <w:bCs/>
          <w:color w:val="000000" w:themeColor="text1"/>
          <w:sz w:val="22"/>
          <w:szCs w:val="22"/>
          <w:lang w:val="fr-FR"/>
        </w:rPr>
        <w:t>qui sont en accord avec le Plan stratégique global 2016-2021 de l’OEA et portent principalement sur cinq (5) domaines d’action.</w:t>
      </w:r>
      <w:r w:rsidRPr="00B62618">
        <w:rPr>
          <w:bCs/>
          <w:color w:val="000000" w:themeColor="text1"/>
          <w:sz w:val="22"/>
          <w:szCs w:val="22"/>
          <w:lang w:val="fr-FR"/>
        </w:rPr>
        <w:t xml:space="preserve"> </w:t>
      </w:r>
    </w:p>
    <w:p w14:paraId="43F8E8E3" w14:textId="77777777" w:rsidR="00E82E10" w:rsidRPr="00B62618" w:rsidRDefault="00E82E10" w:rsidP="00493A9B">
      <w:pPr>
        <w:jc w:val="both"/>
        <w:rPr>
          <w:b/>
          <w:bCs/>
          <w:color w:val="000000" w:themeColor="text1"/>
          <w:sz w:val="22"/>
          <w:szCs w:val="22"/>
          <w:lang w:val="fr-FR"/>
        </w:rPr>
      </w:pPr>
    </w:p>
    <w:p w14:paraId="177FFD47" w14:textId="1C50890F" w:rsidR="00A60D0C" w:rsidRPr="00B62618" w:rsidRDefault="000448B8" w:rsidP="00493A9B">
      <w:pPr>
        <w:jc w:val="both"/>
        <w:rPr>
          <w:b/>
          <w:bCs/>
          <w:color w:val="000000" w:themeColor="text1"/>
          <w:sz w:val="22"/>
          <w:szCs w:val="22"/>
          <w:lang w:val="fr-FR"/>
        </w:rPr>
      </w:pPr>
      <w:r w:rsidRPr="00B62618">
        <w:rPr>
          <w:b/>
          <w:bCs/>
          <w:color w:val="000000" w:themeColor="text1"/>
          <w:sz w:val="22"/>
          <w:szCs w:val="22"/>
          <w:lang w:val="fr-FR"/>
        </w:rPr>
        <w:t>Domaines d’action </w:t>
      </w:r>
      <w:r w:rsidR="00A60D0C" w:rsidRPr="00B62618">
        <w:rPr>
          <w:b/>
          <w:bCs/>
          <w:color w:val="000000" w:themeColor="text1"/>
          <w:sz w:val="22"/>
          <w:szCs w:val="22"/>
          <w:lang w:val="fr-FR"/>
        </w:rPr>
        <w:t>:</w:t>
      </w:r>
    </w:p>
    <w:p w14:paraId="242439FA" w14:textId="77777777" w:rsidR="00A60D0C" w:rsidRPr="00B62618" w:rsidRDefault="00A60D0C" w:rsidP="00493A9B">
      <w:pPr>
        <w:jc w:val="both"/>
        <w:rPr>
          <w:b/>
          <w:bCs/>
          <w:color w:val="000000" w:themeColor="text1"/>
          <w:sz w:val="22"/>
          <w:szCs w:val="22"/>
          <w:lang w:val="fr-FR"/>
        </w:rPr>
      </w:pPr>
    </w:p>
    <w:p w14:paraId="1CD0F39B" w14:textId="7ECBFDB5" w:rsidR="00A60D0C" w:rsidRPr="00B62618" w:rsidRDefault="000448B8" w:rsidP="00493A9B">
      <w:pPr>
        <w:pStyle w:val="ListParagraph"/>
        <w:numPr>
          <w:ilvl w:val="0"/>
          <w:numId w:val="1"/>
        </w:numPr>
        <w:spacing w:after="160" w:line="259" w:lineRule="auto"/>
        <w:ind w:left="1440" w:hanging="720"/>
        <w:contextualSpacing/>
        <w:jc w:val="both"/>
        <w:rPr>
          <w:color w:val="000000" w:themeColor="text1"/>
          <w:sz w:val="22"/>
          <w:szCs w:val="22"/>
          <w:lang w:val="fr-FR"/>
        </w:rPr>
      </w:pPr>
      <w:r w:rsidRPr="00B62618">
        <w:rPr>
          <w:rFonts w:eastAsia="MS PGothic"/>
          <w:b/>
          <w:bCs/>
          <w:color w:val="000000" w:themeColor="text1"/>
          <w:sz w:val="22"/>
          <w:szCs w:val="22"/>
          <w:lang w:val="fr-FR"/>
        </w:rPr>
        <w:t>Promotion des économies inclusives et compétitives </w:t>
      </w:r>
      <w:r w:rsidR="00A60D0C" w:rsidRPr="00B62618">
        <w:rPr>
          <w:rFonts w:eastAsia="MS PGothic"/>
          <w:b/>
          <w:bCs/>
          <w:color w:val="000000" w:themeColor="text1"/>
          <w:sz w:val="22"/>
          <w:szCs w:val="22"/>
          <w:lang w:val="fr-FR"/>
        </w:rPr>
        <w:t>:</w:t>
      </w:r>
      <w:r w:rsidRPr="00B62618">
        <w:rPr>
          <w:rFonts w:eastAsia="MS PGothic"/>
          <w:color w:val="000000" w:themeColor="text1"/>
          <w:sz w:val="22"/>
          <w:szCs w:val="22"/>
          <w:lang w:val="fr-FR"/>
        </w:rPr>
        <w:t xml:space="preserve"> Appuyer la croissance économique, la compétitivité, la productivité et l’innovation, en mettant l’accent sur les MPME </w:t>
      </w:r>
    </w:p>
    <w:p w14:paraId="171E353D" w14:textId="739FB906" w:rsidR="00A60D0C" w:rsidRPr="00B62618" w:rsidRDefault="000448B8" w:rsidP="00493A9B">
      <w:pPr>
        <w:pStyle w:val="ListParagraph"/>
        <w:numPr>
          <w:ilvl w:val="0"/>
          <w:numId w:val="1"/>
        </w:numPr>
        <w:spacing w:after="160" w:line="259" w:lineRule="auto"/>
        <w:ind w:left="1440" w:hanging="720"/>
        <w:contextualSpacing/>
        <w:jc w:val="both"/>
        <w:rPr>
          <w:color w:val="000000" w:themeColor="text1"/>
          <w:sz w:val="22"/>
          <w:szCs w:val="22"/>
          <w:lang w:val="fr-FR"/>
        </w:rPr>
      </w:pPr>
      <w:r w:rsidRPr="00B62618">
        <w:rPr>
          <w:rFonts w:eastAsia="MS PGothic"/>
          <w:b/>
          <w:bCs/>
          <w:color w:val="000000" w:themeColor="text1"/>
          <w:sz w:val="22"/>
          <w:szCs w:val="22"/>
          <w:lang w:val="fr-FR"/>
        </w:rPr>
        <w:t>Développement durable et environnement </w:t>
      </w:r>
      <w:r w:rsidR="00A60D0C" w:rsidRPr="00B62618">
        <w:rPr>
          <w:rFonts w:eastAsia="MS PGothic"/>
          <w:b/>
          <w:bCs/>
          <w:color w:val="000000" w:themeColor="text1"/>
          <w:sz w:val="22"/>
          <w:szCs w:val="22"/>
          <w:lang w:val="fr-FR"/>
        </w:rPr>
        <w:t>:</w:t>
      </w:r>
      <w:r w:rsidRPr="00B62618">
        <w:rPr>
          <w:rFonts w:eastAsia="MS PGothic"/>
          <w:color w:val="000000" w:themeColor="text1"/>
          <w:sz w:val="22"/>
          <w:szCs w:val="22"/>
          <w:lang w:val="fr-FR"/>
        </w:rPr>
        <w:t xml:space="preserve"> Accroitre la durabilité et la résilience dans les Amériques</w:t>
      </w:r>
    </w:p>
    <w:p w14:paraId="7CED13E9" w14:textId="2EF47D2C" w:rsidR="00A60D0C" w:rsidRPr="00B62618" w:rsidRDefault="000448B8" w:rsidP="00493A9B">
      <w:pPr>
        <w:pStyle w:val="ListParagraph"/>
        <w:numPr>
          <w:ilvl w:val="0"/>
          <w:numId w:val="1"/>
        </w:numPr>
        <w:spacing w:after="160" w:line="259" w:lineRule="auto"/>
        <w:ind w:left="1440" w:hanging="720"/>
        <w:contextualSpacing/>
        <w:jc w:val="both"/>
        <w:rPr>
          <w:color w:val="000000" w:themeColor="text1"/>
          <w:sz w:val="22"/>
          <w:szCs w:val="22"/>
          <w:lang w:val="fr-FR"/>
        </w:rPr>
      </w:pPr>
      <w:r w:rsidRPr="00B62618">
        <w:rPr>
          <w:rFonts w:eastAsia="MS PGothic"/>
          <w:b/>
          <w:bCs/>
          <w:color w:val="000000" w:themeColor="text1"/>
          <w:sz w:val="22"/>
          <w:szCs w:val="22"/>
          <w:lang w:val="fr-FR"/>
        </w:rPr>
        <w:t>Promotion de l’éducation et du développement humain dans les Amériques </w:t>
      </w:r>
      <w:r w:rsidR="00A60D0C" w:rsidRPr="00B62618">
        <w:rPr>
          <w:rFonts w:eastAsia="MS PGothic"/>
          <w:b/>
          <w:bCs/>
          <w:color w:val="000000" w:themeColor="text1"/>
          <w:sz w:val="22"/>
          <w:szCs w:val="22"/>
          <w:lang w:val="fr-FR"/>
        </w:rPr>
        <w:t>:</w:t>
      </w:r>
      <w:r w:rsidR="00A60D0C" w:rsidRPr="00B62618">
        <w:rPr>
          <w:rFonts w:eastAsia="MS PGothic"/>
          <w:color w:val="000000" w:themeColor="text1"/>
          <w:sz w:val="22"/>
          <w:szCs w:val="22"/>
          <w:lang w:val="fr-FR"/>
        </w:rPr>
        <w:t xml:space="preserve"> R</w:t>
      </w:r>
      <w:r w:rsidRPr="00B62618">
        <w:rPr>
          <w:rFonts w:eastAsia="MS PGothic"/>
          <w:color w:val="000000" w:themeColor="text1"/>
          <w:sz w:val="22"/>
          <w:szCs w:val="22"/>
          <w:lang w:val="fr-FR"/>
        </w:rPr>
        <w:t xml:space="preserve">éduire la pauvreté, l’inégalité et l’exclusion en améliorant l’accès à une éducation de qualité </w:t>
      </w:r>
      <w:r w:rsidR="00246D2B" w:rsidRPr="00B62618">
        <w:rPr>
          <w:rFonts w:eastAsia="MS PGothic"/>
          <w:color w:val="000000" w:themeColor="text1"/>
          <w:sz w:val="22"/>
          <w:szCs w:val="22"/>
          <w:lang w:val="fr-FR"/>
        </w:rPr>
        <w:t>et au travail décent</w:t>
      </w:r>
      <w:r w:rsidRPr="00B62618">
        <w:rPr>
          <w:rFonts w:eastAsia="MS PGothic"/>
          <w:color w:val="000000" w:themeColor="text1"/>
          <w:sz w:val="22"/>
          <w:szCs w:val="22"/>
          <w:lang w:val="fr-FR"/>
        </w:rPr>
        <w:t xml:space="preserve"> </w:t>
      </w:r>
    </w:p>
    <w:p w14:paraId="2E21DF09" w14:textId="3F3D218B" w:rsidR="00A60D0C" w:rsidRPr="00B62618" w:rsidRDefault="00246D2B" w:rsidP="00493A9B">
      <w:pPr>
        <w:pStyle w:val="ListParagraph"/>
        <w:numPr>
          <w:ilvl w:val="0"/>
          <w:numId w:val="1"/>
        </w:numPr>
        <w:spacing w:after="160" w:line="259" w:lineRule="auto"/>
        <w:ind w:left="1440" w:hanging="720"/>
        <w:contextualSpacing/>
        <w:jc w:val="both"/>
        <w:rPr>
          <w:color w:val="000000" w:themeColor="text1"/>
          <w:sz w:val="22"/>
          <w:szCs w:val="22"/>
          <w:lang w:val="fr-FR"/>
        </w:rPr>
      </w:pPr>
      <w:r w:rsidRPr="00B62618">
        <w:rPr>
          <w:rFonts w:eastAsia="MS PGothic"/>
          <w:b/>
          <w:bCs/>
          <w:color w:val="000000" w:themeColor="text1"/>
          <w:sz w:val="22"/>
          <w:szCs w:val="22"/>
          <w:lang w:val="fr-FR"/>
        </w:rPr>
        <w:t>Promotion du travail décent, digne et productif pour tous :</w:t>
      </w:r>
      <w:r w:rsidRPr="00B62618">
        <w:rPr>
          <w:rFonts w:eastAsia="MS PGothic"/>
          <w:color w:val="000000" w:themeColor="text1"/>
          <w:sz w:val="22"/>
          <w:szCs w:val="22"/>
          <w:lang w:val="fr-FR"/>
        </w:rPr>
        <w:t xml:space="preserve"> Renforcer l’administration du travail dans les Amériques</w:t>
      </w:r>
    </w:p>
    <w:p w14:paraId="64762CD1" w14:textId="20F60DAA" w:rsidR="00A60D0C" w:rsidRPr="00B62618" w:rsidRDefault="00246D2B" w:rsidP="00493A9B">
      <w:pPr>
        <w:pStyle w:val="ListParagraph"/>
        <w:numPr>
          <w:ilvl w:val="0"/>
          <w:numId w:val="1"/>
        </w:numPr>
        <w:spacing w:after="160" w:line="259" w:lineRule="auto"/>
        <w:ind w:left="1440" w:hanging="720"/>
        <w:contextualSpacing/>
        <w:jc w:val="both"/>
        <w:rPr>
          <w:b/>
          <w:bCs/>
          <w:color w:val="000000" w:themeColor="text1"/>
          <w:sz w:val="22"/>
          <w:szCs w:val="22"/>
          <w:lang w:val="fr-FR"/>
        </w:rPr>
      </w:pPr>
      <w:r w:rsidRPr="00B62618">
        <w:rPr>
          <w:rFonts w:eastAsia="MS PGothic"/>
          <w:b/>
          <w:bCs/>
          <w:color w:val="000000" w:themeColor="text1"/>
          <w:sz w:val="22"/>
          <w:szCs w:val="22"/>
          <w:lang w:val="fr-FR"/>
        </w:rPr>
        <w:t>Encouragement de la coopération pour le développement et établissement de partenariats</w:t>
      </w:r>
    </w:p>
    <w:p w14:paraId="1A1F6664" w14:textId="77777777" w:rsidR="00493A9B" w:rsidRPr="00B62618" w:rsidRDefault="00493A9B" w:rsidP="00493A9B">
      <w:pPr>
        <w:jc w:val="both"/>
        <w:rPr>
          <w:b/>
          <w:bCs/>
          <w:color w:val="000000" w:themeColor="text1"/>
          <w:sz w:val="22"/>
          <w:szCs w:val="22"/>
          <w:lang w:val="fr-FR"/>
        </w:rPr>
      </w:pPr>
    </w:p>
    <w:p w14:paraId="24A231E2" w14:textId="6C35902E" w:rsidR="00A60D0C" w:rsidRPr="00B62618" w:rsidRDefault="00246D2B" w:rsidP="00493A9B">
      <w:pPr>
        <w:jc w:val="both"/>
        <w:rPr>
          <w:b/>
          <w:bCs/>
          <w:color w:val="000000" w:themeColor="text1"/>
          <w:sz w:val="22"/>
          <w:szCs w:val="22"/>
          <w:lang w:val="fr-FR"/>
        </w:rPr>
      </w:pPr>
      <w:r w:rsidRPr="00B62618">
        <w:rPr>
          <w:b/>
          <w:bCs/>
          <w:color w:val="000000" w:themeColor="text1"/>
          <w:sz w:val="22"/>
          <w:szCs w:val="22"/>
          <w:lang w:val="fr-FR"/>
        </w:rPr>
        <w:t>Approche commune </w:t>
      </w:r>
      <w:r w:rsidR="00A60D0C" w:rsidRPr="00B62618">
        <w:rPr>
          <w:b/>
          <w:bCs/>
          <w:color w:val="000000" w:themeColor="text1"/>
          <w:sz w:val="22"/>
          <w:szCs w:val="22"/>
          <w:lang w:val="fr-FR"/>
        </w:rPr>
        <w:t xml:space="preserve">: </w:t>
      </w:r>
    </w:p>
    <w:p w14:paraId="7D606A6A" w14:textId="77777777" w:rsidR="00A60D0C" w:rsidRPr="00B62618" w:rsidRDefault="00A60D0C" w:rsidP="00493A9B">
      <w:pPr>
        <w:jc w:val="both"/>
        <w:rPr>
          <w:b/>
          <w:bCs/>
          <w:color w:val="000000" w:themeColor="text1"/>
          <w:sz w:val="22"/>
          <w:szCs w:val="22"/>
          <w:lang w:val="fr-FR"/>
        </w:rPr>
      </w:pPr>
    </w:p>
    <w:p w14:paraId="76DF5100" w14:textId="3D04B082" w:rsidR="00A60D0C" w:rsidRPr="00B62618" w:rsidRDefault="00246D2B" w:rsidP="00493A9B">
      <w:pPr>
        <w:ind w:firstLine="720"/>
        <w:jc w:val="both"/>
        <w:rPr>
          <w:b/>
          <w:bCs/>
          <w:color w:val="000000" w:themeColor="text1"/>
          <w:sz w:val="22"/>
          <w:szCs w:val="22"/>
          <w:lang w:val="fr-FR"/>
        </w:rPr>
      </w:pPr>
      <w:r w:rsidRPr="00B62618">
        <w:rPr>
          <w:color w:val="000000" w:themeColor="text1"/>
          <w:sz w:val="22"/>
          <w:szCs w:val="22"/>
          <w:lang w:val="fr-FR"/>
        </w:rPr>
        <w:t>Le Secrétariat continuera d’adopter une approche</w:t>
      </w:r>
      <w:r w:rsidR="00974FD5" w:rsidRPr="00B62618">
        <w:rPr>
          <w:color w:val="000000" w:themeColor="text1"/>
          <w:sz w:val="22"/>
          <w:szCs w:val="22"/>
          <w:lang w:val="fr-FR"/>
        </w:rPr>
        <w:t xml:space="preserve"> unique</w:t>
      </w:r>
      <w:r w:rsidRPr="00B62618">
        <w:rPr>
          <w:color w:val="000000" w:themeColor="text1"/>
          <w:sz w:val="22"/>
          <w:szCs w:val="22"/>
          <w:lang w:val="fr-FR"/>
        </w:rPr>
        <w:t xml:space="preserve"> </w:t>
      </w:r>
      <w:r w:rsidR="005B7924" w:rsidRPr="00B62618">
        <w:rPr>
          <w:color w:val="000000" w:themeColor="text1"/>
          <w:sz w:val="22"/>
          <w:szCs w:val="22"/>
          <w:lang w:val="fr-FR"/>
        </w:rPr>
        <w:t xml:space="preserve">- </w:t>
      </w:r>
      <w:r w:rsidR="00D17632" w:rsidRPr="00B62618">
        <w:rPr>
          <w:color w:val="000000" w:themeColor="text1"/>
          <w:sz w:val="22"/>
          <w:szCs w:val="22"/>
          <w:lang w:val="fr-FR"/>
        </w:rPr>
        <w:t>“</w:t>
      </w:r>
      <w:r w:rsidR="00974FD5" w:rsidRPr="00B62618">
        <w:rPr>
          <w:color w:val="000000" w:themeColor="text1"/>
          <w:sz w:val="22"/>
          <w:szCs w:val="22"/>
          <w:lang w:val="fr-FR"/>
        </w:rPr>
        <w:t>APPROCHE UNIQUE DU SEDI</w:t>
      </w:r>
      <w:r w:rsidR="00D17632" w:rsidRPr="00B62618">
        <w:rPr>
          <w:color w:val="000000" w:themeColor="text1"/>
          <w:sz w:val="22"/>
          <w:szCs w:val="22"/>
          <w:lang w:val="fr-FR"/>
        </w:rPr>
        <w:t>”</w:t>
      </w:r>
      <w:r w:rsidRPr="00B62618">
        <w:rPr>
          <w:color w:val="000000" w:themeColor="text1"/>
          <w:sz w:val="22"/>
          <w:szCs w:val="22"/>
          <w:lang w:val="fr-FR"/>
        </w:rPr>
        <w:t>, qui consiste à travailler de façon plus globale dans tous ses domaines, capitalisant sur les forces organisationnelles et la capacité établie d’ajouter de la valeur aux États membres</w:t>
      </w:r>
      <w:r w:rsidR="004C04B1" w:rsidRPr="00B62618">
        <w:rPr>
          <w:color w:val="000000" w:themeColor="text1"/>
          <w:sz w:val="22"/>
          <w:szCs w:val="22"/>
          <w:lang w:val="fr-FR"/>
        </w:rPr>
        <w:t xml:space="preserve"> tout en dirigeant leur propre développement socio-économique</w:t>
      </w:r>
      <w:r w:rsidR="00D17632" w:rsidRPr="00B62618">
        <w:rPr>
          <w:color w:val="000000" w:themeColor="text1"/>
          <w:sz w:val="22"/>
          <w:szCs w:val="22"/>
          <w:lang w:val="fr-FR"/>
        </w:rPr>
        <w:t>.</w:t>
      </w:r>
      <w:r w:rsidR="00A60D0C" w:rsidRPr="00B62618">
        <w:rPr>
          <w:color w:val="000000" w:themeColor="text1"/>
          <w:sz w:val="22"/>
          <w:szCs w:val="22"/>
          <w:lang w:val="fr-FR"/>
        </w:rPr>
        <w:t xml:space="preserve"> </w:t>
      </w:r>
    </w:p>
    <w:p w14:paraId="70336DCD" w14:textId="77777777" w:rsidR="00A60D0C" w:rsidRPr="00B62618" w:rsidRDefault="00A60D0C" w:rsidP="00493A9B">
      <w:pPr>
        <w:jc w:val="both"/>
        <w:rPr>
          <w:color w:val="000000" w:themeColor="text1"/>
          <w:sz w:val="22"/>
          <w:szCs w:val="22"/>
          <w:lang w:val="fr-FR"/>
        </w:rPr>
      </w:pPr>
    </w:p>
    <w:p w14:paraId="0008349B" w14:textId="36BBDA87" w:rsidR="00A60D0C" w:rsidRPr="00B62618" w:rsidRDefault="00974FD5" w:rsidP="00493A9B">
      <w:pPr>
        <w:pStyle w:val="ListParagraph"/>
        <w:numPr>
          <w:ilvl w:val="0"/>
          <w:numId w:val="2"/>
        </w:numPr>
        <w:spacing w:after="160" w:line="259" w:lineRule="auto"/>
        <w:ind w:left="1440" w:hanging="720"/>
        <w:contextualSpacing/>
        <w:jc w:val="both"/>
        <w:rPr>
          <w:color w:val="000000" w:themeColor="text1"/>
          <w:sz w:val="22"/>
          <w:szCs w:val="22"/>
          <w:lang w:val="fr-FR"/>
        </w:rPr>
      </w:pPr>
      <w:r w:rsidRPr="00B62618">
        <w:rPr>
          <w:b/>
          <w:bCs/>
          <w:color w:val="000000" w:themeColor="text1"/>
          <w:sz w:val="22"/>
          <w:szCs w:val="22"/>
          <w:lang w:val="fr-FR"/>
        </w:rPr>
        <w:t>Dialogue sur les politiques</w:t>
      </w:r>
      <w:r w:rsidRPr="00B62618">
        <w:rPr>
          <w:color w:val="000000" w:themeColor="text1"/>
          <w:sz w:val="22"/>
          <w:szCs w:val="22"/>
          <w:lang w:val="fr-FR"/>
        </w:rPr>
        <w:t xml:space="preserve"> favorisant la prise de décisions par consensus</w:t>
      </w:r>
      <w:r w:rsidR="00EC0B12" w:rsidRPr="00B62618">
        <w:rPr>
          <w:color w:val="000000" w:themeColor="text1"/>
          <w:sz w:val="22"/>
          <w:szCs w:val="22"/>
          <w:lang w:val="fr-FR"/>
        </w:rPr>
        <w:t xml:space="preserve"> relativement à des défis communs et à la formulation de solutions partagées en matière de politiques.</w:t>
      </w:r>
      <w:r w:rsidR="000C0DF0" w:rsidRPr="00B62618">
        <w:rPr>
          <w:color w:val="000000" w:themeColor="text1"/>
          <w:sz w:val="22"/>
          <w:szCs w:val="22"/>
          <w:lang w:val="fr-FR"/>
        </w:rPr>
        <w:t xml:space="preserve"> </w:t>
      </w:r>
    </w:p>
    <w:p w14:paraId="55D6DDC6" w14:textId="5B99FF2E" w:rsidR="00A60D0C" w:rsidRPr="00B62618" w:rsidRDefault="00A60D0C" w:rsidP="00493A9B">
      <w:pPr>
        <w:pStyle w:val="ListParagraph"/>
        <w:numPr>
          <w:ilvl w:val="0"/>
          <w:numId w:val="2"/>
        </w:numPr>
        <w:spacing w:after="160" w:line="259" w:lineRule="auto"/>
        <w:ind w:left="1440" w:hanging="720"/>
        <w:contextualSpacing/>
        <w:jc w:val="both"/>
        <w:rPr>
          <w:color w:val="000000" w:themeColor="text1"/>
          <w:sz w:val="22"/>
          <w:szCs w:val="22"/>
          <w:lang w:val="fr-FR"/>
        </w:rPr>
      </w:pPr>
      <w:r w:rsidRPr="00B62618">
        <w:rPr>
          <w:b/>
          <w:bCs/>
          <w:color w:val="000000" w:themeColor="text1"/>
          <w:sz w:val="22"/>
          <w:szCs w:val="22"/>
          <w:lang w:val="fr-FR"/>
        </w:rPr>
        <w:lastRenderedPageBreak/>
        <w:t>Coop</w:t>
      </w:r>
      <w:r w:rsidR="00EC0B12" w:rsidRPr="00B62618">
        <w:rPr>
          <w:b/>
          <w:bCs/>
          <w:color w:val="000000" w:themeColor="text1"/>
          <w:sz w:val="22"/>
          <w:szCs w:val="22"/>
          <w:lang w:val="fr-FR"/>
        </w:rPr>
        <w:t>ération sud-sud, triangulaire et horizontale</w:t>
      </w:r>
      <w:r w:rsidR="00EC0B12" w:rsidRPr="00B62618">
        <w:rPr>
          <w:color w:val="000000" w:themeColor="text1"/>
          <w:sz w:val="22"/>
          <w:szCs w:val="22"/>
          <w:lang w:val="fr-FR"/>
        </w:rPr>
        <w:t xml:space="preserve"> relativement au partage de connaissances et à l’échange mutuel de bonnes pratiques dans le but d’accélérer le développement</w:t>
      </w:r>
      <w:r w:rsidRPr="00B62618">
        <w:rPr>
          <w:color w:val="000000" w:themeColor="text1"/>
          <w:sz w:val="22"/>
          <w:szCs w:val="22"/>
          <w:lang w:val="fr-FR"/>
        </w:rPr>
        <w:t>.</w:t>
      </w:r>
    </w:p>
    <w:p w14:paraId="2F06C901" w14:textId="680754FE" w:rsidR="00A60D0C" w:rsidRPr="00B62618" w:rsidRDefault="00EC0B12" w:rsidP="00493A9B">
      <w:pPr>
        <w:pStyle w:val="ListParagraph"/>
        <w:numPr>
          <w:ilvl w:val="0"/>
          <w:numId w:val="2"/>
        </w:numPr>
        <w:spacing w:after="160" w:line="259" w:lineRule="auto"/>
        <w:ind w:left="1440" w:hanging="720"/>
        <w:contextualSpacing/>
        <w:jc w:val="both"/>
        <w:rPr>
          <w:color w:val="000000" w:themeColor="text1"/>
          <w:sz w:val="22"/>
          <w:szCs w:val="22"/>
          <w:lang w:val="fr-FR"/>
        </w:rPr>
      </w:pPr>
      <w:r w:rsidRPr="00B62618">
        <w:rPr>
          <w:b/>
          <w:bCs/>
          <w:color w:val="000000" w:themeColor="text1"/>
          <w:sz w:val="22"/>
          <w:szCs w:val="22"/>
          <w:lang w:val="fr-FR"/>
        </w:rPr>
        <w:t>Partenariats multisectoriels</w:t>
      </w:r>
      <w:r w:rsidRPr="00B62618">
        <w:rPr>
          <w:color w:val="000000" w:themeColor="text1"/>
          <w:sz w:val="22"/>
          <w:szCs w:val="22"/>
          <w:lang w:val="fr-FR"/>
        </w:rPr>
        <w:t xml:space="preserve"> dans le but d’utiliser pleinement le pouvoir de la collaboration et des mesures prises en commun</w:t>
      </w:r>
      <w:r w:rsidR="00A60D0C" w:rsidRPr="00B62618">
        <w:rPr>
          <w:color w:val="000000" w:themeColor="text1"/>
          <w:sz w:val="22"/>
          <w:szCs w:val="22"/>
          <w:lang w:val="fr-FR"/>
        </w:rPr>
        <w:t>.</w:t>
      </w:r>
    </w:p>
    <w:p w14:paraId="12B99684" w14:textId="5567EDF4" w:rsidR="00A60D0C" w:rsidRPr="00B62618" w:rsidRDefault="00EC0B12" w:rsidP="00493A9B">
      <w:pPr>
        <w:ind w:firstLine="720"/>
        <w:jc w:val="both"/>
        <w:rPr>
          <w:color w:val="000000" w:themeColor="text1"/>
          <w:sz w:val="22"/>
          <w:szCs w:val="22"/>
          <w:lang w:val="fr-FR"/>
        </w:rPr>
      </w:pPr>
      <w:r w:rsidRPr="00B62618">
        <w:rPr>
          <w:color w:val="000000" w:themeColor="text1"/>
          <w:sz w:val="22"/>
          <w:szCs w:val="22"/>
          <w:lang w:val="fr-FR"/>
        </w:rPr>
        <w:t>Les</w:t>
      </w:r>
      <w:r w:rsidR="00A60D0C" w:rsidRPr="00B62618">
        <w:rPr>
          <w:color w:val="000000" w:themeColor="text1"/>
          <w:sz w:val="22"/>
          <w:szCs w:val="22"/>
          <w:lang w:val="fr-FR"/>
        </w:rPr>
        <w:t xml:space="preserve"> initiatives</w:t>
      </w:r>
      <w:r w:rsidRPr="00B62618">
        <w:rPr>
          <w:color w:val="000000" w:themeColor="text1"/>
          <w:sz w:val="22"/>
          <w:szCs w:val="22"/>
          <w:lang w:val="fr-FR"/>
        </w:rPr>
        <w:t xml:space="preserve"> et mesures soulignées ci-dessous ne sont pas exhaustives et dépendent des ressources humaines et financières disponibles. Le SEDI ajustera et adaptera ses programmes, ses projets et ses activités au besoin afin de répondre aux besoins émergents des États membres, particulièrement en cette époque pleine de défis. </w:t>
      </w:r>
      <w:r w:rsidR="00A60D0C" w:rsidRPr="00B62618">
        <w:rPr>
          <w:color w:val="000000" w:themeColor="text1"/>
          <w:sz w:val="22"/>
          <w:szCs w:val="22"/>
          <w:lang w:val="fr-FR"/>
        </w:rPr>
        <w:t xml:space="preserve"> </w:t>
      </w:r>
    </w:p>
    <w:p w14:paraId="74CFF6CE" w14:textId="20B2211A" w:rsidR="00A60D0C" w:rsidRPr="00B62618" w:rsidRDefault="00A60D0C" w:rsidP="00493A9B">
      <w:pPr>
        <w:rPr>
          <w:b/>
          <w:color w:val="000000" w:themeColor="text1"/>
          <w:sz w:val="22"/>
          <w:szCs w:val="22"/>
          <w:u w:val="single"/>
          <w:lang w:val="fr-FR"/>
        </w:rPr>
      </w:pPr>
    </w:p>
    <w:p w14:paraId="6CAC9339" w14:textId="6FC356E9" w:rsidR="008A3C72" w:rsidRPr="00B62618" w:rsidRDefault="008A3C72" w:rsidP="00493A9B">
      <w:pPr>
        <w:rPr>
          <w:b/>
          <w:color w:val="000000" w:themeColor="text1"/>
          <w:sz w:val="22"/>
          <w:szCs w:val="22"/>
          <w:u w:val="single"/>
          <w:lang w:val="fr-FR"/>
        </w:rPr>
      </w:pPr>
    </w:p>
    <w:p w14:paraId="33EA2C25" w14:textId="06EC295A" w:rsidR="008A3C72" w:rsidRPr="00B62618" w:rsidRDefault="008A3C72" w:rsidP="00493A9B">
      <w:pPr>
        <w:rPr>
          <w:b/>
          <w:color w:val="000000" w:themeColor="text1"/>
          <w:sz w:val="22"/>
          <w:szCs w:val="22"/>
          <w:u w:val="single"/>
          <w:lang w:val="fr-FR"/>
        </w:rPr>
      </w:pPr>
    </w:p>
    <w:p w14:paraId="2CFB1F96" w14:textId="4788B11D" w:rsidR="008A3C72" w:rsidRPr="00B62618" w:rsidRDefault="008A3C72" w:rsidP="00493A9B">
      <w:pPr>
        <w:rPr>
          <w:b/>
          <w:color w:val="000000" w:themeColor="text1"/>
          <w:sz w:val="22"/>
          <w:szCs w:val="22"/>
          <w:u w:val="single"/>
          <w:lang w:val="fr-FR"/>
        </w:rPr>
      </w:pPr>
    </w:p>
    <w:p w14:paraId="61FF7BC7" w14:textId="636A2FBB" w:rsidR="008A3C72" w:rsidRPr="00B62618" w:rsidRDefault="008A3C72" w:rsidP="00493A9B">
      <w:pPr>
        <w:rPr>
          <w:b/>
          <w:color w:val="000000" w:themeColor="text1"/>
          <w:sz w:val="22"/>
          <w:szCs w:val="22"/>
          <w:u w:val="single"/>
          <w:lang w:val="fr-FR"/>
        </w:rPr>
      </w:pPr>
    </w:p>
    <w:p w14:paraId="7BB5F910" w14:textId="22286707" w:rsidR="008A3C72" w:rsidRPr="00B62618" w:rsidRDefault="008A3C72" w:rsidP="00493A9B">
      <w:pPr>
        <w:rPr>
          <w:b/>
          <w:color w:val="000000" w:themeColor="text1"/>
          <w:sz w:val="22"/>
          <w:szCs w:val="22"/>
          <w:u w:val="single"/>
          <w:lang w:val="fr-FR"/>
        </w:rPr>
      </w:pPr>
    </w:p>
    <w:p w14:paraId="60DB30A8" w14:textId="77777777" w:rsidR="008A3C72" w:rsidRPr="00B62618" w:rsidRDefault="008A3C72" w:rsidP="008A3C72">
      <w:pPr>
        <w:jc w:val="both"/>
        <w:rPr>
          <w:rFonts w:eastAsia="Calibri"/>
          <w:color w:val="000000"/>
          <w:sz w:val="22"/>
          <w:szCs w:val="22"/>
          <w:lang w:val="fr-FR"/>
        </w:rPr>
      </w:pPr>
    </w:p>
    <w:p w14:paraId="03053058" w14:textId="7A133371" w:rsidR="008A3C72" w:rsidRPr="00B62618" w:rsidRDefault="008A3C72" w:rsidP="00493A9B">
      <w:pPr>
        <w:rPr>
          <w:b/>
          <w:color w:val="000000" w:themeColor="text1"/>
          <w:sz w:val="22"/>
          <w:szCs w:val="22"/>
          <w:u w:val="single"/>
          <w:lang w:val="fr-FR"/>
        </w:rPr>
      </w:pPr>
    </w:p>
    <w:p w14:paraId="4DA96AA4" w14:textId="36B35D09" w:rsidR="008A3C72" w:rsidRPr="00B62618" w:rsidRDefault="008A3C72" w:rsidP="00493A9B">
      <w:pPr>
        <w:rPr>
          <w:b/>
          <w:color w:val="000000" w:themeColor="text1"/>
          <w:sz w:val="22"/>
          <w:szCs w:val="22"/>
          <w:u w:val="single"/>
          <w:lang w:val="fr-FR"/>
        </w:rPr>
      </w:pPr>
    </w:p>
    <w:p w14:paraId="1A04F465" w14:textId="6D8F9D29" w:rsidR="008A3C72" w:rsidRPr="00B62618" w:rsidRDefault="008A3C72" w:rsidP="00493A9B">
      <w:pPr>
        <w:rPr>
          <w:b/>
          <w:color w:val="000000" w:themeColor="text1"/>
          <w:sz w:val="22"/>
          <w:szCs w:val="22"/>
          <w:u w:val="single"/>
          <w:lang w:val="fr-FR"/>
        </w:rPr>
      </w:pPr>
    </w:p>
    <w:p w14:paraId="398D1718" w14:textId="3D14A7FB" w:rsidR="008A3C72" w:rsidRPr="00B62618" w:rsidRDefault="008A3C72" w:rsidP="00493A9B">
      <w:pPr>
        <w:rPr>
          <w:b/>
          <w:color w:val="000000" w:themeColor="text1"/>
          <w:sz w:val="22"/>
          <w:szCs w:val="22"/>
          <w:u w:val="single"/>
          <w:lang w:val="fr-FR"/>
        </w:rPr>
      </w:pPr>
    </w:p>
    <w:p w14:paraId="5C7D10DD" w14:textId="608F98BC" w:rsidR="008A3C72" w:rsidRPr="00B62618" w:rsidRDefault="008A3C72" w:rsidP="00493A9B">
      <w:pPr>
        <w:rPr>
          <w:b/>
          <w:color w:val="000000" w:themeColor="text1"/>
          <w:sz w:val="22"/>
          <w:szCs w:val="22"/>
          <w:u w:val="single"/>
          <w:lang w:val="fr-FR"/>
        </w:rPr>
      </w:pPr>
    </w:p>
    <w:p w14:paraId="7FE352F6" w14:textId="0E697FEF" w:rsidR="008A3C72" w:rsidRPr="00B62618" w:rsidRDefault="008A3C72" w:rsidP="00493A9B">
      <w:pPr>
        <w:rPr>
          <w:b/>
          <w:color w:val="000000" w:themeColor="text1"/>
          <w:sz w:val="22"/>
          <w:szCs w:val="22"/>
          <w:u w:val="single"/>
          <w:lang w:val="fr-FR"/>
        </w:rPr>
      </w:pPr>
    </w:p>
    <w:p w14:paraId="005DA7E7" w14:textId="34AC3EBC" w:rsidR="008A3C72" w:rsidRPr="00B62618" w:rsidRDefault="008A3C72" w:rsidP="00493A9B">
      <w:pPr>
        <w:rPr>
          <w:b/>
          <w:color w:val="000000" w:themeColor="text1"/>
          <w:sz w:val="22"/>
          <w:szCs w:val="22"/>
          <w:u w:val="single"/>
          <w:lang w:val="fr-FR"/>
        </w:rPr>
      </w:pPr>
    </w:p>
    <w:p w14:paraId="4EEF79B4" w14:textId="72D52416" w:rsidR="008A3C72" w:rsidRPr="00B62618" w:rsidRDefault="008A3C72" w:rsidP="00493A9B">
      <w:pPr>
        <w:rPr>
          <w:b/>
          <w:color w:val="000000" w:themeColor="text1"/>
          <w:sz w:val="22"/>
          <w:szCs w:val="22"/>
          <w:u w:val="single"/>
          <w:lang w:val="fr-FR"/>
        </w:rPr>
      </w:pPr>
    </w:p>
    <w:p w14:paraId="75D66177" w14:textId="1DD8159E" w:rsidR="008A3C72" w:rsidRPr="00B62618" w:rsidRDefault="008A3C72" w:rsidP="00493A9B">
      <w:pPr>
        <w:rPr>
          <w:b/>
          <w:color w:val="000000" w:themeColor="text1"/>
          <w:sz w:val="22"/>
          <w:szCs w:val="22"/>
          <w:u w:val="single"/>
          <w:lang w:val="fr-FR"/>
        </w:rPr>
      </w:pPr>
    </w:p>
    <w:p w14:paraId="05C206E6" w14:textId="7B5E71A4" w:rsidR="008A3C72" w:rsidRPr="00B62618" w:rsidRDefault="008A3C72" w:rsidP="00493A9B">
      <w:pPr>
        <w:rPr>
          <w:b/>
          <w:color w:val="000000" w:themeColor="text1"/>
          <w:sz w:val="22"/>
          <w:szCs w:val="22"/>
          <w:u w:val="single"/>
          <w:lang w:val="fr-FR"/>
        </w:rPr>
      </w:pPr>
    </w:p>
    <w:p w14:paraId="713A97F0" w14:textId="77777777" w:rsidR="008A3C72" w:rsidRPr="00B62618" w:rsidRDefault="008A3C72" w:rsidP="00493A9B">
      <w:pPr>
        <w:rPr>
          <w:b/>
          <w:color w:val="000000" w:themeColor="text1"/>
          <w:sz w:val="22"/>
          <w:szCs w:val="22"/>
          <w:u w:val="single"/>
          <w:lang w:val="fr-FR"/>
        </w:rPr>
        <w:sectPr w:rsidR="008A3C72" w:rsidRPr="00B62618" w:rsidSect="00A60D0C">
          <w:pgSz w:w="12240" w:h="15840" w:code="1"/>
          <w:pgMar w:top="1296" w:right="1440" w:bottom="1296" w:left="1440" w:header="720" w:footer="360" w:gutter="0"/>
          <w:cols w:space="720"/>
          <w:titlePg/>
          <w:docGrid w:linePitch="360"/>
        </w:sectPr>
      </w:pPr>
    </w:p>
    <w:p w14:paraId="08757583" w14:textId="1E768D15" w:rsidR="00E82E10" w:rsidRPr="00B62618" w:rsidRDefault="00B1788F" w:rsidP="00493A9B">
      <w:pPr>
        <w:autoSpaceDE w:val="0"/>
        <w:autoSpaceDN w:val="0"/>
        <w:adjustRightInd w:val="0"/>
        <w:rPr>
          <w:rFonts w:eastAsia="MS PGothic"/>
          <w:b/>
          <w:bCs/>
          <w:color w:val="000000" w:themeColor="text1"/>
          <w:kern w:val="24"/>
          <w:sz w:val="22"/>
          <w:szCs w:val="22"/>
          <w:u w:val="single"/>
          <w:lang w:val="fr-FR"/>
        </w:rPr>
      </w:pPr>
      <w:r w:rsidRPr="00B62618">
        <w:rPr>
          <w:rFonts w:eastAsia="MS PGothic"/>
          <w:b/>
          <w:bCs/>
          <w:color w:val="000000" w:themeColor="text1"/>
          <w:kern w:val="24"/>
          <w:sz w:val="22"/>
          <w:szCs w:val="22"/>
          <w:u w:val="single"/>
          <w:lang w:val="fr-FR"/>
        </w:rPr>
        <w:lastRenderedPageBreak/>
        <w:t>PLAN DE TRAVAIL 2021 DU SEDI/OEA : ACTIVITÉS PRÉVUES ET RÉSULTATS ATTENDUS</w:t>
      </w:r>
    </w:p>
    <w:p w14:paraId="1D29DDC9" w14:textId="77777777" w:rsidR="00FC3A26" w:rsidRPr="00B62618" w:rsidRDefault="00FC3A26" w:rsidP="00493A9B">
      <w:pPr>
        <w:autoSpaceDE w:val="0"/>
        <w:autoSpaceDN w:val="0"/>
        <w:adjustRightInd w:val="0"/>
        <w:rPr>
          <w:rFonts w:eastAsia="MS PGothic"/>
          <w:b/>
          <w:bCs/>
          <w:color w:val="000000" w:themeColor="text1"/>
          <w:kern w:val="24"/>
          <w:sz w:val="22"/>
          <w:szCs w:val="22"/>
          <w:u w:val="single"/>
          <w:lang w:val="fr-FR"/>
        </w:rPr>
      </w:pPr>
    </w:p>
    <w:p w14:paraId="6A2E2E86" w14:textId="77777777" w:rsidR="00E82E10" w:rsidRPr="00B62618" w:rsidRDefault="00E82E10" w:rsidP="00493A9B">
      <w:pPr>
        <w:rPr>
          <w:b/>
          <w:color w:val="000000" w:themeColor="text1"/>
          <w:sz w:val="22"/>
          <w:szCs w:val="22"/>
          <w:u w:val="single"/>
          <w:lang w:val="fr-FR"/>
        </w:rPr>
      </w:pPr>
    </w:p>
    <w:p w14:paraId="08BBC7F7" w14:textId="5F7BE8FB" w:rsidR="007D1DC3" w:rsidRPr="00B62618" w:rsidRDefault="00E82E10" w:rsidP="00493A9B">
      <w:pPr>
        <w:rPr>
          <w:color w:val="0000CC"/>
          <w:sz w:val="22"/>
          <w:szCs w:val="22"/>
          <w:lang w:val="fr-FR"/>
        </w:rPr>
      </w:pPr>
      <w:r w:rsidRPr="00B62618">
        <w:rPr>
          <w:b/>
          <w:color w:val="0000CC"/>
          <w:sz w:val="22"/>
          <w:szCs w:val="22"/>
          <w:lang w:val="fr-FR"/>
        </w:rPr>
        <w:t>D</w:t>
      </w:r>
      <w:r w:rsidR="00B1788F" w:rsidRPr="00B62618">
        <w:rPr>
          <w:b/>
          <w:color w:val="0000CC"/>
          <w:sz w:val="22"/>
          <w:szCs w:val="22"/>
          <w:lang w:val="fr-FR"/>
        </w:rPr>
        <w:t>É</w:t>
      </w:r>
      <w:r w:rsidRPr="00B62618">
        <w:rPr>
          <w:b/>
          <w:color w:val="0000CC"/>
          <w:sz w:val="22"/>
          <w:szCs w:val="22"/>
          <w:lang w:val="fr-FR"/>
        </w:rPr>
        <w:t>PART</w:t>
      </w:r>
      <w:r w:rsidR="00B1788F" w:rsidRPr="00B62618">
        <w:rPr>
          <w:b/>
          <w:color w:val="0000CC"/>
          <w:sz w:val="22"/>
          <w:szCs w:val="22"/>
          <w:lang w:val="fr-FR"/>
        </w:rPr>
        <w:t>E</w:t>
      </w:r>
      <w:r w:rsidRPr="00B62618">
        <w:rPr>
          <w:b/>
          <w:color w:val="0000CC"/>
          <w:sz w:val="22"/>
          <w:szCs w:val="22"/>
          <w:lang w:val="fr-FR"/>
        </w:rPr>
        <w:t>MENT/SECTION</w:t>
      </w:r>
      <w:r w:rsidR="00B1788F" w:rsidRPr="00B62618">
        <w:rPr>
          <w:b/>
          <w:color w:val="0000CC"/>
          <w:sz w:val="22"/>
          <w:szCs w:val="22"/>
          <w:lang w:val="fr-FR"/>
        </w:rPr>
        <w:t> </w:t>
      </w:r>
      <w:r w:rsidRPr="00B62618">
        <w:rPr>
          <w:b/>
          <w:color w:val="0000CC"/>
          <w:sz w:val="22"/>
          <w:szCs w:val="22"/>
          <w:lang w:val="fr-FR"/>
        </w:rPr>
        <w:t>:</w:t>
      </w:r>
      <w:r w:rsidRPr="00B62618">
        <w:rPr>
          <w:color w:val="0000CC"/>
          <w:sz w:val="22"/>
          <w:szCs w:val="22"/>
          <w:lang w:val="fr-FR"/>
        </w:rPr>
        <w:tab/>
      </w:r>
      <w:r w:rsidR="00B1788F" w:rsidRPr="00B62618">
        <w:rPr>
          <w:color w:val="0000CC"/>
          <w:sz w:val="22"/>
          <w:szCs w:val="22"/>
          <w:lang w:val="fr-FR"/>
        </w:rPr>
        <w:t>DÉVELOPPEMENT ÉCONOMIQUE</w:t>
      </w:r>
      <w:r w:rsidRPr="00B62618">
        <w:rPr>
          <w:color w:val="0000CC"/>
          <w:sz w:val="22"/>
          <w:szCs w:val="22"/>
          <w:lang w:val="fr-FR"/>
        </w:rPr>
        <w:t xml:space="preserve"> (D</w:t>
      </w:r>
      <w:r w:rsidR="00B1788F" w:rsidRPr="00B62618">
        <w:rPr>
          <w:color w:val="0000CC"/>
          <w:sz w:val="22"/>
          <w:szCs w:val="22"/>
          <w:lang w:val="fr-FR"/>
        </w:rPr>
        <w:t>DE</w:t>
      </w:r>
      <w:r w:rsidRPr="00B62618">
        <w:rPr>
          <w:color w:val="0000CC"/>
          <w:sz w:val="22"/>
          <w:szCs w:val="22"/>
          <w:lang w:val="fr-FR"/>
        </w:rPr>
        <w:t>)</w:t>
      </w:r>
    </w:p>
    <w:p w14:paraId="26F2F6D2" w14:textId="77777777" w:rsidR="007D1DC3" w:rsidRPr="00B62618" w:rsidRDefault="007D1DC3" w:rsidP="00493A9B">
      <w:pPr>
        <w:rPr>
          <w:sz w:val="22"/>
          <w:szCs w:val="22"/>
          <w:lang w:val="fr-FR"/>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05"/>
        <w:gridCol w:w="4140"/>
        <w:gridCol w:w="3420"/>
        <w:gridCol w:w="2880"/>
      </w:tblGrid>
      <w:tr w:rsidR="00EA177C" w:rsidRPr="00B62618" w14:paraId="5A42324A" w14:textId="77777777" w:rsidTr="006D77D6">
        <w:trPr>
          <w:tblHeader/>
          <w:jc w:val="center"/>
        </w:trPr>
        <w:tc>
          <w:tcPr>
            <w:tcW w:w="3405" w:type="dxa"/>
            <w:tcBorders>
              <w:top w:val="single" w:sz="12" w:space="0" w:color="auto"/>
              <w:bottom w:val="single" w:sz="12" w:space="0" w:color="auto"/>
            </w:tcBorders>
            <w:shd w:val="clear" w:color="auto" w:fill="BDD6EE" w:themeFill="accent1" w:themeFillTint="66"/>
            <w:vAlign w:val="center"/>
          </w:tcPr>
          <w:p w14:paraId="51F39095" w14:textId="76E2351A" w:rsidR="00EA177C" w:rsidRPr="00B62618" w:rsidRDefault="00EA177C" w:rsidP="00B1788F">
            <w:pPr>
              <w:rPr>
                <w:b/>
                <w:bCs/>
                <w:color w:val="000000" w:themeColor="text1"/>
                <w:sz w:val="22"/>
                <w:szCs w:val="22"/>
                <w:lang w:val="fr-FR"/>
              </w:rPr>
            </w:pPr>
            <w:r w:rsidRPr="00B62618">
              <w:rPr>
                <w:b/>
                <w:bCs/>
                <w:color w:val="000000" w:themeColor="text1"/>
                <w:sz w:val="22"/>
                <w:szCs w:val="22"/>
                <w:lang w:val="fr-FR"/>
              </w:rPr>
              <w:t>INITIATIVES / ACTIVIT</w:t>
            </w:r>
            <w:r w:rsidR="00B1788F" w:rsidRPr="00B62618">
              <w:rPr>
                <w:b/>
                <w:bCs/>
                <w:color w:val="000000" w:themeColor="text1"/>
                <w:sz w:val="22"/>
                <w:szCs w:val="22"/>
                <w:lang w:val="fr-FR"/>
              </w:rPr>
              <w:t>É</w:t>
            </w:r>
            <w:r w:rsidRPr="00B62618">
              <w:rPr>
                <w:b/>
                <w:bCs/>
                <w:color w:val="000000" w:themeColor="text1"/>
                <w:sz w:val="22"/>
                <w:szCs w:val="22"/>
                <w:lang w:val="fr-FR"/>
              </w:rPr>
              <w:t>S</w:t>
            </w:r>
          </w:p>
        </w:tc>
        <w:tc>
          <w:tcPr>
            <w:tcW w:w="4140" w:type="dxa"/>
            <w:tcBorders>
              <w:top w:val="single" w:sz="12" w:space="0" w:color="auto"/>
              <w:bottom w:val="single" w:sz="12" w:space="0" w:color="auto"/>
            </w:tcBorders>
            <w:shd w:val="clear" w:color="auto" w:fill="BDD6EE" w:themeFill="accent1" w:themeFillTint="66"/>
            <w:vAlign w:val="center"/>
          </w:tcPr>
          <w:p w14:paraId="07FE8A1C" w14:textId="3A32ABAC" w:rsidR="00EA177C" w:rsidRPr="00B62618" w:rsidRDefault="00EA177C" w:rsidP="00B1788F">
            <w:pPr>
              <w:rPr>
                <w:b/>
                <w:bCs/>
                <w:color w:val="000000" w:themeColor="text1"/>
                <w:sz w:val="22"/>
                <w:szCs w:val="22"/>
                <w:lang w:val="fr-FR"/>
              </w:rPr>
            </w:pPr>
            <w:r w:rsidRPr="00B62618">
              <w:rPr>
                <w:b/>
                <w:bCs/>
                <w:color w:val="000000" w:themeColor="text1"/>
                <w:sz w:val="22"/>
                <w:szCs w:val="22"/>
                <w:lang w:val="fr-FR"/>
              </w:rPr>
              <w:t>CONTRIBUTION</w:t>
            </w:r>
            <w:r w:rsidR="00B1788F" w:rsidRPr="00B62618">
              <w:rPr>
                <w:b/>
                <w:bCs/>
                <w:color w:val="000000" w:themeColor="text1"/>
                <w:sz w:val="22"/>
                <w:szCs w:val="22"/>
                <w:lang w:val="fr-FR"/>
              </w:rPr>
              <w:t xml:space="preserve"> À LA RÉSILIENCE ET À LA COMPÉTITIVITÉ</w:t>
            </w:r>
          </w:p>
        </w:tc>
        <w:tc>
          <w:tcPr>
            <w:tcW w:w="3420" w:type="dxa"/>
            <w:tcBorders>
              <w:top w:val="single" w:sz="12" w:space="0" w:color="auto"/>
              <w:bottom w:val="single" w:sz="12" w:space="0" w:color="auto"/>
            </w:tcBorders>
            <w:shd w:val="clear" w:color="auto" w:fill="BDD6EE" w:themeFill="accent1" w:themeFillTint="66"/>
            <w:vAlign w:val="center"/>
          </w:tcPr>
          <w:p w14:paraId="4B050FD0" w14:textId="431DF7D8" w:rsidR="00EA177C" w:rsidRPr="00B62618" w:rsidRDefault="00B1788F" w:rsidP="00B07A63">
            <w:pPr>
              <w:rPr>
                <w:b/>
                <w:bCs/>
                <w:color w:val="000000" w:themeColor="text1"/>
                <w:sz w:val="22"/>
                <w:szCs w:val="22"/>
                <w:lang w:val="fr-FR"/>
              </w:rPr>
            </w:pPr>
            <w:r w:rsidRPr="00B62618">
              <w:rPr>
                <w:b/>
                <w:bCs/>
                <w:color w:val="000000" w:themeColor="text1"/>
                <w:sz w:val="22"/>
                <w:szCs w:val="22"/>
                <w:lang w:val="fr-FR"/>
              </w:rPr>
              <w:t>RÉSULTATS</w:t>
            </w:r>
            <w:r w:rsidR="00B07A63" w:rsidRPr="00B62618">
              <w:rPr>
                <w:b/>
                <w:bCs/>
                <w:color w:val="000000" w:themeColor="text1"/>
                <w:sz w:val="22"/>
                <w:szCs w:val="22"/>
                <w:lang w:val="fr-FR"/>
              </w:rPr>
              <w:t xml:space="preserve"> / CONCLUSIONS ATTENDUS</w:t>
            </w:r>
          </w:p>
        </w:tc>
        <w:tc>
          <w:tcPr>
            <w:tcW w:w="2880" w:type="dxa"/>
            <w:tcBorders>
              <w:top w:val="single" w:sz="12" w:space="0" w:color="auto"/>
              <w:bottom w:val="single" w:sz="12" w:space="0" w:color="auto"/>
            </w:tcBorders>
            <w:shd w:val="clear" w:color="auto" w:fill="BDD6EE" w:themeFill="accent1" w:themeFillTint="66"/>
            <w:vAlign w:val="center"/>
          </w:tcPr>
          <w:p w14:paraId="1C3C8EE2" w14:textId="57647D83" w:rsidR="00EA177C" w:rsidRPr="00B62618" w:rsidRDefault="00EA177C" w:rsidP="00B07A63">
            <w:pPr>
              <w:rPr>
                <w:b/>
                <w:bCs/>
                <w:color w:val="000000" w:themeColor="text1"/>
                <w:sz w:val="22"/>
                <w:szCs w:val="22"/>
                <w:lang w:val="fr-FR"/>
              </w:rPr>
            </w:pPr>
            <w:r w:rsidRPr="00B62618">
              <w:rPr>
                <w:b/>
                <w:bCs/>
                <w:color w:val="000000" w:themeColor="text1"/>
                <w:sz w:val="22"/>
                <w:szCs w:val="22"/>
                <w:lang w:val="fr-FR"/>
              </w:rPr>
              <w:t>C</w:t>
            </w:r>
            <w:r w:rsidR="00B07A63" w:rsidRPr="00B62618">
              <w:rPr>
                <w:b/>
                <w:bCs/>
                <w:color w:val="000000" w:themeColor="text1"/>
                <w:sz w:val="22"/>
                <w:szCs w:val="22"/>
                <w:lang w:val="fr-FR"/>
              </w:rPr>
              <w:t>OOPÉ</w:t>
            </w:r>
            <w:r w:rsidRPr="00B62618">
              <w:rPr>
                <w:b/>
                <w:bCs/>
                <w:color w:val="000000" w:themeColor="text1"/>
                <w:sz w:val="22"/>
                <w:szCs w:val="22"/>
                <w:lang w:val="fr-FR"/>
              </w:rPr>
              <w:t>RATION</w:t>
            </w:r>
            <w:r w:rsidR="00B07A63" w:rsidRPr="00B62618">
              <w:rPr>
                <w:b/>
                <w:bCs/>
                <w:color w:val="000000" w:themeColor="text1"/>
                <w:sz w:val="22"/>
                <w:szCs w:val="22"/>
                <w:lang w:val="fr-FR"/>
              </w:rPr>
              <w:t xml:space="preserve"> ET PARTENARIATS</w:t>
            </w:r>
          </w:p>
        </w:tc>
      </w:tr>
      <w:tr w:rsidR="006D77D6" w:rsidRPr="00121D09" w14:paraId="2F006E7D" w14:textId="77777777" w:rsidTr="006D77D6">
        <w:trPr>
          <w:jc w:val="center"/>
        </w:trPr>
        <w:tc>
          <w:tcPr>
            <w:tcW w:w="3405" w:type="dxa"/>
            <w:tcBorders>
              <w:top w:val="single" w:sz="6" w:space="0" w:color="auto"/>
            </w:tcBorders>
            <w:vAlign w:val="center"/>
          </w:tcPr>
          <w:p w14:paraId="389037F2" w14:textId="2CD48231" w:rsidR="006D77D6" w:rsidRPr="00B62618" w:rsidRDefault="00B07A63" w:rsidP="00B07A63">
            <w:pPr>
              <w:rPr>
                <w:b/>
                <w:bCs/>
                <w:color w:val="000000" w:themeColor="text1"/>
                <w:sz w:val="22"/>
                <w:szCs w:val="22"/>
                <w:lang w:val="fr-FR"/>
              </w:rPr>
            </w:pPr>
            <w:r w:rsidRPr="00B62618">
              <w:rPr>
                <w:b/>
                <w:bCs/>
                <w:color w:val="000000" w:themeColor="text1"/>
                <w:sz w:val="22"/>
                <w:szCs w:val="22"/>
                <w:lang w:val="fr-FR"/>
              </w:rPr>
              <w:t>LIGNE STRATÉGIQUE</w:t>
            </w:r>
          </w:p>
        </w:tc>
        <w:tc>
          <w:tcPr>
            <w:tcW w:w="10440" w:type="dxa"/>
            <w:gridSpan w:val="3"/>
            <w:tcBorders>
              <w:top w:val="single" w:sz="6" w:space="0" w:color="auto"/>
            </w:tcBorders>
          </w:tcPr>
          <w:p w14:paraId="0FBF0A72" w14:textId="0FEF8A67" w:rsidR="006D77D6" w:rsidRPr="00B62618" w:rsidRDefault="006D77D6" w:rsidP="00944E71">
            <w:pPr>
              <w:rPr>
                <w:sz w:val="22"/>
                <w:szCs w:val="22"/>
                <w:lang w:val="fr-FR"/>
              </w:rPr>
            </w:pPr>
            <w:r w:rsidRPr="00B62618">
              <w:rPr>
                <w:b/>
                <w:bCs/>
                <w:color w:val="000000" w:themeColor="text1"/>
                <w:sz w:val="22"/>
                <w:szCs w:val="22"/>
                <w:lang w:val="fr-FR"/>
              </w:rPr>
              <w:t>1. Promo</w:t>
            </w:r>
            <w:r w:rsidR="00944E71" w:rsidRPr="00B62618">
              <w:rPr>
                <w:b/>
                <w:bCs/>
                <w:color w:val="000000" w:themeColor="text1"/>
                <w:sz w:val="22"/>
                <w:szCs w:val="22"/>
                <w:lang w:val="fr-FR"/>
              </w:rPr>
              <w:t>uvoir des économies inclusives et compétitives</w:t>
            </w:r>
          </w:p>
        </w:tc>
      </w:tr>
      <w:tr w:rsidR="006D77D6" w:rsidRPr="00121D09" w14:paraId="1755B08E" w14:textId="77777777" w:rsidTr="006D77D6">
        <w:trPr>
          <w:jc w:val="center"/>
        </w:trPr>
        <w:tc>
          <w:tcPr>
            <w:tcW w:w="3405" w:type="dxa"/>
            <w:tcBorders>
              <w:top w:val="single" w:sz="6" w:space="0" w:color="auto"/>
            </w:tcBorders>
            <w:vAlign w:val="center"/>
          </w:tcPr>
          <w:p w14:paraId="6D62A8A4" w14:textId="155213C6" w:rsidR="006D77D6" w:rsidRPr="00B62618" w:rsidRDefault="00B07A63" w:rsidP="00B07A63">
            <w:pPr>
              <w:rPr>
                <w:b/>
                <w:bCs/>
                <w:color w:val="000000" w:themeColor="text1"/>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tcBorders>
          </w:tcPr>
          <w:p w14:paraId="7CEC7BC8" w14:textId="3CF5D9B9" w:rsidR="006D77D6" w:rsidRPr="00B62618" w:rsidRDefault="006D77D6" w:rsidP="00C4194D">
            <w:pPr>
              <w:rPr>
                <w:sz w:val="22"/>
                <w:szCs w:val="22"/>
                <w:lang w:val="fr-FR"/>
              </w:rPr>
            </w:pPr>
            <w:r w:rsidRPr="00B62618">
              <w:rPr>
                <w:b/>
                <w:bCs/>
                <w:color w:val="000000" w:themeColor="text1"/>
                <w:sz w:val="22"/>
                <w:szCs w:val="22"/>
                <w:lang w:val="fr-FR"/>
              </w:rPr>
              <w:t xml:space="preserve">1.1. </w:t>
            </w:r>
            <w:r w:rsidR="00C4194D" w:rsidRPr="00B62618">
              <w:rPr>
                <w:b/>
                <w:bCs/>
                <w:color w:val="000000" w:themeColor="text1"/>
                <w:sz w:val="22"/>
                <w:szCs w:val="22"/>
                <w:lang w:val="fr-FR"/>
              </w:rPr>
              <w:t xml:space="preserve">Accroitre la capacité des institutions des États membres qui appuient la conception et la mise en œuvre de politiques et de programmes qui encouragent la productivité, l’entreprenariat, l’innovation et l’internationalisation des micro-, petites et moyennes entreprises (MPME), ainsi que des coopératives et autres unités de production.  </w:t>
            </w:r>
          </w:p>
        </w:tc>
      </w:tr>
      <w:tr w:rsidR="006D77D6" w:rsidRPr="00B62618" w14:paraId="4D2C244F" w14:textId="77777777" w:rsidTr="006D77D6">
        <w:trPr>
          <w:jc w:val="center"/>
        </w:trPr>
        <w:tc>
          <w:tcPr>
            <w:tcW w:w="3405" w:type="dxa"/>
            <w:tcBorders>
              <w:top w:val="single" w:sz="6" w:space="0" w:color="auto"/>
            </w:tcBorders>
            <w:vAlign w:val="center"/>
          </w:tcPr>
          <w:p w14:paraId="4D62E5AB" w14:textId="10CE42DD" w:rsidR="006D77D6" w:rsidRPr="00B62618" w:rsidRDefault="006D77D6" w:rsidP="00944E71">
            <w:pPr>
              <w:rPr>
                <w:bCs/>
                <w:color w:val="000000" w:themeColor="text1"/>
                <w:sz w:val="22"/>
                <w:szCs w:val="22"/>
                <w:lang w:val="fr-FR"/>
              </w:rPr>
            </w:pPr>
            <w:r w:rsidRPr="00B62618">
              <w:rPr>
                <w:rFonts w:eastAsia="Calibri"/>
                <w:b/>
                <w:bCs/>
                <w:color w:val="000000" w:themeColor="text1"/>
                <w:sz w:val="22"/>
                <w:szCs w:val="22"/>
                <w:lang w:val="fr-FR"/>
              </w:rPr>
              <w:t>M</w:t>
            </w:r>
            <w:r w:rsidR="00944E71" w:rsidRPr="00B62618">
              <w:rPr>
                <w:rFonts w:eastAsia="Calibri"/>
                <w:b/>
                <w:bCs/>
                <w:color w:val="000000" w:themeColor="text1"/>
                <w:sz w:val="22"/>
                <w:szCs w:val="22"/>
                <w:lang w:val="fr-FR"/>
              </w:rPr>
              <w:t>PME</w:t>
            </w:r>
          </w:p>
        </w:tc>
        <w:tc>
          <w:tcPr>
            <w:tcW w:w="10440" w:type="dxa"/>
            <w:gridSpan w:val="3"/>
            <w:tcBorders>
              <w:top w:val="single" w:sz="6" w:space="0" w:color="auto"/>
            </w:tcBorders>
            <w:vAlign w:val="center"/>
          </w:tcPr>
          <w:p w14:paraId="66119FCB" w14:textId="77777777" w:rsidR="006D77D6" w:rsidRPr="00B62618" w:rsidRDefault="006D77D6" w:rsidP="00493A9B">
            <w:pPr>
              <w:rPr>
                <w:b/>
                <w:sz w:val="22"/>
                <w:szCs w:val="22"/>
                <w:lang w:val="fr-FR"/>
              </w:rPr>
            </w:pPr>
          </w:p>
        </w:tc>
      </w:tr>
      <w:tr w:rsidR="00EA177C" w:rsidRPr="00121D09" w14:paraId="20BD2559" w14:textId="77777777" w:rsidTr="006D77D6">
        <w:trPr>
          <w:jc w:val="center"/>
        </w:trPr>
        <w:tc>
          <w:tcPr>
            <w:tcW w:w="3405" w:type="dxa"/>
            <w:tcBorders>
              <w:top w:val="single" w:sz="6" w:space="0" w:color="auto"/>
            </w:tcBorders>
            <w:vAlign w:val="center"/>
          </w:tcPr>
          <w:p w14:paraId="3179C451" w14:textId="23C3A038" w:rsidR="00EA177C" w:rsidRPr="00B62618" w:rsidRDefault="00C4194D" w:rsidP="006A771D">
            <w:pPr>
              <w:rPr>
                <w:bCs/>
                <w:color w:val="000000" w:themeColor="text1"/>
                <w:sz w:val="22"/>
                <w:szCs w:val="22"/>
                <w:lang w:val="fr-FR"/>
              </w:rPr>
            </w:pPr>
            <w:r w:rsidRPr="00B62618">
              <w:rPr>
                <w:bCs/>
                <w:color w:val="000000" w:themeColor="text1"/>
                <w:sz w:val="22"/>
                <w:szCs w:val="22"/>
                <w:lang w:val="fr-FR"/>
              </w:rPr>
              <w:t xml:space="preserve">Programme de numérisation des MPME de l’OEA : Exécution de programmes </w:t>
            </w:r>
            <w:r w:rsidR="006A771D" w:rsidRPr="00B62618">
              <w:rPr>
                <w:bCs/>
                <w:color w:val="000000" w:themeColor="text1"/>
                <w:sz w:val="22"/>
                <w:szCs w:val="22"/>
                <w:lang w:val="fr-FR"/>
              </w:rPr>
              <w:t>de formation virtuelle sur mesure pour des MPME ainsi que d’un programme de formation des formateurs pour les responsables et les bureaux principaux de MPME afin de renforcer leur résilience et de les aider à se relever de la pandémie</w:t>
            </w:r>
            <w:r w:rsidRPr="00B62618">
              <w:rPr>
                <w:bCs/>
                <w:color w:val="000000" w:themeColor="text1"/>
                <w:sz w:val="22"/>
                <w:szCs w:val="22"/>
                <w:lang w:val="fr-FR"/>
              </w:rPr>
              <w:t xml:space="preserve">  </w:t>
            </w:r>
          </w:p>
        </w:tc>
        <w:tc>
          <w:tcPr>
            <w:tcW w:w="4140" w:type="dxa"/>
            <w:tcBorders>
              <w:top w:val="single" w:sz="6" w:space="0" w:color="auto"/>
            </w:tcBorders>
            <w:vAlign w:val="center"/>
          </w:tcPr>
          <w:p w14:paraId="276D1432" w14:textId="6ACC95D0" w:rsidR="00EA177C" w:rsidRPr="00B62618" w:rsidRDefault="009973E7" w:rsidP="00493A9B">
            <w:pPr>
              <w:rPr>
                <w:bCs/>
                <w:color w:val="000000" w:themeColor="text1"/>
                <w:sz w:val="22"/>
                <w:szCs w:val="22"/>
                <w:lang w:val="fr-FR"/>
              </w:rPr>
            </w:pPr>
            <w:r w:rsidRPr="00B62618">
              <w:rPr>
                <w:bCs/>
                <w:color w:val="000000" w:themeColor="text1"/>
                <w:sz w:val="22"/>
                <w:szCs w:val="22"/>
                <w:lang w:val="fr-FR"/>
              </w:rPr>
              <w:t xml:space="preserve">Viabilité économique et résilience des MPME. Celles-ci seront à même de capitaliser sur la demande qui existe pour leurs produits sur Internet. </w:t>
            </w:r>
          </w:p>
          <w:p w14:paraId="1EAC818E" w14:textId="77777777" w:rsidR="00EA177C" w:rsidRPr="00B62618" w:rsidRDefault="00EA177C" w:rsidP="00493A9B">
            <w:pPr>
              <w:rPr>
                <w:bCs/>
                <w:color w:val="000000" w:themeColor="text1"/>
                <w:sz w:val="22"/>
                <w:szCs w:val="22"/>
                <w:lang w:val="fr-FR"/>
              </w:rPr>
            </w:pPr>
          </w:p>
          <w:p w14:paraId="5AF2F1B0" w14:textId="70825A2E" w:rsidR="00EA177C" w:rsidRPr="00B62618" w:rsidRDefault="009973E7" w:rsidP="009973E7">
            <w:pPr>
              <w:rPr>
                <w:b/>
                <w:bCs/>
                <w:color w:val="000000" w:themeColor="text1"/>
                <w:sz w:val="22"/>
                <w:szCs w:val="22"/>
                <w:lang w:val="fr-FR"/>
              </w:rPr>
            </w:pPr>
            <w:r w:rsidRPr="00B62618">
              <w:rPr>
                <w:bCs/>
                <w:color w:val="000000" w:themeColor="text1"/>
                <w:sz w:val="22"/>
                <w:szCs w:val="22"/>
                <w:lang w:val="fr-FR"/>
              </w:rPr>
              <w:t xml:space="preserve">Formation et ressources pour après la relève de la COVID et résilience des entreprises </w:t>
            </w:r>
          </w:p>
        </w:tc>
        <w:tc>
          <w:tcPr>
            <w:tcW w:w="3420" w:type="dxa"/>
            <w:tcBorders>
              <w:top w:val="single" w:sz="6" w:space="0" w:color="auto"/>
            </w:tcBorders>
            <w:vAlign w:val="center"/>
          </w:tcPr>
          <w:p w14:paraId="352EC342" w14:textId="26D8A1CE" w:rsidR="00EA177C" w:rsidRPr="00B62618" w:rsidRDefault="009973E7" w:rsidP="00493A9B">
            <w:pPr>
              <w:rPr>
                <w:sz w:val="22"/>
                <w:szCs w:val="22"/>
                <w:lang w:val="fr-FR"/>
              </w:rPr>
            </w:pPr>
            <w:r w:rsidRPr="00B62618">
              <w:rPr>
                <w:sz w:val="22"/>
                <w:szCs w:val="22"/>
                <w:lang w:val="fr-FR"/>
              </w:rPr>
              <w:t>Mise en œuvre du Programme de numérisation des MPME de l’OEA</w:t>
            </w:r>
            <w:r w:rsidR="00414C42" w:rsidRPr="00B62618">
              <w:rPr>
                <w:sz w:val="22"/>
                <w:szCs w:val="22"/>
                <w:lang w:val="fr-FR"/>
              </w:rPr>
              <w:t xml:space="preserve"> dans au moins 10 États membres </w:t>
            </w:r>
          </w:p>
          <w:p w14:paraId="5E05780B" w14:textId="77777777" w:rsidR="00EA177C" w:rsidRPr="00B62618" w:rsidRDefault="00EA177C" w:rsidP="00493A9B">
            <w:pPr>
              <w:rPr>
                <w:sz w:val="22"/>
                <w:szCs w:val="22"/>
                <w:lang w:val="fr-FR"/>
              </w:rPr>
            </w:pPr>
          </w:p>
          <w:p w14:paraId="12DB1943" w14:textId="77777777" w:rsidR="00EA177C" w:rsidRPr="00B62618" w:rsidRDefault="00EA177C" w:rsidP="00493A9B">
            <w:pPr>
              <w:rPr>
                <w:sz w:val="22"/>
                <w:szCs w:val="22"/>
                <w:lang w:val="fr-FR"/>
              </w:rPr>
            </w:pPr>
          </w:p>
          <w:p w14:paraId="7A64DBF4" w14:textId="6CD3D1CF" w:rsidR="00EA177C" w:rsidRPr="00B62618" w:rsidRDefault="00414C42" w:rsidP="00493A9B">
            <w:pPr>
              <w:rPr>
                <w:sz w:val="22"/>
                <w:szCs w:val="22"/>
                <w:lang w:val="fr-FR"/>
              </w:rPr>
            </w:pPr>
            <w:r w:rsidRPr="00B62618">
              <w:rPr>
                <w:sz w:val="22"/>
                <w:szCs w:val="22"/>
                <w:lang w:val="fr-FR"/>
              </w:rPr>
              <w:t>Formation en compétences numériques à l’intention des PME dans au moins 5 États membres</w:t>
            </w:r>
          </w:p>
          <w:p w14:paraId="0A571DD3" w14:textId="77777777" w:rsidR="00EA177C" w:rsidRPr="00B62618" w:rsidRDefault="00EA177C" w:rsidP="00493A9B">
            <w:pPr>
              <w:rPr>
                <w:b/>
                <w:bCs/>
                <w:color w:val="000000" w:themeColor="text1"/>
                <w:sz w:val="22"/>
                <w:szCs w:val="22"/>
                <w:lang w:val="fr-FR"/>
              </w:rPr>
            </w:pPr>
          </w:p>
        </w:tc>
        <w:tc>
          <w:tcPr>
            <w:tcW w:w="2880" w:type="dxa"/>
            <w:tcBorders>
              <w:top w:val="single" w:sz="6" w:space="0" w:color="auto"/>
            </w:tcBorders>
            <w:vAlign w:val="center"/>
          </w:tcPr>
          <w:p w14:paraId="4B1FD6A2" w14:textId="62F54A39" w:rsidR="00EA177C" w:rsidRPr="00B62618" w:rsidRDefault="00EA177C" w:rsidP="00493A9B">
            <w:pPr>
              <w:rPr>
                <w:sz w:val="22"/>
                <w:szCs w:val="22"/>
                <w:lang w:val="fr-FR"/>
              </w:rPr>
            </w:pPr>
            <w:r w:rsidRPr="00B62618">
              <w:rPr>
                <w:b/>
                <w:sz w:val="22"/>
                <w:szCs w:val="22"/>
                <w:lang w:val="fr-FR"/>
              </w:rPr>
              <w:t>Extern</w:t>
            </w:r>
            <w:r w:rsidR="00414C42" w:rsidRPr="00B62618">
              <w:rPr>
                <w:b/>
                <w:sz w:val="22"/>
                <w:szCs w:val="22"/>
                <w:lang w:val="fr-FR"/>
              </w:rPr>
              <w:t>e </w:t>
            </w:r>
            <w:r w:rsidRPr="00B62618">
              <w:rPr>
                <w:b/>
                <w:sz w:val="22"/>
                <w:szCs w:val="22"/>
                <w:lang w:val="fr-FR"/>
              </w:rPr>
              <w:t xml:space="preserve">: </w:t>
            </w:r>
            <w:r w:rsidR="00B62618" w:rsidRPr="00B62618">
              <w:rPr>
                <w:sz w:val="22"/>
                <w:szCs w:val="22"/>
                <w:lang w:val="fr-FR"/>
              </w:rPr>
              <w:t>WhatsApp</w:t>
            </w:r>
            <w:r w:rsidRPr="00B62618">
              <w:rPr>
                <w:sz w:val="22"/>
                <w:szCs w:val="22"/>
                <w:lang w:val="fr-FR"/>
              </w:rPr>
              <w:t>, eBay, Google</w:t>
            </w:r>
            <w:r w:rsidR="00414C42" w:rsidRPr="00B62618">
              <w:rPr>
                <w:sz w:val="22"/>
                <w:szCs w:val="22"/>
                <w:lang w:val="fr-FR"/>
              </w:rPr>
              <w:t xml:space="preserve"> et les États membres de l’OEA</w:t>
            </w:r>
          </w:p>
          <w:p w14:paraId="1F79DA6C" w14:textId="77777777" w:rsidR="00EA177C" w:rsidRPr="00B62618" w:rsidRDefault="00EA177C" w:rsidP="00493A9B">
            <w:pPr>
              <w:rPr>
                <w:b/>
                <w:bCs/>
                <w:color w:val="000000" w:themeColor="text1"/>
                <w:sz w:val="22"/>
                <w:szCs w:val="22"/>
                <w:lang w:val="fr-FR"/>
              </w:rPr>
            </w:pPr>
          </w:p>
        </w:tc>
      </w:tr>
      <w:tr w:rsidR="00EA177C" w:rsidRPr="00121D09" w14:paraId="7B6EFF43" w14:textId="77777777" w:rsidTr="006D77D6">
        <w:trPr>
          <w:jc w:val="center"/>
        </w:trPr>
        <w:tc>
          <w:tcPr>
            <w:tcW w:w="3405" w:type="dxa"/>
            <w:vAlign w:val="center"/>
          </w:tcPr>
          <w:p w14:paraId="134E7F15" w14:textId="01F501E2" w:rsidR="00EA177C" w:rsidRPr="00B62618" w:rsidRDefault="00414C42" w:rsidP="00414C42">
            <w:pPr>
              <w:rPr>
                <w:sz w:val="22"/>
                <w:szCs w:val="22"/>
                <w:lang w:val="fr-FR"/>
              </w:rPr>
            </w:pPr>
            <w:r w:rsidRPr="00B62618">
              <w:rPr>
                <w:sz w:val="22"/>
                <w:szCs w:val="22"/>
                <w:lang w:val="fr-FR"/>
              </w:rPr>
              <w:t>Centre d’information en ligne sur les lois et les initiatives en matière de politiques</w:t>
            </w:r>
            <w:r w:rsidR="004B497E" w:rsidRPr="00B62618">
              <w:rPr>
                <w:sz w:val="22"/>
                <w:szCs w:val="22"/>
                <w:lang w:val="fr-FR"/>
              </w:rPr>
              <w:t xml:space="preserve"> et</w:t>
            </w:r>
            <w:r w:rsidRPr="00B62618">
              <w:rPr>
                <w:sz w:val="22"/>
                <w:szCs w:val="22"/>
                <w:lang w:val="fr-FR"/>
              </w:rPr>
              <w:t xml:space="preserve"> programmes publics pour appuyer le développement du secteur des MPME </w:t>
            </w:r>
          </w:p>
        </w:tc>
        <w:tc>
          <w:tcPr>
            <w:tcW w:w="4140" w:type="dxa"/>
            <w:vAlign w:val="center"/>
          </w:tcPr>
          <w:p w14:paraId="456E0180" w14:textId="3E079CCE" w:rsidR="00EA177C" w:rsidRPr="00B62618" w:rsidRDefault="00751041" w:rsidP="001E7EBA">
            <w:pPr>
              <w:rPr>
                <w:sz w:val="22"/>
                <w:szCs w:val="22"/>
                <w:lang w:val="fr-FR"/>
              </w:rPr>
            </w:pPr>
            <w:r w:rsidRPr="00B62618">
              <w:rPr>
                <w:sz w:val="22"/>
                <w:szCs w:val="22"/>
                <w:lang w:val="fr-FR"/>
              </w:rPr>
              <w:t xml:space="preserve">Appel visant à recueillir </w:t>
            </w:r>
            <w:r w:rsidR="004B497E" w:rsidRPr="00B62618">
              <w:rPr>
                <w:sz w:val="22"/>
                <w:szCs w:val="22"/>
                <w:lang w:val="fr-FR"/>
              </w:rPr>
              <w:t>les politique et</w:t>
            </w:r>
            <w:r w:rsidRPr="00B62618">
              <w:rPr>
                <w:sz w:val="22"/>
                <w:szCs w:val="22"/>
                <w:lang w:val="fr-FR"/>
              </w:rPr>
              <w:t xml:space="preserve"> programmes publics visant spécifiquement la résilience des PME, la relève après la COVID-19, la continuité des affaires</w:t>
            </w:r>
            <w:r w:rsidR="001E7EBA" w:rsidRPr="00B62618">
              <w:rPr>
                <w:sz w:val="22"/>
                <w:szCs w:val="22"/>
                <w:lang w:val="fr-FR"/>
              </w:rPr>
              <w:t xml:space="preserve"> et la compétitivité</w:t>
            </w:r>
          </w:p>
        </w:tc>
        <w:tc>
          <w:tcPr>
            <w:tcW w:w="3420" w:type="dxa"/>
            <w:vAlign w:val="center"/>
          </w:tcPr>
          <w:p w14:paraId="283C602C" w14:textId="4B8D5025" w:rsidR="00EA177C" w:rsidRPr="00B62618" w:rsidRDefault="001E7EBA" w:rsidP="001E7EBA">
            <w:pPr>
              <w:rPr>
                <w:sz w:val="22"/>
                <w:szCs w:val="22"/>
                <w:lang w:val="fr-FR"/>
              </w:rPr>
            </w:pPr>
            <w:r w:rsidRPr="00B62618">
              <w:rPr>
                <w:sz w:val="22"/>
                <w:szCs w:val="22"/>
                <w:lang w:val="fr-FR"/>
              </w:rPr>
              <w:t xml:space="preserve">Centre d’information ayant accès à un vaste inventaire de bonnes pratiques et de politiques et programmes publics compilé dans la région dans le but d’assurer la résilience des MPME, la relève </w:t>
            </w:r>
            <w:r w:rsidR="00B62618">
              <w:rPr>
                <w:sz w:val="22"/>
                <w:szCs w:val="22"/>
                <w:lang w:val="fr-FR"/>
              </w:rPr>
              <w:t>après</w:t>
            </w:r>
            <w:r w:rsidRPr="00B62618">
              <w:rPr>
                <w:sz w:val="22"/>
                <w:szCs w:val="22"/>
                <w:lang w:val="fr-FR"/>
              </w:rPr>
              <w:t xml:space="preserve"> la COVID</w:t>
            </w:r>
            <w:r w:rsidR="00B62618">
              <w:rPr>
                <w:sz w:val="22"/>
                <w:szCs w:val="22"/>
                <w:lang w:val="fr-FR"/>
              </w:rPr>
              <w:t>-19</w:t>
            </w:r>
            <w:r w:rsidRPr="00B62618">
              <w:rPr>
                <w:sz w:val="22"/>
                <w:szCs w:val="22"/>
                <w:lang w:val="fr-FR"/>
              </w:rPr>
              <w:t xml:space="preserve">, la continuité des affaires et la compétitivité </w:t>
            </w:r>
          </w:p>
        </w:tc>
        <w:tc>
          <w:tcPr>
            <w:tcW w:w="2880" w:type="dxa"/>
          </w:tcPr>
          <w:p w14:paraId="2F423534" w14:textId="15A04289" w:rsidR="00EA177C" w:rsidRPr="00B62618" w:rsidRDefault="00EA177C" w:rsidP="00493A9B">
            <w:pPr>
              <w:rPr>
                <w:sz w:val="22"/>
                <w:szCs w:val="22"/>
                <w:lang w:val="fr-FR"/>
              </w:rPr>
            </w:pPr>
            <w:r w:rsidRPr="00B62618">
              <w:rPr>
                <w:b/>
                <w:sz w:val="22"/>
                <w:szCs w:val="22"/>
                <w:lang w:val="fr-FR"/>
              </w:rPr>
              <w:t>Intern</w:t>
            </w:r>
            <w:r w:rsidR="001E7EBA" w:rsidRPr="00B62618">
              <w:rPr>
                <w:b/>
                <w:sz w:val="22"/>
                <w:szCs w:val="22"/>
                <w:lang w:val="fr-FR"/>
              </w:rPr>
              <w:t>e </w:t>
            </w:r>
            <w:r w:rsidRPr="00B62618">
              <w:rPr>
                <w:b/>
                <w:sz w:val="22"/>
                <w:szCs w:val="22"/>
                <w:lang w:val="fr-FR"/>
              </w:rPr>
              <w:t>:</w:t>
            </w:r>
          </w:p>
          <w:p w14:paraId="19FFCEBB" w14:textId="659760D5" w:rsidR="00EA177C" w:rsidRPr="00B62618" w:rsidRDefault="00091B9F" w:rsidP="00493A9B">
            <w:pPr>
              <w:autoSpaceDE w:val="0"/>
              <w:autoSpaceDN w:val="0"/>
              <w:adjustRightInd w:val="0"/>
              <w:rPr>
                <w:sz w:val="22"/>
                <w:szCs w:val="22"/>
                <w:lang w:val="fr-FR"/>
              </w:rPr>
            </w:pPr>
            <w:r w:rsidRPr="00B62618">
              <w:rPr>
                <w:sz w:val="22"/>
                <w:szCs w:val="22"/>
                <w:lang w:val="fr-FR"/>
              </w:rPr>
              <w:t xml:space="preserve">Bureau exécutif du </w:t>
            </w:r>
            <w:r w:rsidR="00EA177C" w:rsidRPr="00B62618">
              <w:rPr>
                <w:sz w:val="22"/>
                <w:szCs w:val="22"/>
                <w:lang w:val="fr-FR"/>
              </w:rPr>
              <w:t>SEDI</w:t>
            </w:r>
            <w:r w:rsidRPr="00B62618">
              <w:rPr>
                <w:sz w:val="22"/>
                <w:szCs w:val="22"/>
                <w:lang w:val="fr-FR"/>
              </w:rPr>
              <w:t xml:space="preserve"> – </w:t>
            </w:r>
            <w:r w:rsidR="00EA177C" w:rsidRPr="00B62618">
              <w:rPr>
                <w:sz w:val="22"/>
                <w:szCs w:val="22"/>
                <w:lang w:val="fr-FR"/>
              </w:rPr>
              <w:t>CooperaNet</w:t>
            </w:r>
            <w:r w:rsidRPr="00B62618">
              <w:rPr>
                <w:sz w:val="22"/>
                <w:szCs w:val="22"/>
                <w:lang w:val="fr-FR"/>
              </w:rPr>
              <w:t xml:space="preserve"> </w:t>
            </w:r>
            <w:r w:rsidR="00EA177C" w:rsidRPr="00B62618">
              <w:rPr>
                <w:sz w:val="22"/>
                <w:szCs w:val="22"/>
                <w:lang w:val="fr-FR"/>
              </w:rPr>
              <w:t>(</w:t>
            </w:r>
            <w:r w:rsidRPr="00B62618">
              <w:rPr>
                <w:sz w:val="22"/>
                <w:szCs w:val="22"/>
                <w:lang w:val="fr-FR"/>
              </w:rPr>
              <w:t>forums virtuels à l’intention des MPME et recueil de programmes</w:t>
            </w:r>
            <w:proofErr w:type="gramStart"/>
            <w:r w:rsidR="00EA177C" w:rsidRPr="00B62618">
              <w:rPr>
                <w:sz w:val="22"/>
                <w:szCs w:val="22"/>
                <w:lang w:val="fr-FR"/>
              </w:rPr>
              <w:t>);</w:t>
            </w:r>
            <w:proofErr w:type="gramEnd"/>
            <w:r w:rsidR="00EA177C" w:rsidRPr="00B62618">
              <w:rPr>
                <w:sz w:val="22"/>
                <w:szCs w:val="22"/>
                <w:lang w:val="fr-FR"/>
              </w:rPr>
              <w:t xml:space="preserve"> D</w:t>
            </w:r>
            <w:r w:rsidRPr="00B62618">
              <w:rPr>
                <w:sz w:val="22"/>
                <w:szCs w:val="22"/>
                <w:lang w:val="fr-FR"/>
              </w:rPr>
              <w:t>épartement du développement durable (énergie</w:t>
            </w:r>
            <w:r w:rsidR="00EA177C" w:rsidRPr="00B62618">
              <w:rPr>
                <w:sz w:val="22"/>
                <w:szCs w:val="22"/>
                <w:lang w:val="fr-FR"/>
              </w:rPr>
              <w:t xml:space="preserve"> / </w:t>
            </w:r>
            <w:r w:rsidRPr="00B62618">
              <w:rPr>
                <w:sz w:val="22"/>
                <w:szCs w:val="22"/>
                <w:lang w:val="fr-FR"/>
              </w:rPr>
              <w:t>eau</w:t>
            </w:r>
            <w:r w:rsidR="00EA177C" w:rsidRPr="00B62618">
              <w:rPr>
                <w:sz w:val="22"/>
                <w:szCs w:val="22"/>
                <w:lang w:val="fr-FR"/>
              </w:rPr>
              <w:t>)</w:t>
            </w:r>
            <w:r w:rsidRPr="00B62618">
              <w:rPr>
                <w:sz w:val="22"/>
                <w:szCs w:val="22"/>
                <w:lang w:val="fr-FR"/>
              </w:rPr>
              <w:t xml:space="preserve"> sur le dialogue en matière de politiques sur la compétitivité</w:t>
            </w:r>
          </w:p>
          <w:p w14:paraId="05AA9050" w14:textId="77777777" w:rsidR="00EA177C" w:rsidRPr="00B62618" w:rsidRDefault="00EA177C" w:rsidP="00493A9B">
            <w:pPr>
              <w:rPr>
                <w:sz w:val="22"/>
                <w:szCs w:val="22"/>
                <w:lang w:val="fr-FR"/>
              </w:rPr>
            </w:pPr>
          </w:p>
        </w:tc>
      </w:tr>
      <w:tr w:rsidR="00EA177C" w:rsidRPr="00121D09" w14:paraId="50EC4865" w14:textId="77777777" w:rsidTr="006D77D6">
        <w:trPr>
          <w:jc w:val="center"/>
        </w:trPr>
        <w:tc>
          <w:tcPr>
            <w:tcW w:w="3405" w:type="dxa"/>
          </w:tcPr>
          <w:p w14:paraId="6C43A200" w14:textId="3958759E" w:rsidR="00EA177C" w:rsidRPr="00B62618" w:rsidRDefault="004B497E" w:rsidP="00493A9B">
            <w:pPr>
              <w:rPr>
                <w:rFonts w:eastAsia="Calibri"/>
                <w:sz w:val="22"/>
                <w:szCs w:val="22"/>
                <w:lang w:val="fr-FR"/>
              </w:rPr>
            </w:pPr>
            <w:r w:rsidRPr="00B62618">
              <w:rPr>
                <w:sz w:val="22"/>
                <w:szCs w:val="22"/>
                <w:lang w:val="fr-FR"/>
              </w:rPr>
              <w:t xml:space="preserve">Diffusion auprès des responsables et des parties prenantes des MPME d’un Bulletin d’information sur le développement des MPME dans les Amériques (en anglais et en espagnol) </w:t>
            </w:r>
          </w:p>
          <w:p w14:paraId="79AAD328" w14:textId="77777777" w:rsidR="00EA177C" w:rsidRPr="00B62618" w:rsidRDefault="00EA177C" w:rsidP="00493A9B">
            <w:pPr>
              <w:tabs>
                <w:tab w:val="left" w:pos="177"/>
              </w:tabs>
              <w:rPr>
                <w:sz w:val="22"/>
                <w:szCs w:val="22"/>
                <w:lang w:val="fr-FR"/>
              </w:rPr>
            </w:pPr>
          </w:p>
          <w:p w14:paraId="29739ACC" w14:textId="77777777" w:rsidR="00EA177C" w:rsidRPr="00B62618" w:rsidRDefault="00EA177C" w:rsidP="00493A9B">
            <w:pPr>
              <w:rPr>
                <w:sz w:val="22"/>
                <w:szCs w:val="22"/>
                <w:lang w:val="fr-FR"/>
              </w:rPr>
            </w:pPr>
          </w:p>
        </w:tc>
        <w:tc>
          <w:tcPr>
            <w:tcW w:w="4140" w:type="dxa"/>
          </w:tcPr>
          <w:p w14:paraId="530641ED" w14:textId="020D35BD" w:rsidR="00EA177C" w:rsidRPr="00B62618" w:rsidRDefault="004B497E" w:rsidP="00493A9B">
            <w:pPr>
              <w:tabs>
                <w:tab w:val="left" w:pos="177"/>
              </w:tabs>
              <w:rPr>
                <w:rFonts w:eastAsia="Calibri"/>
                <w:sz w:val="22"/>
                <w:szCs w:val="22"/>
                <w:lang w:val="fr-FR"/>
              </w:rPr>
            </w:pPr>
            <w:r w:rsidRPr="00B62618">
              <w:rPr>
                <w:color w:val="000000"/>
                <w:sz w:val="22"/>
                <w:szCs w:val="22"/>
                <w:u w:color="000000"/>
                <w:lang w:val="fr-FR"/>
              </w:rPr>
              <w:lastRenderedPageBreak/>
              <w:t>Partage de politiques et</w:t>
            </w:r>
            <w:r w:rsidR="00CD4CB4" w:rsidRPr="00B62618">
              <w:rPr>
                <w:color w:val="000000"/>
                <w:sz w:val="22"/>
                <w:szCs w:val="22"/>
                <w:u w:color="000000"/>
                <w:lang w:val="fr-FR"/>
              </w:rPr>
              <w:t xml:space="preserve"> de</w:t>
            </w:r>
            <w:r w:rsidRPr="00B62618">
              <w:rPr>
                <w:color w:val="000000"/>
                <w:sz w:val="22"/>
                <w:szCs w:val="22"/>
                <w:u w:color="000000"/>
                <w:lang w:val="fr-FR"/>
              </w:rPr>
              <w:t xml:space="preserve"> programmes publics</w:t>
            </w:r>
            <w:r w:rsidR="00CD4CB4" w:rsidRPr="00B62618">
              <w:rPr>
                <w:color w:val="000000"/>
                <w:sz w:val="22"/>
                <w:szCs w:val="22"/>
                <w:u w:color="000000"/>
                <w:lang w:val="fr-FR"/>
              </w:rPr>
              <w:t xml:space="preserve"> visant spécifiquement la résilience des PME et la relève après la </w:t>
            </w:r>
            <w:r w:rsidR="00EA177C" w:rsidRPr="00B62618">
              <w:rPr>
                <w:sz w:val="22"/>
                <w:szCs w:val="22"/>
                <w:lang w:val="fr-FR"/>
              </w:rPr>
              <w:t>COVID-19</w:t>
            </w:r>
            <w:r w:rsidR="00CD4CB4" w:rsidRPr="00B62618">
              <w:rPr>
                <w:sz w:val="22"/>
                <w:szCs w:val="22"/>
                <w:lang w:val="fr-FR"/>
              </w:rPr>
              <w:t> : réponses en matière de politiques relatives aux PME</w:t>
            </w:r>
          </w:p>
          <w:p w14:paraId="321BF551" w14:textId="77777777" w:rsidR="00EA177C" w:rsidRPr="00B62618" w:rsidRDefault="00EA177C" w:rsidP="00493A9B">
            <w:pPr>
              <w:rPr>
                <w:sz w:val="22"/>
                <w:szCs w:val="22"/>
                <w:lang w:val="fr-FR"/>
              </w:rPr>
            </w:pPr>
          </w:p>
        </w:tc>
        <w:tc>
          <w:tcPr>
            <w:tcW w:w="3420" w:type="dxa"/>
          </w:tcPr>
          <w:p w14:paraId="759F048E" w14:textId="51C39F06" w:rsidR="00EA177C" w:rsidRPr="00B62618" w:rsidRDefault="0022357F" w:rsidP="00493A9B">
            <w:pPr>
              <w:rPr>
                <w:rFonts w:eastAsia="Calibri"/>
                <w:sz w:val="22"/>
                <w:szCs w:val="22"/>
                <w:lang w:val="fr-FR"/>
              </w:rPr>
            </w:pPr>
            <w:r w:rsidRPr="00B62618">
              <w:rPr>
                <w:sz w:val="22"/>
                <w:szCs w:val="22"/>
                <w:lang w:val="fr-FR"/>
              </w:rPr>
              <w:t xml:space="preserve">Partage d’au moins 10 bonnes pratiques ainsi que d’occasions concrètes de coopération relativement à des politiques et des programmes destinés à appuyer la </w:t>
            </w:r>
            <w:r w:rsidRPr="00B62618">
              <w:rPr>
                <w:sz w:val="22"/>
                <w:szCs w:val="22"/>
                <w:lang w:val="fr-FR"/>
              </w:rPr>
              <w:lastRenderedPageBreak/>
              <w:t xml:space="preserve">résilience des MPME et la relève </w:t>
            </w:r>
            <w:r w:rsidR="00B62618">
              <w:rPr>
                <w:sz w:val="22"/>
                <w:szCs w:val="22"/>
                <w:lang w:val="fr-FR"/>
              </w:rPr>
              <w:t>après</w:t>
            </w:r>
            <w:r w:rsidRPr="00B62618">
              <w:rPr>
                <w:sz w:val="22"/>
                <w:szCs w:val="22"/>
                <w:lang w:val="fr-FR"/>
              </w:rPr>
              <w:t xml:space="preserve"> la COVID-19 </w:t>
            </w:r>
          </w:p>
          <w:p w14:paraId="707EBD82" w14:textId="77777777" w:rsidR="00EA177C" w:rsidRPr="00B62618" w:rsidRDefault="00EA177C" w:rsidP="00493A9B">
            <w:pPr>
              <w:rPr>
                <w:sz w:val="22"/>
                <w:szCs w:val="22"/>
                <w:lang w:val="fr-FR"/>
              </w:rPr>
            </w:pPr>
          </w:p>
        </w:tc>
        <w:tc>
          <w:tcPr>
            <w:tcW w:w="2880" w:type="dxa"/>
          </w:tcPr>
          <w:p w14:paraId="4939233B" w14:textId="68B8B49A" w:rsidR="00EA177C" w:rsidRPr="00B62618" w:rsidRDefault="0022357F" w:rsidP="00493A9B">
            <w:pPr>
              <w:rPr>
                <w:sz w:val="22"/>
                <w:szCs w:val="22"/>
                <w:lang w:val="fr-FR"/>
              </w:rPr>
            </w:pPr>
            <w:r w:rsidRPr="00B62618">
              <w:rPr>
                <w:b/>
                <w:sz w:val="22"/>
                <w:szCs w:val="22"/>
                <w:lang w:val="fr-FR"/>
              </w:rPr>
              <w:lastRenderedPageBreak/>
              <w:t>Externe </w:t>
            </w:r>
            <w:r w:rsidR="00EA177C" w:rsidRPr="00B62618">
              <w:rPr>
                <w:b/>
                <w:sz w:val="22"/>
                <w:szCs w:val="22"/>
                <w:lang w:val="fr-FR"/>
              </w:rPr>
              <w:t>:</w:t>
            </w:r>
          </w:p>
          <w:p w14:paraId="300963C7" w14:textId="49A2885B" w:rsidR="00EA177C" w:rsidRPr="00B62618" w:rsidRDefault="0022357F" w:rsidP="00493A9B">
            <w:pPr>
              <w:rPr>
                <w:sz w:val="22"/>
                <w:szCs w:val="22"/>
                <w:lang w:val="fr-FR"/>
              </w:rPr>
            </w:pPr>
            <w:r w:rsidRPr="00B62618">
              <w:rPr>
                <w:sz w:val="22"/>
                <w:szCs w:val="22"/>
                <w:lang w:val="fr-FR"/>
              </w:rPr>
              <w:t>Des partenaires gouvernementaux tels que le Gouvernement du Chili, et des institutions financières</w:t>
            </w:r>
            <w:r w:rsidR="003B297E" w:rsidRPr="00B62618">
              <w:rPr>
                <w:sz w:val="22"/>
                <w:szCs w:val="22"/>
                <w:lang w:val="fr-FR"/>
              </w:rPr>
              <w:t xml:space="preserve"> comme la Banque </w:t>
            </w:r>
            <w:r w:rsidR="003B297E" w:rsidRPr="00B62618">
              <w:rPr>
                <w:sz w:val="22"/>
                <w:szCs w:val="22"/>
                <w:lang w:val="fr-FR"/>
              </w:rPr>
              <w:lastRenderedPageBreak/>
              <w:t>centraméricaine d’intégration économique (BCIE) et l’Association andine de développement, des organisations</w:t>
            </w:r>
            <w:r w:rsidR="00B62618">
              <w:rPr>
                <w:sz w:val="22"/>
                <w:szCs w:val="22"/>
                <w:lang w:val="fr-FR"/>
              </w:rPr>
              <w:t xml:space="preserve"> </w:t>
            </w:r>
            <w:r w:rsidR="003B297E" w:rsidRPr="00B62618">
              <w:rPr>
                <w:sz w:val="22"/>
                <w:szCs w:val="22"/>
                <w:lang w:val="fr-FR"/>
              </w:rPr>
              <w:t>régionales regroupant des MPME comme l’Agence caribéenne de développement de l’exportation</w:t>
            </w:r>
            <w:r w:rsidRPr="00B62618">
              <w:rPr>
                <w:sz w:val="22"/>
                <w:szCs w:val="22"/>
                <w:lang w:val="fr-FR"/>
              </w:rPr>
              <w:t xml:space="preserve"> </w:t>
            </w:r>
            <w:r w:rsidR="003B297E" w:rsidRPr="00B62618">
              <w:rPr>
                <w:sz w:val="22"/>
                <w:szCs w:val="22"/>
                <w:lang w:val="fr-FR"/>
              </w:rPr>
              <w:t>et le Centre régional de promotion de la micro, petite et moyenne entreprise</w:t>
            </w:r>
            <w:r w:rsidR="00EA177C" w:rsidRPr="00B62618">
              <w:rPr>
                <w:sz w:val="22"/>
                <w:szCs w:val="22"/>
                <w:lang w:val="fr-FR"/>
              </w:rPr>
              <w:t xml:space="preserve"> </w:t>
            </w:r>
            <w:r w:rsidR="003B297E" w:rsidRPr="00B62618">
              <w:rPr>
                <w:sz w:val="22"/>
                <w:szCs w:val="22"/>
                <w:lang w:val="fr-FR"/>
              </w:rPr>
              <w:t>(</w:t>
            </w:r>
            <w:r w:rsidR="00EA177C" w:rsidRPr="00B62618">
              <w:rPr>
                <w:sz w:val="22"/>
                <w:szCs w:val="22"/>
                <w:lang w:val="fr-FR"/>
              </w:rPr>
              <w:t>CENPROMYPE</w:t>
            </w:r>
            <w:r w:rsidR="003B297E" w:rsidRPr="00B62618">
              <w:rPr>
                <w:sz w:val="22"/>
                <w:szCs w:val="22"/>
                <w:lang w:val="fr-FR"/>
              </w:rPr>
              <w:t>)</w:t>
            </w:r>
          </w:p>
          <w:p w14:paraId="73459EDC" w14:textId="77777777" w:rsidR="00EA177C" w:rsidRPr="00B62618" w:rsidRDefault="00EA177C" w:rsidP="00493A9B">
            <w:pPr>
              <w:rPr>
                <w:sz w:val="22"/>
                <w:szCs w:val="22"/>
                <w:lang w:val="fr-FR"/>
              </w:rPr>
            </w:pPr>
          </w:p>
        </w:tc>
      </w:tr>
      <w:tr w:rsidR="00EA177C" w:rsidRPr="00121D09" w14:paraId="0D10521B" w14:textId="77777777" w:rsidTr="006D77D6">
        <w:trPr>
          <w:jc w:val="center"/>
        </w:trPr>
        <w:tc>
          <w:tcPr>
            <w:tcW w:w="3405" w:type="dxa"/>
          </w:tcPr>
          <w:p w14:paraId="13A228E1" w14:textId="7B9D8D5D" w:rsidR="00EA177C" w:rsidRPr="00B62618" w:rsidRDefault="003B297E" w:rsidP="00493A9B">
            <w:pPr>
              <w:pBdr>
                <w:top w:val="nil"/>
                <w:left w:val="nil"/>
                <w:bottom w:val="nil"/>
                <w:right w:val="nil"/>
                <w:between w:val="nil"/>
                <w:bar w:val="nil"/>
              </w:pBdr>
              <w:rPr>
                <w:sz w:val="22"/>
                <w:szCs w:val="22"/>
                <w:lang w:val="fr-FR"/>
              </w:rPr>
            </w:pPr>
            <w:r w:rsidRPr="00B62618">
              <w:rPr>
                <w:sz w:val="22"/>
                <w:szCs w:val="22"/>
                <w:lang w:val="fr-FR"/>
              </w:rPr>
              <w:lastRenderedPageBreak/>
              <w:t xml:space="preserve">Processus de préparation </w:t>
            </w:r>
            <w:r w:rsidR="00991635" w:rsidRPr="00B62618">
              <w:rPr>
                <w:sz w:val="22"/>
                <w:szCs w:val="22"/>
                <w:lang w:val="fr-FR"/>
              </w:rPr>
              <w:t xml:space="preserve">et tenue du Septième Dialogue interaméricain des responsables de MPME de haut niveau </w:t>
            </w:r>
          </w:p>
          <w:p w14:paraId="4F06FF94" w14:textId="77777777" w:rsidR="00EA177C" w:rsidRPr="00B62618" w:rsidRDefault="00EA177C" w:rsidP="00493A9B">
            <w:pPr>
              <w:rPr>
                <w:sz w:val="22"/>
                <w:szCs w:val="22"/>
                <w:lang w:val="fr-FR"/>
              </w:rPr>
            </w:pPr>
          </w:p>
        </w:tc>
        <w:tc>
          <w:tcPr>
            <w:tcW w:w="4140" w:type="dxa"/>
          </w:tcPr>
          <w:p w14:paraId="5A87A150" w14:textId="7FC19AFD" w:rsidR="00EA177C" w:rsidRPr="00B62618" w:rsidRDefault="00991635" w:rsidP="00493A9B">
            <w:pPr>
              <w:tabs>
                <w:tab w:val="left" w:pos="177"/>
              </w:tabs>
              <w:rPr>
                <w:rFonts w:eastAsia="Calibri"/>
                <w:sz w:val="22"/>
                <w:szCs w:val="22"/>
                <w:lang w:val="fr-FR"/>
              </w:rPr>
            </w:pPr>
            <w:r w:rsidRPr="00B62618">
              <w:rPr>
                <w:sz w:val="22"/>
                <w:szCs w:val="22"/>
                <w:lang w:val="fr-FR"/>
              </w:rPr>
              <w:t xml:space="preserve">Réunions virtuelles portant principalement sur la résilience des PME, la continuité des affaires et la relève après la pandémie de COVID-19 : réponses des PME en matière de politiques </w:t>
            </w:r>
          </w:p>
          <w:p w14:paraId="20445E05" w14:textId="77777777" w:rsidR="00EA177C" w:rsidRPr="00B62618" w:rsidRDefault="00EA177C" w:rsidP="00493A9B">
            <w:pPr>
              <w:rPr>
                <w:sz w:val="22"/>
                <w:szCs w:val="22"/>
                <w:lang w:val="fr-FR"/>
              </w:rPr>
            </w:pPr>
          </w:p>
        </w:tc>
        <w:tc>
          <w:tcPr>
            <w:tcW w:w="3420" w:type="dxa"/>
          </w:tcPr>
          <w:p w14:paraId="79D7A521" w14:textId="4C1A546F" w:rsidR="00EA177C" w:rsidRPr="00B62618" w:rsidRDefault="00991635" w:rsidP="00493A9B">
            <w:pPr>
              <w:rPr>
                <w:sz w:val="22"/>
                <w:szCs w:val="22"/>
                <w:lang w:val="fr-FR"/>
              </w:rPr>
            </w:pPr>
            <w:r w:rsidRPr="00B62618">
              <w:rPr>
                <w:sz w:val="22"/>
                <w:szCs w:val="22"/>
                <w:lang w:val="fr-FR"/>
              </w:rPr>
              <w:t xml:space="preserve">Élaboration et adoption d’un cadre stratégique pour les Centres de développement des petites entreprises </w:t>
            </w:r>
            <w:r w:rsidR="0067192F" w:rsidRPr="00B62618">
              <w:rPr>
                <w:sz w:val="22"/>
                <w:szCs w:val="22"/>
                <w:lang w:val="fr-FR"/>
              </w:rPr>
              <w:t>(</w:t>
            </w:r>
            <w:r w:rsidR="00EA177C" w:rsidRPr="00B62618">
              <w:rPr>
                <w:sz w:val="22"/>
                <w:szCs w:val="22"/>
                <w:lang w:val="fr-FR"/>
              </w:rPr>
              <w:t>SBDC</w:t>
            </w:r>
            <w:r w:rsidR="0067192F" w:rsidRPr="00B62618">
              <w:rPr>
                <w:sz w:val="22"/>
                <w:szCs w:val="22"/>
                <w:lang w:val="fr-FR"/>
              </w:rPr>
              <w:t xml:space="preserve">) par les responsables de MPMS dans les nouveaux pays bénéficiaires que sont la Bolivie, l’Équateur et le </w:t>
            </w:r>
            <w:r w:rsidR="00EA177C" w:rsidRPr="00B62618">
              <w:rPr>
                <w:sz w:val="22"/>
                <w:szCs w:val="22"/>
                <w:lang w:val="fr-FR"/>
              </w:rPr>
              <w:t>Paraguay</w:t>
            </w:r>
          </w:p>
          <w:p w14:paraId="60E6CF7C" w14:textId="77777777" w:rsidR="00EA177C" w:rsidRPr="00B62618" w:rsidRDefault="00EA177C" w:rsidP="00493A9B">
            <w:pPr>
              <w:rPr>
                <w:sz w:val="22"/>
                <w:szCs w:val="22"/>
                <w:lang w:val="fr-FR"/>
              </w:rPr>
            </w:pPr>
          </w:p>
        </w:tc>
        <w:tc>
          <w:tcPr>
            <w:tcW w:w="2880" w:type="dxa"/>
          </w:tcPr>
          <w:p w14:paraId="11B2A27D" w14:textId="77777777" w:rsidR="00EA177C" w:rsidRPr="00B62618" w:rsidRDefault="00EA177C" w:rsidP="00493A9B">
            <w:pPr>
              <w:rPr>
                <w:sz w:val="22"/>
                <w:szCs w:val="22"/>
                <w:lang w:val="fr-FR"/>
              </w:rPr>
            </w:pPr>
          </w:p>
        </w:tc>
      </w:tr>
      <w:tr w:rsidR="00EA177C" w:rsidRPr="00121D09" w14:paraId="0EF46CC7" w14:textId="77777777" w:rsidTr="006D77D6">
        <w:trPr>
          <w:jc w:val="center"/>
        </w:trPr>
        <w:tc>
          <w:tcPr>
            <w:tcW w:w="3405" w:type="dxa"/>
          </w:tcPr>
          <w:p w14:paraId="462A8E3B" w14:textId="0A7BCC53" w:rsidR="00EA177C" w:rsidRPr="00B62618" w:rsidRDefault="0067192F" w:rsidP="00493A9B">
            <w:pPr>
              <w:rPr>
                <w:b/>
                <w:sz w:val="22"/>
                <w:szCs w:val="22"/>
                <w:lang w:val="fr-FR"/>
              </w:rPr>
            </w:pPr>
            <w:r w:rsidRPr="00B62618">
              <w:rPr>
                <w:b/>
                <w:sz w:val="22"/>
                <w:szCs w:val="22"/>
                <w:lang w:val="fr-FR"/>
              </w:rPr>
              <w:t>Programme des Centres de développement des petites entreprises de la Caraïbe </w:t>
            </w:r>
            <w:r w:rsidR="00EA177C" w:rsidRPr="00B62618">
              <w:rPr>
                <w:b/>
                <w:sz w:val="22"/>
                <w:szCs w:val="22"/>
                <w:lang w:val="fr-FR"/>
              </w:rPr>
              <w:t xml:space="preserve">: </w:t>
            </w:r>
          </w:p>
          <w:p w14:paraId="699F3EA7" w14:textId="46DF1A11" w:rsidR="00EA177C" w:rsidRPr="00B62618" w:rsidRDefault="00EA177C" w:rsidP="006D2F9E">
            <w:pPr>
              <w:rPr>
                <w:sz w:val="22"/>
                <w:szCs w:val="22"/>
                <w:lang w:val="fr-FR"/>
              </w:rPr>
            </w:pPr>
            <w:r w:rsidRPr="00B62618">
              <w:rPr>
                <w:sz w:val="22"/>
                <w:szCs w:val="22"/>
                <w:lang w:val="fr-FR"/>
              </w:rPr>
              <w:t>Transfer</w:t>
            </w:r>
            <w:r w:rsidR="0067192F" w:rsidRPr="00B62618">
              <w:rPr>
                <w:sz w:val="22"/>
                <w:szCs w:val="22"/>
                <w:lang w:val="fr-FR"/>
              </w:rPr>
              <w:t xml:space="preserve">t de meilleures pratiques </w:t>
            </w:r>
            <w:r w:rsidR="006D2F9E" w:rsidRPr="00B62618">
              <w:rPr>
                <w:sz w:val="22"/>
                <w:szCs w:val="22"/>
                <w:lang w:val="fr-FR"/>
              </w:rPr>
              <w:t xml:space="preserve">du Programme des Centres de développement des petites entreprises de la Caraïbe à trois nouveaux États membres de l’OEA : la Bolivie, l’Équateur et le </w:t>
            </w:r>
            <w:r w:rsidRPr="00B62618">
              <w:rPr>
                <w:sz w:val="22"/>
                <w:szCs w:val="22"/>
                <w:lang w:val="fr-FR"/>
              </w:rPr>
              <w:t>Paraguay.</w:t>
            </w:r>
          </w:p>
        </w:tc>
        <w:tc>
          <w:tcPr>
            <w:tcW w:w="4140" w:type="dxa"/>
          </w:tcPr>
          <w:p w14:paraId="5D1A9F68" w14:textId="477403F6" w:rsidR="00EA177C" w:rsidRPr="00B62618" w:rsidRDefault="006D2F9E" w:rsidP="00241C33">
            <w:pPr>
              <w:tabs>
                <w:tab w:val="left" w:pos="177"/>
              </w:tabs>
              <w:rPr>
                <w:sz w:val="22"/>
                <w:szCs w:val="22"/>
                <w:lang w:val="fr-FR"/>
              </w:rPr>
            </w:pPr>
            <w:r w:rsidRPr="00B62618">
              <w:rPr>
                <w:sz w:val="22"/>
                <w:szCs w:val="22"/>
                <w:lang w:val="fr-FR"/>
              </w:rPr>
              <w:t xml:space="preserve">Le cadre des Centres de développement des petites entreprises de la Caraïbe sera appliqué à d’autres programmes de développement des MPME existants et les complètera. Ces programmes comprennent notamment des projets de donateurs multilatéraux </w:t>
            </w:r>
            <w:r w:rsidR="00A942C9" w:rsidRPr="00B62618">
              <w:rPr>
                <w:sz w:val="22"/>
                <w:szCs w:val="22"/>
                <w:lang w:val="fr-FR"/>
              </w:rPr>
              <w:t>comme la Banque interaméricaine de développement</w:t>
            </w:r>
            <w:r w:rsidR="00241C33" w:rsidRPr="00B62618">
              <w:rPr>
                <w:sz w:val="22"/>
                <w:szCs w:val="22"/>
                <w:lang w:val="fr-FR"/>
              </w:rPr>
              <w:t xml:space="preserve"> en Bolivie, et Équateur et au </w:t>
            </w:r>
            <w:r w:rsidR="00EA177C" w:rsidRPr="00B62618">
              <w:rPr>
                <w:sz w:val="22"/>
                <w:szCs w:val="22"/>
                <w:lang w:val="fr-FR"/>
              </w:rPr>
              <w:t>Paraguay</w:t>
            </w:r>
            <w:r w:rsidR="00241C33" w:rsidRPr="00B62618">
              <w:rPr>
                <w:sz w:val="22"/>
                <w:szCs w:val="22"/>
                <w:lang w:val="fr-FR"/>
              </w:rPr>
              <w:t xml:space="preserve">. Cela permettra d’appliquer des leçons tirées à la conception de programmes de MPME plus forts dans ces pays. </w:t>
            </w:r>
            <w:r w:rsidR="00EA177C" w:rsidRPr="00B62618">
              <w:rPr>
                <w:sz w:val="22"/>
                <w:szCs w:val="22"/>
                <w:lang w:val="fr-FR"/>
              </w:rPr>
              <w:t xml:space="preserve"> </w:t>
            </w:r>
          </w:p>
        </w:tc>
        <w:tc>
          <w:tcPr>
            <w:tcW w:w="3420" w:type="dxa"/>
          </w:tcPr>
          <w:p w14:paraId="616248A6" w14:textId="3B2BEF31" w:rsidR="00EA177C" w:rsidRPr="00B62618" w:rsidRDefault="00241C33" w:rsidP="00493A9B">
            <w:pPr>
              <w:rPr>
                <w:sz w:val="22"/>
                <w:szCs w:val="22"/>
                <w:lang w:val="fr-FR"/>
              </w:rPr>
            </w:pPr>
            <w:r w:rsidRPr="00B62618">
              <w:rPr>
                <w:sz w:val="22"/>
                <w:szCs w:val="22"/>
                <w:lang w:val="fr-FR"/>
              </w:rPr>
              <w:t>Amélioration de l’accès aux marchés et de l’accès aux finances pour les MPME de la Cara</w:t>
            </w:r>
            <w:r w:rsidR="008D57E7" w:rsidRPr="00B62618">
              <w:rPr>
                <w:sz w:val="22"/>
                <w:szCs w:val="22"/>
                <w:lang w:val="fr-FR"/>
              </w:rPr>
              <w:t xml:space="preserve">ïbe, </w:t>
            </w:r>
            <w:r w:rsidR="00D54B14" w:rsidRPr="00B62618">
              <w:rPr>
                <w:sz w:val="22"/>
                <w:szCs w:val="22"/>
                <w:lang w:val="fr-FR"/>
              </w:rPr>
              <w:t>en mettant l’accent sur</w:t>
            </w:r>
            <w:r w:rsidR="008D57E7" w:rsidRPr="00B62618">
              <w:rPr>
                <w:sz w:val="22"/>
                <w:szCs w:val="22"/>
                <w:lang w:val="fr-FR"/>
              </w:rPr>
              <w:t xml:space="preserve"> les femmes et les jeunes entrepreneurs</w:t>
            </w:r>
            <w:r w:rsidRPr="00B62618">
              <w:rPr>
                <w:sz w:val="22"/>
                <w:szCs w:val="22"/>
                <w:lang w:val="fr-FR"/>
              </w:rPr>
              <w:t xml:space="preserve"> </w:t>
            </w:r>
          </w:p>
          <w:p w14:paraId="1289E96A" w14:textId="77777777" w:rsidR="00EA177C" w:rsidRPr="00B62618" w:rsidRDefault="00EA177C" w:rsidP="00493A9B">
            <w:pPr>
              <w:rPr>
                <w:sz w:val="22"/>
                <w:szCs w:val="22"/>
                <w:lang w:val="fr-FR"/>
              </w:rPr>
            </w:pPr>
          </w:p>
        </w:tc>
        <w:tc>
          <w:tcPr>
            <w:tcW w:w="2880" w:type="dxa"/>
          </w:tcPr>
          <w:p w14:paraId="4FCC4A91" w14:textId="79581284" w:rsidR="00EA177C" w:rsidRPr="00B62618" w:rsidRDefault="00EA177C" w:rsidP="00493A9B">
            <w:pPr>
              <w:rPr>
                <w:sz w:val="22"/>
                <w:szCs w:val="22"/>
                <w:lang w:val="fr-FR"/>
              </w:rPr>
            </w:pPr>
            <w:r w:rsidRPr="00B62618">
              <w:rPr>
                <w:b/>
                <w:sz w:val="22"/>
                <w:szCs w:val="22"/>
                <w:lang w:val="fr-FR"/>
              </w:rPr>
              <w:t>Extern</w:t>
            </w:r>
            <w:r w:rsidR="008D57E7" w:rsidRPr="00B62618">
              <w:rPr>
                <w:b/>
                <w:sz w:val="22"/>
                <w:szCs w:val="22"/>
                <w:lang w:val="fr-FR"/>
              </w:rPr>
              <w:t>e </w:t>
            </w:r>
            <w:r w:rsidRPr="00B62618">
              <w:rPr>
                <w:b/>
                <w:sz w:val="22"/>
                <w:szCs w:val="22"/>
                <w:lang w:val="fr-FR"/>
              </w:rPr>
              <w:t>:</w:t>
            </w:r>
          </w:p>
          <w:p w14:paraId="6B558C51" w14:textId="2353885B" w:rsidR="00EA177C" w:rsidRPr="00B62618" w:rsidRDefault="008D57E7" w:rsidP="00493A9B">
            <w:pPr>
              <w:tabs>
                <w:tab w:val="left" w:pos="177"/>
              </w:tabs>
              <w:rPr>
                <w:sz w:val="22"/>
                <w:szCs w:val="22"/>
                <w:lang w:val="fr-FR"/>
              </w:rPr>
            </w:pPr>
            <w:r w:rsidRPr="00B62618">
              <w:rPr>
                <w:sz w:val="22"/>
                <w:szCs w:val="22"/>
                <w:lang w:val="fr-FR"/>
              </w:rPr>
              <w:t>La Banque interaméricaine de développement (BID</w:t>
            </w:r>
            <w:proofErr w:type="gramStart"/>
            <w:r w:rsidRPr="00B62618">
              <w:rPr>
                <w:sz w:val="22"/>
                <w:szCs w:val="22"/>
                <w:lang w:val="fr-FR"/>
              </w:rPr>
              <w:t>);</w:t>
            </w:r>
            <w:proofErr w:type="gramEnd"/>
            <w:r w:rsidRPr="00B62618">
              <w:rPr>
                <w:sz w:val="22"/>
                <w:szCs w:val="22"/>
                <w:lang w:val="fr-FR"/>
              </w:rPr>
              <w:t xml:space="preserve"> le </w:t>
            </w:r>
            <w:r w:rsidR="00EA177C" w:rsidRPr="00B62618">
              <w:rPr>
                <w:i/>
                <w:sz w:val="22"/>
                <w:szCs w:val="22"/>
                <w:lang w:val="fr-FR"/>
              </w:rPr>
              <w:t>Bureau of Western Hemisphere Affairs</w:t>
            </w:r>
            <w:r w:rsidRPr="00B62618">
              <w:rPr>
                <w:sz w:val="22"/>
                <w:szCs w:val="22"/>
                <w:lang w:val="fr-FR"/>
              </w:rPr>
              <w:t xml:space="preserve"> du Département d’État des États-Unis; </w:t>
            </w:r>
            <w:r w:rsidR="00673776" w:rsidRPr="00B62618">
              <w:rPr>
                <w:sz w:val="22"/>
                <w:szCs w:val="22"/>
                <w:lang w:val="fr-FR"/>
              </w:rPr>
              <w:t>le programme</w:t>
            </w:r>
            <w:r w:rsidR="00EA177C" w:rsidRPr="00B62618">
              <w:rPr>
                <w:sz w:val="22"/>
                <w:szCs w:val="22"/>
                <w:lang w:val="fr-FR"/>
              </w:rPr>
              <w:t xml:space="preserve"> </w:t>
            </w:r>
            <w:r w:rsidR="00EA177C" w:rsidRPr="00B62618">
              <w:rPr>
                <w:i/>
                <w:sz w:val="22"/>
                <w:szCs w:val="22"/>
                <w:lang w:val="fr-FR"/>
              </w:rPr>
              <w:t xml:space="preserve">Compete </w:t>
            </w:r>
            <w:r w:rsidR="00B62618" w:rsidRPr="00B62618">
              <w:rPr>
                <w:i/>
                <w:sz w:val="22"/>
                <w:szCs w:val="22"/>
                <w:lang w:val="fr-FR"/>
              </w:rPr>
              <w:t>Caribbean Partnership</w:t>
            </w:r>
            <w:r w:rsidR="00EA177C" w:rsidRPr="00B62618">
              <w:rPr>
                <w:i/>
                <w:sz w:val="22"/>
                <w:szCs w:val="22"/>
                <w:lang w:val="fr-FR"/>
              </w:rPr>
              <w:t xml:space="preserve"> Facility</w:t>
            </w:r>
            <w:r w:rsidR="00673776" w:rsidRPr="00B62618">
              <w:rPr>
                <w:i/>
                <w:sz w:val="22"/>
                <w:szCs w:val="22"/>
                <w:lang w:val="fr-FR"/>
              </w:rPr>
              <w:t xml:space="preserve"> </w:t>
            </w:r>
            <w:r w:rsidR="00673776" w:rsidRPr="00B62618">
              <w:rPr>
                <w:sz w:val="22"/>
                <w:szCs w:val="22"/>
                <w:lang w:val="fr-FR"/>
              </w:rPr>
              <w:t>de la BID</w:t>
            </w:r>
          </w:p>
          <w:p w14:paraId="4BF4F1FE" w14:textId="77777777" w:rsidR="00EA177C" w:rsidRPr="00B62618" w:rsidRDefault="00EA177C" w:rsidP="00493A9B">
            <w:pPr>
              <w:rPr>
                <w:sz w:val="22"/>
                <w:szCs w:val="22"/>
                <w:lang w:val="fr-FR"/>
              </w:rPr>
            </w:pPr>
          </w:p>
        </w:tc>
      </w:tr>
      <w:tr w:rsidR="00EA177C" w:rsidRPr="00121D09" w14:paraId="675BA4C3" w14:textId="77777777" w:rsidTr="006D77D6">
        <w:trPr>
          <w:jc w:val="center"/>
        </w:trPr>
        <w:tc>
          <w:tcPr>
            <w:tcW w:w="3405" w:type="dxa"/>
          </w:tcPr>
          <w:p w14:paraId="51FDB70E" w14:textId="3EE82B4B" w:rsidR="00EA177C" w:rsidRPr="00B62618" w:rsidRDefault="007914FD" w:rsidP="00D54B14">
            <w:pPr>
              <w:rPr>
                <w:sz w:val="22"/>
                <w:szCs w:val="22"/>
                <w:lang w:val="fr-FR"/>
              </w:rPr>
            </w:pPr>
            <w:r w:rsidRPr="00B62618">
              <w:rPr>
                <w:sz w:val="22"/>
                <w:szCs w:val="22"/>
                <w:lang w:val="fr-FR"/>
              </w:rPr>
              <w:t>Services ciblés d’a</w:t>
            </w:r>
            <w:r w:rsidR="00673776" w:rsidRPr="00B62618">
              <w:rPr>
                <w:sz w:val="22"/>
                <w:szCs w:val="22"/>
                <w:lang w:val="fr-FR"/>
              </w:rPr>
              <w:t>pport d’assistance technique et de développement des affaires pour améliorer l’accès au marché et l’</w:t>
            </w:r>
            <w:r w:rsidRPr="00B62618">
              <w:rPr>
                <w:sz w:val="22"/>
                <w:szCs w:val="22"/>
                <w:lang w:val="fr-FR"/>
              </w:rPr>
              <w:t>accès</w:t>
            </w:r>
            <w:r w:rsidR="00D54B14" w:rsidRPr="00B62618">
              <w:rPr>
                <w:sz w:val="22"/>
                <w:szCs w:val="22"/>
                <w:lang w:val="fr-FR"/>
              </w:rPr>
              <w:t xml:space="preserve"> à des opportunités de </w:t>
            </w:r>
            <w:r w:rsidR="00D54B14" w:rsidRPr="00B62618">
              <w:rPr>
                <w:sz w:val="22"/>
                <w:szCs w:val="22"/>
                <w:lang w:val="fr-FR"/>
              </w:rPr>
              <w:lastRenderedPageBreak/>
              <w:t>financement à des petites entreprises en mettant l’accent sur les femmes et les jeunes entrepreneurs dans des pays bénéficiaires du projet des Centres de développement des petites entreprises</w:t>
            </w:r>
            <w:r w:rsidR="00673776" w:rsidRPr="00B62618">
              <w:rPr>
                <w:sz w:val="22"/>
                <w:szCs w:val="22"/>
                <w:lang w:val="fr-FR"/>
              </w:rPr>
              <w:t xml:space="preserve"> </w:t>
            </w:r>
          </w:p>
        </w:tc>
        <w:tc>
          <w:tcPr>
            <w:tcW w:w="4140" w:type="dxa"/>
          </w:tcPr>
          <w:p w14:paraId="0D6466BC" w14:textId="12BE52F8" w:rsidR="00EA177C" w:rsidRPr="00B62618" w:rsidRDefault="00D54B14" w:rsidP="00715B8B">
            <w:pPr>
              <w:rPr>
                <w:sz w:val="22"/>
                <w:szCs w:val="22"/>
                <w:lang w:val="fr-FR"/>
              </w:rPr>
            </w:pPr>
            <w:r w:rsidRPr="00B62618">
              <w:rPr>
                <w:sz w:val="22"/>
                <w:szCs w:val="22"/>
                <w:lang w:val="fr-FR"/>
              </w:rPr>
              <w:lastRenderedPageBreak/>
              <w:t xml:space="preserve">Aide technique spécialisée et renforcement des capacités </w:t>
            </w:r>
            <w:r w:rsidR="00715B8B" w:rsidRPr="00B62618">
              <w:rPr>
                <w:sz w:val="22"/>
                <w:szCs w:val="22"/>
                <w:lang w:val="fr-FR"/>
              </w:rPr>
              <w:t>pour les bénéficiaires du projet des Centres de développement des petites entreprises, pour améliorer l’</w:t>
            </w:r>
            <w:r w:rsidR="00BC64A6" w:rsidRPr="00B62618">
              <w:rPr>
                <w:sz w:val="22"/>
                <w:szCs w:val="22"/>
                <w:lang w:val="fr-FR"/>
              </w:rPr>
              <w:t>accès aux marchés</w:t>
            </w:r>
            <w:r w:rsidR="00715B8B" w:rsidRPr="00B62618">
              <w:rPr>
                <w:sz w:val="22"/>
                <w:szCs w:val="22"/>
                <w:lang w:val="fr-FR"/>
              </w:rPr>
              <w:t xml:space="preserve"> et au financement</w:t>
            </w:r>
            <w:r w:rsidRPr="00B62618">
              <w:rPr>
                <w:sz w:val="22"/>
                <w:szCs w:val="22"/>
                <w:lang w:val="fr-FR"/>
              </w:rPr>
              <w:t xml:space="preserve"> </w:t>
            </w:r>
          </w:p>
        </w:tc>
        <w:tc>
          <w:tcPr>
            <w:tcW w:w="3420" w:type="dxa"/>
          </w:tcPr>
          <w:p w14:paraId="5FC5FB2F" w14:textId="25583EBC" w:rsidR="00EA177C" w:rsidRPr="00B62618" w:rsidRDefault="00715B8B" w:rsidP="00493A9B">
            <w:pPr>
              <w:rPr>
                <w:sz w:val="22"/>
                <w:szCs w:val="22"/>
                <w:lang w:val="fr-FR"/>
              </w:rPr>
            </w:pPr>
            <w:r w:rsidRPr="00B62618">
              <w:rPr>
                <w:sz w:val="22"/>
                <w:szCs w:val="22"/>
                <w:lang w:val="fr-FR"/>
              </w:rPr>
              <w:t xml:space="preserve">Identification de 3 priorités concrètes au Onzième Forum de la compétitivité dans les Amériques, pour mettre en place avec des partenaires du </w:t>
            </w:r>
            <w:r w:rsidR="00BC64A6" w:rsidRPr="00B62618">
              <w:rPr>
                <w:sz w:val="22"/>
                <w:szCs w:val="22"/>
                <w:lang w:val="fr-FR"/>
              </w:rPr>
              <w:t xml:space="preserve">Réseau </w:t>
            </w:r>
            <w:r w:rsidR="00BC64A6" w:rsidRPr="00B62618">
              <w:rPr>
                <w:sz w:val="22"/>
                <w:szCs w:val="22"/>
                <w:lang w:val="fr-FR"/>
              </w:rPr>
              <w:lastRenderedPageBreak/>
              <w:t>interaméricain de compétitivité (RIAC) pour aider à la relance de l’économie et favoriser la résilience dans les Amériques</w:t>
            </w:r>
            <w:r w:rsidR="00EA177C" w:rsidRPr="00B62618">
              <w:rPr>
                <w:sz w:val="22"/>
                <w:szCs w:val="22"/>
                <w:lang w:val="fr-FR"/>
              </w:rPr>
              <w:t xml:space="preserve"> </w:t>
            </w:r>
          </w:p>
          <w:p w14:paraId="49421F74" w14:textId="77777777" w:rsidR="00EA177C" w:rsidRPr="00B62618" w:rsidRDefault="00EA177C" w:rsidP="00493A9B">
            <w:pPr>
              <w:rPr>
                <w:sz w:val="22"/>
                <w:szCs w:val="22"/>
                <w:lang w:val="fr-FR"/>
              </w:rPr>
            </w:pPr>
          </w:p>
        </w:tc>
        <w:tc>
          <w:tcPr>
            <w:tcW w:w="2880" w:type="dxa"/>
          </w:tcPr>
          <w:p w14:paraId="08BD75C4" w14:textId="77777777" w:rsidR="00EA177C" w:rsidRPr="00B62618" w:rsidRDefault="00EA177C" w:rsidP="00493A9B">
            <w:pPr>
              <w:rPr>
                <w:sz w:val="22"/>
                <w:szCs w:val="22"/>
                <w:lang w:val="fr-FR"/>
              </w:rPr>
            </w:pPr>
          </w:p>
        </w:tc>
      </w:tr>
      <w:tr w:rsidR="00EA177C" w:rsidRPr="00121D09" w14:paraId="3AC3A1D6" w14:textId="77777777" w:rsidTr="006D77D6">
        <w:trPr>
          <w:jc w:val="center"/>
        </w:trPr>
        <w:tc>
          <w:tcPr>
            <w:tcW w:w="3405" w:type="dxa"/>
          </w:tcPr>
          <w:p w14:paraId="41CCAE66" w14:textId="6393B5CA" w:rsidR="00EA177C" w:rsidRPr="00B62618" w:rsidRDefault="00EA177C" w:rsidP="00493A9B">
            <w:pPr>
              <w:tabs>
                <w:tab w:val="left" w:pos="177"/>
              </w:tabs>
              <w:rPr>
                <w:b/>
                <w:sz w:val="22"/>
                <w:szCs w:val="22"/>
                <w:lang w:val="fr-FR"/>
              </w:rPr>
            </w:pPr>
            <w:r w:rsidRPr="00B62618">
              <w:rPr>
                <w:b/>
                <w:sz w:val="22"/>
                <w:szCs w:val="22"/>
                <w:lang w:val="fr-FR"/>
              </w:rPr>
              <w:t>Comp</w:t>
            </w:r>
            <w:r w:rsidR="00BC64A6" w:rsidRPr="00B62618">
              <w:rPr>
                <w:b/>
                <w:sz w:val="22"/>
                <w:szCs w:val="22"/>
                <w:lang w:val="fr-FR"/>
              </w:rPr>
              <w:t>étitivité</w:t>
            </w:r>
          </w:p>
          <w:p w14:paraId="644B458F" w14:textId="768996F7" w:rsidR="00EA177C" w:rsidRPr="00B62618" w:rsidRDefault="00BC64A6" w:rsidP="00493A9B">
            <w:pPr>
              <w:tabs>
                <w:tab w:val="left" w:pos="177"/>
              </w:tabs>
              <w:rPr>
                <w:sz w:val="22"/>
                <w:szCs w:val="22"/>
                <w:lang w:val="fr-FR"/>
              </w:rPr>
            </w:pPr>
            <w:r w:rsidRPr="00B62618">
              <w:rPr>
                <w:sz w:val="22"/>
                <w:szCs w:val="22"/>
                <w:lang w:val="fr-FR"/>
              </w:rPr>
              <w:t xml:space="preserve">L’édition 2021 du Forum de la compétitivité dans les Amériques </w:t>
            </w:r>
            <w:r w:rsidR="00EA177C" w:rsidRPr="00B62618">
              <w:rPr>
                <w:sz w:val="22"/>
                <w:szCs w:val="22"/>
                <w:lang w:val="fr-FR"/>
              </w:rPr>
              <w:t>(ACF)</w:t>
            </w:r>
            <w:r w:rsidRPr="00B62618">
              <w:rPr>
                <w:sz w:val="22"/>
                <w:szCs w:val="22"/>
                <w:lang w:val="fr-FR"/>
              </w:rPr>
              <w:t xml:space="preserve"> et de la Réunion annuelle des ministres, des hauts fonctionnaires</w:t>
            </w:r>
            <w:r w:rsidR="000C3EBF" w:rsidRPr="00B62618">
              <w:rPr>
                <w:sz w:val="22"/>
                <w:szCs w:val="22"/>
                <w:lang w:val="fr-FR"/>
              </w:rPr>
              <w:t xml:space="preserve"> et des conseils de compétitivité des Amériques organisée par le RIAC</w:t>
            </w:r>
            <w:r w:rsidR="00A94045" w:rsidRPr="00B62618">
              <w:rPr>
                <w:sz w:val="22"/>
                <w:szCs w:val="22"/>
                <w:lang w:val="fr-FR"/>
              </w:rPr>
              <w:t xml:space="preserve"> auront lieu virtuellement le 25 février 2021sous la direction du Gouvernement de l’Équateur, en sa qualité de Président pro tempore du RIAC.</w:t>
            </w:r>
            <w:r w:rsidR="00EA177C" w:rsidRPr="00B62618">
              <w:rPr>
                <w:sz w:val="22"/>
                <w:szCs w:val="22"/>
                <w:lang w:val="fr-FR"/>
              </w:rPr>
              <w:t xml:space="preserve"> </w:t>
            </w:r>
          </w:p>
          <w:p w14:paraId="36B87C3B" w14:textId="77777777" w:rsidR="00EA177C" w:rsidRPr="00B62618" w:rsidRDefault="00EA177C" w:rsidP="00493A9B">
            <w:pPr>
              <w:rPr>
                <w:sz w:val="22"/>
                <w:szCs w:val="22"/>
                <w:lang w:val="fr-FR"/>
              </w:rPr>
            </w:pPr>
          </w:p>
        </w:tc>
        <w:tc>
          <w:tcPr>
            <w:tcW w:w="4140" w:type="dxa"/>
          </w:tcPr>
          <w:p w14:paraId="5E82B1E2" w14:textId="0453E5D6" w:rsidR="00EA177C" w:rsidRPr="00B62618" w:rsidRDefault="00A94045" w:rsidP="00493A9B">
            <w:pPr>
              <w:rPr>
                <w:rFonts w:eastAsia="Calibri"/>
                <w:sz w:val="22"/>
                <w:szCs w:val="22"/>
                <w:lang w:val="fr-FR"/>
              </w:rPr>
            </w:pPr>
            <w:r w:rsidRPr="00B62618">
              <w:rPr>
                <w:rFonts w:eastAsia="Calibri"/>
                <w:sz w:val="22"/>
                <w:szCs w:val="22"/>
                <w:lang w:val="fr-FR"/>
              </w:rPr>
              <w:t xml:space="preserve">Redéfinition du programme relatif à la compétitivité dans les Amériques et établissement des fondations qui permettront la relève du RIAC après la COVID. </w:t>
            </w:r>
          </w:p>
          <w:p w14:paraId="56EF0BC2" w14:textId="77777777" w:rsidR="00EA177C" w:rsidRPr="00B62618" w:rsidRDefault="00EA177C" w:rsidP="00493A9B">
            <w:pPr>
              <w:rPr>
                <w:sz w:val="22"/>
                <w:szCs w:val="22"/>
                <w:lang w:val="fr-FR"/>
              </w:rPr>
            </w:pPr>
          </w:p>
        </w:tc>
        <w:tc>
          <w:tcPr>
            <w:tcW w:w="3420" w:type="dxa"/>
          </w:tcPr>
          <w:p w14:paraId="2BA2F775" w14:textId="2E5BFFB7" w:rsidR="00EA177C" w:rsidRPr="00B62618" w:rsidRDefault="00C00BEE" w:rsidP="00493A9B">
            <w:pPr>
              <w:rPr>
                <w:sz w:val="22"/>
                <w:szCs w:val="22"/>
                <w:lang w:val="fr-FR"/>
              </w:rPr>
            </w:pPr>
            <w:r w:rsidRPr="00B62618">
              <w:rPr>
                <w:sz w:val="22"/>
                <w:szCs w:val="22"/>
                <w:lang w:val="fr-FR"/>
              </w:rPr>
              <w:t>Mise en application dans au moins deux études régionales d’une a</w:t>
            </w:r>
            <w:r w:rsidR="00A94045" w:rsidRPr="00B62618">
              <w:rPr>
                <w:sz w:val="22"/>
                <w:szCs w:val="22"/>
                <w:lang w:val="fr-FR"/>
              </w:rPr>
              <w:t>pproche fondée sur les données pour accroitre la compétitivité et la résilience</w:t>
            </w:r>
            <w:r w:rsidRPr="00B62618">
              <w:rPr>
                <w:sz w:val="22"/>
                <w:szCs w:val="22"/>
                <w:lang w:val="fr-FR"/>
              </w:rPr>
              <w:t xml:space="preserve"> dans les États membres de l’OEA.</w:t>
            </w:r>
            <w:r w:rsidR="00A94045" w:rsidRPr="00B62618">
              <w:rPr>
                <w:sz w:val="22"/>
                <w:szCs w:val="22"/>
                <w:lang w:val="fr-FR"/>
              </w:rPr>
              <w:t xml:space="preserve"> </w:t>
            </w:r>
          </w:p>
          <w:p w14:paraId="25FBFF26" w14:textId="77777777" w:rsidR="00EA177C" w:rsidRPr="00B62618" w:rsidRDefault="00EA177C" w:rsidP="00493A9B">
            <w:pPr>
              <w:rPr>
                <w:sz w:val="22"/>
                <w:szCs w:val="22"/>
                <w:lang w:val="fr-FR"/>
              </w:rPr>
            </w:pPr>
          </w:p>
        </w:tc>
        <w:tc>
          <w:tcPr>
            <w:tcW w:w="2880" w:type="dxa"/>
          </w:tcPr>
          <w:p w14:paraId="4F781EC2" w14:textId="633FB1D7" w:rsidR="00EA177C" w:rsidRPr="00B62618" w:rsidRDefault="00E76380" w:rsidP="00493A9B">
            <w:pPr>
              <w:rPr>
                <w:sz w:val="22"/>
                <w:szCs w:val="22"/>
                <w:lang w:val="fr-FR"/>
              </w:rPr>
            </w:pPr>
            <w:r w:rsidRPr="00B62618">
              <w:rPr>
                <w:b/>
                <w:sz w:val="22"/>
                <w:szCs w:val="22"/>
                <w:lang w:val="fr-FR"/>
              </w:rPr>
              <w:t>Interne </w:t>
            </w:r>
            <w:r w:rsidR="00EA177C" w:rsidRPr="00B62618">
              <w:rPr>
                <w:b/>
                <w:sz w:val="22"/>
                <w:szCs w:val="22"/>
                <w:lang w:val="fr-FR"/>
              </w:rPr>
              <w:t>:</w:t>
            </w:r>
          </w:p>
          <w:p w14:paraId="4E40DD08" w14:textId="0FAE1D78" w:rsidR="006E2F04" w:rsidRPr="00B62618" w:rsidRDefault="006E2F04" w:rsidP="006E2F04">
            <w:pPr>
              <w:autoSpaceDE w:val="0"/>
              <w:autoSpaceDN w:val="0"/>
              <w:adjustRightInd w:val="0"/>
              <w:rPr>
                <w:sz w:val="22"/>
                <w:szCs w:val="22"/>
                <w:lang w:val="fr-FR"/>
              </w:rPr>
            </w:pPr>
            <w:r w:rsidRPr="00B62618">
              <w:rPr>
                <w:sz w:val="22"/>
                <w:szCs w:val="22"/>
                <w:lang w:val="fr-FR"/>
              </w:rPr>
              <w:t xml:space="preserve">Bureau de direction du </w:t>
            </w:r>
            <w:r w:rsidR="00EA177C" w:rsidRPr="00B62618">
              <w:rPr>
                <w:sz w:val="22"/>
                <w:szCs w:val="22"/>
                <w:lang w:val="fr-FR"/>
              </w:rPr>
              <w:t>SEDI</w:t>
            </w:r>
            <w:r w:rsidRPr="00B62618">
              <w:rPr>
                <w:sz w:val="22"/>
                <w:szCs w:val="22"/>
                <w:lang w:val="fr-FR"/>
              </w:rPr>
              <w:t> : Bureau du Conseiller stratégique pour le développement institutionnel et la gestion axée sur les résultats.</w:t>
            </w:r>
            <w:r w:rsidR="00EA177C" w:rsidRPr="00B62618">
              <w:rPr>
                <w:sz w:val="22"/>
                <w:szCs w:val="22"/>
                <w:lang w:val="fr-FR"/>
              </w:rPr>
              <w:t xml:space="preserve"> </w:t>
            </w:r>
          </w:p>
          <w:p w14:paraId="296C4C9B" w14:textId="57CACA69" w:rsidR="00EA177C" w:rsidRPr="00B62618" w:rsidRDefault="00EA177C" w:rsidP="00493A9B">
            <w:pPr>
              <w:rPr>
                <w:sz w:val="22"/>
                <w:szCs w:val="22"/>
                <w:lang w:val="fr-FR"/>
              </w:rPr>
            </w:pPr>
          </w:p>
        </w:tc>
      </w:tr>
      <w:tr w:rsidR="00EA177C" w:rsidRPr="00121D09" w14:paraId="65E95EDC" w14:textId="77777777" w:rsidTr="006D77D6">
        <w:trPr>
          <w:jc w:val="center"/>
        </w:trPr>
        <w:tc>
          <w:tcPr>
            <w:tcW w:w="3405" w:type="dxa"/>
          </w:tcPr>
          <w:p w14:paraId="7E246C2D" w14:textId="77777777" w:rsidR="00EA177C" w:rsidRPr="00B62618" w:rsidRDefault="00EA177C" w:rsidP="00493A9B">
            <w:pPr>
              <w:rPr>
                <w:sz w:val="22"/>
                <w:szCs w:val="22"/>
                <w:lang w:val="fr-FR"/>
              </w:rPr>
            </w:pPr>
          </w:p>
        </w:tc>
        <w:tc>
          <w:tcPr>
            <w:tcW w:w="4140" w:type="dxa"/>
          </w:tcPr>
          <w:p w14:paraId="5656E798" w14:textId="27666AFE" w:rsidR="00EA177C" w:rsidRPr="00B62618" w:rsidRDefault="006E2F04" w:rsidP="00493A9B">
            <w:pPr>
              <w:rPr>
                <w:sz w:val="22"/>
                <w:szCs w:val="22"/>
                <w:lang w:val="fr-FR"/>
              </w:rPr>
            </w:pPr>
            <w:r w:rsidRPr="00B62618">
              <w:rPr>
                <w:sz w:val="22"/>
                <w:szCs w:val="22"/>
                <w:lang w:val="fr-FR"/>
              </w:rPr>
              <w:t xml:space="preserve">Approche fondée sur les données pour accroitre la compétitivité et favoriser la résilience dans les Amériques </w:t>
            </w:r>
          </w:p>
          <w:p w14:paraId="5EFF85C3" w14:textId="77777777" w:rsidR="00EA177C" w:rsidRPr="00B62618" w:rsidRDefault="00EA177C" w:rsidP="00493A9B">
            <w:pPr>
              <w:rPr>
                <w:sz w:val="22"/>
                <w:szCs w:val="22"/>
                <w:lang w:val="fr-FR"/>
              </w:rPr>
            </w:pPr>
          </w:p>
        </w:tc>
        <w:tc>
          <w:tcPr>
            <w:tcW w:w="3420" w:type="dxa"/>
          </w:tcPr>
          <w:p w14:paraId="0BBB77FD" w14:textId="160CD4D7" w:rsidR="00EA177C" w:rsidRPr="00B62618" w:rsidRDefault="00EA177C" w:rsidP="005823BE">
            <w:pPr>
              <w:rPr>
                <w:sz w:val="22"/>
                <w:szCs w:val="22"/>
                <w:lang w:val="fr-FR"/>
              </w:rPr>
            </w:pPr>
            <w:r w:rsidRPr="00B62618">
              <w:rPr>
                <w:sz w:val="22"/>
                <w:szCs w:val="22"/>
                <w:lang w:val="fr-FR"/>
              </w:rPr>
              <w:t>L</w:t>
            </w:r>
            <w:r w:rsidR="006E2F04" w:rsidRPr="00B62618">
              <w:rPr>
                <w:sz w:val="22"/>
                <w:szCs w:val="22"/>
                <w:lang w:val="fr-FR"/>
              </w:rPr>
              <w:t xml:space="preserve">ancement d’un programme pilote : Certification interaméricaine en matière de permis de construction </w:t>
            </w:r>
            <w:r w:rsidR="005823BE" w:rsidRPr="00B62618">
              <w:rPr>
                <w:sz w:val="22"/>
                <w:szCs w:val="22"/>
                <w:lang w:val="fr-FR"/>
              </w:rPr>
              <w:t>(guichet pour permis de construction simplifié) dans deux États membres.</w:t>
            </w:r>
            <w:r w:rsidR="006E2F04" w:rsidRPr="00B62618">
              <w:rPr>
                <w:sz w:val="22"/>
                <w:szCs w:val="22"/>
                <w:lang w:val="fr-FR"/>
              </w:rPr>
              <w:t xml:space="preserve"> </w:t>
            </w:r>
          </w:p>
        </w:tc>
        <w:tc>
          <w:tcPr>
            <w:tcW w:w="2880" w:type="dxa"/>
          </w:tcPr>
          <w:p w14:paraId="31F6D8D6" w14:textId="77777777" w:rsidR="00EA177C" w:rsidRPr="00B62618" w:rsidRDefault="00EA177C" w:rsidP="00493A9B">
            <w:pPr>
              <w:rPr>
                <w:sz w:val="22"/>
                <w:szCs w:val="22"/>
                <w:lang w:val="fr-FR"/>
              </w:rPr>
            </w:pPr>
          </w:p>
        </w:tc>
      </w:tr>
      <w:tr w:rsidR="00EA177C" w:rsidRPr="00121D09" w14:paraId="3AC0841A" w14:textId="77777777" w:rsidTr="008C3207">
        <w:trPr>
          <w:jc w:val="center"/>
        </w:trPr>
        <w:tc>
          <w:tcPr>
            <w:tcW w:w="3405" w:type="dxa"/>
            <w:tcBorders>
              <w:bottom w:val="single" w:sz="6" w:space="0" w:color="auto"/>
            </w:tcBorders>
          </w:tcPr>
          <w:p w14:paraId="44E904F3" w14:textId="23FE7252" w:rsidR="00EA177C" w:rsidRPr="00B62618" w:rsidRDefault="00EA177C" w:rsidP="00493A9B">
            <w:pPr>
              <w:rPr>
                <w:sz w:val="22"/>
                <w:szCs w:val="22"/>
                <w:lang w:val="fr-FR"/>
              </w:rPr>
            </w:pPr>
            <w:r w:rsidRPr="00B62618">
              <w:rPr>
                <w:sz w:val="22"/>
                <w:szCs w:val="22"/>
                <w:lang w:val="fr-FR"/>
              </w:rPr>
              <w:t>Group</w:t>
            </w:r>
            <w:r w:rsidR="005823BE" w:rsidRPr="00B62618">
              <w:rPr>
                <w:sz w:val="22"/>
                <w:szCs w:val="22"/>
                <w:lang w:val="fr-FR"/>
              </w:rPr>
              <w:t>e d’experts en compétitivité sous-nationale</w:t>
            </w:r>
            <w:r w:rsidRPr="00B62618">
              <w:rPr>
                <w:sz w:val="22"/>
                <w:szCs w:val="22"/>
                <w:lang w:val="fr-FR"/>
              </w:rPr>
              <w:t xml:space="preserve"> (GTECS)</w:t>
            </w:r>
            <w:r w:rsidR="005823BE" w:rsidRPr="00B62618">
              <w:rPr>
                <w:sz w:val="22"/>
                <w:szCs w:val="22"/>
                <w:lang w:val="fr-FR"/>
              </w:rPr>
              <w:t> </w:t>
            </w:r>
            <w:r w:rsidRPr="00B62618">
              <w:rPr>
                <w:sz w:val="22"/>
                <w:szCs w:val="22"/>
                <w:lang w:val="fr-FR"/>
              </w:rPr>
              <w:t>:</w:t>
            </w:r>
            <w:r w:rsidR="005823BE" w:rsidRPr="00B62618">
              <w:rPr>
                <w:sz w:val="22"/>
                <w:szCs w:val="22"/>
                <w:lang w:val="fr-FR"/>
              </w:rPr>
              <w:t xml:space="preserve"> Groupe de travail sur les permis de construction</w:t>
            </w:r>
            <w:r w:rsidRPr="00B62618">
              <w:rPr>
                <w:sz w:val="22"/>
                <w:szCs w:val="22"/>
                <w:lang w:val="fr-FR"/>
              </w:rPr>
              <w:t>-GTECS</w:t>
            </w:r>
          </w:p>
          <w:p w14:paraId="3A6FAEC0" w14:textId="77777777" w:rsidR="00EA177C" w:rsidRPr="00B62618" w:rsidRDefault="00EA177C" w:rsidP="00493A9B">
            <w:pPr>
              <w:rPr>
                <w:sz w:val="22"/>
                <w:szCs w:val="22"/>
                <w:lang w:val="fr-FR"/>
              </w:rPr>
            </w:pPr>
          </w:p>
        </w:tc>
        <w:tc>
          <w:tcPr>
            <w:tcW w:w="4140" w:type="dxa"/>
            <w:tcBorders>
              <w:bottom w:val="single" w:sz="6" w:space="0" w:color="auto"/>
            </w:tcBorders>
          </w:tcPr>
          <w:p w14:paraId="698FD8BC" w14:textId="045187FA" w:rsidR="00EA177C" w:rsidRPr="00B62618" w:rsidRDefault="005823BE" w:rsidP="00493A9B">
            <w:pPr>
              <w:rPr>
                <w:sz w:val="22"/>
                <w:szCs w:val="22"/>
                <w:lang w:val="fr-FR"/>
              </w:rPr>
            </w:pPr>
            <w:r w:rsidRPr="00B62618">
              <w:rPr>
                <w:sz w:val="22"/>
                <w:szCs w:val="22"/>
                <w:lang w:val="fr-FR"/>
              </w:rPr>
              <w:t xml:space="preserve">Échange de bonnes pratiques locale pour la mise en application de réformes réglementaires, en particulier dans l’émission de permis de construction </w:t>
            </w:r>
          </w:p>
          <w:p w14:paraId="4E7A8E18" w14:textId="77777777" w:rsidR="00EA177C" w:rsidRPr="00B62618" w:rsidRDefault="00EA177C" w:rsidP="00493A9B">
            <w:pPr>
              <w:rPr>
                <w:sz w:val="22"/>
                <w:szCs w:val="22"/>
                <w:lang w:val="fr-FR"/>
              </w:rPr>
            </w:pPr>
          </w:p>
          <w:p w14:paraId="4EAA1AD7" w14:textId="77777777" w:rsidR="00EA177C" w:rsidRPr="00B62618" w:rsidRDefault="00EA177C" w:rsidP="00493A9B">
            <w:pPr>
              <w:rPr>
                <w:sz w:val="22"/>
                <w:szCs w:val="22"/>
                <w:lang w:val="fr-FR"/>
              </w:rPr>
            </w:pPr>
          </w:p>
        </w:tc>
        <w:tc>
          <w:tcPr>
            <w:tcW w:w="3420" w:type="dxa"/>
            <w:tcBorders>
              <w:bottom w:val="single" w:sz="6" w:space="0" w:color="auto"/>
            </w:tcBorders>
          </w:tcPr>
          <w:p w14:paraId="6ED48810" w14:textId="77777777" w:rsidR="00EA177C" w:rsidRPr="00B62618" w:rsidRDefault="00EA177C" w:rsidP="00493A9B">
            <w:pPr>
              <w:rPr>
                <w:sz w:val="22"/>
                <w:szCs w:val="22"/>
                <w:lang w:val="fr-FR"/>
              </w:rPr>
            </w:pPr>
          </w:p>
        </w:tc>
        <w:tc>
          <w:tcPr>
            <w:tcW w:w="2880" w:type="dxa"/>
            <w:tcBorders>
              <w:bottom w:val="single" w:sz="6" w:space="0" w:color="auto"/>
            </w:tcBorders>
          </w:tcPr>
          <w:p w14:paraId="6A74C579" w14:textId="675596C3" w:rsidR="00EA177C" w:rsidRPr="00B62618" w:rsidRDefault="00EA177C" w:rsidP="00493A9B">
            <w:pPr>
              <w:rPr>
                <w:sz w:val="22"/>
                <w:szCs w:val="22"/>
                <w:lang w:val="fr-FR"/>
              </w:rPr>
            </w:pPr>
            <w:r w:rsidRPr="00B62618">
              <w:rPr>
                <w:b/>
                <w:sz w:val="22"/>
                <w:szCs w:val="22"/>
                <w:lang w:val="fr-FR"/>
              </w:rPr>
              <w:t>Exte</w:t>
            </w:r>
            <w:r w:rsidR="005823BE" w:rsidRPr="00B62618">
              <w:rPr>
                <w:b/>
                <w:sz w:val="22"/>
                <w:szCs w:val="22"/>
                <w:lang w:val="fr-FR"/>
              </w:rPr>
              <w:t>rne </w:t>
            </w:r>
            <w:r w:rsidRPr="00B62618">
              <w:rPr>
                <w:b/>
                <w:sz w:val="22"/>
                <w:szCs w:val="22"/>
                <w:lang w:val="fr-FR"/>
              </w:rPr>
              <w:t>:</w:t>
            </w:r>
          </w:p>
          <w:p w14:paraId="1CC88FF2" w14:textId="5DBDCF5A" w:rsidR="00EA177C" w:rsidRPr="00B62618" w:rsidRDefault="005823BE" w:rsidP="00493A9B">
            <w:pPr>
              <w:rPr>
                <w:sz w:val="22"/>
                <w:szCs w:val="22"/>
                <w:lang w:val="fr-FR"/>
              </w:rPr>
            </w:pPr>
            <w:r w:rsidRPr="00B62618">
              <w:rPr>
                <w:sz w:val="22"/>
                <w:szCs w:val="22"/>
                <w:lang w:val="fr-FR"/>
              </w:rPr>
              <w:t>CONAMER-Mexique</w:t>
            </w:r>
            <w:r w:rsidR="00EA177C" w:rsidRPr="00B62618">
              <w:rPr>
                <w:sz w:val="22"/>
                <w:szCs w:val="22"/>
                <w:lang w:val="fr-FR"/>
              </w:rPr>
              <w:t xml:space="preserve">, </w:t>
            </w:r>
          </w:p>
          <w:p w14:paraId="5546FA59" w14:textId="2653161E" w:rsidR="00EA177C" w:rsidRPr="00B62618" w:rsidRDefault="005823BE" w:rsidP="00493A9B">
            <w:pPr>
              <w:rPr>
                <w:sz w:val="22"/>
                <w:szCs w:val="22"/>
                <w:lang w:val="fr-FR"/>
              </w:rPr>
            </w:pPr>
            <w:r w:rsidRPr="00B62618">
              <w:rPr>
                <w:sz w:val="22"/>
                <w:szCs w:val="22"/>
                <w:lang w:val="fr-FR"/>
              </w:rPr>
              <w:t>C</w:t>
            </w:r>
            <w:r w:rsidR="00EA177C" w:rsidRPr="00B62618">
              <w:rPr>
                <w:sz w:val="22"/>
                <w:szCs w:val="22"/>
                <w:lang w:val="fr-FR"/>
              </w:rPr>
              <w:t>ollaboration</w:t>
            </w:r>
            <w:r w:rsidRPr="00B62618">
              <w:rPr>
                <w:sz w:val="22"/>
                <w:szCs w:val="22"/>
                <w:lang w:val="fr-FR"/>
              </w:rPr>
              <w:t xml:space="preserve"> entre autorités du secteur public aux niveaux national, étatique/provincial et municip</w:t>
            </w:r>
            <w:r w:rsidR="00283F34" w:rsidRPr="00B62618">
              <w:rPr>
                <w:sz w:val="22"/>
                <w:szCs w:val="22"/>
                <w:lang w:val="fr-FR"/>
              </w:rPr>
              <w:t>al, chefs de file du secteur privé et du monde universitaire des États membres de l’OEA.</w:t>
            </w:r>
            <w:r w:rsidR="00EA177C" w:rsidRPr="00B62618">
              <w:rPr>
                <w:sz w:val="22"/>
                <w:szCs w:val="22"/>
                <w:lang w:val="fr-FR"/>
              </w:rPr>
              <w:t xml:space="preserve"> </w:t>
            </w:r>
          </w:p>
          <w:p w14:paraId="1EFF1475" w14:textId="77777777" w:rsidR="00EA177C" w:rsidRPr="00B62618" w:rsidRDefault="00EA177C" w:rsidP="00493A9B">
            <w:pPr>
              <w:rPr>
                <w:sz w:val="22"/>
                <w:szCs w:val="22"/>
                <w:lang w:val="fr-FR"/>
              </w:rPr>
            </w:pPr>
          </w:p>
        </w:tc>
      </w:tr>
      <w:tr w:rsidR="008C3207" w:rsidRPr="00121D09" w14:paraId="55320EA7" w14:textId="77777777" w:rsidTr="008C3207">
        <w:trPr>
          <w:jc w:val="center"/>
        </w:trPr>
        <w:tc>
          <w:tcPr>
            <w:tcW w:w="3405" w:type="dxa"/>
            <w:tcBorders>
              <w:top w:val="single" w:sz="6" w:space="0" w:color="auto"/>
              <w:bottom w:val="single" w:sz="6" w:space="0" w:color="auto"/>
            </w:tcBorders>
            <w:shd w:val="clear" w:color="auto" w:fill="BFBFBF" w:themeFill="background1" w:themeFillShade="BF"/>
            <w:vAlign w:val="center"/>
          </w:tcPr>
          <w:p w14:paraId="0698AABF" w14:textId="7EFCC930" w:rsidR="008C3207" w:rsidRPr="00B62618" w:rsidRDefault="00944E71" w:rsidP="00944E71">
            <w:pPr>
              <w:rPr>
                <w:b/>
                <w:bCs/>
                <w:color w:val="000000" w:themeColor="text1"/>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bottom w:val="single" w:sz="6" w:space="0" w:color="auto"/>
            </w:tcBorders>
            <w:shd w:val="clear" w:color="auto" w:fill="BFBFBF" w:themeFill="background1" w:themeFillShade="BF"/>
          </w:tcPr>
          <w:p w14:paraId="29DB17F0" w14:textId="3F20DC15" w:rsidR="008C3207" w:rsidRPr="00B62618" w:rsidRDefault="00283F34" w:rsidP="009250DA">
            <w:pPr>
              <w:rPr>
                <w:b/>
                <w:bCs/>
                <w:color w:val="000000" w:themeColor="text1"/>
                <w:sz w:val="22"/>
                <w:szCs w:val="22"/>
                <w:lang w:val="fr-FR"/>
              </w:rPr>
            </w:pPr>
            <w:r w:rsidRPr="00B62618">
              <w:rPr>
                <w:b/>
                <w:bCs/>
                <w:color w:val="000000" w:themeColor="text1"/>
                <w:sz w:val="22"/>
                <w:szCs w:val="22"/>
                <w:lang w:val="fr-FR"/>
              </w:rPr>
              <w:t>1.2. Accroitre la coopération au niveau régional, les partages de connaissances</w:t>
            </w:r>
            <w:r w:rsidR="00335CFB" w:rsidRPr="00B62618">
              <w:rPr>
                <w:b/>
                <w:bCs/>
                <w:color w:val="000000" w:themeColor="text1"/>
                <w:sz w:val="22"/>
                <w:szCs w:val="22"/>
                <w:lang w:val="fr-FR"/>
              </w:rPr>
              <w:t xml:space="preserve">, les transferts de technologie selon des conditions ayant fait l’objet d’une entente entre les parties, et la collaboration intersectorielle entre </w:t>
            </w:r>
            <w:r w:rsidR="00335CFB" w:rsidRPr="00B62618">
              <w:rPr>
                <w:b/>
                <w:bCs/>
                <w:color w:val="000000" w:themeColor="text1"/>
                <w:sz w:val="22"/>
                <w:szCs w:val="22"/>
                <w:lang w:val="fr-FR"/>
              </w:rPr>
              <w:lastRenderedPageBreak/>
              <w:t>les États membres et au sein de ceux-ci</w:t>
            </w:r>
            <w:r w:rsidR="009250DA" w:rsidRPr="00B62618">
              <w:rPr>
                <w:b/>
                <w:bCs/>
                <w:color w:val="000000" w:themeColor="text1"/>
                <w:sz w:val="22"/>
                <w:szCs w:val="22"/>
                <w:lang w:val="fr-FR"/>
              </w:rPr>
              <w:t xml:space="preserve"> dans les domaines de la compétitivité, de la productivité et de l’innovation</w:t>
            </w:r>
            <w:r w:rsidR="008C3207" w:rsidRPr="00B62618">
              <w:rPr>
                <w:b/>
                <w:bCs/>
                <w:color w:val="000000" w:themeColor="text1"/>
                <w:sz w:val="22"/>
                <w:szCs w:val="22"/>
                <w:lang w:val="fr-FR"/>
              </w:rPr>
              <w:t>.</w:t>
            </w:r>
          </w:p>
        </w:tc>
      </w:tr>
      <w:tr w:rsidR="008C3207" w:rsidRPr="00B62618" w14:paraId="6521243A" w14:textId="77777777" w:rsidTr="008C3207">
        <w:trPr>
          <w:jc w:val="center"/>
        </w:trPr>
        <w:tc>
          <w:tcPr>
            <w:tcW w:w="13845" w:type="dxa"/>
            <w:gridSpan w:val="4"/>
            <w:tcBorders>
              <w:top w:val="single" w:sz="6" w:space="0" w:color="auto"/>
              <w:bottom w:val="single" w:sz="6" w:space="0" w:color="auto"/>
            </w:tcBorders>
            <w:shd w:val="clear" w:color="auto" w:fill="D9D9D9" w:themeFill="background1" w:themeFillShade="D9"/>
          </w:tcPr>
          <w:p w14:paraId="7C690CE8" w14:textId="2806B05F" w:rsidR="008C3207" w:rsidRPr="00B62618" w:rsidRDefault="008C3207" w:rsidP="00944E71">
            <w:pPr>
              <w:rPr>
                <w:b/>
                <w:sz w:val="22"/>
                <w:szCs w:val="22"/>
                <w:lang w:val="fr-FR"/>
              </w:rPr>
            </w:pPr>
            <w:r w:rsidRPr="00B62618">
              <w:rPr>
                <w:b/>
                <w:bCs/>
                <w:color w:val="000000" w:themeColor="text1"/>
                <w:sz w:val="22"/>
                <w:szCs w:val="22"/>
                <w:lang w:val="fr-FR"/>
              </w:rPr>
              <w:lastRenderedPageBreak/>
              <w:t>Comp</w:t>
            </w:r>
            <w:r w:rsidR="00944E71" w:rsidRPr="00B62618">
              <w:rPr>
                <w:b/>
                <w:bCs/>
                <w:color w:val="000000" w:themeColor="text1"/>
                <w:sz w:val="22"/>
                <w:szCs w:val="22"/>
                <w:lang w:val="fr-FR"/>
              </w:rPr>
              <w:t>étitivité </w:t>
            </w:r>
            <w:r w:rsidRPr="00B62618">
              <w:rPr>
                <w:b/>
                <w:bCs/>
                <w:color w:val="000000" w:themeColor="text1"/>
                <w:sz w:val="22"/>
                <w:szCs w:val="22"/>
                <w:lang w:val="fr-FR"/>
              </w:rPr>
              <w:t>:</w:t>
            </w:r>
          </w:p>
        </w:tc>
      </w:tr>
      <w:tr w:rsidR="00EA177C" w:rsidRPr="00121D09" w14:paraId="7697C6A6" w14:textId="77777777" w:rsidTr="008C3207">
        <w:trPr>
          <w:jc w:val="center"/>
        </w:trPr>
        <w:tc>
          <w:tcPr>
            <w:tcW w:w="3405" w:type="dxa"/>
            <w:tcBorders>
              <w:top w:val="single" w:sz="6" w:space="0" w:color="auto"/>
            </w:tcBorders>
          </w:tcPr>
          <w:p w14:paraId="4377C054" w14:textId="73E15368" w:rsidR="00EA177C" w:rsidRPr="00B62618" w:rsidRDefault="00DC7F18" w:rsidP="00493A9B">
            <w:pPr>
              <w:rPr>
                <w:sz w:val="22"/>
                <w:szCs w:val="22"/>
                <w:lang w:val="fr-FR"/>
              </w:rPr>
            </w:pPr>
            <w:r w:rsidRPr="00B62618">
              <w:rPr>
                <w:sz w:val="22"/>
                <w:szCs w:val="22"/>
                <w:lang w:val="fr-FR"/>
              </w:rPr>
              <w:t xml:space="preserve">Americas Competitiveness Exchange </w:t>
            </w:r>
            <w:r w:rsidR="005F46C1" w:rsidRPr="00B62618">
              <w:rPr>
                <w:sz w:val="22"/>
                <w:szCs w:val="22"/>
                <w:lang w:val="fr-FR"/>
              </w:rPr>
              <w:t>(ACE) sur l’innovation et l’</w:t>
            </w:r>
            <w:r w:rsidRPr="00B62618">
              <w:rPr>
                <w:sz w:val="22"/>
                <w:szCs w:val="22"/>
                <w:lang w:val="fr-FR"/>
              </w:rPr>
              <w:t>entreprenariat </w:t>
            </w:r>
            <w:r w:rsidR="00EA177C" w:rsidRPr="00B62618">
              <w:rPr>
                <w:sz w:val="22"/>
                <w:szCs w:val="22"/>
                <w:lang w:val="fr-FR"/>
              </w:rPr>
              <w:t>;</w:t>
            </w:r>
          </w:p>
          <w:p w14:paraId="641A28A3" w14:textId="77777777" w:rsidR="00EA177C" w:rsidRPr="00B62618" w:rsidRDefault="00EA177C" w:rsidP="00493A9B">
            <w:pPr>
              <w:rPr>
                <w:sz w:val="22"/>
                <w:szCs w:val="22"/>
                <w:lang w:val="fr-FR"/>
              </w:rPr>
            </w:pPr>
            <w:r w:rsidRPr="00B62618">
              <w:rPr>
                <w:sz w:val="22"/>
                <w:szCs w:val="22"/>
                <w:lang w:val="fr-FR"/>
              </w:rPr>
              <w:t xml:space="preserve"> </w:t>
            </w:r>
          </w:p>
          <w:p w14:paraId="5A95D20D" w14:textId="28A5A928" w:rsidR="00EA177C" w:rsidRPr="00B62618" w:rsidRDefault="00EA177C" w:rsidP="00493A9B">
            <w:pPr>
              <w:pStyle w:val="ListParagraph"/>
              <w:numPr>
                <w:ilvl w:val="0"/>
                <w:numId w:val="5"/>
              </w:numPr>
              <w:ind w:left="180" w:hanging="180"/>
              <w:rPr>
                <w:sz w:val="22"/>
                <w:szCs w:val="22"/>
                <w:lang w:val="fr-FR"/>
              </w:rPr>
            </w:pPr>
            <w:r w:rsidRPr="00B62618">
              <w:rPr>
                <w:sz w:val="22"/>
                <w:szCs w:val="22"/>
                <w:lang w:val="fr-FR"/>
              </w:rPr>
              <w:t>ACE 13</w:t>
            </w:r>
            <w:r w:rsidR="00DC7F18" w:rsidRPr="00B62618">
              <w:rPr>
                <w:sz w:val="22"/>
                <w:szCs w:val="22"/>
                <w:lang w:val="fr-FR"/>
              </w:rPr>
              <w:t> </w:t>
            </w:r>
            <w:r w:rsidRPr="00B62618">
              <w:rPr>
                <w:sz w:val="22"/>
                <w:szCs w:val="22"/>
                <w:lang w:val="fr-FR"/>
              </w:rPr>
              <w:t>: Colorado (USA)</w:t>
            </w:r>
            <w:r w:rsidR="00DC7F18" w:rsidRPr="00B62618">
              <w:rPr>
                <w:sz w:val="22"/>
                <w:szCs w:val="22"/>
                <w:lang w:val="fr-FR"/>
              </w:rPr>
              <w:t> </w:t>
            </w:r>
            <w:r w:rsidRPr="00B62618">
              <w:rPr>
                <w:sz w:val="22"/>
                <w:szCs w:val="22"/>
                <w:lang w:val="fr-FR"/>
              </w:rPr>
              <w:t xml:space="preserve">: </w:t>
            </w:r>
            <w:r w:rsidR="00DC7F18" w:rsidRPr="00B62618">
              <w:rPr>
                <w:sz w:val="22"/>
                <w:szCs w:val="22"/>
                <w:lang w:val="fr-FR"/>
              </w:rPr>
              <w:t>du 1</w:t>
            </w:r>
            <w:r w:rsidR="00DC7F18" w:rsidRPr="00B62618">
              <w:rPr>
                <w:sz w:val="22"/>
                <w:szCs w:val="22"/>
                <w:vertAlign w:val="superscript"/>
                <w:lang w:val="fr-FR"/>
              </w:rPr>
              <w:t>er</w:t>
            </w:r>
            <w:r w:rsidR="00DC7F18" w:rsidRPr="00B62618">
              <w:rPr>
                <w:sz w:val="22"/>
                <w:szCs w:val="22"/>
                <w:lang w:val="fr-FR"/>
              </w:rPr>
              <w:t xml:space="preserve"> au 6 aout</w:t>
            </w:r>
            <w:r w:rsidRPr="00B62618">
              <w:rPr>
                <w:sz w:val="22"/>
                <w:szCs w:val="22"/>
                <w:lang w:val="fr-FR"/>
              </w:rPr>
              <w:t xml:space="preserve"> 2020 (</w:t>
            </w:r>
            <w:r w:rsidR="00DC7F18" w:rsidRPr="00B62618">
              <w:rPr>
                <w:sz w:val="22"/>
                <w:szCs w:val="22"/>
                <w:lang w:val="fr-FR"/>
              </w:rPr>
              <w:t>à confirmer</w:t>
            </w:r>
            <w:r w:rsidRPr="00B62618">
              <w:rPr>
                <w:sz w:val="22"/>
                <w:szCs w:val="22"/>
                <w:lang w:val="fr-FR"/>
              </w:rPr>
              <w:t>)</w:t>
            </w:r>
          </w:p>
          <w:p w14:paraId="40A81896" w14:textId="38191DFB" w:rsidR="00EA177C" w:rsidRPr="00B62618" w:rsidRDefault="00EA177C" w:rsidP="00DC7F18">
            <w:pPr>
              <w:pStyle w:val="ListParagraph"/>
              <w:numPr>
                <w:ilvl w:val="0"/>
                <w:numId w:val="5"/>
              </w:numPr>
              <w:ind w:left="180" w:hanging="180"/>
              <w:rPr>
                <w:sz w:val="22"/>
                <w:szCs w:val="22"/>
                <w:lang w:val="fr-FR"/>
              </w:rPr>
            </w:pPr>
            <w:r w:rsidRPr="00B62618">
              <w:rPr>
                <w:sz w:val="22"/>
                <w:szCs w:val="22"/>
                <w:lang w:val="fr-FR"/>
              </w:rPr>
              <w:t>ACE 14</w:t>
            </w:r>
            <w:r w:rsidR="00DC7F18" w:rsidRPr="00B62618">
              <w:rPr>
                <w:sz w:val="22"/>
                <w:szCs w:val="22"/>
                <w:lang w:val="fr-FR"/>
              </w:rPr>
              <w:t> : Louisiane</w:t>
            </w:r>
            <w:r w:rsidRPr="00B62618">
              <w:rPr>
                <w:sz w:val="22"/>
                <w:szCs w:val="22"/>
                <w:lang w:val="fr-FR"/>
              </w:rPr>
              <w:t xml:space="preserve"> (USA)</w:t>
            </w:r>
            <w:r w:rsidR="00DC7F18" w:rsidRPr="00B62618">
              <w:rPr>
                <w:sz w:val="22"/>
                <w:szCs w:val="22"/>
                <w:lang w:val="fr-FR"/>
              </w:rPr>
              <w:t> </w:t>
            </w:r>
            <w:r w:rsidRPr="00B62618">
              <w:rPr>
                <w:sz w:val="22"/>
                <w:szCs w:val="22"/>
                <w:lang w:val="fr-FR"/>
              </w:rPr>
              <w:t xml:space="preserve">: </w:t>
            </w:r>
            <w:r w:rsidR="00DC7F18" w:rsidRPr="00B62618">
              <w:rPr>
                <w:sz w:val="22"/>
                <w:szCs w:val="22"/>
                <w:lang w:val="fr-FR"/>
              </w:rPr>
              <w:t>du 7 au 12 novembre</w:t>
            </w:r>
            <w:r w:rsidRPr="00B62618">
              <w:rPr>
                <w:sz w:val="22"/>
                <w:szCs w:val="22"/>
                <w:lang w:val="fr-FR"/>
              </w:rPr>
              <w:t xml:space="preserve"> 2021 (</w:t>
            </w:r>
            <w:r w:rsidR="00DC7F18" w:rsidRPr="00B62618">
              <w:rPr>
                <w:sz w:val="22"/>
                <w:szCs w:val="22"/>
                <w:lang w:val="fr-FR"/>
              </w:rPr>
              <w:t>à confirmer</w:t>
            </w:r>
            <w:r w:rsidRPr="00B62618">
              <w:rPr>
                <w:sz w:val="22"/>
                <w:szCs w:val="22"/>
                <w:lang w:val="fr-FR"/>
              </w:rPr>
              <w:t>)</w:t>
            </w:r>
          </w:p>
        </w:tc>
        <w:tc>
          <w:tcPr>
            <w:tcW w:w="4140" w:type="dxa"/>
            <w:tcBorders>
              <w:top w:val="single" w:sz="6" w:space="0" w:color="auto"/>
            </w:tcBorders>
          </w:tcPr>
          <w:p w14:paraId="0BC4007F" w14:textId="62C1A1AB" w:rsidR="00EA177C" w:rsidRPr="00B62618" w:rsidRDefault="00DC7F18" w:rsidP="00493A9B">
            <w:pPr>
              <w:tabs>
                <w:tab w:val="left" w:pos="177"/>
              </w:tabs>
              <w:rPr>
                <w:sz w:val="22"/>
                <w:szCs w:val="22"/>
                <w:lang w:val="fr-FR"/>
              </w:rPr>
            </w:pPr>
            <w:r w:rsidRPr="00B62618">
              <w:rPr>
                <w:sz w:val="22"/>
                <w:szCs w:val="22"/>
                <w:lang w:val="fr-FR"/>
              </w:rPr>
              <w:t>Partage de</w:t>
            </w:r>
            <w:r w:rsidR="00EA177C" w:rsidRPr="00B62618">
              <w:rPr>
                <w:sz w:val="22"/>
                <w:szCs w:val="22"/>
                <w:lang w:val="fr-FR"/>
              </w:rPr>
              <w:t xml:space="preserve"> solutions, </w:t>
            </w:r>
            <w:r w:rsidRPr="00B62618">
              <w:rPr>
                <w:sz w:val="22"/>
                <w:szCs w:val="22"/>
                <w:lang w:val="fr-FR"/>
              </w:rPr>
              <w:t>de données d’</w:t>
            </w:r>
            <w:r w:rsidR="00EA177C" w:rsidRPr="00B62618">
              <w:rPr>
                <w:sz w:val="22"/>
                <w:szCs w:val="22"/>
                <w:lang w:val="fr-FR"/>
              </w:rPr>
              <w:t>exp</w:t>
            </w:r>
            <w:r w:rsidRPr="00B62618">
              <w:rPr>
                <w:sz w:val="22"/>
                <w:szCs w:val="22"/>
                <w:lang w:val="fr-FR"/>
              </w:rPr>
              <w:t>é</w:t>
            </w:r>
            <w:r w:rsidR="00EA177C" w:rsidRPr="00B62618">
              <w:rPr>
                <w:sz w:val="22"/>
                <w:szCs w:val="22"/>
                <w:lang w:val="fr-FR"/>
              </w:rPr>
              <w:t>riences</w:t>
            </w:r>
            <w:r w:rsidRPr="00B62618">
              <w:rPr>
                <w:sz w:val="22"/>
                <w:szCs w:val="22"/>
                <w:lang w:val="fr-FR"/>
              </w:rPr>
              <w:t xml:space="preserve"> de villes principales et d’autres endroits importants sur la résilience économique pour la compétitivité et la reprise économique </w:t>
            </w:r>
            <w:r w:rsidR="00B62618">
              <w:rPr>
                <w:sz w:val="22"/>
                <w:szCs w:val="22"/>
                <w:lang w:val="fr-FR"/>
              </w:rPr>
              <w:t xml:space="preserve">après </w:t>
            </w:r>
            <w:r w:rsidRPr="00B62618">
              <w:rPr>
                <w:sz w:val="22"/>
                <w:szCs w:val="22"/>
                <w:lang w:val="fr-FR"/>
              </w:rPr>
              <w:t>la COVID</w:t>
            </w:r>
            <w:r w:rsidR="00B62618">
              <w:rPr>
                <w:sz w:val="22"/>
                <w:szCs w:val="22"/>
                <w:lang w:val="fr-FR"/>
              </w:rPr>
              <w:t>-19</w:t>
            </w:r>
            <w:r w:rsidR="00D63A5E" w:rsidRPr="00B62618">
              <w:rPr>
                <w:sz w:val="22"/>
                <w:szCs w:val="22"/>
                <w:lang w:val="fr-FR"/>
              </w:rPr>
              <w:t>, en créant des partenariats</w:t>
            </w:r>
            <w:r w:rsidR="00EA177C" w:rsidRPr="00B62618">
              <w:rPr>
                <w:sz w:val="22"/>
                <w:szCs w:val="22"/>
                <w:lang w:val="fr-FR"/>
              </w:rPr>
              <w:t xml:space="preserve"> </w:t>
            </w:r>
          </w:p>
          <w:p w14:paraId="7953BEFB" w14:textId="77777777" w:rsidR="00EA177C" w:rsidRPr="00B62618" w:rsidRDefault="00EA177C" w:rsidP="00493A9B">
            <w:pPr>
              <w:rPr>
                <w:sz w:val="22"/>
                <w:szCs w:val="22"/>
                <w:lang w:val="fr-FR"/>
              </w:rPr>
            </w:pPr>
          </w:p>
        </w:tc>
        <w:tc>
          <w:tcPr>
            <w:tcW w:w="3420" w:type="dxa"/>
            <w:tcBorders>
              <w:top w:val="single" w:sz="6" w:space="0" w:color="auto"/>
            </w:tcBorders>
          </w:tcPr>
          <w:p w14:paraId="1CD2A1E4" w14:textId="269FCFB2" w:rsidR="00EA177C" w:rsidRPr="00B62618" w:rsidRDefault="00D63A5E" w:rsidP="00493A9B">
            <w:pPr>
              <w:rPr>
                <w:sz w:val="22"/>
                <w:szCs w:val="22"/>
                <w:lang w:val="fr-FR"/>
              </w:rPr>
            </w:pPr>
            <w:r w:rsidRPr="00B62618">
              <w:rPr>
                <w:sz w:val="22"/>
                <w:szCs w:val="22"/>
                <w:lang w:val="fr-FR"/>
              </w:rPr>
              <w:t xml:space="preserve">Établissement de dix partenariats à long terme relatifs au développement économique local mû par l’innovation et à la résilience </w:t>
            </w:r>
          </w:p>
          <w:p w14:paraId="5799614C" w14:textId="77777777" w:rsidR="00EA177C" w:rsidRPr="00B62618" w:rsidRDefault="00EA177C" w:rsidP="00493A9B">
            <w:pPr>
              <w:rPr>
                <w:sz w:val="22"/>
                <w:szCs w:val="22"/>
                <w:lang w:val="fr-FR"/>
              </w:rPr>
            </w:pPr>
          </w:p>
        </w:tc>
        <w:tc>
          <w:tcPr>
            <w:tcW w:w="2880" w:type="dxa"/>
            <w:tcBorders>
              <w:top w:val="single" w:sz="6" w:space="0" w:color="auto"/>
            </w:tcBorders>
          </w:tcPr>
          <w:p w14:paraId="323686AA" w14:textId="32AACFDE" w:rsidR="00EA177C" w:rsidRPr="00B62618" w:rsidRDefault="00D63A5E" w:rsidP="00493A9B">
            <w:pPr>
              <w:rPr>
                <w:sz w:val="22"/>
                <w:szCs w:val="22"/>
                <w:lang w:val="fr-FR"/>
              </w:rPr>
            </w:pPr>
            <w:r w:rsidRPr="00B62618">
              <w:rPr>
                <w:b/>
                <w:sz w:val="22"/>
                <w:szCs w:val="22"/>
                <w:lang w:val="fr-FR"/>
              </w:rPr>
              <w:t>Interne </w:t>
            </w:r>
            <w:r w:rsidR="00EA177C" w:rsidRPr="00B62618">
              <w:rPr>
                <w:b/>
                <w:sz w:val="22"/>
                <w:szCs w:val="22"/>
                <w:lang w:val="fr-FR"/>
              </w:rPr>
              <w:t>:</w:t>
            </w:r>
          </w:p>
          <w:p w14:paraId="70D8EA5E" w14:textId="345DB039" w:rsidR="00EA177C" w:rsidRPr="00B62618" w:rsidRDefault="00D63A5E" w:rsidP="00493A9B">
            <w:pPr>
              <w:autoSpaceDE w:val="0"/>
              <w:autoSpaceDN w:val="0"/>
              <w:adjustRightInd w:val="0"/>
              <w:rPr>
                <w:sz w:val="22"/>
                <w:szCs w:val="22"/>
                <w:lang w:val="fr-FR"/>
              </w:rPr>
            </w:pPr>
            <w:r w:rsidRPr="00B62618">
              <w:rPr>
                <w:sz w:val="22"/>
                <w:szCs w:val="22"/>
                <w:lang w:val="fr-FR"/>
              </w:rPr>
              <w:t xml:space="preserve">Bureau exécutif du </w:t>
            </w:r>
            <w:r w:rsidR="00EA177C" w:rsidRPr="00B62618">
              <w:rPr>
                <w:sz w:val="22"/>
                <w:szCs w:val="22"/>
                <w:lang w:val="fr-FR"/>
              </w:rPr>
              <w:t xml:space="preserve">SEDI </w:t>
            </w:r>
            <w:r w:rsidRPr="00B62618">
              <w:rPr>
                <w:sz w:val="22"/>
                <w:szCs w:val="22"/>
                <w:lang w:val="fr-FR"/>
              </w:rPr>
              <w:t>et départements du</w:t>
            </w:r>
            <w:r w:rsidR="00EA177C" w:rsidRPr="00B62618">
              <w:rPr>
                <w:sz w:val="22"/>
                <w:szCs w:val="22"/>
                <w:lang w:val="fr-FR"/>
              </w:rPr>
              <w:t xml:space="preserve"> SEDI </w:t>
            </w:r>
          </w:p>
          <w:p w14:paraId="4CA40458" w14:textId="77777777" w:rsidR="00EA177C" w:rsidRPr="00B62618" w:rsidRDefault="00EA177C" w:rsidP="00493A9B">
            <w:pPr>
              <w:rPr>
                <w:sz w:val="22"/>
                <w:szCs w:val="22"/>
                <w:lang w:val="fr-FR"/>
              </w:rPr>
            </w:pPr>
          </w:p>
          <w:p w14:paraId="4B4788E6" w14:textId="0AB13290" w:rsidR="00EA177C" w:rsidRPr="00B62618" w:rsidRDefault="00D63A5E" w:rsidP="00493A9B">
            <w:pPr>
              <w:rPr>
                <w:sz w:val="22"/>
                <w:szCs w:val="22"/>
                <w:lang w:val="fr-FR"/>
              </w:rPr>
            </w:pPr>
            <w:r w:rsidRPr="00B62618">
              <w:rPr>
                <w:b/>
                <w:sz w:val="22"/>
                <w:szCs w:val="22"/>
                <w:lang w:val="fr-FR"/>
              </w:rPr>
              <w:t>Externe </w:t>
            </w:r>
            <w:r w:rsidR="00EA177C" w:rsidRPr="00B62618">
              <w:rPr>
                <w:b/>
                <w:sz w:val="22"/>
                <w:szCs w:val="22"/>
                <w:lang w:val="fr-FR"/>
              </w:rPr>
              <w:t>:</w:t>
            </w:r>
          </w:p>
          <w:p w14:paraId="61FE5F38" w14:textId="5CD58B36" w:rsidR="00EA177C" w:rsidRPr="00B62618" w:rsidRDefault="00D63A5E" w:rsidP="0071638E">
            <w:pPr>
              <w:rPr>
                <w:sz w:val="22"/>
                <w:szCs w:val="22"/>
                <w:lang w:val="fr-FR"/>
              </w:rPr>
            </w:pPr>
            <w:r w:rsidRPr="00B62618">
              <w:rPr>
                <w:sz w:val="22"/>
                <w:szCs w:val="22"/>
                <w:lang w:val="fr-FR"/>
              </w:rPr>
              <w:t xml:space="preserve">Département du Commerce des États-Unis </w:t>
            </w:r>
            <w:r w:rsidR="00EA177C" w:rsidRPr="00B62618">
              <w:rPr>
                <w:sz w:val="22"/>
                <w:szCs w:val="22"/>
                <w:lang w:val="fr-FR"/>
              </w:rPr>
              <w:t xml:space="preserve">(EDA </w:t>
            </w:r>
            <w:r w:rsidR="0071638E" w:rsidRPr="00B62618">
              <w:rPr>
                <w:sz w:val="22"/>
                <w:szCs w:val="22"/>
                <w:lang w:val="fr-FR"/>
              </w:rPr>
              <w:t>et</w:t>
            </w:r>
            <w:r w:rsidR="00EA177C" w:rsidRPr="00B62618">
              <w:rPr>
                <w:sz w:val="22"/>
                <w:szCs w:val="22"/>
                <w:lang w:val="fr-FR"/>
              </w:rPr>
              <w:t xml:space="preserve"> ITA), </w:t>
            </w:r>
            <w:r w:rsidR="0071638E" w:rsidRPr="00B62618">
              <w:rPr>
                <w:sz w:val="22"/>
                <w:szCs w:val="22"/>
                <w:lang w:val="fr-FR"/>
              </w:rPr>
              <w:t>Département d’État des États-Unis</w:t>
            </w:r>
            <w:r w:rsidR="00EA177C" w:rsidRPr="00B62618">
              <w:rPr>
                <w:sz w:val="22"/>
                <w:szCs w:val="22"/>
                <w:lang w:val="fr-FR"/>
              </w:rPr>
              <w:t>,</w:t>
            </w:r>
            <w:r w:rsidR="0071638E" w:rsidRPr="00B62618">
              <w:rPr>
                <w:sz w:val="22"/>
                <w:szCs w:val="22"/>
                <w:lang w:val="fr-FR"/>
              </w:rPr>
              <w:t xml:space="preserve"> Fondation panaméricaine pour le développement (FONPAD), États membres de l’OEA, secteur privé et monde universitaire</w:t>
            </w:r>
          </w:p>
        </w:tc>
      </w:tr>
      <w:tr w:rsidR="00EA177C" w:rsidRPr="00121D09" w14:paraId="3DFD79C7" w14:textId="77777777" w:rsidTr="006D77D6">
        <w:trPr>
          <w:jc w:val="center"/>
        </w:trPr>
        <w:tc>
          <w:tcPr>
            <w:tcW w:w="3405" w:type="dxa"/>
            <w:tcBorders>
              <w:bottom w:val="single" w:sz="6" w:space="0" w:color="auto"/>
            </w:tcBorders>
          </w:tcPr>
          <w:p w14:paraId="7BC01FDE" w14:textId="2CB17778" w:rsidR="00EA177C" w:rsidRPr="00B62618" w:rsidRDefault="00781145" w:rsidP="00781145">
            <w:pPr>
              <w:rPr>
                <w:sz w:val="22"/>
                <w:szCs w:val="22"/>
                <w:lang w:val="fr-FR"/>
              </w:rPr>
            </w:pPr>
            <w:r w:rsidRPr="00B62618">
              <w:rPr>
                <w:sz w:val="22"/>
                <w:szCs w:val="22"/>
                <w:lang w:val="fr-FR"/>
              </w:rPr>
              <w:t xml:space="preserve">Plateforme d’innovation collaborative du </w:t>
            </w:r>
            <w:r w:rsidR="00EA177C" w:rsidRPr="00B62618">
              <w:rPr>
                <w:sz w:val="22"/>
                <w:szCs w:val="22"/>
                <w:lang w:val="fr-FR"/>
              </w:rPr>
              <w:t>RIAC</w:t>
            </w:r>
            <w:r w:rsidRPr="00B62618">
              <w:rPr>
                <w:sz w:val="22"/>
                <w:szCs w:val="22"/>
                <w:lang w:val="fr-FR"/>
              </w:rPr>
              <w:t xml:space="preserve"> sur la</w:t>
            </w:r>
            <w:r w:rsidR="00EA177C" w:rsidRPr="00B62618">
              <w:rPr>
                <w:sz w:val="22"/>
                <w:szCs w:val="22"/>
                <w:lang w:val="fr-FR"/>
              </w:rPr>
              <w:t xml:space="preserve"> COVID-19 </w:t>
            </w:r>
          </w:p>
        </w:tc>
        <w:tc>
          <w:tcPr>
            <w:tcW w:w="4140" w:type="dxa"/>
            <w:tcBorders>
              <w:bottom w:val="single" w:sz="6" w:space="0" w:color="auto"/>
            </w:tcBorders>
          </w:tcPr>
          <w:p w14:paraId="14937832" w14:textId="3510F52C" w:rsidR="00EA177C" w:rsidRPr="00B62618" w:rsidRDefault="00EA177C" w:rsidP="00493A9B">
            <w:pPr>
              <w:rPr>
                <w:sz w:val="22"/>
                <w:szCs w:val="22"/>
                <w:lang w:val="fr-FR"/>
              </w:rPr>
            </w:pPr>
            <w:r w:rsidRPr="00B62618">
              <w:rPr>
                <w:color w:val="262626"/>
                <w:sz w:val="22"/>
                <w:szCs w:val="22"/>
                <w:lang w:val="fr-FR"/>
              </w:rPr>
              <w:t xml:space="preserve">- </w:t>
            </w:r>
            <w:r w:rsidR="00781145" w:rsidRPr="00B62618">
              <w:rPr>
                <w:color w:val="262626"/>
                <w:sz w:val="22"/>
                <w:szCs w:val="22"/>
                <w:lang w:val="fr-FR"/>
              </w:rPr>
              <w:t xml:space="preserve">Imaginer et partager des stratégies, des produits et des services novateurs axés sur des solutions pour aborder </w:t>
            </w:r>
            <w:r w:rsidR="009A1EB4" w:rsidRPr="00B62618">
              <w:rPr>
                <w:color w:val="262626"/>
                <w:sz w:val="22"/>
                <w:szCs w:val="22"/>
                <w:lang w:val="fr-FR"/>
              </w:rPr>
              <w:t>la reprise économique et la résilience après</w:t>
            </w:r>
            <w:r w:rsidR="00781145" w:rsidRPr="00B62618">
              <w:rPr>
                <w:color w:val="262626"/>
                <w:sz w:val="22"/>
                <w:szCs w:val="22"/>
                <w:lang w:val="fr-FR"/>
              </w:rPr>
              <w:t xml:space="preserve"> </w:t>
            </w:r>
            <w:r w:rsidRPr="00B62618">
              <w:rPr>
                <w:sz w:val="22"/>
                <w:szCs w:val="22"/>
                <w:lang w:val="fr-FR"/>
              </w:rPr>
              <w:t>COVID-19</w:t>
            </w:r>
          </w:p>
          <w:p w14:paraId="7876C30B" w14:textId="77777777" w:rsidR="00EA177C" w:rsidRPr="00B62618" w:rsidRDefault="00EA177C" w:rsidP="00493A9B">
            <w:pPr>
              <w:rPr>
                <w:sz w:val="22"/>
                <w:szCs w:val="22"/>
                <w:lang w:val="fr-FR"/>
              </w:rPr>
            </w:pPr>
          </w:p>
        </w:tc>
        <w:tc>
          <w:tcPr>
            <w:tcW w:w="3420" w:type="dxa"/>
            <w:tcBorders>
              <w:bottom w:val="single" w:sz="6" w:space="0" w:color="auto"/>
            </w:tcBorders>
          </w:tcPr>
          <w:p w14:paraId="7F2575A1" w14:textId="4999224C" w:rsidR="00EA177C" w:rsidRPr="00B62618" w:rsidRDefault="00EA177C" w:rsidP="00493A9B">
            <w:pPr>
              <w:rPr>
                <w:sz w:val="22"/>
                <w:szCs w:val="22"/>
                <w:lang w:val="fr-FR"/>
              </w:rPr>
            </w:pPr>
            <w:r w:rsidRPr="00B62618">
              <w:rPr>
                <w:sz w:val="22"/>
                <w:szCs w:val="22"/>
                <w:lang w:val="fr-FR"/>
              </w:rPr>
              <w:t>A</w:t>
            </w:r>
            <w:r w:rsidR="00CE7E33" w:rsidRPr="00B62618">
              <w:rPr>
                <w:sz w:val="22"/>
                <w:szCs w:val="22"/>
                <w:lang w:val="fr-FR"/>
              </w:rPr>
              <w:t>u moins 20 nouvelles solutions et stratégies novatrices</w:t>
            </w:r>
            <w:r w:rsidR="00F860DB" w:rsidRPr="00B62618">
              <w:rPr>
                <w:sz w:val="22"/>
                <w:szCs w:val="22"/>
                <w:lang w:val="fr-FR"/>
              </w:rPr>
              <w:t xml:space="preserve"> </w:t>
            </w:r>
            <w:r w:rsidR="005E69D6" w:rsidRPr="00B62618">
              <w:rPr>
                <w:sz w:val="22"/>
                <w:szCs w:val="22"/>
                <w:lang w:val="fr-FR"/>
              </w:rPr>
              <w:t>émanant de la plateforme d’innovation collaborative du RIAC sur la</w:t>
            </w:r>
            <w:r w:rsidRPr="00B62618">
              <w:rPr>
                <w:sz w:val="22"/>
                <w:szCs w:val="22"/>
                <w:lang w:val="fr-FR"/>
              </w:rPr>
              <w:t xml:space="preserve"> COVID-19 </w:t>
            </w:r>
          </w:p>
        </w:tc>
        <w:tc>
          <w:tcPr>
            <w:tcW w:w="2880" w:type="dxa"/>
            <w:tcBorders>
              <w:bottom w:val="single" w:sz="6" w:space="0" w:color="auto"/>
            </w:tcBorders>
          </w:tcPr>
          <w:p w14:paraId="5B1E8C69" w14:textId="77777777" w:rsidR="00EA177C" w:rsidRPr="00B62618" w:rsidRDefault="00EA177C" w:rsidP="00493A9B">
            <w:pPr>
              <w:rPr>
                <w:sz w:val="22"/>
                <w:szCs w:val="22"/>
                <w:lang w:val="fr-FR"/>
              </w:rPr>
            </w:pPr>
          </w:p>
        </w:tc>
      </w:tr>
      <w:tr w:rsidR="008C3207" w:rsidRPr="00121D09" w14:paraId="43F23FCF" w14:textId="77777777" w:rsidTr="006D77D6">
        <w:trPr>
          <w:jc w:val="center"/>
        </w:trPr>
        <w:tc>
          <w:tcPr>
            <w:tcW w:w="3405" w:type="dxa"/>
            <w:tcBorders>
              <w:top w:val="single" w:sz="6" w:space="0" w:color="auto"/>
              <w:bottom w:val="single" w:sz="6" w:space="0" w:color="auto"/>
            </w:tcBorders>
            <w:shd w:val="clear" w:color="auto" w:fill="BFBFBF" w:themeFill="background1" w:themeFillShade="BF"/>
            <w:vAlign w:val="center"/>
          </w:tcPr>
          <w:p w14:paraId="62991C5C" w14:textId="2A09076F" w:rsidR="008C3207" w:rsidRPr="00B62618" w:rsidRDefault="00944E71" w:rsidP="00493A9B">
            <w:pPr>
              <w:rPr>
                <w:b/>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bottom w:val="single" w:sz="6" w:space="0" w:color="auto"/>
            </w:tcBorders>
            <w:shd w:val="clear" w:color="auto" w:fill="BFBFBF" w:themeFill="background1" w:themeFillShade="BF"/>
          </w:tcPr>
          <w:p w14:paraId="26E1EA9D" w14:textId="242B6507" w:rsidR="008C3207" w:rsidRPr="00B62618" w:rsidRDefault="008C3207" w:rsidP="00493A9B">
            <w:pPr>
              <w:rPr>
                <w:b/>
                <w:sz w:val="22"/>
                <w:szCs w:val="22"/>
                <w:lang w:val="fr-FR"/>
              </w:rPr>
            </w:pPr>
            <w:r w:rsidRPr="00B62618">
              <w:rPr>
                <w:b/>
                <w:sz w:val="22"/>
                <w:szCs w:val="22"/>
                <w:lang w:val="fr-FR"/>
              </w:rPr>
              <w:t xml:space="preserve">1.3. </w:t>
            </w:r>
            <w:r w:rsidR="005E69D6" w:rsidRPr="00B62618">
              <w:rPr>
                <w:b/>
                <w:sz w:val="22"/>
                <w:szCs w:val="22"/>
                <w:lang w:val="fr-FR"/>
              </w:rPr>
              <w:t>Accroitre la coopération en vue de renforcer les capacités des institutions des États membres d’incorporer des innovations ainsi que des technologies transformatrices afin de créer une valeur ajoutée</w:t>
            </w:r>
            <w:r w:rsidR="00D54BD2" w:rsidRPr="00B62618">
              <w:rPr>
                <w:b/>
                <w:sz w:val="22"/>
                <w:szCs w:val="22"/>
                <w:lang w:val="fr-FR"/>
              </w:rPr>
              <w:t xml:space="preserve"> et de diversifier leurs économies de façon durable et inclusive.</w:t>
            </w:r>
            <w:r w:rsidR="005E69D6" w:rsidRPr="00B62618">
              <w:rPr>
                <w:b/>
                <w:sz w:val="22"/>
                <w:szCs w:val="22"/>
                <w:lang w:val="fr-FR"/>
              </w:rPr>
              <w:t xml:space="preserve"> </w:t>
            </w:r>
          </w:p>
        </w:tc>
      </w:tr>
      <w:tr w:rsidR="008C3207" w:rsidRPr="00B62618" w14:paraId="2E89F9EB" w14:textId="77777777" w:rsidTr="006D77D6">
        <w:trPr>
          <w:jc w:val="center"/>
        </w:trPr>
        <w:tc>
          <w:tcPr>
            <w:tcW w:w="13845" w:type="dxa"/>
            <w:gridSpan w:val="4"/>
            <w:tcBorders>
              <w:top w:val="single" w:sz="6" w:space="0" w:color="auto"/>
            </w:tcBorders>
            <w:shd w:val="clear" w:color="auto" w:fill="D9D9D9" w:themeFill="background1" w:themeFillShade="D9"/>
          </w:tcPr>
          <w:p w14:paraId="3F86B992" w14:textId="4DB3BA61" w:rsidR="008C3207" w:rsidRPr="00B62618" w:rsidRDefault="008C3207" w:rsidP="00944E71">
            <w:pPr>
              <w:rPr>
                <w:b/>
                <w:sz w:val="22"/>
                <w:szCs w:val="22"/>
                <w:lang w:val="fr-FR"/>
              </w:rPr>
            </w:pPr>
            <w:r w:rsidRPr="00B62618">
              <w:rPr>
                <w:b/>
                <w:sz w:val="22"/>
                <w:szCs w:val="22"/>
                <w:lang w:val="fr-FR"/>
              </w:rPr>
              <w:t>Science</w:t>
            </w:r>
            <w:r w:rsidR="00944E71" w:rsidRPr="00B62618">
              <w:rPr>
                <w:b/>
                <w:sz w:val="22"/>
                <w:szCs w:val="22"/>
                <w:lang w:val="fr-FR"/>
              </w:rPr>
              <w:t xml:space="preserve"> et technologie</w:t>
            </w:r>
          </w:p>
        </w:tc>
      </w:tr>
      <w:tr w:rsidR="006D77D6" w:rsidRPr="00121D09" w14:paraId="115BD67A" w14:textId="77777777" w:rsidTr="006D77D6">
        <w:trPr>
          <w:jc w:val="center"/>
        </w:trPr>
        <w:tc>
          <w:tcPr>
            <w:tcW w:w="3405" w:type="dxa"/>
          </w:tcPr>
          <w:p w14:paraId="7E458B14" w14:textId="73214BF5" w:rsidR="006D77D6" w:rsidRPr="00B62618" w:rsidRDefault="00D54BD2" w:rsidP="00493A9B">
            <w:pPr>
              <w:tabs>
                <w:tab w:val="left" w:pos="177"/>
              </w:tabs>
              <w:rPr>
                <w:sz w:val="22"/>
                <w:szCs w:val="22"/>
                <w:lang w:val="fr-FR"/>
              </w:rPr>
            </w:pPr>
            <w:r w:rsidRPr="00B62618">
              <w:rPr>
                <w:sz w:val="22"/>
                <w:szCs w:val="22"/>
                <w:lang w:val="fr-FR"/>
              </w:rPr>
              <w:t xml:space="preserve">Sixième Réunion des ministres et hauts fonctionnaires chargés de la science et de la technologie et réunion de préparation. Thème : </w:t>
            </w:r>
            <w:r w:rsidR="006D77D6" w:rsidRPr="00B62618">
              <w:rPr>
                <w:sz w:val="22"/>
                <w:szCs w:val="22"/>
                <w:lang w:val="fr-FR"/>
              </w:rPr>
              <w:t>“Harn</w:t>
            </w:r>
            <w:r w:rsidRPr="00B62618">
              <w:rPr>
                <w:sz w:val="22"/>
                <w:szCs w:val="22"/>
                <w:lang w:val="fr-FR"/>
              </w:rPr>
              <w:t>acher la puissance de la science et des technologies transformatrices pour faire progresser nos communautés</w:t>
            </w:r>
            <w:r w:rsidR="006D77D6" w:rsidRPr="00B62618">
              <w:rPr>
                <w:sz w:val="22"/>
                <w:szCs w:val="22"/>
                <w:lang w:val="fr-FR"/>
              </w:rPr>
              <w:t>” (Jama</w:t>
            </w:r>
            <w:r w:rsidRPr="00B62618">
              <w:rPr>
                <w:sz w:val="22"/>
                <w:szCs w:val="22"/>
                <w:lang w:val="fr-FR"/>
              </w:rPr>
              <w:t>ïque</w:t>
            </w:r>
            <w:r w:rsidR="006D77D6" w:rsidRPr="00B62618">
              <w:rPr>
                <w:sz w:val="22"/>
                <w:szCs w:val="22"/>
                <w:lang w:val="fr-FR"/>
              </w:rPr>
              <w:t xml:space="preserve">, dates </w:t>
            </w:r>
            <w:r w:rsidRPr="00B62618">
              <w:rPr>
                <w:sz w:val="22"/>
                <w:szCs w:val="22"/>
                <w:lang w:val="fr-FR"/>
              </w:rPr>
              <w:t>à confirmer</w:t>
            </w:r>
            <w:r w:rsidR="006D77D6" w:rsidRPr="00B62618">
              <w:rPr>
                <w:sz w:val="22"/>
                <w:szCs w:val="22"/>
                <w:lang w:val="fr-FR"/>
              </w:rPr>
              <w:t>)</w:t>
            </w:r>
          </w:p>
        </w:tc>
        <w:tc>
          <w:tcPr>
            <w:tcW w:w="4140" w:type="dxa"/>
          </w:tcPr>
          <w:p w14:paraId="4CF56EE2" w14:textId="11871559" w:rsidR="006D77D6" w:rsidRPr="00B62618" w:rsidRDefault="00D54BD2" w:rsidP="00493A9B">
            <w:pPr>
              <w:tabs>
                <w:tab w:val="left" w:pos="177"/>
              </w:tabs>
              <w:rPr>
                <w:sz w:val="22"/>
                <w:szCs w:val="22"/>
                <w:lang w:val="fr-FR"/>
              </w:rPr>
            </w:pPr>
            <w:r w:rsidRPr="00B62618">
              <w:rPr>
                <w:sz w:val="22"/>
                <w:szCs w:val="22"/>
                <w:lang w:val="fr-FR"/>
              </w:rPr>
              <w:t>Cette réunion ministérielle est une occasion d’établir des priorit</w:t>
            </w:r>
            <w:r w:rsidR="003F7F9C" w:rsidRPr="00B62618">
              <w:rPr>
                <w:sz w:val="22"/>
                <w:szCs w:val="22"/>
                <w:lang w:val="fr-FR"/>
              </w:rPr>
              <w:t>é</w:t>
            </w:r>
            <w:r w:rsidRPr="00B62618">
              <w:rPr>
                <w:sz w:val="22"/>
                <w:szCs w:val="22"/>
                <w:lang w:val="fr-FR"/>
              </w:rPr>
              <w:t xml:space="preserve">s régionales </w:t>
            </w:r>
            <w:r w:rsidR="003F7F9C" w:rsidRPr="00B62618">
              <w:rPr>
                <w:sz w:val="22"/>
                <w:szCs w:val="22"/>
                <w:lang w:val="fr-FR"/>
              </w:rPr>
              <w:t xml:space="preserve">réalisables sur le rôle de la science et de la technologie pour appuyer la résilience, la reprise après la COVID et niveau de préparation </w:t>
            </w:r>
          </w:p>
          <w:p w14:paraId="7EABAE3D" w14:textId="77777777" w:rsidR="006D77D6" w:rsidRPr="00B62618" w:rsidRDefault="006D77D6" w:rsidP="00493A9B">
            <w:pPr>
              <w:rPr>
                <w:sz w:val="22"/>
                <w:szCs w:val="22"/>
                <w:lang w:val="fr-FR"/>
              </w:rPr>
            </w:pPr>
          </w:p>
        </w:tc>
        <w:tc>
          <w:tcPr>
            <w:tcW w:w="3420" w:type="dxa"/>
          </w:tcPr>
          <w:p w14:paraId="3EF3B3CF" w14:textId="3E2AF576" w:rsidR="006D77D6" w:rsidRPr="00B62618" w:rsidRDefault="003F7F9C" w:rsidP="00493A9B">
            <w:pPr>
              <w:rPr>
                <w:sz w:val="22"/>
                <w:szCs w:val="22"/>
                <w:lang w:val="fr-FR"/>
              </w:rPr>
            </w:pPr>
            <w:r w:rsidRPr="00B62618">
              <w:rPr>
                <w:sz w:val="22"/>
                <w:szCs w:val="22"/>
                <w:lang w:val="fr-FR"/>
              </w:rPr>
              <w:t xml:space="preserve">Priorités et mesures décisives en matière de science et de technologie pour permettre à la COMCYT d’appuyer </w:t>
            </w:r>
            <w:r w:rsidR="003F4765" w:rsidRPr="00B62618">
              <w:rPr>
                <w:sz w:val="22"/>
                <w:szCs w:val="22"/>
                <w:lang w:val="fr-FR"/>
              </w:rPr>
              <w:t>la résilience et la reprise des États membres de l’OEA, selon les spécifications des États membres de l’OEA</w:t>
            </w:r>
          </w:p>
        </w:tc>
        <w:tc>
          <w:tcPr>
            <w:tcW w:w="2880" w:type="dxa"/>
          </w:tcPr>
          <w:p w14:paraId="2645E9DD" w14:textId="2111DD14" w:rsidR="006D77D6" w:rsidRPr="00B62618" w:rsidRDefault="006D77D6" w:rsidP="00493A9B">
            <w:pPr>
              <w:rPr>
                <w:sz w:val="22"/>
                <w:szCs w:val="22"/>
                <w:lang w:val="fr-FR"/>
              </w:rPr>
            </w:pPr>
            <w:r w:rsidRPr="00B62618">
              <w:rPr>
                <w:b/>
                <w:sz w:val="22"/>
                <w:szCs w:val="22"/>
                <w:lang w:val="fr-FR"/>
              </w:rPr>
              <w:t>Intern</w:t>
            </w:r>
            <w:r w:rsidR="003F4765" w:rsidRPr="00B62618">
              <w:rPr>
                <w:b/>
                <w:sz w:val="22"/>
                <w:szCs w:val="22"/>
                <w:lang w:val="fr-FR"/>
              </w:rPr>
              <w:t>e </w:t>
            </w:r>
            <w:r w:rsidRPr="00B62618">
              <w:rPr>
                <w:b/>
                <w:sz w:val="22"/>
                <w:szCs w:val="22"/>
                <w:lang w:val="fr-FR"/>
              </w:rPr>
              <w:t>:</w:t>
            </w:r>
          </w:p>
          <w:p w14:paraId="632978B5" w14:textId="64A239FC" w:rsidR="006D77D6" w:rsidRPr="00B62618" w:rsidRDefault="003F4765" w:rsidP="00493A9B">
            <w:pPr>
              <w:rPr>
                <w:sz w:val="22"/>
                <w:szCs w:val="22"/>
                <w:lang w:val="fr-FR"/>
              </w:rPr>
            </w:pPr>
            <w:r w:rsidRPr="00B62618">
              <w:rPr>
                <w:sz w:val="22"/>
                <w:szCs w:val="22"/>
                <w:lang w:val="fr-FR"/>
              </w:rPr>
              <w:t xml:space="preserve">Bureau exécutif du SEDI et départements du SEDI </w:t>
            </w:r>
          </w:p>
          <w:p w14:paraId="4908A526" w14:textId="77777777" w:rsidR="006D77D6" w:rsidRPr="00B62618" w:rsidRDefault="006D77D6" w:rsidP="00493A9B">
            <w:pPr>
              <w:rPr>
                <w:sz w:val="22"/>
                <w:szCs w:val="22"/>
                <w:lang w:val="fr-FR"/>
              </w:rPr>
            </w:pPr>
          </w:p>
          <w:p w14:paraId="6BB48422" w14:textId="7D2CD198" w:rsidR="006D77D6" w:rsidRPr="00B62618" w:rsidRDefault="006D77D6" w:rsidP="00493A9B">
            <w:pPr>
              <w:rPr>
                <w:sz w:val="22"/>
                <w:szCs w:val="22"/>
                <w:lang w:val="fr-FR"/>
              </w:rPr>
            </w:pPr>
            <w:r w:rsidRPr="00B62618">
              <w:rPr>
                <w:b/>
                <w:sz w:val="22"/>
                <w:szCs w:val="22"/>
                <w:lang w:val="fr-FR"/>
              </w:rPr>
              <w:t>Extern</w:t>
            </w:r>
            <w:r w:rsidR="003F4765" w:rsidRPr="00B62618">
              <w:rPr>
                <w:b/>
                <w:sz w:val="22"/>
                <w:szCs w:val="22"/>
                <w:lang w:val="fr-FR"/>
              </w:rPr>
              <w:t>e </w:t>
            </w:r>
            <w:r w:rsidRPr="00B62618">
              <w:rPr>
                <w:b/>
                <w:sz w:val="22"/>
                <w:szCs w:val="22"/>
                <w:lang w:val="fr-FR"/>
              </w:rPr>
              <w:t>:</w:t>
            </w:r>
          </w:p>
          <w:p w14:paraId="073E0AAF" w14:textId="361C5E7A" w:rsidR="006D77D6" w:rsidRPr="00B62618" w:rsidRDefault="003F4765" w:rsidP="00493A9B">
            <w:pPr>
              <w:rPr>
                <w:sz w:val="22"/>
                <w:szCs w:val="22"/>
                <w:lang w:val="fr-FR"/>
              </w:rPr>
            </w:pPr>
            <w:r w:rsidRPr="00B62618">
              <w:rPr>
                <w:sz w:val="22"/>
                <w:szCs w:val="22"/>
                <w:lang w:val="fr-FR"/>
              </w:rPr>
              <w:t>Ministère de la science, de l’énergie et de la technologie (</w:t>
            </w:r>
            <w:r w:rsidR="006D77D6" w:rsidRPr="00B62618">
              <w:rPr>
                <w:sz w:val="22"/>
                <w:szCs w:val="22"/>
                <w:lang w:val="fr-FR"/>
              </w:rPr>
              <w:t>MSET</w:t>
            </w:r>
            <w:r w:rsidRPr="00B62618">
              <w:rPr>
                <w:sz w:val="22"/>
                <w:szCs w:val="22"/>
                <w:lang w:val="fr-FR"/>
              </w:rPr>
              <w:t>) de la Jamaïque, Commission nationale sur la science et la technologie</w:t>
            </w:r>
            <w:r w:rsidR="006D77D6" w:rsidRPr="00B62618">
              <w:rPr>
                <w:sz w:val="22"/>
                <w:szCs w:val="22"/>
                <w:lang w:val="fr-FR"/>
              </w:rPr>
              <w:t xml:space="preserve"> </w:t>
            </w:r>
            <w:r w:rsidRPr="00B62618">
              <w:rPr>
                <w:sz w:val="22"/>
                <w:szCs w:val="22"/>
                <w:lang w:val="fr-FR"/>
              </w:rPr>
              <w:t>(</w:t>
            </w:r>
            <w:r w:rsidR="006D77D6" w:rsidRPr="00B62618">
              <w:rPr>
                <w:sz w:val="22"/>
                <w:szCs w:val="22"/>
                <w:lang w:val="fr-FR"/>
              </w:rPr>
              <w:t>NCST</w:t>
            </w:r>
            <w:r w:rsidRPr="00B62618">
              <w:rPr>
                <w:sz w:val="22"/>
                <w:szCs w:val="22"/>
                <w:lang w:val="fr-FR"/>
              </w:rPr>
              <w:t>) de la Jamaïque</w:t>
            </w:r>
            <w:r w:rsidR="00922B88" w:rsidRPr="00B62618">
              <w:rPr>
                <w:sz w:val="22"/>
                <w:szCs w:val="22"/>
                <w:lang w:val="fr-FR"/>
              </w:rPr>
              <w:t>,</w:t>
            </w:r>
            <w:r w:rsidR="006D77D6" w:rsidRPr="00B62618">
              <w:rPr>
                <w:sz w:val="22"/>
                <w:szCs w:val="22"/>
                <w:lang w:val="fr-FR"/>
              </w:rPr>
              <w:t xml:space="preserve"> </w:t>
            </w:r>
          </w:p>
          <w:p w14:paraId="722C98A3" w14:textId="31EB9769" w:rsidR="006D77D6" w:rsidRPr="00B62618" w:rsidRDefault="003F4765" w:rsidP="00493A9B">
            <w:pPr>
              <w:rPr>
                <w:sz w:val="22"/>
                <w:szCs w:val="22"/>
                <w:lang w:val="fr-FR"/>
              </w:rPr>
            </w:pPr>
            <w:r w:rsidRPr="00B62618">
              <w:rPr>
                <w:sz w:val="22"/>
                <w:szCs w:val="22"/>
                <w:lang w:val="fr-FR"/>
              </w:rPr>
              <w:lastRenderedPageBreak/>
              <w:t>Ministère de la science, la technologie et l’innovation (</w:t>
            </w:r>
            <w:r w:rsidR="006D77D6" w:rsidRPr="00B62618">
              <w:rPr>
                <w:sz w:val="22"/>
                <w:szCs w:val="22"/>
                <w:lang w:val="fr-FR"/>
              </w:rPr>
              <w:t>MINCIENCIAS</w:t>
            </w:r>
            <w:r w:rsidRPr="00B62618">
              <w:rPr>
                <w:sz w:val="22"/>
                <w:szCs w:val="22"/>
                <w:lang w:val="fr-FR"/>
              </w:rPr>
              <w:t>) de la Colombie</w:t>
            </w:r>
            <w:r w:rsidR="00922B88" w:rsidRPr="00B62618">
              <w:rPr>
                <w:sz w:val="22"/>
                <w:szCs w:val="22"/>
                <w:lang w:val="fr-FR"/>
              </w:rPr>
              <w:t>,</w:t>
            </w:r>
            <w:r w:rsidR="006D77D6" w:rsidRPr="00B62618">
              <w:rPr>
                <w:sz w:val="22"/>
                <w:szCs w:val="22"/>
                <w:lang w:val="fr-FR"/>
              </w:rPr>
              <w:t xml:space="preserve"> </w:t>
            </w:r>
          </w:p>
          <w:p w14:paraId="46C5D0B6" w14:textId="77777777" w:rsidR="00922B88" w:rsidRPr="00B62618" w:rsidRDefault="00922B88" w:rsidP="00493A9B">
            <w:pPr>
              <w:rPr>
                <w:sz w:val="22"/>
                <w:szCs w:val="22"/>
                <w:lang w:val="fr-FR"/>
              </w:rPr>
            </w:pPr>
            <w:r w:rsidRPr="00B62618">
              <w:rPr>
                <w:sz w:val="22"/>
                <w:szCs w:val="22"/>
                <w:lang w:val="fr-FR"/>
              </w:rPr>
              <w:t>Conseil national de la science, de la technologie et de l’innovation technologique (</w:t>
            </w:r>
            <w:r w:rsidR="006D77D6" w:rsidRPr="00B62618">
              <w:rPr>
                <w:sz w:val="22"/>
                <w:szCs w:val="22"/>
                <w:lang w:val="fr-FR"/>
              </w:rPr>
              <w:t>CONCYTEC</w:t>
            </w:r>
            <w:r w:rsidRPr="00B62618">
              <w:rPr>
                <w:sz w:val="22"/>
                <w:szCs w:val="22"/>
                <w:lang w:val="fr-FR"/>
              </w:rPr>
              <w:t>) du Pérou</w:t>
            </w:r>
            <w:r w:rsidR="006D77D6" w:rsidRPr="00B62618">
              <w:rPr>
                <w:sz w:val="22"/>
                <w:szCs w:val="22"/>
                <w:lang w:val="fr-FR"/>
              </w:rPr>
              <w:t xml:space="preserve">, </w:t>
            </w:r>
            <w:r w:rsidRPr="00B62618">
              <w:rPr>
                <w:sz w:val="22"/>
                <w:szCs w:val="22"/>
                <w:lang w:val="fr-FR"/>
              </w:rPr>
              <w:t>Conseil national de science et de technologie (</w:t>
            </w:r>
            <w:r w:rsidR="006D77D6" w:rsidRPr="00B62618">
              <w:rPr>
                <w:sz w:val="22"/>
                <w:szCs w:val="22"/>
                <w:lang w:val="fr-FR"/>
              </w:rPr>
              <w:t>CONACYT</w:t>
            </w:r>
            <w:r w:rsidRPr="00B62618">
              <w:rPr>
                <w:sz w:val="22"/>
                <w:szCs w:val="22"/>
                <w:lang w:val="fr-FR"/>
              </w:rPr>
              <w:t>) du Mexique</w:t>
            </w:r>
            <w:r w:rsidR="006D77D6" w:rsidRPr="00B62618">
              <w:rPr>
                <w:sz w:val="22"/>
                <w:szCs w:val="22"/>
                <w:lang w:val="fr-FR"/>
              </w:rPr>
              <w:t>,</w:t>
            </w:r>
            <w:r w:rsidRPr="00B62618">
              <w:rPr>
                <w:sz w:val="22"/>
                <w:szCs w:val="22"/>
                <w:lang w:val="fr-FR"/>
              </w:rPr>
              <w:t xml:space="preserve"> </w:t>
            </w:r>
          </w:p>
          <w:p w14:paraId="33E8A6D8" w14:textId="2551140B" w:rsidR="006D77D6" w:rsidRPr="00B62618" w:rsidRDefault="00922B88" w:rsidP="00493A9B">
            <w:pPr>
              <w:rPr>
                <w:sz w:val="22"/>
                <w:szCs w:val="22"/>
                <w:lang w:val="fr-FR"/>
              </w:rPr>
            </w:pPr>
            <w:r w:rsidRPr="00B62618">
              <w:rPr>
                <w:sz w:val="22"/>
                <w:szCs w:val="22"/>
                <w:lang w:val="fr-FR"/>
              </w:rPr>
              <w:t>Centre de recherches en biologie du Nord-ouest (</w:t>
            </w:r>
            <w:r w:rsidR="006D77D6" w:rsidRPr="00B62618">
              <w:rPr>
                <w:sz w:val="22"/>
                <w:szCs w:val="22"/>
                <w:lang w:val="fr-FR"/>
              </w:rPr>
              <w:t>CIBNOR</w:t>
            </w:r>
            <w:r w:rsidRPr="00B62618">
              <w:rPr>
                <w:sz w:val="22"/>
                <w:szCs w:val="22"/>
                <w:lang w:val="fr-FR"/>
              </w:rPr>
              <w:t>) du Mexique,</w:t>
            </w:r>
          </w:p>
          <w:p w14:paraId="0AB3088E" w14:textId="607B37A8" w:rsidR="006D77D6" w:rsidRPr="00B62618" w:rsidRDefault="00922B88" w:rsidP="007511B1">
            <w:pPr>
              <w:rPr>
                <w:sz w:val="22"/>
                <w:szCs w:val="22"/>
                <w:lang w:val="fr-FR"/>
              </w:rPr>
            </w:pPr>
            <w:r w:rsidRPr="00B62618">
              <w:rPr>
                <w:sz w:val="22"/>
                <w:szCs w:val="22"/>
                <w:lang w:val="fr-FR"/>
              </w:rPr>
              <w:t>Secrétariat national de science et technologie (</w:t>
            </w:r>
            <w:r w:rsidR="006D77D6" w:rsidRPr="00B62618">
              <w:rPr>
                <w:sz w:val="22"/>
                <w:szCs w:val="22"/>
                <w:lang w:val="fr-FR"/>
              </w:rPr>
              <w:t>SENACYT</w:t>
            </w:r>
            <w:r w:rsidRPr="00B62618">
              <w:rPr>
                <w:sz w:val="22"/>
                <w:szCs w:val="22"/>
                <w:lang w:val="fr-FR"/>
              </w:rPr>
              <w:t>) du</w:t>
            </w:r>
            <w:r w:rsidR="006D77D6" w:rsidRPr="00B62618">
              <w:rPr>
                <w:sz w:val="22"/>
                <w:szCs w:val="22"/>
                <w:lang w:val="fr-FR"/>
              </w:rPr>
              <w:t xml:space="preserve"> Guatemala, </w:t>
            </w:r>
            <w:r w:rsidRPr="00B62618">
              <w:rPr>
                <w:sz w:val="22"/>
                <w:szCs w:val="22"/>
                <w:lang w:val="fr-FR"/>
              </w:rPr>
              <w:t>Agence de développement économique (</w:t>
            </w:r>
            <w:r w:rsidR="006D77D6" w:rsidRPr="00B62618">
              <w:rPr>
                <w:sz w:val="22"/>
                <w:szCs w:val="22"/>
                <w:lang w:val="fr-FR"/>
              </w:rPr>
              <w:t>CORFO</w:t>
            </w:r>
            <w:r w:rsidRPr="00B62618">
              <w:rPr>
                <w:sz w:val="22"/>
                <w:szCs w:val="22"/>
                <w:lang w:val="fr-FR"/>
              </w:rPr>
              <w:t>)</w:t>
            </w:r>
            <w:r w:rsidR="007511B1" w:rsidRPr="00B62618">
              <w:rPr>
                <w:sz w:val="22"/>
                <w:szCs w:val="22"/>
                <w:lang w:val="fr-FR"/>
              </w:rPr>
              <w:t xml:space="preserve"> du Chili</w:t>
            </w:r>
            <w:r w:rsidR="006D77D6" w:rsidRPr="00B62618">
              <w:rPr>
                <w:sz w:val="22"/>
                <w:szCs w:val="22"/>
                <w:lang w:val="fr-FR"/>
              </w:rPr>
              <w:t xml:space="preserve">, </w:t>
            </w:r>
            <w:r w:rsidR="007511B1" w:rsidRPr="00B62618">
              <w:rPr>
                <w:sz w:val="22"/>
                <w:szCs w:val="22"/>
                <w:lang w:val="fr-FR"/>
              </w:rPr>
              <w:t xml:space="preserve">Université </w:t>
            </w:r>
            <w:r w:rsidR="006D77D6" w:rsidRPr="00B62618">
              <w:rPr>
                <w:sz w:val="22"/>
                <w:szCs w:val="22"/>
                <w:lang w:val="fr-FR"/>
              </w:rPr>
              <w:t>Purdue,</w:t>
            </w:r>
            <w:r w:rsidR="007511B1" w:rsidRPr="00B62618">
              <w:rPr>
                <w:sz w:val="22"/>
                <w:szCs w:val="22"/>
                <w:lang w:val="fr-FR"/>
              </w:rPr>
              <w:t xml:space="preserve"> Université pontificale catholique du Pérou</w:t>
            </w:r>
            <w:r w:rsidR="006D77D6" w:rsidRPr="00B62618">
              <w:rPr>
                <w:sz w:val="22"/>
                <w:szCs w:val="22"/>
                <w:lang w:val="fr-FR"/>
              </w:rPr>
              <w:t>, U</w:t>
            </w:r>
            <w:r w:rsidR="007511B1" w:rsidRPr="00B62618">
              <w:rPr>
                <w:sz w:val="22"/>
                <w:szCs w:val="22"/>
                <w:lang w:val="fr-FR"/>
              </w:rPr>
              <w:t>niversité du</w:t>
            </w:r>
            <w:r w:rsidR="006D77D6" w:rsidRPr="00B62618">
              <w:rPr>
                <w:sz w:val="22"/>
                <w:szCs w:val="22"/>
                <w:lang w:val="fr-FR"/>
              </w:rPr>
              <w:t xml:space="preserve"> Costa Rica,</w:t>
            </w:r>
            <w:r w:rsidR="007511B1" w:rsidRPr="00B62618">
              <w:rPr>
                <w:sz w:val="22"/>
                <w:szCs w:val="22"/>
                <w:lang w:val="fr-FR"/>
              </w:rPr>
              <w:t xml:space="preserve"> Université nationale autonome du Mexique</w:t>
            </w:r>
            <w:r w:rsidR="006D77D6" w:rsidRPr="00B62618">
              <w:rPr>
                <w:sz w:val="22"/>
                <w:szCs w:val="22"/>
                <w:lang w:val="fr-FR"/>
              </w:rPr>
              <w:t xml:space="preserve"> </w:t>
            </w:r>
            <w:r w:rsidR="007511B1" w:rsidRPr="00B62618">
              <w:rPr>
                <w:sz w:val="22"/>
                <w:szCs w:val="22"/>
                <w:lang w:val="fr-FR"/>
              </w:rPr>
              <w:t>(</w:t>
            </w:r>
            <w:r w:rsidR="006D77D6" w:rsidRPr="00B62618">
              <w:rPr>
                <w:sz w:val="22"/>
                <w:szCs w:val="22"/>
                <w:lang w:val="fr-FR"/>
              </w:rPr>
              <w:t>UNAM</w:t>
            </w:r>
            <w:r w:rsidR="007511B1" w:rsidRPr="00B62618">
              <w:rPr>
                <w:sz w:val="22"/>
                <w:szCs w:val="22"/>
                <w:lang w:val="fr-FR"/>
              </w:rPr>
              <w:t>)</w:t>
            </w:r>
            <w:r w:rsidR="006D77D6" w:rsidRPr="00B62618">
              <w:rPr>
                <w:sz w:val="22"/>
                <w:szCs w:val="22"/>
                <w:lang w:val="fr-FR"/>
              </w:rPr>
              <w:t>,</w:t>
            </w:r>
            <w:r w:rsidR="007511B1" w:rsidRPr="00B62618">
              <w:rPr>
                <w:sz w:val="22"/>
                <w:szCs w:val="22"/>
                <w:lang w:val="fr-FR"/>
              </w:rPr>
              <w:t xml:space="preserve"> Réseau de bureaux de transfert de technologie</w:t>
            </w:r>
            <w:r w:rsidR="006D77D6" w:rsidRPr="00B62618">
              <w:rPr>
                <w:sz w:val="22"/>
                <w:szCs w:val="22"/>
                <w:lang w:val="fr-FR"/>
              </w:rPr>
              <w:t xml:space="preserve"> </w:t>
            </w:r>
            <w:r w:rsidR="007511B1" w:rsidRPr="00B62618">
              <w:rPr>
                <w:sz w:val="22"/>
                <w:szCs w:val="22"/>
                <w:lang w:val="fr-FR"/>
              </w:rPr>
              <w:t>(</w:t>
            </w:r>
            <w:r w:rsidR="006D77D6" w:rsidRPr="00B62618">
              <w:rPr>
                <w:sz w:val="22"/>
                <w:szCs w:val="22"/>
                <w:lang w:val="fr-FR"/>
              </w:rPr>
              <w:t>Red OTT</w:t>
            </w:r>
            <w:r w:rsidR="007511B1" w:rsidRPr="00B62618">
              <w:rPr>
                <w:sz w:val="22"/>
                <w:szCs w:val="22"/>
                <w:lang w:val="fr-FR"/>
              </w:rPr>
              <w:t>) du Mexique</w:t>
            </w:r>
            <w:r w:rsidR="006D77D6" w:rsidRPr="00B62618">
              <w:rPr>
                <w:sz w:val="22"/>
                <w:szCs w:val="22"/>
                <w:lang w:val="fr-FR"/>
              </w:rPr>
              <w:t xml:space="preserve">, </w:t>
            </w:r>
            <w:r w:rsidR="007511B1" w:rsidRPr="00B62618">
              <w:rPr>
                <w:sz w:val="22"/>
                <w:szCs w:val="22"/>
                <w:lang w:val="fr-FR"/>
              </w:rPr>
              <w:t>Institut de technologie de l’</w:t>
            </w:r>
            <w:r w:rsidR="006D77D6" w:rsidRPr="00B62618">
              <w:rPr>
                <w:sz w:val="22"/>
                <w:szCs w:val="22"/>
                <w:lang w:val="fr-FR"/>
              </w:rPr>
              <w:t xml:space="preserve">Illinois, </w:t>
            </w:r>
            <w:r w:rsidR="007511B1" w:rsidRPr="00B62618">
              <w:rPr>
                <w:sz w:val="22"/>
                <w:szCs w:val="22"/>
                <w:lang w:val="fr-FR"/>
              </w:rPr>
              <w:t xml:space="preserve">Université </w:t>
            </w:r>
            <w:r w:rsidR="006D77D6" w:rsidRPr="00B62618">
              <w:rPr>
                <w:sz w:val="22"/>
                <w:szCs w:val="22"/>
                <w:lang w:val="fr-FR"/>
              </w:rPr>
              <w:t>Georgetown,</w:t>
            </w:r>
            <w:r w:rsidR="007511B1" w:rsidRPr="00B62618">
              <w:rPr>
                <w:sz w:val="22"/>
                <w:szCs w:val="22"/>
                <w:lang w:val="fr-FR"/>
              </w:rPr>
              <w:t xml:space="preserve"> Services en ligne d’Amazon (</w:t>
            </w:r>
            <w:r w:rsidR="006D77D6" w:rsidRPr="00B62618">
              <w:rPr>
                <w:sz w:val="22"/>
                <w:szCs w:val="22"/>
                <w:lang w:val="fr-FR"/>
              </w:rPr>
              <w:t>AWS</w:t>
            </w:r>
            <w:r w:rsidR="007511B1" w:rsidRPr="00B62618">
              <w:rPr>
                <w:sz w:val="22"/>
                <w:szCs w:val="22"/>
                <w:lang w:val="fr-FR"/>
              </w:rPr>
              <w:t>) et d’autres partenaires universitaires et du secteur privé</w:t>
            </w:r>
            <w:r w:rsidR="006D77D6" w:rsidRPr="00B62618">
              <w:rPr>
                <w:sz w:val="22"/>
                <w:szCs w:val="22"/>
                <w:lang w:val="fr-FR"/>
              </w:rPr>
              <w:t>.</w:t>
            </w:r>
          </w:p>
        </w:tc>
      </w:tr>
      <w:tr w:rsidR="006D77D6" w:rsidRPr="00121D09" w14:paraId="4C3F83B2" w14:textId="77777777" w:rsidTr="006D77D6">
        <w:trPr>
          <w:jc w:val="center"/>
        </w:trPr>
        <w:tc>
          <w:tcPr>
            <w:tcW w:w="3405" w:type="dxa"/>
          </w:tcPr>
          <w:p w14:paraId="0B3FC437" w14:textId="4693EF83" w:rsidR="006D77D6" w:rsidRPr="00B62618" w:rsidRDefault="00750542" w:rsidP="00493A9B">
            <w:pPr>
              <w:autoSpaceDE w:val="0"/>
              <w:autoSpaceDN w:val="0"/>
              <w:adjustRightInd w:val="0"/>
              <w:rPr>
                <w:sz w:val="22"/>
                <w:szCs w:val="22"/>
                <w:lang w:val="fr-FR"/>
              </w:rPr>
            </w:pPr>
            <w:r w:rsidRPr="00B62618">
              <w:rPr>
                <w:sz w:val="22"/>
                <w:szCs w:val="22"/>
                <w:lang w:val="fr-FR"/>
              </w:rPr>
              <w:lastRenderedPageBreak/>
              <w:t xml:space="preserve">Groupes de travail de la </w:t>
            </w:r>
            <w:r w:rsidR="006D77D6" w:rsidRPr="00B62618">
              <w:rPr>
                <w:sz w:val="22"/>
                <w:szCs w:val="22"/>
                <w:lang w:val="fr-FR"/>
              </w:rPr>
              <w:t xml:space="preserve">COMCYT </w:t>
            </w:r>
            <w:r w:rsidRPr="00B62618">
              <w:rPr>
                <w:sz w:val="22"/>
                <w:szCs w:val="22"/>
                <w:lang w:val="fr-FR"/>
              </w:rPr>
              <w:t>sur</w:t>
            </w:r>
            <w:r w:rsidR="006D77D6" w:rsidRPr="00B62618">
              <w:rPr>
                <w:sz w:val="22"/>
                <w:szCs w:val="22"/>
                <w:lang w:val="fr-FR"/>
              </w:rPr>
              <w:t xml:space="preserve"> a) </w:t>
            </w:r>
            <w:proofErr w:type="gramStart"/>
            <w:r w:rsidRPr="00B62618">
              <w:rPr>
                <w:sz w:val="22"/>
                <w:szCs w:val="22"/>
                <w:lang w:val="fr-FR"/>
              </w:rPr>
              <w:t>l’i</w:t>
            </w:r>
            <w:r w:rsidR="006D77D6" w:rsidRPr="00B62618">
              <w:rPr>
                <w:sz w:val="22"/>
                <w:szCs w:val="22"/>
                <w:lang w:val="fr-FR"/>
              </w:rPr>
              <w:t>nnovation;</w:t>
            </w:r>
            <w:proofErr w:type="gramEnd"/>
            <w:r w:rsidR="006D77D6" w:rsidRPr="00B62618">
              <w:rPr>
                <w:sz w:val="22"/>
                <w:szCs w:val="22"/>
                <w:lang w:val="fr-FR"/>
              </w:rPr>
              <w:t xml:space="preserve"> b) </w:t>
            </w:r>
            <w:r w:rsidRPr="00B62618">
              <w:rPr>
                <w:sz w:val="22"/>
                <w:szCs w:val="22"/>
                <w:lang w:val="fr-FR"/>
              </w:rPr>
              <w:t xml:space="preserve">l’éducation en matière </w:t>
            </w:r>
            <w:r w:rsidR="00B62618" w:rsidRPr="00B62618">
              <w:rPr>
                <w:sz w:val="22"/>
                <w:szCs w:val="22"/>
                <w:lang w:val="fr-FR"/>
              </w:rPr>
              <w:t>d’ingénierie</w:t>
            </w:r>
            <w:r w:rsidR="006D77D6" w:rsidRPr="00B62618">
              <w:rPr>
                <w:sz w:val="22"/>
                <w:szCs w:val="22"/>
                <w:lang w:val="fr-FR"/>
              </w:rPr>
              <w:t xml:space="preserve">; c) </w:t>
            </w:r>
            <w:r w:rsidRPr="00B62618">
              <w:rPr>
                <w:sz w:val="22"/>
                <w:szCs w:val="22"/>
                <w:lang w:val="fr-FR"/>
              </w:rPr>
              <w:t xml:space="preserve">une </w:t>
            </w:r>
            <w:r w:rsidRPr="00B62618">
              <w:rPr>
                <w:sz w:val="22"/>
                <w:szCs w:val="22"/>
                <w:lang w:val="fr-FR"/>
              </w:rPr>
              <w:lastRenderedPageBreak/>
              <w:t>infrastructure nationale de qualité</w:t>
            </w:r>
            <w:r w:rsidR="006D77D6" w:rsidRPr="00B62618">
              <w:rPr>
                <w:sz w:val="22"/>
                <w:szCs w:val="22"/>
                <w:lang w:val="fr-FR"/>
              </w:rPr>
              <w:t xml:space="preserve">; d) </w:t>
            </w:r>
            <w:r w:rsidRPr="00B62618">
              <w:rPr>
                <w:sz w:val="22"/>
                <w:szCs w:val="22"/>
                <w:lang w:val="fr-FR"/>
              </w:rPr>
              <w:t>le développement technologique</w:t>
            </w:r>
            <w:r w:rsidR="006D77D6" w:rsidRPr="00B62618">
              <w:rPr>
                <w:sz w:val="22"/>
                <w:szCs w:val="22"/>
                <w:lang w:val="fr-FR"/>
              </w:rPr>
              <w:t>.</w:t>
            </w:r>
          </w:p>
          <w:p w14:paraId="285726CF" w14:textId="3A4A0932" w:rsidR="006D77D6" w:rsidRPr="00B62618" w:rsidRDefault="00750542" w:rsidP="00493A9B">
            <w:pPr>
              <w:autoSpaceDE w:val="0"/>
              <w:autoSpaceDN w:val="0"/>
              <w:adjustRightInd w:val="0"/>
              <w:rPr>
                <w:sz w:val="22"/>
                <w:szCs w:val="22"/>
                <w:highlight w:val="yellow"/>
                <w:lang w:val="fr-FR"/>
              </w:rPr>
            </w:pPr>
            <w:r w:rsidRPr="00B62618">
              <w:rPr>
                <w:sz w:val="22"/>
                <w:szCs w:val="22"/>
                <w:lang w:val="fr-FR"/>
              </w:rPr>
              <w:t xml:space="preserve">Programme du GT 4 destiné à partager de bonnes pratiques ainsi que des propositions visant à promouvoir </w:t>
            </w:r>
            <w:r w:rsidR="000C0CAD" w:rsidRPr="00B62618">
              <w:rPr>
                <w:sz w:val="22"/>
                <w:szCs w:val="22"/>
                <w:lang w:val="fr-FR"/>
              </w:rPr>
              <w:t xml:space="preserve">l’équité et l’égalité hommes-femmes en science, technologie, ingénierie et mathématiques (STIM), en coordination avec </w:t>
            </w:r>
            <w:r w:rsidR="006D77D6" w:rsidRPr="00B62618">
              <w:rPr>
                <w:sz w:val="22"/>
                <w:szCs w:val="22"/>
                <w:lang w:val="fr-FR"/>
              </w:rPr>
              <w:t>SENACYT</w:t>
            </w:r>
            <w:r w:rsidR="000C0CAD" w:rsidRPr="00B62618">
              <w:rPr>
                <w:sz w:val="22"/>
                <w:szCs w:val="22"/>
                <w:lang w:val="fr-FR"/>
              </w:rPr>
              <w:t xml:space="preserve"> du</w:t>
            </w:r>
            <w:r w:rsidR="006D77D6" w:rsidRPr="00B62618">
              <w:rPr>
                <w:sz w:val="22"/>
                <w:szCs w:val="22"/>
                <w:lang w:val="fr-FR"/>
              </w:rPr>
              <w:t xml:space="preserve"> Guatemala</w:t>
            </w:r>
            <w:r w:rsidR="000C0CAD" w:rsidRPr="00B62618">
              <w:rPr>
                <w:sz w:val="22"/>
                <w:szCs w:val="22"/>
                <w:lang w:val="fr-FR"/>
              </w:rPr>
              <w:t xml:space="preserve"> et</w:t>
            </w:r>
            <w:r w:rsidR="006D77D6" w:rsidRPr="00B62618">
              <w:rPr>
                <w:sz w:val="22"/>
                <w:szCs w:val="22"/>
                <w:lang w:val="fr-FR"/>
              </w:rPr>
              <w:t xml:space="preserve"> CORFO</w:t>
            </w:r>
            <w:r w:rsidR="000C0CAD" w:rsidRPr="00B62618">
              <w:rPr>
                <w:sz w:val="22"/>
                <w:szCs w:val="22"/>
                <w:lang w:val="fr-FR"/>
              </w:rPr>
              <w:t xml:space="preserve"> du</w:t>
            </w:r>
            <w:r w:rsidR="006D77D6" w:rsidRPr="00B62618">
              <w:rPr>
                <w:sz w:val="22"/>
                <w:szCs w:val="22"/>
                <w:lang w:val="fr-FR"/>
              </w:rPr>
              <w:t xml:space="preserve"> Chil</w:t>
            </w:r>
            <w:r w:rsidR="000C0CAD" w:rsidRPr="00B62618">
              <w:rPr>
                <w:sz w:val="22"/>
                <w:szCs w:val="22"/>
                <w:lang w:val="fr-FR"/>
              </w:rPr>
              <w:t>i</w:t>
            </w:r>
            <w:r w:rsidR="006D77D6" w:rsidRPr="00B62618">
              <w:rPr>
                <w:sz w:val="22"/>
                <w:szCs w:val="22"/>
                <w:lang w:val="fr-FR"/>
              </w:rPr>
              <w:t xml:space="preserve">. </w:t>
            </w:r>
            <w:r w:rsidR="000C0CAD" w:rsidRPr="00B62618">
              <w:rPr>
                <w:sz w:val="22"/>
                <w:szCs w:val="22"/>
                <w:lang w:val="fr-FR"/>
              </w:rPr>
              <w:t>Dialogue virtuel avec des femmes ministres et hauts fonctionnaires. Le 8 mars 2021, Journée internationale de la femme. Tous les groupes de travail de la COMCYT</w:t>
            </w:r>
            <w:r w:rsidR="006D77D6" w:rsidRPr="00B62618">
              <w:rPr>
                <w:sz w:val="22"/>
                <w:szCs w:val="22"/>
                <w:lang w:val="fr-FR"/>
              </w:rPr>
              <w:t>.</w:t>
            </w:r>
          </w:p>
          <w:p w14:paraId="327888D9" w14:textId="77777777" w:rsidR="006D77D6" w:rsidRPr="00B62618" w:rsidRDefault="006D77D6" w:rsidP="00493A9B">
            <w:pPr>
              <w:rPr>
                <w:sz w:val="22"/>
                <w:szCs w:val="22"/>
                <w:lang w:val="fr-FR"/>
              </w:rPr>
            </w:pPr>
          </w:p>
        </w:tc>
        <w:tc>
          <w:tcPr>
            <w:tcW w:w="4140" w:type="dxa"/>
          </w:tcPr>
          <w:p w14:paraId="5526C8C5" w14:textId="6B7151F1" w:rsidR="006D77D6" w:rsidRPr="00B62618" w:rsidRDefault="000C0CAD" w:rsidP="00493A9B">
            <w:pPr>
              <w:numPr>
                <w:ilvl w:val="0"/>
                <w:numId w:val="4"/>
              </w:numPr>
              <w:tabs>
                <w:tab w:val="left" w:pos="177"/>
              </w:tabs>
              <w:ind w:left="0" w:firstLine="0"/>
              <w:rPr>
                <w:sz w:val="22"/>
                <w:szCs w:val="22"/>
                <w:lang w:val="fr-FR"/>
              </w:rPr>
            </w:pPr>
            <w:r w:rsidRPr="00B62618">
              <w:rPr>
                <w:sz w:val="22"/>
                <w:szCs w:val="22"/>
                <w:lang w:val="fr-FR"/>
              </w:rPr>
              <w:lastRenderedPageBreak/>
              <w:t xml:space="preserve">Faire la lumière sur le travail et la résilience des femmes en STIM, les femmes étant l’un des groupes humains les plus touchés par la </w:t>
            </w:r>
            <w:r w:rsidR="006D77D6" w:rsidRPr="00B62618">
              <w:rPr>
                <w:sz w:val="22"/>
                <w:szCs w:val="22"/>
                <w:lang w:val="fr-FR"/>
              </w:rPr>
              <w:t xml:space="preserve">COVID-19 </w:t>
            </w:r>
          </w:p>
          <w:p w14:paraId="4BF10289" w14:textId="77777777" w:rsidR="006D77D6" w:rsidRPr="00B62618" w:rsidRDefault="006D77D6" w:rsidP="00493A9B">
            <w:pPr>
              <w:rPr>
                <w:sz w:val="22"/>
                <w:szCs w:val="22"/>
                <w:lang w:val="fr-FR"/>
              </w:rPr>
            </w:pPr>
          </w:p>
        </w:tc>
        <w:tc>
          <w:tcPr>
            <w:tcW w:w="3420" w:type="dxa"/>
          </w:tcPr>
          <w:p w14:paraId="77FB1ADB" w14:textId="54C4C8C7" w:rsidR="006D77D6" w:rsidRPr="00B62618" w:rsidRDefault="006D77D6" w:rsidP="00493A9B">
            <w:pPr>
              <w:snapToGrid w:val="0"/>
              <w:rPr>
                <w:sz w:val="22"/>
                <w:szCs w:val="22"/>
                <w:lang w:val="fr-FR"/>
              </w:rPr>
            </w:pPr>
            <w:r w:rsidRPr="00B62618">
              <w:rPr>
                <w:sz w:val="22"/>
                <w:szCs w:val="22"/>
                <w:lang w:val="fr-FR"/>
              </w:rPr>
              <w:lastRenderedPageBreak/>
              <w:t>5</w:t>
            </w:r>
            <w:r w:rsidR="000C0CAD" w:rsidRPr="00B62618">
              <w:rPr>
                <w:sz w:val="22"/>
                <w:szCs w:val="22"/>
                <w:lang w:val="fr-FR"/>
              </w:rPr>
              <w:t xml:space="preserve"> occasions de collaboration régionale et de partage de bonnes pratiques en vue d’appuyer les femmes et l’inclusion</w:t>
            </w:r>
            <w:r w:rsidR="00905CEA" w:rsidRPr="00B62618">
              <w:rPr>
                <w:sz w:val="22"/>
                <w:szCs w:val="22"/>
                <w:lang w:val="fr-FR"/>
              </w:rPr>
              <w:t xml:space="preserve"> en STIM, en </w:t>
            </w:r>
            <w:r w:rsidR="00905CEA" w:rsidRPr="00B62618">
              <w:rPr>
                <w:sz w:val="22"/>
                <w:szCs w:val="22"/>
                <w:lang w:val="fr-FR"/>
              </w:rPr>
              <w:lastRenderedPageBreak/>
              <w:t>vertu d’un mandat ministériel ont été trouvées</w:t>
            </w:r>
            <w:r w:rsidRPr="00B62618">
              <w:rPr>
                <w:sz w:val="22"/>
                <w:szCs w:val="22"/>
                <w:lang w:val="fr-FR"/>
              </w:rPr>
              <w:t xml:space="preserve"> </w:t>
            </w:r>
          </w:p>
          <w:p w14:paraId="774242A2" w14:textId="77777777" w:rsidR="006D77D6" w:rsidRPr="00B62618" w:rsidRDefault="006D77D6" w:rsidP="00493A9B">
            <w:pPr>
              <w:rPr>
                <w:sz w:val="22"/>
                <w:szCs w:val="22"/>
                <w:lang w:val="fr-FR"/>
              </w:rPr>
            </w:pPr>
          </w:p>
        </w:tc>
        <w:tc>
          <w:tcPr>
            <w:tcW w:w="2880" w:type="dxa"/>
          </w:tcPr>
          <w:p w14:paraId="44034374" w14:textId="77777777" w:rsidR="006D77D6" w:rsidRPr="00B62618" w:rsidRDefault="006D77D6" w:rsidP="00493A9B">
            <w:pPr>
              <w:rPr>
                <w:sz w:val="22"/>
                <w:szCs w:val="22"/>
                <w:lang w:val="fr-FR"/>
              </w:rPr>
            </w:pPr>
          </w:p>
        </w:tc>
      </w:tr>
      <w:tr w:rsidR="006D77D6" w:rsidRPr="00121D09" w14:paraId="59D555F2" w14:textId="77777777" w:rsidTr="006D77D6">
        <w:trPr>
          <w:jc w:val="center"/>
        </w:trPr>
        <w:tc>
          <w:tcPr>
            <w:tcW w:w="3405" w:type="dxa"/>
          </w:tcPr>
          <w:p w14:paraId="3BAC133D" w14:textId="616B27C0" w:rsidR="006D77D6" w:rsidRPr="00B62618" w:rsidRDefault="00905CEA" w:rsidP="00493A9B">
            <w:pPr>
              <w:tabs>
                <w:tab w:val="left" w:pos="177"/>
              </w:tabs>
              <w:rPr>
                <w:sz w:val="22"/>
                <w:szCs w:val="22"/>
                <w:lang w:val="fr-FR"/>
              </w:rPr>
            </w:pPr>
            <w:r w:rsidRPr="00B62618">
              <w:rPr>
                <w:sz w:val="22"/>
                <w:szCs w:val="22"/>
                <w:lang w:val="fr-FR"/>
              </w:rPr>
              <w:t>Deuxième édition de</w:t>
            </w:r>
            <w:r w:rsidR="006D77D6" w:rsidRPr="00B62618">
              <w:rPr>
                <w:sz w:val="22"/>
                <w:szCs w:val="22"/>
                <w:lang w:val="fr-FR"/>
              </w:rPr>
              <w:t xml:space="preserve"> </w:t>
            </w:r>
            <w:r w:rsidR="006D77D6" w:rsidRPr="00B62618">
              <w:rPr>
                <w:i/>
                <w:sz w:val="22"/>
                <w:szCs w:val="22"/>
                <w:lang w:val="fr-FR"/>
              </w:rPr>
              <w:t>Prospecta Americas</w:t>
            </w:r>
            <w:r w:rsidR="006D77D6" w:rsidRPr="00B62618">
              <w:rPr>
                <w:sz w:val="22"/>
                <w:szCs w:val="22"/>
                <w:lang w:val="fr-FR"/>
              </w:rPr>
              <w:t xml:space="preserve"> (Hidalgo, Mexi</w:t>
            </w:r>
            <w:r w:rsidRPr="00B62618">
              <w:rPr>
                <w:sz w:val="22"/>
                <w:szCs w:val="22"/>
                <w:lang w:val="fr-FR"/>
              </w:rPr>
              <w:t>que</w:t>
            </w:r>
            <w:r w:rsidR="006D77D6" w:rsidRPr="00B62618">
              <w:rPr>
                <w:sz w:val="22"/>
                <w:szCs w:val="22"/>
                <w:lang w:val="fr-FR"/>
              </w:rPr>
              <w:t>, Oct. 2021</w:t>
            </w:r>
            <w:r w:rsidRPr="00B62618">
              <w:rPr>
                <w:sz w:val="22"/>
                <w:szCs w:val="22"/>
                <w:lang w:val="fr-FR"/>
              </w:rPr>
              <w:t>, à confirmer</w:t>
            </w:r>
            <w:r w:rsidR="006D77D6" w:rsidRPr="00B62618">
              <w:rPr>
                <w:sz w:val="22"/>
                <w:szCs w:val="22"/>
                <w:lang w:val="fr-FR"/>
              </w:rPr>
              <w:t>)</w:t>
            </w:r>
            <w:r w:rsidRPr="00B62618">
              <w:rPr>
                <w:sz w:val="22"/>
                <w:szCs w:val="22"/>
                <w:lang w:val="fr-FR"/>
              </w:rPr>
              <w:t> </w:t>
            </w:r>
            <w:r w:rsidR="006D77D6" w:rsidRPr="00B62618">
              <w:rPr>
                <w:sz w:val="22"/>
                <w:szCs w:val="22"/>
                <w:lang w:val="fr-FR"/>
              </w:rPr>
              <w:t xml:space="preserve">: </w:t>
            </w:r>
            <w:r w:rsidR="00AE64A8" w:rsidRPr="00B62618">
              <w:rPr>
                <w:sz w:val="22"/>
                <w:szCs w:val="22"/>
                <w:lang w:val="fr-FR"/>
              </w:rPr>
              <w:t xml:space="preserve">Plateforme de prospective destinée à rassembler des parties prenantes </w:t>
            </w:r>
            <w:r w:rsidR="00B11D49" w:rsidRPr="00B62618">
              <w:rPr>
                <w:sz w:val="22"/>
                <w:szCs w:val="22"/>
                <w:lang w:val="fr-FR"/>
              </w:rPr>
              <w:t>pour travailler à 10 technologies émergentes et transformatrices</w:t>
            </w:r>
            <w:r w:rsidR="006D77D6" w:rsidRPr="00B62618">
              <w:rPr>
                <w:sz w:val="22"/>
                <w:szCs w:val="22"/>
                <w:lang w:val="fr-FR"/>
              </w:rPr>
              <w:t>.</w:t>
            </w:r>
          </w:p>
          <w:p w14:paraId="536AE140" w14:textId="24CDEDEB" w:rsidR="006D77D6" w:rsidRPr="00B62618" w:rsidRDefault="006D77D6" w:rsidP="00493A9B">
            <w:pPr>
              <w:autoSpaceDE w:val="0"/>
              <w:autoSpaceDN w:val="0"/>
              <w:adjustRightInd w:val="0"/>
              <w:rPr>
                <w:sz w:val="22"/>
                <w:szCs w:val="22"/>
                <w:lang w:val="fr-FR"/>
              </w:rPr>
            </w:pPr>
            <w:r w:rsidRPr="00B62618">
              <w:rPr>
                <w:sz w:val="22"/>
                <w:szCs w:val="22"/>
                <w:lang w:val="fr-FR"/>
              </w:rPr>
              <w:t>1. Nano/n</w:t>
            </w:r>
            <w:r w:rsidR="00B11D49" w:rsidRPr="00B62618">
              <w:rPr>
                <w:sz w:val="22"/>
                <w:szCs w:val="22"/>
                <w:lang w:val="fr-FR"/>
              </w:rPr>
              <w:t xml:space="preserve">ouveaux </w:t>
            </w:r>
            <w:proofErr w:type="gramStart"/>
            <w:r w:rsidR="00B11D49" w:rsidRPr="00B62618">
              <w:rPr>
                <w:sz w:val="22"/>
                <w:szCs w:val="22"/>
                <w:lang w:val="fr-FR"/>
              </w:rPr>
              <w:t>matériels</w:t>
            </w:r>
            <w:r w:rsidRPr="00B62618">
              <w:rPr>
                <w:sz w:val="22"/>
                <w:szCs w:val="22"/>
                <w:lang w:val="fr-FR"/>
              </w:rPr>
              <w:t>;</w:t>
            </w:r>
            <w:proofErr w:type="gramEnd"/>
            <w:r w:rsidRPr="00B62618">
              <w:rPr>
                <w:sz w:val="22"/>
                <w:szCs w:val="22"/>
                <w:lang w:val="fr-FR"/>
              </w:rPr>
              <w:t xml:space="preserve"> </w:t>
            </w:r>
          </w:p>
          <w:p w14:paraId="46504923" w14:textId="23235687" w:rsidR="006D77D6" w:rsidRPr="00B62618" w:rsidRDefault="006D77D6" w:rsidP="00493A9B">
            <w:pPr>
              <w:autoSpaceDE w:val="0"/>
              <w:autoSpaceDN w:val="0"/>
              <w:adjustRightInd w:val="0"/>
              <w:rPr>
                <w:sz w:val="22"/>
                <w:szCs w:val="22"/>
                <w:lang w:val="fr-FR"/>
              </w:rPr>
            </w:pPr>
            <w:r w:rsidRPr="00B62618">
              <w:rPr>
                <w:sz w:val="22"/>
                <w:szCs w:val="22"/>
                <w:lang w:val="fr-FR"/>
              </w:rPr>
              <w:t>2. Roboti</w:t>
            </w:r>
            <w:r w:rsidR="00B11D49" w:rsidRPr="00B62618">
              <w:rPr>
                <w:sz w:val="22"/>
                <w:szCs w:val="22"/>
                <w:lang w:val="fr-FR"/>
              </w:rPr>
              <w:t>que</w:t>
            </w:r>
            <w:r w:rsidRPr="00B62618">
              <w:rPr>
                <w:sz w:val="22"/>
                <w:szCs w:val="22"/>
                <w:lang w:val="fr-FR"/>
              </w:rPr>
              <w:t xml:space="preserve"> – </w:t>
            </w:r>
            <w:proofErr w:type="gramStart"/>
            <w:r w:rsidRPr="00B62618">
              <w:rPr>
                <w:sz w:val="22"/>
                <w:szCs w:val="22"/>
                <w:lang w:val="fr-FR"/>
              </w:rPr>
              <w:t>satellites;</w:t>
            </w:r>
            <w:proofErr w:type="gramEnd"/>
            <w:r w:rsidRPr="00B62618">
              <w:rPr>
                <w:sz w:val="22"/>
                <w:szCs w:val="22"/>
                <w:lang w:val="fr-FR"/>
              </w:rPr>
              <w:t xml:space="preserve"> </w:t>
            </w:r>
          </w:p>
          <w:p w14:paraId="1112AB58" w14:textId="4E4E0BB1" w:rsidR="006D77D6" w:rsidRPr="00B62618" w:rsidRDefault="006D77D6" w:rsidP="00493A9B">
            <w:pPr>
              <w:autoSpaceDE w:val="0"/>
              <w:autoSpaceDN w:val="0"/>
              <w:adjustRightInd w:val="0"/>
              <w:rPr>
                <w:sz w:val="22"/>
                <w:szCs w:val="22"/>
                <w:lang w:val="fr-FR"/>
              </w:rPr>
            </w:pPr>
            <w:r w:rsidRPr="00B62618">
              <w:rPr>
                <w:sz w:val="22"/>
                <w:szCs w:val="22"/>
                <w:lang w:val="fr-FR"/>
              </w:rPr>
              <w:t xml:space="preserve">3. </w:t>
            </w:r>
            <w:r w:rsidR="00B11D49" w:rsidRPr="00B62618">
              <w:rPr>
                <w:sz w:val="22"/>
                <w:szCs w:val="22"/>
                <w:lang w:val="fr-FR"/>
              </w:rPr>
              <w:t xml:space="preserve">Biologie de </w:t>
            </w:r>
            <w:proofErr w:type="gramStart"/>
            <w:r w:rsidR="00B11D49" w:rsidRPr="00B62618">
              <w:rPr>
                <w:sz w:val="22"/>
                <w:szCs w:val="22"/>
                <w:lang w:val="fr-FR"/>
              </w:rPr>
              <w:t>synthèse</w:t>
            </w:r>
            <w:r w:rsidRPr="00B62618">
              <w:rPr>
                <w:sz w:val="22"/>
                <w:szCs w:val="22"/>
                <w:lang w:val="fr-FR"/>
              </w:rPr>
              <w:t>;</w:t>
            </w:r>
            <w:proofErr w:type="gramEnd"/>
          </w:p>
          <w:p w14:paraId="14440A77" w14:textId="66BB1419" w:rsidR="006D77D6" w:rsidRPr="00B62618" w:rsidRDefault="006D77D6" w:rsidP="00493A9B">
            <w:pPr>
              <w:autoSpaceDE w:val="0"/>
              <w:autoSpaceDN w:val="0"/>
              <w:adjustRightInd w:val="0"/>
              <w:rPr>
                <w:sz w:val="22"/>
                <w:szCs w:val="22"/>
                <w:lang w:val="fr-FR"/>
              </w:rPr>
            </w:pPr>
            <w:r w:rsidRPr="00B62618">
              <w:rPr>
                <w:sz w:val="22"/>
                <w:szCs w:val="22"/>
                <w:lang w:val="fr-FR"/>
              </w:rPr>
              <w:t xml:space="preserve">4. </w:t>
            </w:r>
            <w:r w:rsidR="00B11D49" w:rsidRPr="00B62618">
              <w:rPr>
                <w:sz w:val="22"/>
                <w:szCs w:val="22"/>
                <w:lang w:val="fr-FR"/>
              </w:rPr>
              <w:t xml:space="preserve">Génie </w:t>
            </w:r>
            <w:proofErr w:type="gramStart"/>
            <w:r w:rsidR="00B11D49" w:rsidRPr="00B62618">
              <w:rPr>
                <w:sz w:val="22"/>
                <w:szCs w:val="22"/>
                <w:lang w:val="fr-FR"/>
              </w:rPr>
              <w:t>biomédical</w:t>
            </w:r>
            <w:r w:rsidRPr="00B62618">
              <w:rPr>
                <w:sz w:val="22"/>
                <w:szCs w:val="22"/>
                <w:lang w:val="fr-FR"/>
              </w:rPr>
              <w:t>;</w:t>
            </w:r>
            <w:proofErr w:type="gramEnd"/>
            <w:r w:rsidRPr="00B62618">
              <w:rPr>
                <w:sz w:val="22"/>
                <w:szCs w:val="22"/>
                <w:lang w:val="fr-FR"/>
              </w:rPr>
              <w:t xml:space="preserve"> </w:t>
            </w:r>
          </w:p>
          <w:p w14:paraId="11523340" w14:textId="432F4C34" w:rsidR="006D77D6" w:rsidRPr="00B62618" w:rsidRDefault="006D77D6" w:rsidP="00493A9B">
            <w:pPr>
              <w:autoSpaceDE w:val="0"/>
              <w:autoSpaceDN w:val="0"/>
              <w:adjustRightInd w:val="0"/>
              <w:rPr>
                <w:sz w:val="22"/>
                <w:szCs w:val="22"/>
                <w:lang w:val="fr-FR"/>
              </w:rPr>
            </w:pPr>
            <w:r w:rsidRPr="00B62618">
              <w:rPr>
                <w:sz w:val="22"/>
                <w:szCs w:val="22"/>
                <w:lang w:val="fr-FR"/>
              </w:rPr>
              <w:t xml:space="preserve">5. </w:t>
            </w:r>
            <w:proofErr w:type="gramStart"/>
            <w:r w:rsidR="00B11D49" w:rsidRPr="00B62618">
              <w:rPr>
                <w:sz w:val="22"/>
                <w:szCs w:val="22"/>
                <w:lang w:val="fr-FR"/>
              </w:rPr>
              <w:t>Mégadonnées</w:t>
            </w:r>
            <w:r w:rsidRPr="00B62618">
              <w:rPr>
                <w:sz w:val="22"/>
                <w:szCs w:val="22"/>
                <w:lang w:val="fr-FR"/>
              </w:rPr>
              <w:t>;</w:t>
            </w:r>
            <w:proofErr w:type="gramEnd"/>
          </w:p>
          <w:p w14:paraId="1984E4AF" w14:textId="3296CBAD" w:rsidR="006D77D6" w:rsidRPr="00B62618" w:rsidRDefault="006D77D6" w:rsidP="00493A9B">
            <w:pPr>
              <w:autoSpaceDE w:val="0"/>
              <w:autoSpaceDN w:val="0"/>
              <w:adjustRightInd w:val="0"/>
              <w:rPr>
                <w:sz w:val="22"/>
                <w:szCs w:val="22"/>
                <w:lang w:val="fr-FR"/>
              </w:rPr>
            </w:pPr>
            <w:r w:rsidRPr="00B62618">
              <w:rPr>
                <w:sz w:val="22"/>
                <w:szCs w:val="22"/>
                <w:lang w:val="fr-FR"/>
              </w:rPr>
              <w:t xml:space="preserve">6. </w:t>
            </w:r>
            <w:r w:rsidR="00B11D49" w:rsidRPr="00B62618">
              <w:rPr>
                <w:sz w:val="22"/>
                <w:szCs w:val="22"/>
                <w:lang w:val="fr-FR"/>
              </w:rPr>
              <w:t xml:space="preserve">Chaine de </w:t>
            </w:r>
            <w:proofErr w:type="gramStart"/>
            <w:r w:rsidR="00B11D49" w:rsidRPr="00B62618">
              <w:rPr>
                <w:sz w:val="22"/>
                <w:szCs w:val="22"/>
                <w:lang w:val="fr-FR"/>
              </w:rPr>
              <w:t>blocs</w:t>
            </w:r>
            <w:r w:rsidRPr="00B62618">
              <w:rPr>
                <w:sz w:val="22"/>
                <w:szCs w:val="22"/>
                <w:lang w:val="fr-FR"/>
              </w:rPr>
              <w:t>;</w:t>
            </w:r>
            <w:proofErr w:type="gramEnd"/>
            <w:r w:rsidRPr="00B62618">
              <w:rPr>
                <w:sz w:val="22"/>
                <w:szCs w:val="22"/>
                <w:lang w:val="fr-FR"/>
              </w:rPr>
              <w:t xml:space="preserve"> </w:t>
            </w:r>
          </w:p>
          <w:p w14:paraId="1A45DD86" w14:textId="6C2B9598" w:rsidR="006D77D6" w:rsidRPr="00B62618" w:rsidRDefault="006D77D6" w:rsidP="00493A9B">
            <w:pPr>
              <w:autoSpaceDE w:val="0"/>
              <w:autoSpaceDN w:val="0"/>
              <w:adjustRightInd w:val="0"/>
              <w:rPr>
                <w:sz w:val="22"/>
                <w:szCs w:val="22"/>
                <w:lang w:val="fr-FR"/>
              </w:rPr>
            </w:pPr>
            <w:r w:rsidRPr="00B62618">
              <w:rPr>
                <w:sz w:val="22"/>
                <w:szCs w:val="22"/>
                <w:lang w:val="fr-FR"/>
              </w:rPr>
              <w:t xml:space="preserve">7. </w:t>
            </w:r>
            <w:r w:rsidR="00B11D49" w:rsidRPr="00B62618">
              <w:rPr>
                <w:sz w:val="22"/>
                <w:szCs w:val="22"/>
                <w:lang w:val="fr-FR"/>
              </w:rPr>
              <w:t xml:space="preserve">Informatique </w:t>
            </w:r>
            <w:proofErr w:type="gramStart"/>
            <w:r w:rsidR="00B11D49" w:rsidRPr="00B62618">
              <w:rPr>
                <w:sz w:val="22"/>
                <w:szCs w:val="22"/>
                <w:lang w:val="fr-FR"/>
              </w:rPr>
              <w:t>quantique</w:t>
            </w:r>
            <w:r w:rsidRPr="00B62618">
              <w:rPr>
                <w:sz w:val="22"/>
                <w:szCs w:val="22"/>
                <w:lang w:val="fr-FR"/>
              </w:rPr>
              <w:t>;</w:t>
            </w:r>
            <w:proofErr w:type="gramEnd"/>
            <w:r w:rsidRPr="00B62618">
              <w:rPr>
                <w:sz w:val="22"/>
                <w:szCs w:val="22"/>
                <w:lang w:val="fr-FR"/>
              </w:rPr>
              <w:t xml:space="preserve"> </w:t>
            </w:r>
          </w:p>
          <w:p w14:paraId="05503041" w14:textId="6CEDFA44" w:rsidR="006D77D6" w:rsidRPr="00B62618" w:rsidRDefault="006D77D6" w:rsidP="00493A9B">
            <w:pPr>
              <w:autoSpaceDE w:val="0"/>
              <w:autoSpaceDN w:val="0"/>
              <w:adjustRightInd w:val="0"/>
              <w:rPr>
                <w:sz w:val="22"/>
                <w:szCs w:val="22"/>
                <w:lang w:val="fr-FR"/>
              </w:rPr>
            </w:pPr>
            <w:r w:rsidRPr="00B62618">
              <w:rPr>
                <w:sz w:val="22"/>
                <w:szCs w:val="22"/>
                <w:lang w:val="fr-FR"/>
              </w:rPr>
              <w:t xml:space="preserve">8. </w:t>
            </w:r>
            <w:r w:rsidR="00332B68" w:rsidRPr="00B62618">
              <w:rPr>
                <w:sz w:val="22"/>
                <w:szCs w:val="22"/>
                <w:lang w:val="fr-FR"/>
              </w:rPr>
              <w:t xml:space="preserve">Réalité </w:t>
            </w:r>
            <w:proofErr w:type="gramStart"/>
            <w:r w:rsidR="00332B68" w:rsidRPr="00B62618">
              <w:rPr>
                <w:sz w:val="22"/>
                <w:szCs w:val="22"/>
                <w:lang w:val="fr-FR"/>
              </w:rPr>
              <w:t>amplifiée</w:t>
            </w:r>
            <w:r w:rsidRPr="00B62618">
              <w:rPr>
                <w:sz w:val="22"/>
                <w:szCs w:val="22"/>
                <w:lang w:val="fr-FR"/>
              </w:rPr>
              <w:t>;</w:t>
            </w:r>
            <w:proofErr w:type="gramEnd"/>
            <w:r w:rsidRPr="00B62618">
              <w:rPr>
                <w:sz w:val="22"/>
                <w:szCs w:val="22"/>
                <w:lang w:val="fr-FR"/>
              </w:rPr>
              <w:t xml:space="preserve"> </w:t>
            </w:r>
          </w:p>
          <w:p w14:paraId="7057E788" w14:textId="3659D1F8" w:rsidR="006D77D6" w:rsidRPr="00B62618" w:rsidRDefault="006D77D6" w:rsidP="00493A9B">
            <w:pPr>
              <w:autoSpaceDE w:val="0"/>
              <w:autoSpaceDN w:val="0"/>
              <w:adjustRightInd w:val="0"/>
              <w:rPr>
                <w:sz w:val="22"/>
                <w:szCs w:val="22"/>
                <w:lang w:val="fr-FR"/>
              </w:rPr>
            </w:pPr>
            <w:r w:rsidRPr="00B62618">
              <w:rPr>
                <w:sz w:val="22"/>
                <w:szCs w:val="22"/>
                <w:lang w:val="fr-FR"/>
              </w:rPr>
              <w:t xml:space="preserve">9. </w:t>
            </w:r>
            <w:r w:rsidR="00332B68" w:rsidRPr="00B62618">
              <w:rPr>
                <w:sz w:val="22"/>
                <w:szCs w:val="22"/>
                <w:lang w:val="fr-FR"/>
              </w:rPr>
              <w:t xml:space="preserve">Réalité </w:t>
            </w:r>
            <w:proofErr w:type="gramStart"/>
            <w:r w:rsidR="00332B68" w:rsidRPr="00B62618">
              <w:rPr>
                <w:sz w:val="22"/>
                <w:szCs w:val="22"/>
                <w:lang w:val="fr-FR"/>
              </w:rPr>
              <w:t>virtuelle</w:t>
            </w:r>
            <w:r w:rsidRPr="00B62618">
              <w:rPr>
                <w:sz w:val="22"/>
                <w:szCs w:val="22"/>
                <w:lang w:val="fr-FR"/>
              </w:rPr>
              <w:t>;</w:t>
            </w:r>
            <w:proofErr w:type="gramEnd"/>
            <w:r w:rsidRPr="00B62618">
              <w:rPr>
                <w:sz w:val="22"/>
                <w:szCs w:val="22"/>
                <w:lang w:val="fr-FR"/>
              </w:rPr>
              <w:t xml:space="preserve"> </w:t>
            </w:r>
          </w:p>
          <w:p w14:paraId="775A35E7" w14:textId="2C0A3F44" w:rsidR="006D77D6" w:rsidRPr="00B62618" w:rsidRDefault="006D77D6" w:rsidP="00493A9B">
            <w:pPr>
              <w:autoSpaceDE w:val="0"/>
              <w:autoSpaceDN w:val="0"/>
              <w:adjustRightInd w:val="0"/>
              <w:rPr>
                <w:sz w:val="22"/>
                <w:szCs w:val="22"/>
                <w:lang w:val="fr-FR"/>
              </w:rPr>
            </w:pPr>
            <w:r w:rsidRPr="00B62618">
              <w:rPr>
                <w:sz w:val="22"/>
                <w:szCs w:val="22"/>
                <w:lang w:val="fr-FR"/>
              </w:rPr>
              <w:t xml:space="preserve">10. </w:t>
            </w:r>
            <w:r w:rsidR="00332B68" w:rsidRPr="00B62618">
              <w:rPr>
                <w:sz w:val="22"/>
                <w:szCs w:val="22"/>
                <w:lang w:val="fr-FR"/>
              </w:rPr>
              <w:t>Intelligence artificielle</w:t>
            </w:r>
            <w:r w:rsidRPr="00B62618">
              <w:rPr>
                <w:sz w:val="22"/>
                <w:szCs w:val="22"/>
                <w:lang w:val="fr-FR"/>
              </w:rPr>
              <w:t xml:space="preserve">. </w:t>
            </w:r>
          </w:p>
        </w:tc>
        <w:tc>
          <w:tcPr>
            <w:tcW w:w="4140" w:type="dxa"/>
          </w:tcPr>
          <w:p w14:paraId="5AD2D587" w14:textId="1D89C83D" w:rsidR="006D77D6" w:rsidRPr="00B62618" w:rsidRDefault="00332B68" w:rsidP="00493A9B">
            <w:pPr>
              <w:tabs>
                <w:tab w:val="left" w:pos="177"/>
              </w:tabs>
              <w:rPr>
                <w:sz w:val="22"/>
                <w:szCs w:val="22"/>
                <w:lang w:val="fr-FR"/>
              </w:rPr>
            </w:pPr>
            <w:r w:rsidRPr="00B62618">
              <w:rPr>
                <w:sz w:val="22"/>
                <w:szCs w:val="22"/>
                <w:lang w:val="fr-FR"/>
              </w:rPr>
              <w:t>Cartographier les capacités régionales, les tendances ainsi que la préparation des pays à d’éventuels développements techniques</w:t>
            </w:r>
            <w:r w:rsidR="004E6054" w:rsidRPr="00B62618">
              <w:rPr>
                <w:sz w:val="22"/>
                <w:szCs w:val="22"/>
                <w:lang w:val="fr-FR"/>
              </w:rPr>
              <w:t>, en portant une attention particulière aux priorités de l’après-COVID.</w:t>
            </w:r>
            <w:r w:rsidRPr="00B62618">
              <w:rPr>
                <w:sz w:val="22"/>
                <w:szCs w:val="22"/>
                <w:lang w:val="fr-FR"/>
              </w:rPr>
              <w:t xml:space="preserve"> </w:t>
            </w:r>
          </w:p>
          <w:p w14:paraId="65568A8F" w14:textId="77777777" w:rsidR="006D77D6" w:rsidRPr="00B62618" w:rsidRDefault="006D77D6" w:rsidP="00493A9B">
            <w:pPr>
              <w:tabs>
                <w:tab w:val="left" w:pos="177"/>
              </w:tabs>
              <w:rPr>
                <w:sz w:val="22"/>
                <w:szCs w:val="22"/>
                <w:lang w:val="fr-FR"/>
              </w:rPr>
            </w:pPr>
          </w:p>
          <w:p w14:paraId="440E8D14" w14:textId="5BA5CC67" w:rsidR="006D77D6" w:rsidRPr="00B62618" w:rsidRDefault="006D77D6" w:rsidP="00493A9B">
            <w:pPr>
              <w:tabs>
                <w:tab w:val="left" w:pos="177"/>
              </w:tabs>
              <w:rPr>
                <w:sz w:val="22"/>
                <w:szCs w:val="22"/>
                <w:lang w:val="fr-FR"/>
              </w:rPr>
            </w:pPr>
            <w:r w:rsidRPr="00B62618">
              <w:rPr>
                <w:sz w:val="22"/>
                <w:szCs w:val="22"/>
                <w:lang w:val="fr-FR"/>
              </w:rPr>
              <w:t>R</w:t>
            </w:r>
            <w:r w:rsidR="004E6054" w:rsidRPr="00B62618">
              <w:rPr>
                <w:sz w:val="22"/>
                <w:szCs w:val="22"/>
                <w:lang w:val="fr-FR"/>
              </w:rPr>
              <w:t xml:space="preserve">évision des 10 technologies identifiées et évaluation de leur incidence potentielle sur tous les secteurs du SEDI. </w:t>
            </w:r>
          </w:p>
          <w:p w14:paraId="7D471F24" w14:textId="77777777" w:rsidR="006D77D6" w:rsidRPr="00B62618" w:rsidRDefault="006D77D6" w:rsidP="00493A9B">
            <w:pPr>
              <w:rPr>
                <w:sz w:val="22"/>
                <w:szCs w:val="22"/>
                <w:lang w:val="fr-FR"/>
              </w:rPr>
            </w:pPr>
          </w:p>
        </w:tc>
        <w:tc>
          <w:tcPr>
            <w:tcW w:w="3420" w:type="dxa"/>
          </w:tcPr>
          <w:p w14:paraId="2C8290FB" w14:textId="02477029" w:rsidR="006D77D6" w:rsidRPr="00B62618" w:rsidRDefault="004E6054" w:rsidP="00493A9B">
            <w:pPr>
              <w:snapToGrid w:val="0"/>
              <w:rPr>
                <w:sz w:val="22"/>
                <w:szCs w:val="22"/>
                <w:lang w:val="fr-FR"/>
              </w:rPr>
            </w:pPr>
            <w:r w:rsidRPr="00B62618">
              <w:rPr>
                <w:sz w:val="22"/>
                <w:szCs w:val="22"/>
                <w:lang w:val="fr-FR"/>
              </w:rPr>
              <w:t xml:space="preserve">Progresser dans le processus d’établissement de centres d’excellence interaméricains en matière de prospective sur deux des dix technologies transformatrices identifiées par le biais de </w:t>
            </w:r>
            <w:r w:rsidR="006D77D6" w:rsidRPr="00B62618">
              <w:rPr>
                <w:i/>
                <w:sz w:val="22"/>
                <w:szCs w:val="22"/>
                <w:lang w:val="fr-FR"/>
              </w:rPr>
              <w:t>Prospecta Americas</w:t>
            </w:r>
            <w:r w:rsidR="006D77D6" w:rsidRPr="00B62618">
              <w:rPr>
                <w:sz w:val="22"/>
                <w:szCs w:val="22"/>
                <w:lang w:val="fr-FR"/>
              </w:rPr>
              <w:t xml:space="preserve"> </w:t>
            </w:r>
          </w:p>
          <w:p w14:paraId="2800AC0D" w14:textId="77777777" w:rsidR="006D77D6" w:rsidRPr="00B62618" w:rsidRDefault="006D77D6" w:rsidP="00493A9B">
            <w:pPr>
              <w:rPr>
                <w:sz w:val="22"/>
                <w:szCs w:val="22"/>
                <w:lang w:val="fr-FR"/>
              </w:rPr>
            </w:pPr>
          </w:p>
        </w:tc>
        <w:tc>
          <w:tcPr>
            <w:tcW w:w="2880" w:type="dxa"/>
          </w:tcPr>
          <w:p w14:paraId="3CD53169" w14:textId="77777777" w:rsidR="006D77D6" w:rsidRPr="00B62618" w:rsidRDefault="006D77D6" w:rsidP="00493A9B">
            <w:pPr>
              <w:rPr>
                <w:sz w:val="22"/>
                <w:szCs w:val="22"/>
                <w:lang w:val="fr-FR"/>
              </w:rPr>
            </w:pPr>
          </w:p>
        </w:tc>
      </w:tr>
      <w:tr w:rsidR="006D77D6" w:rsidRPr="00121D09" w14:paraId="66EAB7D9" w14:textId="77777777" w:rsidTr="008C3207">
        <w:trPr>
          <w:jc w:val="center"/>
        </w:trPr>
        <w:tc>
          <w:tcPr>
            <w:tcW w:w="3405" w:type="dxa"/>
            <w:tcBorders>
              <w:bottom w:val="single" w:sz="6" w:space="0" w:color="auto"/>
            </w:tcBorders>
          </w:tcPr>
          <w:p w14:paraId="684F05B8" w14:textId="55B58A4E" w:rsidR="006D77D6" w:rsidRPr="00B62618" w:rsidRDefault="00332B68" w:rsidP="00493A9B">
            <w:pPr>
              <w:tabs>
                <w:tab w:val="left" w:pos="177"/>
              </w:tabs>
              <w:rPr>
                <w:sz w:val="22"/>
                <w:szCs w:val="22"/>
                <w:lang w:val="fr-FR"/>
              </w:rPr>
            </w:pPr>
            <w:r w:rsidRPr="00B62618">
              <w:rPr>
                <w:sz w:val="22"/>
                <w:szCs w:val="22"/>
                <w:lang w:val="fr-FR"/>
              </w:rPr>
              <w:t xml:space="preserve">Carrefour de commercialisation et de transfert de technologie des Amériques, à Lima (Pérou) (à confirmer) et engagements en </w:t>
            </w:r>
            <w:r w:rsidRPr="00B62618">
              <w:rPr>
                <w:sz w:val="22"/>
                <w:szCs w:val="22"/>
                <w:lang w:val="fr-FR"/>
              </w:rPr>
              <w:lastRenderedPageBreak/>
              <w:t xml:space="preserve">matière d’accélération virtuelle et de mentorat par le truchement du carrefour </w:t>
            </w:r>
          </w:p>
          <w:p w14:paraId="3A9B57C2" w14:textId="77777777" w:rsidR="006D77D6" w:rsidRPr="00B62618" w:rsidRDefault="006D77D6" w:rsidP="00493A9B">
            <w:pPr>
              <w:rPr>
                <w:sz w:val="22"/>
                <w:szCs w:val="22"/>
                <w:lang w:val="fr-FR"/>
              </w:rPr>
            </w:pPr>
          </w:p>
        </w:tc>
        <w:tc>
          <w:tcPr>
            <w:tcW w:w="4140" w:type="dxa"/>
            <w:tcBorders>
              <w:bottom w:val="single" w:sz="6" w:space="0" w:color="auto"/>
            </w:tcBorders>
          </w:tcPr>
          <w:p w14:paraId="7482873D" w14:textId="6330805E" w:rsidR="006D77D6" w:rsidRPr="00B62618" w:rsidRDefault="006D77D6" w:rsidP="00493A9B">
            <w:pPr>
              <w:rPr>
                <w:sz w:val="22"/>
                <w:szCs w:val="22"/>
                <w:lang w:val="fr-FR"/>
              </w:rPr>
            </w:pPr>
            <w:r w:rsidRPr="00B62618">
              <w:rPr>
                <w:sz w:val="22"/>
                <w:szCs w:val="22"/>
                <w:lang w:val="fr-FR"/>
              </w:rPr>
              <w:lastRenderedPageBreak/>
              <w:t>Acc</w:t>
            </w:r>
            <w:r w:rsidR="00662B8D" w:rsidRPr="00B62618">
              <w:rPr>
                <w:sz w:val="22"/>
                <w:szCs w:val="22"/>
                <w:lang w:val="fr-FR"/>
              </w:rPr>
              <w:t xml:space="preserve">élérer des idées et des solutions concernant des priorités relatives à la reprise « de l’idée au marché » </w:t>
            </w:r>
            <w:r w:rsidR="00B62618">
              <w:rPr>
                <w:sz w:val="22"/>
                <w:szCs w:val="22"/>
                <w:lang w:val="fr-FR"/>
              </w:rPr>
              <w:t xml:space="preserve">après </w:t>
            </w:r>
            <w:r w:rsidR="00662B8D" w:rsidRPr="00B62618">
              <w:rPr>
                <w:sz w:val="22"/>
                <w:szCs w:val="22"/>
                <w:lang w:val="fr-FR"/>
              </w:rPr>
              <w:t xml:space="preserve">la COVID-19 et favoriser et appuyer la transformation </w:t>
            </w:r>
            <w:r w:rsidR="00662B8D" w:rsidRPr="00B62618">
              <w:rPr>
                <w:sz w:val="22"/>
                <w:szCs w:val="22"/>
                <w:lang w:val="fr-FR"/>
              </w:rPr>
              <w:lastRenderedPageBreak/>
              <w:t xml:space="preserve">numérique pour la reprise post-COVID par le truchement du programme de carrefour et de la plateforme </w:t>
            </w:r>
            <w:r w:rsidRPr="00B62618">
              <w:rPr>
                <w:sz w:val="22"/>
                <w:szCs w:val="22"/>
                <w:lang w:val="fr-FR"/>
              </w:rPr>
              <w:t xml:space="preserve">COMUNITT </w:t>
            </w:r>
          </w:p>
        </w:tc>
        <w:tc>
          <w:tcPr>
            <w:tcW w:w="3420" w:type="dxa"/>
            <w:tcBorders>
              <w:bottom w:val="single" w:sz="6" w:space="0" w:color="auto"/>
            </w:tcBorders>
          </w:tcPr>
          <w:p w14:paraId="4E8B203A" w14:textId="61BFBA62" w:rsidR="006D77D6" w:rsidRPr="00B62618" w:rsidRDefault="00925125" w:rsidP="00493A9B">
            <w:pPr>
              <w:snapToGrid w:val="0"/>
              <w:rPr>
                <w:sz w:val="22"/>
                <w:szCs w:val="22"/>
                <w:lang w:val="fr-FR"/>
              </w:rPr>
            </w:pPr>
            <w:r w:rsidRPr="00B62618">
              <w:rPr>
                <w:sz w:val="22"/>
                <w:szCs w:val="22"/>
                <w:lang w:val="fr-FR"/>
              </w:rPr>
              <w:lastRenderedPageBreak/>
              <w:t xml:space="preserve">Au moyen de la collaboration et du mentorat dans le cadre du Carrefour, aider les États membres dans les efforts qu’ils consentent </w:t>
            </w:r>
            <w:r w:rsidRPr="00B62618">
              <w:rPr>
                <w:sz w:val="22"/>
                <w:szCs w:val="22"/>
                <w:lang w:val="fr-FR"/>
              </w:rPr>
              <w:lastRenderedPageBreak/>
              <w:t xml:space="preserve">pour </w:t>
            </w:r>
            <w:r w:rsidR="004D43A2" w:rsidRPr="00B62618">
              <w:rPr>
                <w:sz w:val="22"/>
                <w:szCs w:val="22"/>
                <w:lang w:val="fr-FR"/>
              </w:rPr>
              <w:t>accélérer 10 technologies dans des zones ou le besoin se fait le plus sentir et amener les technologies de l’idée au marché</w:t>
            </w:r>
          </w:p>
        </w:tc>
        <w:tc>
          <w:tcPr>
            <w:tcW w:w="2880" w:type="dxa"/>
            <w:tcBorders>
              <w:bottom w:val="single" w:sz="6" w:space="0" w:color="auto"/>
            </w:tcBorders>
          </w:tcPr>
          <w:p w14:paraId="4A602EA8" w14:textId="77777777" w:rsidR="006D77D6" w:rsidRPr="00B62618" w:rsidRDefault="006D77D6" w:rsidP="00493A9B">
            <w:pPr>
              <w:rPr>
                <w:sz w:val="22"/>
                <w:szCs w:val="22"/>
                <w:lang w:val="fr-FR"/>
              </w:rPr>
            </w:pPr>
          </w:p>
        </w:tc>
      </w:tr>
      <w:tr w:rsidR="006D77D6" w:rsidRPr="00121D09" w14:paraId="4F3DDC08" w14:textId="77777777" w:rsidTr="008C3207">
        <w:trPr>
          <w:jc w:val="center"/>
        </w:trPr>
        <w:tc>
          <w:tcPr>
            <w:tcW w:w="3405" w:type="dxa"/>
            <w:tcBorders>
              <w:top w:val="single" w:sz="6" w:space="0" w:color="auto"/>
              <w:bottom w:val="single" w:sz="6" w:space="0" w:color="auto"/>
            </w:tcBorders>
            <w:shd w:val="clear" w:color="auto" w:fill="BFBFBF" w:themeFill="background1" w:themeFillShade="BF"/>
          </w:tcPr>
          <w:p w14:paraId="5A86C44A" w14:textId="4E2E3149" w:rsidR="006D77D6" w:rsidRPr="00B62618" w:rsidRDefault="00944E71" w:rsidP="00493A9B">
            <w:pPr>
              <w:rPr>
                <w:b/>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bottom w:val="single" w:sz="6" w:space="0" w:color="auto"/>
            </w:tcBorders>
            <w:shd w:val="clear" w:color="auto" w:fill="BFBFBF" w:themeFill="background1" w:themeFillShade="BF"/>
          </w:tcPr>
          <w:p w14:paraId="7F25265E" w14:textId="2339ABB2" w:rsidR="006D77D6" w:rsidRPr="00B62618" w:rsidRDefault="006D77D6" w:rsidP="00493A9B">
            <w:pPr>
              <w:rPr>
                <w:b/>
                <w:sz w:val="22"/>
                <w:szCs w:val="22"/>
                <w:lang w:val="fr-FR"/>
              </w:rPr>
            </w:pPr>
            <w:r w:rsidRPr="00B62618">
              <w:rPr>
                <w:b/>
                <w:sz w:val="22"/>
                <w:szCs w:val="22"/>
                <w:lang w:val="fr-FR"/>
              </w:rPr>
              <w:t xml:space="preserve">1.4.  </w:t>
            </w:r>
            <w:r w:rsidR="004D43A2" w:rsidRPr="00B62618">
              <w:rPr>
                <w:b/>
                <w:sz w:val="22"/>
                <w:szCs w:val="22"/>
                <w:lang w:val="fr-FR"/>
              </w:rPr>
              <w:t>Appuyer les États membres dans le renforcement des capacités</w:t>
            </w:r>
            <w:r w:rsidR="00AA3F9A" w:rsidRPr="00B62618">
              <w:rPr>
                <w:b/>
                <w:sz w:val="22"/>
                <w:szCs w:val="22"/>
                <w:lang w:val="fr-FR"/>
              </w:rPr>
              <w:t xml:space="preserve"> d’institutions qui favorisent la création d’activités économiques durables dans les secteurs du tourisme et de la culture</w:t>
            </w:r>
            <w:r w:rsidR="004D43A2" w:rsidRPr="00B62618">
              <w:rPr>
                <w:b/>
                <w:sz w:val="22"/>
                <w:szCs w:val="22"/>
                <w:lang w:val="fr-FR"/>
              </w:rPr>
              <w:t xml:space="preserve"> </w:t>
            </w:r>
          </w:p>
        </w:tc>
      </w:tr>
      <w:tr w:rsidR="008C3207" w:rsidRPr="00B62618" w14:paraId="0FA15FAD" w14:textId="77777777" w:rsidTr="008C3207">
        <w:trPr>
          <w:jc w:val="center"/>
        </w:trPr>
        <w:tc>
          <w:tcPr>
            <w:tcW w:w="13845" w:type="dxa"/>
            <w:gridSpan w:val="4"/>
            <w:tcBorders>
              <w:top w:val="single" w:sz="6" w:space="0" w:color="auto"/>
              <w:bottom w:val="single" w:sz="6" w:space="0" w:color="auto"/>
            </w:tcBorders>
            <w:shd w:val="clear" w:color="auto" w:fill="D9D9D9" w:themeFill="background1" w:themeFillShade="D9"/>
          </w:tcPr>
          <w:p w14:paraId="132F10BA" w14:textId="4411CEAD" w:rsidR="008C3207" w:rsidRPr="00B62618" w:rsidRDefault="008C3207" w:rsidP="00493A9B">
            <w:pPr>
              <w:rPr>
                <w:b/>
                <w:sz w:val="22"/>
                <w:szCs w:val="22"/>
                <w:lang w:val="fr-FR"/>
              </w:rPr>
            </w:pPr>
            <w:r w:rsidRPr="00B62618">
              <w:rPr>
                <w:b/>
                <w:sz w:val="22"/>
                <w:szCs w:val="22"/>
                <w:lang w:val="fr-FR"/>
              </w:rPr>
              <w:t>Tourism</w:t>
            </w:r>
            <w:r w:rsidR="00944E71" w:rsidRPr="00B62618">
              <w:rPr>
                <w:b/>
                <w:sz w:val="22"/>
                <w:szCs w:val="22"/>
                <w:lang w:val="fr-FR"/>
              </w:rPr>
              <w:t>e</w:t>
            </w:r>
          </w:p>
        </w:tc>
      </w:tr>
      <w:tr w:rsidR="006D77D6" w:rsidRPr="00121D09" w14:paraId="44C0A834" w14:textId="77777777" w:rsidTr="008C3207">
        <w:trPr>
          <w:jc w:val="center"/>
        </w:trPr>
        <w:tc>
          <w:tcPr>
            <w:tcW w:w="3405" w:type="dxa"/>
            <w:tcBorders>
              <w:top w:val="single" w:sz="6" w:space="0" w:color="auto"/>
            </w:tcBorders>
          </w:tcPr>
          <w:p w14:paraId="3CE03ADA" w14:textId="761F4330" w:rsidR="006D77D6" w:rsidRPr="00B62618" w:rsidRDefault="00AA3F9A" w:rsidP="00493A9B">
            <w:pPr>
              <w:rPr>
                <w:b/>
                <w:sz w:val="22"/>
                <w:szCs w:val="22"/>
                <w:lang w:val="fr-FR"/>
              </w:rPr>
            </w:pPr>
            <w:r w:rsidRPr="00B62618">
              <w:rPr>
                <w:b/>
                <w:sz w:val="22"/>
                <w:szCs w:val="22"/>
                <w:lang w:val="fr-FR"/>
              </w:rPr>
              <w:t>DIALOGUE EN MATIÈRE DE POLITIQUES </w:t>
            </w:r>
            <w:r w:rsidR="006D77D6" w:rsidRPr="00B62618">
              <w:rPr>
                <w:b/>
                <w:sz w:val="22"/>
                <w:szCs w:val="22"/>
                <w:lang w:val="fr-FR"/>
              </w:rPr>
              <w:t>:</w:t>
            </w:r>
          </w:p>
          <w:p w14:paraId="013E9038" w14:textId="4BF8FB5A" w:rsidR="006D77D6" w:rsidRPr="00B62618" w:rsidRDefault="00AA3F9A" w:rsidP="00493A9B">
            <w:pPr>
              <w:pStyle w:val="ListParagraph"/>
              <w:numPr>
                <w:ilvl w:val="0"/>
                <w:numId w:val="6"/>
              </w:numPr>
              <w:tabs>
                <w:tab w:val="left" w:pos="177"/>
              </w:tabs>
              <w:ind w:left="180" w:hanging="180"/>
              <w:rPr>
                <w:sz w:val="22"/>
                <w:szCs w:val="22"/>
                <w:lang w:val="fr-FR"/>
              </w:rPr>
            </w:pPr>
            <w:r w:rsidRPr="00B62618">
              <w:rPr>
                <w:sz w:val="22"/>
                <w:szCs w:val="22"/>
                <w:lang w:val="fr-FR"/>
              </w:rPr>
              <w:t>Processus ministériel dans le domaine du tourisme </w:t>
            </w:r>
            <w:r w:rsidR="006D77D6" w:rsidRPr="00B62618">
              <w:rPr>
                <w:sz w:val="22"/>
                <w:szCs w:val="22"/>
                <w:lang w:val="fr-FR"/>
              </w:rPr>
              <w:t>:</w:t>
            </w:r>
            <w:r w:rsidRPr="00B62618">
              <w:rPr>
                <w:sz w:val="22"/>
                <w:szCs w:val="22"/>
                <w:lang w:val="fr-FR"/>
              </w:rPr>
              <w:t xml:space="preserve"> Vingt-cinquième Congrès des ministres et hauts fonctionnaires responsables du tourisme</w:t>
            </w:r>
          </w:p>
          <w:p w14:paraId="582F71B5" w14:textId="2F1D23F9" w:rsidR="006D77D6" w:rsidRPr="00B62618" w:rsidRDefault="00AA3F9A" w:rsidP="00493A9B">
            <w:pPr>
              <w:pStyle w:val="ListParagraph"/>
              <w:numPr>
                <w:ilvl w:val="0"/>
                <w:numId w:val="6"/>
              </w:numPr>
              <w:tabs>
                <w:tab w:val="left" w:pos="177"/>
              </w:tabs>
              <w:ind w:left="180" w:hanging="180"/>
              <w:rPr>
                <w:sz w:val="22"/>
                <w:szCs w:val="22"/>
                <w:lang w:val="fr-FR"/>
              </w:rPr>
            </w:pPr>
            <w:r w:rsidRPr="00B62618">
              <w:rPr>
                <w:sz w:val="22"/>
                <w:szCs w:val="22"/>
                <w:lang w:val="fr-FR"/>
              </w:rPr>
              <w:t xml:space="preserve">Réunion préparatoire du Vingt-cinquième Congrès des ministres et hauts fonctionnaires responsables du tourisme </w:t>
            </w:r>
          </w:p>
          <w:p w14:paraId="2F2A23E4" w14:textId="46A18240" w:rsidR="006D77D6" w:rsidRPr="00B62618" w:rsidRDefault="00AA3F9A" w:rsidP="00493A9B">
            <w:pPr>
              <w:pStyle w:val="ListParagraph"/>
              <w:numPr>
                <w:ilvl w:val="0"/>
                <w:numId w:val="6"/>
              </w:numPr>
              <w:ind w:left="180" w:hanging="180"/>
              <w:rPr>
                <w:sz w:val="22"/>
                <w:szCs w:val="22"/>
                <w:lang w:val="fr-FR"/>
              </w:rPr>
            </w:pPr>
            <w:r w:rsidRPr="00B62618">
              <w:rPr>
                <w:sz w:val="22"/>
                <w:szCs w:val="22"/>
                <w:lang w:val="fr-FR"/>
              </w:rPr>
              <w:t>Réunions virtuelles de la</w:t>
            </w:r>
            <w:r w:rsidR="006D77D6" w:rsidRPr="00B62618">
              <w:rPr>
                <w:sz w:val="22"/>
                <w:szCs w:val="22"/>
                <w:lang w:val="fr-FR"/>
              </w:rPr>
              <w:t xml:space="preserve"> CITUR </w:t>
            </w:r>
          </w:p>
        </w:tc>
        <w:tc>
          <w:tcPr>
            <w:tcW w:w="4140" w:type="dxa"/>
            <w:vMerge w:val="restart"/>
            <w:tcBorders>
              <w:top w:val="single" w:sz="6" w:space="0" w:color="auto"/>
            </w:tcBorders>
            <w:vAlign w:val="center"/>
          </w:tcPr>
          <w:p w14:paraId="7EAFBFC9" w14:textId="7BCC9770" w:rsidR="006D77D6" w:rsidRPr="00B62618" w:rsidRDefault="00B47C48" w:rsidP="00493A9B">
            <w:pPr>
              <w:tabs>
                <w:tab w:val="left" w:pos="177"/>
              </w:tabs>
              <w:rPr>
                <w:sz w:val="22"/>
                <w:szCs w:val="22"/>
                <w:lang w:val="fr-FR"/>
              </w:rPr>
            </w:pPr>
            <w:r w:rsidRPr="00B62618">
              <w:rPr>
                <w:sz w:val="22"/>
                <w:szCs w:val="22"/>
                <w:lang w:val="fr-FR"/>
              </w:rPr>
              <w:t xml:space="preserve">Réunion ministérielle pour aborder la résilience du secteur du tourisme </w:t>
            </w:r>
            <w:r w:rsidR="00D11D46" w:rsidRPr="00B62618">
              <w:rPr>
                <w:sz w:val="22"/>
                <w:szCs w:val="22"/>
                <w:lang w:val="fr-FR"/>
              </w:rPr>
              <w:t>dans le cadre de la reprise qui suivra la COVID-19</w:t>
            </w:r>
            <w:r w:rsidRPr="00B62618">
              <w:rPr>
                <w:sz w:val="22"/>
                <w:szCs w:val="22"/>
                <w:lang w:val="fr-FR"/>
              </w:rPr>
              <w:t xml:space="preserve"> </w:t>
            </w:r>
          </w:p>
          <w:p w14:paraId="375D79AE" w14:textId="77777777" w:rsidR="006D77D6" w:rsidRPr="00B62618" w:rsidRDefault="006D77D6" w:rsidP="00493A9B">
            <w:pPr>
              <w:tabs>
                <w:tab w:val="left" w:pos="177"/>
              </w:tabs>
              <w:rPr>
                <w:sz w:val="22"/>
                <w:szCs w:val="22"/>
                <w:lang w:val="fr-FR"/>
              </w:rPr>
            </w:pPr>
          </w:p>
          <w:p w14:paraId="1811E533" w14:textId="03D1AEBD" w:rsidR="006D77D6" w:rsidRPr="00B62618" w:rsidRDefault="00D11D46" w:rsidP="00493A9B">
            <w:pPr>
              <w:tabs>
                <w:tab w:val="left" w:pos="177"/>
              </w:tabs>
              <w:rPr>
                <w:sz w:val="22"/>
                <w:szCs w:val="22"/>
                <w:lang w:val="fr-FR"/>
              </w:rPr>
            </w:pPr>
            <w:r w:rsidRPr="00B62618">
              <w:rPr>
                <w:sz w:val="22"/>
                <w:szCs w:val="22"/>
                <w:lang w:val="fr-FR"/>
              </w:rPr>
              <w:t xml:space="preserve">Renforcer </w:t>
            </w:r>
            <w:r w:rsidR="00C73675" w:rsidRPr="00B62618">
              <w:rPr>
                <w:sz w:val="22"/>
                <w:szCs w:val="22"/>
                <w:lang w:val="fr-FR"/>
              </w:rPr>
              <w:t xml:space="preserve">les raisons de rendre le tourisme plus résilient, particulièrement dans les Caraïbes </w:t>
            </w:r>
          </w:p>
          <w:p w14:paraId="019298F8" w14:textId="77777777" w:rsidR="006D77D6" w:rsidRPr="00B62618" w:rsidRDefault="006D77D6" w:rsidP="00493A9B">
            <w:pPr>
              <w:tabs>
                <w:tab w:val="left" w:pos="177"/>
              </w:tabs>
              <w:rPr>
                <w:sz w:val="22"/>
                <w:szCs w:val="22"/>
                <w:lang w:val="fr-FR"/>
              </w:rPr>
            </w:pPr>
          </w:p>
          <w:p w14:paraId="7003017C" w14:textId="77777777" w:rsidR="006D77D6" w:rsidRPr="00B62618" w:rsidRDefault="006D77D6" w:rsidP="00493A9B">
            <w:pPr>
              <w:rPr>
                <w:sz w:val="22"/>
                <w:szCs w:val="22"/>
                <w:lang w:val="fr-FR"/>
              </w:rPr>
            </w:pPr>
          </w:p>
        </w:tc>
        <w:tc>
          <w:tcPr>
            <w:tcW w:w="3420" w:type="dxa"/>
            <w:vMerge w:val="restart"/>
            <w:tcBorders>
              <w:top w:val="single" w:sz="6" w:space="0" w:color="auto"/>
            </w:tcBorders>
          </w:tcPr>
          <w:p w14:paraId="3E5CF65F" w14:textId="789AE259" w:rsidR="006D77D6" w:rsidRPr="00B62618" w:rsidRDefault="00C73675" w:rsidP="00493A9B">
            <w:pPr>
              <w:pStyle w:val="ListParagraph"/>
              <w:ind w:left="0"/>
              <w:rPr>
                <w:sz w:val="22"/>
                <w:szCs w:val="22"/>
                <w:lang w:val="fr-FR"/>
              </w:rPr>
            </w:pPr>
            <w:r w:rsidRPr="00B62618">
              <w:rPr>
                <w:sz w:val="22"/>
                <w:szCs w:val="22"/>
                <w:lang w:val="fr-FR"/>
              </w:rPr>
              <w:t>Réussite du Vingt-cinquième Congrès interaméricain des ministres et hauts fonctionnaires responsables du tourisme, tenu au Paraguay</w:t>
            </w:r>
          </w:p>
          <w:p w14:paraId="0F64775A" w14:textId="77777777" w:rsidR="006D77D6" w:rsidRPr="00B62618" w:rsidRDefault="006D77D6" w:rsidP="00493A9B">
            <w:pPr>
              <w:pStyle w:val="ListParagraph"/>
              <w:ind w:left="0"/>
              <w:rPr>
                <w:sz w:val="22"/>
                <w:szCs w:val="22"/>
                <w:lang w:val="fr-FR"/>
              </w:rPr>
            </w:pPr>
          </w:p>
          <w:p w14:paraId="1C436D32" w14:textId="2A8FB9C2" w:rsidR="006D77D6" w:rsidRPr="00B62618" w:rsidRDefault="008173C1" w:rsidP="00493A9B">
            <w:pPr>
              <w:pStyle w:val="ListParagraph"/>
              <w:ind w:left="0"/>
              <w:rPr>
                <w:sz w:val="22"/>
                <w:szCs w:val="22"/>
                <w:lang w:val="fr-FR"/>
              </w:rPr>
            </w:pPr>
            <w:r w:rsidRPr="00B62618">
              <w:rPr>
                <w:sz w:val="22"/>
                <w:szCs w:val="22"/>
                <w:lang w:val="fr-FR"/>
              </w:rPr>
              <w:t xml:space="preserve">Réussite de la </w:t>
            </w:r>
            <w:r w:rsidR="00C73675" w:rsidRPr="00B62618">
              <w:rPr>
                <w:sz w:val="22"/>
                <w:szCs w:val="22"/>
                <w:lang w:val="fr-FR"/>
              </w:rPr>
              <w:t xml:space="preserve">Réunion préparatoire du Vingt-cinquième Congrès interaméricain </w:t>
            </w:r>
            <w:r w:rsidRPr="00B62618">
              <w:rPr>
                <w:sz w:val="22"/>
                <w:szCs w:val="22"/>
                <w:lang w:val="fr-FR"/>
              </w:rPr>
              <w:t>des ministres et hauts fonctionnaires responsables du tourisme, tenue soit virtuellement, ou encore au siège de l’OEA.</w:t>
            </w:r>
            <w:r w:rsidR="00C73675" w:rsidRPr="00B62618">
              <w:rPr>
                <w:sz w:val="22"/>
                <w:szCs w:val="22"/>
                <w:lang w:val="fr-FR"/>
              </w:rPr>
              <w:t xml:space="preserve"> </w:t>
            </w:r>
          </w:p>
          <w:p w14:paraId="61C0E52A" w14:textId="77777777" w:rsidR="006D77D6" w:rsidRPr="00B62618" w:rsidRDefault="006D77D6" w:rsidP="00493A9B">
            <w:pPr>
              <w:rPr>
                <w:sz w:val="22"/>
                <w:szCs w:val="22"/>
                <w:lang w:val="fr-FR"/>
              </w:rPr>
            </w:pPr>
          </w:p>
          <w:p w14:paraId="40245978" w14:textId="539CBEFF" w:rsidR="006D77D6" w:rsidRPr="00B62618" w:rsidRDefault="008173C1" w:rsidP="00493A9B">
            <w:pPr>
              <w:pStyle w:val="ListParagraph"/>
              <w:ind w:left="0"/>
              <w:rPr>
                <w:sz w:val="22"/>
                <w:szCs w:val="22"/>
                <w:lang w:val="fr-FR"/>
              </w:rPr>
            </w:pPr>
            <w:r w:rsidRPr="00B62618">
              <w:rPr>
                <w:sz w:val="22"/>
                <w:szCs w:val="22"/>
                <w:lang w:val="fr-FR"/>
              </w:rPr>
              <w:t xml:space="preserve">Mise en application du Plan de travail de la </w:t>
            </w:r>
            <w:r w:rsidR="006D77D6" w:rsidRPr="00B62618">
              <w:rPr>
                <w:sz w:val="22"/>
                <w:szCs w:val="22"/>
                <w:lang w:val="fr-FR"/>
              </w:rPr>
              <w:t xml:space="preserve">CITUR </w:t>
            </w:r>
          </w:p>
          <w:p w14:paraId="4D8928EF" w14:textId="77777777" w:rsidR="006D77D6" w:rsidRPr="00B62618" w:rsidRDefault="006D77D6" w:rsidP="00493A9B">
            <w:pPr>
              <w:pStyle w:val="ListParagraph"/>
              <w:ind w:left="0"/>
              <w:rPr>
                <w:sz w:val="22"/>
                <w:szCs w:val="22"/>
                <w:lang w:val="fr-FR"/>
              </w:rPr>
            </w:pPr>
          </w:p>
          <w:p w14:paraId="21F43896" w14:textId="4E652EB8" w:rsidR="006D77D6" w:rsidRPr="00B62618" w:rsidRDefault="008173C1" w:rsidP="00493A9B">
            <w:pPr>
              <w:rPr>
                <w:sz w:val="22"/>
                <w:szCs w:val="22"/>
                <w:lang w:val="fr-FR"/>
              </w:rPr>
            </w:pPr>
            <w:r w:rsidRPr="00B62618">
              <w:rPr>
                <w:sz w:val="22"/>
                <w:szCs w:val="22"/>
                <w:lang w:val="fr-FR"/>
              </w:rPr>
              <w:t xml:space="preserve">Au moins 3 pays indiquent qu’ils sont prêts à mettre en place les Lignes directrices en matière de tourisme rural basé sur la communauté et à élaborer des manuels </w:t>
            </w:r>
          </w:p>
        </w:tc>
        <w:tc>
          <w:tcPr>
            <w:tcW w:w="2880" w:type="dxa"/>
            <w:vMerge w:val="restart"/>
            <w:tcBorders>
              <w:top w:val="single" w:sz="6" w:space="0" w:color="auto"/>
            </w:tcBorders>
          </w:tcPr>
          <w:p w14:paraId="312B8B37" w14:textId="7E807E28" w:rsidR="006D77D6" w:rsidRPr="00B62618" w:rsidRDefault="006D77D6" w:rsidP="00493A9B">
            <w:pPr>
              <w:rPr>
                <w:b/>
                <w:sz w:val="22"/>
                <w:szCs w:val="22"/>
                <w:lang w:val="fr-FR"/>
              </w:rPr>
            </w:pPr>
            <w:r w:rsidRPr="00B62618">
              <w:rPr>
                <w:b/>
                <w:sz w:val="22"/>
                <w:szCs w:val="22"/>
                <w:lang w:val="fr-FR"/>
              </w:rPr>
              <w:t>Intern</w:t>
            </w:r>
            <w:r w:rsidR="008173C1" w:rsidRPr="00B62618">
              <w:rPr>
                <w:b/>
                <w:sz w:val="22"/>
                <w:szCs w:val="22"/>
                <w:lang w:val="fr-FR"/>
              </w:rPr>
              <w:t>e </w:t>
            </w:r>
            <w:r w:rsidRPr="00B62618">
              <w:rPr>
                <w:b/>
                <w:sz w:val="22"/>
                <w:szCs w:val="22"/>
                <w:lang w:val="fr-FR"/>
              </w:rPr>
              <w:t>:</w:t>
            </w:r>
          </w:p>
          <w:p w14:paraId="6E8883B6" w14:textId="4C422725" w:rsidR="006D77D6" w:rsidRPr="00B62618" w:rsidRDefault="008173C1" w:rsidP="00493A9B">
            <w:pPr>
              <w:rPr>
                <w:sz w:val="22"/>
                <w:szCs w:val="22"/>
                <w:lang w:val="fr-FR"/>
              </w:rPr>
            </w:pPr>
            <w:r w:rsidRPr="00B62618">
              <w:rPr>
                <w:sz w:val="22"/>
                <w:szCs w:val="22"/>
                <w:lang w:val="fr-FR"/>
              </w:rPr>
              <w:t xml:space="preserve">Liens potentiels entre le Réseau de tourisme rural basé sur la communauté et </w:t>
            </w:r>
            <w:proofErr w:type="gramStart"/>
            <w:r w:rsidR="006D77D6" w:rsidRPr="00B62618">
              <w:rPr>
                <w:sz w:val="22"/>
                <w:szCs w:val="22"/>
                <w:lang w:val="fr-FR"/>
              </w:rPr>
              <w:t>CooperaNet;</w:t>
            </w:r>
            <w:proofErr w:type="gramEnd"/>
          </w:p>
          <w:p w14:paraId="0631C8F1" w14:textId="1317947A" w:rsidR="006D77D6" w:rsidRPr="00B62618" w:rsidRDefault="006D77D6" w:rsidP="00493A9B">
            <w:pPr>
              <w:rPr>
                <w:sz w:val="22"/>
                <w:szCs w:val="22"/>
                <w:lang w:val="fr-FR"/>
              </w:rPr>
            </w:pPr>
            <w:r w:rsidRPr="00B62618">
              <w:rPr>
                <w:sz w:val="22"/>
                <w:szCs w:val="22"/>
                <w:lang w:val="fr-FR"/>
              </w:rPr>
              <w:t>SEDI-D</w:t>
            </w:r>
            <w:r w:rsidR="008173C1" w:rsidRPr="00B62618">
              <w:rPr>
                <w:sz w:val="22"/>
                <w:szCs w:val="22"/>
                <w:lang w:val="fr-FR"/>
              </w:rPr>
              <w:t>épartement du développement durable</w:t>
            </w:r>
            <w:r w:rsidR="00E818B1" w:rsidRPr="00B62618">
              <w:rPr>
                <w:sz w:val="22"/>
                <w:szCs w:val="22"/>
                <w:lang w:val="fr-FR"/>
              </w:rPr>
              <w:t> </w:t>
            </w:r>
            <w:r w:rsidRPr="00B62618">
              <w:rPr>
                <w:sz w:val="22"/>
                <w:szCs w:val="22"/>
                <w:lang w:val="fr-FR"/>
              </w:rPr>
              <w:t>;</w:t>
            </w:r>
          </w:p>
          <w:p w14:paraId="3EF687B6" w14:textId="77777777" w:rsidR="006D77D6" w:rsidRPr="00B62618" w:rsidRDefault="006D77D6" w:rsidP="00493A9B">
            <w:pPr>
              <w:rPr>
                <w:sz w:val="22"/>
                <w:szCs w:val="22"/>
                <w:lang w:val="fr-FR"/>
              </w:rPr>
            </w:pPr>
            <w:r w:rsidRPr="00B62618">
              <w:rPr>
                <w:sz w:val="22"/>
                <w:szCs w:val="22"/>
                <w:lang w:val="fr-FR"/>
              </w:rPr>
              <w:t>CooperaNet</w:t>
            </w:r>
          </w:p>
          <w:p w14:paraId="12C139DF" w14:textId="77777777" w:rsidR="006D77D6" w:rsidRPr="00B62618" w:rsidRDefault="006D77D6" w:rsidP="00493A9B">
            <w:pPr>
              <w:rPr>
                <w:sz w:val="22"/>
                <w:szCs w:val="22"/>
                <w:lang w:val="fr-FR"/>
              </w:rPr>
            </w:pPr>
          </w:p>
          <w:p w14:paraId="19D5D0F1" w14:textId="1CECA8AD" w:rsidR="006D77D6" w:rsidRPr="00B62618" w:rsidRDefault="006D77D6" w:rsidP="00493A9B">
            <w:pPr>
              <w:rPr>
                <w:sz w:val="22"/>
                <w:szCs w:val="22"/>
                <w:lang w:val="fr-FR"/>
              </w:rPr>
            </w:pPr>
            <w:r w:rsidRPr="00B62618">
              <w:rPr>
                <w:b/>
                <w:sz w:val="22"/>
                <w:szCs w:val="22"/>
                <w:lang w:val="fr-FR"/>
              </w:rPr>
              <w:t>Extern</w:t>
            </w:r>
            <w:r w:rsidR="008173C1" w:rsidRPr="00B62618">
              <w:rPr>
                <w:b/>
                <w:sz w:val="22"/>
                <w:szCs w:val="22"/>
                <w:lang w:val="fr-FR"/>
              </w:rPr>
              <w:t>e </w:t>
            </w:r>
            <w:r w:rsidRPr="00B62618">
              <w:rPr>
                <w:b/>
                <w:sz w:val="22"/>
                <w:szCs w:val="22"/>
                <w:lang w:val="fr-FR"/>
              </w:rPr>
              <w:t>:</w:t>
            </w:r>
          </w:p>
          <w:p w14:paraId="11C3D2BD" w14:textId="202C852C" w:rsidR="006D77D6" w:rsidRPr="00B62618" w:rsidRDefault="00E818B1" w:rsidP="00493A9B">
            <w:pPr>
              <w:rPr>
                <w:sz w:val="22"/>
                <w:szCs w:val="22"/>
                <w:lang w:val="fr-FR"/>
              </w:rPr>
            </w:pPr>
            <w:r w:rsidRPr="00B62618">
              <w:rPr>
                <w:sz w:val="22"/>
                <w:szCs w:val="22"/>
                <w:lang w:val="fr-FR"/>
              </w:rPr>
              <w:t xml:space="preserve">Université </w:t>
            </w:r>
            <w:r w:rsidR="006D77D6" w:rsidRPr="00B62618">
              <w:rPr>
                <w:sz w:val="22"/>
                <w:szCs w:val="22"/>
                <w:lang w:val="fr-FR"/>
              </w:rPr>
              <w:t>George Washington</w:t>
            </w:r>
            <w:r w:rsidRPr="00B62618">
              <w:rPr>
                <w:sz w:val="22"/>
                <w:szCs w:val="22"/>
                <w:lang w:val="fr-FR"/>
              </w:rPr>
              <w:t xml:space="preserve"> et Bureau des affaires indiennes des États-</w:t>
            </w:r>
            <w:proofErr w:type="gramStart"/>
            <w:r w:rsidRPr="00B62618">
              <w:rPr>
                <w:sz w:val="22"/>
                <w:szCs w:val="22"/>
                <w:lang w:val="fr-FR"/>
              </w:rPr>
              <w:t>Unis;</w:t>
            </w:r>
            <w:proofErr w:type="gramEnd"/>
            <w:r w:rsidRPr="00B62618">
              <w:rPr>
                <w:sz w:val="22"/>
                <w:szCs w:val="22"/>
                <w:lang w:val="fr-FR"/>
              </w:rPr>
              <w:t xml:space="preserve"> Association internationale de transport aérien</w:t>
            </w:r>
            <w:r w:rsidR="006D77D6" w:rsidRPr="00B62618">
              <w:rPr>
                <w:sz w:val="22"/>
                <w:szCs w:val="22"/>
                <w:lang w:val="fr-FR"/>
              </w:rPr>
              <w:t xml:space="preserve"> (IATA);</w:t>
            </w:r>
            <w:r w:rsidRPr="00B62618">
              <w:rPr>
                <w:sz w:val="22"/>
                <w:szCs w:val="22"/>
                <w:lang w:val="fr-FR"/>
              </w:rPr>
              <w:t xml:space="preserve"> Association de croisiéristes de la Floride et des Caraïbes </w:t>
            </w:r>
            <w:r w:rsidR="006D77D6" w:rsidRPr="00B62618">
              <w:rPr>
                <w:sz w:val="22"/>
                <w:szCs w:val="22"/>
                <w:lang w:val="fr-FR"/>
              </w:rPr>
              <w:t xml:space="preserve">(F-CCA); </w:t>
            </w:r>
            <w:r w:rsidR="00966EE0" w:rsidRPr="00B62618">
              <w:rPr>
                <w:sz w:val="22"/>
                <w:szCs w:val="22"/>
                <w:lang w:val="fr-FR"/>
              </w:rPr>
              <w:t>Association internationale des lignes de croisière</w:t>
            </w:r>
            <w:r w:rsidR="006D77D6" w:rsidRPr="00B62618">
              <w:rPr>
                <w:sz w:val="22"/>
                <w:szCs w:val="22"/>
                <w:lang w:val="fr-FR"/>
              </w:rPr>
              <w:t xml:space="preserve"> (CLIA), Chamb</w:t>
            </w:r>
            <w:r w:rsidR="00966EE0" w:rsidRPr="00B62618">
              <w:rPr>
                <w:sz w:val="22"/>
                <w:szCs w:val="22"/>
                <w:lang w:val="fr-FR"/>
              </w:rPr>
              <w:t>res de tourisme</w:t>
            </w:r>
            <w:r w:rsidR="006D77D6" w:rsidRPr="00B62618">
              <w:rPr>
                <w:sz w:val="22"/>
                <w:szCs w:val="22"/>
                <w:lang w:val="fr-FR"/>
              </w:rPr>
              <w:t xml:space="preserve"> </w:t>
            </w:r>
          </w:p>
          <w:p w14:paraId="20785E26" w14:textId="77777777" w:rsidR="006D77D6" w:rsidRPr="00B62618" w:rsidRDefault="006D77D6" w:rsidP="00493A9B">
            <w:pPr>
              <w:rPr>
                <w:sz w:val="22"/>
                <w:szCs w:val="22"/>
                <w:lang w:val="fr-FR"/>
              </w:rPr>
            </w:pPr>
          </w:p>
        </w:tc>
      </w:tr>
      <w:tr w:rsidR="006D77D6" w:rsidRPr="00121D09" w14:paraId="1E576658" w14:textId="77777777" w:rsidTr="006D77D6">
        <w:trPr>
          <w:jc w:val="center"/>
        </w:trPr>
        <w:tc>
          <w:tcPr>
            <w:tcW w:w="3405" w:type="dxa"/>
          </w:tcPr>
          <w:p w14:paraId="2E01A8E9" w14:textId="1B4105B6" w:rsidR="006D77D6" w:rsidRPr="00B62618" w:rsidRDefault="00424B93" w:rsidP="00493A9B">
            <w:pPr>
              <w:numPr>
                <w:ilvl w:val="0"/>
                <w:numId w:val="8"/>
              </w:numPr>
              <w:tabs>
                <w:tab w:val="left" w:pos="177"/>
              </w:tabs>
              <w:ind w:left="173" w:hanging="173"/>
              <w:rPr>
                <w:sz w:val="22"/>
                <w:szCs w:val="22"/>
                <w:lang w:val="fr-FR"/>
              </w:rPr>
            </w:pPr>
            <w:r w:rsidRPr="00B62618">
              <w:rPr>
                <w:sz w:val="22"/>
                <w:szCs w:val="22"/>
                <w:lang w:val="fr-FR"/>
              </w:rPr>
              <w:t xml:space="preserve">Progresser dans la réalisation d’un modèle de gestion de développement durable du tourisme communautaire pour les Amériques </w:t>
            </w:r>
          </w:p>
          <w:p w14:paraId="10B9BA34" w14:textId="133B0CEB" w:rsidR="006D77D6" w:rsidRPr="00B62618" w:rsidRDefault="006D77D6" w:rsidP="00493A9B">
            <w:pPr>
              <w:numPr>
                <w:ilvl w:val="0"/>
                <w:numId w:val="8"/>
              </w:numPr>
              <w:autoSpaceDE w:val="0"/>
              <w:autoSpaceDN w:val="0"/>
              <w:adjustRightInd w:val="0"/>
              <w:ind w:left="173" w:hanging="173"/>
              <w:rPr>
                <w:sz w:val="22"/>
                <w:szCs w:val="22"/>
                <w:lang w:val="fr-FR"/>
              </w:rPr>
            </w:pPr>
            <w:r w:rsidRPr="00B62618">
              <w:rPr>
                <w:sz w:val="22"/>
                <w:szCs w:val="22"/>
                <w:lang w:val="fr-FR"/>
              </w:rPr>
              <w:t>Consolidat</w:t>
            </w:r>
            <w:r w:rsidR="00424B93" w:rsidRPr="00B62618">
              <w:rPr>
                <w:sz w:val="22"/>
                <w:szCs w:val="22"/>
                <w:lang w:val="fr-FR"/>
              </w:rPr>
              <w:t xml:space="preserve">ion d’un réseau de tourisme rural basé sur la communauté </w:t>
            </w:r>
          </w:p>
          <w:p w14:paraId="40292246" w14:textId="4433379F" w:rsidR="006D77D6" w:rsidRPr="00B62618" w:rsidRDefault="006D77D6" w:rsidP="00493A9B">
            <w:pPr>
              <w:numPr>
                <w:ilvl w:val="0"/>
                <w:numId w:val="8"/>
              </w:numPr>
              <w:tabs>
                <w:tab w:val="left" w:pos="177"/>
              </w:tabs>
              <w:ind w:left="173" w:hanging="173"/>
              <w:rPr>
                <w:sz w:val="22"/>
                <w:szCs w:val="22"/>
                <w:lang w:val="fr-FR"/>
              </w:rPr>
            </w:pPr>
            <w:r w:rsidRPr="00B62618">
              <w:rPr>
                <w:sz w:val="22"/>
                <w:szCs w:val="22"/>
                <w:lang w:val="fr-FR"/>
              </w:rPr>
              <w:t>Consolidation</w:t>
            </w:r>
            <w:r w:rsidR="00424B93" w:rsidRPr="00B62618">
              <w:rPr>
                <w:sz w:val="22"/>
                <w:szCs w:val="22"/>
                <w:lang w:val="fr-FR"/>
              </w:rPr>
              <w:t xml:space="preserve"> </w:t>
            </w:r>
            <w:r w:rsidR="00145015" w:rsidRPr="00B62618">
              <w:rPr>
                <w:sz w:val="22"/>
                <w:szCs w:val="22"/>
                <w:lang w:val="fr-FR"/>
              </w:rPr>
              <w:t xml:space="preserve">du </w:t>
            </w:r>
            <w:r w:rsidR="00A20A5E" w:rsidRPr="00B62618">
              <w:rPr>
                <w:sz w:val="22"/>
                <w:szCs w:val="22"/>
                <w:lang w:val="fr-FR"/>
              </w:rPr>
              <w:t>G</w:t>
            </w:r>
            <w:r w:rsidR="00145015" w:rsidRPr="00B62618">
              <w:rPr>
                <w:sz w:val="22"/>
                <w:szCs w:val="22"/>
                <w:lang w:val="fr-FR"/>
              </w:rPr>
              <w:t xml:space="preserve">roupe de </w:t>
            </w:r>
            <w:r w:rsidR="00A20A5E" w:rsidRPr="00B62618">
              <w:rPr>
                <w:sz w:val="22"/>
                <w:szCs w:val="22"/>
                <w:lang w:val="fr-FR"/>
              </w:rPr>
              <w:t>collaboration des Amériques en matière de tourisme autochtone</w:t>
            </w:r>
            <w:r w:rsidRPr="00B62618">
              <w:rPr>
                <w:sz w:val="22"/>
                <w:szCs w:val="22"/>
                <w:lang w:val="fr-FR"/>
              </w:rPr>
              <w:t xml:space="preserve"> </w:t>
            </w:r>
          </w:p>
          <w:p w14:paraId="0514B8EA" w14:textId="1BB66BA3" w:rsidR="006D77D6" w:rsidRPr="00B62618" w:rsidRDefault="00A20A5E" w:rsidP="00493A9B">
            <w:pPr>
              <w:numPr>
                <w:ilvl w:val="0"/>
                <w:numId w:val="8"/>
              </w:numPr>
              <w:tabs>
                <w:tab w:val="left" w:pos="177"/>
              </w:tabs>
              <w:ind w:left="173" w:hanging="173"/>
              <w:rPr>
                <w:sz w:val="22"/>
                <w:szCs w:val="22"/>
                <w:lang w:val="fr-FR"/>
              </w:rPr>
            </w:pPr>
            <w:r w:rsidRPr="00B62618">
              <w:rPr>
                <w:sz w:val="22"/>
                <w:szCs w:val="22"/>
                <w:lang w:val="fr-FR"/>
              </w:rPr>
              <w:t xml:space="preserve">Initiative visant à accroitre la résilience de petites entreprises de tourisme des Caraïbes face à des catastrophes </w:t>
            </w:r>
            <w:r w:rsidR="006D77D6" w:rsidRPr="00B62618">
              <w:rPr>
                <w:sz w:val="22"/>
                <w:szCs w:val="22"/>
                <w:lang w:val="fr-FR"/>
              </w:rPr>
              <w:t>(SEDI-D</w:t>
            </w:r>
            <w:r w:rsidR="00B47C48" w:rsidRPr="00B62618">
              <w:rPr>
                <w:sz w:val="22"/>
                <w:szCs w:val="22"/>
                <w:lang w:val="fr-FR"/>
              </w:rPr>
              <w:t>épartement du développement durable</w:t>
            </w:r>
            <w:r w:rsidR="006D77D6" w:rsidRPr="00B62618">
              <w:rPr>
                <w:sz w:val="22"/>
                <w:szCs w:val="22"/>
                <w:lang w:val="fr-FR"/>
              </w:rPr>
              <w:t>)</w:t>
            </w:r>
          </w:p>
          <w:p w14:paraId="0706A88D" w14:textId="77777777" w:rsidR="006D77D6" w:rsidRPr="00B62618" w:rsidRDefault="006D77D6" w:rsidP="00493A9B">
            <w:pPr>
              <w:ind w:left="173" w:hanging="173"/>
              <w:rPr>
                <w:sz w:val="22"/>
                <w:szCs w:val="22"/>
                <w:lang w:val="fr-FR"/>
              </w:rPr>
            </w:pPr>
          </w:p>
        </w:tc>
        <w:tc>
          <w:tcPr>
            <w:tcW w:w="4140" w:type="dxa"/>
            <w:vMerge/>
          </w:tcPr>
          <w:p w14:paraId="257CDDE6" w14:textId="77777777" w:rsidR="006D77D6" w:rsidRPr="00B62618" w:rsidRDefault="006D77D6" w:rsidP="00493A9B">
            <w:pPr>
              <w:rPr>
                <w:sz w:val="22"/>
                <w:szCs w:val="22"/>
                <w:lang w:val="fr-FR"/>
              </w:rPr>
            </w:pPr>
          </w:p>
        </w:tc>
        <w:tc>
          <w:tcPr>
            <w:tcW w:w="3420" w:type="dxa"/>
            <w:vMerge/>
          </w:tcPr>
          <w:p w14:paraId="42598EA1" w14:textId="77777777" w:rsidR="006D77D6" w:rsidRPr="00B62618" w:rsidRDefault="006D77D6" w:rsidP="00493A9B">
            <w:pPr>
              <w:rPr>
                <w:sz w:val="22"/>
                <w:szCs w:val="22"/>
                <w:lang w:val="fr-FR"/>
              </w:rPr>
            </w:pPr>
          </w:p>
        </w:tc>
        <w:tc>
          <w:tcPr>
            <w:tcW w:w="2880" w:type="dxa"/>
            <w:vMerge/>
          </w:tcPr>
          <w:p w14:paraId="00C19AAC" w14:textId="77777777" w:rsidR="006D77D6" w:rsidRPr="00B62618" w:rsidRDefault="006D77D6" w:rsidP="00493A9B">
            <w:pPr>
              <w:rPr>
                <w:sz w:val="22"/>
                <w:szCs w:val="22"/>
                <w:lang w:val="fr-FR"/>
              </w:rPr>
            </w:pPr>
          </w:p>
        </w:tc>
      </w:tr>
      <w:tr w:rsidR="00F2279D" w:rsidRPr="00B62618" w14:paraId="3F15F4B9" w14:textId="77777777" w:rsidTr="00F2279D">
        <w:trPr>
          <w:jc w:val="center"/>
        </w:trPr>
        <w:tc>
          <w:tcPr>
            <w:tcW w:w="13845" w:type="dxa"/>
            <w:gridSpan w:val="4"/>
            <w:shd w:val="clear" w:color="auto" w:fill="D9D9D9" w:themeFill="background1" w:themeFillShade="D9"/>
          </w:tcPr>
          <w:p w14:paraId="19FDF7BE" w14:textId="77777777" w:rsidR="00F2279D" w:rsidRPr="00B62618" w:rsidRDefault="00F2279D" w:rsidP="00493A9B">
            <w:pPr>
              <w:rPr>
                <w:b/>
                <w:sz w:val="22"/>
                <w:szCs w:val="22"/>
                <w:lang w:val="fr-FR"/>
              </w:rPr>
            </w:pPr>
            <w:r w:rsidRPr="00B62618">
              <w:rPr>
                <w:b/>
                <w:sz w:val="22"/>
                <w:szCs w:val="22"/>
                <w:lang w:val="fr-FR"/>
              </w:rPr>
              <w:t>Culture</w:t>
            </w:r>
          </w:p>
        </w:tc>
      </w:tr>
      <w:tr w:rsidR="006D77D6" w:rsidRPr="00121D09" w14:paraId="5EEE417F" w14:textId="77777777" w:rsidTr="006D77D6">
        <w:trPr>
          <w:jc w:val="center"/>
        </w:trPr>
        <w:tc>
          <w:tcPr>
            <w:tcW w:w="3405" w:type="dxa"/>
          </w:tcPr>
          <w:p w14:paraId="485A4458" w14:textId="1576DF4D" w:rsidR="006D77D6" w:rsidRPr="00B62618" w:rsidRDefault="00966EE0" w:rsidP="00493A9B">
            <w:pPr>
              <w:pStyle w:val="ListParagraph"/>
              <w:numPr>
                <w:ilvl w:val="0"/>
                <w:numId w:val="9"/>
              </w:numPr>
              <w:tabs>
                <w:tab w:val="left" w:pos="177"/>
              </w:tabs>
              <w:ind w:left="173" w:hanging="173"/>
              <w:rPr>
                <w:sz w:val="22"/>
                <w:szCs w:val="22"/>
                <w:lang w:val="fr-FR"/>
              </w:rPr>
            </w:pPr>
            <w:r w:rsidRPr="00B62618">
              <w:rPr>
                <w:sz w:val="22"/>
                <w:szCs w:val="22"/>
                <w:lang w:val="fr-FR"/>
              </w:rPr>
              <w:lastRenderedPageBreak/>
              <w:t>Processus ministériel et Commission interaméricaine de la culture</w:t>
            </w:r>
            <w:r w:rsidR="006D77D6" w:rsidRPr="00B62618">
              <w:rPr>
                <w:sz w:val="22"/>
                <w:szCs w:val="22"/>
                <w:lang w:val="fr-FR"/>
              </w:rPr>
              <w:t xml:space="preserve"> (CIC)</w:t>
            </w:r>
            <w:r w:rsidRPr="00B62618">
              <w:rPr>
                <w:sz w:val="22"/>
                <w:szCs w:val="22"/>
                <w:lang w:val="fr-FR"/>
              </w:rPr>
              <w:t> </w:t>
            </w:r>
            <w:r w:rsidR="006D77D6" w:rsidRPr="00B62618">
              <w:rPr>
                <w:sz w:val="22"/>
                <w:szCs w:val="22"/>
                <w:lang w:val="fr-FR"/>
              </w:rPr>
              <w:t xml:space="preserve">: </w:t>
            </w:r>
            <w:r w:rsidRPr="00B62618">
              <w:rPr>
                <w:sz w:val="22"/>
                <w:szCs w:val="22"/>
                <w:lang w:val="fr-FR"/>
              </w:rPr>
              <w:t>Réunion de la</w:t>
            </w:r>
            <w:r w:rsidR="006D77D6" w:rsidRPr="00B62618">
              <w:rPr>
                <w:sz w:val="22"/>
                <w:szCs w:val="22"/>
                <w:lang w:val="fr-FR"/>
              </w:rPr>
              <w:t xml:space="preserve"> CIC </w:t>
            </w:r>
          </w:p>
          <w:p w14:paraId="49FCD21D" w14:textId="4D01F86E" w:rsidR="006D77D6" w:rsidRPr="00B62618" w:rsidRDefault="00966EE0" w:rsidP="00493A9B">
            <w:pPr>
              <w:pStyle w:val="ListParagraph"/>
              <w:numPr>
                <w:ilvl w:val="0"/>
                <w:numId w:val="9"/>
              </w:numPr>
              <w:tabs>
                <w:tab w:val="left" w:pos="177"/>
              </w:tabs>
              <w:ind w:left="173" w:hanging="173"/>
              <w:rPr>
                <w:sz w:val="22"/>
                <w:szCs w:val="22"/>
                <w:lang w:val="fr-FR"/>
              </w:rPr>
            </w:pPr>
            <w:r w:rsidRPr="00B62618">
              <w:rPr>
                <w:sz w:val="22"/>
                <w:szCs w:val="22"/>
                <w:lang w:val="fr-FR"/>
              </w:rPr>
              <w:t>Réunions techniques virtuelles des initiatives du plan de travail</w:t>
            </w:r>
          </w:p>
          <w:p w14:paraId="03157CD4" w14:textId="42D5CA59" w:rsidR="006D77D6" w:rsidRPr="00B62618" w:rsidRDefault="00091E01" w:rsidP="00493A9B">
            <w:pPr>
              <w:pStyle w:val="ListParagraph"/>
              <w:numPr>
                <w:ilvl w:val="0"/>
                <w:numId w:val="9"/>
              </w:numPr>
              <w:tabs>
                <w:tab w:val="left" w:pos="177"/>
              </w:tabs>
              <w:ind w:left="173" w:hanging="173"/>
              <w:rPr>
                <w:sz w:val="22"/>
                <w:szCs w:val="22"/>
                <w:lang w:val="fr-FR"/>
              </w:rPr>
            </w:pPr>
            <w:r w:rsidRPr="00B62618">
              <w:rPr>
                <w:sz w:val="22"/>
                <w:szCs w:val="22"/>
                <w:lang w:val="fr-FR"/>
              </w:rPr>
              <w:t xml:space="preserve">Livre </w:t>
            </w:r>
            <w:r w:rsidR="00B62618" w:rsidRPr="00B62618">
              <w:rPr>
                <w:sz w:val="22"/>
                <w:szCs w:val="22"/>
                <w:lang w:val="fr-FR"/>
              </w:rPr>
              <w:t>numérique</w:t>
            </w:r>
            <w:r w:rsidRPr="00B62618">
              <w:rPr>
                <w:sz w:val="22"/>
                <w:szCs w:val="22"/>
                <w:lang w:val="fr-FR"/>
              </w:rPr>
              <w:t xml:space="preserve"> sur les bonnes pratiques et les programmes relatifs à l’articulation entre les institutions </w:t>
            </w:r>
          </w:p>
          <w:p w14:paraId="6A627FC5" w14:textId="043F798E" w:rsidR="006D77D6" w:rsidRPr="00B62618" w:rsidRDefault="00091E01" w:rsidP="00493A9B">
            <w:pPr>
              <w:pStyle w:val="ListParagraph"/>
              <w:numPr>
                <w:ilvl w:val="0"/>
                <w:numId w:val="9"/>
              </w:numPr>
              <w:tabs>
                <w:tab w:val="left" w:pos="177"/>
              </w:tabs>
              <w:ind w:left="173" w:hanging="173"/>
              <w:rPr>
                <w:sz w:val="22"/>
                <w:szCs w:val="22"/>
                <w:lang w:val="fr-FR"/>
              </w:rPr>
            </w:pPr>
            <w:r w:rsidRPr="00B62618">
              <w:rPr>
                <w:sz w:val="22"/>
                <w:szCs w:val="22"/>
                <w:lang w:val="fr-FR"/>
              </w:rPr>
              <w:t>Proposition de comptes satellites de la culture</w:t>
            </w:r>
          </w:p>
          <w:p w14:paraId="5FCC8F98" w14:textId="77777777" w:rsidR="006D77D6" w:rsidRPr="00B62618" w:rsidRDefault="006D77D6" w:rsidP="00493A9B">
            <w:pPr>
              <w:rPr>
                <w:sz w:val="22"/>
                <w:szCs w:val="22"/>
                <w:lang w:val="fr-FR"/>
              </w:rPr>
            </w:pPr>
          </w:p>
        </w:tc>
        <w:tc>
          <w:tcPr>
            <w:tcW w:w="4140" w:type="dxa"/>
            <w:vAlign w:val="center"/>
          </w:tcPr>
          <w:p w14:paraId="45ADA1B2" w14:textId="318F0717" w:rsidR="006D77D6" w:rsidRPr="00B62618" w:rsidRDefault="006D77D6" w:rsidP="00493A9B">
            <w:pPr>
              <w:rPr>
                <w:sz w:val="22"/>
                <w:szCs w:val="22"/>
                <w:lang w:val="fr-FR"/>
              </w:rPr>
            </w:pPr>
            <w:r w:rsidRPr="00B62618">
              <w:rPr>
                <w:sz w:val="22"/>
                <w:szCs w:val="22"/>
                <w:lang w:val="fr-FR"/>
              </w:rPr>
              <w:t>F</w:t>
            </w:r>
            <w:r w:rsidR="00091E01" w:rsidRPr="00B62618">
              <w:rPr>
                <w:sz w:val="22"/>
                <w:szCs w:val="22"/>
                <w:lang w:val="fr-FR"/>
              </w:rPr>
              <w:t>ocalisation de la culture sur les industries créatives liées à des PME</w:t>
            </w:r>
          </w:p>
        </w:tc>
        <w:tc>
          <w:tcPr>
            <w:tcW w:w="3420" w:type="dxa"/>
          </w:tcPr>
          <w:p w14:paraId="3120FD96" w14:textId="786CE86B" w:rsidR="006D77D6" w:rsidRPr="00B62618" w:rsidRDefault="00091E01" w:rsidP="00493A9B">
            <w:pPr>
              <w:pStyle w:val="ListParagraph"/>
              <w:numPr>
                <w:ilvl w:val="0"/>
                <w:numId w:val="10"/>
              </w:numPr>
              <w:ind w:left="180" w:hanging="180"/>
              <w:rPr>
                <w:sz w:val="22"/>
                <w:szCs w:val="22"/>
                <w:lang w:val="fr-FR"/>
              </w:rPr>
            </w:pPr>
            <w:r w:rsidRPr="00B62618">
              <w:rPr>
                <w:sz w:val="22"/>
                <w:szCs w:val="22"/>
                <w:lang w:val="fr-FR"/>
              </w:rPr>
              <w:t>La réalisation du projet est déjà bien avancée</w:t>
            </w:r>
            <w:r w:rsidR="006D77D6" w:rsidRPr="00B62618">
              <w:rPr>
                <w:sz w:val="22"/>
                <w:szCs w:val="22"/>
                <w:lang w:val="fr-FR"/>
              </w:rPr>
              <w:t xml:space="preserve"> </w:t>
            </w:r>
          </w:p>
          <w:p w14:paraId="59AD27C0" w14:textId="0F706695" w:rsidR="006D77D6" w:rsidRPr="00B62618" w:rsidRDefault="00091E01" w:rsidP="00493A9B">
            <w:pPr>
              <w:pStyle w:val="ListParagraph"/>
              <w:numPr>
                <w:ilvl w:val="0"/>
                <w:numId w:val="10"/>
              </w:numPr>
              <w:ind w:left="180" w:hanging="180"/>
              <w:rPr>
                <w:sz w:val="22"/>
                <w:szCs w:val="22"/>
                <w:lang w:val="fr-FR"/>
              </w:rPr>
            </w:pPr>
            <w:r w:rsidRPr="00B62618">
              <w:rPr>
                <w:sz w:val="22"/>
                <w:szCs w:val="22"/>
                <w:lang w:val="fr-FR"/>
              </w:rPr>
              <w:t xml:space="preserve">Au moins 2 réunions virtuelles du Groupe de travail sur les comptes satellites de la culture </w:t>
            </w:r>
            <w:r w:rsidR="007944BF" w:rsidRPr="00B62618">
              <w:rPr>
                <w:sz w:val="22"/>
                <w:szCs w:val="22"/>
                <w:lang w:val="fr-FR"/>
              </w:rPr>
              <w:t>ont été entreprises</w:t>
            </w:r>
            <w:r w:rsidR="006D77D6" w:rsidRPr="00B62618">
              <w:rPr>
                <w:sz w:val="22"/>
                <w:szCs w:val="22"/>
                <w:lang w:val="fr-FR"/>
              </w:rPr>
              <w:t xml:space="preserve">  </w:t>
            </w:r>
          </w:p>
          <w:p w14:paraId="62DADCCB" w14:textId="19552207" w:rsidR="006D77D6" w:rsidRPr="00B62618" w:rsidRDefault="007944BF" w:rsidP="00493A9B">
            <w:pPr>
              <w:pStyle w:val="ListParagraph"/>
              <w:numPr>
                <w:ilvl w:val="0"/>
                <w:numId w:val="10"/>
              </w:numPr>
              <w:ind w:left="180" w:hanging="180"/>
              <w:rPr>
                <w:sz w:val="22"/>
                <w:szCs w:val="22"/>
                <w:lang w:val="fr-FR"/>
              </w:rPr>
            </w:pPr>
            <w:r w:rsidRPr="00B62618">
              <w:rPr>
                <w:sz w:val="22"/>
                <w:szCs w:val="22"/>
                <w:lang w:val="fr-FR"/>
              </w:rPr>
              <w:t xml:space="preserve">Compilation d’un livre numérique sur les bonnes pratiques et les programmes relatifs à l’articulation entre les institutions et sur la collaboration à l’appui de l’économie créative </w:t>
            </w:r>
          </w:p>
          <w:p w14:paraId="0155551B" w14:textId="4FBA8643" w:rsidR="006D77D6" w:rsidRPr="00B62618" w:rsidRDefault="007944BF" w:rsidP="00493A9B">
            <w:pPr>
              <w:pStyle w:val="ListParagraph"/>
              <w:numPr>
                <w:ilvl w:val="0"/>
                <w:numId w:val="10"/>
              </w:numPr>
              <w:ind w:left="180" w:hanging="180"/>
              <w:rPr>
                <w:sz w:val="22"/>
                <w:szCs w:val="22"/>
                <w:lang w:val="fr-FR"/>
              </w:rPr>
            </w:pPr>
            <w:r w:rsidRPr="00B62618">
              <w:rPr>
                <w:sz w:val="22"/>
                <w:szCs w:val="22"/>
                <w:lang w:val="fr-FR"/>
              </w:rPr>
              <w:t>Exécution en cours du Plan de travail de la CIC</w:t>
            </w:r>
          </w:p>
          <w:p w14:paraId="41AE9BDD" w14:textId="45EE42BD" w:rsidR="006D77D6" w:rsidRPr="00B62618" w:rsidRDefault="007944BF" w:rsidP="00493A9B">
            <w:pPr>
              <w:pStyle w:val="ListParagraph"/>
              <w:numPr>
                <w:ilvl w:val="0"/>
                <w:numId w:val="10"/>
              </w:numPr>
              <w:ind w:left="180" w:hanging="180"/>
              <w:rPr>
                <w:sz w:val="22"/>
                <w:szCs w:val="22"/>
                <w:u w:val="single"/>
                <w:lang w:val="fr-FR"/>
              </w:rPr>
            </w:pPr>
            <w:r w:rsidRPr="00B62618">
              <w:rPr>
                <w:sz w:val="22"/>
                <w:szCs w:val="22"/>
                <w:lang w:val="fr-FR"/>
              </w:rPr>
              <w:t>Élaboration d’une p</w:t>
            </w:r>
            <w:r w:rsidR="006D77D6" w:rsidRPr="00B62618">
              <w:rPr>
                <w:sz w:val="22"/>
                <w:szCs w:val="22"/>
                <w:lang w:val="fr-FR"/>
              </w:rPr>
              <w:t>ropos</w:t>
            </w:r>
            <w:r w:rsidRPr="00B62618">
              <w:rPr>
                <w:sz w:val="22"/>
                <w:szCs w:val="22"/>
                <w:lang w:val="fr-FR"/>
              </w:rPr>
              <w:t>ition visant à renforcer la capacité de prendre des décisions dans le secteur de la culture dans les Caraïbes</w:t>
            </w:r>
          </w:p>
        </w:tc>
        <w:tc>
          <w:tcPr>
            <w:tcW w:w="2880" w:type="dxa"/>
          </w:tcPr>
          <w:p w14:paraId="629E49D2" w14:textId="3CF009D5" w:rsidR="006D77D6" w:rsidRPr="00B62618" w:rsidRDefault="006D77D6" w:rsidP="00493A9B">
            <w:pPr>
              <w:rPr>
                <w:sz w:val="22"/>
                <w:szCs w:val="22"/>
                <w:lang w:val="fr-FR"/>
              </w:rPr>
            </w:pPr>
            <w:r w:rsidRPr="00B62618">
              <w:rPr>
                <w:b/>
                <w:sz w:val="22"/>
                <w:szCs w:val="22"/>
                <w:lang w:val="fr-FR"/>
              </w:rPr>
              <w:t>Extern</w:t>
            </w:r>
            <w:r w:rsidR="007944BF" w:rsidRPr="00B62618">
              <w:rPr>
                <w:b/>
                <w:sz w:val="22"/>
                <w:szCs w:val="22"/>
                <w:lang w:val="fr-FR"/>
              </w:rPr>
              <w:t>e </w:t>
            </w:r>
            <w:r w:rsidRPr="00B62618">
              <w:rPr>
                <w:b/>
                <w:sz w:val="22"/>
                <w:szCs w:val="22"/>
                <w:lang w:val="fr-FR"/>
              </w:rPr>
              <w:t>:</w:t>
            </w:r>
          </w:p>
          <w:p w14:paraId="6D82EF1A" w14:textId="221F9891" w:rsidR="006D77D6" w:rsidRPr="00B62618" w:rsidRDefault="007944BF" w:rsidP="00493A9B">
            <w:pPr>
              <w:rPr>
                <w:sz w:val="22"/>
                <w:szCs w:val="22"/>
                <w:lang w:val="fr-FR"/>
              </w:rPr>
            </w:pPr>
            <w:r w:rsidRPr="00B62618">
              <w:rPr>
                <w:sz w:val="22"/>
                <w:szCs w:val="22"/>
                <w:lang w:val="fr-FR"/>
              </w:rPr>
              <w:t xml:space="preserve">Organisation de la </w:t>
            </w:r>
            <w:r w:rsidR="006D77D6" w:rsidRPr="00B62618">
              <w:rPr>
                <w:sz w:val="22"/>
                <w:szCs w:val="22"/>
                <w:lang w:val="fr-FR"/>
              </w:rPr>
              <w:t>Conven</w:t>
            </w:r>
            <w:r w:rsidRPr="00B62618">
              <w:rPr>
                <w:sz w:val="22"/>
                <w:szCs w:val="22"/>
                <w:lang w:val="fr-FR"/>
              </w:rPr>
              <w:t>tion</w:t>
            </w:r>
            <w:r w:rsidR="006D77D6" w:rsidRPr="00B62618">
              <w:rPr>
                <w:sz w:val="22"/>
                <w:szCs w:val="22"/>
                <w:lang w:val="fr-FR"/>
              </w:rPr>
              <w:t xml:space="preserve"> Andr</w:t>
            </w:r>
            <w:r w:rsidRPr="00B62618">
              <w:rPr>
                <w:sz w:val="22"/>
                <w:szCs w:val="22"/>
                <w:lang w:val="fr-FR"/>
              </w:rPr>
              <w:t>é</w:t>
            </w:r>
            <w:r w:rsidR="006D77D6" w:rsidRPr="00B62618">
              <w:rPr>
                <w:sz w:val="22"/>
                <w:szCs w:val="22"/>
                <w:lang w:val="fr-FR"/>
              </w:rPr>
              <w:t xml:space="preserve">s Bello </w:t>
            </w:r>
          </w:p>
          <w:p w14:paraId="531BB546" w14:textId="77777777" w:rsidR="006D77D6" w:rsidRPr="00B62618" w:rsidRDefault="006D77D6" w:rsidP="00493A9B">
            <w:pPr>
              <w:rPr>
                <w:sz w:val="22"/>
                <w:szCs w:val="22"/>
                <w:lang w:val="fr-FR"/>
              </w:rPr>
            </w:pPr>
          </w:p>
          <w:p w14:paraId="69062FF2" w14:textId="681F999B" w:rsidR="006D77D6" w:rsidRPr="00B62618" w:rsidRDefault="007944BF" w:rsidP="00493A9B">
            <w:pPr>
              <w:rPr>
                <w:sz w:val="22"/>
                <w:szCs w:val="22"/>
                <w:lang w:val="fr-FR"/>
              </w:rPr>
            </w:pPr>
            <w:r w:rsidRPr="00B62618">
              <w:rPr>
                <w:sz w:val="22"/>
                <w:szCs w:val="22"/>
                <w:lang w:val="fr-FR"/>
              </w:rPr>
              <w:t xml:space="preserve">Banque de développement des Caraïbes sur les industries </w:t>
            </w:r>
            <w:r w:rsidR="006B66C4" w:rsidRPr="00B62618">
              <w:rPr>
                <w:sz w:val="22"/>
                <w:szCs w:val="22"/>
                <w:lang w:val="fr-FR"/>
              </w:rPr>
              <w:t>créatives</w:t>
            </w:r>
          </w:p>
          <w:p w14:paraId="2D6A37DF" w14:textId="77777777" w:rsidR="006D77D6" w:rsidRPr="00B62618" w:rsidRDefault="006D77D6" w:rsidP="00493A9B">
            <w:pPr>
              <w:rPr>
                <w:sz w:val="22"/>
                <w:szCs w:val="22"/>
                <w:lang w:val="fr-FR"/>
              </w:rPr>
            </w:pPr>
          </w:p>
        </w:tc>
      </w:tr>
    </w:tbl>
    <w:p w14:paraId="75539D05" w14:textId="77777777" w:rsidR="00336EAD" w:rsidRPr="00B62618" w:rsidRDefault="00336EAD" w:rsidP="00493A9B">
      <w:pPr>
        <w:rPr>
          <w:sz w:val="22"/>
          <w:szCs w:val="22"/>
          <w:lang w:val="fr-FR"/>
        </w:rPr>
      </w:pPr>
    </w:p>
    <w:p w14:paraId="23BBBAA2" w14:textId="77777777" w:rsidR="00C237D9" w:rsidRPr="00B62618" w:rsidRDefault="00C237D9" w:rsidP="00493A9B">
      <w:pPr>
        <w:spacing w:after="160" w:line="259" w:lineRule="auto"/>
        <w:rPr>
          <w:sz w:val="22"/>
          <w:szCs w:val="22"/>
          <w:lang w:val="fr-FR"/>
        </w:rPr>
      </w:pPr>
      <w:r w:rsidRPr="00B62618">
        <w:rPr>
          <w:sz w:val="22"/>
          <w:szCs w:val="22"/>
          <w:lang w:val="fr-FR"/>
        </w:rPr>
        <w:br w:type="page"/>
      </w:r>
    </w:p>
    <w:p w14:paraId="73F3AF64" w14:textId="0099136C" w:rsidR="00336EAD" w:rsidRPr="00B62618" w:rsidRDefault="00336EAD" w:rsidP="00493A9B">
      <w:pPr>
        <w:rPr>
          <w:b/>
          <w:color w:val="0000CC"/>
          <w:sz w:val="22"/>
          <w:szCs w:val="22"/>
          <w:lang w:val="fr-FR"/>
        </w:rPr>
      </w:pPr>
      <w:r w:rsidRPr="00B62618">
        <w:rPr>
          <w:b/>
          <w:color w:val="0000CC"/>
          <w:sz w:val="22"/>
          <w:szCs w:val="22"/>
          <w:lang w:val="fr-FR"/>
        </w:rPr>
        <w:lastRenderedPageBreak/>
        <w:t>D</w:t>
      </w:r>
      <w:r w:rsidR="006B66C4" w:rsidRPr="00B62618">
        <w:rPr>
          <w:b/>
          <w:color w:val="0000CC"/>
          <w:sz w:val="22"/>
          <w:szCs w:val="22"/>
          <w:lang w:val="fr-FR"/>
        </w:rPr>
        <w:t>É</w:t>
      </w:r>
      <w:r w:rsidRPr="00B62618">
        <w:rPr>
          <w:b/>
          <w:color w:val="0000CC"/>
          <w:sz w:val="22"/>
          <w:szCs w:val="22"/>
          <w:lang w:val="fr-FR"/>
        </w:rPr>
        <w:t>PART</w:t>
      </w:r>
      <w:r w:rsidR="006B66C4" w:rsidRPr="00B62618">
        <w:rPr>
          <w:b/>
          <w:color w:val="0000CC"/>
          <w:sz w:val="22"/>
          <w:szCs w:val="22"/>
          <w:lang w:val="fr-FR"/>
        </w:rPr>
        <w:t>E</w:t>
      </w:r>
      <w:r w:rsidRPr="00B62618">
        <w:rPr>
          <w:b/>
          <w:color w:val="0000CC"/>
          <w:sz w:val="22"/>
          <w:szCs w:val="22"/>
          <w:lang w:val="fr-FR"/>
        </w:rPr>
        <w:t>MENT/SECTION</w:t>
      </w:r>
      <w:r w:rsidR="006B66C4" w:rsidRPr="00B62618">
        <w:rPr>
          <w:b/>
          <w:color w:val="0000CC"/>
          <w:sz w:val="22"/>
          <w:szCs w:val="22"/>
          <w:lang w:val="fr-FR"/>
        </w:rPr>
        <w:t> </w:t>
      </w:r>
      <w:r w:rsidRPr="00B62618">
        <w:rPr>
          <w:b/>
          <w:color w:val="0000CC"/>
          <w:sz w:val="22"/>
          <w:szCs w:val="22"/>
          <w:lang w:val="fr-FR"/>
        </w:rPr>
        <w:t>:</w:t>
      </w:r>
      <w:r w:rsidRPr="00B62618">
        <w:rPr>
          <w:b/>
          <w:color w:val="0000CC"/>
          <w:sz w:val="22"/>
          <w:szCs w:val="22"/>
          <w:lang w:val="fr-FR"/>
        </w:rPr>
        <w:tab/>
      </w:r>
      <w:r w:rsidR="006B66C4" w:rsidRPr="00B62618">
        <w:rPr>
          <w:b/>
          <w:color w:val="0000CC"/>
          <w:sz w:val="22"/>
          <w:szCs w:val="22"/>
          <w:lang w:val="fr-FR"/>
        </w:rPr>
        <w:t>COMMISSION INTERAMÉRICAINE DES</w:t>
      </w:r>
      <w:r w:rsidRPr="00B62618">
        <w:rPr>
          <w:b/>
          <w:color w:val="0000CC"/>
          <w:sz w:val="22"/>
          <w:szCs w:val="22"/>
          <w:lang w:val="fr-FR"/>
        </w:rPr>
        <w:t xml:space="preserve"> PORTS (CIP)</w:t>
      </w:r>
    </w:p>
    <w:p w14:paraId="669C87A9" w14:textId="77777777" w:rsidR="00336EAD" w:rsidRPr="00B62618" w:rsidRDefault="00336EAD" w:rsidP="00493A9B">
      <w:pPr>
        <w:rPr>
          <w:sz w:val="22"/>
          <w:szCs w:val="22"/>
          <w:lang w:val="fr-FR"/>
        </w:rPr>
      </w:pPr>
    </w:p>
    <w:p w14:paraId="1E0D53CF" w14:textId="77777777" w:rsidR="00336EAD" w:rsidRPr="00B62618" w:rsidRDefault="00336EAD" w:rsidP="00493A9B">
      <w:pPr>
        <w:rPr>
          <w:sz w:val="22"/>
          <w:szCs w:val="22"/>
          <w:lang w:val="fr-FR"/>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4230"/>
        <w:gridCol w:w="3420"/>
        <w:gridCol w:w="2790"/>
      </w:tblGrid>
      <w:tr w:rsidR="00697CE0" w:rsidRPr="00B62618" w14:paraId="6ED5294A" w14:textId="77777777" w:rsidTr="0029333F">
        <w:trPr>
          <w:tblHeader/>
          <w:jc w:val="center"/>
        </w:trPr>
        <w:tc>
          <w:tcPr>
            <w:tcW w:w="3315" w:type="dxa"/>
            <w:tcBorders>
              <w:top w:val="single" w:sz="12" w:space="0" w:color="auto"/>
              <w:bottom w:val="single" w:sz="6" w:space="0" w:color="auto"/>
            </w:tcBorders>
            <w:shd w:val="clear" w:color="auto" w:fill="BDD6EE" w:themeFill="accent1" w:themeFillTint="66"/>
            <w:vAlign w:val="center"/>
          </w:tcPr>
          <w:p w14:paraId="0054F7E2" w14:textId="113FBF0D" w:rsidR="00697CE0" w:rsidRPr="00B62618" w:rsidRDefault="00697CE0" w:rsidP="00493A9B">
            <w:pPr>
              <w:rPr>
                <w:b/>
                <w:bCs/>
                <w:color w:val="000000" w:themeColor="text1"/>
                <w:sz w:val="22"/>
                <w:szCs w:val="22"/>
                <w:lang w:val="fr-FR"/>
              </w:rPr>
            </w:pPr>
            <w:r w:rsidRPr="00B62618">
              <w:rPr>
                <w:b/>
                <w:bCs/>
                <w:color w:val="000000" w:themeColor="text1"/>
                <w:sz w:val="22"/>
                <w:szCs w:val="22"/>
                <w:lang w:val="fr-FR"/>
              </w:rPr>
              <w:t>INITIATIVES / ACTIVIT</w:t>
            </w:r>
            <w:r w:rsidR="006B66C4" w:rsidRPr="00B62618">
              <w:rPr>
                <w:b/>
                <w:bCs/>
                <w:color w:val="000000" w:themeColor="text1"/>
                <w:sz w:val="22"/>
                <w:szCs w:val="22"/>
                <w:lang w:val="fr-FR"/>
              </w:rPr>
              <w:t>É</w:t>
            </w:r>
            <w:r w:rsidRPr="00B62618">
              <w:rPr>
                <w:b/>
                <w:bCs/>
                <w:color w:val="000000" w:themeColor="text1"/>
                <w:sz w:val="22"/>
                <w:szCs w:val="22"/>
                <w:lang w:val="fr-FR"/>
              </w:rPr>
              <w:t>S</w:t>
            </w:r>
          </w:p>
        </w:tc>
        <w:tc>
          <w:tcPr>
            <w:tcW w:w="4230" w:type="dxa"/>
            <w:tcBorders>
              <w:top w:val="single" w:sz="12" w:space="0" w:color="auto"/>
              <w:bottom w:val="single" w:sz="6" w:space="0" w:color="auto"/>
            </w:tcBorders>
            <w:shd w:val="clear" w:color="auto" w:fill="BDD6EE" w:themeFill="accent1" w:themeFillTint="66"/>
            <w:vAlign w:val="center"/>
          </w:tcPr>
          <w:p w14:paraId="56B637BF" w14:textId="35C66E60" w:rsidR="00697CE0" w:rsidRPr="00B62618" w:rsidRDefault="00697CE0" w:rsidP="00493A9B">
            <w:pPr>
              <w:rPr>
                <w:b/>
                <w:bCs/>
                <w:color w:val="000000" w:themeColor="text1"/>
                <w:sz w:val="22"/>
                <w:szCs w:val="22"/>
                <w:lang w:val="fr-FR"/>
              </w:rPr>
            </w:pPr>
            <w:r w:rsidRPr="00B62618">
              <w:rPr>
                <w:b/>
                <w:bCs/>
                <w:color w:val="000000" w:themeColor="text1"/>
                <w:sz w:val="22"/>
                <w:szCs w:val="22"/>
                <w:lang w:val="fr-FR"/>
              </w:rPr>
              <w:t>CONTRIBUTION</w:t>
            </w:r>
            <w:r w:rsidR="006B66C4" w:rsidRPr="00B62618">
              <w:rPr>
                <w:b/>
                <w:bCs/>
                <w:color w:val="000000" w:themeColor="text1"/>
                <w:sz w:val="22"/>
                <w:szCs w:val="22"/>
                <w:lang w:val="fr-FR"/>
              </w:rPr>
              <w:t xml:space="preserve"> À LA RÉSILIENCE ET À LA COMPÉTITIVITÉ</w:t>
            </w:r>
          </w:p>
        </w:tc>
        <w:tc>
          <w:tcPr>
            <w:tcW w:w="3420" w:type="dxa"/>
            <w:tcBorders>
              <w:top w:val="single" w:sz="12" w:space="0" w:color="auto"/>
              <w:bottom w:val="single" w:sz="6" w:space="0" w:color="auto"/>
            </w:tcBorders>
            <w:shd w:val="clear" w:color="auto" w:fill="BDD6EE" w:themeFill="accent1" w:themeFillTint="66"/>
            <w:vAlign w:val="center"/>
          </w:tcPr>
          <w:p w14:paraId="27857F65" w14:textId="29EC8AD1" w:rsidR="00697CE0" w:rsidRPr="00B62618" w:rsidRDefault="006B66C4" w:rsidP="00493A9B">
            <w:pPr>
              <w:rPr>
                <w:b/>
                <w:bCs/>
                <w:color w:val="000000" w:themeColor="text1"/>
                <w:sz w:val="22"/>
                <w:szCs w:val="22"/>
                <w:lang w:val="fr-FR"/>
              </w:rPr>
            </w:pPr>
            <w:r w:rsidRPr="00B62618">
              <w:rPr>
                <w:b/>
                <w:bCs/>
                <w:color w:val="000000" w:themeColor="text1"/>
                <w:sz w:val="22"/>
                <w:szCs w:val="22"/>
                <w:lang w:val="fr-FR"/>
              </w:rPr>
              <w:t>RÉSULTATS / CONCLUSIONS ATTENDUS</w:t>
            </w:r>
          </w:p>
        </w:tc>
        <w:tc>
          <w:tcPr>
            <w:tcW w:w="2790" w:type="dxa"/>
            <w:tcBorders>
              <w:top w:val="single" w:sz="12" w:space="0" w:color="auto"/>
              <w:bottom w:val="single" w:sz="6" w:space="0" w:color="auto"/>
            </w:tcBorders>
            <w:shd w:val="clear" w:color="auto" w:fill="BDD6EE" w:themeFill="accent1" w:themeFillTint="66"/>
            <w:vAlign w:val="center"/>
          </w:tcPr>
          <w:p w14:paraId="477501DC" w14:textId="52D37779" w:rsidR="00697CE0" w:rsidRPr="00B62618" w:rsidRDefault="00697CE0" w:rsidP="00493A9B">
            <w:pPr>
              <w:rPr>
                <w:b/>
                <w:bCs/>
                <w:color w:val="000000" w:themeColor="text1"/>
                <w:sz w:val="22"/>
                <w:szCs w:val="22"/>
                <w:lang w:val="fr-FR"/>
              </w:rPr>
            </w:pPr>
            <w:r w:rsidRPr="00B62618">
              <w:rPr>
                <w:b/>
                <w:bCs/>
                <w:color w:val="000000" w:themeColor="text1"/>
                <w:sz w:val="22"/>
                <w:szCs w:val="22"/>
                <w:lang w:val="fr-FR"/>
              </w:rPr>
              <w:t>COOP</w:t>
            </w:r>
            <w:r w:rsidR="006B66C4" w:rsidRPr="00B62618">
              <w:rPr>
                <w:b/>
                <w:bCs/>
                <w:color w:val="000000" w:themeColor="text1"/>
                <w:sz w:val="22"/>
                <w:szCs w:val="22"/>
                <w:lang w:val="fr-FR"/>
              </w:rPr>
              <w:t>É</w:t>
            </w:r>
            <w:r w:rsidRPr="00B62618">
              <w:rPr>
                <w:b/>
                <w:bCs/>
                <w:color w:val="000000" w:themeColor="text1"/>
                <w:sz w:val="22"/>
                <w:szCs w:val="22"/>
                <w:lang w:val="fr-FR"/>
              </w:rPr>
              <w:t>RATION</w:t>
            </w:r>
            <w:r w:rsidR="006B66C4" w:rsidRPr="00B62618">
              <w:rPr>
                <w:b/>
                <w:bCs/>
                <w:color w:val="000000" w:themeColor="text1"/>
                <w:sz w:val="22"/>
                <w:szCs w:val="22"/>
                <w:lang w:val="fr-FR"/>
              </w:rPr>
              <w:t xml:space="preserve"> ET PARTENARIATS</w:t>
            </w:r>
          </w:p>
        </w:tc>
      </w:tr>
      <w:tr w:rsidR="0029333F" w:rsidRPr="00121D09" w14:paraId="4AD87E7B" w14:textId="77777777" w:rsidTr="0029333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29DE9F5" w14:textId="6FC3619E" w:rsidR="0029333F" w:rsidRPr="00B62618" w:rsidRDefault="00944E71" w:rsidP="00944E71">
            <w:pPr>
              <w:rPr>
                <w:b/>
                <w:bCs/>
                <w:color w:val="000000" w:themeColor="text1"/>
                <w:sz w:val="22"/>
                <w:szCs w:val="22"/>
                <w:lang w:val="fr-FR"/>
              </w:rPr>
            </w:pPr>
            <w:r w:rsidRPr="00B62618">
              <w:rPr>
                <w:rFonts w:eastAsia="Calibri"/>
                <w:b/>
                <w:bCs/>
                <w:color w:val="000000" w:themeColor="text1"/>
                <w:sz w:val="22"/>
                <w:szCs w:val="22"/>
                <w:lang w:val="fr-FR"/>
              </w:rPr>
              <w:t>LIGNE STRATÉGIQUE</w:t>
            </w:r>
          </w:p>
        </w:tc>
        <w:tc>
          <w:tcPr>
            <w:tcW w:w="10440" w:type="dxa"/>
            <w:gridSpan w:val="3"/>
            <w:tcBorders>
              <w:top w:val="single" w:sz="6" w:space="0" w:color="auto"/>
              <w:bottom w:val="single" w:sz="6" w:space="0" w:color="auto"/>
            </w:tcBorders>
            <w:shd w:val="clear" w:color="auto" w:fill="BFBFBF" w:themeFill="background1" w:themeFillShade="BF"/>
          </w:tcPr>
          <w:p w14:paraId="7F250908" w14:textId="40C3593D" w:rsidR="0029333F" w:rsidRPr="00B62618" w:rsidRDefault="0029333F" w:rsidP="00493A9B">
            <w:pPr>
              <w:rPr>
                <w:b/>
                <w:bCs/>
                <w:color w:val="000000" w:themeColor="text1"/>
                <w:sz w:val="22"/>
                <w:szCs w:val="22"/>
                <w:lang w:val="fr-FR"/>
              </w:rPr>
            </w:pPr>
            <w:r w:rsidRPr="00B62618">
              <w:rPr>
                <w:b/>
                <w:bCs/>
                <w:color w:val="000000" w:themeColor="text1"/>
                <w:sz w:val="22"/>
                <w:szCs w:val="22"/>
                <w:lang w:val="fr-FR"/>
              </w:rPr>
              <w:t>2.</w:t>
            </w:r>
            <w:r w:rsidR="006B66C4" w:rsidRPr="00B62618">
              <w:rPr>
                <w:b/>
                <w:bCs/>
                <w:color w:val="000000" w:themeColor="text1"/>
                <w:sz w:val="22"/>
                <w:szCs w:val="22"/>
                <w:lang w:val="fr-FR"/>
              </w:rPr>
              <w:t xml:space="preserve"> Renforcement de la mise en application des buts en matière de développement durable conformément au Programme interaméricain</w:t>
            </w:r>
            <w:r w:rsidR="008642B4" w:rsidRPr="00B62618">
              <w:rPr>
                <w:b/>
                <w:bCs/>
                <w:color w:val="000000" w:themeColor="text1"/>
                <w:sz w:val="22"/>
                <w:szCs w:val="22"/>
                <w:lang w:val="fr-FR"/>
              </w:rPr>
              <w:t xml:space="preserve"> de développement durable</w:t>
            </w:r>
            <w:r w:rsidRPr="00B62618">
              <w:rPr>
                <w:b/>
                <w:bCs/>
                <w:color w:val="000000" w:themeColor="text1"/>
                <w:sz w:val="22"/>
                <w:szCs w:val="22"/>
                <w:lang w:val="fr-FR"/>
              </w:rPr>
              <w:t xml:space="preserve"> (PIDS) 2016-2021</w:t>
            </w:r>
          </w:p>
        </w:tc>
      </w:tr>
      <w:tr w:rsidR="0029333F" w:rsidRPr="00121D09" w14:paraId="301F621E" w14:textId="77777777" w:rsidTr="0029333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43207BC" w14:textId="57AF1C68" w:rsidR="0029333F" w:rsidRPr="00B62618" w:rsidRDefault="00944E71" w:rsidP="00493A9B">
            <w:pPr>
              <w:rPr>
                <w:b/>
                <w:bCs/>
                <w:color w:val="000000" w:themeColor="text1"/>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bottom w:val="single" w:sz="6" w:space="0" w:color="auto"/>
            </w:tcBorders>
            <w:shd w:val="clear" w:color="auto" w:fill="BFBFBF" w:themeFill="background1" w:themeFillShade="BF"/>
          </w:tcPr>
          <w:p w14:paraId="7E5F7BDA" w14:textId="110A60AD" w:rsidR="0029333F" w:rsidRPr="00B62618" w:rsidRDefault="0029333F" w:rsidP="00493A9B">
            <w:pPr>
              <w:rPr>
                <w:sz w:val="22"/>
                <w:szCs w:val="22"/>
                <w:lang w:val="fr-FR"/>
              </w:rPr>
            </w:pPr>
            <w:r w:rsidRPr="00B62618">
              <w:rPr>
                <w:b/>
                <w:bCs/>
                <w:color w:val="000000" w:themeColor="text1"/>
                <w:sz w:val="22"/>
                <w:szCs w:val="22"/>
                <w:lang w:val="fr-FR"/>
              </w:rPr>
              <w:t xml:space="preserve">2.1. </w:t>
            </w:r>
            <w:r w:rsidR="008642B4" w:rsidRPr="00B62618">
              <w:rPr>
                <w:b/>
                <w:bCs/>
                <w:color w:val="000000" w:themeColor="text1"/>
                <w:sz w:val="22"/>
                <w:szCs w:val="22"/>
                <w:lang w:val="fr-FR"/>
              </w:rPr>
              <w:t>Renforcement des capacités des États membres dans le domaine de la gestion des risques de catastrophe</w:t>
            </w:r>
            <w:r w:rsidR="00354442" w:rsidRPr="00B62618">
              <w:rPr>
                <w:b/>
                <w:bCs/>
                <w:color w:val="000000" w:themeColor="text1"/>
                <w:sz w:val="22"/>
                <w:szCs w:val="22"/>
                <w:lang w:val="fr-FR"/>
              </w:rPr>
              <w:t xml:space="preserve"> de façon à atteindre les buts et les mesures stratégiques énoncés dans la</w:t>
            </w:r>
            <w:r w:rsidR="008642B4" w:rsidRPr="00B62618">
              <w:rPr>
                <w:b/>
                <w:bCs/>
                <w:color w:val="000000" w:themeColor="text1"/>
                <w:sz w:val="22"/>
                <w:szCs w:val="22"/>
                <w:lang w:val="fr-FR"/>
              </w:rPr>
              <w:t xml:space="preserve"> </w:t>
            </w:r>
            <w:r w:rsidRPr="00B62618">
              <w:rPr>
                <w:b/>
                <w:bCs/>
                <w:color w:val="000000" w:themeColor="text1"/>
                <w:sz w:val="22"/>
                <w:szCs w:val="22"/>
                <w:lang w:val="fr-FR"/>
              </w:rPr>
              <w:t xml:space="preserve">section 3.1 </w:t>
            </w:r>
            <w:r w:rsidR="00354442" w:rsidRPr="00B62618">
              <w:rPr>
                <w:b/>
                <w:bCs/>
                <w:color w:val="000000" w:themeColor="text1"/>
                <w:sz w:val="22"/>
                <w:szCs w:val="22"/>
                <w:lang w:val="fr-FR"/>
              </w:rPr>
              <w:t>du</w:t>
            </w:r>
            <w:r w:rsidRPr="00B62618">
              <w:rPr>
                <w:b/>
                <w:bCs/>
                <w:color w:val="000000" w:themeColor="text1"/>
                <w:sz w:val="22"/>
                <w:szCs w:val="22"/>
                <w:lang w:val="fr-FR"/>
              </w:rPr>
              <w:t xml:space="preserve"> PIDS</w:t>
            </w:r>
          </w:p>
        </w:tc>
      </w:tr>
      <w:tr w:rsidR="0029333F" w:rsidRPr="00B62618" w14:paraId="3FBCC842" w14:textId="77777777" w:rsidTr="0029333F">
        <w:trPr>
          <w:jc w:val="center"/>
        </w:trPr>
        <w:tc>
          <w:tcPr>
            <w:tcW w:w="3315" w:type="dxa"/>
            <w:tcBorders>
              <w:top w:val="single" w:sz="6" w:space="0" w:color="auto"/>
              <w:bottom w:val="single" w:sz="6" w:space="0" w:color="auto"/>
            </w:tcBorders>
            <w:shd w:val="clear" w:color="auto" w:fill="D9D9D9" w:themeFill="background1" w:themeFillShade="D9"/>
            <w:vAlign w:val="center"/>
          </w:tcPr>
          <w:p w14:paraId="3F03DF8E" w14:textId="77777777" w:rsidR="0029333F" w:rsidRPr="00B62618" w:rsidRDefault="0029333F" w:rsidP="00493A9B">
            <w:pPr>
              <w:rPr>
                <w:b/>
                <w:bCs/>
                <w:color w:val="000000" w:themeColor="text1"/>
                <w:sz w:val="22"/>
                <w:szCs w:val="22"/>
                <w:lang w:val="fr-FR"/>
              </w:rPr>
            </w:pPr>
            <w:r w:rsidRPr="00B62618">
              <w:rPr>
                <w:rFonts w:eastAsia="Calibri"/>
                <w:b/>
                <w:bCs/>
                <w:color w:val="000000" w:themeColor="text1"/>
                <w:sz w:val="22"/>
                <w:szCs w:val="22"/>
                <w:lang w:val="fr-FR"/>
              </w:rPr>
              <w:t>PORTS</w:t>
            </w:r>
          </w:p>
        </w:tc>
        <w:tc>
          <w:tcPr>
            <w:tcW w:w="10440" w:type="dxa"/>
            <w:gridSpan w:val="3"/>
            <w:tcBorders>
              <w:top w:val="single" w:sz="6" w:space="0" w:color="auto"/>
              <w:bottom w:val="single" w:sz="6" w:space="0" w:color="auto"/>
            </w:tcBorders>
            <w:shd w:val="clear" w:color="auto" w:fill="D9D9D9" w:themeFill="background1" w:themeFillShade="D9"/>
          </w:tcPr>
          <w:p w14:paraId="12A42F71" w14:textId="77777777" w:rsidR="0029333F" w:rsidRPr="00B62618" w:rsidRDefault="0029333F" w:rsidP="00493A9B">
            <w:pPr>
              <w:rPr>
                <w:b/>
                <w:bCs/>
                <w:color w:val="000000" w:themeColor="text1"/>
                <w:sz w:val="22"/>
                <w:szCs w:val="22"/>
                <w:lang w:val="fr-FR"/>
              </w:rPr>
            </w:pPr>
          </w:p>
        </w:tc>
      </w:tr>
      <w:tr w:rsidR="00A55B4B" w:rsidRPr="00121D09" w14:paraId="2C0CC40F" w14:textId="77777777" w:rsidTr="00655DAD">
        <w:trPr>
          <w:jc w:val="center"/>
        </w:trPr>
        <w:tc>
          <w:tcPr>
            <w:tcW w:w="3315" w:type="dxa"/>
            <w:tcBorders>
              <w:top w:val="single" w:sz="6" w:space="0" w:color="auto"/>
              <w:bottom w:val="single" w:sz="6" w:space="0" w:color="auto"/>
            </w:tcBorders>
            <w:vAlign w:val="center"/>
          </w:tcPr>
          <w:p w14:paraId="485B6D62" w14:textId="54B92312" w:rsidR="00A55B4B" w:rsidRPr="00B62618" w:rsidRDefault="00354442" w:rsidP="00493A9B">
            <w:pPr>
              <w:rPr>
                <w:bCs/>
                <w:color w:val="000000" w:themeColor="text1"/>
                <w:sz w:val="22"/>
                <w:szCs w:val="22"/>
                <w:lang w:val="fr-FR"/>
              </w:rPr>
            </w:pPr>
            <w:r w:rsidRPr="00B62618">
              <w:rPr>
                <w:bCs/>
                <w:color w:val="000000" w:themeColor="text1"/>
                <w:sz w:val="22"/>
                <w:szCs w:val="22"/>
                <w:lang w:val="fr-FR"/>
              </w:rPr>
              <w:t>Gestion des risques de catastrophe pour les ports des Caraïbes </w:t>
            </w:r>
            <w:r w:rsidR="00A55B4B" w:rsidRPr="00B62618">
              <w:rPr>
                <w:bCs/>
                <w:color w:val="000000" w:themeColor="text1"/>
                <w:sz w:val="22"/>
                <w:szCs w:val="22"/>
                <w:lang w:val="fr-FR"/>
              </w:rPr>
              <w:t>:</w:t>
            </w:r>
          </w:p>
          <w:p w14:paraId="76802788" w14:textId="77777777" w:rsidR="00A55B4B" w:rsidRPr="00B62618" w:rsidRDefault="00A55B4B" w:rsidP="00493A9B">
            <w:pPr>
              <w:rPr>
                <w:bCs/>
                <w:color w:val="000000" w:themeColor="text1"/>
                <w:sz w:val="22"/>
                <w:szCs w:val="22"/>
                <w:lang w:val="fr-FR"/>
              </w:rPr>
            </w:pPr>
          </w:p>
          <w:p w14:paraId="2D7991EE" w14:textId="2AE1E7B6" w:rsidR="00883E34" w:rsidRPr="00B62618" w:rsidRDefault="00354442" w:rsidP="00883E34">
            <w:pPr>
              <w:autoSpaceDE w:val="0"/>
              <w:autoSpaceDN w:val="0"/>
              <w:adjustRightInd w:val="0"/>
              <w:rPr>
                <w:bCs/>
                <w:color w:val="000000" w:themeColor="text1"/>
                <w:sz w:val="22"/>
                <w:szCs w:val="22"/>
                <w:lang w:val="fr-FR"/>
              </w:rPr>
            </w:pPr>
            <w:r w:rsidRPr="00B62618">
              <w:rPr>
                <w:sz w:val="22"/>
                <w:szCs w:val="22"/>
                <w:lang w:val="fr-FR"/>
              </w:rPr>
              <w:t>Élaboration de plans d’intervention en cas d’urgence entre de multiples parties prenantes en vue d’obtenir une intervention améliorée en cas d’urgence : amélioration de la gestion des risques de catastrophe</w:t>
            </w:r>
            <w:r w:rsidR="00883E34" w:rsidRPr="00B62618">
              <w:rPr>
                <w:sz w:val="22"/>
                <w:szCs w:val="22"/>
                <w:lang w:val="fr-FR"/>
              </w:rPr>
              <w:t xml:space="preserve"> pour les ports des Caraïbes</w:t>
            </w:r>
            <w:r w:rsidRPr="00B62618">
              <w:rPr>
                <w:sz w:val="22"/>
                <w:szCs w:val="22"/>
                <w:lang w:val="fr-FR"/>
              </w:rPr>
              <w:t xml:space="preserve"> </w:t>
            </w:r>
          </w:p>
          <w:p w14:paraId="2AB1ECD4" w14:textId="6BBC63D5" w:rsidR="00A55B4B" w:rsidRPr="00B62618" w:rsidRDefault="00A55B4B" w:rsidP="00493A9B">
            <w:pPr>
              <w:rPr>
                <w:bCs/>
                <w:color w:val="000000" w:themeColor="text1"/>
                <w:sz w:val="22"/>
                <w:szCs w:val="22"/>
                <w:lang w:val="fr-FR"/>
              </w:rPr>
            </w:pPr>
            <w:r w:rsidRPr="00B62618">
              <w:rPr>
                <w:bCs/>
                <w:color w:val="000000" w:themeColor="text1"/>
                <w:sz w:val="22"/>
                <w:szCs w:val="22"/>
                <w:lang w:val="fr-FR"/>
              </w:rPr>
              <w:br/>
            </w:r>
          </w:p>
        </w:tc>
        <w:tc>
          <w:tcPr>
            <w:tcW w:w="4230" w:type="dxa"/>
            <w:tcBorders>
              <w:top w:val="single" w:sz="6" w:space="0" w:color="auto"/>
              <w:bottom w:val="single" w:sz="6" w:space="0" w:color="auto"/>
            </w:tcBorders>
            <w:vAlign w:val="center"/>
          </w:tcPr>
          <w:p w14:paraId="06D739AA" w14:textId="77777777" w:rsidR="00A55B4B" w:rsidRPr="00B62618" w:rsidRDefault="00A55B4B" w:rsidP="00493A9B">
            <w:pPr>
              <w:rPr>
                <w:b/>
                <w:bCs/>
                <w:color w:val="000000" w:themeColor="text1"/>
                <w:sz w:val="22"/>
                <w:szCs w:val="22"/>
                <w:lang w:val="fr-FR"/>
              </w:rPr>
            </w:pPr>
          </w:p>
        </w:tc>
        <w:tc>
          <w:tcPr>
            <w:tcW w:w="3420" w:type="dxa"/>
            <w:tcBorders>
              <w:top w:val="single" w:sz="6" w:space="0" w:color="auto"/>
              <w:bottom w:val="single" w:sz="6" w:space="0" w:color="auto"/>
            </w:tcBorders>
          </w:tcPr>
          <w:p w14:paraId="09CBEE87" w14:textId="67215D3C" w:rsidR="00A55B4B" w:rsidRPr="00B62618" w:rsidRDefault="00883E34" w:rsidP="00493A9B">
            <w:pPr>
              <w:rPr>
                <w:color w:val="000000"/>
                <w:sz w:val="22"/>
                <w:szCs w:val="22"/>
                <w:lang w:val="fr-FR"/>
              </w:rPr>
            </w:pPr>
            <w:r w:rsidRPr="00B62618">
              <w:rPr>
                <w:color w:val="000000"/>
                <w:sz w:val="22"/>
                <w:szCs w:val="22"/>
                <w:lang w:val="fr-FR"/>
              </w:rPr>
              <w:t xml:space="preserve">Dans le contexte du projet approuvé par le CEP sur une gestion améliorée des risques de catastrophe pour les ports des Caraïbes, le Secrétariat de la CIP fera ce qui suit : </w:t>
            </w:r>
          </w:p>
          <w:p w14:paraId="6F8A5442" w14:textId="77777777" w:rsidR="00A55B4B" w:rsidRPr="00B62618" w:rsidRDefault="00A55B4B" w:rsidP="00493A9B">
            <w:pPr>
              <w:ind w:left="180" w:hanging="180"/>
              <w:rPr>
                <w:color w:val="000000"/>
                <w:sz w:val="22"/>
                <w:szCs w:val="22"/>
                <w:lang w:val="fr-FR"/>
              </w:rPr>
            </w:pPr>
          </w:p>
          <w:p w14:paraId="28CF500E" w14:textId="1FC2B640" w:rsidR="00A55B4B" w:rsidRPr="00B62618" w:rsidRDefault="00883E34" w:rsidP="00493A9B">
            <w:pPr>
              <w:numPr>
                <w:ilvl w:val="0"/>
                <w:numId w:val="11"/>
              </w:numPr>
              <w:ind w:left="180" w:hanging="180"/>
              <w:rPr>
                <w:color w:val="000000"/>
                <w:sz w:val="22"/>
                <w:szCs w:val="22"/>
                <w:lang w:val="fr-FR"/>
              </w:rPr>
            </w:pPr>
            <w:r w:rsidRPr="00B62618">
              <w:rPr>
                <w:color w:val="000000"/>
                <w:sz w:val="22"/>
                <w:szCs w:val="22"/>
                <w:lang w:val="fr-FR"/>
              </w:rPr>
              <w:t xml:space="preserve">Établir des conditions de base </w:t>
            </w:r>
            <w:r w:rsidR="00344461" w:rsidRPr="00B62618">
              <w:rPr>
                <w:color w:val="000000"/>
                <w:sz w:val="22"/>
                <w:szCs w:val="22"/>
                <w:lang w:val="fr-FR"/>
              </w:rPr>
              <w:t>consistant en les lignes directrices actuelles en matière de gestion des risques de catastrophe pour la conception subséquente d’un Plan modèle d’intervention en cas de catastrophe</w:t>
            </w:r>
            <w:r w:rsidR="00191C84" w:rsidRPr="00B62618">
              <w:rPr>
                <w:color w:val="000000"/>
                <w:sz w:val="22"/>
                <w:szCs w:val="22"/>
                <w:lang w:val="fr-FR"/>
              </w:rPr>
              <w:t>.</w:t>
            </w:r>
          </w:p>
          <w:p w14:paraId="343EE81A" w14:textId="1B0E1972" w:rsidR="00A55B4B" w:rsidRPr="00B62618" w:rsidRDefault="00344461" w:rsidP="00493A9B">
            <w:pPr>
              <w:numPr>
                <w:ilvl w:val="0"/>
                <w:numId w:val="11"/>
              </w:numPr>
              <w:ind w:left="180" w:hanging="180"/>
              <w:rPr>
                <w:color w:val="000000"/>
                <w:sz w:val="22"/>
                <w:szCs w:val="22"/>
                <w:lang w:val="fr-FR"/>
              </w:rPr>
            </w:pPr>
            <w:r w:rsidRPr="00B62618">
              <w:rPr>
                <w:color w:val="000000"/>
                <w:sz w:val="22"/>
                <w:szCs w:val="22"/>
                <w:lang w:val="fr-FR"/>
              </w:rPr>
              <w:t>Projet de Plan modèle d’intervention en cas de catastrophe pour les ports des Caraïbes</w:t>
            </w:r>
            <w:r w:rsidR="00A55B4B" w:rsidRPr="00B62618">
              <w:rPr>
                <w:color w:val="000000"/>
                <w:sz w:val="22"/>
                <w:szCs w:val="22"/>
                <w:lang w:val="fr-FR"/>
              </w:rPr>
              <w:t>.</w:t>
            </w:r>
          </w:p>
          <w:p w14:paraId="6C5AFE11" w14:textId="1D9359CC" w:rsidR="00A55B4B" w:rsidRPr="00B62618" w:rsidRDefault="00191C84" w:rsidP="00493A9B">
            <w:pPr>
              <w:numPr>
                <w:ilvl w:val="0"/>
                <w:numId w:val="11"/>
              </w:numPr>
              <w:ind w:left="180" w:hanging="180"/>
              <w:rPr>
                <w:color w:val="000000"/>
                <w:sz w:val="22"/>
                <w:szCs w:val="22"/>
                <w:lang w:val="fr-FR"/>
              </w:rPr>
            </w:pPr>
            <w:r w:rsidRPr="00B62618">
              <w:rPr>
                <w:color w:val="000000"/>
                <w:sz w:val="22"/>
                <w:szCs w:val="22"/>
                <w:lang w:val="fr-FR"/>
              </w:rPr>
              <w:t>Réalisation d’un atelier régional (en ligne et en personne) à l’intention des agents des ports des Caraïbes sur la gestion des risques de catastrophe dans les ports</w:t>
            </w:r>
            <w:r w:rsidR="00A55B4B" w:rsidRPr="00B62618">
              <w:rPr>
                <w:color w:val="000000"/>
                <w:sz w:val="22"/>
                <w:szCs w:val="22"/>
                <w:lang w:val="fr-FR"/>
              </w:rPr>
              <w:t xml:space="preserve">. </w:t>
            </w:r>
          </w:p>
          <w:p w14:paraId="79D1BD18" w14:textId="77777777" w:rsidR="00A55B4B" w:rsidRPr="00B62618" w:rsidRDefault="00A55B4B" w:rsidP="00493A9B">
            <w:pPr>
              <w:rPr>
                <w:b/>
                <w:bCs/>
                <w:color w:val="000000" w:themeColor="text1"/>
                <w:sz w:val="22"/>
                <w:szCs w:val="22"/>
                <w:lang w:val="fr-FR"/>
              </w:rPr>
            </w:pPr>
          </w:p>
        </w:tc>
        <w:tc>
          <w:tcPr>
            <w:tcW w:w="2790" w:type="dxa"/>
            <w:tcBorders>
              <w:top w:val="single" w:sz="6" w:space="0" w:color="auto"/>
              <w:bottom w:val="single" w:sz="6" w:space="0" w:color="auto"/>
            </w:tcBorders>
            <w:vAlign w:val="center"/>
          </w:tcPr>
          <w:p w14:paraId="7E5049B6" w14:textId="2E22B1A5" w:rsidR="00A55B4B" w:rsidRPr="00B62618" w:rsidRDefault="00A55B4B" w:rsidP="00493A9B">
            <w:pPr>
              <w:rPr>
                <w:bCs/>
                <w:color w:val="000000" w:themeColor="text1"/>
                <w:sz w:val="22"/>
                <w:szCs w:val="22"/>
                <w:lang w:val="fr-FR"/>
              </w:rPr>
            </w:pPr>
            <w:r w:rsidRPr="00B62618">
              <w:rPr>
                <w:b/>
                <w:bCs/>
                <w:color w:val="000000" w:themeColor="text1"/>
                <w:sz w:val="22"/>
                <w:szCs w:val="22"/>
                <w:lang w:val="fr-FR"/>
              </w:rPr>
              <w:t>Intern</w:t>
            </w:r>
            <w:r w:rsidR="00191C84" w:rsidRPr="00B62618">
              <w:rPr>
                <w:b/>
                <w:bCs/>
                <w:color w:val="000000" w:themeColor="text1"/>
                <w:sz w:val="22"/>
                <w:szCs w:val="22"/>
                <w:lang w:val="fr-FR"/>
              </w:rPr>
              <w:t>e </w:t>
            </w:r>
            <w:r w:rsidRPr="00B62618">
              <w:rPr>
                <w:b/>
                <w:bCs/>
                <w:color w:val="000000" w:themeColor="text1"/>
                <w:sz w:val="22"/>
                <w:szCs w:val="22"/>
                <w:lang w:val="fr-FR"/>
              </w:rPr>
              <w:t xml:space="preserve">: </w:t>
            </w:r>
            <w:r w:rsidR="00191C84" w:rsidRPr="00B62618">
              <w:rPr>
                <w:color w:val="000000" w:themeColor="text1"/>
                <w:sz w:val="22"/>
                <w:szCs w:val="22"/>
                <w:lang w:val="fr-FR"/>
              </w:rPr>
              <w:t>Division de la gestion des risques du</w:t>
            </w:r>
            <w:r w:rsidR="00191C84" w:rsidRPr="00B62618">
              <w:rPr>
                <w:b/>
                <w:bCs/>
                <w:color w:val="000000" w:themeColor="text1"/>
                <w:sz w:val="22"/>
                <w:szCs w:val="22"/>
                <w:lang w:val="fr-FR"/>
              </w:rPr>
              <w:t xml:space="preserve"> </w:t>
            </w:r>
            <w:r w:rsidRPr="00B62618">
              <w:rPr>
                <w:bCs/>
                <w:color w:val="000000" w:themeColor="text1"/>
                <w:sz w:val="22"/>
                <w:szCs w:val="22"/>
                <w:lang w:val="fr-FR"/>
              </w:rPr>
              <w:t>SEDI.</w:t>
            </w:r>
          </w:p>
          <w:p w14:paraId="6928BF07" w14:textId="77777777" w:rsidR="00A55B4B" w:rsidRPr="00B62618" w:rsidRDefault="00A55B4B" w:rsidP="00493A9B">
            <w:pPr>
              <w:rPr>
                <w:b/>
                <w:bCs/>
                <w:color w:val="000000" w:themeColor="text1"/>
                <w:sz w:val="22"/>
                <w:szCs w:val="22"/>
                <w:lang w:val="fr-FR"/>
              </w:rPr>
            </w:pPr>
          </w:p>
          <w:p w14:paraId="5B356FBE" w14:textId="1EC082BD" w:rsidR="00A55B4B" w:rsidRPr="00B62618" w:rsidRDefault="00A55B4B" w:rsidP="00493A9B">
            <w:pPr>
              <w:rPr>
                <w:bCs/>
                <w:color w:val="000000" w:themeColor="text1"/>
                <w:sz w:val="22"/>
                <w:szCs w:val="22"/>
                <w:lang w:val="fr-FR"/>
              </w:rPr>
            </w:pPr>
            <w:r w:rsidRPr="00B62618">
              <w:rPr>
                <w:b/>
                <w:bCs/>
                <w:color w:val="000000" w:themeColor="text1"/>
                <w:sz w:val="22"/>
                <w:szCs w:val="22"/>
                <w:lang w:val="fr-FR"/>
              </w:rPr>
              <w:t>Extern</w:t>
            </w:r>
            <w:r w:rsidR="00191C84" w:rsidRPr="00B62618">
              <w:rPr>
                <w:b/>
                <w:bCs/>
                <w:color w:val="000000" w:themeColor="text1"/>
                <w:sz w:val="22"/>
                <w:szCs w:val="22"/>
                <w:lang w:val="fr-FR"/>
              </w:rPr>
              <w:t>e </w:t>
            </w:r>
            <w:r w:rsidRPr="00B62618">
              <w:rPr>
                <w:b/>
                <w:bCs/>
                <w:color w:val="000000" w:themeColor="text1"/>
                <w:sz w:val="22"/>
                <w:szCs w:val="22"/>
                <w:lang w:val="fr-FR"/>
              </w:rPr>
              <w:t>:</w:t>
            </w:r>
            <w:r w:rsidRPr="00B62618">
              <w:rPr>
                <w:color w:val="000000" w:themeColor="text1"/>
                <w:sz w:val="22"/>
                <w:szCs w:val="22"/>
                <w:lang w:val="fr-FR"/>
              </w:rPr>
              <w:t xml:space="preserve"> </w:t>
            </w:r>
            <w:r w:rsidR="00F369A3" w:rsidRPr="00B62618">
              <w:rPr>
                <w:color w:val="000000" w:themeColor="text1"/>
                <w:sz w:val="22"/>
                <w:szCs w:val="22"/>
                <w:lang w:val="fr-FR"/>
              </w:rPr>
              <w:t xml:space="preserve">Agence caribéenne de gestion des urgences en cas de catastrophe </w:t>
            </w:r>
            <w:r w:rsidRPr="00B62618">
              <w:rPr>
                <w:bCs/>
                <w:color w:val="000000" w:themeColor="text1"/>
                <w:sz w:val="22"/>
                <w:szCs w:val="22"/>
                <w:lang w:val="fr-FR"/>
              </w:rPr>
              <w:t>(CDEMA</w:t>
            </w:r>
            <w:proofErr w:type="gramStart"/>
            <w:r w:rsidRPr="00B62618">
              <w:rPr>
                <w:bCs/>
                <w:color w:val="000000" w:themeColor="text1"/>
                <w:sz w:val="22"/>
                <w:szCs w:val="22"/>
                <w:lang w:val="fr-FR"/>
              </w:rPr>
              <w:t>);</w:t>
            </w:r>
            <w:proofErr w:type="gramEnd"/>
            <w:r w:rsidRPr="00B62618">
              <w:rPr>
                <w:bCs/>
                <w:color w:val="000000" w:themeColor="text1"/>
                <w:sz w:val="22"/>
                <w:szCs w:val="22"/>
                <w:lang w:val="fr-FR"/>
              </w:rPr>
              <w:t xml:space="preserve"> </w:t>
            </w:r>
            <w:r w:rsidR="00F369A3" w:rsidRPr="00B62618">
              <w:rPr>
                <w:bCs/>
                <w:color w:val="000000" w:themeColor="text1"/>
                <w:sz w:val="22"/>
                <w:szCs w:val="22"/>
                <w:lang w:val="fr-FR"/>
              </w:rPr>
              <w:t>Association des transporteurs maritimes de la Caraïbe</w:t>
            </w:r>
            <w:r w:rsidRPr="00B62618">
              <w:rPr>
                <w:bCs/>
                <w:color w:val="000000" w:themeColor="text1"/>
                <w:sz w:val="22"/>
                <w:szCs w:val="22"/>
                <w:lang w:val="fr-FR"/>
              </w:rPr>
              <w:t xml:space="preserve"> (CSA);</w:t>
            </w:r>
            <w:r w:rsidR="00F369A3" w:rsidRPr="00B62618">
              <w:rPr>
                <w:bCs/>
                <w:color w:val="000000" w:themeColor="text1"/>
                <w:sz w:val="22"/>
                <w:szCs w:val="22"/>
                <w:lang w:val="fr-FR"/>
              </w:rPr>
              <w:t xml:space="preserve"> autorités nationales responsables des ports auprès de la</w:t>
            </w:r>
            <w:r w:rsidRPr="00B62618">
              <w:rPr>
                <w:bCs/>
                <w:color w:val="000000" w:themeColor="text1"/>
                <w:sz w:val="22"/>
                <w:szCs w:val="22"/>
                <w:lang w:val="fr-FR"/>
              </w:rPr>
              <w:t xml:space="preserve"> CIP; Go</w:t>
            </w:r>
            <w:r w:rsidR="00F369A3" w:rsidRPr="00B62618">
              <w:rPr>
                <w:bCs/>
                <w:color w:val="000000" w:themeColor="text1"/>
                <w:sz w:val="22"/>
                <w:szCs w:val="22"/>
                <w:lang w:val="fr-FR"/>
              </w:rPr>
              <w:t>uvernement de l’Italie</w:t>
            </w:r>
            <w:r w:rsidRPr="00B62618">
              <w:rPr>
                <w:bCs/>
                <w:color w:val="000000" w:themeColor="text1"/>
                <w:sz w:val="22"/>
                <w:szCs w:val="22"/>
                <w:lang w:val="fr-FR"/>
              </w:rPr>
              <w:t>; Hudson</w:t>
            </w:r>
            <w:r w:rsidR="00B62618">
              <w:rPr>
                <w:bCs/>
                <w:color w:val="000000" w:themeColor="text1"/>
                <w:sz w:val="22"/>
                <w:szCs w:val="22"/>
                <w:lang w:val="fr-FR"/>
              </w:rPr>
              <w:t xml:space="preserve"> </w:t>
            </w:r>
            <w:r w:rsidRPr="00B62618">
              <w:rPr>
                <w:bCs/>
                <w:color w:val="000000" w:themeColor="text1"/>
                <w:sz w:val="22"/>
                <w:szCs w:val="22"/>
                <w:lang w:val="fr-FR"/>
              </w:rPr>
              <w:t xml:space="preserve">Analytix; MAERSK; </w:t>
            </w:r>
            <w:r w:rsidR="00F369A3" w:rsidRPr="00B62618">
              <w:rPr>
                <w:bCs/>
                <w:color w:val="000000" w:themeColor="text1"/>
                <w:sz w:val="22"/>
                <w:szCs w:val="22"/>
                <w:lang w:val="fr-FR"/>
              </w:rPr>
              <w:t>Association des administrations portuaires de la Caraïbe</w:t>
            </w:r>
            <w:r w:rsidRPr="00B62618">
              <w:rPr>
                <w:bCs/>
                <w:color w:val="000000" w:themeColor="text1"/>
                <w:sz w:val="22"/>
                <w:szCs w:val="22"/>
                <w:lang w:val="fr-FR"/>
              </w:rPr>
              <w:t xml:space="preserve"> (PMAC); T&amp;T Salvage; </w:t>
            </w:r>
            <w:r w:rsidR="00F369A3" w:rsidRPr="00B62618">
              <w:rPr>
                <w:bCs/>
                <w:color w:val="000000" w:themeColor="text1"/>
                <w:sz w:val="22"/>
                <w:szCs w:val="22"/>
                <w:lang w:val="fr-FR"/>
              </w:rPr>
              <w:t>Garde côtière des États-Unis</w:t>
            </w:r>
            <w:r w:rsidRPr="00B62618">
              <w:rPr>
                <w:bCs/>
                <w:color w:val="000000" w:themeColor="text1"/>
                <w:sz w:val="22"/>
                <w:szCs w:val="22"/>
                <w:lang w:val="fr-FR"/>
              </w:rPr>
              <w:t xml:space="preserve"> (USCG).</w:t>
            </w:r>
          </w:p>
        </w:tc>
      </w:tr>
      <w:tr w:rsidR="00655DAD" w:rsidRPr="00121D09" w14:paraId="564A62A2" w14:textId="77777777" w:rsidTr="00655DAD">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0CA4CD8" w14:textId="2659362D" w:rsidR="00655DAD" w:rsidRPr="00B62618" w:rsidRDefault="00944E71" w:rsidP="00944E71">
            <w:pPr>
              <w:rPr>
                <w:b/>
                <w:bCs/>
                <w:color w:val="000000" w:themeColor="text1"/>
                <w:sz w:val="22"/>
                <w:szCs w:val="22"/>
                <w:lang w:val="fr-FR"/>
              </w:rPr>
            </w:pPr>
            <w:r w:rsidRPr="00B62618">
              <w:rPr>
                <w:rFonts w:eastAsia="Calibri"/>
                <w:b/>
                <w:bCs/>
                <w:color w:val="000000" w:themeColor="text1"/>
                <w:sz w:val="22"/>
                <w:szCs w:val="22"/>
                <w:lang w:val="fr-FR"/>
              </w:rPr>
              <w:t>LIGNE STRATÉGIQUE</w:t>
            </w:r>
          </w:p>
        </w:tc>
        <w:tc>
          <w:tcPr>
            <w:tcW w:w="10440" w:type="dxa"/>
            <w:gridSpan w:val="3"/>
            <w:tcBorders>
              <w:top w:val="single" w:sz="6" w:space="0" w:color="auto"/>
              <w:bottom w:val="single" w:sz="6" w:space="0" w:color="auto"/>
            </w:tcBorders>
            <w:shd w:val="clear" w:color="auto" w:fill="BFBFBF" w:themeFill="background1" w:themeFillShade="BF"/>
          </w:tcPr>
          <w:p w14:paraId="6BF2A254" w14:textId="4B0C91AB" w:rsidR="00655DAD" w:rsidRPr="00B62618" w:rsidRDefault="00655DAD" w:rsidP="00493A9B">
            <w:pPr>
              <w:rPr>
                <w:b/>
                <w:bCs/>
                <w:color w:val="000000" w:themeColor="text1"/>
                <w:sz w:val="22"/>
                <w:szCs w:val="22"/>
                <w:lang w:val="fr-FR"/>
              </w:rPr>
            </w:pPr>
            <w:r w:rsidRPr="00B62618">
              <w:rPr>
                <w:b/>
                <w:bCs/>
                <w:color w:val="000000" w:themeColor="text1"/>
                <w:sz w:val="22"/>
                <w:szCs w:val="22"/>
                <w:lang w:val="fr-FR"/>
              </w:rPr>
              <w:t xml:space="preserve">3.   </w:t>
            </w:r>
            <w:r w:rsidRPr="00B62618">
              <w:rPr>
                <w:b/>
                <w:sz w:val="22"/>
                <w:szCs w:val="22"/>
                <w:lang w:val="fr-FR"/>
              </w:rPr>
              <w:t>Promo</w:t>
            </w:r>
            <w:r w:rsidR="00A267CE" w:rsidRPr="00B62618">
              <w:rPr>
                <w:b/>
                <w:sz w:val="22"/>
                <w:szCs w:val="22"/>
                <w:lang w:val="fr-FR"/>
              </w:rPr>
              <w:t>uvoir l’éducation et le développement humain dans les Amériques</w:t>
            </w:r>
          </w:p>
        </w:tc>
      </w:tr>
      <w:tr w:rsidR="00655DAD" w:rsidRPr="00121D09" w14:paraId="5A8AC2F9" w14:textId="77777777" w:rsidTr="00655DAD">
        <w:trPr>
          <w:jc w:val="center"/>
        </w:trPr>
        <w:tc>
          <w:tcPr>
            <w:tcW w:w="3315" w:type="dxa"/>
            <w:tcBorders>
              <w:top w:val="single" w:sz="6" w:space="0" w:color="auto"/>
              <w:bottom w:val="single" w:sz="6" w:space="0" w:color="auto"/>
            </w:tcBorders>
            <w:shd w:val="clear" w:color="auto" w:fill="BFBFBF" w:themeFill="background1" w:themeFillShade="BF"/>
            <w:vAlign w:val="center"/>
          </w:tcPr>
          <w:p w14:paraId="42CEADDA" w14:textId="6E7914C9" w:rsidR="00655DAD" w:rsidRPr="00B62618" w:rsidRDefault="00944E71" w:rsidP="00493A9B">
            <w:pPr>
              <w:rPr>
                <w:b/>
                <w:bCs/>
                <w:color w:val="000000" w:themeColor="text1"/>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bottom w:val="single" w:sz="6" w:space="0" w:color="auto"/>
            </w:tcBorders>
            <w:shd w:val="clear" w:color="auto" w:fill="BFBFBF" w:themeFill="background1" w:themeFillShade="BF"/>
          </w:tcPr>
          <w:p w14:paraId="0DF06621" w14:textId="551C97F1" w:rsidR="00655DAD" w:rsidRPr="00B62618" w:rsidRDefault="00655DAD" w:rsidP="00493A9B">
            <w:pPr>
              <w:rPr>
                <w:b/>
                <w:bCs/>
                <w:color w:val="000000" w:themeColor="text1"/>
                <w:sz w:val="22"/>
                <w:szCs w:val="22"/>
                <w:lang w:val="fr-FR"/>
              </w:rPr>
            </w:pPr>
            <w:r w:rsidRPr="00B62618">
              <w:rPr>
                <w:b/>
                <w:bCs/>
                <w:color w:val="000000" w:themeColor="text1"/>
                <w:sz w:val="22"/>
                <w:szCs w:val="22"/>
                <w:lang w:val="fr-FR"/>
              </w:rPr>
              <w:t xml:space="preserve">3.4.  </w:t>
            </w:r>
            <w:r w:rsidR="00A267CE" w:rsidRPr="00B62618">
              <w:rPr>
                <w:b/>
                <w:bCs/>
                <w:color w:val="000000" w:themeColor="text1"/>
                <w:sz w:val="22"/>
                <w:szCs w:val="22"/>
                <w:lang w:val="fr-FR"/>
              </w:rPr>
              <w:t xml:space="preserve">Encourager l’accès des États membres à des débouchés de qualité, inclusifs et équitables en matière d’éducation à tous les niveaux, selon toutes les modalités, et dans les quatre </w:t>
            </w:r>
            <w:r w:rsidR="00B62618" w:rsidRPr="00B62618">
              <w:rPr>
                <w:b/>
                <w:bCs/>
                <w:color w:val="000000" w:themeColor="text1"/>
                <w:sz w:val="22"/>
                <w:szCs w:val="22"/>
                <w:lang w:val="fr-FR"/>
              </w:rPr>
              <w:t>langues</w:t>
            </w:r>
            <w:r w:rsidR="00A267CE" w:rsidRPr="00B62618">
              <w:rPr>
                <w:b/>
                <w:bCs/>
                <w:color w:val="000000" w:themeColor="text1"/>
                <w:sz w:val="22"/>
                <w:szCs w:val="22"/>
                <w:lang w:val="fr-FR"/>
              </w:rPr>
              <w:t xml:space="preserve"> officielles de l’Organisation </w:t>
            </w:r>
          </w:p>
        </w:tc>
      </w:tr>
      <w:tr w:rsidR="00A55B4B" w:rsidRPr="00121D09" w14:paraId="672EDA6A" w14:textId="77777777" w:rsidTr="00606B42">
        <w:trPr>
          <w:jc w:val="center"/>
        </w:trPr>
        <w:tc>
          <w:tcPr>
            <w:tcW w:w="3315" w:type="dxa"/>
            <w:tcBorders>
              <w:top w:val="single" w:sz="6" w:space="0" w:color="auto"/>
              <w:bottom w:val="single" w:sz="6" w:space="0" w:color="auto"/>
            </w:tcBorders>
            <w:vAlign w:val="center"/>
          </w:tcPr>
          <w:p w14:paraId="36F2EFAD" w14:textId="47F6BB3E" w:rsidR="00A55B4B" w:rsidRPr="00B62618" w:rsidRDefault="00A267CE" w:rsidP="00A267CE">
            <w:pPr>
              <w:autoSpaceDE w:val="0"/>
              <w:autoSpaceDN w:val="0"/>
              <w:adjustRightInd w:val="0"/>
              <w:rPr>
                <w:bCs/>
                <w:color w:val="000000" w:themeColor="text1"/>
                <w:sz w:val="22"/>
                <w:szCs w:val="22"/>
                <w:lang w:val="fr-FR"/>
              </w:rPr>
            </w:pPr>
            <w:r w:rsidRPr="00B62618">
              <w:rPr>
                <w:sz w:val="22"/>
                <w:szCs w:val="22"/>
                <w:lang w:val="fr-FR"/>
              </w:rPr>
              <w:lastRenderedPageBreak/>
              <w:t>Programme de bourses d’études et de perfectionnement de la Commission interaméricaine des ports</w:t>
            </w:r>
          </w:p>
        </w:tc>
        <w:tc>
          <w:tcPr>
            <w:tcW w:w="4230" w:type="dxa"/>
            <w:tcBorders>
              <w:top w:val="single" w:sz="6" w:space="0" w:color="auto"/>
              <w:bottom w:val="single" w:sz="6" w:space="0" w:color="auto"/>
            </w:tcBorders>
            <w:vAlign w:val="center"/>
          </w:tcPr>
          <w:p w14:paraId="20E18EE6" w14:textId="77777777" w:rsidR="00A55B4B" w:rsidRPr="00B62618" w:rsidRDefault="00A55B4B" w:rsidP="00493A9B">
            <w:pPr>
              <w:rPr>
                <w:b/>
                <w:bCs/>
                <w:color w:val="000000" w:themeColor="text1"/>
                <w:sz w:val="22"/>
                <w:szCs w:val="22"/>
                <w:lang w:val="fr-FR"/>
              </w:rPr>
            </w:pPr>
          </w:p>
        </w:tc>
        <w:tc>
          <w:tcPr>
            <w:tcW w:w="3420" w:type="dxa"/>
            <w:tcBorders>
              <w:top w:val="single" w:sz="6" w:space="0" w:color="auto"/>
              <w:bottom w:val="single" w:sz="6" w:space="0" w:color="auto"/>
            </w:tcBorders>
          </w:tcPr>
          <w:p w14:paraId="0833D93C" w14:textId="25129BF9" w:rsidR="00A55B4B" w:rsidRPr="00B62618" w:rsidRDefault="00A55B4B" w:rsidP="00493A9B">
            <w:pPr>
              <w:ind w:left="180" w:hanging="180"/>
              <w:rPr>
                <w:sz w:val="22"/>
                <w:szCs w:val="22"/>
                <w:lang w:val="fr-FR"/>
              </w:rPr>
            </w:pPr>
            <w:r w:rsidRPr="00B62618">
              <w:rPr>
                <w:sz w:val="22"/>
                <w:szCs w:val="22"/>
                <w:lang w:val="fr-FR"/>
              </w:rPr>
              <w:t>•</w:t>
            </w:r>
            <w:r w:rsidRPr="00B62618">
              <w:rPr>
                <w:sz w:val="22"/>
                <w:szCs w:val="22"/>
                <w:lang w:val="fr-FR"/>
              </w:rPr>
              <w:tab/>
            </w:r>
            <w:r w:rsidR="007479EC" w:rsidRPr="00B62618">
              <w:rPr>
                <w:sz w:val="22"/>
                <w:szCs w:val="22"/>
                <w:lang w:val="fr-FR"/>
              </w:rPr>
              <w:t>Renforcer les capacités techniques de plus de 500 agents portuaires à l’échelle du Continent, en partageant des pratiques réussies relatives à plusieurs questions pertinentes pour le secteur maritime et portuaire, au moyen de huit webinaires techniques et/ou conférences techniques à l’échelle continentale sur place</w:t>
            </w:r>
            <w:r w:rsidRPr="00B62618">
              <w:rPr>
                <w:sz w:val="22"/>
                <w:szCs w:val="22"/>
                <w:lang w:val="fr-FR"/>
              </w:rPr>
              <w:t>.</w:t>
            </w:r>
          </w:p>
          <w:p w14:paraId="482197CE" w14:textId="746899C4" w:rsidR="00A55B4B" w:rsidRPr="00B62618" w:rsidRDefault="00A55B4B" w:rsidP="00493A9B">
            <w:pPr>
              <w:ind w:left="180" w:hanging="180"/>
              <w:rPr>
                <w:b/>
                <w:bCs/>
                <w:color w:val="000000" w:themeColor="text1"/>
                <w:sz w:val="22"/>
                <w:szCs w:val="22"/>
                <w:lang w:val="fr-FR"/>
              </w:rPr>
            </w:pPr>
            <w:r w:rsidRPr="00B62618">
              <w:rPr>
                <w:sz w:val="22"/>
                <w:szCs w:val="22"/>
                <w:lang w:val="fr-FR"/>
              </w:rPr>
              <w:t>•</w:t>
            </w:r>
            <w:r w:rsidRPr="00B62618">
              <w:rPr>
                <w:sz w:val="22"/>
                <w:szCs w:val="22"/>
                <w:lang w:val="fr-FR"/>
              </w:rPr>
              <w:tab/>
            </w:r>
            <w:r w:rsidR="007479EC" w:rsidRPr="00B62618">
              <w:rPr>
                <w:sz w:val="22"/>
                <w:szCs w:val="22"/>
                <w:lang w:val="fr-FR"/>
              </w:rPr>
              <w:t>Renforcer les capacités institutionnelles par le truchement de 300 bourses de perfectionnement professionnel</w:t>
            </w:r>
            <w:r w:rsidR="00D13F59" w:rsidRPr="00B62618">
              <w:rPr>
                <w:sz w:val="22"/>
                <w:szCs w:val="22"/>
                <w:lang w:val="fr-FR"/>
              </w:rPr>
              <w:t xml:space="preserve"> pour 15 cours en ligne certifiés accordées à des agents portuaires de 20 États membres</w:t>
            </w:r>
            <w:r w:rsidRPr="00B62618">
              <w:rPr>
                <w:sz w:val="22"/>
                <w:szCs w:val="22"/>
                <w:lang w:val="fr-FR"/>
              </w:rPr>
              <w:t>.</w:t>
            </w:r>
          </w:p>
        </w:tc>
        <w:tc>
          <w:tcPr>
            <w:tcW w:w="2790" w:type="dxa"/>
            <w:tcBorders>
              <w:top w:val="single" w:sz="6" w:space="0" w:color="auto"/>
              <w:bottom w:val="single" w:sz="6" w:space="0" w:color="auto"/>
            </w:tcBorders>
            <w:vAlign w:val="center"/>
          </w:tcPr>
          <w:p w14:paraId="4BC99ED7" w14:textId="77777777" w:rsidR="00A55B4B" w:rsidRPr="00B62618" w:rsidRDefault="00A55B4B" w:rsidP="00493A9B">
            <w:pPr>
              <w:rPr>
                <w:b/>
                <w:bCs/>
                <w:color w:val="000000" w:themeColor="text1"/>
                <w:sz w:val="22"/>
                <w:szCs w:val="22"/>
                <w:lang w:val="fr-FR"/>
              </w:rPr>
            </w:pPr>
          </w:p>
          <w:p w14:paraId="10DF7241" w14:textId="2EFA84FE" w:rsidR="00A55B4B" w:rsidRPr="00B62618" w:rsidRDefault="00A55B4B" w:rsidP="00493A9B">
            <w:pPr>
              <w:rPr>
                <w:b/>
                <w:bCs/>
                <w:color w:val="000000" w:themeColor="text1"/>
                <w:sz w:val="22"/>
                <w:szCs w:val="22"/>
                <w:lang w:val="fr-FR"/>
              </w:rPr>
            </w:pPr>
            <w:r w:rsidRPr="00B62618">
              <w:rPr>
                <w:b/>
                <w:bCs/>
                <w:color w:val="000000" w:themeColor="text1"/>
                <w:sz w:val="22"/>
                <w:szCs w:val="22"/>
                <w:lang w:val="fr-FR"/>
              </w:rPr>
              <w:t>Extern</w:t>
            </w:r>
            <w:r w:rsidR="00D13F59" w:rsidRPr="00B62618">
              <w:rPr>
                <w:b/>
                <w:bCs/>
                <w:color w:val="000000" w:themeColor="text1"/>
                <w:sz w:val="22"/>
                <w:szCs w:val="22"/>
                <w:lang w:val="fr-FR"/>
              </w:rPr>
              <w:t>e </w:t>
            </w:r>
            <w:r w:rsidRPr="00B62618">
              <w:rPr>
                <w:b/>
                <w:bCs/>
                <w:color w:val="000000" w:themeColor="text1"/>
                <w:sz w:val="22"/>
                <w:szCs w:val="22"/>
                <w:lang w:val="fr-FR"/>
              </w:rPr>
              <w:t xml:space="preserve">: </w:t>
            </w:r>
            <w:r w:rsidR="00D13F59" w:rsidRPr="00B62618">
              <w:rPr>
                <w:color w:val="000000" w:themeColor="text1"/>
                <w:sz w:val="22"/>
                <w:szCs w:val="22"/>
                <w:lang w:val="fr-FR"/>
              </w:rPr>
              <w:t xml:space="preserve">Association internationale des ports et havres </w:t>
            </w:r>
            <w:r w:rsidRPr="00B62618">
              <w:rPr>
                <w:bCs/>
                <w:color w:val="000000" w:themeColor="text1"/>
                <w:sz w:val="22"/>
                <w:szCs w:val="22"/>
                <w:lang w:val="fr-FR"/>
              </w:rPr>
              <w:t>(IAPH);</w:t>
            </w:r>
            <w:r w:rsidR="00D13F59" w:rsidRPr="00B62618">
              <w:rPr>
                <w:bCs/>
                <w:color w:val="000000" w:themeColor="text1"/>
                <w:sz w:val="22"/>
                <w:szCs w:val="22"/>
                <w:lang w:val="fr-FR"/>
              </w:rPr>
              <w:t xml:space="preserve"> Association internationale des systèmes de la communauté portuaire</w:t>
            </w:r>
            <w:r w:rsidRPr="00B62618">
              <w:rPr>
                <w:bCs/>
                <w:color w:val="000000" w:themeColor="text1"/>
                <w:sz w:val="22"/>
                <w:szCs w:val="22"/>
                <w:lang w:val="fr-FR"/>
              </w:rPr>
              <w:t xml:space="preserve"> (IPCSA);</w:t>
            </w:r>
            <w:r w:rsidR="00D26179" w:rsidRPr="00B62618">
              <w:rPr>
                <w:bCs/>
                <w:color w:val="000000" w:themeColor="text1"/>
                <w:sz w:val="22"/>
                <w:szCs w:val="22"/>
                <w:lang w:val="fr-FR"/>
              </w:rPr>
              <w:t xml:space="preserve"> Bureau des politiques maritimes du Panama</w:t>
            </w:r>
            <w:r w:rsidRPr="00B62618">
              <w:rPr>
                <w:bCs/>
                <w:color w:val="000000" w:themeColor="text1"/>
                <w:sz w:val="22"/>
                <w:szCs w:val="22"/>
                <w:lang w:val="fr-FR"/>
              </w:rPr>
              <w:t>;</w:t>
            </w:r>
            <w:r w:rsidR="00D26179" w:rsidRPr="00B62618">
              <w:rPr>
                <w:bCs/>
                <w:color w:val="000000" w:themeColor="text1"/>
                <w:sz w:val="22"/>
                <w:szCs w:val="22"/>
                <w:lang w:val="fr-FR"/>
              </w:rPr>
              <w:t xml:space="preserve"> Réseau international ISPCS</w:t>
            </w:r>
            <w:r w:rsidR="008A2ECD" w:rsidRPr="00B62618">
              <w:rPr>
                <w:bCs/>
                <w:color w:val="000000" w:themeColor="text1"/>
                <w:sz w:val="22"/>
                <w:szCs w:val="22"/>
                <w:lang w:val="fr-FR"/>
              </w:rPr>
              <w:t xml:space="preserve"> du Mexique; Autorité nationale des ports du Pérou; Commission nationale des ports du</w:t>
            </w:r>
            <w:r w:rsidRPr="00B62618">
              <w:rPr>
                <w:bCs/>
                <w:color w:val="000000" w:themeColor="text1"/>
                <w:sz w:val="22"/>
                <w:szCs w:val="22"/>
                <w:lang w:val="fr-FR"/>
              </w:rPr>
              <w:t xml:space="preserve"> Guatemala;</w:t>
            </w:r>
            <w:r w:rsidRPr="00B62618">
              <w:rPr>
                <w:b/>
                <w:bCs/>
                <w:color w:val="000000" w:themeColor="text1"/>
                <w:sz w:val="22"/>
                <w:szCs w:val="22"/>
                <w:lang w:val="fr-FR"/>
              </w:rPr>
              <w:t xml:space="preserve"> </w:t>
            </w:r>
            <w:r w:rsidR="00A036F4" w:rsidRPr="00B62618">
              <w:rPr>
                <w:bCs/>
                <w:color w:val="000000" w:themeColor="text1"/>
                <w:sz w:val="22"/>
                <w:szCs w:val="22"/>
                <w:lang w:val="fr-FR"/>
              </w:rPr>
              <w:t>Réseau des femmes des autorités maritimes d’Amérique latine</w:t>
            </w:r>
            <w:r w:rsidRPr="00B62618">
              <w:rPr>
                <w:bCs/>
                <w:color w:val="000000" w:themeColor="text1"/>
                <w:sz w:val="22"/>
                <w:szCs w:val="22"/>
                <w:lang w:val="fr-FR"/>
              </w:rPr>
              <w:t xml:space="preserve"> (</w:t>
            </w:r>
            <w:r w:rsidRPr="00B62618">
              <w:rPr>
                <w:bCs/>
                <w:i/>
                <w:color w:val="000000" w:themeColor="text1"/>
                <w:sz w:val="22"/>
                <w:szCs w:val="22"/>
                <w:lang w:val="fr-FR"/>
              </w:rPr>
              <w:t>Red MAMLA</w:t>
            </w:r>
            <w:r w:rsidRPr="00B62618">
              <w:rPr>
                <w:bCs/>
                <w:color w:val="000000" w:themeColor="text1"/>
                <w:sz w:val="22"/>
                <w:szCs w:val="22"/>
                <w:lang w:val="fr-FR"/>
              </w:rPr>
              <w:t>);</w:t>
            </w:r>
            <w:r w:rsidRPr="00B62618">
              <w:rPr>
                <w:b/>
                <w:bCs/>
                <w:color w:val="000000" w:themeColor="text1"/>
                <w:sz w:val="22"/>
                <w:szCs w:val="22"/>
                <w:lang w:val="fr-FR"/>
              </w:rPr>
              <w:t xml:space="preserve"> </w:t>
            </w:r>
            <w:r w:rsidRPr="00B62618">
              <w:rPr>
                <w:bCs/>
                <w:i/>
                <w:color w:val="000000" w:themeColor="text1"/>
                <w:sz w:val="22"/>
                <w:szCs w:val="22"/>
                <w:lang w:val="fr-FR"/>
              </w:rPr>
              <w:t>Puertos del Estado</w:t>
            </w:r>
            <w:r w:rsidRPr="00B62618">
              <w:rPr>
                <w:bCs/>
                <w:color w:val="000000" w:themeColor="text1"/>
                <w:sz w:val="22"/>
                <w:szCs w:val="22"/>
                <w:lang w:val="fr-FR"/>
              </w:rPr>
              <w:t xml:space="preserve"> </w:t>
            </w:r>
            <w:r w:rsidR="00A036F4" w:rsidRPr="00B62618">
              <w:rPr>
                <w:bCs/>
                <w:color w:val="000000" w:themeColor="text1"/>
                <w:sz w:val="22"/>
                <w:szCs w:val="22"/>
                <w:lang w:val="fr-FR"/>
              </w:rPr>
              <w:t>de l’Espagne</w:t>
            </w:r>
            <w:r w:rsidRPr="00B62618">
              <w:rPr>
                <w:bCs/>
                <w:color w:val="000000" w:themeColor="text1"/>
                <w:sz w:val="22"/>
                <w:szCs w:val="22"/>
                <w:lang w:val="fr-FR"/>
              </w:rPr>
              <w:t>;</w:t>
            </w:r>
            <w:r w:rsidR="00A036F4" w:rsidRPr="00B62618">
              <w:rPr>
                <w:bCs/>
                <w:color w:val="000000" w:themeColor="text1"/>
                <w:sz w:val="22"/>
                <w:szCs w:val="22"/>
                <w:lang w:val="fr-FR"/>
              </w:rPr>
              <w:t xml:space="preserve"> Garde côtière des États-Unis</w:t>
            </w:r>
            <w:r w:rsidRPr="00B62618">
              <w:rPr>
                <w:bCs/>
                <w:color w:val="000000" w:themeColor="text1"/>
                <w:sz w:val="22"/>
                <w:szCs w:val="22"/>
                <w:lang w:val="fr-FR"/>
              </w:rPr>
              <w:t xml:space="preserve"> (USCG); </w:t>
            </w:r>
            <w:r w:rsidR="00A036F4" w:rsidRPr="00B62618">
              <w:rPr>
                <w:bCs/>
                <w:color w:val="000000" w:themeColor="text1"/>
                <w:sz w:val="22"/>
                <w:szCs w:val="22"/>
                <w:lang w:val="fr-FR"/>
              </w:rPr>
              <w:t xml:space="preserve">Fondation du port de Valence, de l’Espagne; </w:t>
            </w:r>
            <w:r w:rsidRPr="00B62618">
              <w:rPr>
                <w:bCs/>
                <w:color w:val="000000" w:themeColor="text1"/>
                <w:sz w:val="22"/>
                <w:szCs w:val="22"/>
                <w:lang w:val="fr-FR"/>
              </w:rPr>
              <w:t xml:space="preserve">Women’s International Shipping and Trading Association (WISTA). </w:t>
            </w:r>
          </w:p>
        </w:tc>
      </w:tr>
      <w:tr w:rsidR="00F01EA4" w:rsidRPr="00121D09" w14:paraId="7F87A939" w14:textId="77777777" w:rsidTr="00397E4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B7DF432" w14:textId="7CB3E0AF" w:rsidR="00F01EA4" w:rsidRPr="00B62618" w:rsidRDefault="00944E71" w:rsidP="00944E71">
            <w:pPr>
              <w:rPr>
                <w:b/>
                <w:bCs/>
                <w:color w:val="000000" w:themeColor="text1"/>
                <w:sz w:val="22"/>
                <w:szCs w:val="22"/>
                <w:lang w:val="fr-FR"/>
              </w:rPr>
            </w:pPr>
            <w:r w:rsidRPr="00B62618">
              <w:rPr>
                <w:rFonts w:eastAsia="Calibri"/>
                <w:b/>
                <w:bCs/>
                <w:color w:val="000000" w:themeColor="text1"/>
                <w:sz w:val="22"/>
                <w:szCs w:val="22"/>
                <w:lang w:val="fr-FR"/>
              </w:rPr>
              <w:t>LIGNE STRATÉGIQUE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7A0DD3EA" w14:textId="4B56036D" w:rsidR="00F01EA4" w:rsidRPr="00B62618" w:rsidRDefault="00F01EA4" w:rsidP="00493A9B">
            <w:pPr>
              <w:rPr>
                <w:b/>
                <w:bCs/>
                <w:color w:val="000000" w:themeColor="text1"/>
                <w:sz w:val="22"/>
                <w:szCs w:val="22"/>
                <w:lang w:val="fr-FR"/>
              </w:rPr>
            </w:pPr>
            <w:r w:rsidRPr="00B62618">
              <w:rPr>
                <w:b/>
                <w:bCs/>
                <w:color w:val="000000" w:themeColor="text1"/>
                <w:sz w:val="22"/>
                <w:szCs w:val="22"/>
                <w:lang w:val="fr-FR"/>
              </w:rPr>
              <w:t xml:space="preserve">6.   </w:t>
            </w:r>
            <w:r w:rsidR="003975E9" w:rsidRPr="00B62618">
              <w:rPr>
                <w:b/>
                <w:bCs/>
                <w:color w:val="000000" w:themeColor="text1"/>
                <w:sz w:val="22"/>
                <w:szCs w:val="22"/>
                <w:lang w:val="fr-FR"/>
              </w:rPr>
              <w:t>Encourager les partenariats et la coopération pour le développement</w:t>
            </w:r>
          </w:p>
        </w:tc>
      </w:tr>
      <w:tr w:rsidR="00F01EA4" w:rsidRPr="00121D09" w14:paraId="4EE9E514" w14:textId="77777777" w:rsidTr="00397E4F">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1AE3317" w14:textId="6AFFE5F3" w:rsidR="00F01EA4" w:rsidRPr="00B62618" w:rsidRDefault="00944E71" w:rsidP="00493A9B">
            <w:pPr>
              <w:rPr>
                <w:b/>
                <w:bCs/>
                <w:color w:val="000000" w:themeColor="text1"/>
                <w:sz w:val="22"/>
                <w:szCs w:val="22"/>
                <w:lang w:val="fr-FR"/>
              </w:rPr>
            </w:pPr>
            <w:r w:rsidRPr="00B62618">
              <w:rPr>
                <w:rFonts w:eastAsia="Calibri"/>
                <w:b/>
                <w:bCs/>
                <w:color w:val="000000" w:themeColor="text1"/>
                <w:sz w:val="22"/>
                <w:szCs w:val="22"/>
                <w:lang w:val="fr-FR"/>
              </w:rPr>
              <w:t>OBJECTIF STRATÉGIQUE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12EAA5DE" w14:textId="07C4F9BC" w:rsidR="00F01EA4" w:rsidRPr="00B62618" w:rsidRDefault="00F01EA4" w:rsidP="00493A9B">
            <w:pPr>
              <w:rPr>
                <w:b/>
                <w:bCs/>
                <w:color w:val="000000" w:themeColor="text1"/>
                <w:sz w:val="22"/>
                <w:szCs w:val="22"/>
                <w:lang w:val="fr-FR"/>
              </w:rPr>
            </w:pPr>
            <w:r w:rsidRPr="00B62618">
              <w:rPr>
                <w:b/>
                <w:bCs/>
                <w:color w:val="000000" w:themeColor="text1"/>
                <w:sz w:val="22"/>
                <w:szCs w:val="22"/>
                <w:lang w:val="fr-FR"/>
              </w:rPr>
              <w:t xml:space="preserve">6.1.  </w:t>
            </w:r>
            <w:r w:rsidR="003975E9" w:rsidRPr="00B62618">
              <w:rPr>
                <w:b/>
                <w:bCs/>
                <w:color w:val="000000" w:themeColor="text1"/>
                <w:sz w:val="22"/>
                <w:szCs w:val="22"/>
                <w:lang w:val="fr-FR"/>
              </w:rPr>
              <w:t xml:space="preserve">Encourager la coopération bilatérale, sud-sud, triangulaire et internationale dans le </w:t>
            </w:r>
            <w:r w:rsidR="00EF1FE1" w:rsidRPr="00B62618">
              <w:rPr>
                <w:b/>
                <w:bCs/>
                <w:color w:val="000000" w:themeColor="text1"/>
                <w:sz w:val="22"/>
                <w:szCs w:val="22"/>
                <w:lang w:val="fr-FR"/>
              </w:rPr>
              <w:t>Continent américain</w:t>
            </w:r>
          </w:p>
        </w:tc>
      </w:tr>
      <w:tr w:rsidR="00A55B4B" w:rsidRPr="00121D09" w14:paraId="372C2376" w14:textId="77777777" w:rsidTr="00606B42">
        <w:trPr>
          <w:jc w:val="center"/>
        </w:trPr>
        <w:tc>
          <w:tcPr>
            <w:tcW w:w="3315" w:type="dxa"/>
            <w:tcBorders>
              <w:top w:val="single" w:sz="6" w:space="0" w:color="auto"/>
            </w:tcBorders>
            <w:vAlign w:val="center"/>
          </w:tcPr>
          <w:p w14:paraId="7E062048" w14:textId="359D1585" w:rsidR="00A55B4B" w:rsidRPr="00B62618" w:rsidRDefault="00A55B4B" w:rsidP="00493A9B">
            <w:pPr>
              <w:autoSpaceDE w:val="0"/>
              <w:autoSpaceDN w:val="0"/>
              <w:adjustRightInd w:val="0"/>
              <w:rPr>
                <w:sz w:val="22"/>
                <w:szCs w:val="22"/>
                <w:lang w:val="fr-FR"/>
              </w:rPr>
            </w:pPr>
            <w:r w:rsidRPr="00B62618">
              <w:rPr>
                <w:b/>
                <w:sz w:val="22"/>
                <w:szCs w:val="22"/>
                <w:lang w:val="fr-FR"/>
              </w:rPr>
              <w:t>Dialogue</w:t>
            </w:r>
            <w:r w:rsidR="00EF1FE1" w:rsidRPr="00B62618">
              <w:rPr>
                <w:b/>
                <w:sz w:val="22"/>
                <w:szCs w:val="22"/>
                <w:lang w:val="fr-FR"/>
              </w:rPr>
              <w:t xml:space="preserve"> en matière de politiques </w:t>
            </w:r>
            <w:r w:rsidRPr="00B62618">
              <w:rPr>
                <w:b/>
                <w:sz w:val="22"/>
                <w:szCs w:val="22"/>
                <w:lang w:val="fr-FR"/>
              </w:rPr>
              <w:t>:</w:t>
            </w:r>
            <w:r w:rsidRPr="00B62618">
              <w:rPr>
                <w:sz w:val="22"/>
                <w:szCs w:val="22"/>
                <w:lang w:val="fr-FR"/>
              </w:rPr>
              <w:t xml:space="preserve">  </w:t>
            </w:r>
          </w:p>
          <w:p w14:paraId="4C115933" w14:textId="0499C104" w:rsidR="00A55B4B" w:rsidRPr="00B62618" w:rsidRDefault="00B62618" w:rsidP="00493A9B">
            <w:pPr>
              <w:numPr>
                <w:ilvl w:val="0"/>
                <w:numId w:val="7"/>
              </w:numPr>
              <w:autoSpaceDE w:val="0"/>
              <w:autoSpaceDN w:val="0"/>
              <w:adjustRightInd w:val="0"/>
              <w:ind w:left="158" w:hanging="158"/>
              <w:rPr>
                <w:sz w:val="22"/>
                <w:szCs w:val="22"/>
                <w:lang w:val="fr-FR"/>
              </w:rPr>
            </w:pPr>
            <w:r w:rsidRPr="00B62618">
              <w:rPr>
                <w:rFonts w:eastAsia="SymbolMT"/>
                <w:sz w:val="22"/>
                <w:szCs w:val="22"/>
                <w:lang w:val="fr-FR"/>
              </w:rPr>
              <w:t>Douzième</w:t>
            </w:r>
            <w:r w:rsidR="00EF1FE1" w:rsidRPr="00B62618">
              <w:rPr>
                <w:rFonts w:eastAsia="SymbolMT"/>
                <w:sz w:val="22"/>
                <w:szCs w:val="22"/>
                <w:lang w:val="fr-FR"/>
              </w:rPr>
              <w:t xml:space="preserve"> Réunion ordinaire de la CIP, le 19 mai</w:t>
            </w:r>
            <w:r w:rsidR="00A55B4B" w:rsidRPr="00B62618">
              <w:rPr>
                <w:rFonts w:eastAsia="SymbolMT"/>
                <w:sz w:val="22"/>
                <w:szCs w:val="22"/>
                <w:lang w:val="fr-FR"/>
              </w:rPr>
              <w:t xml:space="preserve"> 2021.</w:t>
            </w:r>
          </w:p>
          <w:p w14:paraId="5097DADC" w14:textId="77777777" w:rsidR="00A55B4B" w:rsidRPr="00B62618" w:rsidRDefault="00A55B4B" w:rsidP="00493A9B">
            <w:pPr>
              <w:autoSpaceDE w:val="0"/>
              <w:autoSpaceDN w:val="0"/>
              <w:adjustRightInd w:val="0"/>
              <w:ind w:left="252"/>
              <w:rPr>
                <w:sz w:val="22"/>
                <w:szCs w:val="22"/>
                <w:lang w:val="fr-FR"/>
              </w:rPr>
            </w:pPr>
          </w:p>
          <w:p w14:paraId="6CB401E3" w14:textId="14A0FD83" w:rsidR="00A55B4B" w:rsidRPr="00B62618" w:rsidRDefault="00EF1FE1" w:rsidP="00493A9B">
            <w:pPr>
              <w:rPr>
                <w:bCs/>
                <w:color w:val="000000" w:themeColor="text1"/>
                <w:sz w:val="22"/>
                <w:szCs w:val="22"/>
                <w:lang w:val="fr-FR"/>
              </w:rPr>
            </w:pPr>
            <w:r w:rsidRPr="00B62618">
              <w:rPr>
                <w:rFonts w:eastAsia="SymbolMT"/>
                <w:sz w:val="22"/>
                <w:szCs w:val="22"/>
                <w:lang w:val="fr-FR"/>
              </w:rPr>
              <w:t>Augmentation du nombre d’activités pour obtenir des membres associés</w:t>
            </w:r>
            <w:r w:rsidR="00407306" w:rsidRPr="00B62618">
              <w:rPr>
                <w:rFonts w:eastAsia="SymbolMT"/>
                <w:sz w:val="22"/>
                <w:szCs w:val="22"/>
                <w:lang w:val="fr-FR"/>
              </w:rPr>
              <w:t xml:space="preserve"> et des bailleurs de fonds</w:t>
            </w:r>
            <w:r w:rsidRPr="00B62618">
              <w:rPr>
                <w:rFonts w:eastAsia="SymbolMT"/>
                <w:sz w:val="22"/>
                <w:szCs w:val="22"/>
                <w:lang w:val="fr-FR"/>
              </w:rPr>
              <w:t xml:space="preserve"> supplémentaires</w:t>
            </w:r>
            <w:r w:rsidR="00A55B4B" w:rsidRPr="00B62618">
              <w:rPr>
                <w:rFonts w:eastAsia="SymbolMT"/>
                <w:sz w:val="22"/>
                <w:szCs w:val="22"/>
                <w:lang w:val="fr-FR"/>
              </w:rPr>
              <w:t>.</w:t>
            </w:r>
          </w:p>
        </w:tc>
        <w:tc>
          <w:tcPr>
            <w:tcW w:w="4230" w:type="dxa"/>
            <w:tcBorders>
              <w:top w:val="single" w:sz="6" w:space="0" w:color="auto"/>
            </w:tcBorders>
            <w:vAlign w:val="center"/>
          </w:tcPr>
          <w:p w14:paraId="50B944BF" w14:textId="77777777" w:rsidR="00A55B4B" w:rsidRPr="00B62618" w:rsidRDefault="00A55B4B" w:rsidP="00493A9B">
            <w:pPr>
              <w:rPr>
                <w:b/>
                <w:bCs/>
                <w:color w:val="000000" w:themeColor="text1"/>
                <w:sz w:val="22"/>
                <w:szCs w:val="22"/>
                <w:lang w:val="fr-FR"/>
              </w:rPr>
            </w:pPr>
          </w:p>
        </w:tc>
        <w:tc>
          <w:tcPr>
            <w:tcW w:w="3420" w:type="dxa"/>
            <w:tcBorders>
              <w:top w:val="single" w:sz="6" w:space="0" w:color="auto"/>
            </w:tcBorders>
          </w:tcPr>
          <w:p w14:paraId="6E8F20C9" w14:textId="083A98DC" w:rsidR="00A55B4B" w:rsidRPr="00B62618" w:rsidRDefault="00A55B4B" w:rsidP="00493A9B">
            <w:pPr>
              <w:numPr>
                <w:ilvl w:val="0"/>
                <w:numId w:val="12"/>
              </w:numPr>
              <w:ind w:left="180" w:hanging="180"/>
              <w:rPr>
                <w:color w:val="000000"/>
                <w:sz w:val="22"/>
                <w:szCs w:val="22"/>
                <w:lang w:val="fr-FR"/>
              </w:rPr>
            </w:pPr>
            <w:r w:rsidRPr="00B62618">
              <w:rPr>
                <w:color w:val="000000"/>
                <w:sz w:val="22"/>
                <w:szCs w:val="22"/>
                <w:lang w:val="fr-FR"/>
              </w:rPr>
              <w:t>Obt</w:t>
            </w:r>
            <w:r w:rsidR="00407306" w:rsidRPr="00B62618">
              <w:rPr>
                <w:color w:val="000000"/>
                <w:sz w:val="22"/>
                <w:szCs w:val="22"/>
                <w:lang w:val="fr-FR"/>
              </w:rPr>
              <w:t>enir l’approbation du</w:t>
            </w:r>
            <w:r w:rsidRPr="00B62618">
              <w:rPr>
                <w:color w:val="000000"/>
                <w:sz w:val="22"/>
                <w:szCs w:val="22"/>
                <w:lang w:val="fr-FR"/>
              </w:rPr>
              <w:t xml:space="preserve"> CIDI</w:t>
            </w:r>
            <w:r w:rsidR="00407306" w:rsidRPr="00B62618">
              <w:rPr>
                <w:color w:val="000000"/>
                <w:sz w:val="22"/>
                <w:szCs w:val="22"/>
                <w:lang w:val="fr-FR"/>
              </w:rPr>
              <w:t xml:space="preserve"> pour la résolution visant à tenir la </w:t>
            </w:r>
            <w:r w:rsidR="00B62618" w:rsidRPr="00B62618">
              <w:rPr>
                <w:color w:val="000000"/>
                <w:sz w:val="22"/>
                <w:szCs w:val="22"/>
                <w:lang w:val="fr-FR"/>
              </w:rPr>
              <w:t>Douzième</w:t>
            </w:r>
            <w:r w:rsidR="00407306" w:rsidRPr="00B62618">
              <w:rPr>
                <w:color w:val="000000"/>
                <w:sz w:val="22"/>
                <w:szCs w:val="22"/>
                <w:lang w:val="fr-FR"/>
              </w:rPr>
              <w:t xml:space="preserve"> Réunion ordinaire </w:t>
            </w:r>
            <w:r w:rsidR="00A132BD" w:rsidRPr="00B62618">
              <w:rPr>
                <w:color w:val="000000"/>
                <w:sz w:val="22"/>
                <w:szCs w:val="22"/>
                <w:lang w:val="fr-FR"/>
              </w:rPr>
              <w:t xml:space="preserve">de la Commission interaméricaine des ports </w:t>
            </w:r>
            <w:r w:rsidR="00A132BD" w:rsidRPr="00B62618">
              <w:rPr>
                <w:i/>
                <w:iCs/>
                <w:color w:val="000000"/>
                <w:sz w:val="22"/>
                <w:szCs w:val="22"/>
                <w:lang w:val="fr-FR"/>
              </w:rPr>
              <w:t>virtuellement</w:t>
            </w:r>
            <w:r w:rsidR="00A132BD" w:rsidRPr="00B62618">
              <w:rPr>
                <w:color w:val="000000"/>
                <w:sz w:val="22"/>
                <w:szCs w:val="22"/>
                <w:lang w:val="fr-FR"/>
              </w:rPr>
              <w:t xml:space="preserve"> le 19 mai </w:t>
            </w:r>
            <w:r w:rsidRPr="00B62618">
              <w:rPr>
                <w:color w:val="000000"/>
                <w:sz w:val="22"/>
                <w:szCs w:val="22"/>
                <w:lang w:val="fr-FR"/>
              </w:rPr>
              <w:t xml:space="preserve">2021. </w:t>
            </w:r>
          </w:p>
          <w:p w14:paraId="03E9B137" w14:textId="78BB3744" w:rsidR="00A55B4B" w:rsidRPr="00B62618" w:rsidRDefault="00A55B4B" w:rsidP="00493A9B">
            <w:pPr>
              <w:numPr>
                <w:ilvl w:val="0"/>
                <w:numId w:val="12"/>
              </w:numPr>
              <w:ind w:left="180" w:hanging="180"/>
              <w:rPr>
                <w:color w:val="000000"/>
                <w:sz w:val="22"/>
                <w:szCs w:val="22"/>
                <w:lang w:val="fr-FR"/>
              </w:rPr>
            </w:pPr>
            <w:r w:rsidRPr="00B62618">
              <w:rPr>
                <w:color w:val="000000"/>
                <w:sz w:val="22"/>
                <w:szCs w:val="22"/>
                <w:lang w:val="fr-FR"/>
              </w:rPr>
              <w:t>Obt</w:t>
            </w:r>
            <w:r w:rsidR="00A132BD" w:rsidRPr="00B62618">
              <w:rPr>
                <w:color w:val="000000"/>
                <w:sz w:val="22"/>
                <w:szCs w:val="22"/>
                <w:lang w:val="fr-FR"/>
              </w:rPr>
              <w:t>enir l’adoption de documents de fonds (résolution de la CIP, plan d’action de</w:t>
            </w:r>
            <w:r w:rsidRPr="00B62618">
              <w:rPr>
                <w:color w:val="000000"/>
                <w:sz w:val="22"/>
                <w:szCs w:val="22"/>
                <w:lang w:val="fr-FR"/>
              </w:rPr>
              <w:t xml:space="preserve"> Buenos Aires</w:t>
            </w:r>
            <w:r w:rsidR="00A132BD" w:rsidRPr="00B62618">
              <w:rPr>
                <w:color w:val="000000"/>
                <w:sz w:val="22"/>
                <w:szCs w:val="22"/>
                <w:lang w:val="fr-FR"/>
              </w:rPr>
              <w:t xml:space="preserve"> et budget</w:t>
            </w:r>
            <w:r w:rsidRPr="00B62618">
              <w:rPr>
                <w:color w:val="000000"/>
                <w:sz w:val="22"/>
                <w:szCs w:val="22"/>
                <w:lang w:val="fr-FR"/>
              </w:rPr>
              <w:t xml:space="preserve"> 2020-2021),</w:t>
            </w:r>
            <w:r w:rsidR="00A132BD" w:rsidRPr="00B62618">
              <w:rPr>
                <w:color w:val="000000"/>
                <w:sz w:val="22"/>
                <w:szCs w:val="22"/>
                <w:lang w:val="fr-FR"/>
              </w:rPr>
              <w:t xml:space="preserve"> de même </w:t>
            </w:r>
            <w:r w:rsidR="00B41F4C" w:rsidRPr="00B62618">
              <w:rPr>
                <w:color w:val="000000"/>
                <w:sz w:val="22"/>
                <w:szCs w:val="22"/>
                <w:lang w:val="fr-FR"/>
              </w:rPr>
              <w:t xml:space="preserve">que le rapport d’activités et le rapport </w:t>
            </w:r>
            <w:r w:rsidR="00B41F4C" w:rsidRPr="00B62618">
              <w:rPr>
                <w:color w:val="000000"/>
                <w:sz w:val="22"/>
                <w:szCs w:val="22"/>
                <w:lang w:val="fr-FR"/>
              </w:rPr>
              <w:lastRenderedPageBreak/>
              <w:t>financier de la CIP pour</w:t>
            </w:r>
            <w:r w:rsidRPr="00B62618">
              <w:rPr>
                <w:color w:val="000000"/>
                <w:sz w:val="22"/>
                <w:szCs w:val="22"/>
                <w:lang w:val="fr-FR"/>
              </w:rPr>
              <w:t xml:space="preserve"> 2018-2020.</w:t>
            </w:r>
          </w:p>
          <w:p w14:paraId="37403790" w14:textId="33C77E20" w:rsidR="00A55B4B" w:rsidRPr="00B62618" w:rsidRDefault="00CF51D8" w:rsidP="00493A9B">
            <w:pPr>
              <w:numPr>
                <w:ilvl w:val="0"/>
                <w:numId w:val="12"/>
              </w:numPr>
              <w:ind w:left="180" w:hanging="180"/>
              <w:rPr>
                <w:color w:val="000000"/>
                <w:sz w:val="22"/>
                <w:szCs w:val="22"/>
                <w:lang w:val="fr-FR"/>
              </w:rPr>
            </w:pPr>
            <w:r w:rsidRPr="00B62618">
              <w:rPr>
                <w:color w:val="000000"/>
                <w:sz w:val="22"/>
                <w:szCs w:val="22"/>
                <w:lang w:val="fr-FR"/>
              </w:rPr>
              <w:t xml:space="preserve">Élire le </w:t>
            </w:r>
            <w:r w:rsidR="00416A4A" w:rsidRPr="00B62618">
              <w:rPr>
                <w:color w:val="000000"/>
                <w:sz w:val="22"/>
                <w:szCs w:val="22"/>
                <w:lang w:val="fr-FR"/>
              </w:rPr>
              <w:t>Comité exécutif de la</w:t>
            </w:r>
            <w:r w:rsidR="00A55B4B" w:rsidRPr="00B62618">
              <w:rPr>
                <w:color w:val="000000"/>
                <w:sz w:val="22"/>
                <w:szCs w:val="22"/>
                <w:lang w:val="fr-FR"/>
              </w:rPr>
              <w:t xml:space="preserve"> CIP (CECIP) </w:t>
            </w:r>
            <w:r w:rsidR="00416A4A" w:rsidRPr="00B62618">
              <w:rPr>
                <w:color w:val="000000"/>
                <w:sz w:val="22"/>
                <w:szCs w:val="22"/>
                <w:lang w:val="fr-FR"/>
              </w:rPr>
              <w:t>pour la période</w:t>
            </w:r>
            <w:r w:rsidR="00A55B4B" w:rsidRPr="00B62618">
              <w:rPr>
                <w:color w:val="000000"/>
                <w:sz w:val="22"/>
                <w:szCs w:val="22"/>
                <w:lang w:val="fr-FR"/>
              </w:rPr>
              <w:t xml:space="preserve"> 2021-2023.  </w:t>
            </w:r>
          </w:p>
        </w:tc>
        <w:tc>
          <w:tcPr>
            <w:tcW w:w="2790" w:type="dxa"/>
            <w:tcBorders>
              <w:top w:val="single" w:sz="6" w:space="0" w:color="auto"/>
            </w:tcBorders>
            <w:vAlign w:val="center"/>
          </w:tcPr>
          <w:p w14:paraId="35A06C13" w14:textId="6F02AD43" w:rsidR="00A55B4B" w:rsidRPr="00B62618" w:rsidRDefault="00A55B4B" w:rsidP="00493A9B">
            <w:pPr>
              <w:rPr>
                <w:b/>
                <w:bCs/>
                <w:color w:val="000000" w:themeColor="text1"/>
                <w:sz w:val="22"/>
                <w:szCs w:val="22"/>
                <w:lang w:val="fr-FR"/>
              </w:rPr>
            </w:pPr>
            <w:r w:rsidRPr="00B62618">
              <w:rPr>
                <w:b/>
                <w:bCs/>
                <w:color w:val="000000" w:themeColor="text1"/>
                <w:sz w:val="22"/>
                <w:szCs w:val="22"/>
                <w:lang w:val="fr-FR"/>
              </w:rPr>
              <w:lastRenderedPageBreak/>
              <w:t>Intern</w:t>
            </w:r>
            <w:r w:rsidR="00B41F4C" w:rsidRPr="00B62618">
              <w:rPr>
                <w:b/>
                <w:bCs/>
                <w:color w:val="000000" w:themeColor="text1"/>
                <w:sz w:val="22"/>
                <w:szCs w:val="22"/>
                <w:lang w:val="fr-FR"/>
              </w:rPr>
              <w:t>e </w:t>
            </w:r>
            <w:r w:rsidRPr="00B62618">
              <w:rPr>
                <w:b/>
                <w:bCs/>
                <w:color w:val="000000" w:themeColor="text1"/>
                <w:sz w:val="22"/>
                <w:szCs w:val="22"/>
                <w:lang w:val="fr-FR"/>
              </w:rPr>
              <w:t>:</w:t>
            </w:r>
          </w:p>
          <w:p w14:paraId="665EE9CB" w14:textId="2DDE6F9A" w:rsidR="00A55B4B" w:rsidRPr="00B62618" w:rsidRDefault="00B41F4C" w:rsidP="00493A9B">
            <w:pPr>
              <w:rPr>
                <w:sz w:val="22"/>
                <w:szCs w:val="22"/>
                <w:lang w:val="fr-FR"/>
              </w:rPr>
            </w:pPr>
            <w:r w:rsidRPr="00B62618">
              <w:rPr>
                <w:sz w:val="22"/>
                <w:szCs w:val="22"/>
                <w:lang w:val="fr-FR"/>
              </w:rPr>
              <w:t>Mission permanente de</w:t>
            </w:r>
            <w:r w:rsidR="00CF51D8" w:rsidRPr="00B62618">
              <w:rPr>
                <w:sz w:val="22"/>
                <w:szCs w:val="22"/>
                <w:lang w:val="fr-FR"/>
              </w:rPr>
              <w:t xml:space="preserve"> l’Argentine près</w:t>
            </w:r>
            <w:r w:rsidRPr="00B62618">
              <w:rPr>
                <w:sz w:val="22"/>
                <w:szCs w:val="22"/>
                <w:lang w:val="fr-FR"/>
              </w:rPr>
              <w:t xml:space="preserve"> </w:t>
            </w:r>
            <w:proofErr w:type="gramStart"/>
            <w:r w:rsidRPr="00B62618">
              <w:rPr>
                <w:sz w:val="22"/>
                <w:szCs w:val="22"/>
                <w:lang w:val="fr-FR"/>
              </w:rPr>
              <w:t>l'</w:t>
            </w:r>
            <w:r w:rsidR="00A55B4B" w:rsidRPr="00B62618">
              <w:rPr>
                <w:sz w:val="22"/>
                <w:szCs w:val="22"/>
                <w:lang w:val="fr-FR"/>
              </w:rPr>
              <w:t>O</w:t>
            </w:r>
            <w:r w:rsidR="00CF51D8" w:rsidRPr="00B62618">
              <w:rPr>
                <w:sz w:val="22"/>
                <w:szCs w:val="22"/>
                <w:lang w:val="fr-FR"/>
              </w:rPr>
              <w:t>EA</w:t>
            </w:r>
            <w:r w:rsidR="00A55B4B" w:rsidRPr="00B62618">
              <w:rPr>
                <w:sz w:val="22"/>
                <w:szCs w:val="22"/>
                <w:lang w:val="fr-FR"/>
              </w:rPr>
              <w:t>;</w:t>
            </w:r>
            <w:proofErr w:type="gramEnd"/>
            <w:r w:rsidR="00CF51D8" w:rsidRPr="00B62618">
              <w:rPr>
                <w:sz w:val="22"/>
                <w:szCs w:val="22"/>
                <w:lang w:val="fr-FR"/>
              </w:rPr>
              <w:t xml:space="preserve"> Département des conférences de l’OEA; Bureau exécutif du SEDI</w:t>
            </w:r>
            <w:r w:rsidR="00A55B4B" w:rsidRPr="00B62618">
              <w:rPr>
                <w:sz w:val="22"/>
                <w:szCs w:val="22"/>
                <w:lang w:val="fr-FR"/>
              </w:rPr>
              <w:t>.</w:t>
            </w:r>
          </w:p>
          <w:p w14:paraId="623C093B" w14:textId="77777777" w:rsidR="00A55B4B" w:rsidRPr="00B62618" w:rsidRDefault="00A55B4B" w:rsidP="00493A9B">
            <w:pPr>
              <w:rPr>
                <w:sz w:val="22"/>
                <w:szCs w:val="22"/>
                <w:lang w:val="fr-FR"/>
              </w:rPr>
            </w:pPr>
          </w:p>
          <w:p w14:paraId="343AF945" w14:textId="4CF7604F" w:rsidR="00A55B4B" w:rsidRPr="00B62618" w:rsidRDefault="00A55B4B" w:rsidP="00493A9B">
            <w:pPr>
              <w:rPr>
                <w:sz w:val="22"/>
                <w:szCs w:val="22"/>
                <w:lang w:val="fr-FR"/>
              </w:rPr>
            </w:pPr>
            <w:r w:rsidRPr="00B62618">
              <w:rPr>
                <w:b/>
                <w:bCs/>
                <w:color w:val="000000" w:themeColor="text1"/>
                <w:sz w:val="22"/>
                <w:szCs w:val="22"/>
                <w:lang w:val="fr-FR"/>
              </w:rPr>
              <w:t>Extern</w:t>
            </w:r>
            <w:r w:rsidR="00CF51D8" w:rsidRPr="00B62618">
              <w:rPr>
                <w:b/>
                <w:bCs/>
                <w:color w:val="000000" w:themeColor="text1"/>
                <w:sz w:val="22"/>
                <w:szCs w:val="22"/>
                <w:lang w:val="fr-FR"/>
              </w:rPr>
              <w:t>e </w:t>
            </w:r>
            <w:r w:rsidRPr="00B62618">
              <w:rPr>
                <w:b/>
                <w:bCs/>
                <w:color w:val="000000" w:themeColor="text1"/>
                <w:sz w:val="22"/>
                <w:szCs w:val="22"/>
                <w:lang w:val="fr-FR"/>
              </w:rPr>
              <w:t>:</w:t>
            </w:r>
            <w:r w:rsidRPr="00B62618">
              <w:rPr>
                <w:b/>
                <w:sz w:val="22"/>
                <w:szCs w:val="22"/>
                <w:lang w:val="fr-FR"/>
              </w:rPr>
              <w:t xml:space="preserve"> </w:t>
            </w:r>
            <w:r w:rsidRPr="00B62618">
              <w:rPr>
                <w:sz w:val="22"/>
                <w:szCs w:val="22"/>
                <w:lang w:val="fr-FR"/>
              </w:rPr>
              <w:t>Administration</w:t>
            </w:r>
            <w:r w:rsidR="00CF51D8" w:rsidRPr="00B62618">
              <w:rPr>
                <w:sz w:val="22"/>
                <w:szCs w:val="22"/>
                <w:lang w:val="fr-FR"/>
              </w:rPr>
              <w:t xml:space="preserve"> générale des ports de </w:t>
            </w:r>
            <w:proofErr w:type="gramStart"/>
            <w:r w:rsidR="00CF51D8" w:rsidRPr="00B62618">
              <w:rPr>
                <w:sz w:val="22"/>
                <w:szCs w:val="22"/>
                <w:lang w:val="fr-FR"/>
              </w:rPr>
              <w:t>l’Argentine;</w:t>
            </w:r>
            <w:proofErr w:type="gramEnd"/>
            <w:r w:rsidR="00CF51D8" w:rsidRPr="00B62618">
              <w:rPr>
                <w:sz w:val="22"/>
                <w:szCs w:val="22"/>
                <w:lang w:val="fr-FR"/>
              </w:rPr>
              <w:t xml:space="preserve"> autorités portuaires nationales de la CIP</w:t>
            </w:r>
            <w:r w:rsidRPr="00B62618">
              <w:rPr>
                <w:sz w:val="22"/>
                <w:szCs w:val="22"/>
                <w:lang w:val="fr-FR"/>
              </w:rPr>
              <w:t xml:space="preserve">. </w:t>
            </w:r>
          </w:p>
          <w:p w14:paraId="5579A7ED" w14:textId="77777777" w:rsidR="00A55B4B" w:rsidRPr="00B62618" w:rsidRDefault="00A55B4B" w:rsidP="00493A9B">
            <w:pPr>
              <w:rPr>
                <w:b/>
                <w:bCs/>
                <w:color w:val="000000" w:themeColor="text1"/>
                <w:sz w:val="22"/>
                <w:szCs w:val="22"/>
                <w:lang w:val="fr-FR"/>
              </w:rPr>
            </w:pPr>
          </w:p>
        </w:tc>
      </w:tr>
    </w:tbl>
    <w:p w14:paraId="33594314" w14:textId="77777777" w:rsidR="00BA3006" w:rsidRPr="00B62618" w:rsidRDefault="00BA3006" w:rsidP="00493A9B">
      <w:pPr>
        <w:rPr>
          <w:sz w:val="22"/>
          <w:szCs w:val="22"/>
          <w:lang w:val="fr-FR"/>
        </w:rPr>
      </w:pPr>
    </w:p>
    <w:p w14:paraId="026F2E9C" w14:textId="77777777" w:rsidR="00C945C0" w:rsidRPr="00B62618" w:rsidRDefault="00C945C0" w:rsidP="00493A9B">
      <w:pPr>
        <w:spacing w:after="160" w:line="259" w:lineRule="auto"/>
        <w:rPr>
          <w:sz w:val="22"/>
          <w:szCs w:val="22"/>
          <w:lang w:val="fr-FR"/>
        </w:rPr>
      </w:pPr>
      <w:r w:rsidRPr="00B62618">
        <w:rPr>
          <w:sz w:val="22"/>
          <w:szCs w:val="22"/>
          <w:lang w:val="fr-FR"/>
        </w:rPr>
        <w:br w:type="page"/>
      </w:r>
    </w:p>
    <w:p w14:paraId="7E5BD010" w14:textId="723D0621" w:rsidR="001B038F" w:rsidRPr="00B62618" w:rsidRDefault="001B038F" w:rsidP="00493A9B">
      <w:pPr>
        <w:spacing w:after="160" w:line="259" w:lineRule="auto"/>
        <w:rPr>
          <w:bCs/>
          <w:sz w:val="22"/>
          <w:szCs w:val="22"/>
          <w:lang w:val="fr-FR"/>
        </w:rPr>
      </w:pPr>
      <w:r w:rsidRPr="00B62618">
        <w:rPr>
          <w:b/>
          <w:bCs/>
          <w:color w:val="0000CC"/>
          <w:sz w:val="22"/>
          <w:szCs w:val="22"/>
          <w:lang w:val="fr-FR"/>
        </w:rPr>
        <w:lastRenderedPageBreak/>
        <w:t>D</w:t>
      </w:r>
      <w:r w:rsidR="00416A4A" w:rsidRPr="00B62618">
        <w:rPr>
          <w:b/>
          <w:bCs/>
          <w:color w:val="0000CC"/>
          <w:sz w:val="22"/>
          <w:szCs w:val="22"/>
          <w:lang w:val="fr-FR"/>
        </w:rPr>
        <w:t>É</w:t>
      </w:r>
      <w:r w:rsidRPr="00B62618">
        <w:rPr>
          <w:b/>
          <w:bCs/>
          <w:color w:val="0000CC"/>
          <w:sz w:val="22"/>
          <w:szCs w:val="22"/>
          <w:lang w:val="fr-FR"/>
        </w:rPr>
        <w:t>PART</w:t>
      </w:r>
      <w:r w:rsidR="00416A4A" w:rsidRPr="00B62618">
        <w:rPr>
          <w:b/>
          <w:bCs/>
          <w:color w:val="0000CC"/>
          <w:sz w:val="22"/>
          <w:szCs w:val="22"/>
          <w:lang w:val="fr-FR"/>
        </w:rPr>
        <w:t>E</w:t>
      </w:r>
      <w:r w:rsidRPr="00B62618">
        <w:rPr>
          <w:b/>
          <w:bCs/>
          <w:color w:val="0000CC"/>
          <w:sz w:val="22"/>
          <w:szCs w:val="22"/>
          <w:lang w:val="fr-FR"/>
        </w:rPr>
        <w:t>MENT/SECTION</w:t>
      </w:r>
      <w:r w:rsidR="00416A4A" w:rsidRPr="00B62618">
        <w:rPr>
          <w:b/>
          <w:bCs/>
          <w:color w:val="0000CC"/>
          <w:sz w:val="22"/>
          <w:szCs w:val="22"/>
          <w:lang w:val="fr-FR"/>
        </w:rPr>
        <w:t> </w:t>
      </w:r>
      <w:r w:rsidRPr="00B62618">
        <w:rPr>
          <w:b/>
          <w:bCs/>
          <w:color w:val="0000CC"/>
          <w:sz w:val="22"/>
          <w:szCs w:val="22"/>
          <w:lang w:val="fr-FR"/>
        </w:rPr>
        <w:t xml:space="preserve">:  </w:t>
      </w:r>
      <w:r w:rsidR="00416A4A" w:rsidRPr="00B62618">
        <w:rPr>
          <w:b/>
          <w:bCs/>
          <w:color w:val="0000CC"/>
          <w:sz w:val="22"/>
          <w:szCs w:val="22"/>
          <w:lang w:val="fr-FR"/>
        </w:rPr>
        <w:t>DÉVELOPPEMENT DURABLE</w:t>
      </w:r>
      <w:r w:rsidRPr="00B62618">
        <w:rPr>
          <w:b/>
          <w:bCs/>
          <w:color w:val="0000CC"/>
          <w:sz w:val="22"/>
          <w:szCs w:val="22"/>
          <w:lang w:val="fr-FR"/>
        </w:rPr>
        <w:t xml:space="preserve"> </w:t>
      </w:r>
    </w:p>
    <w:p w14:paraId="2349FB44" w14:textId="77777777" w:rsidR="001B038F" w:rsidRPr="00B62618" w:rsidRDefault="001B038F" w:rsidP="00493A9B">
      <w:pPr>
        <w:rPr>
          <w:bCs/>
          <w:sz w:val="22"/>
          <w:szCs w:val="22"/>
          <w:lang w:val="fr-FR"/>
        </w:rPr>
      </w:pPr>
    </w:p>
    <w:tbl>
      <w:tblPr>
        <w:tblW w:w="13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25"/>
        <w:gridCol w:w="4269"/>
        <w:gridCol w:w="51"/>
        <w:gridCol w:w="3330"/>
        <w:gridCol w:w="2700"/>
        <w:gridCol w:w="15"/>
      </w:tblGrid>
      <w:tr w:rsidR="00C945C0" w:rsidRPr="00B62618" w14:paraId="5313184F" w14:textId="77777777" w:rsidTr="00A66C51">
        <w:trPr>
          <w:trHeight w:val="540"/>
          <w:tblHeader/>
          <w:jc w:val="center"/>
        </w:trPr>
        <w:tc>
          <w:tcPr>
            <w:tcW w:w="3225" w:type="dxa"/>
            <w:tcBorders>
              <w:top w:val="single" w:sz="12" w:space="0" w:color="000000"/>
              <w:bottom w:val="single" w:sz="6" w:space="0" w:color="000000"/>
            </w:tcBorders>
            <w:shd w:val="clear" w:color="000000" w:fill="DBE5F1"/>
            <w:vAlign w:val="center"/>
            <w:hideMark/>
          </w:tcPr>
          <w:p w14:paraId="68391713" w14:textId="60A2CA2B" w:rsidR="00C945C0" w:rsidRPr="00B62618" w:rsidRDefault="00C945C0" w:rsidP="00493A9B">
            <w:pPr>
              <w:rPr>
                <w:b/>
                <w:bCs/>
                <w:color w:val="000000" w:themeColor="text1"/>
                <w:sz w:val="22"/>
                <w:szCs w:val="22"/>
                <w:lang w:val="fr-FR"/>
              </w:rPr>
            </w:pPr>
            <w:r w:rsidRPr="00B62618">
              <w:rPr>
                <w:b/>
                <w:bCs/>
                <w:color w:val="000000" w:themeColor="text1"/>
                <w:sz w:val="22"/>
                <w:szCs w:val="22"/>
                <w:lang w:val="fr-FR"/>
              </w:rPr>
              <w:t>INITIATIVES / ACTIVIT</w:t>
            </w:r>
            <w:r w:rsidR="00416A4A" w:rsidRPr="00B62618">
              <w:rPr>
                <w:b/>
                <w:bCs/>
                <w:color w:val="000000" w:themeColor="text1"/>
                <w:sz w:val="22"/>
                <w:szCs w:val="22"/>
                <w:lang w:val="fr-FR"/>
              </w:rPr>
              <w:t>É</w:t>
            </w:r>
            <w:r w:rsidRPr="00B62618">
              <w:rPr>
                <w:b/>
                <w:bCs/>
                <w:color w:val="000000" w:themeColor="text1"/>
                <w:sz w:val="22"/>
                <w:szCs w:val="22"/>
                <w:lang w:val="fr-FR"/>
              </w:rPr>
              <w:t>S</w:t>
            </w:r>
          </w:p>
        </w:tc>
        <w:tc>
          <w:tcPr>
            <w:tcW w:w="4269" w:type="dxa"/>
            <w:tcBorders>
              <w:top w:val="single" w:sz="12" w:space="0" w:color="000000"/>
              <w:bottom w:val="single" w:sz="6" w:space="0" w:color="000000"/>
            </w:tcBorders>
            <w:shd w:val="clear" w:color="000000" w:fill="D9E2F3"/>
            <w:vAlign w:val="center"/>
            <w:hideMark/>
          </w:tcPr>
          <w:p w14:paraId="713716A8" w14:textId="3DE3A0F6" w:rsidR="00C945C0" w:rsidRPr="00B62618" w:rsidRDefault="00C945C0" w:rsidP="00493A9B">
            <w:pPr>
              <w:rPr>
                <w:b/>
                <w:bCs/>
                <w:color w:val="000000" w:themeColor="text1"/>
                <w:sz w:val="22"/>
                <w:szCs w:val="22"/>
                <w:lang w:val="fr-FR"/>
              </w:rPr>
            </w:pPr>
            <w:r w:rsidRPr="00B62618">
              <w:rPr>
                <w:b/>
                <w:bCs/>
                <w:color w:val="000000" w:themeColor="text1"/>
                <w:sz w:val="22"/>
                <w:szCs w:val="22"/>
                <w:lang w:val="fr-FR"/>
              </w:rPr>
              <w:t xml:space="preserve">CONTRIBUTION </w:t>
            </w:r>
            <w:r w:rsidR="00416A4A" w:rsidRPr="00B62618">
              <w:rPr>
                <w:b/>
                <w:bCs/>
                <w:color w:val="000000" w:themeColor="text1"/>
                <w:sz w:val="22"/>
                <w:szCs w:val="22"/>
                <w:lang w:val="fr-FR"/>
              </w:rPr>
              <w:t>À LA RÉSILIENCE ET À LA COMPÉTITIVITÉ</w:t>
            </w:r>
          </w:p>
        </w:tc>
        <w:tc>
          <w:tcPr>
            <w:tcW w:w="3381" w:type="dxa"/>
            <w:gridSpan w:val="2"/>
            <w:tcBorders>
              <w:top w:val="single" w:sz="12" w:space="0" w:color="000000"/>
              <w:bottom w:val="single" w:sz="6" w:space="0" w:color="000000"/>
            </w:tcBorders>
            <w:shd w:val="clear" w:color="000000" w:fill="DBE5F1"/>
            <w:vAlign w:val="center"/>
            <w:hideMark/>
          </w:tcPr>
          <w:p w14:paraId="696D144E" w14:textId="200874DB" w:rsidR="00C945C0" w:rsidRPr="00B62618" w:rsidRDefault="00416A4A" w:rsidP="00493A9B">
            <w:pPr>
              <w:rPr>
                <w:b/>
                <w:bCs/>
                <w:color w:val="000000" w:themeColor="text1"/>
                <w:sz w:val="22"/>
                <w:szCs w:val="22"/>
                <w:lang w:val="fr-FR"/>
              </w:rPr>
            </w:pPr>
            <w:r w:rsidRPr="00B62618">
              <w:rPr>
                <w:b/>
                <w:bCs/>
                <w:color w:val="000000" w:themeColor="text1"/>
                <w:sz w:val="22"/>
                <w:szCs w:val="22"/>
                <w:lang w:val="fr-FR"/>
              </w:rPr>
              <w:t>RÉSULTATS / CONCLUSIONS ATTENDUS</w:t>
            </w:r>
          </w:p>
        </w:tc>
        <w:tc>
          <w:tcPr>
            <w:tcW w:w="2715" w:type="dxa"/>
            <w:gridSpan w:val="2"/>
            <w:tcBorders>
              <w:top w:val="single" w:sz="12" w:space="0" w:color="000000"/>
              <w:bottom w:val="single" w:sz="6" w:space="0" w:color="000000"/>
            </w:tcBorders>
            <w:shd w:val="clear" w:color="000000" w:fill="DBE5F1"/>
            <w:vAlign w:val="center"/>
            <w:hideMark/>
          </w:tcPr>
          <w:p w14:paraId="18B0D61F" w14:textId="3BE4C58F" w:rsidR="00C945C0" w:rsidRPr="00B62618" w:rsidRDefault="00C945C0" w:rsidP="00493A9B">
            <w:pPr>
              <w:rPr>
                <w:b/>
                <w:bCs/>
                <w:color w:val="000000" w:themeColor="text1"/>
                <w:sz w:val="22"/>
                <w:szCs w:val="22"/>
                <w:lang w:val="fr-FR"/>
              </w:rPr>
            </w:pPr>
            <w:r w:rsidRPr="00B62618">
              <w:rPr>
                <w:b/>
                <w:bCs/>
                <w:color w:val="000000" w:themeColor="text1"/>
                <w:sz w:val="22"/>
                <w:szCs w:val="22"/>
                <w:lang w:val="fr-FR"/>
              </w:rPr>
              <w:t>COOP</w:t>
            </w:r>
            <w:r w:rsidR="00416A4A" w:rsidRPr="00B62618">
              <w:rPr>
                <w:b/>
                <w:bCs/>
                <w:color w:val="000000" w:themeColor="text1"/>
                <w:sz w:val="22"/>
                <w:szCs w:val="22"/>
                <w:lang w:val="fr-FR"/>
              </w:rPr>
              <w:t>É</w:t>
            </w:r>
            <w:r w:rsidRPr="00B62618">
              <w:rPr>
                <w:b/>
                <w:bCs/>
                <w:color w:val="000000" w:themeColor="text1"/>
                <w:sz w:val="22"/>
                <w:szCs w:val="22"/>
                <w:lang w:val="fr-FR"/>
              </w:rPr>
              <w:t xml:space="preserve">RATION </w:t>
            </w:r>
            <w:r w:rsidR="00416A4A" w:rsidRPr="00B62618">
              <w:rPr>
                <w:b/>
                <w:bCs/>
                <w:color w:val="000000" w:themeColor="text1"/>
                <w:sz w:val="22"/>
                <w:szCs w:val="22"/>
                <w:lang w:val="fr-FR"/>
              </w:rPr>
              <w:t>ET PARTENARIATS</w:t>
            </w:r>
          </w:p>
        </w:tc>
      </w:tr>
      <w:tr w:rsidR="001F36E2" w:rsidRPr="00121D09" w14:paraId="3E59E98D" w14:textId="77777777" w:rsidTr="00A66C51">
        <w:trPr>
          <w:trHeight w:val="318"/>
          <w:jc w:val="center"/>
        </w:trPr>
        <w:tc>
          <w:tcPr>
            <w:tcW w:w="3225" w:type="dxa"/>
            <w:tcBorders>
              <w:top w:val="single" w:sz="6" w:space="0" w:color="000000"/>
              <w:bottom w:val="single" w:sz="6" w:space="0" w:color="000000"/>
            </w:tcBorders>
            <w:shd w:val="clear" w:color="auto" w:fill="BFBFBF" w:themeFill="background1" w:themeFillShade="BF"/>
          </w:tcPr>
          <w:p w14:paraId="1E987F9E" w14:textId="475A036E" w:rsidR="001F36E2" w:rsidRPr="00B62618" w:rsidRDefault="00944E71" w:rsidP="00944E71">
            <w:pPr>
              <w:rPr>
                <w:b/>
                <w:bCs/>
                <w:color w:val="000000" w:themeColor="text1"/>
                <w:sz w:val="22"/>
                <w:szCs w:val="22"/>
                <w:lang w:val="fr-FR"/>
              </w:rPr>
            </w:pPr>
            <w:r w:rsidRPr="00B62618">
              <w:rPr>
                <w:rFonts w:eastAsia="Calibri"/>
                <w:b/>
                <w:bCs/>
                <w:color w:val="000000" w:themeColor="text1"/>
                <w:sz w:val="22"/>
                <w:szCs w:val="22"/>
                <w:lang w:val="fr-FR"/>
              </w:rPr>
              <w:t>LIGNE STRATÉGIQUE</w:t>
            </w:r>
          </w:p>
        </w:tc>
        <w:tc>
          <w:tcPr>
            <w:tcW w:w="10365" w:type="dxa"/>
            <w:gridSpan w:val="5"/>
            <w:tcBorders>
              <w:top w:val="single" w:sz="6" w:space="0" w:color="000000"/>
              <w:bottom w:val="single" w:sz="6" w:space="0" w:color="000000"/>
            </w:tcBorders>
            <w:shd w:val="clear" w:color="auto" w:fill="BFBFBF" w:themeFill="background1" w:themeFillShade="BF"/>
          </w:tcPr>
          <w:p w14:paraId="5B649FF9" w14:textId="599A993D" w:rsidR="001F36E2" w:rsidRPr="00B62618" w:rsidRDefault="001F36E2" w:rsidP="00493A9B">
            <w:pPr>
              <w:rPr>
                <w:b/>
                <w:bCs/>
                <w:color w:val="000000" w:themeColor="text1"/>
                <w:sz w:val="22"/>
                <w:szCs w:val="22"/>
                <w:lang w:val="fr-FR"/>
              </w:rPr>
            </w:pPr>
            <w:r w:rsidRPr="00B62618">
              <w:rPr>
                <w:b/>
                <w:bCs/>
                <w:color w:val="000000" w:themeColor="text1"/>
                <w:sz w:val="22"/>
                <w:szCs w:val="22"/>
                <w:lang w:val="fr-FR"/>
              </w:rPr>
              <w:t xml:space="preserve">2. </w:t>
            </w:r>
            <w:r w:rsidR="00416A4A" w:rsidRPr="00B62618">
              <w:rPr>
                <w:b/>
                <w:bCs/>
                <w:color w:val="000000" w:themeColor="text1"/>
                <w:sz w:val="22"/>
                <w:szCs w:val="22"/>
                <w:lang w:val="fr-FR"/>
              </w:rPr>
              <w:t xml:space="preserve">Renforcer la mise en œuvre des objectifs de développement durable, conformément au Programme interaméricain de développement durable </w:t>
            </w:r>
            <w:r w:rsidRPr="00B62618">
              <w:rPr>
                <w:b/>
                <w:bCs/>
                <w:color w:val="000000" w:themeColor="text1"/>
                <w:sz w:val="22"/>
                <w:szCs w:val="22"/>
                <w:lang w:val="fr-FR"/>
              </w:rPr>
              <w:t>(PIDS) 2016-2021</w:t>
            </w:r>
          </w:p>
        </w:tc>
      </w:tr>
      <w:tr w:rsidR="001F36E2" w:rsidRPr="00121D09" w14:paraId="5A4E8D4B" w14:textId="77777777" w:rsidTr="00A66C51">
        <w:trPr>
          <w:trHeight w:val="345"/>
          <w:jc w:val="center"/>
        </w:trPr>
        <w:tc>
          <w:tcPr>
            <w:tcW w:w="3225" w:type="dxa"/>
            <w:tcBorders>
              <w:top w:val="single" w:sz="6" w:space="0" w:color="000000"/>
              <w:bottom w:val="single" w:sz="6" w:space="0" w:color="000000"/>
            </w:tcBorders>
            <w:shd w:val="clear" w:color="auto" w:fill="BFBFBF" w:themeFill="background1" w:themeFillShade="BF"/>
          </w:tcPr>
          <w:p w14:paraId="2C944B04" w14:textId="5FC2D184" w:rsidR="001F36E2" w:rsidRPr="00B62618" w:rsidRDefault="00944E71" w:rsidP="00493A9B">
            <w:pPr>
              <w:rPr>
                <w:b/>
                <w:bCs/>
                <w:color w:val="000000" w:themeColor="text1"/>
                <w:sz w:val="22"/>
                <w:szCs w:val="22"/>
                <w:lang w:val="fr-FR"/>
              </w:rPr>
            </w:pPr>
            <w:r w:rsidRPr="00B62618">
              <w:rPr>
                <w:rFonts w:eastAsia="Calibri"/>
                <w:b/>
                <w:bCs/>
                <w:color w:val="000000" w:themeColor="text1"/>
                <w:sz w:val="22"/>
                <w:szCs w:val="22"/>
                <w:lang w:val="fr-FR"/>
              </w:rPr>
              <w:t>OBJECTIF STRATÉGIQUE</w:t>
            </w:r>
          </w:p>
        </w:tc>
        <w:tc>
          <w:tcPr>
            <w:tcW w:w="10365" w:type="dxa"/>
            <w:gridSpan w:val="5"/>
            <w:tcBorders>
              <w:top w:val="single" w:sz="6" w:space="0" w:color="000000"/>
              <w:bottom w:val="single" w:sz="6" w:space="0" w:color="000000"/>
            </w:tcBorders>
            <w:shd w:val="clear" w:color="auto" w:fill="BFBFBF" w:themeFill="background1" w:themeFillShade="BF"/>
          </w:tcPr>
          <w:p w14:paraId="500E93F2" w14:textId="05538750" w:rsidR="001F36E2" w:rsidRPr="00B62618" w:rsidRDefault="001F36E2" w:rsidP="00493A9B">
            <w:pPr>
              <w:rPr>
                <w:b/>
                <w:bCs/>
                <w:color w:val="000000" w:themeColor="text1"/>
                <w:sz w:val="22"/>
                <w:szCs w:val="22"/>
                <w:lang w:val="fr-FR"/>
              </w:rPr>
            </w:pPr>
            <w:r w:rsidRPr="00B62618">
              <w:rPr>
                <w:b/>
                <w:bCs/>
                <w:color w:val="000000" w:themeColor="text1"/>
                <w:sz w:val="22"/>
                <w:szCs w:val="22"/>
                <w:lang w:val="fr-FR"/>
              </w:rPr>
              <w:t xml:space="preserve">2.1. </w:t>
            </w:r>
            <w:r w:rsidR="00416A4A" w:rsidRPr="00B62618">
              <w:rPr>
                <w:b/>
                <w:bCs/>
                <w:color w:val="000000" w:themeColor="text1"/>
                <w:sz w:val="22"/>
                <w:szCs w:val="22"/>
                <w:lang w:val="fr-FR"/>
              </w:rPr>
              <w:t xml:space="preserve">Renforcer les capacités des États membres dans le domaine de la gestion des risques de catastrophe conformément aux buts </w:t>
            </w:r>
            <w:r w:rsidR="00513450" w:rsidRPr="00B62618">
              <w:rPr>
                <w:b/>
                <w:bCs/>
                <w:color w:val="000000" w:themeColor="text1"/>
                <w:sz w:val="22"/>
                <w:szCs w:val="22"/>
                <w:lang w:val="fr-FR"/>
              </w:rPr>
              <w:t>et aux mesures stratégiques énoncés à la</w:t>
            </w:r>
            <w:r w:rsidR="00416A4A" w:rsidRPr="00B62618">
              <w:rPr>
                <w:b/>
                <w:bCs/>
                <w:color w:val="000000" w:themeColor="text1"/>
                <w:sz w:val="22"/>
                <w:szCs w:val="22"/>
                <w:lang w:val="fr-FR"/>
              </w:rPr>
              <w:t xml:space="preserve"> </w:t>
            </w:r>
            <w:r w:rsidRPr="00B62618">
              <w:rPr>
                <w:b/>
                <w:bCs/>
                <w:color w:val="000000" w:themeColor="text1"/>
                <w:sz w:val="22"/>
                <w:szCs w:val="22"/>
                <w:lang w:val="fr-FR"/>
              </w:rPr>
              <w:t xml:space="preserve">section 3.1 </w:t>
            </w:r>
            <w:r w:rsidR="00513450" w:rsidRPr="00B62618">
              <w:rPr>
                <w:b/>
                <w:bCs/>
                <w:color w:val="000000" w:themeColor="text1"/>
                <w:sz w:val="22"/>
                <w:szCs w:val="22"/>
                <w:lang w:val="fr-FR"/>
              </w:rPr>
              <w:t>du</w:t>
            </w:r>
            <w:r w:rsidRPr="00B62618">
              <w:rPr>
                <w:b/>
                <w:bCs/>
                <w:color w:val="000000" w:themeColor="text1"/>
                <w:sz w:val="22"/>
                <w:szCs w:val="22"/>
                <w:lang w:val="fr-FR"/>
              </w:rPr>
              <w:t xml:space="preserve"> PIDS</w:t>
            </w:r>
          </w:p>
        </w:tc>
      </w:tr>
      <w:tr w:rsidR="001F36E2" w:rsidRPr="00121D09" w14:paraId="21D76CF2" w14:textId="77777777" w:rsidTr="00A66C51">
        <w:trPr>
          <w:trHeight w:val="345"/>
          <w:jc w:val="center"/>
        </w:trPr>
        <w:tc>
          <w:tcPr>
            <w:tcW w:w="13590" w:type="dxa"/>
            <w:gridSpan w:val="6"/>
            <w:tcBorders>
              <w:top w:val="single" w:sz="6" w:space="0" w:color="000000"/>
              <w:bottom w:val="single" w:sz="6" w:space="0" w:color="000000"/>
            </w:tcBorders>
            <w:shd w:val="clear" w:color="auto" w:fill="D9D9D9" w:themeFill="background1" w:themeFillShade="D9"/>
          </w:tcPr>
          <w:p w14:paraId="128F630C" w14:textId="0F87C678" w:rsidR="001F36E2" w:rsidRPr="00B62618" w:rsidRDefault="00416A4A" w:rsidP="00493A9B">
            <w:pPr>
              <w:rPr>
                <w:b/>
                <w:bCs/>
                <w:color w:val="000000" w:themeColor="text1"/>
                <w:sz w:val="22"/>
                <w:szCs w:val="22"/>
                <w:lang w:val="fr-FR"/>
              </w:rPr>
            </w:pPr>
            <w:r w:rsidRPr="00B62618">
              <w:rPr>
                <w:b/>
                <w:bCs/>
                <w:color w:val="000000" w:themeColor="text1"/>
                <w:sz w:val="22"/>
                <w:szCs w:val="22"/>
                <w:lang w:val="fr-FR"/>
              </w:rPr>
              <w:t>Gestion des risques de catastrophe </w:t>
            </w:r>
            <w:r w:rsidR="001F36E2" w:rsidRPr="00B62618">
              <w:rPr>
                <w:b/>
                <w:bCs/>
                <w:color w:val="000000" w:themeColor="text1"/>
                <w:sz w:val="22"/>
                <w:szCs w:val="22"/>
                <w:lang w:val="fr-FR"/>
              </w:rPr>
              <w:t>:</w:t>
            </w:r>
          </w:p>
        </w:tc>
      </w:tr>
      <w:tr w:rsidR="00C945C0" w:rsidRPr="00121D09" w14:paraId="33D3A179" w14:textId="77777777" w:rsidTr="00A66C51">
        <w:trPr>
          <w:trHeight w:val="1995"/>
          <w:jc w:val="center"/>
        </w:trPr>
        <w:tc>
          <w:tcPr>
            <w:tcW w:w="3225" w:type="dxa"/>
            <w:tcBorders>
              <w:top w:val="single" w:sz="6" w:space="0" w:color="000000"/>
            </w:tcBorders>
            <w:shd w:val="clear" w:color="auto" w:fill="auto"/>
            <w:hideMark/>
          </w:tcPr>
          <w:p w14:paraId="607B527C" w14:textId="08654E68" w:rsidR="00C945C0" w:rsidRPr="00B62618" w:rsidRDefault="008718A6" w:rsidP="00493A9B">
            <w:pPr>
              <w:rPr>
                <w:b/>
                <w:color w:val="000000" w:themeColor="text1"/>
                <w:sz w:val="22"/>
                <w:szCs w:val="22"/>
                <w:lang w:val="fr-FR"/>
              </w:rPr>
            </w:pPr>
            <w:r w:rsidRPr="00B62618">
              <w:rPr>
                <w:b/>
                <w:color w:val="000000" w:themeColor="text1"/>
                <w:sz w:val="22"/>
                <w:szCs w:val="22"/>
                <w:lang w:val="fr-FR"/>
              </w:rPr>
              <w:t>Équipe</w:t>
            </w:r>
            <w:r w:rsidR="00DC2845" w:rsidRPr="00B62618">
              <w:rPr>
                <w:b/>
                <w:color w:val="000000" w:themeColor="text1"/>
                <w:sz w:val="22"/>
                <w:szCs w:val="22"/>
                <w:lang w:val="fr-FR"/>
              </w:rPr>
              <w:t xml:space="preserve"> communautaire</w:t>
            </w:r>
            <w:r w:rsidRPr="00B62618">
              <w:rPr>
                <w:b/>
                <w:color w:val="000000" w:themeColor="text1"/>
                <w:sz w:val="22"/>
                <w:szCs w:val="22"/>
                <w:lang w:val="fr-FR"/>
              </w:rPr>
              <w:t xml:space="preserve"> régionale d</w:t>
            </w:r>
            <w:r w:rsidR="00DC2845" w:rsidRPr="00B62618">
              <w:rPr>
                <w:b/>
                <w:color w:val="000000" w:themeColor="text1"/>
                <w:sz w:val="22"/>
                <w:szCs w:val="22"/>
                <w:lang w:val="fr-FR"/>
              </w:rPr>
              <w:t>’intervention en</w:t>
            </w:r>
            <w:r w:rsidRPr="00B62618">
              <w:rPr>
                <w:b/>
                <w:color w:val="000000" w:themeColor="text1"/>
                <w:sz w:val="22"/>
                <w:szCs w:val="22"/>
                <w:lang w:val="fr-FR"/>
              </w:rPr>
              <w:t xml:space="preserve"> situation d’urgence </w:t>
            </w:r>
            <w:r w:rsidR="00C945C0" w:rsidRPr="00B62618">
              <w:rPr>
                <w:b/>
                <w:color w:val="000000" w:themeColor="text1"/>
                <w:sz w:val="22"/>
                <w:szCs w:val="22"/>
                <w:lang w:val="fr-FR"/>
              </w:rPr>
              <w:t>(CERT)</w:t>
            </w:r>
          </w:p>
        </w:tc>
        <w:tc>
          <w:tcPr>
            <w:tcW w:w="4269" w:type="dxa"/>
            <w:tcBorders>
              <w:top w:val="single" w:sz="6" w:space="0" w:color="000000"/>
            </w:tcBorders>
            <w:shd w:val="clear" w:color="auto" w:fill="auto"/>
            <w:hideMark/>
          </w:tcPr>
          <w:p w14:paraId="76183F54" w14:textId="0866CB05" w:rsidR="00C945C0" w:rsidRPr="00B62618" w:rsidRDefault="00DC2845" w:rsidP="00493A9B">
            <w:pPr>
              <w:rPr>
                <w:color w:val="000000" w:themeColor="text1"/>
                <w:sz w:val="22"/>
                <w:szCs w:val="22"/>
                <w:lang w:val="fr-FR"/>
              </w:rPr>
            </w:pPr>
            <w:r w:rsidRPr="00B62618">
              <w:rPr>
                <w:color w:val="000000" w:themeColor="text1"/>
                <w:sz w:val="22"/>
                <w:szCs w:val="22"/>
                <w:lang w:val="fr-FR"/>
              </w:rPr>
              <w:t xml:space="preserve">Renforcer les capacités de former et d’organiser des communautés – qu’elles soient définies par des frontières géographiques et administratives ou par des services aux entreprises et </w:t>
            </w:r>
            <w:r w:rsidR="00846F93" w:rsidRPr="00B62618">
              <w:rPr>
                <w:color w:val="000000" w:themeColor="text1"/>
                <w:sz w:val="22"/>
                <w:szCs w:val="22"/>
                <w:lang w:val="fr-FR"/>
              </w:rPr>
              <w:t>par des fournisseurs, et intégrer ces communautés à des mécanismes nationaux de gestion des situations d’urgence ainsi qu’à des ententes formelles</w:t>
            </w:r>
            <w:r w:rsidR="00C945C0" w:rsidRPr="00B62618">
              <w:rPr>
                <w:color w:val="000000" w:themeColor="text1"/>
                <w:sz w:val="22"/>
                <w:szCs w:val="22"/>
                <w:lang w:val="fr-FR"/>
              </w:rPr>
              <w:t>.</w:t>
            </w:r>
          </w:p>
        </w:tc>
        <w:tc>
          <w:tcPr>
            <w:tcW w:w="3381" w:type="dxa"/>
            <w:gridSpan w:val="2"/>
            <w:tcBorders>
              <w:top w:val="single" w:sz="6" w:space="0" w:color="000000"/>
            </w:tcBorders>
            <w:shd w:val="clear" w:color="auto" w:fill="auto"/>
            <w:hideMark/>
          </w:tcPr>
          <w:p w14:paraId="1B426304" w14:textId="2C829E0F" w:rsidR="00C945C0" w:rsidRPr="00B62618" w:rsidRDefault="00846F93" w:rsidP="00493A9B">
            <w:pPr>
              <w:rPr>
                <w:color w:val="000000" w:themeColor="text1"/>
                <w:sz w:val="22"/>
                <w:szCs w:val="22"/>
                <w:lang w:val="fr-FR"/>
              </w:rPr>
            </w:pPr>
            <w:r w:rsidRPr="00B62618">
              <w:rPr>
                <w:color w:val="000000" w:themeColor="text1"/>
                <w:sz w:val="22"/>
                <w:szCs w:val="22"/>
                <w:lang w:val="fr-FR"/>
              </w:rPr>
              <w:t>Renforcement des connaissances et des capacités de base nécessaires à des interventions en cas d’urgence dans la communauté et renforcement des capacités à préparer, à intervenir et à se remettre de catastrophes et de chocs se produisant dans des sous-régions visées ainsi que dans des États membres participants</w:t>
            </w:r>
            <w:r w:rsidR="00C945C0" w:rsidRPr="00B62618">
              <w:rPr>
                <w:color w:val="000000" w:themeColor="text1"/>
                <w:sz w:val="22"/>
                <w:szCs w:val="22"/>
                <w:lang w:val="fr-FR"/>
              </w:rPr>
              <w:t>.</w:t>
            </w:r>
          </w:p>
        </w:tc>
        <w:tc>
          <w:tcPr>
            <w:tcW w:w="2715" w:type="dxa"/>
            <w:gridSpan w:val="2"/>
            <w:vMerge w:val="restart"/>
            <w:tcBorders>
              <w:top w:val="single" w:sz="6" w:space="0" w:color="000000"/>
            </w:tcBorders>
            <w:shd w:val="clear" w:color="auto" w:fill="auto"/>
            <w:hideMark/>
          </w:tcPr>
          <w:p w14:paraId="5CDD60B3" w14:textId="74F76AB2" w:rsidR="00C945C0" w:rsidRPr="00B62618" w:rsidRDefault="00C945C0" w:rsidP="00493A9B">
            <w:pPr>
              <w:rPr>
                <w:color w:val="000000" w:themeColor="text1"/>
                <w:sz w:val="22"/>
                <w:szCs w:val="22"/>
                <w:lang w:val="fr-FR"/>
              </w:rPr>
            </w:pPr>
            <w:r w:rsidRPr="00B62618">
              <w:rPr>
                <w:b/>
                <w:bCs/>
                <w:color w:val="000000" w:themeColor="text1"/>
                <w:sz w:val="22"/>
                <w:szCs w:val="22"/>
                <w:lang w:val="fr-FR"/>
              </w:rPr>
              <w:t>Intern</w:t>
            </w:r>
            <w:r w:rsidR="00846F93" w:rsidRPr="00B62618">
              <w:rPr>
                <w:b/>
                <w:bCs/>
                <w:color w:val="000000" w:themeColor="text1"/>
                <w:sz w:val="22"/>
                <w:szCs w:val="22"/>
                <w:lang w:val="fr-FR"/>
              </w:rPr>
              <w:t>e</w:t>
            </w:r>
            <w:r w:rsidRPr="00B62618">
              <w:rPr>
                <w:b/>
                <w:bCs/>
                <w:color w:val="000000" w:themeColor="text1"/>
                <w:sz w:val="22"/>
                <w:szCs w:val="22"/>
                <w:lang w:val="fr-FR"/>
              </w:rPr>
              <w:t xml:space="preserve"> (O</w:t>
            </w:r>
            <w:r w:rsidR="00846F93" w:rsidRPr="00B62618">
              <w:rPr>
                <w:b/>
                <w:bCs/>
                <w:color w:val="000000" w:themeColor="text1"/>
                <w:sz w:val="22"/>
                <w:szCs w:val="22"/>
                <w:lang w:val="fr-FR"/>
              </w:rPr>
              <w:t>E</w:t>
            </w:r>
            <w:r w:rsidRPr="00B62618">
              <w:rPr>
                <w:b/>
                <w:bCs/>
                <w:color w:val="000000" w:themeColor="text1"/>
                <w:sz w:val="22"/>
                <w:szCs w:val="22"/>
                <w:lang w:val="fr-FR"/>
              </w:rPr>
              <w:t>A)</w:t>
            </w:r>
            <w:r w:rsidR="00846F93" w:rsidRPr="00B62618">
              <w:rPr>
                <w:b/>
                <w:bCs/>
                <w:color w:val="000000" w:themeColor="text1"/>
                <w:sz w:val="22"/>
                <w:szCs w:val="22"/>
                <w:lang w:val="fr-FR"/>
              </w:rPr>
              <w:t> </w:t>
            </w:r>
            <w:r w:rsidRPr="00B62618">
              <w:rPr>
                <w:b/>
                <w:bCs/>
                <w:color w:val="000000" w:themeColor="text1"/>
                <w:sz w:val="22"/>
                <w:szCs w:val="22"/>
                <w:lang w:val="fr-FR"/>
              </w:rPr>
              <w:t>:</w:t>
            </w:r>
            <w:r w:rsidR="005F0DF9" w:rsidRPr="00B62618">
              <w:rPr>
                <w:color w:val="000000" w:themeColor="text1"/>
                <w:sz w:val="22"/>
                <w:szCs w:val="22"/>
                <w:lang w:val="fr-FR"/>
              </w:rPr>
              <w:t xml:space="preserve"> </w:t>
            </w:r>
            <w:r w:rsidR="00846F93" w:rsidRPr="00B62618">
              <w:rPr>
                <w:color w:val="000000" w:themeColor="text1"/>
                <w:sz w:val="22"/>
                <w:szCs w:val="22"/>
                <w:lang w:val="fr-FR"/>
              </w:rPr>
              <w:t xml:space="preserve">Réseau interaméricain </w:t>
            </w:r>
            <w:r w:rsidR="00EA46D7" w:rsidRPr="00B62618">
              <w:rPr>
                <w:color w:val="000000" w:themeColor="text1"/>
                <w:sz w:val="22"/>
                <w:szCs w:val="22"/>
                <w:lang w:val="fr-FR"/>
              </w:rPr>
              <w:t>pour l</w:t>
            </w:r>
            <w:r w:rsidR="005F0DF9" w:rsidRPr="00B62618">
              <w:rPr>
                <w:color w:val="000000" w:themeColor="text1"/>
                <w:sz w:val="22"/>
                <w:szCs w:val="22"/>
                <w:lang w:val="fr-FR"/>
              </w:rPr>
              <w:t>’atténuation des effets des catastrophes</w:t>
            </w:r>
            <w:r w:rsidRPr="00B62618">
              <w:rPr>
                <w:color w:val="000000" w:themeColor="text1"/>
                <w:sz w:val="22"/>
                <w:szCs w:val="22"/>
                <w:lang w:val="fr-FR"/>
              </w:rPr>
              <w:t xml:space="preserve"> (INDM),</w:t>
            </w:r>
            <w:r w:rsidR="005F0DF9" w:rsidRPr="00B62618">
              <w:rPr>
                <w:color w:val="000000" w:themeColor="text1"/>
                <w:sz w:val="22"/>
                <w:szCs w:val="22"/>
                <w:lang w:val="fr-FR"/>
              </w:rPr>
              <w:t xml:space="preserve"> Bureau exécutif du SEDI</w:t>
            </w:r>
            <w:r w:rsidRPr="00B62618">
              <w:rPr>
                <w:color w:val="000000" w:themeColor="text1"/>
                <w:sz w:val="22"/>
                <w:szCs w:val="22"/>
                <w:lang w:val="fr-FR"/>
              </w:rPr>
              <w:t xml:space="preserve"> (</w:t>
            </w:r>
            <w:r w:rsidR="005F0DF9" w:rsidRPr="00B62618">
              <w:rPr>
                <w:color w:val="000000" w:themeColor="text1"/>
                <w:sz w:val="22"/>
                <w:szCs w:val="22"/>
                <w:lang w:val="fr-FR"/>
              </w:rPr>
              <w:t xml:space="preserve">coopération technique en matière de formation à la gestion des situations d’urgence </w:t>
            </w:r>
            <w:r w:rsidRPr="00B62618">
              <w:rPr>
                <w:color w:val="000000" w:themeColor="text1"/>
                <w:sz w:val="22"/>
                <w:szCs w:val="22"/>
                <w:lang w:val="fr-FR"/>
              </w:rPr>
              <w:t xml:space="preserve">– </w:t>
            </w:r>
            <w:r w:rsidR="005F0DF9" w:rsidRPr="00B62618">
              <w:rPr>
                <w:color w:val="000000" w:themeColor="text1"/>
                <w:sz w:val="22"/>
                <w:szCs w:val="22"/>
                <w:lang w:val="fr-FR"/>
              </w:rPr>
              <w:t xml:space="preserve">base de données du </w:t>
            </w:r>
            <w:r w:rsidRPr="00B62618">
              <w:rPr>
                <w:color w:val="000000" w:themeColor="text1"/>
                <w:sz w:val="22"/>
                <w:szCs w:val="22"/>
                <w:lang w:val="fr-FR"/>
              </w:rPr>
              <w:t>SEDI),</w:t>
            </w:r>
            <w:r w:rsidR="005F0DF9" w:rsidRPr="00B62618">
              <w:rPr>
                <w:color w:val="000000" w:themeColor="text1"/>
                <w:sz w:val="22"/>
                <w:szCs w:val="22"/>
                <w:lang w:val="fr-FR"/>
              </w:rPr>
              <w:t xml:space="preserve"> section</w:t>
            </w:r>
            <w:r w:rsidR="00EA46D7" w:rsidRPr="00B62618">
              <w:rPr>
                <w:color w:val="000000" w:themeColor="text1"/>
                <w:sz w:val="22"/>
                <w:szCs w:val="22"/>
                <w:lang w:val="fr-FR"/>
              </w:rPr>
              <w:t xml:space="preserve"> de la culture et</w:t>
            </w:r>
            <w:r w:rsidR="005F0DF9" w:rsidRPr="00B62618">
              <w:rPr>
                <w:color w:val="000000" w:themeColor="text1"/>
                <w:sz w:val="22"/>
                <w:szCs w:val="22"/>
                <w:lang w:val="fr-FR"/>
              </w:rPr>
              <w:t xml:space="preserve"> du tourisme</w:t>
            </w:r>
            <w:r w:rsidR="00EA46D7" w:rsidRPr="00B62618">
              <w:rPr>
                <w:color w:val="000000" w:themeColor="text1"/>
                <w:sz w:val="22"/>
                <w:szCs w:val="22"/>
                <w:lang w:val="fr-FR"/>
              </w:rPr>
              <w:t xml:space="preserve"> du Département du développement économique, Département du développement humain</w:t>
            </w:r>
            <w:r w:rsidR="006A6994" w:rsidRPr="00B62618">
              <w:rPr>
                <w:color w:val="000000" w:themeColor="text1"/>
                <w:sz w:val="22"/>
                <w:szCs w:val="22"/>
                <w:lang w:val="fr-FR"/>
              </w:rPr>
              <w:t>, de l’éducation et de l’emploi</w:t>
            </w:r>
            <w:r w:rsidRPr="00B62618">
              <w:rPr>
                <w:color w:val="000000" w:themeColor="text1"/>
                <w:sz w:val="22"/>
                <w:szCs w:val="22"/>
                <w:lang w:val="fr-FR"/>
              </w:rPr>
              <w:t>, CIP,</w:t>
            </w:r>
            <w:r w:rsidR="006A6994" w:rsidRPr="00B62618">
              <w:rPr>
                <w:color w:val="000000" w:themeColor="text1"/>
                <w:sz w:val="22"/>
                <w:szCs w:val="22"/>
                <w:lang w:val="fr-FR"/>
              </w:rPr>
              <w:t xml:space="preserve"> SSM</w:t>
            </w:r>
            <w:r w:rsidRPr="00B62618">
              <w:rPr>
                <w:color w:val="000000" w:themeColor="text1"/>
                <w:sz w:val="22"/>
                <w:szCs w:val="22"/>
                <w:lang w:val="fr-FR"/>
              </w:rPr>
              <w:t xml:space="preserve">, </w:t>
            </w:r>
            <w:r w:rsidR="003C13B2" w:rsidRPr="00B62618">
              <w:rPr>
                <w:color w:val="000000" w:themeColor="text1"/>
                <w:sz w:val="22"/>
                <w:szCs w:val="22"/>
                <w:lang w:val="fr-FR"/>
              </w:rPr>
              <w:t>DSS</w:t>
            </w:r>
            <w:r w:rsidRPr="00B62618">
              <w:rPr>
                <w:color w:val="000000" w:themeColor="text1"/>
                <w:sz w:val="22"/>
                <w:szCs w:val="22"/>
                <w:lang w:val="fr-FR"/>
              </w:rPr>
              <w:t xml:space="preserve">, </w:t>
            </w:r>
            <w:r w:rsidR="003C13B2" w:rsidRPr="00B62618">
              <w:rPr>
                <w:color w:val="000000" w:themeColor="text1"/>
                <w:sz w:val="22"/>
                <w:szCs w:val="22"/>
                <w:lang w:val="fr-FR"/>
              </w:rPr>
              <w:t>Organisation interaméricaine de défense</w:t>
            </w:r>
            <w:r w:rsidRPr="00B62618">
              <w:rPr>
                <w:color w:val="000000" w:themeColor="text1"/>
                <w:sz w:val="22"/>
                <w:szCs w:val="22"/>
                <w:lang w:val="fr-FR"/>
              </w:rPr>
              <w:t xml:space="preserve">, </w:t>
            </w:r>
            <w:r w:rsidR="003C13B2" w:rsidRPr="00B62618">
              <w:rPr>
                <w:color w:val="000000" w:themeColor="text1"/>
                <w:sz w:val="22"/>
                <w:szCs w:val="22"/>
                <w:lang w:val="fr-FR"/>
              </w:rPr>
              <w:t>Bureau du SGA</w:t>
            </w:r>
            <w:r w:rsidRPr="00B62618">
              <w:rPr>
                <w:color w:val="000000" w:themeColor="text1"/>
                <w:sz w:val="22"/>
                <w:szCs w:val="22"/>
                <w:lang w:val="fr-FR"/>
              </w:rPr>
              <w:t xml:space="preserve">. </w:t>
            </w:r>
            <w:r w:rsidRPr="00B62618">
              <w:rPr>
                <w:color w:val="000000" w:themeColor="text1"/>
                <w:sz w:val="22"/>
                <w:szCs w:val="22"/>
                <w:lang w:val="fr-FR"/>
              </w:rPr>
              <w:br/>
            </w:r>
            <w:r w:rsidRPr="00B62618">
              <w:rPr>
                <w:color w:val="000000" w:themeColor="text1"/>
                <w:sz w:val="22"/>
                <w:szCs w:val="22"/>
                <w:lang w:val="fr-FR"/>
              </w:rPr>
              <w:br/>
            </w:r>
            <w:r w:rsidRPr="00B62618">
              <w:rPr>
                <w:b/>
                <w:bCs/>
                <w:color w:val="000000" w:themeColor="text1"/>
                <w:sz w:val="22"/>
                <w:szCs w:val="22"/>
                <w:lang w:val="fr-FR"/>
              </w:rPr>
              <w:t>Extern</w:t>
            </w:r>
            <w:r w:rsidR="000A50F1" w:rsidRPr="00B62618">
              <w:rPr>
                <w:b/>
                <w:bCs/>
                <w:color w:val="000000" w:themeColor="text1"/>
                <w:sz w:val="22"/>
                <w:szCs w:val="22"/>
                <w:lang w:val="fr-FR"/>
              </w:rPr>
              <w:t>e </w:t>
            </w:r>
            <w:r w:rsidRPr="00B62618">
              <w:rPr>
                <w:b/>
                <w:bCs/>
                <w:color w:val="000000" w:themeColor="text1"/>
                <w:sz w:val="22"/>
                <w:szCs w:val="22"/>
                <w:lang w:val="fr-FR"/>
              </w:rPr>
              <w:t>:</w:t>
            </w:r>
            <w:r w:rsidRPr="00B62618">
              <w:rPr>
                <w:color w:val="000000" w:themeColor="text1"/>
                <w:sz w:val="22"/>
                <w:szCs w:val="22"/>
                <w:lang w:val="fr-FR"/>
              </w:rPr>
              <w:t xml:space="preserve"> </w:t>
            </w:r>
            <w:r w:rsidR="000A50F1" w:rsidRPr="00B62618">
              <w:rPr>
                <w:color w:val="000000" w:themeColor="text1"/>
                <w:sz w:val="22"/>
                <w:szCs w:val="22"/>
                <w:lang w:val="fr-FR"/>
              </w:rPr>
              <w:t xml:space="preserve">Agence fédérale de gestion des situations d’urgence </w:t>
            </w:r>
            <w:r w:rsidRPr="00B62618">
              <w:rPr>
                <w:color w:val="000000" w:themeColor="text1"/>
                <w:sz w:val="22"/>
                <w:szCs w:val="22"/>
                <w:lang w:val="fr-FR"/>
              </w:rPr>
              <w:t>(FEMA)</w:t>
            </w:r>
            <w:r w:rsidR="000A50F1" w:rsidRPr="00B62618">
              <w:rPr>
                <w:color w:val="000000" w:themeColor="text1"/>
                <w:sz w:val="22"/>
                <w:szCs w:val="22"/>
                <w:lang w:val="fr-FR"/>
              </w:rPr>
              <w:t xml:space="preserve"> des États-Unis, et le réseau américain d’équipes communautaires régionales d’intervention en situation d’urgence</w:t>
            </w:r>
            <w:r w:rsidRPr="00B62618">
              <w:rPr>
                <w:color w:val="000000" w:themeColor="text1"/>
                <w:sz w:val="22"/>
                <w:szCs w:val="22"/>
                <w:lang w:val="fr-FR"/>
              </w:rPr>
              <w:t xml:space="preserve"> </w:t>
            </w:r>
            <w:r w:rsidR="000A50F1" w:rsidRPr="00B62618">
              <w:rPr>
                <w:color w:val="000000" w:themeColor="text1"/>
                <w:sz w:val="22"/>
                <w:szCs w:val="22"/>
                <w:lang w:val="fr-FR"/>
              </w:rPr>
              <w:t>(</w:t>
            </w:r>
            <w:r w:rsidRPr="00B62618">
              <w:rPr>
                <w:color w:val="000000" w:themeColor="text1"/>
                <w:sz w:val="22"/>
                <w:szCs w:val="22"/>
                <w:lang w:val="fr-FR"/>
              </w:rPr>
              <w:t>CERT</w:t>
            </w:r>
            <w:r w:rsidR="000A50F1" w:rsidRPr="00B62618">
              <w:rPr>
                <w:color w:val="000000" w:themeColor="text1"/>
                <w:sz w:val="22"/>
                <w:szCs w:val="22"/>
                <w:lang w:val="fr-FR"/>
              </w:rPr>
              <w:t>)</w:t>
            </w:r>
            <w:r w:rsidRPr="00B62618">
              <w:rPr>
                <w:color w:val="000000" w:themeColor="text1"/>
                <w:sz w:val="22"/>
                <w:szCs w:val="22"/>
                <w:lang w:val="fr-FR"/>
              </w:rPr>
              <w:t>.</w:t>
            </w:r>
            <w:r w:rsidR="000A50F1" w:rsidRPr="00B62618">
              <w:rPr>
                <w:color w:val="000000" w:themeColor="text1"/>
                <w:sz w:val="22"/>
                <w:szCs w:val="22"/>
                <w:lang w:val="fr-FR"/>
              </w:rPr>
              <w:t xml:space="preserve"> Toutes les agences des États-Unis </w:t>
            </w:r>
            <w:r w:rsidR="000A50F1" w:rsidRPr="00B62618">
              <w:rPr>
                <w:color w:val="000000" w:themeColor="text1"/>
                <w:sz w:val="22"/>
                <w:szCs w:val="22"/>
                <w:lang w:val="fr-FR"/>
              </w:rPr>
              <w:lastRenderedPageBreak/>
              <w:t>qui font partie du Bureau d’aide humanitaire des États-Unis</w:t>
            </w:r>
            <w:r w:rsidRPr="00B62618">
              <w:rPr>
                <w:color w:val="000000" w:themeColor="text1"/>
                <w:sz w:val="22"/>
                <w:szCs w:val="22"/>
                <w:lang w:val="fr-FR"/>
              </w:rPr>
              <w:t xml:space="preserve"> (US BHA),</w:t>
            </w:r>
            <w:r w:rsidR="00B6749A" w:rsidRPr="00B62618">
              <w:rPr>
                <w:color w:val="000000" w:themeColor="text1"/>
                <w:sz w:val="22"/>
                <w:szCs w:val="22"/>
                <w:lang w:val="fr-FR"/>
              </w:rPr>
              <w:t xml:space="preserve"> l’Association caribéenne des hôtels et du tourisme </w:t>
            </w:r>
            <w:r w:rsidRPr="00B62618">
              <w:rPr>
                <w:color w:val="000000" w:themeColor="text1"/>
                <w:sz w:val="22"/>
                <w:szCs w:val="22"/>
                <w:lang w:val="fr-FR"/>
              </w:rPr>
              <w:t>(CHTA),</w:t>
            </w:r>
            <w:r w:rsidR="00B6749A" w:rsidRPr="00B62618">
              <w:rPr>
                <w:color w:val="000000" w:themeColor="text1"/>
                <w:sz w:val="22"/>
                <w:szCs w:val="22"/>
                <w:lang w:val="fr-FR"/>
              </w:rPr>
              <w:t xml:space="preserve"> l’OPS</w:t>
            </w:r>
            <w:r w:rsidRPr="00B62618">
              <w:rPr>
                <w:color w:val="000000" w:themeColor="text1"/>
                <w:sz w:val="22"/>
                <w:szCs w:val="22"/>
                <w:lang w:val="fr-FR"/>
              </w:rPr>
              <w:t>,</w:t>
            </w:r>
            <w:r w:rsidR="00B6749A" w:rsidRPr="00B62618">
              <w:rPr>
                <w:color w:val="000000" w:themeColor="text1"/>
                <w:sz w:val="22"/>
                <w:szCs w:val="22"/>
                <w:lang w:val="fr-FR"/>
              </w:rPr>
              <w:t xml:space="preserve"> la BID</w:t>
            </w:r>
            <w:r w:rsidRPr="00B62618">
              <w:rPr>
                <w:color w:val="000000" w:themeColor="text1"/>
                <w:sz w:val="22"/>
                <w:szCs w:val="22"/>
                <w:lang w:val="fr-FR"/>
              </w:rPr>
              <w:t>,</w:t>
            </w:r>
            <w:r w:rsidR="00B6749A" w:rsidRPr="00B62618">
              <w:rPr>
                <w:color w:val="000000" w:themeColor="text1"/>
                <w:sz w:val="22"/>
                <w:szCs w:val="22"/>
                <w:lang w:val="fr-FR"/>
              </w:rPr>
              <w:t xml:space="preserve"> la Fondation panaméricaine de développement</w:t>
            </w:r>
            <w:r w:rsidRPr="00B62618">
              <w:rPr>
                <w:color w:val="000000" w:themeColor="text1"/>
                <w:sz w:val="22"/>
                <w:szCs w:val="22"/>
                <w:lang w:val="fr-FR"/>
              </w:rPr>
              <w:t xml:space="preserve">, </w:t>
            </w:r>
            <w:r w:rsidR="00B6749A" w:rsidRPr="00B62618">
              <w:rPr>
                <w:color w:val="000000" w:themeColor="text1"/>
                <w:sz w:val="22"/>
                <w:szCs w:val="22"/>
                <w:lang w:val="fr-FR"/>
              </w:rPr>
              <w:t>l’</w:t>
            </w:r>
            <w:r w:rsidRPr="00B62618">
              <w:rPr>
                <w:color w:val="000000" w:themeColor="text1"/>
                <w:sz w:val="22"/>
                <w:szCs w:val="22"/>
                <w:lang w:val="fr-FR"/>
              </w:rPr>
              <w:t>IICA,</w:t>
            </w:r>
            <w:r w:rsidR="00B6749A" w:rsidRPr="00B62618">
              <w:rPr>
                <w:color w:val="000000" w:themeColor="text1"/>
                <w:sz w:val="22"/>
                <w:szCs w:val="22"/>
                <w:lang w:val="fr-FR"/>
              </w:rPr>
              <w:t xml:space="preserve"> la Fédération internationale des Sociétés de la Croix-Rouge et du Croissant-Rouge (FICR), la Commission des Casques blancs, l’Institut interaméricain pour la rech</w:t>
            </w:r>
            <w:r w:rsidR="00220D87" w:rsidRPr="00B62618">
              <w:rPr>
                <w:color w:val="000000" w:themeColor="text1"/>
                <w:sz w:val="22"/>
                <w:szCs w:val="22"/>
                <w:lang w:val="fr-FR"/>
              </w:rPr>
              <w:t>erche sur le changement mondial (IAI), les institutions de financement internationales et les banques de développement, les observateurs permanents et les États membres.</w:t>
            </w:r>
            <w:r w:rsidRPr="00B62618">
              <w:rPr>
                <w:color w:val="000000" w:themeColor="text1"/>
                <w:sz w:val="22"/>
                <w:szCs w:val="22"/>
                <w:lang w:val="fr-FR"/>
              </w:rPr>
              <w:t xml:space="preserve"> </w:t>
            </w:r>
          </w:p>
        </w:tc>
      </w:tr>
      <w:tr w:rsidR="00C945C0" w:rsidRPr="00121D09" w14:paraId="4D5DDDF9" w14:textId="77777777" w:rsidTr="00A66C51">
        <w:trPr>
          <w:trHeight w:val="1110"/>
          <w:jc w:val="center"/>
        </w:trPr>
        <w:tc>
          <w:tcPr>
            <w:tcW w:w="3225" w:type="dxa"/>
            <w:shd w:val="clear" w:color="auto" w:fill="auto"/>
          </w:tcPr>
          <w:p w14:paraId="58E66EC1" w14:textId="287BB597" w:rsidR="00C945C0" w:rsidRPr="00B62618" w:rsidRDefault="00C945C0" w:rsidP="00493A9B">
            <w:pPr>
              <w:rPr>
                <w:rFonts w:eastAsia="Symbol"/>
                <w:i/>
                <w:color w:val="000000" w:themeColor="text1"/>
                <w:sz w:val="22"/>
                <w:szCs w:val="22"/>
                <w:lang w:val="fr-FR"/>
              </w:rPr>
            </w:pPr>
            <w:r w:rsidRPr="00B62618">
              <w:rPr>
                <w:rFonts w:eastAsia="Symbol"/>
                <w:i/>
                <w:color w:val="000000" w:themeColor="text1"/>
                <w:sz w:val="22"/>
                <w:szCs w:val="22"/>
                <w:lang w:val="fr-FR"/>
              </w:rPr>
              <w:t>Proje</w:t>
            </w:r>
            <w:r w:rsidR="00367DA0" w:rsidRPr="00B62618">
              <w:rPr>
                <w:rFonts w:eastAsia="Symbol"/>
                <w:i/>
                <w:color w:val="000000" w:themeColor="text1"/>
                <w:sz w:val="22"/>
                <w:szCs w:val="22"/>
                <w:lang w:val="fr-FR"/>
              </w:rPr>
              <w:t>t</w:t>
            </w:r>
            <w:r w:rsidRPr="00B62618">
              <w:rPr>
                <w:rFonts w:eastAsia="Symbol"/>
                <w:i/>
                <w:color w:val="000000" w:themeColor="text1"/>
                <w:sz w:val="22"/>
                <w:szCs w:val="22"/>
                <w:lang w:val="fr-FR"/>
              </w:rPr>
              <w:t xml:space="preserve"> “</w:t>
            </w:r>
            <w:r w:rsidR="00367DA0" w:rsidRPr="00B62618">
              <w:rPr>
                <w:rFonts w:eastAsia="Symbol"/>
                <w:i/>
                <w:color w:val="000000" w:themeColor="text1"/>
                <w:sz w:val="22"/>
                <w:szCs w:val="22"/>
                <w:lang w:val="fr-FR"/>
              </w:rPr>
              <w:t>Renforcement de la résilience de petites entreprises de tourisme de la Caraïbe face aux catastrophes</w:t>
            </w:r>
            <w:r w:rsidRPr="00B62618">
              <w:rPr>
                <w:rFonts w:eastAsia="Symbol"/>
                <w:i/>
                <w:color w:val="000000" w:themeColor="text1"/>
                <w:sz w:val="22"/>
                <w:szCs w:val="22"/>
                <w:lang w:val="fr-FR"/>
              </w:rPr>
              <w:t>”</w:t>
            </w:r>
            <w:r w:rsidR="00367DA0" w:rsidRPr="00B62618">
              <w:rPr>
                <w:rFonts w:eastAsia="Symbol"/>
                <w:i/>
                <w:color w:val="000000" w:themeColor="text1"/>
                <w:sz w:val="22"/>
                <w:szCs w:val="22"/>
                <w:lang w:val="fr-FR"/>
              </w:rPr>
              <w:t xml:space="preserve"> </w:t>
            </w:r>
            <w:r w:rsidRPr="00B62618">
              <w:rPr>
                <w:rFonts w:eastAsia="Symbol"/>
                <w:i/>
                <w:color w:val="000000" w:themeColor="text1"/>
                <w:sz w:val="22"/>
                <w:szCs w:val="22"/>
                <w:lang w:val="fr-FR"/>
              </w:rPr>
              <w:t>:</w:t>
            </w:r>
          </w:p>
          <w:p w14:paraId="1B33CD1D" w14:textId="77777777" w:rsidR="00C945C0" w:rsidRPr="00B62618" w:rsidRDefault="00C945C0" w:rsidP="00493A9B">
            <w:pPr>
              <w:rPr>
                <w:rFonts w:eastAsia="Symbol"/>
                <w:color w:val="000000" w:themeColor="text1"/>
                <w:sz w:val="22"/>
                <w:szCs w:val="22"/>
                <w:lang w:val="fr-FR"/>
              </w:rPr>
            </w:pPr>
          </w:p>
          <w:p w14:paraId="2D5093B3" w14:textId="07D0DC3B" w:rsidR="00C945C0" w:rsidRPr="00B62618" w:rsidRDefault="00367DA0" w:rsidP="00493A9B">
            <w:pPr>
              <w:rPr>
                <w:b/>
                <w:bCs/>
                <w:color w:val="000000" w:themeColor="text1"/>
                <w:sz w:val="22"/>
                <w:szCs w:val="22"/>
                <w:lang w:val="fr-FR"/>
              </w:rPr>
            </w:pPr>
            <w:r w:rsidRPr="00B62618">
              <w:rPr>
                <w:rFonts w:eastAsia="Symbol"/>
                <w:color w:val="000000" w:themeColor="text1"/>
                <w:sz w:val="22"/>
                <w:szCs w:val="22"/>
                <w:lang w:val="fr-FR"/>
              </w:rPr>
              <w:t xml:space="preserve">Atelier sur la planification d’urgence et la continuité des affaires, et stratégie de communication en situation de crise </w:t>
            </w:r>
          </w:p>
        </w:tc>
        <w:tc>
          <w:tcPr>
            <w:tcW w:w="4269" w:type="dxa"/>
            <w:shd w:val="clear" w:color="auto" w:fill="auto"/>
            <w:noWrap/>
          </w:tcPr>
          <w:p w14:paraId="073EFC6B" w14:textId="3E404AC0" w:rsidR="00C945C0" w:rsidRPr="00B62618" w:rsidRDefault="00C945C0" w:rsidP="00493A9B">
            <w:pPr>
              <w:rPr>
                <w:color w:val="000000" w:themeColor="text1"/>
                <w:sz w:val="22"/>
                <w:szCs w:val="22"/>
                <w:lang w:val="fr-FR"/>
              </w:rPr>
            </w:pPr>
            <w:r w:rsidRPr="00B62618">
              <w:rPr>
                <w:color w:val="000000" w:themeColor="text1"/>
                <w:sz w:val="22"/>
                <w:szCs w:val="22"/>
                <w:lang w:val="fr-FR"/>
              </w:rPr>
              <w:t>A</w:t>
            </w:r>
            <w:r w:rsidR="00367DA0" w:rsidRPr="00B62618">
              <w:rPr>
                <w:color w:val="000000" w:themeColor="text1"/>
                <w:sz w:val="22"/>
                <w:szCs w:val="22"/>
                <w:lang w:val="fr-FR"/>
              </w:rPr>
              <w:t xml:space="preserve">ider de petites entreprises de tourisme à renforcer leurs capacités d’élaborer et de mettre en place des plans d’urgence et des plans de continuité des affaires, et à concevoir et à établir une stratégie </w:t>
            </w:r>
            <w:r w:rsidR="00B62618" w:rsidRPr="00B62618">
              <w:rPr>
                <w:color w:val="000000" w:themeColor="text1"/>
                <w:sz w:val="22"/>
                <w:szCs w:val="22"/>
                <w:lang w:val="fr-FR"/>
              </w:rPr>
              <w:t>de communication</w:t>
            </w:r>
            <w:r w:rsidR="00367DA0" w:rsidRPr="00B62618">
              <w:rPr>
                <w:color w:val="000000" w:themeColor="text1"/>
                <w:sz w:val="22"/>
                <w:szCs w:val="22"/>
                <w:lang w:val="fr-FR"/>
              </w:rPr>
              <w:t xml:space="preserve"> en situation de crise pour la mise en œuvre de ces plans. </w:t>
            </w:r>
          </w:p>
        </w:tc>
        <w:tc>
          <w:tcPr>
            <w:tcW w:w="3381" w:type="dxa"/>
            <w:gridSpan w:val="2"/>
            <w:shd w:val="clear" w:color="auto" w:fill="auto"/>
          </w:tcPr>
          <w:p w14:paraId="166645CD" w14:textId="29410864" w:rsidR="00C945C0" w:rsidRPr="00B62618" w:rsidRDefault="00B41362" w:rsidP="00493A9B">
            <w:pPr>
              <w:contextualSpacing/>
              <w:rPr>
                <w:color w:val="000000" w:themeColor="text1"/>
                <w:sz w:val="22"/>
                <w:szCs w:val="22"/>
                <w:lang w:val="fr-FR"/>
              </w:rPr>
            </w:pPr>
            <w:r w:rsidRPr="00B62618">
              <w:rPr>
                <w:color w:val="000000" w:themeColor="text1"/>
                <w:sz w:val="22"/>
                <w:szCs w:val="22"/>
                <w:lang w:val="fr-FR"/>
              </w:rPr>
              <w:t xml:space="preserve">Une approche régionale à la planification des situations d’urgence pour le secteur du tourisme, des recommandations pour l’ensemble de l’écosystème du tourisme en vue de réduire les interruptions des affaires, en portant une attention particulière à la part de la chaîne d’approvisionnement </w:t>
            </w:r>
            <w:r w:rsidR="0075058C" w:rsidRPr="00B62618">
              <w:rPr>
                <w:color w:val="000000" w:themeColor="text1"/>
                <w:sz w:val="22"/>
                <w:szCs w:val="22"/>
                <w:lang w:val="fr-FR"/>
              </w:rPr>
              <w:t>occupée par les</w:t>
            </w:r>
            <w:r w:rsidRPr="00B62618">
              <w:rPr>
                <w:color w:val="000000" w:themeColor="text1"/>
                <w:sz w:val="22"/>
                <w:szCs w:val="22"/>
                <w:lang w:val="fr-FR"/>
              </w:rPr>
              <w:t xml:space="preserve"> petites entreprises dans le domaine du tourisme</w:t>
            </w:r>
            <w:r w:rsidR="00C945C0" w:rsidRPr="00B62618">
              <w:rPr>
                <w:color w:val="000000" w:themeColor="text1"/>
                <w:sz w:val="22"/>
                <w:szCs w:val="22"/>
                <w:lang w:val="fr-FR"/>
              </w:rPr>
              <w:t>.</w:t>
            </w:r>
          </w:p>
          <w:p w14:paraId="6C909466" w14:textId="77777777" w:rsidR="00C945C0" w:rsidRPr="00B62618" w:rsidRDefault="00C945C0" w:rsidP="00493A9B">
            <w:pPr>
              <w:contextualSpacing/>
              <w:rPr>
                <w:color w:val="000000" w:themeColor="text1"/>
                <w:sz w:val="22"/>
                <w:szCs w:val="22"/>
                <w:lang w:val="fr-FR"/>
              </w:rPr>
            </w:pPr>
          </w:p>
          <w:p w14:paraId="0199FF79" w14:textId="11FD7235" w:rsidR="00C945C0" w:rsidRPr="00B62618" w:rsidRDefault="000A50F1" w:rsidP="00493A9B">
            <w:pPr>
              <w:contextualSpacing/>
              <w:rPr>
                <w:color w:val="000000" w:themeColor="text1"/>
                <w:sz w:val="22"/>
                <w:szCs w:val="22"/>
                <w:lang w:val="fr-FR"/>
              </w:rPr>
            </w:pPr>
            <w:r w:rsidRPr="00B62618">
              <w:rPr>
                <w:color w:val="000000" w:themeColor="text1"/>
                <w:sz w:val="22"/>
                <w:szCs w:val="22"/>
                <w:lang w:val="fr-FR"/>
              </w:rPr>
              <w:t xml:space="preserve">Le résultat attendu est une réduction des interruptions des affaires, en particulier en ce qui concerne les petites entreprises de tourisme qui font partie de l’écosystème du tourisme, et un mouvement de revenus plus </w:t>
            </w:r>
            <w:r w:rsidRPr="00B62618">
              <w:rPr>
                <w:color w:val="000000" w:themeColor="text1"/>
                <w:sz w:val="22"/>
                <w:szCs w:val="22"/>
                <w:lang w:val="fr-FR"/>
              </w:rPr>
              <w:lastRenderedPageBreak/>
              <w:t xml:space="preserve">important pour les communautés qui dépendent du tourisme. </w:t>
            </w:r>
          </w:p>
          <w:p w14:paraId="0BEA8686" w14:textId="77777777" w:rsidR="00C945C0" w:rsidRPr="00B62618" w:rsidRDefault="00C945C0" w:rsidP="00493A9B">
            <w:pPr>
              <w:contextualSpacing/>
              <w:rPr>
                <w:color w:val="000000" w:themeColor="text1"/>
                <w:sz w:val="22"/>
                <w:szCs w:val="22"/>
                <w:lang w:val="fr-FR"/>
              </w:rPr>
            </w:pPr>
          </w:p>
        </w:tc>
        <w:tc>
          <w:tcPr>
            <w:tcW w:w="2715" w:type="dxa"/>
            <w:gridSpan w:val="2"/>
            <w:vMerge/>
            <w:vAlign w:val="center"/>
            <w:hideMark/>
          </w:tcPr>
          <w:p w14:paraId="3F3773AF" w14:textId="77777777" w:rsidR="00C945C0" w:rsidRPr="00B62618" w:rsidRDefault="00C945C0" w:rsidP="00493A9B">
            <w:pPr>
              <w:rPr>
                <w:color w:val="000000" w:themeColor="text1"/>
                <w:sz w:val="22"/>
                <w:szCs w:val="22"/>
                <w:lang w:val="fr-FR"/>
              </w:rPr>
            </w:pPr>
          </w:p>
        </w:tc>
      </w:tr>
      <w:tr w:rsidR="003F4D45" w:rsidRPr="00121D09" w14:paraId="42FCC407" w14:textId="77777777" w:rsidTr="00A66C51">
        <w:trPr>
          <w:trHeight w:val="864"/>
          <w:jc w:val="center"/>
        </w:trPr>
        <w:tc>
          <w:tcPr>
            <w:tcW w:w="3225" w:type="dxa"/>
            <w:shd w:val="clear" w:color="auto" w:fill="auto"/>
          </w:tcPr>
          <w:p w14:paraId="25197013" w14:textId="429FEF70" w:rsidR="003F4D45" w:rsidRPr="00B62618" w:rsidRDefault="003F4D45" w:rsidP="003F4D45">
            <w:pPr>
              <w:rPr>
                <w:color w:val="000000" w:themeColor="text1"/>
                <w:sz w:val="22"/>
                <w:szCs w:val="22"/>
                <w:highlight w:val="yellow"/>
                <w:lang w:val="fr-FR"/>
              </w:rPr>
            </w:pPr>
            <w:bookmarkStart w:id="0" w:name="_Hlk77691327"/>
            <w:r w:rsidRPr="00B62618">
              <w:rPr>
                <w:color w:val="000000" w:themeColor="text1"/>
                <w:sz w:val="22"/>
                <w:lang w:val="fr-FR"/>
              </w:rPr>
              <w:t>Cours à l’intention des équipes communautaires d’intervention en situation d’urgence (CERT) : Cours de base, Formation des formateurs, et cours de gestionnaire de programme (dans 12 États membres de la CARICOM et la RD)</w:t>
            </w:r>
          </w:p>
        </w:tc>
        <w:tc>
          <w:tcPr>
            <w:tcW w:w="4269" w:type="dxa"/>
            <w:shd w:val="clear" w:color="auto" w:fill="auto"/>
          </w:tcPr>
          <w:p w14:paraId="5BED61D7" w14:textId="0CE5A58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Donner une formation aux agences nationales de gestion des catastrophes d'urgence sur le CERT de base, la formation des formateurs et des gestionnaires de projet pour la mise en œuvre du CERT pour les communautés locales (délimitation géographique/administrative) et les communautés de petites entreprises touristiques prestataires de services, avec le parrainage de plus grandes entreprises. </w:t>
            </w:r>
          </w:p>
        </w:tc>
        <w:tc>
          <w:tcPr>
            <w:tcW w:w="3381" w:type="dxa"/>
            <w:gridSpan w:val="2"/>
            <w:shd w:val="clear" w:color="auto" w:fill="auto"/>
          </w:tcPr>
          <w:p w14:paraId="0CE159EE" w14:textId="77777777" w:rsidR="003F4D45" w:rsidRPr="00B62618" w:rsidRDefault="003F4D45" w:rsidP="003F4D45">
            <w:pPr>
              <w:rPr>
                <w:color w:val="000000" w:themeColor="text1"/>
                <w:sz w:val="22"/>
                <w:szCs w:val="22"/>
                <w:lang w:val="fr-FR"/>
              </w:rPr>
            </w:pPr>
            <w:r w:rsidRPr="00B62618">
              <w:rPr>
                <w:color w:val="000000" w:themeColor="text1"/>
                <w:sz w:val="22"/>
                <w:lang w:val="fr-FR"/>
              </w:rPr>
              <w:t>Des équipes communautaires d'intervention d'urgence (CERT) ont été mises en place dans tous les États membres participants, avec le parrainage de grandes entreprises touristiques et dans le cadre de mécanismes nationaux bien structurés de gestion des catastrophes naturelles.</w:t>
            </w:r>
          </w:p>
          <w:p w14:paraId="39FAD6E1" w14:textId="3C43C705"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 résultat escompté est de réduire les perturbations des activités touristiques liées aux catastrophes.</w:t>
            </w:r>
          </w:p>
        </w:tc>
        <w:tc>
          <w:tcPr>
            <w:tcW w:w="2715" w:type="dxa"/>
            <w:gridSpan w:val="2"/>
            <w:vMerge/>
            <w:vAlign w:val="center"/>
            <w:hideMark/>
          </w:tcPr>
          <w:p w14:paraId="67124563" w14:textId="77777777" w:rsidR="003F4D45" w:rsidRPr="00B62618" w:rsidRDefault="003F4D45" w:rsidP="003F4D45">
            <w:pPr>
              <w:rPr>
                <w:color w:val="000000" w:themeColor="text1"/>
                <w:sz w:val="22"/>
                <w:szCs w:val="22"/>
                <w:highlight w:val="yellow"/>
                <w:lang w:val="fr-FR"/>
              </w:rPr>
            </w:pPr>
          </w:p>
        </w:tc>
      </w:tr>
      <w:tr w:rsidR="003F4D45" w:rsidRPr="00121D09" w14:paraId="0FB943D9" w14:textId="77777777" w:rsidTr="00A66C51">
        <w:trPr>
          <w:trHeight w:val="833"/>
          <w:jc w:val="center"/>
        </w:trPr>
        <w:tc>
          <w:tcPr>
            <w:tcW w:w="3225" w:type="dxa"/>
            <w:shd w:val="clear" w:color="auto" w:fill="auto"/>
            <w:vAlign w:val="center"/>
          </w:tcPr>
          <w:p w14:paraId="75F90AF2" w14:textId="44DE1602" w:rsidR="003F4D45" w:rsidRPr="00B62618" w:rsidRDefault="003F4D45" w:rsidP="003F4D45">
            <w:pPr>
              <w:rPr>
                <w:color w:val="000000" w:themeColor="text1"/>
                <w:sz w:val="22"/>
                <w:szCs w:val="22"/>
                <w:highlight w:val="yellow"/>
                <w:lang w:val="fr-FR"/>
              </w:rPr>
            </w:pPr>
            <w:r w:rsidRPr="00B62618">
              <w:rPr>
                <w:color w:val="000000" w:themeColor="text1"/>
                <w:sz w:val="22"/>
                <w:lang w:val="fr-FR"/>
              </w:rPr>
              <w:t>Forum politique multilatéral de haut niveau</w:t>
            </w:r>
          </w:p>
        </w:tc>
        <w:tc>
          <w:tcPr>
            <w:tcW w:w="4269" w:type="dxa"/>
            <w:shd w:val="clear" w:color="auto" w:fill="auto"/>
          </w:tcPr>
          <w:p w14:paraId="56F96B86" w14:textId="77777777" w:rsidR="003F4D45" w:rsidRPr="00B62618" w:rsidRDefault="003F4D45" w:rsidP="003F4D45">
            <w:pPr>
              <w:rPr>
                <w:color w:val="000000" w:themeColor="text1"/>
                <w:sz w:val="22"/>
                <w:szCs w:val="22"/>
                <w:lang w:val="fr-FR"/>
              </w:rPr>
            </w:pPr>
            <w:r w:rsidRPr="00B62618">
              <w:rPr>
                <w:color w:val="000000" w:themeColor="text1"/>
                <w:sz w:val="22"/>
                <w:lang w:val="fr-FR"/>
              </w:rPr>
              <w:t>Créer un forum politique de haut niveau réunissant plusieurs parties prenantes, avec la participation des ministères du tourisme, des agences nationales de gestion des urgences en cas de catastrophe, des grandes entreprises du secteur du tourisme - telles que les chaînes hôtelières, les compagnies de croisière, les compagnies aériennes, les agences et les opérateurs touristiques, les centres de développement des petites entreprises (SBDC), les petites entreprises touristiques, les sociétés de distribution d'énergie et d'eau, et toutes les parties prenantes du secteur du tourisme.</w:t>
            </w:r>
          </w:p>
          <w:p w14:paraId="399EE81E" w14:textId="77777777" w:rsidR="003F4D45" w:rsidRPr="00B62618" w:rsidRDefault="003F4D45" w:rsidP="003F4D45">
            <w:pPr>
              <w:rPr>
                <w:color w:val="000000" w:themeColor="text1"/>
                <w:sz w:val="22"/>
                <w:szCs w:val="22"/>
                <w:lang w:val="fr-FR"/>
              </w:rPr>
            </w:pPr>
          </w:p>
          <w:p w14:paraId="7004C5D1" w14:textId="203BAB1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Produire des recommandations politiques à l’intention des agences gouvernementales et les entreprises privées, sur la base d'un consensus et d'un dialogue politique multi-acteurs.</w:t>
            </w:r>
          </w:p>
        </w:tc>
        <w:tc>
          <w:tcPr>
            <w:tcW w:w="3381" w:type="dxa"/>
            <w:gridSpan w:val="2"/>
            <w:shd w:val="clear" w:color="auto" w:fill="auto"/>
          </w:tcPr>
          <w:p w14:paraId="3A495F2E" w14:textId="77777777" w:rsidR="003F4D45" w:rsidRPr="00B62618" w:rsidRDefault="003F4D45" w:rsidP="003F4D45">
            <w:pPr>
              <w:rPr>
                <w:color w:val="000000" w:themeColor="text1"/>
                <w:sz w:val="22"/>
                <w:szCs w:val="22"/>
                <w:lang w:val="fr-FR"/>
              </w:rPr>
            </w:pPr>
            <w:r w:rsidRPr="00B62618">
              <w:rPr>
                <w:color w:val="000000" w:themeColor="text1"/>
                <w:sz w:val="22"/>
                <w:lang w:val="fr-FR"/>
              </w:rPr>
              <w:t>Un ensemble de politiques publiques et privées consensuelles, et un forum politique permanent de haut niveau réunissant de multiples parties prenantes, capables de répondre à un écosystème touristique en mutation, et notamment aux chocs intérieurs et extérieurs, qu'ils soient liés à des risques naturels, biologiques, technologiques ou d'origine humaine, ou à des chocs économiques et financiers, ou à tout autre choc.</w:t>
            </w:r>
          </w:p>
          <w:p w14:paraId="2BD54346" w14:textId="77777777" w:rsidR="003F4D45" w:rsidRPr="00B62618" w:rsidRDefault="003F4D45" w:rsidP="003F4D45">
            <w:pPr>
              <w:rPr>
                <w:color w:val="000000" w:themeColor="text1"/>
                <w:sz w:val="22"/>
                <w:szCs w:val="22"/>
                <w:lang w:val="fr-FR"/>
              </w:rPr>
            </w:pPr>
          </w:p>
          <w:p w14:paraId="5C1FABF1" w14:textId="2F82ACE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 xml:space="preserve">Le résultat attendu est un écosystème touristique amélioré, où les petites entreprises touristiques font partie intégrante des plans de continuité des activités et des plans d'urgence pour la continuité des opérations des grandes entreprises </w:t>
            </w:r>
            <w:r w:rsidRPr="00B62618">
              <w:rPr>
                <w:color w:val="000000" w:themeColor="text1"/>
                <w:sz w:val="22"/>
                <w:lang w:val="fr-FR"/>
              </w:rPr>
              <w:lastRenderedPageBreak/>
              <w:t>et la réduction de la contribution du secteur du tourisme au PIB des économies des États membres participants.</w:t>
            </w:r>
          </w:p>
        </w:tc>
        <w:tc>
          <w:tcPr>
            <w:tcW w:w="2715" w:type="dxa"/>
            <w:gridSpan w:val="2"/>
            <w:vMerge/>
            <w:vAlign w:val="center"/>
            <w:hideMark/>
          </w:tcPr>
          <w:p w14:paraId="4614316F" w14:textId="77777777" w:rsidR="003F4D45" w:rsidRPr="00B62618" w:rsidRDefault="003F4D45" w:rsidP="003F4D45">
            <w:pPr>
              <w:rPr>
                <w:color w:val="000000" w:themeColor="text1"/>
                <w:sz w:val="22"/>
                <w:szCs w:val="22"/>
                <w:highlight w:val="yellow"/>
                <w:lang w:val="fr-FR"/>
              </w:rPr>
            </w:pPr>
          </w:p>
        </w:tc>
      </w:tr>
      <w:tr w:rsidR="003F4D45" w:rsidRPr="00121D09" w14:paraId="4DCEFA88" w14:textId="77777777" w:rsidTr="00A66C51">
        <w:trPr>
          <w:trHeight w:val="1008"/>
          <w:jc w:val="center"/>
        </w:trPr>
        <w:tc>
          <w:tcPr>
            <w:tcW w:w="3225" w:type="dxa"/>
            <w:shd w:val="clear" w:color="auto" w:fill="auto"/>
          </w:tcPr>
          <w:p w14:paraId="516C8B1C" w14:textId="07803C6A" w:rsidR="003F4D45" w:rsidRPr="00B62618" w:rsidRDefault="003F4D45" w:rsidP="003F4D45">
            <w:pPr>
              <w:rPr>
                <w:color w:val="000000" w:themeColor="text1"/>
                <w:sz w:val="22"/>
                <w:szCs w:val="22"/>
                <w:highlight w:val="yellow"/>
                <w:lang w:val="fr-FR"/>
              </w:rPr>
            </w:pPr>
            <w:r w:rsidRPr="00B62618">
              <w:rPr>
                <w:b/>
                <w:color w:val="000000" w:themeColor="text1"/>
                <w:sz w:val="22"/>
                <w:lang w:val="fr-FR"/>
              </w:rPr>
              <w:t>Politiques et programmes fondés sur la science et les données pour les décideurs</w:t>
            </w:r>
          </w:p>
        </w:tc>
        <w:tc>
          <w:tcPr>
            <w:tcW w:w="4269" w:type="dxa"/>
            <w:shd w:val="clear" w:color="auto" w:fill="auto"/>
          </w:tcPr>
          <w:p w14:paraId="4C21A29D" w14:textId="093D34B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Sensibiliser à la pertinence d'adopter une approche fondée sur les données pour élaborer des programmes et des politiques visant à renforcer la résilience.</w:t>
            </w:r>
          </w:p>
        </w:tc>
        <w:tc>
          <w:tcPr>
            <w:tcW w:w="3381" w:type="dxa"/>
            <w:gridSpan w:val="2"/>
            <w:shd w:val="clear" w:color="auto" w:fill="auto"/>
          </w:tcPr>
          <w:p w14:paraId="41683B06" w14:textId="496973C1" w:rsidR="003F4D45" w:rsidRPr="00B62618" w:rsidRDefault="003F4D45" w:rsidP="003F4D45">
            <w:pPr>
              <w:rPr>
                <w:color w:val="000000" w:themeColor="text1"/>
                <w:sz w:val="22"/>
                <w:szCs w:val="22"/>
                <w:highlight w:val="yellow"/>
                <w:lang w:val="fr-FR"/>
              </w:rPr>
            </w:pPr>
            <w:r w:rsidRPr="00B62618">
              <w:rPr>
                <w:color w:val="000000" w:themeColor="text1"/>
                <w:sz w:val="22"/>
                <w:lang w:val="fr-FR"/>
              </w:rPr>
              <w:t>Atelier visant à sensibiliser et à faire comprendre comment la science et les données peuvent façonner les politiques et les programmes de renforcement de la résilience et de la gestion des risques de catastrophe.</w:t>
            </w:r>
          </w:p>
        </w:tc>
        <w:tc>
          <w:tcPr>
            <w:tcW w:w="2715" w:type="dxa"/>
            <w:gridSpan w:val="2"/>
            <w:vMerge/>
            <w:vAlign w:val="center"/>
            <w:hideMark/>
          </w:tcPr>
          <w:p w14:paraId="56AD34CA" w14:textId="77777777" w:rsidR="003F4D45" w:rsidRPr="00B62618" w:rsidRDefault="003F4D45" w:rsidP="003F4D45">
            <w:pPr>
              <w:rPr>
                <w:color w:val="000000" w:themeColor="text1"/>
                <w:sz w:val="22"/>
                <w:szCs w:val="22"/>
                <w:highlight w:val="yellow"/>
                <w:lang w:val="fr-FR"/>
              </w:rPr>
            </w:pPr>
          </w:p>
        </w:tc>
      </w:tr>
      <w:tr w:rsidR="003F4D45" w:rsidRPr="00121D09" w14:paraId="469616E4" w14:textId="77777777" w:rsidTr="00A66C51">
        <w:trPr>
          <w:trHeight w:val="833"/>
          <w:jc w:val="center"/>
        </w:trPr>
        <w:tc>
          <w:tcPr>
            <w:tcW w:w="3225" w:type="dxa"/>
            <w:vMerge w:val="restart"/>
            <w:shd w:val="clear" w:color="auto" w:fill="auto"/>
            <w:vAlign w:val="center"/>
            <w:hideMark/>
          </w:tcPr>
          <w:p w14:paraId="186E0262" w14:textId="759951F8"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Intégrer les</w:t>
            </w:r>
            <w:r w:rsidRPr="00B62618">
              <w:rPr>
                <w:color w:val="000000" w:themeColor="text1"/>
                <w:sz w:val="22"/>
                <w:lang w:val="fr-FR"/>
              </w:rPr>
              <w:t xml:space="preserve"> </w:t>
            </w:r>
            <w:r w:rsidRPr="00B62618">
              <w:rPr>
                <w:b/>
                <w:color w:val="000000" w:themeColor="text1"/>
                <w:sz w:val="22"/>
                <w:lang w:val="fr-FR"/>
              </w:rPr>
              <w:t>objectifs de</w:t>
            </w:r>
            <w:r w:rsidRPr="00B62618">
              <w:rPr>
                <w:b/>
                <w:bCs/>
                <w:color w:val="000000" w:themeColor="text1"/>
                <w:sz w:val="22"/>
                <w:lang w:val="fr-FR"/>
              </w:rPr>
              <w:t xml:space="preserve"> la</w:t>
            </w:r>
            <w:r w:rsidRPr="00B62618">
              <w:rPr>
                <w:color w:val="000000" w:themeColor="text1"/>
                <w:sz w:val="22"/>
                <w:lang w:val="fr-FR"/>
              </w:rPr>
              <w:t xml:space="preserve"> </w:t>
            </w:r>
            <w:r w:rsidRPr="00B62618">
              <w:rPr>
                <w:b/>
                <w:color w:val="000000" w:themeColor="text1"/>
                <w:sz w:val="22"/>
                <w:lang w:val="fr-FR"/>
              </w:rPr>
              <w:t>gestion des risques de catastrophe</w:t>
            </w:r>
            <w:r w:rsidRPr="00B62618">
              <w:rPr>
                <w:color w:val="000000" w:themeColor="text1"/>
                <w:sz w:val="22"/>
                <w:lang w:val="fr-FR"/>
              </w:rPr>
              <w:t xml:space="preserve"> dans tous les piliers de la Charte de l'OEA et dans tous les services du Secrétariat général, et en particulier au sein du SEDI.</w:t>
            </w:r>
          </w:p>
        </w:tc>
        <w:tc>
          <w:tcPr>
            <w:tcW w:w="4269" w:type="dxa"/>
            <w:vMerge w:val="restart"/>
            <w:shd w:val="clear" w:color="auto" w:fill="auto"/>
            <w:noWrap/>
            <w:vAlign w:val="center"/>
            <w:hideMark/>
          </w:tcPr>
          <w:p w14:paraId="5FD2BD5C" w14:textId="77777777" w:rsidR="003F4D45" w:rsidRPr="00B62618" w:rsidRDefault="003F4D45" w:rsidP="003F4D45">
            <w:pPr>
              <w:rPr>
                <w:color w:val="000000" w:themeColor="text1"/>
                <w:sz w:val="22"/>
                <w:szCs w:val="22"/>
                <w:lang w:val="fr-FR"/>
              </w:rPr>
            </w:pPr>
            <w:r w:rsidRPr="00B62618">
              <w:rPr>
                <w:color w:val="000000" w:themeColor="text1"/>
                <w:sz w:val="22"/>
                <w:lang w:val="fr-FR"/>
              </w:rPr>
              <w:t>Fournir un support technique pour la conception et la formulation de projets et programmes.</w:t>
            </w:r>
          </w:p>
          <w:p w14:paraId="32B76177" w14:textId="77777777" w:rsidR="003F4D45" w:rsidRPr="00B62618" w:rsidRDefault="003F4D45" w:rsidP="003F4D45">
            <w:pPr>
              <w:rPr>
                <w:color w:val="000000" w:themeColor="text1"/>
                <w:sz w:val="22"/>
                <w:szCs w:val="22"/>
                <w:lang w:val="fr-FR"/>
              </w:rPr>
            </w:pPr>
          </w:p>
          <w:p w14:paraId="4B60486E" w14:textId="4022F36A" w:rsidR="003F4D45" w:rsidRPr="00B62618" w:rsidRDefault="003F4D45" w:rsidP="003F4D45">
            <w:pPr>
              <w:rPr>
                <w:color w:val="000000" w:themeColor="text1"/>
                <w:sz w:val="22"/>
                <w:szCs w:val="22"/>
                <w:highlight w:val="yellow"/>
                <w:lang w:val="fr-FR"/>
              </w:rPr>
            </w:pPr>
            <w:r w:rsidRPr="00B62618">
              <w:rPr>
                <w:color w:val="000000" w:themeColor="text1"/>
                <w:sz w:val="22"/>
                <w:lang w:val="fr-FR"/>
              </w:rPr>
              <w:t>Examiner et fournir des commentaires sur tous les projets soumis à la Commission d’évaluation des projets (CEP). </w:t>
            </w:r>
          </w:p>
        </w:tc>
        <w:tc>
          <w:tcPr>
            <w:tcW w:w="3381" w:type="dxa"/>
            <w:gridSpan w:val="2"/>
            <w:shd w:val="clear" w:color="auto" w:fill="auto"/>
            <w:hideMark/>
          </w:tcPr>
          <w:p w14:paraId="47C77BB4" w14:textId="2BEBBA4B" w:rsidR="003F4D45" w:rsidRPr="00B62618" w:rsidRDefault="003F4D45" w:rsidP="003F4D45">
            <w:pPr>
              <w:rPr>
                <w:color w:val="000000" w:themeColor="text1"/>
                <w:sz w:val="22"/>
                <w:szCs w:val="22"/>
                <w:highlight w:val="yellow"/>
                <w:lang w:val="fr-FR"/>
              </w:rPr>
            </w:pPr>
            <w:r w:rsidRPr="00B62618">
              <w:rPr>
                <w:color w:val="000000" w:themeColor="text1"/>
                <w:sz w:val="22"/>
                <w:lang w:val="fr-FR"/>
              </w:rPr>
              <w:t>Intégration des objectifs de gestion des risques de catastrophe (GRC) dans tous les services du Secrétariat général.</w:t>
            </w:r>
          </w:p>
        </w:tc>
        <w:tc>
          <w:tcPr>
            <w:tcW w:w="2715" w:type="dxa"/>
            <w:gridSpan w:val="2"/>
            <w:vMerge/>
            <w:vAlign w:val="center"/>
            <w:hideMark/>
          </w:tcPr>
          <w:p w14:paraId="4AE176C4" w14:textId="77777777" w:rsidR="003F4D45" w:rsidRPr="00B62618" w:rsidRDefault="003F4D45" w:rsidP="003F4D45">
            <w:pPr>
              <w:rPr>
                <w:color w:val="000000" w:themeColor="text1"/>
                <w:sz w:val="22"/>
                <w:szCs w:val="22"/>
                <w:highlight w:val="yellow"/>
                <w:lang w:val="fr-FR"/>
              </w:rPr>
            </w:pPr>
          </w:p>
        </w:tc>
      </w:tr>
      <w:tr w:rsidR="003F4D45" w:rsidRPr="00121D09" w14:paraId="52E8D873" w14:textId="77777777" w:rsidTr="00A66C51">
        <w:trPr>
          <w:trHeight w:val="833"/>
          <w:jc w:val="center"/>
        </w:trPr>
        <w:tc>
          <w:tcPr>
            <w:tcW w:w="3225" w:type="dxa"/>
            <w:vMerge/>
            <w:vAlign w:val="center"/>
            <w:hideMark/>
          </w:tcPr>
          <w:p w14:paraId="06F912EE" w14:textId="77777777" w:rsidR="003F4D45" w:rsidRPr="00B62618" w:rsidRDefault="003F4D45" w:rsidP="003F4D45">
            <w:pPr>
              <w:rPr>
                <w:b/>
                <w:bCs/>
                <w:color w:val="000000" w:themeColor="text1"/>
                <w:sz w:val="22"/>
                <w:szCs w:val="22"/>
                <w:highlight w:val="yellow"/>
                <w:lang w:val="fr-FR"/>
              </w:rPr>
            </w:pPr>
          </w:p>
        </w:tc>
        <w:tc>
          <w:tcPr>
            <w:tcW w:w="4269" w:type="dxa"/>
            <w:vMerge/>
            <w:vAlign w:val="center"/>
            <w:hideMark/>
          </w:tcPr>
          <w:p w14:paraId="1C57EFBB" w14:textId="77777777" w:rsidR="003F4D45" w:rsidRPr="00B62618" w:rsidRDefault="003F4D45" w:rsidP="003F4D45">
            <w:pPr>
              <w:rPr>
                <w:color w:val="000000" w:themeColor="text1"/>
                <w:sz w:val="22"/>
                <w:szCs w:val="22"/>
                <w:highlight w:val="yellow"/>
                <w:lang w:val="fr-FR"/>
              </w:rPr>
            </w:pPr>
          </w:p>
        </w:tc>
        <w:tc>
          <w:tcPr>
            <w:tcW w:w="3381" w:type="dxa"/>
            <w:gridSpan w:val="2"/>
            <w:shd w:val="clear" w:color="auto" w:fill="auto"/>
            <w:hideMark/>
          </w:tcPr>
          <w:p w14:paraId="7494A668" w14:textId="4EA4B98E"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Les projets soumis à la CEP sont examinés pour l'intégration des objectifs de la GRC.</w:t>
            </w:r>
          </w:p>
        </w:tc>
        <w:tc>
          <w:tcPr>
            <w:tcW w:w="2715" w:type="dxa"/>
            <w:gridSpan w:val="2"/>
            <w:vMerge/>
            <w:vAlign w:val="center"/>
            <w:hideMark/>
          </w:tcPr>
          <w:p w14:paraId="05C0DCF2" w14:textId="77777777" w:rsidR="003F4D45" w:rsidRPr="00B62618" w:rsidRDefault="003F4D45" w:rsidP="003F4D45">
            <w:pPr>
              <w:rPr>
                <w:color w:val="000000" w:themeColor="text1"/>
                <w:sz w:val="22"/>
                <w:szCs w:val="22"/>
                <w:highlight w:val="yellow"/>
                <w:lang w:val="fr-FR"/>
              </w:rPr>
            </w:pPr>
          </w:p>
        </w:tc>
      </w:tr>
      <w:tr w:rsidR="003F4D45" w:rsidRPr="00121D09" w14:paraId="4D99C03E" w14:textId="77777777" w:rsidTr="00A66C51">
        <w:trPr>
          <w:trHeight w:val="555"/>
          <w:jc w:val="center"/>
        </w:trPr>
        <w:tc>
          <w:tcPr>
            <w:tcW w:w="3225" w:type="dxa"/>
            <w:vMerge/>
            <w:vAlign w:val="center"/>
            <w:hideMark/>
          </w:tcPr>
          <w:p w14:paraId="49C497E2" w14:textId="77777777" w:rsidR="003F4D45" w:rsidRPr="00B62618" w:rsidRDefault="003F4D45" w:rsidP="003F4D45">
            <w:pPr>
              <w:rPr>
                <w:b/>
                <w:bCs/>
                <w:color w:val="000000" w:themeColor="text1"/>
                <w:sz w:val="22"/>
                <w:szCs w:val="22"/>
                <w:highlight w:val="yellow"/>
                <w:lang w:val="fr-FR"/>
              </w:rPr>
            </w:pPr>
          </w:p>
        </w:tc>
        <w:tc>
          <w:tcPr>
            <w:tcW w:w="4269" w:type="dxa"/>
            <w:vMerge/>
            <w:vAlign w:val="center"/>
            <w:hideMark/>
          </w:tcPr>
          <w:p w14:paraId="1603865B" w14:textId="77777777" w:rsidR="003F4D45" w:rsidRPr="00B62618" w:rsidRDefault="003F4D45" w:rsidP="003F4D45">
            <w:pPr>
              <w:rPr>
                <w:color w:val="000000" w:themeColor="text1"/>
                <w:sz w:val="22"/>
                <w:szCs w:val="22"/>
                <w:highlight w:val="yellow"/>
                <w:lang w:val="fr-FR"/>
              </w:rPr>
            </w:pPr>
          </w:p>
        </w:tc>
        <w:tc>
          <w:tcPr>
            <w:tcW w:w="3381" w:type="dxa"/>
            <w:gridSpan w:val="2"/>
            <w:shd w:val="clear" w:color="auto" w:fill="auto"/>
            <w:hideMark/>
          </w:tcPr>
          <w:p w14:paraId="20460EF4" w14:textId="6A564523"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Les projets qui abordent des domaines spécifiques de la GRC et des secteurs spécifiques formulés.</w:t>
            </w:r>
          </w:p>
        </w:tc>
        <w:tc>
          <w:tcPr>
            <w:tcW w:w="2715" w:type="dxa"/>
            <w:gridSpan w:val="2"/>
            <w:vMerge/>
            <w:vAlign w:val="center"/>
            <w:hideMark/>
          </w:tcPr>
          <w:p w14:paraId="3AB85B77" w14:textId="77777777" w:rsidR="003F4D45" w:rsidRPr="00B62618" w:rsidRDefault="003F4D45" w:rsidP="003F4D45">
            <w:pPr>
              <w:rPr>
                <w:color w:val="000000" w:themeColor="text1"/>
                <w:sz w:val="22"/>
                <w:szCs w:val="22"/>
                <w:highlight w:val="yellow"/>
                <w:lang w:val="fr-FR"/>
              </w:rPr>
            </w:pPr>
          </w:p>
        </w:tc>
      </w:tr>
      <w:tr w:rsidR="003F4D45" w:rsidRPr="00121D09" w14:paraId="121A97D4" w14:textId="77777777" w:rsidTr="00A66C51">
        <w:trPr>
          <w:trHeight w:val="278"/>
          <w:jc w:val="center"/>
        </w:trPr>
        <w:tc>
          <w:tcPr>
            <w:tcW w:w="3225" w:type="dxa"/>
            <w:shd w:val="clear" w:color="auto" w:fill="auto"/>
          </w:tcPr>
          <w:p w14:paraId="1E70E676" w14:textId="4F0263EE"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Dialogue et coopération entre les pays et les parties prenantes pour l'atténuation des effets des catastrophes, la réaction, la reconstruction et le relèvement</w:t>
            </w:r>
          </w:p>
        </w:tc>
        <w:tc>
          <w:tcPr>
            <w:tcW w:w="4269" w:type="dxa"/>
            <w:shd w:val="clear" w:color="auto" w:fill="auto"/>
          </w:tcPr>
          <w:p w14:paraId="6C4611D5" w14:textId="5B6346D2" w:rsidR="003F4D45" w:rsidRPr="00B62618" w:rsidRDefault="003F4D45" w:rsidP="003F4D45">
            <w:pPr>
              <w:rPr>
                <w:rFonts w:eastAsia="Calibri"/>
                <w:color w:val="000000" w:themeColor="text1"/>
                <w:sz w:val="22"/>
                <w:szCs w:val="22"/>
                <w:highlight w:val="yellow"/>
                <w:lang w:val="fr-FR"/>
              </w:rPr>
            </w:pPr>
            <w:r w:rsidRPr="00B62618">
              <w:rPr>
                <w:color w:val="000000" w:themeColor="text1"/>
                <w:sz w:val="22"/>
                <w:lang w:val="fr-FR"/>
              </w:rPr>
              <w:t>Faciliter la coopération entre pays et entre parties prenantes pour l'atténuation des effets des catastrophes, la réaction, la reconstruction et le relèvement.</w:t>
            </w:r>
          </w:p>
        </w:tc>
        <w:tc>
          <w:tcPr>
            <w:tcW w:w="3381" w:type="dxa"/>
            <w:gridSpan w:val="2"/>
            <w:shd w:val="clear" w:color="auto" w:fill="auto"/>
          </w:tcPr>
          <w:p w14:paraId="572717D5" w14:textId="554D9445" w:rsidR="003F4D45" w:rsidRPr="00B62618" w:rsidRDefault="003F4D45" w:rsidP="003F4D45">
            <w:pPr>
              <w:rPr>
                <w:rFonts w:eastAsia="Calibri"/>
                <w:color w:val="000000" w:themeColor="text1"/>
                <w:sz w:val="22"/>
                <w:szCs w:val="22"/>
                <w:highlight w:val="yellow"/>
                <w:lang w:val="fr-FR"/>
              </w:rPr>
            </w:pPr>
            <w:r w:rsidRPr="00B62618">
              <w:rPr>
                <w:color w:val="000000" w:themeColor="text1"/>
                <w:sz w:val="22"/>
                <w:lang w:val="fr-FR"/>
              </w:rPr>
              <w:t>Dispositifs de collaboration entre plusieurs pays et plusieurs parties prenantes pour l'atténuation des effets des catastrophes, la réponse, la reconstruction et le relèvement.</w:t>
            </w:r>
          </w:p>
        </w:tc>
        <w:tc>
          <w:tcPr>
            <w:tcW w:w="2715" w:type="dxa"/>
            <w:gridSpan w:val="2"/>
            <w:vMerge/>
            <w:vAlign w:val="center"/>
          </w:tcPr>
          <w:p w14:paraId="11CA1F2C" w14:textId="77777777" w:rsidR="003F4D45" w:rsidRPr="00B62618" w:rsidRDefault="003F4D45" w:rsidP="003F4D45">
            <w:pPr>
              <w:rPr>
                <w:color w:val="000000" w:themeColor="text1"/>
                <w:sz w:val="22"/>
                <w:szCs w:val="22"/>
                <w:highlight w:val="yellow"/>
                <w:lang w:val="fr-FR"/>
              </w:rPr>
            </w:pPr>
          </w:p>
        </w:tc>
      </w:tr>
      <w:tr w:rsidR="003F4D45" w:rsidRPr="00121D09" w14:paraId="4FBE9658" w14:textId="77777777" w:rsidTr="00A66C51">
        <w:trPr>
          <w:trHeight w:val="278"/>
          <w:jc w:val="center"/>
        </w:trPr>
        <w:tc>
          <w:tcPr>
            <w:tcW w:w="3225" w:type="dxa"/>
            <w:shd w:val="clear" w:color="auto" w:fill="auto"/>
            <w:vAlign w:val="center"/>
          </w:tcPr>
          <w:p w14:paraId="213F6660" w14:textId="11170C61" w:rsidR="003F4D45" w:rsidRPr="00B62618" w:rsidRDefault="003F4D45" w:rsidP="003F4D45">
            <w:pPr>
              <w:rPr>
                <w:bCs/>
                <w:color w:val="000000" w:themeColor="text1"/>
                <w:sz w:val="22"/>
                <w:szCs w:val="22"/>
                <w:highlight w:val="yellow"/>
                <w:lang w:val="fr-FR"/>
              </w:rPr>
            </w:pPr>
            <w:r w:rsidRPr="00B62618">
              <w:rPr>
                <w:color w:val="000000" w:themeColor="text1"/>
                <w:sz w:val="22"/>
                <w:lang w:val="fr-FR"/>
              </w:rPr>
              <w:t>Réseau interaméricain d’atténuation des effets des catastrophes (RIMD) : Base de données en ligne et rencontres continentales</w:t>
            </w:r>
          </w:p>
        </w:tc>
        <w:tc>
          <w:tcPr>
            <w:tcW w:w="4269" w:type="dxa"/>
            <w:shd w:val="clear" w:color="auto" w:fill="auto"/>
          </w:tcPr>
          <w:p w14:paraId="184739DC" w14:textId="603D296C" w:rsidR="003F4D45" w:rsidRPr="00B62618" w:rsidRDefault="003F4D45" w:rsidP="003F4D45">
            <w:pPr>
              <w:rPr>
                <w:rFonts w:eastAsia="Calibri"/>
                <w:color w:val="000000" w:themeColor="text1"/>
                <w:sz w:val="22"/>
                <w:szCs w:val="22"/>
                <w:highlight w:val="yellow"/>
                <w:lang w:val="fr-FR"/>
              </w:rPr>
            </w:pPr>
            <w:r w:rsidRPr="00B62618">
              <w:rPr>
                <w:color w:val="000000" w:themeColor="text1"/>
                <w:sz w:val="22"/>
                <w:lang w:val="fr-FR"/>
              </w:rPr>
              <w:t xml:space="preserve">Alimenter et tenir à jour la base de données en ligne de l'INDM en collaboration avec l'Organisation interaméricaine de défense, notamment en ce qui concerne (1) les autorités nationales de coordination responsables de l'offre, de l'acceptation et de la demande d'intervention internationale en cas de catastrophe ; (2) les capacités nationales d'intervention internationale en cas de catastrophe - intégrant toutes les capacités civiles et militaires, publiques et privées, ainsi que les ONG ; (3) les accords </w:t>
            </w:r>
            <w:r w:rsidRPr="00B62618">
              <w:rPr>
                <w:color w:val="000000" w:themeColor="text1"/>
                <w:sz w:val="22"/>
                <w:lang w:val="fr-FR"/>
              </w:rPr>
              <w:lastRenderedPageBreak/>
              <w:t>multilatéraux et bilatéraux d'intervention internationale en cas de catastrophe, y compris les accords d'aide mutuelle ; et (4) toutes les législations et réglementations nationales en cas de catastrophe qui éclairent et régissent l'intervention internationale en cas de catastrophe.</w:t>
            </w:r>
          </w:p>
        </w:tc>
        <w:tc>
          <w:tcPr>
            <w:tcW w:w="3381" w:type="dxa"/>
            <w:gridSpan w:val="2"/>
            <w:shd w:val="clear" w:color="auto" w:fill="auto"/>
          </w:tcPr>
          <w:p w14:paraId="123380F7" w14:textId="77777777" w:rsidR="003F4D45" w:rsidRPr="00B62618" w:rsidRDefault="003F4D45" w:rsidP="003F4D45">
            <w:pPr>
              <w:rPr>
                <w:rFonts w:eastAsia="Calibri"/>
                <w:color w:val="000000" w:themeColor="text1"/>
                <w:sz w:val="22"/>
                <w:szCs w:val="22"/>
                <w:lang w:val="fr-FR"/>
              </w:rPr>
            </w:pPr>
            <w:r w:rsidRPr="00B62618">
              <w:rPr>
                <w:color w:val="000000" w:themeColor="text1"/>
                <w:sz w:val="22"/>
                <w:lang w:val="fr-FR"/>
              </w:rPr>
              <w:lastRenderedPageBreak/>
              <w:t xml:space="preserve">Mise à jour et amélioration de la base de données en ligne du RIMD pour faciliter la coordination entre les États membres de l'OEA et les observateurs permanents qui fournissent une réponse aux catastrophes et une aide humanitaire, ainsi qu'entre et avec les agences du système interaméricain, les organisations intergouvernementales sous-régionales, les organisations </w:t>
            </w:r>
            <w:r w:rsidRPr="00B62618">
              <w:rPr>
                <w:color w:val="000000" w:themeColor="text1"/>
                <w:sz w:val="22"/>
                <w:lang w:val="fr-FR"/>
              </w:rPr>
              <w:lastRenderedPageBreak/>
              <w:t>internationales, les IFI et les banques de développement, et tous les autres acteurs internationaux de la réponse aux catastrophes et de l'aide humanitaire.</w:t>
            </w:r>
          </w:p>
          <w:p w14:paraId="5CE7431E" w14:textId="77777777" w:rsidR="003F4D45" w:rsidRPr="00B62618" w:rsidRDefault="003F4D45" w:rsidP="003F4D45">
            <w:pPr>
              <w:rPr>
                <w:rFonts w:eastAsia="Calibri"/>
                <w:color w:val="000000" w:themeColor="text1"/>
                <w:sz w:val="22"/>
                <w:szCs w:val="22"/>
                <w:lang w:val="fr-FR"/>
              </w:rPr>
            </w:pPr>
          </w:p>
          <w:p w14:paraId="44B32B8D" w14:textId="2F06C95D" w:rsidR="003F4D45" w:rsidRPr="00B62618" w:rsidRDefault="003F4D45" w:rsidP="003F4D45">
            <w:pPr>
              <w:rPr>
                <w:rFonts w:eastAsia="Calibri"/>
                <w:color w:val="000000" w:themeColor="text1"/>
                <w:sz w:val="22"/>
                <w:szCs w:val="22"/>
                <w:highlight w:val="yellow"/>
                <w:lang w:val="fr-FR"/>
              </w:rPr>
            </w:pPr>
            <w:r w:rsidRPr="00B62618">
              <w:rPr>
                <w:color w:val="000000" w:themeColor="text1"/>
                <w:sz w:val="22"/>
                <w:lang w:val="fr-FR"/>
              </w:rPr>
              <w:t>Le résultat attendu est un renforcement de la capacité du Secrétariat général à faciliter la coordination de la réponse internationale aux catastrophes et de l'aide humanitaire.</w:t>
            </w:r>
          </w:p>
        </w:tc>
        <w:tc>
          <w:tcPr>
            <w:tcW w:w="2715" w:type="dxa"/>
            <w:gridSpan w:val="2"/>
            <w:vMerge/>
            <w:vAlign w:val="center"/>
          </w:tcPr>
          <w:p w14:paraId="289AA527" w14:textId="77777777" w:rsidR="003F4D45" w:rsidRPr="00B62618" w:rsidRDefault="003F4D45" w:rsidP="003F4D45">
            <w:pPr>
              <w:rPr>
                <w:color w:val="000000" w:themeColor="text1"/>
                <w:sz w:val="22"/>
                <w:szCs w:val="22"/>
                <w:highlight w:val="yellow"/>
                <w:lang w:val="fr-FR"/>
              </w:rPr>
            </w:pPr>
          </w:p>
        </w:tc>
      </w:tr>
      <w:tr w:rsidR="003F4D45" w:rsidRPr="00121D09" w14:paraId="32682AAB" w14:textId="77777777" w:rsidTr="00A66C51">
        <w:trPr>
          <w:trHeight w:val="278"/>
          <w:jc w:val="center"/>
        </w:trPr>
        <w:tc>
          <w:tcPr>
            <w:tcW w:w="3225" w:type="dxa"/>
            <w:shd w:val="clear" w:color="auto" w:fill="auto"/>
            <w:vAlign w:val="center"/>
          </w:tcPr>
          <w:p w14:paraId="5D9A8B41" w14:textId="52E787E0" w:rsidR="003F4D45" w:rsidRPr="00B62618" w:rsidRDefault="003F4D45" w:rsidP="003F4D45">
            <w:pPr>
              <w:rPr>
                <w:bCs/>
                <w:color w:val="000000" w:themeColor="text1"/>
                <w:sz w:val="22"/>
                <w:szCs w:val="22"/>
                <w:highlight w:val="yellow"/>
                <w:lang w:val="fr-FR"/>
              </w:rPr>
            </w:pPr>
            <w:r w:rsidRPr="00B62618">
              <w:rPr>
                <w:color w:val="000000" w:themeColor="text1"/>
                <w:sz w:val="22"/>
                <w:lang w:val="fr-FR"/>
              </w:rPr>
              <w:t>Commission interaméricaine pour la réduction des catastrophes naturelles (CIRDN) et Fonds interaméricain d'assistance pour situations de crise (FONDEM)</w:t>
            </w:r>
          </w:p>
        </w:tc>
        <w:tc>
          <w:tcPr>
            <w:tcW w:w="4269" w:type="dxa"/>
            <w:shd w:val="clear" w:color="auto" w:fill="auto"/>
          </w:tcPr>
          <w:p w14:paraId="0CDD1BED" w14:textId="1E7E8B33" w:rsidR="003F4D45" w:rsidRPr="00B62618" w:rsidRDefault="003F4D45" w:rsidP="003F4D45">
            <w:pPr>
              <w:rPr>
                <w:rFonts w:eastAsia="Calibri"/>
                <w:color w:val="000000" w:themeColor="text1"/>
                <w:sz w:val="22"/>
                <w:szCs w:val="22"/>
                <w:highlight w:val="yellow"/>
                <w:lang w:val="fr-FR"/>
              </w:rPr>
            </w:pPr>
            <w:r w:rsidRPr="00B62618">
              <w:rPr>
                <w:color w:val="000000" w:themeColor="text1"/>
                <w:sz w:val="22"/>
                <w:lang w:val="fr-FR"/>
              </w:rPr>
              <w:t>Soutenir les réunions de la CIRDN dans la préparation, la réponse aux catastrophes, en mettant l'accent sur le rétablissement et la reconstruction, et faciliter la collaboration entre les pays et les parties prenantes dans la réponse aux catastrophes, la reconstruction et le relèvement.</w:t>
            </w:r>
          </w:p>
        </w:tc>
        <w:tc>
          <w:tcPr>
            <w:tcW w:w="3381" w:type="dxa"/>
            <w:gridSpan w:val="2"/>
            <w:shd w:val="clear" w:color="auto" w:fill="auto"/>
          </w:tcPr>
          <w:p w14:paraId="19850860" w14:textId="092D7688" w:rsidR="003F4D45" w:rsidRPr="00B62618" w:rsidRDefault="003F4D45" w:rsidP="003F4D45">
            <w:pPr>
              <w:rPr>
                <w:color w:val="000000" w:themeColor="text1"/>
                <w:sz w:val="22"/>
                <w:szCs w:val="22"/>
                <w:highlight w:val="yellow"/>
                <w:lang w:val="fr-FR"/>
              </w:rPr>
            </w:pPr>
            <w:r w:rsidRPr="00B62618">
              <w:rPr>
                <w:color w:val="000000" w:themeColor="text1"/>
                <w:sz w:val="22"/>
                <w:lang w:val="fr-FR"/>
              </w:rPr>
              <w:t>Amélioration de l'information sur les capacités existantes en matière d'intervention internationale en cas de catastrophe et sur les possibilités de collaboration, rapports de mission présentant les enseignements tirés et les recommandations d'amélioration, et renforcement de la préparation à une intervention internationale coordonnée ainsi qu'au redressement et à la reconstruction.</w:t>
            </w:r>
          </w:p>
        </w:tc>
        <w:tc>
          <w:tcPr>
            <w:tcW w:w="2715" w:type="dxa"/>
            <w:gridSpan w:val="2"/>
            <w:vMerge/>
            <w:vAlign w:val="center"/>
          </w:tcPr>
          <w:p w14:paraId="1F9F03F9" w14:textId="77777777" w:rsidR="003F4D45" w:rsidRPr="00B62618" w:rsidRDefault="003F4D45" w:rsidP="003F4D45">
            <w:pPr>
              <w:rPr>
                <w:color w:val="000000" w:themeColor="text1"/>
                <w:sz w:val="22"/>
                <w:szCs w:val="22"/>
                <w:highlight w:val="yellow"/>
                <w:lang w:val="fr-FR"/>
              </w:rPr>
            </w:pPr>
          </w:p>
        </w:tc>
      </w:tr>
      <w:tr w:rsidR="003F4D45" w:rsidRPr="00121D09" w14:paraId="4FCA8D04" w14:textId="77777777" w:rsidTr="00A66C51">
        <w:trPr>
          <w:trHeight w:val="278"/>
          <w:jc w:val="center"/>
        </w:trPr>
        <w:tc>
          <w:tcPr>
            <w:tcW w:w="3225" w:type="dxa"/>
            <w:vMerge w:val="restart"/>
            <w:shd w:val="clear" w:color="auto" w:fill="auto"/>
            <w:vAlign w:val="center"/>
          </w:tcPr>
          <w:p w14:paraId="6139B956" w14:textId="2D59A104" w:rsidR="003F4D45" w:rsidRPr="00B62618" w:rsidRDefault="003F4D45" w:rsidP="003F4D45">
            <w:pPr>
              <w:rPr>
                <w:bCs/>
                <w:color w:val="000000" w:themeColor="text1"/>
                <w:sz w:val="22"/>
                <w:szCs w:val="22"/>
                <w:highlight w:val="yellow"/>
                <w:lang w:val="fr-FR"/>
              </w:rPr>
            </w:pPr>
            <w:r w:rsidRPr="00B62618">
              <w:rPr>
                <w:color w:val="000000" w:themeColor="text1"/>
                <w:sz w:val="22"/>
                <w:lang w:val="fr-FR"/>
              </w:rPr>
              <w:t>Programme Casques blancs de l’OEA</w:t>
            </w:r>
          </w:p>
        </w:tc>
        <w:tc>
          <w:tcPr>
            <w:tcW w:w="4269" w:type="dxa"/>
            <w:vMerge w:val="restart"/>
            <w:shd w:val="clear" w:color="auto" w:fill="auto"/>
          </w:tcPr>
          <w:p w14:paraId="6282F071" w14:textId="77777777" w:rsidR="003F4D45" w:rsidRPr="00B62618" w:rsidRDefault="003F4D45" w:rsidP="003F4D45">
            <w:pPr>
              <w:rPr>
                <w:color w:val="000000" w:themeColor="text1"/>
                <w:sz w:val="22"/>
                <w:szCs w:val="22"/>
                <w:lang w:val="fr-FR"/>
              </w:rPr>
            </w:pPr>
            <w:r w:rsidRPr="00B62618">
              <w:rPr>
                <w:color w:val="000000" w:themeColor="text1"/>
                <w:sz w:val="22"/>
                <w:lang w:val="fr-FR"/>
              </w:rPr>
              <w:t>Missions de soutien de la Commission argentine des Casques blancs en réponse aux catastrophes, y compris celles liées aux risques naturels et biologiques, et en particulier en réponse et soutien aux États membres dans la gestion et le rétablissement de la pandémie de COVID-19.</w:t>
            </w:r>
          </w:p>
          <w:p w14:paraId="544EFEA9" w14:textId="77777777" w:rsidR="003F4D45" w:rsidRPr="00B62618" w:rsidRDefault="003F4D45" w:rsidP="003F4D45">
            <w:pPr>
              <w:rPr>
                <w:color w:val="000000" w:themeColor="text1"/>
                <w:sz w:val="22"/>
                <w:szCs w:val="22"/>
                <w:lang w:val="fr-FR"/>
              </w:rPr>
            </w:pPr>
          </w:p>
          <w:p w14:paraId="758C6A8A" w14:textId="77777777" w:rsidR="003F4D45" w:rsidRPr="00B62618" w:rsidRDefault="003F4D45" w:rsidP="003F4D45">
            <w:pPr>
              <w:rPr>
                <w:color w:val="000000" w:themeColor="text1"/>
                <w:sz w:val="22"/>
                <w:szCs w:val="22"/>
                <w:lang w:val="fr-FR"/>
              </w:rPr>
            </w:pPr>
            <w:r w:rsidRPr="00B62618">
              <w:rPr>
                <w:color w:val="000000" w:themeColor="text1"/>
                <w:sz w:val="22"/>
                <w:lang w:val="fr-FR"/>
              </w:rPr>
              <w:t>Soutenir l'offre de formation en matière d'atténuation des catastrophes, de gestion des catastrophes, ainsi que de réponse, de reconstruction et de relèvement.</w:t>
            </w:r>
          </w:p>
          <w:p w14:paraId="5CDF0A5C" w14:textId="77777777" w:rsidR="003F4D45" w:rsidRPr="00B62618" w:rsidRDefault="003F4D45" w:rsidP="003F4D45">
            <w:pPr>
              <w:rPr>
                <w:color w:val="000000" w:themeColor="text1"/>
                <w:sz w:val="22"/>
                <w:szCs w:val="22"/>
                <w:highlight w:val="yellow"/>
                <w:lang w:val="fr-FR"/>
              </w:rPr>
            </w:pPr>
          </w:p>
        </w:tc>
        <w:tc>
          <w:tcPr>
            <w:tcW w:w="3381" w:type="dxa"/>
            <w:gridSpan w:val="2"/>
            <w:vMerge w:val="restart"/>
            <w:shd w:val="clear" w:color="auto" w:fill="auto"/>
            <w:vAlign w:val="center"/>
          </w:tcPr>
          <w:p w14:paraId="739D4DCD" w14:textId="000A57D2"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Les missions d'intervention en cas de catastrophe et les responsables gouvernementaux sont formés dans les domaines de l'atténuation des effets des catastrophes, de la gestion des catastrophes, ainsi que de la reprise et de la reconstruction.</w:t>
            </w:r>
          </w:p>
        </w:tc>
        <w:tc>
          <w:tcPr>
            <w:tcW w:w="2715" w:type="dxa"/>
            <w:gridSpan w:val="2"/>
            <w:vMerge/>
            <w:vAlign w:val="center"/>
            <w:hideMark/>
          </w:tcPr>
          <w:p w14:paraId="74BE9E44" w14:textId="77777777" w:rsidR="003F4D45" w:rsidRPr="00B62618" w:rsidRDefault="003F4D45" w:rsidP="003F4D45">
            <w:pPr>
              <w:rPr>
                <w:color w:val="000000" w:themeColor="text1"/>
                <w:sz w:val="22"/>
                <w:szCs w:val="22"/>
                <w:highlight w:val="yellow"/>
                <w:lang w:val="fr-FR"/>
              </w:rPr>
            </w:pPr>
          </w:p>
        </w:tc>
      </w:tr>
      <w:tr w:rsidR="003F4D45" w:rsidRPr="00121D09" w14:paraId="2E526182" w14:textId="77777777" w:rsidTr="00A66C51">
        <w:trPr>
          <w:trHeight w:val="278"/>
          <w:jc w:val="center"/>
        </w:trPr>
        <w:tc>
          <w:tcPr>
            <w:tcW w:w="3225" w:type="dxa"/>
            <w:vMerge/>
            <w:shd w:val="clear" w:color="auto" w:fill="auto"/>
          </w:tcPr>
          <w:p w14:paraId="2890A51A" w14:textId="77777777" w:rsidR="003F4D45" w:rsidRPr="00B62618" w:rsidRDefault="003F4D45" w:rsidP="003F4D45">
            <w:pPr>
              <w:rPr>
                <w:b/>
                <w:bCs/>
                <w:color w:val="000000" w:themeColor="text1"/>
                <w:sz w:val="22"/>
                <w:szCs w:val="22"/>
                <w:highlight w:val="yellow"/>
                <w:lang w:val="fr-FR"/>
              </w:rPr>
            </w:pPr>
          </w:p>
        </w:tc>
        <w:tc>
          <w:tcPr>
            <w:tcW w:w="4269" w:type="dxa"/>
            <w:vMerge/>
            <w:shd w:val="clear" w:color="auto" w:fill="auto"/>
          </w:tcPr>
          <w:p w14:paraId="501A9755" w14:textId="77777777" w:rsidR="003F4D45" w:rsidRPr="00B62618" w:rsidRDefault="003F4D45" w:rsidP="003F4D45">
            <w:pPr>
              <w:rPr>
                <w:rFonts w:eastAsia="Calibri"/>
                <w:color w:val="000000" w:themeColor="text1"/>
                <w:sz w:val="22"/>
                <w:szCs w:val="22"/>
                <w:highlight w:val="yellow"/>
                <w:lang w:val="fr-FR"/>
              </w:rPr>
            </w:pPr>
          </w:p>
        </w:tc>
        <w:tc>
          <w:tcPr>
            <w:tcW w:w="3381" w:type="dxa"/>
            <w:gridSpan w:val="2"/>
            <w:vMerge/>
            <w:shd w:val="clear" w:color="auto" w:fill="auto"/>
          </w:tcPr>
          <w:p w14:paraId="272C7D42" w14:textId="77777777" w:rsidR="003F4D45" w:rsidRPr="00B62618" w:rsidRDefault="003F4D45" w:rsidP="003F4D45">
            <w:pPr>
              <w:rPr>
                <w:rFonts w:eastAsia="Calibri"/>
                <w:color w:val="000000" w:themeColor="text1"/>
                <w:sz w:val="22"/>
                <w:szCs w:val="22"/>
                <w:highlight w:val="yellow"/>
                <w:lang w:val="fr-FR"/>
              </w:rPr>
            </w:pPr>
          </w:p>
        </w:tc>
        <w:tc>
          <w:tcPr>
            <w:tcW w:w="2715" w:type="dxa"/>
            <w:gridSpan w:val="2"/>
            <w:vMerge/>
            <w:vAlign w:val="center"/>
          </w:tcPr>
          <w:p w14:paraId="70CE1D99" w14:textId="77777777" w:rsidR="003F4D45" w:rsidRPr="00B62618" w:rsidRDefault="003F4D45" w:rsidP="003F4D45">
            <w:pPr>
              <w:rPr>
                <w:color w:val="000000" w:themeColor="text1"/>
                <w:sz w:val="22"/>
                <w:szCs w:val="22"/>
                <w:highlight w:val="yellow"/>
                <w:lang w:val="fr-FR"/>
              </w:rPr>
            </w:pPr>
          </w:p>
        </w:tc>
      </w:tr>
      <w:tr w:rsidR="003F4D45" w:rsidRPr="00121D09" w14:paraId="49BC2707" w14:textId="77777777" w:rsidTr="00A66C51">
        <w:trPr>
          <w:trHeight w:val="278"/>
          <w:jc w:val="center"/>
        </w:trPr>
        <w:tc>
          <w:tcPr>
            <w:tcW w:w="3225" w:type="dxa"/>
            <w:vMerge/>
            <w:tcBorders>
              <w:bottom w:val="single" w:sz="4" w:space="0" w:color="000000"/>
            </w:tcBorders>
            <w:vAlign w:val="center"/>
          </w:tcPr>
          <w:p w14:paraId="2973737F" w14:textId="77777777" w:rsidR="003F4D45" w:rsidRPr="00B62618" w:rsidRDefault="003F4D45" w:rsidP="003F4D45">
            <w:pPr>
              <w:rPr>
                <w:b/>
                <w:bCs/>
                <w:color w:val="000000" w:themeColor="text1"/>
                <w:sz w:val="22"/>
                <w:szCs w:val="22"/>
                <w:highlight w:val="yellow"/>
                <w:lang w:val="fr-FR"/>
              </w:rPr>
            </w:pPr>
          </w:p>
        </w:tc>
        <w:tc>
          <w:tcPr>
            <w:tcW w:w="4269" w:type="dxa"/>
            <w:vMerge/>
            <w:tcBorders>
              <w:bottom w:val="single" w:sz="4" w:space="0" w:color="000000"/>
            </w:tcBorders>
            <w:vAlign w:val="center"/>
          </w:tcPr>
          <w:p w14:paraId="4D229C9D" w14:textId="77777777" w:rsidR="003F4D45" w:rsidRPr="00B62618" w:rsidRDefault="003F4D45" w:rsidP="003F4D45">
            <w:pPr>
              <w:rPr>
                <w:color w:val="000000" w:themeColor="text1"/>
                <w:sz w:val="22"/>
                <w:szCs w:val="22"/>
                <w:highlight w:val="yellow"/>
                <w:lang w:val="fr-FR"/>
              </w:rPr>
            </w:pPr>
          </w:p>
        </w:tc>
        <w:tc>
          <w:tcPr>
            <w:tcW w:w="3381" w:type="dxa"/>
            <w:gridSpan w:val="2"/>
            <w:vMerge/>
            <w:tcBorders>
              <w:bottom w:val="single" w:sz="4" w:space="0" w:color="000000"/>
            </w:tcBorders>
            <w:vAlign w:val="center"/>
          </w:tcPr>
          <w:p w14:paraId="43DF05D5" w14:textId="77777777" w:rsidR="003F4D45" w:rsidRPr="00B62618" w:rsidRDefault="003F4D45" w:rsidP="003F4D45">
            <w:pPr>
              <w:rPr>
                <w:color w:val="000000" w:themeColor="text1"/>
                <w:sz w:val="22"/>
                <w:szCs w:val="22"/>
                <w:highlight w:val="yellow"/>
                <w:lang w:val="fr-FR"/>
              </w:rPr>
            </w:pPr>
          </w:p>
        </w:tc>
        <w:tc>
          <w:tcPr>
            <w:tcW w:w="2715" w:type="dxa"/>
            <w:gridSpan w:val="2"/>
            <w:vMerge/>
            <w:tcBorders>
              <w:bottom w:val="single" w:sz="4" w:space="0" w:color="000000"/>
            </w:tcBorders>
            <w:vAlign w:val="center"/>
            <w:hideMark/>
          </w:tcPr>
          <w:p w14:paraId="5DEF8B34" w14:textId="77777777" w:rsidR="003F4D45" w:rsidRPr="00B62618" w:rsidRDefault="003F4D45" w:rsidP="003F4D45">
            <w:pPr>
              <w:rPr>
                <w:color w:val="000000" w:themeColor="text1"/>
                <w:sz w:val="22"/>
                <w:szCs w:val="22"/>
                <w:highlight w:val="yellow"/>
                <w:lang w:val="fr-FR"/>
              </w:rPr>
            </w:pPr>
          </w:p>
        </w:tc>
      </w:tr>
      <w:tr w:rsidR="003F4D45" w:rsidRPr="00121D09" w14:paraId="0B02CF2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3208EA" w14:textId="1B86C3AA"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lastRenderedPageBreak/>
              <w:t>OBJECTIF STRATÉGIQUE</w:t>
            </w:r>
          </w:p>
        </w:tc>
        <w:tc>
          <w:tcPr>
            <w:tcW w:w="1036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8CDCE3" w14:textId="3C3CCE64"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 xml:space="preserve">2.2. Promouvoir les capacités des États membres en ce qui concerne la gestion durable des écosystèmes conformément aux objectifs et interventions stratégiques énoncés à la section 3.2. </w:t>
            </w:r>
            <w:proofErr w:type="gramStart"/>
            <w:r w:rsidRPr="00B62618">
              <w:rPr>
                <w:b/>
                <w:color w:val="000000" w:themeColor="text1"/>
                <w:sz w:val="22"/>
                <w:lang w:val="fr-FR"/>
              </w:rPr>
              <w:t>du</w:t>
            </w:r>
            <w:proofErr w:type="gramEnd"/>
            <w:r w:rsidRPr="00B62618">
              <w:rPr>
                <w:b/>
                <w:color w:val="000000" w:themeColor="text1"/>
                <w:sz w:val="22"/>
                <w:lang w:val="fr-FR"/>
              </w:rPr>
              <w:t xml:space="preserve"> PIDS.</w:t>
            </w:r>
          </w:p>
        </w:tc>
      </w:tr>
      <w:tr w:rsidR="003F4D45" w:rsidRPr="00B62618" w14:paraId="0073DD0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D2BB9B" w14:textId="74C841D2"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Gestion durable des écosystèmes :</w:t>
            </w:r>
          </w:p>
        </w:tc>
      </w:tr>
      <w:tr w:rsidR="003F4D45" w:rsidRPr="00B62618" w14:paraId="1803E67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0"/>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hideMark/>
          </w:tcPr>
          <w:p w14:paraId="77F27C4D" w14:textId="1A698A7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Soutenir les États dans les efforts qu’ils déploient pour atteindre l’ODD 15 : « Préserver et restaurer les écosystèmes terrestres, en veillant à les exploiter de façon durable, gérer durablement les forêts, lutter contre la désertification, enrayer et inverser le processus de dégradation des sols et mettre fin à l’appauvrissement de la biodiversité », l’objectif global étant de renforcer la résilience communautaire.</w:t>
            </w:r>
          </w:p>
        </w:tc>
        <w:tc>
          <w:tcPr>
            <w:tcW w:w="4269" w:type="dxa"/>
            <w:tcBorders>
              <w:top w:val="single" w:sz="4" w:space="0" w:color="000000"/>
              <w:left w:val="single" w:sz="4" w:space="0" w:color="000000"/>
              <w:bottom w:val="single" w:sz="4" w:space="0" w:color="auto"/>
              <w:right w:val="single" w:sz="4" w:space="0" w:color="000000"/>
            </w:tcBorders>
            <w:shd w:val="clear" w:color="auto" w:fill="auto"/>
            <w:hideMark/>
          </w:tcPr>
          <w:p w14:paraId="2C97895D" w14:textId="0CD7F89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 xml:space="preserve">Des écosystèmes sains sont le fondement d'économies résilientes et compétitives. Les écosystèmes résilients sont des liens constructifs avec divers facteurs de production tels que : la santé et la productivité des travailleurs, les chaînes d'approvisionnement basées sur les ressources des écosystèmes locaux et la santé des actifs côtiers dont dépendent des secteurs comme le tourisme. Les écosystèmes résilients tels que les récifs coralliens et les mangroves augmentent la résistance aux catastrophes des villes et des communautés côtières. </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4C7D8FAC" w14:textId="34C5E63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Aucun financement identifié. Par conséquent, toutes les initiatives relevant de l'objectif stratégique 2.3.: Eau, contribuent à cet objectif stratégique.</w:t>
            </w: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hideMark/>
          </w:tcPr>
          <w:p w14:paraId="255E2B0C" w14:textId="77777777" w:rsidR="003F4D45" w:rsidRPr="00B62618" w:rsidRDefault="003F4D45" w:rsidP="003F4D45">
            <w:pPr>
              <w:rPr>
                <w:color w:val="000000" w:themeColor="text1"/>
                <w:sz w:val="22"/>
                <w:szCs w:val="22"/>
                <w:lang w:val="fr-FR"/>
              </w:rPr>
            </w:pPr>
            <w:r w:rsidRPr="00B62618">
              <w:rPr>
                <w:b/>
                <w:color w:val="000000" w:themeColor="text1"/>
                <w:sz w:val="22"/>
                <w:lang w:val="fr-FR"/>
              </w:rPr>
              <w:t xml:space="preserve">Interne (OEA) : </w:t>
            </w:r>
            <w:r w:rsidRPr="00B62618">
              <w:rPr>
                <w:color w:val="000000" w:themeColor="text1"/>
                <w:sz w:val="22"/>
                <w:lang w:val="fr-FR"/>
              </w:rPr>
              <w:t>Villes durables, résilience et gestion des risques, en collaboration avec d'autres secteurs du DSD, le Département du développement économique, le CICTE, la CIP.</w:t>
            </w:r>
          </w:p>
          <w:p w14:paraId="28A63EAE" w14:textId="77777777" w:rsidR="003F4D45" w:rsidRPr="00B62618" w:rsidRDefault="003F4D45" w:rsidP="003F4D45">
            <w:pPr>
              <w:rPr>
                <w:color w:val="000000" w:themeColor="text1"/>
                <w:sz w:val="22"/>
                <w:szCs w:val="22"/>
                <w:lang w:val="fr-FR"/>
              </w:rPr>
            </w:pPr>
          </w:p>
          <w:p w14:paraId="281A6791" w14:textId="0CBF7274" w:rsidR="003F4D45" w:rsidRPr="00B62618" w:rsidRDefault="003F4D45" w:rsidP="003F4D45">
            <w:pPr>
              <w:rPr>
                <w:color w:val="000000" w:themeColor="text1"/>
                <w:sz w:val="22"/>
                <w:szCs w:val="22"/>
                <w:highlight w:val="yellow"/>
                <w:lang w:val="fr-FR"/>
              </w:rPr>
            </w:pPr>
            <w:r w:rsidRPr="00B62618">
              <w:rPr>
                <w:b/>
                <w:color w:val="000000" w:themeColor="text1"/>
                <w:sz w:val="22"/>
                <w:lang w:val="fr-FR"/>
              </w:rPr>
              <w:t xml:space="preserve">Externe : </w:t>
            </w:r>
            <w:r w:rsidRPr="00B62618">
              <w:rPr>
                <w:color w:val="000000" w:themeColor="text1"/>
                <w:sz w:val="22"/>
                <w:lang w:val="fr-FR"/>
              </w:rPr>
              <w:t>CAF, FEM.</w:t>
            </w:r>
          </w:p>
        </w:tc>
      </w:tr>
      <w:tr w:rsidR="003F4D45" w:rsidRPr="00121D09" w14:paraId="440D085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962BF4" w14:textId="77777777" w:rsidR="003F4D45" w:rsidRPr="00B62618" w:rsidRDefault="003F4D45" w:rsidP="003F4D45">
            <w:pPr>
              <w:rPr>
                <w:rFonts w:eastAsia="Calibri"/>
                <w:b/>
                <w:bCs/>
                <w:color w:val="000000" w:themeColor="text1"/>
                <w:sz w:val="22"/>
                <w:szCs w:val="22"/>
                <w:lang w:val="fr-FR"/>
              </w:rPr>
            </w:pPr>
            <w:r w:rsidRPr="00B62618">
              <w:rPr>
                <w:b/>
                <w:color w:val="000000" w:themeColor="text1"/>
                <w:sz w:val="22"/>
                <w:lang w:val="fr-FR"/>
              </w:rPr>
              <w:t xml:space="preserve">OBJECTIF </w:t>
            </w:r>
          </w:p>
          <w:p w14:paraId="7C3A7808" w14:textId="7D21213A" w:rsidR="003F4D45" w:rsidRPr="00B62618" w:rsidRDefault="003F4D45" w:rsidP="003F4D45">
            <w:pPr>
              <w:rPr>
                <w:rFonts w:eastAsia="Calibri"/>
                <w:b/>
                <w:bCs/>
                <w:color w:val="000000" w:themeColor="text1"/>
                <w:sz w:val="22"/>
                <w:szCs w:val="22"/>
                <w:highlight w:val="yellow"/>
                <w:lang w:val="fr-FR"/>
              </w:rPr>
            </w:pPr>
            <w:r w:rsidRPr="00B62618">
              <w:rPr>
                <w:b/>
                <w:color w:val="000000" w:themeColor="text1"/>
                <w:sz w:val="22"/>
                <w:lang w:val="fr-FR"/>
              </w:rPr>
              <w:t>STRATÉGIQUE</w:t>
            </w:r>
          </w:p>
        </w:tc>
        <w:tc>
          <w:tcPr>
            <w:tcW w:w="1036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1BB574" w14:textId="7FBAECDC"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2.3. Promouvoir les capacités des États membres pour la gestion intégrée des ressources hydriques conformément aux objectifs et interventions stratégiques énoncés à la section 3.3 du PIDS.</w:t>
            </w:r>
          </w:p>
        </w:tc>
      </w:tr>
      <w:tr w:rsidR="003F4D45" w:rsidRPr="00B62618" w14:paraId="7AE05C5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4306E733" w14:textId="2B7182ED"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Eau :</w:t>
            </w:r>
          </w:p>
        </w:tc>
      </w:tr>
      <w:tr w:rsidR="003F4D45" w:rsidRPr="00B62618" w14:paraId="7783A3C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jc w:val="center"/>
        </w:trPr>
        <w:tc>
          <w:tcPr>
            <w:tcW w:w="3225" w:type="dxa"/>
            <w:vMerge w:val="restart"/>
            <w:tcBorders>
              <w:top w:val="nil"/>
              <w:left w:val="single" w:sz="4" w:space="0" w:color="auto"/>
              <w:bottom w:val="single" w:sz="4" w:space="0" w:color="auto"/>
              <w:right w:val="single" w:sz="4" w:space="0" w:color="auto"/>
            </w:tcBorders>
            <w:shd w:val="clear" w:color="auto" w:fill="auto"/>
            <w:hideMark/>
          </w:tcPr>
          <w:p w14:paraId="0C42E354" w14:textId="0D8D67B0" w:rsidR="003F4D45" w:rsidRPr="00B62618" w:rsidRDefault="003F4D45" w:rsidP="003F4D45">
            <w:pPr>
              <w:rPr>
                <w:color w:val="000000" w:themeColor="text1"/>
                <w:sz w:val="22"/>
                <w:szCs w:val="22"/>
                <w:highlight w:val="yellow"/>
                <w:lang w:val="fr-FR"/>
              </w:rPr>
            </w:pPr>
            <w:r w:rsidRPr="00B62618">
              <w:rPr>
                <w:color w:val="000000" w:themeColor="text1"/>
                <w:sz w:val="22"/>
                <w:lang w:val="fr-FR"/>
              </w:rPr>
              <w:t>Portefeuille de projets portant sur les chocs spécifiques liés à l'eau qui affectent les pays partageant ces écosystèmes communs (à Cuenca Rio Lempa-Trifinio, dans le bassin du fleuve Plata, dans la région des grandes Caraïbes, dans le Rio Bravo)</w:t>
            </w:r>
            <w:r w:rsidRPr="00B62618">
              <w:rPr>
                <w:color w:val="000000" w:themeColor="text1"/>
                <w:sz w:val="22"/>
                <w:lang w:val="fr-FR"/>
              </w:rPr>
              <w:br/>
            </w:r>
            <w:r w:rsidRPr="00B62618">
              <w:rPr>
                <w:color w:val="000000" w:themeColor="text1"/>
                <w:sz w:val="22"/>
                <w:lang w:val="fr-FR"/>
              </w:rPr>
              <w:br/>
              <w:t>1. Changements dans l'approvisionnement en eau, liés à la variabilité et au changement climatique</w:t>
            </w:r>
            <w:r w:rsidRPr="00B62618">
              <w:rPr>
                <w:color w:val="000000" w:themeColor="text1"/>
                <w:sz w:val="22"/>
                <w:lang w:val="fr-FR"/>
              </w:rPr>
              <w:br/>
              <w:t>2. Qualité de l'eau liée à la pollution</w:t>
            </w:r>
            <w:r w:rsidRPr="00B62618">
              <w:rPr>
                <w:color w:val="000000" w:themeColor="text1"/>
                <w:sz w:val="22"/>
                <w:lang w:val="fr-FR"/>
              </w:rPr>
              <w:br/>
              <w:t xml:space="preserve">3. Conflits autour des eaux </w:t>
            </w:r>
            <w:r w:rsidRPr="00B62618">
              <w:rPr>
                <w:color w:val="000000" w:themeColor="text1"/>
                <w:sz w:val="22"/>
                <w:lang w:val="fr-FR"/>
              </w:rPr>
              <w:lastRenderedPageBreak/>
              <w:t xml:space="preserve">transfrontalières </w:t>
            </w:r>
            <w:r w:rsidRPr="00B62618">
              <w:rPr>
                <w:color w:val="000000" w:themeColor="text1"/>
                <w:sz w:val="22"/>
                <w:lang w:val="fr-FR"/>
              </w:rPr>
              <w:br/>
              <w:t>4. Limitations de la base d'informations et de connaissances pour le renforcement de la résilience dans le secteur de l'eau.</w:t>
            </w:r>
          </w:p>
        </w:tc>
        <w:tc>
          <w:tcPr>
            <w:tcW w:w="4269" w:type="dxa"/>
            <w:vMerge w:val="restart"/>
            <w:tcBorders>
              <w:top w:val="nil"/>
              <w:left w:val="single" w:sz="4" w:space="0" w:color="auto"/>
              <w:bottom w:val="single" w:sz="4" w:space="0" w:color="auto"/>
              <w:right w:val="single" w:sz="4" w:space="0" w:color="auto"/>
            </w:tcBorders>
            <w:shd w:val="clear" w:color="auto" w:fill="auto"/>
            <w:hideMark/>
          </w:tcPr>
          <w:p w14:paraId="25B8EB20" w14:textId="77777777" w:rsidR="003F4D45" w:rsidRPr="00B62618" w:rsidRDefault="003F4D45" w:rsidP="003F4D45">
            <w:pPr>
              <w:rPr>
                <w:color w:val="000000" w:themeColor="text1"/>
                <w:sz w:val="22"/>
                <w:szCs w:val="22"/>
                <w:lang w:val="fr-FR"/>
              </w:rPr>
            </w:pPr>
          </w:p>
          <w:p w14:paraId="4220E06C" w14:textId="77777777" w:rsidR="003F4D45" w:rsidRPr="00B62618" w:rsidRDefault="003F4D45" w:rsidP="003F4D45">
            <w:pPr>
              <w:rPr>
                <w:color w:val="000000" w:themeColor="text1"/>
                <w:sz w:val="22"/>
                <w:szCs w:val="22"/>
                <w:lang w:val="fr-FR"/>
              </w:rPr>
            </w:pPr>
          </w:p>
          <w:p w14:paraId="024E791D" w14:textId="77777777" w:rsidR="003F4D45" w:rsidRPr="00B62618" w:rsidRDefault="003F4D45" w:rsidP="003F4D45">
            <w:pPr>
              <w:rPr>
                <w:color w:val="000000" w:themeColor="text1"/>
                <w:sz w:val="22"/>
                <w:szCs w:val="22"/>
                <w:lang w:val="fr-FR"/>
              </w:rPr>
            </w:pPr>
          </w:p>
          <w:p w14:paraId="1788F3E7" w14:textId="77777777" w:rsidR="003F4D45" w:rsidRPr="00B62618" w:rsidRDefault="003F4D45" w:rsidP="003F4D45">
            <w:pPr>
              <w:rPr>
                <w:color w:val="000000" w:themeColor="text1"/>
                <w:sz w:val="22"/>
                <w:szCs w:val="22"/>
                <w:lang w:val="fr-FR"/>
              </w:rPr>
            </w:pPr>
          </w:p>
          <w:p w14:paraId="7C019865" w14:textId="77777777" w:rsidR="003F4D45" w:rsidRPr="00B62618" w:rsidRDefault="003F4D45" w:rsidP="003F4D45">
            <w:pPr>
              <w:rPr>
                <w:color w:val="000000" w:themeColor="text1"/>
                <w:sz w:val="22"/>
                <w:szCs w:val="22"/>
                <w:lang w:val="fr-FR"/>
              </w:rPr>
            </w:pPr>
          </w:p>
          <w:p w14:paraId="6440435D" w14:textId="77777777" w:rsidR="003F4D45" w:rsidRPr="00B62618" w:rsidRDefault="003F4D45" w:rsidP="003F4D45">
            <w:pPr>
              <w:rPr>
                <w:color w:val="000000" w:themeColor="text1"/>
                <w:sz w:val="22"/>
                <w:szCs w:val="22"/>
                <w:lang w:val="fr-FR"/>
              </w:rPr>
            </w:pPr>
            <w:r w:rsidRPr="00B62618">
              <w:rPr>
                <w:color w:val="000000" w:themeColor="text1"/>
                <w:sz w:val="22"/>
                <w:lang w:val="fr-FR"/>
              </w:rPr>
              <w:t xml:space="preserve">Le renforcement de la résilience et la compétitivité peuvent être mis à mal par des changements dans l'approvisionnement en eau, liés au changement et à la variabilité climatiques, par la réduction de la qualité de l'eau due à des sources de pollution terrestres et par des conflits sociaux, notamment autour des eaux transfrontalières.  </w:t>
            </w:r>
            <w:r w:rsidRPr="00B62618">
              <w:rPr>
                <w:color w:val="000000" w:themeColor="text1"/>
                <w:sz w:val="22"/>
                <w:lang w:val="fr-FR"/>
              </w:rPr>
              <w:br/>
            </w:r>
            <w:r w:rsidRPr="00B62618">
              <w:rPr>
                <w:color w:val="000000" w:themeColor="text1"/>
                <w:sz w:val="22"/>
                <w:lang w:val="fr-FR"/>
              </w:rPr>
              <w:br/>
              <w:t xml:space="preserve">La résilience et la compétitivité peuvent être améliorées par l'accès à des technologies </w:t>
            </w:r>
            <w:r w:rsidRPr="00B62618">
              <w:rPr>
                <w:color w:val="000000" w:themeColor="text1"/>
                <w:sz w:val="22"/>
                <w:lang w:val="fr-FR"/>
              </w:rPr>
              <w:lastRenderedPageBreak/>
              <w:t>appropriées, l'utilisation rationnelle de l'eau, la gestion de la demande en eau et l'utilisation de systèmes d'approvisionnement en eau résilients.</w:t>
            </w:r>
          </w:p>
          <w:p w14:paraId="10653D8D" w14:textId="77777777" w:rsidR="003F4D45" w:rsidRPr="00B62618" w:rsidRDefault="003F4D45" w:rsidP="003F4D45">
            <w:pPr>
              <w:rPr>
                <w:color w:val="000000" w:themeColor="text1"/>
                <w:sz w:val="22"/>
                <w:szCs w:val="22"/>
                <w:lang w:val="fr-FR"/>
              </w:rPr>
            </w:pPr>
          </w:p>
          <w:p w14:paraId="193322BE" w14:textId="16F6F9E1"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Les interventions relevant de cet objectif stratégique 2.3 contribuent également aux objectifs stratégiques 2.1, 2.2 et 2.4.</w:t>
            </w:r>
          </w:p>
        </w:tc>
        <w:tc>
          <w:tcPr>
            <w:tcW w:w="3381" w:type="dxa"/>
            <w:gridSpan w:val="2"/>
            <w:tcBorders>
              <w:top w:val="nil"/>
              <w:left w:val="nil"/>
              <w:bottom w:val="single" w:sz="4" w:space="0" w:color="auto"/>
              <w:right w:val="single" w:sz="4" w:space="0" w:color="auto"/>
            </w:tcBorders>
            <w:shd w:val="clear" w:color="auto" w:fill="auto"/>
            <w:hideMark/>
          </w:tcPr>
          <w:p w14:paraId="59C89D80" w14:textId="0694CCFF" w:rsidR="003F4D45" w:rsidRPr="00B62618" w:rsidRDefault="003F4D45" w:rsidP="003F4D45">
            <w:pPr>
              <w:rPr>
                <w:color w:val="000000" w:themeColor="text1"/>
                <w:sz w:val="22"/>
                <w:szCs w:val="22"/>
                <w:highlight w:val="yellow"/>
                <w:lang w:val="fr-FR"/>
              </w:rPr>
            </w:pPr>
            <w:r w:rsidRPr="00B62618">
              <w:rPr>
                <w:color w:val="000000" w:themeColor="text1"/>
                <w:sz w:val="22"/>
                <w:lang w:val="fr-FR"/>
              </w:rPr>
              <w:lastRenderedPageBreak/>
              <w:t>Portefeuille de projets d'investissement pour le bassin de la Plata afin de promouvoir le développement intégral du bassin, en mettant l'accent sur l'eau, l'énergie et le développement durable.</w:t>
            </w:r>
          </w:p>
        </w:tc>
        <w:tc>
          <w:tcPr>
            <w:tcW w:w="2715" w:type="dxa"/>
            <w:gridSpan w:val="2"/>
            <w:vMerge w:val="restart"/>
            <w:tcBorders>
              <w:top w:val="nil"/>
              <w:left w:val="single" w:sz="4" w:space="0" w:color="auto"/>
              <w:bottom w:val="single" w:sz="4" w:space="0" w:color="auto"/>
              <w:right w:val="single" w:sz="4" w:space="0" w:color="auto"/>
            </w:tcBorders>
            <w:shd w:val="clear" w:color="auto" w:fill="auto"/>
            <w:hideMark/>
          </w:tcPr>
          <w:p w14:paraId="45E18B04" w14:textId="77777777" w:rsidR="003F4D45" w:rsidRPr="00B62618" w:rsidRDefault="003F4D45" w:rsidP="003F4D45">
            <w:pPr>
              <w:rPr>
                <w:color w:val="000000" w:themeColor="text1"/>
                <w:sz w:val="22"/>
                <w:szCs w:val="22"/>
                <w:lang w:val="fr-FR"/>
              </w:rPr>
            </w:pPr>
            <w:r w:rsidRPr="00B62618">
              <w:rPr>
                <w:b/>
                <w:color w:val="000000" w:themeColor="text1"/>
                <w:sz w:val="22"/>
                <w:lang w:val="fr-FR"/>
              </w:rPr>
              <w:t xml:space="preserve">Interne (OEA) : </w:t>
            </w:r>
            <w:r w:rsidRPr="00B62618">
              <w:rPr>
                <w:color w:val="000000" w:themeColor="text1"/>
                <w:sz w:val="22"/>
                <w:lang w:val="fr-FR"/>
              </w:rPr>
              <w:t xml:space="preserve">Questions politiques, CICTE, CIDH, CIM. </w:t>
            </w:r>
          </w:p>
          <w:p w14:paraId="789EF37D" w14:textId="77777777" w:rsidR="003F4D45" w:rsidRPr="00B62618" w:rsidRDefault="003F4D45" w:rsidP="003F4D45">
            <w:pPr>
              <w:rPr>
                <w:b/>
                <w:bCs/>
                <w:color w:val="000000" w:themeColor="text1"/>
                <w:sz w:val="22"/>
                <w:szCs w:val="22"/>
                <w:lang w:val="fr-FR"/>
              </w:rPr>
            </w:pPr>
          </w:p>
          <w:p w14:paraId="004F2679" w14:textId="04EFF6DA" w:rsidR="003F4D45" w:rsidRPr="00B62618" w:rsidRDefault="003F4D45" w:rsidP="003F4D45">
            <w:pPr>
              <w:rPr>
                <w:color w:val="000000" w:themeColor="text1"/>
                <w:sz w:val="22"/>
                <w:szCs w:val="22"/>
                <w:highlight w:val="yellow"/>
                <w:lang w:val="fr-FR"/>
              </w:rPr>
            </w:pPr>
            <w:r w:rsidRPr="00B62618">
              <w:rPr>
                <w:b/>
                <w:color w:val="000000" w:themeColor="text1"/>
                <w:sz w:val="22"/>
                <w:lang w:val="fr-FR"/>
              </w:rPr>
              <w:t xml:space="preserve">Externe : </w:t>
            </w:r>
            <w:r w:rsidRPr="00B62618">
              <w:rPr>
                <w:color w:val="000000" w:themeColor="text1"/>
                <w:sz w:val="22"/>
                <w:lang w:val="fr-FR"/>
              </w:rPr>
              <w:t xml:space="preserve">Stratégie des eaux transfrontalières de la BID, Hub de l'ONU pour l'eau et la paix et Convention de l'ONU sur l'eau, IAI. SICA, CARICOM, CIC, BID, Banque mondiale, WRG-2030, GIZ, NDB, CWWA, Geneva Water Hub for Cooperation, OPS, COSUDE, CAF, Florida </w:t>
            </w:r>
            <w:r w:rsidRPr="00B62618">
              <w:rPr>
                <w:color w:val="000000" w:themeColor="text1"/>
                <w:sz w:val="22"/>
                <w:lang w:val="fr-FR"/>
              </w:rPr>
              <w:lastRenderedPageBreak/>
              <w:t>International University, Université de San Luis Potosi (Mexique), CODIA. PNUE, UNESCO-IHP, OMM.</w:t>
            </w:r>
          </w:p>
        </w:tc>
      </w:tr>
      <w:tr w:rsidR="003F4D45" w:rsidRPr="00121D09" w14:paraId="59398C8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10300A5B"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1E09F1F1"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tcPr>
          <w:p w14:paraId="7E937CD2" w14:textId="4B2E520D"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 plan de travail 2021-2023 de l'OEA et de la BID est approuvé, élaboré et financé.</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7B286F0F" w14:textId="77777777" w:rsidR="003F4D45" w:rsidRPr="00B62618" w:rsidRDefault="003F4D45" w:rsidP="003F4D45">
            <w:pPr>
              <w:rPr>
                <w:color w:val="000000" w:themeColor="text1"/>
                <w:sz w:val="22"/>
                <w:szCs w:val="22"/>
                <w:highlight w:val="yellow"/>
                <w:lang w:val="fr-FR"/>
              </w:rPr>
            </w:pPr>
          </w:p>
        </w:tc>
      </w:tr>
      <w:tr w:rsidR="003F4D45" w:rsidRPr="00121D09" w14:paraId="29BCC6A7"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0FD02D06"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405BF1D5"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tcPr>
          <w:p w14:paraId="22594A21" w14:textId="0968275A" w:rsidR="003F4D45" w:rsidRPr="00B62618" w:rsidRDefault="003F4D45" w:rsidP="003F4D45">
            <w:pPr>
              <w:rPr>
                <w:color w:val="000000" w:themeColor="text1"/>
                <w:sz w:val="22"/>
                <w:szCs w:val="22"/>
                <w:highlight w:val="yellow"/>
                <w:lang w:val="fr-FR"/>
              </w:rPr>
            </w:pPr>
            <w:r w:rsidRPr="00B62618">
              <w:rPr>
                <w:color w:val="000000" w:themeColor="text1"/>
                <w:sz w:val="22"/>
                <w:lang w:val="fr-FR"/>
              </w:rPr>
              <w:t>5 protocoles d’entente à signer avec des partenaires stratégiques pour renforcer la capacité du programme de l'eau.</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567D8DFB" w14:textId="77777777" w:rsidR="003F4D45" w:rsidRPr="00B62618" w:rsidRDefault="003F4D45" w:rsidP="003F4D45">
            <w:pPr>
              <w:rPr>
                <w:color w:val="000000" w:themeColor="text1"/>
                <w:sz w:val="22"/>
                <w:szCs w:val="22"/>
                <w:highlight w:val="yellow"/>
                <w:lang w:val="fr-FR"/>
              </w:rPr>
            </w:pPr>
          </w:p>
        </w:tc>
      </w:tr>
      <w:tr w:rsidR="003F4D45" w:rsidRPr="00121D09" w14:paraId="586A9B42"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4A1DC0CB"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727A1A90"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tcPr>
          <w:p w14:paraId="36068724" w14:textId="77777777" w:rsidR="003F4D45" w:rsidRPr="00B62618" w:rsidRDefault="003F4D45" w:rsidP="003F4D45">
            <w:pPr>
              <w:rPr>
                <w:color w:val="000000" w:themeColor="text1"/>
                <w:sz w:val="22"/>
                <w:szCs w:val="22"/>
                <w:lang w:val="fr-FR"/>
              </w:rPr>
            </w:pPr>
            <w:r w:rsidRPr="00B62618">
              <w:rPr>
                <w:color w:val="000000" w:themeColor="text1"/>
                <w:sz w:val="22"/>
                <w:lang w:val="fr-FR"/>
              </w:rPr>
              <w:t>Au moins 3 produits de gestion des connaissances développés et publiés dans les domaines suivants :</w:t>
            </w:r>
          </w:p>
          <w:p w14:paraId="03B07F30" w14:textId="337B4AD1" w:rsidR="003F4D45" w:rsidRPr="00B62618" w:rsidRDefault="003F4D45" w:rsidP="003F4D45">
            <w:pPr>
              <w:rPr>
                <w:color w:val="000000" w:themeColor="text1"/>
                <w:sz w:val="22"/>
                <w:szCs w:val="22"/>
                <w:highlight w:val="yellow"/>
                <w:lang w:val="fr-FR"/>
              </w:rPr>
            </w:pPr>
            <w:r w:rsidRPr="00B62618">
              <w:rPr>
                <w:color w:val="000000" w:themeColor="text1"/>
                <w:sz w:val="22"/>
                <w:lang w:val="fr-FR"/>
              </w:rPr>
              <w:t>Coopération transfrontalière dans le domaine de l'eau, Eau et genre, L'eau pour les objectifs de développement durable (ODD).</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250C000C" w14:textId="77777777" w:rsidR="003F4D45" w:rsidRPr="00B62618" w:rsidRDefault="003F4D45" w:rsidP="003F4D45">
            <w:pPr>
              <w:rPr>
                <w:color w:val="000000" w:themeColor="text1"/>
                <w:sz w:val="22"/>
                <w:szCs w:val="22"/>
                <w:highlight w:val="yellow"/>
                <w:lang w:val="fr-FR"/>
              </w:rPr>
            </w:pPr>
          </w:p>
        </w:tc>
      </w:tr>
      <w:tr w:rsidR="003F4D45" w:rsidRPr="00B62618" w14:paraId="297D1DE1"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0CD31716"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19294DE2"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609D94FE" w14:textId="2FD60C13" w:rsidR="003F4D45" w:rsidRPr="00B62618" w:rsidRDefault="003F4D45" w:rsidP="003F4D45">
            <w:pPr>
              <w:rPr>
                <w:color w:val="000000" w:themeColor="text1"/>
                <w:sz w:val="22"/>
                <w:szCs w:val="22"/>
                <w:highlight w:val="yellow"/>
                <w:lang w:val="fr-FR"/>
              </w:rPr>
            </w:pPr>
            <w:r w:rsidRPr="00B62618">
              <w:rPr>
                <w:color w:val="000000" w:themeColor="text1"/>
                <w:sz w:val="22"/>
                <w:lang w:val="fr-FR"/>
              </w:rPr>
              <w:t>Promouvoir le développement d'instruments de financement de l'eau dans la région des Caraïbes. Au moins une stratégie développée.</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1869AF77" w14:textId="77777777" w:rsidR="003F4D45" w:rsidRPr="00B62618" w:rsidRDefault="003F4D45" w:rsidP="003F4D45">
            <w:pPr>
              <w:rPr>
                <w:color w:val="000000" w:themeColor="text1"/>
                <w:sz w:val="22"/>
                <w:szCs w:val="22"/>
                <w:highlight w:val="yellow"/>
                <w:lang w:val="fr-FR"/>
              </w:rPr>
            </w:pPr>
          </w:p>
        </w:tc>
      </w:tr>
      <w:tr w:rsidR="003F4D45" w:rsidRPr="00121D09" w14:paraId="2425FBBB"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3"/>
          <w:jc w:val="center"/>
        </w:trPr>
        <w:tc>
          <w:tcPr>
            <w:tcW w:w="3225" w:type="dxa"/>
            <w:vMerge/>
            <w:tcBorders>
              <w:top w:val="nil"/>
              <w:left w:val="single" w:sz="4" w:space="0" w:color="auto"/>
              <w:bottom w:val="single" w:sz="4" w:space="0" w:color="auto"/>
              <w:right w:val="single" w:sz="4" w:space="0" w:color="auto"/>
            </w:tcBorders>
            <w:shd w:val="clear" w:color="auto" w:fill="auto"/>
            <w:vAlign w:val="center"/>
          </w:tcPr>
          <w:p w14:paraId="3FF01CAD"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tcPr>
          <w:p w14:paraId="7988EDD0"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tcPr>
          <w:p w14:paraId="15184405" w14:textId="4D234CFB" w:rsidR="003F4D45" w:rsidRPr="00B62618" w:rsidRDefault="003F4D45" w:rsidP="003F4D45">
            <w:pPr>
              <w:rPr>
                <w:color w:val="000000" w:themeColor="text1"/>
                <w:sz w:val="22"/>
                <w:szCs w:val="22"/>
                <w:highlight w:val="yellow"/>
                <w:lang w:val="fr-FR"/>
              </w:rPr>
            </w:pPr>
            <w:r w:rsidRPr="00B62618">
              <w:rPr>
                <w:color w:val="000000" w:themeColor="text1"/>
                <w:sz w:val="22"/>
                <w:lang w:val="fr-FR"/>
              </w:rPr>
              <w:t>Cadre programmatique pour la mise en œuvre des interventions du PIDS au titre de l'objectif 3.3 - Eau.</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tcPr>
          <w:p w14:paraId="5EF6263E" w14:textId="77777777" w:rsidR="003F4D45" w:rsidRPr="00B62618" w:rsidRDefault="003F4D45" w:rsidP="003F4D45">
            <w:pPr>
              <w:rPr>
                <w:color w:val="000000" w:themeColor="text1"/>
                <w:sz w:val="22"/>
                <w:szCs w:val="22"/>
                <w:highlight w:val="yellow"/>
                <w:lang w:val="fr-FR"/>
              </w:rPr>
            </w:pPr>
          </w:p>
        </w:tc>
      </w:tr>
      <w:tr w:rsidR="003F4D45" w:rsidRPr="00121D09" w14:paraId="649E4C6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6036FB4A"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3853353A"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6B2DC8C3" w14:textId="4EFC320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Bilans hydriques, études et scénarios d'avenir de l'eau réalisés dans le bassin du Bravo et du Trifinio.</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67BC0BF" w14:textId="77777777" w:rsidR="003F4D45" w:rsidRPr="00B62618" w:rsidRDefault="003F4D45" w:rsidP="003F4D45">
            <w:pPr>
              <w:rPr>
                <w:color w:val="000000" w:themeColor="text1"/>
                <w:sz w:val="22"/>
                <w:szCs w:val="22"/>
                <w:highlight w:val="yellow"/>
                <w:lang w:val="fr-FR"/>
              </w:rPr>
            </w:pPr>
          </w:p>
        </w:tc>
      </w:tr>
      <w:tr w:rsidR="003F4D45" w:rsidRPr="00121D09" w14:paraId="3B8C6FC0"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27E616A3"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40FF316C"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1917DDA5" w14:textId="21004ECB" w:rsidR="003F4D45" w:rsidRPr="00B62618" w:rsidRDefault="003F4D45" w:rsidP="003F4D45">
            <w:pPr>
              <w:rPr>
                <w:color w:val="000000" w:themeColor="text1"/>
                <w:sz w:val="22"/>
                <w:szCs w:val="22"/>
                <w:highlight w:val="yellow"/>
                <w:lang w:val="fr-FR"/>
              </w:rPr>
            </w:pPr>
            <w:r w:rsidRPr="00B62618">
              <w:rPr>
                <w:color w:val="000000" w:themeColor="text1"/>
                <w:sz w:val="22"/>
                <w:lang w:val="fr-FR"/>
              </w:rPr>
              <w:t>Début de l'exécution des activités dans le cadre des projets Trifinio et Pantanal financés par le FEM, la BID et le PNUE.</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439EBB83" w14:textId="77777777" w:rsidR="003F4D45" w:rsidRPr="00B62618" w:rsidRDefault="003F4D45" w:rsidP="003F4D45">
            <w:pPr>
              <w:rPr>
                <w:color w:val="000000" w:themeColor="text1"/>
                <w:sz w:val="22"/>
                <w:szCs w:val="22"/>
                <w:highlight w:val="yellow"/>
                <w:lang w:val="fr-FR"/>
              </w:rPr>
            </w:pPr>
          </w:p>
        </w:tc>
      </w:tr>
      <w:tr w:rsidR="003F4D45" w:rsidRPr="00121D09" w14:paraId="75A3D35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15A7E674"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6540B17A"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7DE57E24" w14:textId="384ED94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Dialogues régionaux de haut niveau, ateliers, conférences pour le partage des connaissances, y compris l'apprentissage à distance.</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68252FB3" w14:textId="77777777" w:rsidR="003F4D45" w:rsidRPr="00B62618" w:rsidRDefault="003F4D45" w:rsidP="003F4D45">
            <w:pPr>
              <w:rPr>
                <w:color w:val="000000" w:themeColor="text1"/>
                <w:sz w:val="22"/>
                <w:szCs w:val="22"/>
                <w:highlight w:val="yellow"/>
                <w:lang w:val="fr-FR"/>
              </w:rPr>
            </w:pPr>
          </w:p>
        </w:tc>
      </w:tr>
      <w:tr w:rsidR="003F4D45" w:rsidRPr="00121D09" w14:paraId="5C3431AF"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vMerge/>
            <w:tcBorders>
              <w:top w:val="nil"/>
              <w:left w:val="single" w:sz="4" w:space="0" w:color="auto"/>
              <w:bottom w:val="single" w:sz="4" w:space="0" w:color="auto"/>
              <w:right w:val="single" w:sz="4" w:space="0" w:color="auto"/>
            </w:tcBorders>
            <w:shd w:val="clear" w:color="auto" w:fill="auto"/>
            <w:vAlign w:val="center"/>
            <w:hideMark/>
          </w:tcPr>
          <w:p w14:paraId="28EFD7B3" w14:textId="77777777"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1432A3E7"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75C69F65" w14:textId="5F317649" w:rsidR="003F4D45" w:rsidRPr="00B62618" w:rsidRDefault="003F4D45" w:rsidP="003F4D45">
            <w:pPr>
              <w:rPr>
                <w:color w:val="000000" w:themeColor="text1"/>
                <w:sz w:val="22"/>
                <w:szCs w:val="22"/>
                <w:highlight w:val="yellow"/>
                <w:lang w:val="fr-FR"/>
              </w:rPr>
            </w:pPr>
            <w:r w:rsidRPr="00B62618">
              <w:rPr>
                <w:color w:val="000000" w:themeColor="text1"/>
                <w:sz w:val="22"/>
                <w:lang w:val="fr-FR"/>
              </w:rPr>
              <w:t>Présentation de stratégies régionales pour la conservation et l'utilisation durable des ressources marines (économie bleue)</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FDDD4A9" w14:textId="77777777" w:rsidR="003F4D45" w:rsidRPr="00B62618" w:rsidRDefault="003F4D45" w:rsidP="003F4D45">
            <w:pPr>
              <w:rPr>
                <w:color w:val="000000" w:themeColor="text1"/>
                <w:sz w:val="22"/>
                <w:szCs w:val="22"/>
                <w:highlight w:val="yellow"/>
                <w:lang w:val="fr-FR"/>
              </w:rPr>
            </w:pPr>
          </w:p>
        </w:tc>
      </w:tr>
      <w:tr w:rsidR="003F4D45" w:rsidRPr="00121D09" w14:paraId="73032AFD"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nil"/>
              <w:left w:val="single" w:sz="4" w:space="0" w:color="auto"/>
              <w:bottom w:val="single" w:sz="4" w:space="0" w:color="auto"/>
              <w:right w:val="single" w:sz="4" w:space="0" w:color="auto"/>
            </w:tcBorders>
            <w:shd w:val="clear" w:color="auto" w:fill="auto"/>
            <w:hideMark/>
          </w:tcPr>
          <w:p w14:paraId="5962DBB1" w14:textId="46CE41A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Développer un agenda commun sur la gestion de l'eau avec les organisations politiques sous-régionales :</w:t>
            </w: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4092FC54"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61E6F2FD" w14:textId="0FB2D7A1" w:rsidR="003F4D45" w:rsidRPr="00B62618" w:rsidRDefault="003F4D45" w:rsidP="003F4D45">
            <w:pPr>
              <w:rPr>
                <w:color w:val="000000" w:themeColor="text1"/>
                <w:sz w:val="22"/>
                <w:szCs w:val="22"/>
                <w:highlight w:val="yellow"/>
                <w:lang w:val="fr-FR"/>
              </w:rPr>
            </w:pPr>
            <w:r w:rsidRPr="00B62618">
              <w:rPr>
                <w:color w:val="000000" w:themeColor="text1"/>
                <w:sz w:val="22"/>
                <w:lang w:val="fr-FR"/>
              </w:rPr>
              <w:t xml:space="preserve">Conception et mise en œuvre d'un modèle de PPP pour l'eau potable et l'assainissement (santé et santé humaine) au sein de l'OEA ; </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7404B0E5" w14:textId="77777777" w:rsidR="003F4D45" w:rsidRPr="00B62618" w:rsidRDefault="003F4D45" w:rsidP="003F4D45">
            <w:pPr>
              <w:rPr>
                <w:color w:val="000000" w:themeColor="text1"/>
                <w:sz w:val="22"/>
                <w:szCs w:val="22"/>
                <w:highlight w:val="yellow"/>
                <w:lang w:val="fr-FR"/>
              </w:rPr>
            </w:pPr>
          </w:p>
        </w:tc>
      </w:tr>
      <w:tr w:rsidR="003F4D45" w:rsidRPr="00121D09" w14:paraId="46E7EDB0"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shd w:val="clear" w:color="auto" w:fill="auto"/>
            <w:hideMark/>
          </w:tcPr>
          <w:p w14:paraId="5B951808" w14:textId="37A22205" w:rsidR="003F4D45" w:rsidRPr="00B62618" w:rsidRDefault="003F4D45" w:rsidP="003F4D45">
            <w:pPr>
              <w:rPr>
                <w:color w:val="000000" w:themeColor="text1"/>
                <w:sz w:val="22"/>
                <w:szCs w:val="22"/>
                <w:highlight w:val="yellow"/>
                <w:lang w:val="fr-FR"/>
              </w:rPr>
            </w:pPr>
            <w:r w:rsidRPr="00B62618">
              <w:rPr>
                <w:color w:val="000000" w:themeColor="text1"/>
                <w:sz w:val="22"/>
                <w:lang w:val="fr-FR"/>
              </w:rPr>
              <w:lastRenderedPageBreak/>
              <w:t>Mettre en œuvre un mécanisme virtuel de coordination et d'échange d'informations sur la gestion des ressources en eau.</w:t>
            </w: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01C7C8F2"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68749DD0" w14:textId="30FA1F50" w:rsidR="003F4D45" w:rsidRPr="00B62618" w:rsidRDefault="003F4D45" w:rsidP="003F4D45">
            <w:pPr>
              <w:rPr>
                <w:color w:val="000000" w:themeColor="text1"/>
                <w:sz w:val="22"/>
                <w:szCs w:val="22"/>
                <w:highlight w:val="yellow"/>
                <w:lang w:val="fr-FR"/>
              </w:rPr>
            </w:pPr>
            <w:r w:rsidRPr="00B62618">
              <w:rPr>
                <w:color w:val="000000" w:themeColor="text1"/>
                <w:sz w:val="22"/>
                <w:lang w:val="fr-FR"/>
              </w:rPr>
              <w:t>Élaboration de lignes directrices sur l'eau et la cybersécurité pour les institutions du secteur de l'eau et de l'assainissement.</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5CD733B7" w14:textId="77777777" w:rsidR="003F4D45" w:rsidRPr="00B62618" w:rsidRDefault="003F4D45" w:rsidP="003F4D45">
            <w:pPr>
              <w:rPr>
                <w:color w:val="000000" w:themeColor="text1"/>
                <w:sz w:val="22"/>
                <w:szCs w:val="22"/>
                <w:highlight w:val="yellow"/>
                <w:lang w:val="fr-FR"/>
              </w:rPr>
            </w:pPr>
          </w:p>
        </w:tc>
      </w:tr>
      <w:tr w:rsidR="003F4D45" w:rsidRPr="00121D09" w14:paraId="490A2993"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jc w:val="center"/>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4A965C98" w14:textId="5CFA35BB" w:rsidR="003F4D45" w:rsidRPr="00B62618" w:rsidRDefault="003F4D45" w:rsidP="003F4D45">
            <w:pPr>
              <w:rPr>
                <w:color w:val="000000" w:themeColor="text1"/>
                <w:sz w:val="22"/>
                <w:szCs w:val="22"/>
                <w:highlight w:val="yellow"/>
                <w:lang w:val="fr-FR"/>
              </w:rPr>
            </w:pPr>
            <w:r w:rsidRPr="00B62618">
              <w:rPr>
                <w:color w:val="000000" w:themeColor="text1"/>
                <w:sz w:val="22"/>
                <w:lang w:val="fr-FR"/>
              </w:rPr>
              <w:t>Dialogue avec les partenaires mondiaux et régionaux dans le domaine de l'eau : Les ONG, le secteur universitaire et le secteur privé afin d'identifier les possibilités qui aident les États membres à relever leurs défis en matière d'eau.</w:t>
            </w:r>
          </w:p>
        </w:tc>
        <w:tc>
          <w:tcPr>
            <w:tcW w:w="4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AFD07" w14:textId="77777777" w:rsidR="003F4D45" w:rsidRPr="00B62618" w:rsidRDefault="003F4D45" w:rsidP="003F4D45">
            <w:pPr>
              <w:rPr>
                <w:color w:val="000000" w:themeColor="text1"/>
                <w:sz w:val="22"/>
                <w:szCs w:val="22"/>
                <w:highlight w:val="yellow"/>
                <w:lang w:val="fr-FR"/>
              </w:rPr>
            </w:pPr>
          </w:p>
        </w:tc>
        <w:tc>
          <w:tcPr>
            <w:tcW w:w="3381" w:type="dxa"/>
            <w:gridSpan w:val="2"/>
            <w:tcBorders>
              <w:top w:val="single" w:sz="4" w:space="0" w:color="auto"/>
              <w:left w:val="nil"/>
              <w:bottom w:val="single" w:sz="4" w:space="0" w:color="auto"/>
              <w:right w:val="single" w:sz="4" w:space="0" w:color="auto"/>
            </w:tcBorders>
            <w:shd w:val="clear" w:color="auto" w:fill="auto"/>
            <w:hideMark/>
          </w:tcPr>
          <w:p w14:paraId="7479A5CB" w14:textId="5358280F" w:rsidR="003F4D45" w:rsidRPr="00B62618" w:rsidRDefault="003F4D45" w:rsidP="003F4D45">
            <w:pPr>
              <w:rPr>
                <w:color w:val="000000" w:themeColor="text1"/>
                <w:sz w:val="22"/>
                <w:szCs w:val="22"/>
                <w:highlight w:val="yellow"/>
                <w:lang w:val="fr-FR"/>
              </w:rPr>
            </w:pPr>
            <w:r w:rsidRPr="00B62618">
              <w:rPr>
                <w:color w:val="000000" w:themeColor="text1"/>
                <w:sz w:val="22"/>
                <w:lang w:val="fr-FR"/>
              </w:rPr>
              <w:t>Élaboration d'accords techniques et de protocoles de travail sur la gestion de l'eau.</w:t>
            </w:r>
          </w:p>
        </w:tc>
        <w:tc>
          <w:tcPr>
            <w:tcW w:w="2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A5C0C" w14:textId="77777777" w:rsidR="003F4D45" w:rsidRPr="00B62618" w:rsidRDefault="003F4D45" w:rsidP="003F4D45">
            <w:pPr>
              <w:rPr>
                <w:color w:val="000000" w:themeColor="text1"/>
                <w:sz w:val="22"/>
                <w:szCs w:val="22"/>
                <w:highlight w:val="yellow"/>
                <w:lang w:val="fr-FR"/>
              </w:rPr>
            </w:pPr>
          </w:p>
        </w:tc>
      </w:tr>
      <w:tr w:rsidR="003F4D45" w:rsidRPr="00121D09" w14:paraId="75F8A465"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8"/>
          <w:jc w:val="center"/>
        </w:trPr>
        <w:tc>
          <w:tcPr>
            <w:tcW w:w="3225" w:type="dxa"/>
            <w:tcBorders>
              <w:top w:val="single" w:sz="4" w:space="0" w:color="auto"/>
              <w:left w:val="single" w:sz="4" w:space="0" w:color="auto"/>
              <w:bottom w:val="single" w:sz="4" w:space="0" w:color="auto"/>
              <w:right w:val="single" w:sz="4" w:space="0" w:color="auto"/>
            </w:tcBorders>
            <w:shd w:val="clear" w:color="auto" w:fill="auto"/>
            <w:hideMark/>
          </w:tcPr>
          <w:p w14:paraId="25E9D7ED" w14:textId="0E00436A" w:rsidR="003F4D45" w:rsidRPr="00B62618" w:rsidRDefault="003F4D45" w:rsidP="003F4D45">
            <w:pPr>
              <w:rPr>
                <w:color w:val="000000" w:themeColor="text1"/>
                <w:sz w:val="22"/>
                <w:szCs w:val="22"/>
                <w:highlight w:val="yellow"/>
                <w:lang w:val="fr-FR"/>
              </w:rPr>
            </w:pPr>
            <w:r w:rsidRPr="00B62618">
              <w:rPr>
                <w:color w:val="000000" w:themeColor="text1"/>
                <w:sz w:val="22"/>
                <w:lang w:val="fr-FR"/>
              </w:rPr>
              <w:t>Concevoir et mettre en œuvre des programmes multidisciplinaires pour renforcer la participation du public, en particulier des femmes, des jeunes et des groupes autochtones, aux initiatives nationales et régionales sur l'eau, y compris l'adaptation au changement climatique.</w:t>
            </w:r>
          </w:p>
        </w:tc>
        <w:tc>
          <w:tcPr>
            <w:tcW w:w="4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D6BAD" w14:textId="77777777" w:rsidR="003F4D45" w:rsidRPr="00B62618" w:rsidRDefault="003F4D45" w:rsidP="003F4D45">
            <w:pPr>
              <w:rPr>
                <w:color w:val="000000" w:themeColor="text1"/>
                <w:sz w:val="22"/>
                <w:szCs w:val="22"/>
                <w:highlight w:val="yellow"/>
                <w:lang w:val="fr-FR"/>
              </w:rPr>
            </w:pPr>
          </w:p>
        </w:tc>
        <w:tc>
          <w:tcPr>
            <w:tcW w:w="3381" w:type="dxa"/>
            <w:gridSpan w:val="2"/>
            <w:tcBorders>
              <w:top w:val="single" w:sz="4" w:space="0" w:color="auto"/>
              <w:left w:val="nil"/>
              <w:bottom w:val="single" w:sz="4" w:space="0" w:color="auto"/>
              <w:right w:val="single" w:sz="4" w:space="0" w:color="auto"/>
            </w:tcBorders>
            <w:shd w:val="clear" w:color="auto" w:fill="auto"/>
            <w:hideMark/>
          </w:tcPr>
          <w:p w14:paraId="78E897BF" w14:textId="6301A751" w:rsidR="003F4D45" w:rsidRPr="00B62618" w:rsidRDefault="003F4D45" w:rsidP="003F4D45">
            <w:pPr>
              <w:rPr>
                <w:color w:val="000000" w:themeColor="text1"/>
                <w:sz w:val="22"/>
                <w:szCs w:val="22"/>
                <w:highlight w:val="yellow"/>
                <w:lang w:val="fr-FR"/>
              </w:rPr>
            </w:pPr>
            <w:r w:rsidRPr="00B62618">
              <w:rPr>
                <w:color w:val="000000" w:themeColor="text1"/>
                <w:sz w:val="22"/>
                <w:lang w:val="fr-FR"/>
              </w:rPr>
              <w:t>Renforcement de la participation du public aux initiatives nationales et régionales sur l'eau, y compris l'adaptation au changement climatique.</w:t>
            </w:r>
          </w:p>
        </w:tc>
        <w:tc>
          <w:tcPr>
            <w:tcW w:w="2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27AAB" w14:textId="77777777" w:rsidR="003F4D45" w:rsidRPr="00B62618" w:rsidRDefault="003F4D45" w:rsidP="003F4D45">
            <w:pPr>
              <w:rPr>
                <w:color w:val="000000" w:themeColor="text1"/>
                <w:sz w:val="22"/>
                <w:szCs w:val="22"/>
                <w:highlight w:val="yellow"/>
                <w:lang w:val="fr-FR"/>
              </w:rPr>
            </w:pPr>
          </w:p>
        </w:tc>
      </w:tr>
      <w:tr w:rsidR="003F4D45" w:rsidRPr="00121D09" w14:paraId="155C118E"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jc w:val="center"/>
        </w:trPr>
        <w:tc>
          <w:tcPr>
            <w:tcW w:w="3225" w:type="dxa"/>
            <w:tcBorders>
              <w:top w:val="nil"/>
              <w:left w:val="single" w:sz="4" w:space="0" w:color="auto"/>
              <w:bottom w:val="single" w:sz="4" w:space="0" w:color="auto"/>
              <w:right w:val="single" w:sz="4" w:space="0" w:color="auto"/>
            </w:tcBorders>
            <w:shd w:val="clear" w:color="auto" w:fill="auto"/>
            <w:hideMark/>
          </w:tcPr>
          <w:p w14:paraId="517CAF4F" w14:textId="77777777" w:rsidR="003F4D45" w:rsidRPr="00B62618" w:rsidRDefault="003F4D45" w:rsidP="003F4D45">
            <w:pPr>
              <w:rPr>
                <w:color w:val="000000" w:themeColor="text1"/>
                <w:sz w:val="22"/>
                <w:szCs w:val="22"/>
                <w:lang w:val="fr-FR"/>
              </w:rPr>
            </w:pPr>
            <w:r w:rsidRPr="00B62618">
              <w:rPr>
                <w:color w:val="000000" w:themeColor="text1"/>
                <w:sz w:val="22"/>
                <w:lang w:val="fr-FR"/>
              </w:rPr>
              <w:t>Faire progresser les mesures permettant au SG/OEA d'accéder aux ressources du Fonds vert pour le climat (FVC), du Fonds d'adaptation (FA) et d'autres organisations ou mécanismes financiers.</w:t>
            </w:r>
          </w:p>
          <w:p w14:paraId="375E3E38" w14:textId="77777777" w:rsidR="003F4D45" w:rsidRPr="00B62618" w:rsidRDefault="003F4D45" w:rsidP="003F4D45">
            <w:pPr>
              <w:rPr>
                <w:color w:val="000000" w:themeColor="text1"/>
                <w:sz w:val="22"/>
                <w:szCs w:val="22"/>
                <w:lang w:val="fr-FR"/>
              </w:rPr>
            </w:pPr>
          </w:p>
          <w:p w14:paraId="3585BFFD" w14:textId="77777777" w:rsidR="003F4D45" w:rsidRPr="00B62618" w:rsidRDefault="003F4D45" w:rsidP="003F4D45">
            <w:pPr>
              <w:rPr>
                <w:color w:val="000000" w:themeColor="text1"/>
                <w:sz w:val="22"/>
                <w:szCs w:val="22"/>
                <w:lang w:val="fr-FR"/>
              </w:rPr>
            </w:pPr>
          </w:p>
          <w:p w14:paraId="672317FC" w14:textId="77777777" w:rsidR="003F4D45" w:rsidRPr="00B62618" w:rsidRDefault="003F4D45" w:rsidP="003F4D45">
            <w:pPr>
              <w:rPr>
                <w:color w:val="000000" w:themeColor="text1"/>
                <w:sz w:val="22"/>
                <w:szCs w:val="22"/>
                <w:lang w:val="fr-FR"/>
              </w:rPr>
            </w:pPr>
          </w:p>
          <w:p w14:paraId="485C1EE6" w14:textId="77777777" w:rsidR="003F4D45" w:rsidRPr="00B62618" w:rsidRDefault="003F4D45" w:rsidP="003F4D45">
            <w:pPr>
              <w:rPr>
                <w:color w:val="000000" w:themeColor="text1"/>
                <w:sz w:val="22"/>
                <w:szCs w:val="22"/>
                <w:lang w:val="fr-FR"/>
              </w:rPr>
            </w:pPr>
          </w:p>
          <w:p w14:paraId="5EC7B252" w14:textId="31D55DFA" w:rsidR="003F4D45" w:rsidRPr="00B62618" w:rsidRDefault="003F4D45" w:rsidP="003F4D45">
            <w:pPr>
              <w:rPr>
                <w:color w:val="000000" w:themeColor="text1"/>
                <w:sz w:val="22"/>
                <w:szCs w:val="22"/>
                <w:highlight w:val="yellow"/>
                <w:lang w:val="fr-FR"/>
              </w:rPr>
            </w:pPr>
          </w:p>
        </w:tc>
        <w:tc>
          <w:tcPr>
            <w:tcW w:w="4269" w:type="dxa"/>
            <w:vMerge/>
            <w:tcBorders>
              <w:top w:val="nil"/>
              <w:left w:val="single" w:sz="4" w:space="0" w:color="auto"/>
              <w:bottom w:val="single" w:sz="4" w:space="0" w:color="auto"/>
              <w:right w:val="single" w:sz="4" w:space="0" w:color="auto"/>
            </w:tcBorders>
            <w:shd w:val="clear" w:color="auto" w:fill="auto"/>
            <w:vAlign w:val="center"/>
            <w:hideMark/>
          </w:tcPr>
          <w:p w14:paraId="2E10E8E7" w14:textId="77777777" w:rsidR="003F4D45" w:rsidRPr="00B62618" w:rsidRDefault="003F4D45" w:rsidP="003F4D45">
            <w:pPr>
              <w:rPr>
                <w:color w:val="000000" w:themeColor="text1"/>
                <w:sz w:val="22"/>
                <w:szCs w:val="22"/>
                <w:highlight w:val="yellow"/>
                <w:lang w:val="fr-FR"/>
              </w:rPr>
            </w:pPr>
          </w:p>
        </w:tc>
        <w:tc>
          <w:tcPr>
            <w:tcW w:w="3381" w:type="dxa"/>
            <w:gridSpan w:val="2"/>
            <w:tcBorders>
              <w:top w:val="nil"/>
              <w:left w:val="nil"/>
              <w:bottom w:val="single" w:sz="4" w:space="0" w:color="auto"/>
              <w:right w:val="single" w:sz="4" w:space="0" w:color="auto"/>
            </w:tcBorders>
            <w:shd w:val="clear" w:color="auto" w:fill="auto"/>
            <w:hideMark/>
          </w:tcPr>
          <w:p w14:paraId="59C3BC16" w14:textId="36A94568" w:rsidR="003F4D45" w:rsidRPr="00B62618" w:rsidRDefault="003F4D45" w:rsidP="003F4D45">
            <w:pPr>
              <w:rPr>
                <w:color w:val="000000" w:themeColor="text1"/>
                <w:sz w:val="22"/>
                <w:szCs w:val="22"/>
                <w:highlight w:val="yellow"/>
                <w:lang w:val="fr-FR"/>
              </w:rPr>
            </w:pPr>
            <w:r w:rsidRPr="00B62618">
              <w:rPr>
                <w:color w:val="000000" w:themeColor="text1"/>
                <w:sz w:val="22"/>
                <w:lang w:val="fr-FR"/>
              </w:rPr>
              <w:t>Extension et développement d'alliances stratégiques avec des partenaires internationaux.</w:t>
            </w:r>
          </w:p>
        </w:tc>
        <w:tc>
          <w:tcPr>
            <w:tcW w:w="2715" w:type="dxa"/>
            <w:gridSpan w:val="2"/>
            <w:vMerge/>
            <w:tcBorders>
              <w:top w:val="nil"/>
              <w:left w:val="single" w:sz="4" w:space="0" w:color="auto"/>
              <w:bottom w:val="single" w:sz="4" w:space="0" w:color="auto"/>
              <w:right w:val="single" w:sz="4" w:space="0" w:color="auto"/>
            </w:tcBorders>
            <w:shd w:val="clear" w:color="auto" w:fill="auto"/>
            <w:vAlign w:val="center"/>
            <w:hideMark/>
          </w:tcPr>
          <w:p w14:paraId="45136D7C" w14:textId="77777777" w:rsidR="003F4D45" w:rsidRPr="00B62618" w:rsidRDefault="003F4D45" w:rsidP="003F4D45">
            <w:pPr>
              <w:rPr>
                <w:color w:val="000000" w:themeColor="text1"/>
                <w:sz w:val="22"/>
                <w:szCs w:val="22"/>
                <w:highlight w:val="yellow"/>
                <w:lang w:val="fr-FR"/>
              </w:rPr>
            </w:pPr>
          </w:p>
        </w:tc>
      </w:tr>
      <w:tr w:rsidR="003F4D45" w:rsidRPr="00121D09" w14:paraId="74B02530"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1A3075" w14:textId="092A5831"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OBJECTIF STRATÉGIQUE</w:t>
            </w:r>
          </w:p>
        </w:tc>
        <w:tc>
          <w:tcPr>
            <w:tcW w:w="10365"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FC1B0FF" w14:textId="05B7894F"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 xml:space="preserve">2.4. Promouvoir les capacités des États membres en ce qui concerne la thématique des villes et communautés durables conformément aux objectifs et principes d’action énoncés à la section 3.4. </w:t>
            </w:r>
            <w:proofErr w:type="gramStart"/>
            <w:r w:rsidRPr="00B62618">
              <w:rPr>
                <w:b/>
                <w:color w:val="000000" w:themeColor="text1"/>
                <w:sz w:val="22"/>
                <w:lang w:val="fr-FR"/>
              </w:rPr>
              <w:t>du</w:t>
            </w:r>
            <w:proofErr w:type="gramEnd"/>
            <w:r w:rsidRPr="00B62618">
              <w:rPr>
                <w:b/>
                <w:color w:val="000000" w:themeColor="text1"/>
                <w:sz w:val="22"/>
                <w:lang w:val="fr-FR"/>
              </w:rPr>
              <w:t xml:space="preserve"> PIDS.</w:t>
            </w:r>
          </w:p>
        </w:tc>
      </w:tr>
      <w:tr w:rsidR="003F4D45" w:rsidRPr="00B62618" w14:paraId="342E8D09"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248F9AB3" w14:textId="4B65E6C5"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Villes durables :</w:t>
            </w:r>
          </w:p>
        </w:tc>
      </w:tr>
      <w:tr w:rsidR="003F4D45" w:rsidRPr="00121D09" w14:paraId="3FDAAB28" w14:textId="77777777" w:rsidTr="00A66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jc w:val="center"/>
        </w:trPr>
        <w:tc>
          <w:tcPr>
            <w:tcW w:w="3225" w:type="dxa"/>
            <w:tcBorders>
              <w:top w:val="nil"/>
              <w:left w:val="single" w:sz="4" w:space="0" w:color="auto"/>
              <w:bottom w:val="single" w:sz="4" w:space="0" w:color="auto"/>
              <w:right w:val="single" w:sz="4" w:space="0" w:color="auto"/>
            </w:tcBorders>
            <w:shd w:val="clear" w:color="auto" w:fill="auto"/>
            <w:hideMark/>
          </w:tcPr>
          <w:p w14:paraId="78E55B19" w14:textId="4C05B978" w:rsidR="003F4D45" w:rsidRPr="00B62618" w:rsidRDefault="003F4D45" w:rsidP="003F4D45">
            <w:pPr>
              <w:contextualSpacing/>
              <w:rPr>
                <w:color w:val="000000" w:themeColor="text1"/>
                <w:sz w:val="22"/>
                <w:szCs w:val="22"/>
                <w:highlight w:val="yellow"/>
                <w:lang w:val="fr-FR"/>
              </w:rPr>
            </w:pPr>
            <w:r w:rsidRPr="00B62618">
              <w:rPr>
                <w:color w:val="000000" w:themeColor="text1"/>
                <w:sz w:val="22"/>
                <w:lang w:val="fr-FR"/>
              </w:rPr>
              <w:lastRenderedPageBreak/>
              <w:t>Former les fonctionnaires et les jeunes à la conduite du changement pour des villes et des communautés durables.</w:t>
            </w:r>
          </w:p>
        </w:tc>
        <w:tc>
          <w:tcPr>
            <w:tcW w:w="4269" w:type="dxa"/>
            <w:tcBorders>
              <w:top w:val="nil"/>
              <w:left w:val="nil"/>
              <w:bottom w:val="single" w:sz="4" w:space="0" w:color="auto"/>
              <w:right w:val="single" w:sz="4" w:space="0" w:color="auto"/>
            </w:tcBorders>
            <w:shd w:val="clear" w:color="auto" w:fill="auto"/>
            <w:hideMark/>
          </w:tcPr>
          <w:p w14:paraId="11E4BD34" w14:textId="7B16099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Soutenir les États membres dans leurs efforts pour mettre en œuvre des approches intégrales en milieu urbain, en relevant les défis en matière de transport et de mobilité, d'efficacité énergétique, d'eau et d'assainissement, de gestion des déchets, de santé et d'éducation, en favorisant la redondance et la résilience des services de base, en protégeant les écosystèmes urbains et en élaborant des solutions socialement inclusives.</w:t>
            </w:r>
          </w:p>
        </w:tc>
        <w:tc>
          <w:tcPr>
            <w:tcW w:w="3381" w:type="dxa"/>
            <w:gridSpan w:val="2"/>
            <w:tcBorders>
              <w:top w:val="nil"/>
              <w:left w:val="nil"/>
              <w:bottom w:val="single" w:sz="4" w:space="0" w:color="auto"/>
              <w:right w:val="single" w:sz="4" w:space="0" w:color="auto"/>
            </w:tcBorders>
            <w:shd w:val="clear" w:color="auto" w:fill="auto"/>
            <w:hideMark/>
          </w:tcPr>
          <w:p w14:paraId="0F3B35C2" w14:textId="4DBC3B4F"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 MOCC révisé sur les villes durables et les dispositions d'exécution du projet sont en place.</w:t>
            </w:r>
          </w:p>
        </w:tc>
        <w:tc>
          <w:tcPr>
            <w:tcW w:w="2715" w:type="dxa"/>
            <w:gridSpan w:val="2"/>
            <w:tcBorders>
              <w:top w:val="nil"/>
              <w:left w:val="nil"/>
              <w:bottom w:val="single" w:sz="4" w:space="0" w:color="auto"/>
              <w:right w:val="single" w:sz="4" w:space="0" w:color="auto"/>
            </w:tcBorders>
            <w:shd w:val="clear" w:color="auto" w:fill="auto"/>
            <w:hideMark/>
          </w:tcPr>
          <w:p w14:paraId="2295A2AD" w14:textId="77777777" w:rsidR="003F4D45" w:rsidRPr="00B62618" w:rsidRDefault="003F4D45" w:rsidP="003F4D45">
            <w:pPr>
              <w:contextualSpacing/>
              <w:rPr>
                <w:color w:val="000000" w:themeColor="text1"/>
                <w:sz w:val="22"/>
                <w:szCs w:val="22"/>
                <w:lang w:val="fr-FR"/>
              </w:rPr>
            </w:pPr>
            <w:r w:rsidRPr="00B62618">
              <w:rPr>
                <w:b/>
                <w:color w:val="000000" w:themeColor="text1"/>
                <w:sz w:val="22"/>
                <w:lang w:val="fr-FR"/>
              </w:rPr>
              <w:t>Interne (OEA) :</w:t>
            </w:r>
            <w:r w:rsidRPr="00B62618">
              <w:rPr>
                <w:color w:val="000000" w:themeColor="text1"/>
                <w:sz w:val="22"/>
                <w:lang w:val="fr-FR"/>
              </w:rPr>
              <w:t xml:space="preserve"> Portail éducatif des Amériques </w:t>
            </w:r>
          </w:p>
          <w:p w14:paraId="618E9C1D" w14:textId="77777777" w:rsidR="003F4D45" w:rsidRPr="00B62618" w:rsidRDefault="003F4D45" w:rsidP="003F4D45">
            <w:pPr>
              <w:contextualSpacing/>
              <w:rPr>
                <w:color w:val="000000" w:themeColor="text1"/>
                <w:sz w:val="22"/>
                <w:szCs w:val="22"/>
                <w:lang w:val="fr-FR"/>
              </w:rPr>
            </w:pPr>
          </w:p>
          <w:p w14:paraId="2CCC9772" w14:textId="3707F980" w:rsidR="003F4D45" w:rsidRPr="00B62618" w:rsidRDefault="003F4D45" w:rsidP="003F4D45">
            <w:pPr>
              <w:contextualSpacing/>
              <w:rPr>
                <w:color w:val="000000" w:themeColor="text1"/>
                <w:sz w:val="22"/>
                <w:szCs w:val="22"/>
                <w:highlight w:val="yellow"/>
                <w:lang w:val="fr-FR"/>
              </w:rPr>
            </w:pPr>
            <w:r w:rsidRPr="00B62618">
              <w:rPr>
                <w:b/>
                <w:color w:val="000000" w:themeColor="text1"/>
                <w:sz w:val="22"/>
                <w:lang w:val="fr-FR"/>
              </w:rPr>
              <w:t>Externe :</w:t>
            </w:r>
            <w:r w:rsidRPr="00B62618">
              <w:rPr>
                <w:color w:val="000000" w:themeColor="text1"/>
                <w:sz w:val="22"/>
                <w:lang w:val="fr-FR"/>
              </w:rPr>
              <w:t xml:space="preserve"> FEM, tous les domaines d'intervention et le programme d'impact des villes durables identifiés comme des partenaires potentiels.</w:t>
            </w:r>
          </w:p>
        </w:tc>
      </w:tr>
      <w:tr w:rsidR="003F4D45" w:rsidRPr="00121D09" w14:paraId="42D87902" w14:textId="77777777" w:rsidTr="00A66C51">
        <w:trPr>
          <w:gridAfter w:val="1"/>
          <w:wAfter w:w="15" w:type="dxa"/>
          <w:trHeight w:val="345"/>
          <w:jc w:val="center"/>
        </w:trPr>
        <w:tc>
          <w:tcPr>
            <w:tcW w:w="3225" w:type="dxa"/>
            <w:tcBorders>
              <w:top w:val="single" w:sz="6" w:space="0" w:color="000000"/>
              <w:bottom w:val="single" w:sz="6" w:space="0" w:color="000000"/>
            </w:tcBorders>
            <w:shd w:val="clear" w:color="auto" w:fill="BFBFBF" w:themeFill="background1" w:themeFillShade="BF"/>
          </w:tcPr>
          <w:p w14:paraId="47FB6BBB" w14:textId="77777777" w:rsidR="003F4D45" w:rsidRPr="00B62618" w:rsidRDefault="003F4D45" w:rsidP="003F4D45">
            <w:pPr>
              <w:keepNext/>
              <w:rPr>
                <w:rFonts w:eastAsia="Calibri"/>
                <w:b/>
                <w:bCs/>
                <w:color w:val="000000" w:themeColor="text1"/>
                <w:sz w:val="22"/>
                <w:szCs w:val="22"/>
                <w:lang w:val="fr-FR"/>
              </w:rPr>
            </w:pPr>
            <w:r w:rsidRPr="00B62618">
              <w:rPr>
                <w:b/>
                <w:color w:val="000000" w:themeColor="text1"/>
                <w:sz w:val="22"/>
                <w:lang w:val="fr-FR"/>
              </w:rPr>
              <w:t>OBJECTIF</w:t>
            </w:r>
          </w:p>
          <w:p w14:paraId="1360C2AC" w14:textId="77777777" w:rsidR="003F4D45" w:rsidRPr="00B62618" w:rsidRDefault="003F4D45" w:rsidP="003F4D45">
            <w:pPr>
              <w:keepNext/>
              <w:rPr>
                <w:rFonts w:eastAsia="Calibri"/>
                <w:b/>
                <w:bCs/>
                <w:color w:val="000000" w:themeColor="text1"/>
                <w:sz w:val="22"/>
                <w:szCs w:val="22"/>
                <w:lang w:val="fr-FR"/>
              </w:rPr>
            </w:pPr>
            <w:r w:rsidRPr="00B62618">
              <w:rPr>
                <w:b/>
                <w:color w:val="000000" w:themeColor="text1"/>
                <w:sz w:val="22"/>
                <w:lang w:val="fr-FR"/>
              </w:rPr>
              <w:t xml:space="preserve"> STRATÉGIQUE</w:t>
            </w:r>
          </w:p>
          <w:p w14:paraId="6A52F2B8" w14:textId="77777777" w:rsidR="003F4D45" w:rsidRPr="00B62618" w:rsidRDefault="003F4D45" w:rsidP="003F4D45">
            <w:pPr>
              <w:keepNext/>
              <w:rPr>
                <w:b/>
                <w:bCs/>
                <w:color w:val="000000" w:themeColor="text1"/>
                <w:sz w:val="22"/>
                <w:szCs w:val="22"/>
                <w:highlight w:val="yellow"/>
                <w:lang w:val="fr-FR"/>
              </w:rPr>
            </w:pPr>
          </w:p>
        </w:tc>
        <w:tc>
          <w:tcPr>
            <w:tcW w:w="10350" w:type="dxa"/>
            <w:gridSpan w:val="4"/>
            <w:tcBorders>
              <w:top w:val="single" w:sz="6" w:space="0" w:color="000000"/>
              <w:bottom w:val="single" w:sz="6" w:space="0" w:color="000000"/>
            </w:tcBorders>
            <w:shd w:val="clear" w:color="auto" w:fill="BFBFBF" w:themeFill="background1" w:themeFillShade="BF"/>
          </w:tcPr>
          <w:p w14:paraId="0B3672A2" w14:textId="13AA06A7" w:rsidR="003F4D45" w:rsidRPr="00B62618" w:rsidRDefault="003F4D45" w:rsidP="003F4D45">
            <w:pPr>
              <w:keepNext/>
              <w:rPr>
                <w:b/>
                <w:bCs/>
                <w:color w:val="000000" w:themeColor="text1"/>
                <w:sz w:val="22"/>
                <w:szCs w:val="22"/>
                <w:highlight w:val="yellow"/>
                <w:lang w:val="fr-FR"/>
              </w:rPr>
            </w:pPr>
            <w:r w:rsidRPr="00B62618">
              <w:rPr>
                <w:b/>
                <w:color w:val="000000" w:themeColor="text1"/>
                <w:sz w:val="22"/>
                <w:lang w:val="fr-FR"/>
              </w:rPr>
              <w:t xml:space="preserve">2.5. Promouvoir les capacités des États membres pour la gestion durable de l’énergie, en privilégiant la promotion des énergies propres, renouvelables et durables du point de vue environnemental ainsi que l’efficience énergétique, conformément aux objectifs et principes d’action énoncés à la section 3.5. </w:t>
            </w:r>
            <w:proofErr w:type="gramStart"/>
            <w:r w:rsidRPr="00B62618">
              <w:rPr>
                <w:b/>
                <w:color w:val="000000" w:themeColor="text1"/>
                <w:sz w:val="22"/>
                <w:lang w:val="fr-FR"/>
              </w:rPr>
              <w:t>du</w:t>
            </w:r>
            <w:proofErr w:type="gramEnd"/>
            <w:r w:rsidRPr="00B62618">
              <w:rPr>
                <w:b/>
                <w:color w:val="000000" w:themeColor="text1"/>
                <w:sz w:val="22"/>
                <w:lang w:val="fr-FR"/>
              </w:rPr>
              <w:t xml:space="preserve"> PIDS.</w:t>
            </w:r>
          </w:p>
        </w:tc>
      </w:tr>
      <w:tr w:rsidR="003F4D45" w:rsidRPr="00B62618" w14:paraId="766380A6" w14:textId="77777777" w:rsidTr="00A66C51">
        <w:trPr>
          <w:gridAfter w:val="1"/>
          <w:wAfter w:w="15" w:type="dxa"/>
          <w:trHeight w:val="345"/>
          <w:jc w:val="center"/>
        </w:trPr>
        <w:tc>
          <w:tcPr>
            <w:tcW w:w="13575" w:type="dxa"/>
            <w:gridSpan w:val="5"/>
            <w:tcBorders>
              <w:top w:val="single" w:sz="6" w:space="0" w:color="000000"/>
            </w:tcBorders>
            <w:shd w:val="clear" w:color="auto" w:fill="D9D9D9" w:themeFill="background1" w:themeFillShade="D9"/>
          </w:tcPr>
          <w:p w14:paraId="05A7187F" w14:textId="037D8E8B" w:rsidR="003F4D45" w:rsidRPr="00B62618" w:rsidRDefault="003F4D45" w:rsidP="003F4D45">
            <w:pPr>
              <w:keepNext/>
              <w:rPr>
                <w:b/>
                <w:bCs/>
                <w:color w:val="000000" w:themeColor="text1"/>
                <w:sz w:val="22"/>
                <w:szCs w:val="22"/>
                <w:highlight w:val="yellow"/>
                <w:lang w:val="fr-FR"/>
              </w:rPr>
            </w:pPr>
            <w:r w:rsidRPr="00B62618">
              <w:rPr>
                <w:b/>
                <w:color w:val="000000" w:themeColor="text1"/>
                <w:sz w:val="22"/>
                <w:lang w:val="fr-FR"/>
              </w:rPr>
              <w:t>Énergie</w:t>
            </w:r>
          </w:p>
        </w:tc>
      </w:tr>
      <w:tr w:rsidR="003F4D45" w:rsidRPr="00121D09" w14:paraId="6C177F17" w14:textId="77777777" w:rsidTr="00A66C51">
        <w:trPr>
          <w:gridAfter w:val="1"/>
          <w:wAfter w:w="15" w:type="dxa"/>
          <w:trHeight w:val="2130"/>
          <w:jc w:val="center"/>
        </w:trPr>
        <w:tc>
          <w:tcPr>
            <w:tcW w:w="3225" w:type="dxa"/>
            <w:vMerge w:val="restart"/>
            <w:shd w:val="clear" w:color="auto" w:fill="auto"/>
            <w:hideMark/>
          </w:tcPr>
          <w:p w14:paraId="624B4934" w14:textId="4ED24DCA" w:rsidR="003F4D45" w:rsidRPr="00B62618" w:rsidRDefault="003F4D45" w:rsidP="003F4D45">
            <w:pPr>
              <w:rPr>
                <w:color w:val="000000" w:themeColor="text1"/>
                <w:sz w:val="22"/>
                <w:szCs w:val="22"/>
                <w:highlight w:val="yellow"/>
                <w:lang w:val="fr-FR"/>
              </w:rPr>
            </w:pPr>
            <w:r w:rsidRPr="00B62618">
              <w:rPr>
                <w:b/>
                <w:color w:val="000000" w:themeColor="text1"/>
                <w:sz w:val="22"/>
                <w:lang w:val="fr-FR"/>
              </w:rPr>
              <w:t>Partenariat des Amériques pour l'énergie et le climat (ECPA)</w:t>
            </w:r>
          </w:p>
        </w:tc>
        <w:tc>
          <w:tcPr>
            <w:tcW w:w="4320" w:type="dxa"/>
            <w:gridSpan w:val="2"/>
            <w:vMerge w:val="restart"/>
            <w:shd w:val="clear" w:color="auto" w:fill="auto"/>
            <w:hideMark/>
          </w:tcPr>
          <w:p w14:paraId="78097A1F" w14:textId="77777777" w:rsidR="003F4D45" w:rsidRPr="00B62618" w:rsidRDefault="003F4D45" w:rsidP="003F4D45">
            <w:pPr>
              <w:rPr>
                <w:color w:val="000000" w:themeColor="text1"/>
                <w:sz w:val="22"/>
                <w:szCs w:val="22"/>
                <w:lang w:val="fr-FR"/>
              </w:rPr>
            </w:pPr>
            <w:r w:rsidRPr="00B62618">
              <w:rPr>
                <w:color w:val="000000" w:themeColor="text1"/>
                <w:sz w:val="22"/>
                <w:lang w:val="fr-FR"/>
              </w:rPr>
              <w:t>Contribuer au développement de marchés qui favorisent les énergies renouvelables et le gaz naturel, créent des emplois et encouragent une croissance à faible émission de carbone.</w:t>
            </w:r>
          </w:p>
          <w:p w14:paraId="1E9EF777" w14:textId="77777777" w:rsidR="003F4D45" w:rsidRPr="00B62618" w:rsidRDefault="003F4D45" w:rsidP="003F4D45">
            <w:pPr>
              <w:rPr>
                <w:color w:val="000000" w:themeColor="text1"/>
                <w:sz w:val="22"/>
                <w:szCs w:val="22"/>
                <w:lang w:val="fr-FR"/>
              </w:rPr>
            </w:pPr>
          </w:p>
          <w:p w14:paraId="538861FA" w14:textId="77777777" w:rsidR="003F4D45" w:rsidRPr="00B62618" w:rsidRDefault="003F4D45" w:rsidP="003F4D45">
            <w:pPr>
              <w:rPr>
                <w:color w:val="000000" w:themeColor="text1"/>
                <w:sz w:val="22"/>
                <w:szCs w:val="22"/>
                <w:lang w:val="fr-FR"/>
              </w:rPr>
            </w:pPr>
            <w:r w:rsidRPr="00B62618">
              <w:rPr>
                <w:color w:val="000000" w:themeColor="text1"/>
                <w:sz w:val="22"/>
                <w:lang w:val="fr-FR"/>
              </w:rPr>
              <w:t>L'énergie est d'une importance capitale pour le développement intégré. Les principaux facteurs qui déterminent les décisions prises par les États membres dans le domaine de l'énergie sont l'offre, la demande et le coût. Les transitions en matière d'énergie propre qui ont lieu au niveau régional offrent une nouvelle occasion de stimuler une croissance économique et sociale durable.</w:t>
            </w:r>
          </w:p>
          <w:p w14:paraId="3223942E" w14:textId="77777777" w:rsidR="003F4D45" w:rsidRPr="00B62618" w:rsidRDefault="003F4D45" w:rsidP="003F4D45">
            <w:pPr>
              <w:rPr>
                <w:color w:val="000000" w:themeColor="text1"/>
                <w:sz w:val="22"/>
                <w:szCs w:val="22"/>
                <w:lang w:val="fr-FR"/>
              </w:rPr>
            </w:pPr>
          </w:p>
          <w:p w14:paraId="3AB1513C" w14:textId="19F872D1" w:rsidR="003F4D45" w:rsidRPr="00B62618" w:rsidRDefault="003F4D45" w:rsidP="003F4D45">
            <w:pPr>
              <w:rPr>
                <w:color w:val="000000" w:themeColor="text1"/>
                <w:sz w:val="22"/>
                <w:szCs w:val="22"/>
                <w:highlight w:val="yellow"/>
                <w:lang w:val="fr-FR"/>
              </w:rPr>
            </w:pPr>
            <w:r w:rsidRPr="00B62618">
              <w:rPr>
                <w:color w:val="000000" w:themeColor="text1"/>
                <w:sz w:val="22"/>
                <w:lang w:val="fr-FR"/>
              </w:rPr>
              <w:t>Les interventions relevant de cet objectif stratégique 2.3 contribuent également aux objectifs stratégiques 2.1, 2.3 et 2.4.</w:t>
            </w:r>
          </w:p>
        </w:tc>
        <w:tc>
          <w:tcPr>
            <w:tcW w:w="3330" w:type="dxa"/>
            <w:shd w:val="clear" w:color="auto" w:fill="auto"/>
            <w:hideMark/>
          </w:tcPr>
          <w:p w14:paraId="3F864550" w14:textId="64C5498A" w:rsidR="003F4D45" w:rsidRPr="00B62618" w:rsidRDefault="003F4D45" w:rsidP="003F4D45">
            <w:pPr>
              <w:rPr>
                <w:color w:val="000000" w:themeColor="text1"/>
                <w:sz w:val="22"/>
                <w:szCs w:val="22"/>
                <w:highlight w:val="yellow"/>
                <w:lang w:val="fr-FR"/>
              </w:rPr>
            </w:pPr>
            <w:r w:rsidRPr="00B62618">
              <w:rPr>
                <w:color w:val="000000" w:themeColor="text1"/>
                <w:sz w:val="22"/>
                <w:lang w:val="fr-FR"/>
              </w:rPr>
              <w:t>Partenariats avec le secteur privé pour générer un impact social et environnemental positif en matière de sécurité, d'accès et de prix de l'énergie ; renforcer la résilience et la fiabilité des systèmes énergétiques ; et promouvoir le concept de transitions énergétiques en tant que moteur du développement durable, de la croissance et de la reprise économique dans le contexte de la pandémie de COVID-19. Résultats précis anticipés :</w:t>
            </w:r>
          </w:p>
        </w:tc>
        <w:tc>
          <w:tcPr>
            <w:tcW w:w="2700" w:type="dxa"/>
            <w:vMerge w:val="restart"/>
            <w:shd w:val="clear" w:color="auto" w:fill="auto"/>
            <w:hideMark/>
          </w:tcPr>
          <w:p w14:paraId="30EFD332" w14:textId="77777777" w:rsidR="003F4D45" w:rsidRPr="00B62618" w:rsidRDefault="003F4D45" w:rsidP="003F4D45">
            <w:pPr>
              <w:contextualSpacing/>
              <w:rPr>
                <w:color w:val="000000" w:themeColor="text1"/>
                <w:sz w:val="22"/>
                <w:szCs w:val="22"/>
                <w:lang w:val="fr-FR"/>
              </w:rPr>
            </w:pPr>
            <w:r w:rsidRPr="00B62618">
              <w:rPr>
                <w:b/>
                <w:color w:val="000000" w:themeColor="text1"/>
                <w:sz w:val="22"/>
                <w:lang w:val="fr-FR"/>
              </w:rPr>
              <w:t>Interne (OEA) :</w:t>
            </w:r>
            <w:r w:rsidRPr="00B62618">
              <w:rPr>
                <w:color w:val="000000" w:themeColor="text1"/>
                <w:sz w:val="22"/>
                <w:lang w:val="fr-FR"/>
              </w:rPr>
              <w:t xml:space="preserve"> DED/SEDI (possibilité d'engagement avec l'ACF/ACE, la réunion des ministres de la S&amp;T et les SBC), CICTE. </w:t>
            </w:r>
          </w:p>
          <w:p w14:paraId="7B85E539" w14:textId="77777777" w:rsidR="003F4D45" w:rsidRPr="00B62618" w:rsidRDefault="003F4D45" w:rsidP="003F4D45">
            <w:pPr>
              <w:contextualSpacing/>
              <w:rPr>
                <w:color w:val="000000" w:themeColor="text1"/>
                <w:sz w:val="22"/>
                <w:szCs w:val="22"/>
                <w:lang w:val="fr-FR"/>
              </w:rPr>
            </w:pPr>
          </w:p>
          <w:p w14:paraId="4D73BC9C" w14:textId="5AB7C786" w:rsidR="003F4D45" w:rsidRPr="00B62618" w:rsidRDefault="003F4D45" w:rsidP="003F4D45">
            <w:pPr>
              <w:contextualSpacing/>
              <w:rPr>
                <w:color w:val="000000" w:themeColor="text1"/>
                <w:sz w:val="22"/>
                <w:szCs w:val="22"/>
                <w:highlight w:val="yellow"/>
                <w:lang w:val="fr-FR"/>
              </w:rPr>
            </w:pPr>
            <w:r w:rsidRPr="00B62618">
              <w:rPr>
                <w:b/>
                <w:color w:val="000000" w:themeColor="text1"/>
                <w:sz w:val="22"/>
                <w:lang w:val="fr-FR"/>
              </w:rPr>
              <w:t>Externe :</w:t>
            </w:r>
            <w:r w:rsidRPr="00B62618">
              <w:rPr>
                <w:color w:val="000000" w:themeColor="text1"/>
                <w:sz w:val="22"/>
                <w:lang w:val="fr-FR"/>
              </w:rPr>
              <w:t xml:space="preserve"> Mettre en concurrence les Caraïbes/la BID comme partenaire potentiel.</w:t>
            </w:r>
          </w:p>
        </w:tc>
      </w:tr>
      <w:tr w:rsidR="003F4D45" w:rsidRPr="00121D09" w14:paraId="69B620BF" w14:textId="77777777" w:rsidTr="00A66C51">
        <w:trPr>
          <w:gridAfter w:val="1"/>
          <w:wAfter w:w="15" w:type="dxa"/>
          <w:trHeight w:val="555"/>
          <w:jc w:val="center"/>
        </w:trPr>
        <w:tc>
          <w:tcPr>
            <w:tcW w:w="3225" w:type="dxa"/>
            <w:vMerge/>
            <w:shd w:val="clear" w:color="auto" w:fill="auto"/>
            <w:vAlign w:val="center"/>
            <w:hideMark/>
          </w:tcPr>
          <w:p w14:paraId="5C738E10" w14:textId="77777777" w:rsidR="003F4D45" w:rsidRPr="00B62618" w:rsidRDefault="003F4D45" w:rsidP="003F4D45">
            <w:pPr>
              <w:rPr>
                <w:color w:val="000000" w:themeColor="text1"/>
                <w:sz w:val="22"/>
                <w:szCs w:val="22"/>
                <w:highlight w:val="yellow"/>
                <w:lang w:val="fr-FR"/>
              </w:rPr>
            </w:pPr>
          </w:p>
        </w:tc>
        <w:tc>
          <w:tcPr>
            <w:tcW w:w="4320" w:type="dxa"/>
            <w:gridSpan w:val="2"/>
            <w:vMerge/>
            <w:shd w:val="clear" w:color="auto" w:fill="auto"/>
            <w:vAlign w:val="center"/>
            <w:hideMark/>
          </w:tcPr>
          <w:p w14:paraId="581DEDA1" w14:textId="77777777" w:rsidR="003F4D45" w:rsidRPr="00B62618" w:rsidRDefault="003F4D45" w:rsidP="003F4D45">
            <w:pPr>
              <w:rPr>
                <w:color w:val="000000" w:themeColor="text1"/>
                <w:sz w:val="22"/>
                <w:szCs w:val="22"/>
                <w:highlight w:val="yellow"/>
                <w:lang w:val="fr-FR"/>
              </w:rPr>
            </w:pPr>
          </w:p>
        </w:tc>
        <w:tc>
          <w:tcPr>
            <w:tcW w:w="3330" w:type="dxa"/>
            <w:shd w:val="clear" w:color="auto" w:fill="auto"/>
            <w:hideMark/>
          </w:tcPr>
          <w:p w14:paraId="0F320FF5" w14:textId="3A50F89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Élaboration d'une stratégie visant à promouvoir l'investissement à impact dans les énergies propres sur les marchés d'Amérique latine et des Caraïbes.</w:t>
            </w:r>
          </w:p>
        </w:tc>
        <w:tc>
          <w:tcPr>
            <w:tcW w:w="2700" w:type="dxa"/>
            <w:vMerge/>
            <w:shd w:val="clear" w:color="auto" w:fill="auto"/>
            <w:vAlign w:val="center"/>
            <w:hideMark/>
          </w:tcPr>
          <w:p w14:paraId="0E9AF503" w14:textId="77777777" w:rsidR="003F4D45" w:rsidRPr="00B62618" w:rsidRDefault="003F4D45" w:rsidP="003F4D45">
            <w:pPr>
              <w:rPr>
                <w:color w:val="000000" w:themeColor="text1"/>
                <w:sz w:val="22"/>
                <w:szCs w:val="22"/>
                <w:highlight w:val="yellow"/>
                <w:lang w:val="fr-FR"/>
              </w:rPr>
            </w:pPr>
          </w:p>
        </w:tc>
      </w:tr>
      <w:tr w:rsidR="003F4D45" w:rsidRPr="00121D09" w14:paraId="794429B3" w14:textId="77777777" w:rsidTr="00A66C51">
        <w:trPr>
          <w:gridAfter w:val="1"/>
          <w:wAfter w:w="15" w:type="dxa"/>
          <w:trHeight w:val="555"/>
          <w:jc w:val="center"/>
        </w:trPr>
        <w:tc>
          <w:tcPr>
            <w:tcW w:w="3225" w:type="dxa"/>
            <w:vMerge/>
            <w:shd w:val="clear" w:color="auto" w:fill="auto"/>
            <w:vAlign w:val="center"/>
            <w:hideMark/>
          </w:tcPr>
          <w:p w14:paraId="0B13231F" w14:textId="77777777" w:rsidR="003F4D45" w:rsidRPr="00B62618" w:rsidRDefault="003F4D45" w:rsidP="003F4D45">
            <w:pPr>
              <w:rPr>
                <w:color w:val="000000" w:themeColor="text1"/>
                <w:sz w:val="22"/>
                <w:szCs w:val="22"/>
                <w:highlight w:val="yellow"/>
                <w:lang w:val="fr-FR"/>
              </w:rPr>
            </w:pPr>
          </w:p>
        </w:tc>
        <w:tc>
          <w:tcPr>
            <w:tcW w:w="4320" w:type="dxa"/>
            <w:gridSpan w:val="2"/>
            <w:vMerge/>
            <w:shd w:val="clear" w:color="auto" w:fill="auto"/>
            <w:vAlign w:val="center"/>
            <w:hideMark/>
          </w:tcPr>
          <w:p w14:paraId="783706AB" w14:textId="77777777" w:rsidR="003F4D45" w:rsidRPr="00B62618" w:rsidRDefault="003F4D45" w:rsidP="003F4D45">
            <w:pPr>
              <w:rPr>
                <w:color w:val="000000" w:themeColor="text1"/>
                <w:sz w:val="22"/>
                <w:szCs w:val="22"/>
                <w:highlight w:val="yellow"/>
                <w:lang w:val="fr-FR"/>
              </w:rPr>
            </w:pPr>
          </w:p>
        </w:tc>
        <w:tc>
          <w:tcPr>
            <w:tcW w:w="3330" w:type="dxa"/>
            <w:shd w:val="clear" w:color="auto" w:fill="auto"/>
            <w:hideMark/>
          </w:tcPr>
          <w:p w14:paraId="7207C6FA" w14:textId="708A7D85" w:rsidR="003F4D45" w:rsidRPr="00B62618" w:rsidRDefault="003F4D45" w:rsidP="003F4D45">
            <w:pPr>
              <w:rPr>
                <w:color w:val="000000" w:themeColor="text1"/>
                <w:sz w:val="22"/>
                <w:szCs w:val="22"/>
                <w:highlight w:val="yellow"/>
                <w:lang w:val="fr-FR"/>
              </w:rPr>
            </w:pPr>
            <w:r w:rsidRPr="00B62618">
              <w:rPr>
                <w:color w:val="000000" w:themeColor="text1"/>
                <w:sz w:val="22"/>
                <w:lang w:val="fr-FR"/>
              </w:rPr>
              <w:t>Renforcement des capacités et formation à la résilience des systèmes énergétiques.</w:t>
            </w:r>
          </w:p>
        </w:tc>
        <w:tc>
          <w:tcPr>
            <w:tcW w:w="2700" w:type="dxa"/>
            <w:vMerge/>
            <w:shd w:val="clear" w:color="auto" w:fill="auto"/>
            <w:vAlign w:val="center"/>
            <w:hideMark/>
          </w:tcPr>
          <w:p w14:paraId="2F696493" w14:textId="77777777" w:rsidR="003F4D45" w:rsidRPr="00B62618" w:rsidRDefault="003F4D45" w:rsidP="003F4D45">
            <w:pPr>
              <w:rPr>
                <w:color w:val="000000" w:themeColor="text1"/>
                <w:sz w:val="22"/>
                <w:szCs w:val="22"/>
                <w:highlight w:val="yellow"/>
                <w:lang w:val="fr-FR"/>
              </w:rPr>
            </w:pPr>
          </w:p>
        </w:tc>
      </w:tr>
      <w:tr w:rsidR="003F4D45" w:rsidRPr="00121D09" w14:paraId="193A9347" w14:textId="77777777" w:rsidTr="00A66C51">
        <w:trPr>
          <w:gridAfter w:val="1"/>
          <w:wAfter w:w="15" w:type="dxa"/>
          <w:trHeight w:val="555"/>
          <w:jc w:val="center"/>
        </w:trPr>
        <w:tc>
          <w:tcPr>
            <w:tcW w:w="3225" w:type="dxa"/>
            <w:vMerge/>
            <w:shd w:val="clear" w:color="auto" w:fill="auto"/>
            <w:vAlign w:val="center"/>
            <w:hideMark/>
          </w:tcPr>
          <w:p w14:paraId="4700B11D" w14:textId="77777777" w:rsidR="003F4D45" w:rsidRPr="00B62618" w:rsidRDefault="003F4D45" w:rsidP="003F4D45">
            <w:pPr>
              <w:rPr>
                <w:color w:val="000000" w:themeColor="text1"/>
                <w:sz w:val="22"/>
                <w:szCs w:val="22"/>
                <w:highlight w:val="yellow"/>
                <w:lang w:val="fr-FR"/>
              </w:rPr>
            </w:pPr>
          </w:p>
        </w:tc>
        <w:tc>
          <w:tcPr>
            <w:tcW w:w="4320" w:type="dxa"/>
            <w:gridSpan w:val="2"/>
            <w:vMerge/>
            <w:shd w:val="clear" w:color="auto" w:fill="auto"/>
            <w:vAlign w:val="center"/>
            <w:hideMark/>
          </w:tcPr>
          <w:p w14:paraId="00976D65" w14:textId="77777777" w:rsidR="003F4D45" w:rsidRPr="00B62618" w:rsidRDefault="003F4D45" w:rsidP="003F4D45">
            <w:pPr>
              <w:rPr>
                <w:color w:val="000000" w:themeColor="text1"/>
                <w:sz w:val="22"/>
                <w:szCs w:val="22"/>
                <w:highlight w:val="yellow"/>
                <w:lang w:val="fr-FR"/>
              </w:rPr>
            </w:pPr>
          </w:p>
        </w:tc>
        <w:tc>
          <w:tcPr>
            <w:tcW w:w="3330" w:type="dxa"/>
            <w:shd w:val="clear" w:color="auto" w:fill="auto"/>
            <w:hideMark/>
          </w:tcPr>
          <w:p w14:paraId="4C4C7696" w14:textId="32DB8FD4" w:rsidR="003F4D45" w:rsidRPr="00B62618" w:rsidRDefault="003F4D45" w:rsidP="003F4D45">
            <w:pPr>
              <w:rPr>
                <w:color w:val="000000" w:themeColor="text1"/>
                <w:sz w:val="22"/>
                <w:szCs w:val="22"/>
                <w:highlight w:val="yellow"/>
                <w:lang w:val="fr-FR"/>
              </w:rPr>
            </w:pPr>
            <w:r w:rsidRPr="00B62618">
              <w:rPr>
                <w:color w:val="000000" w:themeColor="text1"/>
                <w:sz w:val="22"/>
                <w:lang w:val="fr-FR"/>
              </w:rPr>
              <w:t>Renforcement des mesures nationales de la qualité de l'air et des émissions de gaz à effet de serre.</w:t>
            </w:r>
          </w:p>
        </w:tc>
        <w:tc>
          <w:tcPr>
            <w:tcW w:w="2700" w:type="dxa"/>
            <w:vMerge/>
            <w:shd w:val="clear" w:color="auto" w:fill="auto"/>
            <w:vAlign w:val="center"/>
            <w:hideMark/>
          </w:tcPr>
          <w:p w14:paraId="2C6E297E" w14:textId="77777777" w:rsidR="003F4D45" w:rsidRPr="00B62618" w:rsidRDefault="003F4D45" w:rsidP="003F4D45">
            <w:pPr>
              <w:rPr>
                <w:color w:val="000000" w:themeColor="text1"/>
                <w:sz w:val="22"/>
                <w:szCs w:val="22"/>
                <w:highlight w:val="yellow"/>
                <w:lang w:val="fr-FR"/>
              </w:rPr>
            </w:pPr>
          </w:p>
        </w:tc>
      </w:tr>
      <w:tr w:rsidR="003F4D45" w:rsidRPr="00121D09" w14:paraId="6577D6E5" w14:textId="77777777" w:rsidTr="00A66C51">
        <w:trPr>
          <w:gridAfter w:val="1"/>
          <w:wAfter w:w="15" w:type="dxa"/>
          <w:trHeight w:val="555"/>
          <w:jc w:val="center"/>
        </w:trPr>
        <w:tc>
          <w:tcPr>
            <w:tcW w:w="3225" w:type="dxa"/>
            <w:tcBorders>
              <w:bottom w:val="single" w:sz="6" w:space="0" w:color="000000"/>
            </w:tcBorders>
            <w:shd w:val="clear" w:color="auto" w:fill="auto"/>
            <w:hideMark/>
          </w:tcPr>
          <w:p w14:paraId="7730CFB9" w14:textId="51CA705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 xml:space="preserve">Audits énergétiques. Cybersécurité et énergie.  </w:t>
            </w:r>
          </w:p>
        </w:tc>
        <w:tc>
          <w:tcPr>
            <w:tcW w:w="4320" w:type="dxa"/>
            <w:gridSpan w:val="2"/>
            <w:vMerge/>
            <w:tcBorders>
              <w:bottom w:val="single" w:sz="6" w:space="0" w:color="000000"/>
            </w:tcBorders>
            <w:shd w:val="clear" w:color="auto" w:fill="auto"/>
            <w:vAlign w:val="center"/>
            <w:hideMark/>
          </w:tcPr>
          <w:p w14:paraId="269DF09B" w14:textId="77777777" w:rsidR="003F4D45" w:rsidRPr="00B62618" w:rsidRDefault="003F4D45" w:rsidP="003F4D45">
            <w:pPr>
              <w:rPr>
                <w:color w:val="000000" w:themeColor="text1"/>
                <w:sz w:val="22"/>
                <w:szCs w:val="22"/>
                <w:highlight w:val="yellow"/>
                <w:lang w:val="fr-FR"/>
              </w:rPr>
            </w:pPr>
          </w:p>
        </w:tc>
        <w:tc>
          <w:tcPr>
            <w:tcW w:w="3330" w:type="dxa"/>
            <w:tcBorders>
              <w:bottom w:val="single" w:sz="6" w:space="0" w:color="000000"/>
            </w:tcBorders>
            <w:shd w:val="clear" w:color="auto" w:fill="auto"/>
            <w:hideMark/>
          </w:tcPr>
          <w:p w14:paraId="142442A7" w14:textId="2524DCAD" w:rsidR="003F4D45" w:rsidRPr="00B62618" w:rsidRDefault="003F4D45" w:rsidP="003F4D45">
            <w:pPr>
              <w:rPr>
                <w:color w:val="000000" w:themeColor="text1"/>
                <w:sz w:val="22"/>
                <w:szCs w:val="22"/>
                <w:highlight w:val="yellow"/>
                <w:lang w:val="fr-FR"/>
              </w:rPr>
            </w:pPr>
            <w:r w:rsidRPr="00B62618">
              <w:rPr>
                <w:color w:val="000000" w:themeColor="text1"/>
                <w:sz w:val="22"/>
                <w:lang w:val="fr-FR"/>
              </w:rPr>
              <w:t>Partenariat intersecrétariats potentiel avec le CICTE.</w:t>
            </w:r>
          </w:p>
        </w:tc>
        <w:tc>
          <w:tcPr>
            <w:tcW w:w="2700" w:type="dxa"/>
            <w:vMerge/>
            <w:tcBorders>
              <w:bottom w:val="single" w:sz="6" w:space="0" w:color="000000"/>
            </w:tcBorders>
            <w:shd w:val="clear" w:color="auto" w:fill="auto"/>
            <w:vAlign w:val="center"/>
            <w:hideMark/>
          </w:tcPr>
          <w:p w14:paraId="4E1DBA10" w14:textId="77777777" w:rsidR="003F4D45" w:rsidRPr="00B62618" w:rsidRDefault="003F4D45" w:rsidP="003F4D45">
            <w:pPr>
              <w:rPr>
                <w:color w:val="000000" w:themeColor="text1"/>
                <w:sz w:val="22"/>
                <w:szCs w:val="22"/>
                <w:highlight w:val="yellow"/>
                <w:lang w:val="fr-FR"/>
              </w:rPr>
            </w:pPr>
          </w:p>
        </w:tc>
      </w:tr>
      <w:tr w:rsidR="003F4D45" w:rsidRPr="00121D09" w14:paraId="2CDB8CDE" w14:textId="77777777" w:rsidTr="00A66C51">
        <w:trPr>
          <w:gridAfter w:val="1"/>
          <w:wAfter w:w="15" w:type="dxa"/>
          <w:trHeight w:val="555"/>
          <w:jc w:val="center"/>
        </w:trPr>
        <w:tc>
          <w:tcPr>
            <w:tcW w:w="3225" w:type="dxa"/>
            <w:tcBorders>
              <w:top w:val="single" w:sz="6" w:space="0" w:color="000000"/>
              <w:bottom w:val="single" w:sz="6" w:space="0" w:color="000000"/>
            </w:tcBorders>
            <w:shd w:val="clear" w:color="auto" w:fill="BFBFBF" w:themeFill="background1" w:themeFillShade="BF"/>
          </w:tcPr>
          <w:p w14:paraId="3C688DD8" w14:textId="77777777" w:rsidR="003F4D45" w:rsidRPr="00B62618" w:rsidRDefault="003F4D45" w:rsidP="003F4D45">
            <w:pPr>
              <w:rPr>
                <w:rFonts w:eastAsia="Calibri"/>
                <w:b/>
                <w:bCs/>
                <w:color w:val="000000" w:themeColor="text1"/>
                <w:sz w:val="22"/>
                <w:szCs w:val="22"/>
                <w:lang w:val="fr-FR"/>
              </w:rPr>
            </w:pPr>
            <w:r w:rsidRPr="00B62618">
              <w:rPr>
                <w:b/>
                <w:color w:val="000000" w:themeColor="text1"/>
                <w:sz w:val="22"/>
                <w:lang w:val="fr-FR"/>
              </w:rPr>
              <w:t xml:space="preserve">OBJECTIF </w:t>
            </w:r>
          </w:p>
          <w:p w14:paraId="4C8A6857" w14:textId="1216767B"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STRATÉGIQUE</w:t>
            </w:r>
          </w:p>
        </w:tc>
        <w:tc>
          <w:tcPr>
            <w:tcW w:w="10350" w:type="dxa"/>
            <w:gridSpan w:val="4"/>
            <w:tcBorders>
              <w:top w:val="single" w:sz="6" w:space="0" w:color="000000"/>
              <w:bottom w:val="single" w:sz="6" w:space="0" w:color="000000"/>
            </w:tcBorders>
            <w:shd w:val="clear" w:color="auto" w:fill="BFBFBF" w:themeFill="background1" w:themeFillShade="BF"/>
          </w:tcPr>
          <w:p w14:paraId="74D1BA0D" w14:textId="6906615B"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 xml:space="preserve">2.6. Renforcer les capacités des États membres à disposer d’institutions efficientes, efficaces, responsables et inclusives pour le développement durable, conformément aux objectifs et principes d’action énoncés à la section 3.6. </w:t>
            </w:r>
            <w:proofErr w:type="gramStart"/>
            <w:r w:rsidRPr="00B62618">
              <w:rPr>
                <w:b/>
                <w:color w:val="000000" w:themeColor="text1"/>
                <w:sz w:val="22"/>
                <w:lang w:val="fr-FR"/>
              </w:rPr>
              <w:t>du</w:t>
            </w:r>
            <w:proofErr w:type="gramEnd"/>
            <w:r w:rsidRPr="00B62618">
              <w:rPr>
                <w:b/>
                <w:color w:val="000000" w:themeColor="text1"/>
                <w:sz w:val="22"/>
                <w:lang w:val="fr-FR"/>
              </w:rPr>
              <w:t xml:space="preserve"> PIDS.</w:t>
            </w:r>
          </w:p>
        </w:tc>
      </w:tr>
      <w:tr w:rsidR="003F4D45" w:rsidRPr="00B62618" w14:paraId="16509C3D" w14:textId="77777777" w:rsidTr="00A66C51">
        <w:trPr>
          <w:gridAfter w:val="1"/>
          <w:wAfter w:w="15" w:type="dxa"/>
          <w:trHeight w:val="288"/>
          <w:jc w:val="center"/>
        </w:trPr>
        <w:tc>
          <w:tcPr>
            <w:tcW w:w="13575" w:type="dxa"/>
            <w:gridSpan w:val="5"/>
            <w:tcBorders>
              <w:top w:val="single" w:sz="6" w:space="0" w:color="000000"/>
            </w:tcBorders>
            <w:shd w:val="clear" w:color="auto" w:fill="D9D9D9" w:themeFill="background1" w:themeFillShade="D9"/>
          </w:tcPr>
          <w:p w14:paraId="7DB7FC22" w14:textId="6EF7BCA8" w:rsidR="003F4D45" w:rsidRPr="00B62618" w:rsidRDefault="003F4D45" w:rsidP="003F4D45">
            <w:pPr>
              <w:rPr>
                <w:b/>
                <w:bCs/>
                <w:color w:val="000000" w:themeColor="text1"/>
                <w:sz w:val="22"/>
                <w:szCs w:val="22"/>
                <w:highlight w:val="yellow"/>
                <w:lang w:val="fr-FR"/>
              </w:rPr>
            </w:pPr>
            <w:r w:rsidRPr="00B62618">
              <w:rPr>
                <w:b/>
                <w:color w:val="000000" w:themeColor="text1"/>
                <w:sz w:val="22"/>
                <w:lang w:val="fr-FR"/>
              </w:rPr>
              <w:t>Commerce et environnement :</w:t>
            </w:r>
          </w:p>
        </w:tc>
      </w:tr>
      <w:tr w:rsidR="003F4D45" w:rsidRPr="00121D09" w14:paraId="0A898498" w14:textId="77777777" w:rsidTr="00A66C51">
        <w:trPr>
          <w:gridAfter w:val="1"/>
          <w:wAfter w:w="15" w:type="dxa"/>
          <w:trHeight w:val="555"/>
          <w:jc w:val="center"/>
        </w:trPr>
        <w:tc>
          <w:tcPr>
            <w:tcW w:w="3225" w:type="dxa"/>
            <w:vMerge w:val="restart"/>
            <w:shd w:val="clear" w:color="auto" w:fill="auto"/>
          </w:tcPr>
          <w:p w14:paraId="69281033" w14:textId="77777777" w:rsidR="003F4D45" w:rsidRPr="00B62618" w:rsidRDefault="003F4D45" w:rsidP="003F4D45">
            <w:pPr>
              <w:rPr>
                <w:b/>
                <w:bCs/>
                <w:color w:val="000000" w:themeColor="text1"/>
                <w:sz w:val="22"/>
                <w:szCs w:val="22"/>
                <w:lang w:val="fr-FR"/>
              </w:rPr>
            </w:pPr>
          </w:p>
          <w:p w14:paraId="41026392" w14:textId="77777777" w:rsidR="003F4D45" w:rsidRPr="00B62618" w:rsidRDefault="003F4D45" w:rsidP="003F4D45">
            <w:pPr>
              <w:rPr>
                <w:b/>
                <w:bCs/>
                <w:color w:val="000000" w:themeColor="text1"/>
                <w:sz w:val="22"/>
                <w:szCs w:val="22"/>
                <w:lang w:val="fr-FR"/>
              </w:rPr>
            </w:pPr>
          </w:p>
          <w:p w14:paraId="21429BDE" w14:textId="13B2B939" w:rsidR="003F4D45" w:rsidRPr="00B62618" w:rsidRDefault="003F4D45" w:rsidP="003F4D45">
            <w:pPr>
              <w:rPr>
                <w:rFonts w:eastAsia="Calibri"/>
                <w:color w:val="000000" w:themeColor="text1"/>
                <w:sz w:val="22"/>
                <w:szCs w:val="22"/>
                <w:highlight w:val="yellow"/>
                <w:lang w:val="fr-FR"/>
              </w:rPr>
            </w:pPr>
            <w:r w:rsidRPr="00B62618">
              <w:rPr>
                <w:b/>
                <w:color w:val="000000" w:themeColor="text1"/>
                <w:sz w:val="22"/>
                <w:lang w:val="fr-FR"/>
              </w:rPr>
              <w:t>Accord commercial entre les États-Unis et le Pérou</w:t>
            </w:r>
          </w:p>
        </w:tc>
        <w:tc>
          <w:tcPr>
            <w:tcW w:w="4320" w:type="dxa"/>
            <w:gridSpan w:val="2"/>
            <w:shd w:val="clear" w:color="auto" w:fill="auto"/>
            <w:vAlign w:val="center"/>
          </w:tcPr>
          <w:p w14:paraId="136266AC" w14:textId="77777777" w:rsidR="003F4D45" w:rsidRPr="00B62618" w:rsidRDefault="003F4D45" w:rsidP="003F4D45">
            <w:pPr>
              <w:rPr>
                <w:color w:val="000000" w:themeColor="text1"/>
                <w:sz w:val="22"/>
                <w:szCs w:val="22"/>
                <w:highlight w:val="yellow"/>
                <w:lang w:val="fr-FR"/>
              </w:rPr>
            </w:pPr>
          </w:p>
        </w:tc>
        <w:tc>
          <w:tcPr>
            <w:tcW w:w="3330" w:type="dxa"/>
            <w:shd w:val="clear" w:color="auto" w:fill="auto"/>
          </w:tcPr>
          <w:p w14:paraId="410991DA" w14:textId="0D48DCD3" w:rsidR="003F4D45" w:rsidRPr="00B62618" w:rsidRDefault="003F4D45" w:rsidP="003F4D45">
            <w:pPr>
              <w:rPr>
                <w:color w:val="000000" w:themeColor="text1"/>
                <w:sz w:val="22"/>
                <w:szCs w:val="22"/>
                <w:highlight w:val="yellow"/>
                <w:lang w:val="fr-FR"/>
              </w:rPr>
            </w:pPr>
            <w:r w:rsidRPr="00B62618">
              <w:rPr>
                <w:color w:val="000000" w:themeColor="text1"/>
                <w:sz w:val="22"/>
                <w:lang w:val="fr-FR"/>
              </w:rPr>
              <w:t>Soutien aux opérations du Secrétariat pour les soumissions sur les questions d'application de la législation environnementale dans le cadre du TPA</w:t>
            </w:r>
          </w:p>
        </w:tc>
        <w:tc>
          <w:tcPr>
            <w:tcW w:w="2700" w:type="dxa"/>
            <w:shd w:val="clear" w:color="auto" w:fill="auto"/>
            <w:vAlign w:val="center"/>
          </w:tcPr>
          <w:p w14:paraId="272D28F8" w14:textId="77777777" w:rsidR="003F4D45" w:rsidRPr="00B62618" w:rsidRDefault="003F4D45" w:rsidP="003F4D45">
            <w:pPr>
              <w:rPr>
                <w:color w:val="000000" w:themeColor="text1"/>
                <w:sz w:val="22"/>
                <w:szCs w:val="22"/>
                <w:highlight w:val="yellow"/>
                <w:lang w:val="fr-FR"/>
              </w:rPr>
            </w:pPr>
          </w:p>
        </w:tc>
      </w:tr>
      <w:tr w:rsidR="003F4D45" w:rsidRPr="00121D09" w14:paraId="35C26870" w14:textId="77777777" w:rsidTr="00A66C51">
        <w:trPr>
          <w:gridAfter w:val="1"/>
          <w:wAfter w:w="15" w:type="dxa"/>
          <w:trHeight w:val="555"/>
          <w:jc w:val="center"/>
        </w:trPr>
        <w:tc>
          <w:tcPr>
            <w:tcW w:w="3225" w:type="dxa"/>
            <w:vMerge/>
            <w:shd w:val="clear" w:color="auto" w:fill="auto"/>
          </w:tcPr>
          <w:p w14:paraId="58B06E2B" w14:textId="77777777" w:rsidR="003F4D45" w:rsidRPr="00B62618" w:rsidRDefault="003F4D45" w:rsidP="003F4D45">
            <w:pPr>
              <w:rPr>
                <w:rFonts w:eastAsia="Calibri"/>
                <w:color w:val="000000" w:themeColor="text1"/>
                <w:sz w:val="22"/>
                <w:szCs w:val="22"/>
                <w:highlight w:val="yellow"/>
                <w:lang w:val="fr-FR"/>
              </w:rPr>
            </w:pPr>
          </w:p>
        </w:tc>
        <w:tc>
          <w:tcPr>
            <w:tcW w:w="4320" w:type="dxa"/>
            <w:gridSpan w:val="2"/>
            <w:shd w:val="clear" w:color="auto" w:fill="auto"/>
            <w:vAlign w:val="center"/>
          </w:tcPr>
          <w:p w14:paraId="037F553F" w14:textId="77777777" w:rsidR="003F4D45" w:rsidRPr="00B62618" w:rsidRDefault="003F4D45" w:rsidP="003F4D45">
            <w:pPr>
              <w:rPr>
                <w:color w:val="000000" w:themeColor="text1"/>
                <w:sz w:val="22"/>
                <w:szCs w:val="22"/>
                <w:highlight w:val="yellow"/>
                <w:lang w:val="fr-FR"/>
              </w:rPr>
            </w:pPr>
          </w:p>
        </w:tc>
        <w:tc>
          <w:tcPr>
            <w:tcW w:w="3330" w:type="dxa"/>
            <w:shd w:val="clear" w:color="auto" w:fill="auto"/>
          </w:tcPr>
          <w:p w14:paraId="46F5FB66" w14:textId="68FB808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Élaboration du Plan stratégique et mise à jour de la stratégie de vulgarisation : Sensibilisation accrue des parties prenantes du Pérou et des États-Unis au Secrétariat, à son rôle et à ses fonctions, ainsi qu'au processus de soumission en cours.</w:t>
            </w:r>
          </w:p>
        </w:tc>
        <w:tc>
          <w:tcPr>
            <w:tcW w:w="2700" w:type="dxa"/>
            <w:shd w:val="clear" w:color="auto" w:fill="auto"/>
            <w:vAlign w:val="center"/>
          </w:tcPr>
          <w:p w14:paraId="65BA43A8" w14:textId="77777777" w:rsidR="003F4D45" w:rsidRPr="00B62618" w:rsidRDefault="003F4D45" w:rsidP="003F4D45">
            <w:pPr>
              <w:rPr>
                <w:color w:val="000000" w:themeColor="text1"/>
                <w:sz w:val="22"/>
                <w:szCs w:val="22"/>
                <w:highlight w:val="yellow"/>
                <w:lang w:val="fr-FR"/>
              </w:rPr>
            </w:pPr>
          </w:p>
        </w:tc>
      </w:tr>
      <w:tr w:rsidR="003F4D45" w:rsidRPr="00121D09" w14:paraId="08AE4E0C" w14:textId="77777777" w:rsidTr="00A66C51">
        <w:trPr>
          <w:gridAfter w:val="1"/>
          <w:wAfter w:w="15" w:type="dxa"/>
          <w:trHeight w:val="555"/>
          <w:jc w:val="center"/>
        </w:trPr>
        <w:tc>
          <w:tcPr>
            <w:tcW w:w="3225" w:type="dxa"/>
            <w:vMerge/>
            <w:shd w:val="clear" w:color="auto" w:fill="auto"/>
          </w:tcPr>
          <w:p w14:paraId="7E2D5372" w14:textId="77777777" w:rsidR="003F4D45" w:rsidRPr="00B62618" w:rsidRDefault="003F4D45" w:rsidP="003F4D45">
            <w:pPr>
              <w:rPr>
                <w:rFonts w:eastAsia="Calibri"/>
                <w:color w:val="000000" w:themeColor="text1"/>
                <w:sz w:val="22"/>
                <w:szCs w:val="22"/>
                <w:highlight w:val="yellow"/>
                <w:lang w:val="fr-FR"/>
              </w:rPr>
            </w:pPr>
          </w:p>
        </w:tc>
        <w:tc>
          <w:tcPr>
            <w:tcW w:w="4320" w:type="dxa"/>
            <w:gridSpan w:val="2"/>
            <w:shd w:val="clear" w:color="auto" w:fill="auto"/>
            <w:vAlign w:val="center"/>
          </w:tcPr>
          <w:p w14:paraId="2BE7368C" w14:textId="77777777" w:rsidR="003F4D45" w:rsidRPr="00B62618" w:rsidRDefault="003F4D45" w:rsidP="003F4D45">
            <w:pPr>
              <w:rPr>
                <w:color w:val="000000" w:themeColor="text1"/>
                <w:sz w:val="22"/>
                <w:szCs w:val="22"/>
                <w:highlight w:val="yellow"/>
                <w:lang w:val="fr-FR"/>
              </w:rPr>
            </w:pPr>
          </w:p>
        </w:tc>
        <w:tc>
          <w:tcPr>
            <w:tcW w:w="3330" w:type="dxa"/>
            <w:shd w:val="clear" w:color="auto" w:fill="auto"/>
          </w:tcPr>
          <w:p w14:paraId="602475B2" w14:textId="1CA3C65C" w:rsidR="003F4D45" w:rsidRPr="00B62618" w:rsidRDefault="003F4D45" w:rsidP="003F4D45">
            <w:pPr>
              <w:rPr>
                <w:color w:val="000000" w:themeColor="text1"/>
                <w:sz w:val="22"/>
                <w:szCs w:val="22"/>
                <w:highlight w:val="yellow"/>
                <w:lang w:val="fr-FR"/>
              </w:rPr>
            </w:pPr>
            <w:r w:rsidRPr="00B62618">
              <w:rPr>
                <w:color w:val="000000" w:themeColor="text1"/>
                <w:sz w:val="22"/>
                <w:lang w:val="fr-FR"/>
              </w:rPr>
              <w:t>Réception et traitement des demandes déposées en vertu de l'article 18.8, et élaboration des dossiers factuels en vertu de l'article 18.9 de l'accord de coopération environnementale entre les États-Unis et le Pérou.</w:t>
            </w:r>
          </w:p>
        </w:tc>
        <w:tc>
          <w:tcPr>
            <w:tcW w:w="2700" w:type="dxa"/>
            <w:shd w:val="clear" w:color="auto" w:fill="auto"/>
            <w:vAlign w:val="center"/>
          </w:tcPr>
          <w:p w14:paraId="71C40986" w14:textId="77777777" w:rsidR="003F4D45" w:rsidRPr="00B62618" w:rsidRDefault="003F4D45" w:rsidP="003F4D45">
            <w:pPr>
              <w:rPr>
                <w:color w:val="000000" w:themeColor="text1"/>
                <w:sz w:val="22"/>
                <w:szCs w:val="22"/>
                <w:highlight w:val="yellow"/>
                <w:lang w:val="fr-FR"/>
              </w:rPr>
            </w:pPr>
          </w:p>
        </w:tc>
      </w:tr>
      <w:tr w:rsidR="003F4D45" w:rsidRPr="00121D09" w14:paraId="41E6AF62" w14:textId="77777777" w:rsidTr="00A66C51">
        <w:trPr>
          <w:gridAfter w:val="1"/>
          <w:wAfter w:w="15" w:type="dxa"/>
          <w:trHeight w:val="555"/>
          <w:jc w:val="center"/>
        </w:trPr>
        <w:tc>
          <w:tcPr>
            <w:tcW w:w="3225" w:type="dxa"/>
            <w:vMerge/>
            <w:shd w:val="clear" w:color="auto" w:fill="auto"/>
          </w:tcPr>
          <w:p w14:paraId="21F4D949" w14:textId="77777777" w:rsidR="003F4D45" w:rsidRPr="00B62618" w:rsidRDefault="003F4D45" w:rsidP="003F4D45">
            <w:pPr>
              <w:rPr>
                <w:rFonts w:eastAsia="Calibri"/>
                <w:color w:val="000000" w:themeColor="text1"/>
                <w:sz w:val="22"/>
                <w:szCs w:val="22"/>
                <w:highlight w:val="yellow"/>
                <w:lang w:val="fr-FR"/>
              </w:rPr>
            </w:pPr>
          </w:p>
        </w:tc>
        <w:tc>
          <w:tcPr>
            <w:tcW w:w="4320" w:type="dxa"/>
            <w:gridSpan w:val="2"/>
            <w:shd w:val="clear" w:color="auto" w:fill="auto"/>
            <w:vAlign w:val="center"/>
          </w:tcPr>
          <w:p w14:paraId="49407E77" w14:textId="77777777" w:rsidR="003F4D45" w:rsidRPr="00B62618" w:rsidRDefault="003F4D45" w:rsidP="003F4D45">
            <w:pPr>
              <w:rPr>
                <w:color w:val="000000" w:themeColor="text1"/>
                <w:sz w:val="22"/>
                <w:szCs w:val="22"/>
                <w:highlight w:val="yellow"/>
                <w:lang w:val="fr-FR"/>
              </w:rPr>
            </w:pPr>
          </w:p>
        </w:tc>
        <w:tc>
          <w:tcPr>
            <w:tcW w:w="3330" w:type="dxa"/>
            <w:shd w:val="clear" w:color="auto" w:fill="auto"/>
          </w:tcPr>
          <w:p w14:paraId="4A4076DE" w14:textId="014B731F" w:rsidR="003F4D45" w:rsidRPr="00B62618" w:rsidRDefault="003F4D45" w:rsidP="003F4D45">
            <w:pPr>
              <w:rPr>
                <w:color w:val="000000" w:themeColor="text1"/>
                <w:sz w:val="22"/>
                <w:szCs w:val="22"/>
                <w:highlight w:val="yellow"/>
                <w:lang w:val="fr-FR"/>
              </w:rPr>
            </w:pPr>
            <w:r w:rsidRPr="00B62618">
              <w:rPr>
                <w:color w:val="000000" w:themeColor="text1"/>
                <w:sz w:val="22"/>
                <w:lang w:val="fr-FR"/>
              </w:rPr>
              <w:t>Amélioration de la gouvernance et de la responsabilité en matière d'environnement au Pérou et aux États-Unis, conformément au TPA</w:t>
            </w:r>
          </w:p>
        </w:tc>
        <w:tc>
          <w:tcPr>
            <w:tcW w:w="2700" w:type="dxa"/>
            <w:shd w:val="clear" w:color="auto" w:fill="auto"/>
            <w:vAlign w:val="center"/>
          </w:tcPr>
          <w:p w14:paraId="261D021C" w14:textId="77777777" w:rsidR="003F4D45" w:rsidRPr="00B62618" w:rsidRDefault="003F4D45" w:rsidP="003F4D45">
            <w:pPr>
              <w:rPr>
                <w:color w:val="000000" w:themeColor="text1"/>
                <w:sz w:val="22"/>
                <w:szCs w:val="22"/>
                <w:highlight w:val="yellow"/>
                <w:lang w:val="fr-FR"/>
              </w:rPr>
            </w:pPr>
          </w:p>
        </w:tc>
      </w:tr>
    </w:tbl>
    <w:p w14:paraId="49E319D1" w14:textId="77777777" w:rsidR="001B2FA7" w:rsidRPr="00B62618" w:rsidRDefault="001B2FA7" w:rsidP="00493A9B">
      <w:pPr>
        <w:rPr>
          <w:color w:val="000000" w:themeColor="text1"/>
          <w:sz w:val="22"/>
          <w:szCs w:val="22"/>
          <w:highlight w:val="yellow"/>
          <w:lang w:val="fr-FR"/>
        </w:rPr>
      </w:pPr>
    </w:p>
    <w:p w14:paraId="28625140" w14:textId="77777777" w:rsidR="001B2FA7" w:rsidRPr="00B62618" w:rsidRDefault="001B2FA7" w:rsidP="00493A9B">
      <w:pPr>
        <w:spacing w:after="160" w:line="259" w:lineRule="auto"/>
        <w:rPr>
          <w:sz w:val="22"/>
          <w:szCs w:val="22"/>
          <w:highlight w:val="yellow"/>
          <w:lang w:val="fr-FR"/>
        </w:rPr>
      </w:pPr>
      <w:r w:rsidRPr="00B62618">
        <w:rPr>
          <w:sz w:val="22"/>
          <w:szCs w:val="22"/>
          <w:highlight w:val="yellow"/>
          <w:lang w:val="fr-FR"/>
        </w:rPr>
        <w:br w:type="page"/>
      </w:r>
    </w:p>
    <w:bookmarkEnd w:id="0"/>
    <w:p w14:paraId="65EDB83F" w14:textId="77777777" w:rsidR="00636B15" w:rsidRPr="00B62618" w:rsidRDefault="00636B15" w:rsidP="00636B15">
      <w:pPr>
        <w:rPr>
          <w:b/>
          <w:color w:val="0000CC"/>
          <w:sz w:val="22"/>
          <w:szCs w:val="22"/>
          <w:lang w:val="fr-FR"/>
        </w:rPr>
      </w:pPr>
      <w:r w:rsidRPr="00B62618">
        <w:rPr>
          <w:b/>
          <w:color w:val="0000CC"/>
          <w:sz w:val="22"/>
          <w:lang w:val="fr-FR"/>
        </w:rPr>
        <w:lastRenderedPageBreak/>
        <w:t>DÉPARTEMENT/SECTION :</w:t>
      </w:r>
      <w:r w:rsidRPr="00B62618">
        <w:rPr>
          <w:b/>
          <w:color w:val="0000CC"/>
          <w:sz w:val="22"/>
          <w:lang w:val="fr-FR"/>
        </w:rPr>
        <w:tab/>
        <w:t xml:space="preserve">DÉVELOPPEMENT HUMAIN, ÉDUCATION ET EMPLOI (DDHEC) </w:t>
      </w:r>
    </w:p>
    <w:p w14:paraId="6BC235E8" w14:textId="77777777" w:rsidR="00636B15" w:rsidRPr="00B62618" w:rsidRDefault="00636B15" w:rsidP="00636B15">
      <w:pPr>
        <w:rPr>
          <w:sz w:val="22"/>
          <w:szCs w:val="22"/>
          <w:lang w:val="fr-FR"/>
        </w:rPr>
      </w:pPr>
    </w:p>
    <w:tbl>
      <w:tblPr>
        <w:tblStyle w:val="TableGrid"/>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4234"/>
        <w:gridCol w:w="3427"/>
        <w:gridCol w:w="2880"/>
      </w:tblGrid>
      <w:tr w:rsidR="00636B15" w:rsidRPr="00B62618" w14:paraId="72DE3BA7" w14:textId="77777777" w:rsidTr="009D5389">
        <w:trPr>
          <w:tblHeader/>
          <w:jc w:val="center"/>
        </w:trPr>
        <w:tc>
          <w:tcPr>
            <w:tcW w:w="3312" w:type="dxa"/>
            <w:tcBorders>
              <w:top w:val="single" w:sz="12" w:space="0" w:color="auto"/>
              <w:bottom w:val="single" w:sz="6" w:space="0" w:color="auto"/>
            </w:tcBorders>
            <w:shd w:val="clear" w:color="auto" w:fill="BDD6EE" w:themeFill="accent1" w:themeFillTint="66"/>
            <w:vAlign w:val="center"/>
          </w:tcPr>
          <w:p w14:paraId="149AEA23"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INITIATIVES/ACTIVITÉS</w:t>
            </w:r>
          </w:p>
        </w:tc>
        <w:tc>
          <w:tcPr>
            <w:tcW w:w="4234" w:type="dxa"/>
            <w:tcBorders>
              <w:top w:val="single" w:sz="12" w:space="0" w:color="auto"/>
              <w:bottom w:val="single" w:sz="6" w:space="0" w:color="auto"/>
            </w:tcBorders>
            <w:shd w:val="clear" w:color="auto" w:fill="BDD6EE" w:themeFill="accent1" w:themeFillTint="66"/>
            <w:vAlign w:val="center"/>
          </w:tcPr>
          <w:p w14:paraId="16150713"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CONTRIBUTION À LA RÉSILIENCE ET À LA COMPÉTITIVITÉ</w:t>
            </w:r>
          </w:p>
        </w:tc>
        <w:tc>
          <w:tcPr>
            <w:tcW w:w="3427" w:type="dxa"/>
            <w:tcBorders>
              <w:top w:val="single" w:sz="12" w:space="0" w:color="auto"/>
              <w:bottom w:val="single" w:sz="6" w:space="0" w:color="auto"/>
            </w:tcBorders>
            <w:shd w:val="clear" w:color="auto" w:fill="BDD6EE" w:themeFill="accent1" w:themeFillTint="66"/>
            <w:vAlign w:val="center"/>
          </w:tcPr>
          <w:p w14:paraId="3FBD2CE2"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RÉSULTATS ANTICIPÉS</w:t>
            </w:r>
          </w:p>
        </w:tc>
        <w:tc>
          <w:tcPr>
            <w:tcW w:w="2880" w:type="dxa"/>
            <w:tcBorders>
              <w:top w:val="single" w:sz="12" w:space="0" w:color="auto"/>
              <w:bottom w:val="single" w:sz="6" w:space="0" w:color="auto"/>
            </w:tcBorders>
            <w:shd w:val="clear" w:color="auto" w:fill="BDD6EE" w:themeFill="accent1" w:themeFillTint="66"/>
            <w:vAlign w:val="center"/>
          </w:tcPr>
          <w:p w14:paraId="576FB0CB"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COOPÉRATION ET PARTENARIATS</w:t>
            </w:r>
          </w:p>
        </w:tc>
      </w:tr>
      <w:tr w:rsidR="00636B15" w:rsidRPr="00121D09" w14:paraId="6C2BB7D2" w14:textId="77777777" w:rsidTr="009D5389">
        <w:trPr>
          <w:jc w:val="center"/>
        </w:trPr>
        <w:tc>
          <w:tcPr>
            <w:tcW w:w="3312" w:type="dxa"/>
            <w:tcBorders>
              <w:top w:val="single" w:sz="6" w:space="0" w:color="auto"/>
              <w:bottom w:val="single" w:sz="6" w:space="0" w:color="auto"/>
            </w:tcBorders>
            <w:shd w:val="clear" w:color="auto" w:fill="BFBFBF" w:themeFill="background1" w:themeFillShade="BF"/>
            <w:vAlign w:val="center"/>
          </w:tcPr>
          <w:p w14:paraId="52A362B0"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LIGNE STRATÉGIQUE</w:t>
            </w:r>
          </w:p>
        </w:tc>
        <w:tc>
          <w:tcPr>
            <w:tcW w:w="10541" w:type="dxa"/>
            <w:gridSpan w:val="3"/>
            <w:tcBorders>
              <w:top w:val="single" w:sz="6" w:space="0" w:color="auto"/>
              <w:bottom w:val="single" w:sz="6" w:space="0" w:color="auto"/>
            </w:tcBorders>
            <w:shd w:val="clear" w:color="auto" w:fill="BFBFBF" w:themeFill="background1" w:themeFillShade="BF"/>
          </w:tcPr>
          <w:p w14:paraId="610DDEDD" w14:textId="77777777" w:rsidR="00636B15" w:rsidRPr="00B62618" w:rsidRDefault="00636B15" w:rsidP="009D5389">
            <w:pPr>
              <w:rPr>
                <w:b/>
                <w:sz w:val="22"/>
                <w:szCs w:val="22"/>
                <w:lang w:val="fr-FR"/>
              </w:rPr>
            </w:pPr>
            <w:r w:rsidRPr="00B62618">
              <w:rPr>
                <w:b/>
                <w:sz w:val="22"/>
                <w:lang w:val="fr-FR"/>
              </w:rPr>
              <w:t>3.  Promotion de l’éducation et du développement humain dans les Amériques</w:t>
            </w:r>
          </w:p>
        </w:tc>
      </w:tr>
      <w:tr w:rsidR="00636B15" w:rsidRPr="00121D09" w14:paraId="4632A7A5" w14:textId="77777777" w:rsidTr="009D5389">
        <w:trPr>
          <w:jc w:val="center"/>
        </w:trPr>
        <w:tc>
          <w:tcPr>
            <w:tcW w:w="3312" w:type="dxa"/>
            <w:tcBorders>
              <w:top w:val="single" w:sz="6" w:space="0" w:color="auto"/>
              <w:bottom w:val="single" w:sz="6" w:space="0" w:color="auto"/>
            </w:tcBorders>
            <w:shd w:val="clear" w:color="auto" w:fill="BFBFBF" w:themeFill="background1" w:themeFillShade="BF"/>
            <w:vAlign w:val="center"/>
          </w:tcPr>
          <w:p w14:paraId="6437F6F0"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OBJECTIF STRATÉGIQUE</w:t>
            </w:r>
          </w:p>
        </w:tc>
        <w:tc>
          <w:tcPr>
            <w:tcW w:w="10541" w:type="dxa"/>
            <w:gridSpan w:val="3"/>
            <w:tcBorders>
              <w:top w:val="single" w:sz="6" w:space="0" w:color="auto"/>
              <w:bottom w:val="single" w:sz="6" w:space="0" w:color="auto"/>
            </w:tcBorders>
            <w:shd w:val="clear" w:color="auto" w:fill="BFBFBF" w:themeFill="background1" w:themeFillShade="BF"/>
          </w:tcPr>
          <w:p w14:paraId="52093492" w14:textId="77777777" w:rsidR="00636B15" w:rsidRPr="00B62618" w:rsidRDefault="00636B15" w:rsidP="009D5389">
            <w:pPr>
              <w:rPr>
                <w:b/>
                <w:sz w:val="22"/>
                <w:szCs w:val="22"/>
                <w:lang w:val="fr-FR"/>
              </w:rPr>
            </w:pPr>
            <w:r w:rsidRPr="00B62618">
              <w:rPr>
                <w:b/>
                <w:sz w:val="22"/>
                <w:lang w:val="fr-FR"/>
              </w:rPr>
              <w:t>3.1.  Renforcer les capacités institutionnelles des États membres afin de fournir une éducation de qualité, inclusive et assortie d’équité.</w:t>
            </w:r>
          </w:p>
        </w:tc>
      </w:tr>
      <w:tr w:rsidR="00636B15" w:rsidRPr="00B62618" w14:paraId="27ECCDBE" w14:textId="77777777" w:rsidTr="009D5389">
        <w:trPr>
          <w:jc w:val="center"/>
        </w:trPr>
        <w:tc>
          <w:tcPr>
            <w:tcW w:w="13853" w:type="dxa"/>
            <w:gridSpan w:val="4"/>
            <w:tcBorders>
              <w:top w:val="single" w:sz="6" w:space="0" w:color="auto"/>
            </w:tcBorders>
            <w:shd w:val="clear" w:color="auto" w:fill="D9D9D9" w:themeFill="background1" w:themeFillShade="D9"/>
            <w:vAlign w:val="center"/>
          </w:tcPr>
          <w:p w14:paraId="20564048" w14:textId="77777777" w:rsidR="00636B15" w:rsidRPr="00B62618" w:rsidRDefault="00636B15" w:rsidP="009D5389">
            <w:pPr>
              <w:rPr>
                <w:rFonts w:eastAsia="Calibri"/>
                <w:b/>
                <w:bCs/>
                <w:color w:val="000000" w:themeColor="text1"/>
                <w:sz w:val="22"/>
                <w:szCs w:val="22"/>
                <w:lang w:val="fr-FR"/>
              </w:rPr>
            </w:pPr>
            <w:r w:rsidRPr="00B62618">
              <w:rPr>
                <w:b/>
                <w:color w:val="000000" w:themeColor="text1"/>
                <w:sz w:val="22"/>
                <w:lang w:val="fr-FR"/>
              </w:rPr>
              <w:t>Éducation - Dialogue politique</w:t>
            </w:r>
          </w:p>
        </w:tc>
      </w:tr>
      <w:tr w:rsidR="00636B15" w:rsidRPr="00121D09" w14:paraId="058174E9" w14:textId="77777777" w:rsidTr="009D5389">
        <w:trPr>
          <w:jc w:val="center"/>
        </w:trPr>
        <w:tc>
          <w:tcPr>
            <w:tcW w:w="3312" w:type="dxa"/>
            <w:tcBorders>
              <w:top w:val="single" w:sz="6" w:space="0" w:color="auto"/>
            </w:tcBorders>
            <w:vAlign w:val="center"/>
          </w:tcPr>
          <w:p w14:paraId="429DC5B8" w14:textId="77777777" w:rsidR="00636B15" w:rsidRPr="00B62618" w:rsidRDefault="00636B15" w:rsidP="009D5389">
            <w:pPr>
              <w:tabs>
                <w:tab w:val="left" w:pos="177"/>
              </w:tabs>
              <w:rPr>
                <w:sz w:val="22"/>
                <w:szCs w:val="22"/>
                <w:lang w:val="fr-FR"/>
              </w:rPr>
            </w:pPr>
            <w:r w:rsidRPr="00B62618">
              <w:rPr>
                <w:sz w:val="22"/>
                <w:lang w:val="fr-FR"/>
              </w:rPr>
              <w:t>Processus ministériel et réunions interaméricaines des ministres de l’éducation</w:t>
            </w:r>
          </w:p>
          <w:p w14:paraId="39B6F990" w14:textId="77777777" w:rsidR="00636B15" w:rsidRPr="00B62618" w:rsidRDefault="00636B15" w:rsidP="009D5389">
            <w:pPr>
              <w:tabs>
                <w:tab w:val="left" w:pos="177"/>
              </w:tabs>
              <w:ind w:left="720"/>
              <w:rPr>
                <w:sz w:val="22"/>
                <w:szCs w:val="22"/>
                <w:lang w:val="fr-FR"/>
              </w:rPr>
            </w:pPr>
          </w:p>
          <w:p w14:paraId="3B90DB5C" w14:textId="77777777" w:rsidR="00636B15" w:rsidRPr="00B62618" w:rsidRDefault="00636B15" w:rsidP="009D5389">
            <w:pPr>
              <w:rPr>
                <w:bCs/>
                <w:color w:val="000000" w:themeColor="text1"/>
                <w:sz w:val="22"/>
                <w:szCs w:val="22"/>
                <w:lang w:val="fr-FR"/>
              </w:rPr>
            </w:pPr>
            <w:r w:rsidRPr="00B62618">
              <w:rPr>
                <w:sz w:val="22"/>
                <w:lang w:val="fr-FR"/>
              </w:rPr>
              <w:t>Neuvième réunion de la Commission interaméricaine de l'éducation (CIE), octobre 2021</w:t>
            </w:r>
          </w:p>
        </w:tc>
        <w:tc>
          <w:tcPr>
            <w:tcW w:w="4234" w:type="dxa"/>
            <w:tcBorders>
              <w:top w:val="single" w:sz="6" w:space="0" w:color="auto"/>
            </w:tcBorders>
          </w:tcPr>
          <w:p w14:paraId="3F3C2E4A" w14:textId="77777777" w:rsidR="00636B15" w:rsidRPr="00B62618" w:rsidRDefault="00636B15" w:rsidP="009D5389">
            <w:pPr>
              <w:rPr>
                <w:b/>
                <w:bCs/>
                <w:color w:val="000000" w:themeColor="text1"/>
                <w:sz w:val="22"/>
                <w:szCs w:val="22"/>
                <w:lang w:val="fr-FR"/>
              </w:rPr>
            </w:pPr>
          </w:p>
        </w:tc>
        <w:tc>
          <w:tcPr>
            <w:tcW w:w="3427" w:type="dxa"/>
            <w:tcBorders>
              <w:top w:val="single" w:sz="6" w:space="0" w:color="auto"/>
            </w:tcBorders>
          </w:tcPr>
          <w:p w14:paraId="02C8ACDF" w14:textId="77777777" w:rsidR="00636B15" w:rsidRPr="00B62618" w:rsidRDefault="00636B15" w:rsidP="009D5389">
            <w:pPr>
              <w:rPr>
                <w:sz w:val="22"/>
                <w:szCs w:val="22"/>
                <w:lang w:val="fr-FR"/>
              </w:rPr>
            </w:pPr>
          </w:p>
          <w:p w14:paraId="679C8E46" w14:textId="77777777" w:rsidR="00636B15" w:rsidRPr="00B62618" w:rsidRDefault="00636B15" w:rsidP="009D5389">
            <w:pPr>
              <w:rPr>
                <w:sz w:val="22"/>
                <w:szCs w:val="22"/>
                <w:lang w:val="fr-FR"/>
              </w:rPr>
            </w:pPr>
            <w:r w:rsidRPr="00B62618">
              <w:rPr>
                <w:sz w:val="22"/>
                <w:lang w:val="fr-FR"/>
              </w:rPr>
              <w:t>Rapport d'étape sur les progrès réalisés dans la mise en œuvre des mandats ministériels et recommandations pour ajuster le plan de travail si nécessaire. Soutenir les ministères de l'éducation et les institutions chargées de l'éducation de la région dans la mise en œuvre du Plan d'action continental pour la continuité de l'éducation face aux effets de la pandémie de coronavirus (PHACE). Commencer la planification de la deuxième phase du Programme éducatif interaméricain (PEI) en proposant des lignes directrices pour la prochaine période quinquennale (2022-2027).</w:t>
            </w:r>
          </w:p>
          <w:p w14:paraId="7C0AF429" w14:textId="77777777" w:rsidR="00636B15" w:rsidRPr="00B62618" w:rsidRDefault="00636B15" w:rsidP="009D5389">
            <w:pPr>
              <w:rPr>
                <w:b/>
                <w:bCs/>
                <w:color w:val="000000" w:themeColor="text1"/>
                <w:sz w:val="22"/>
                <w:szCs w:val="22"/>
                <w:lang w:val="fr-FR"/>
              </w:rPr>
            </w:pPr>
          </w:p>
        </w:tc>
        <w:tc>
          <w:tcPr>
            <w:tcW w:w="2880" w:type="dxa"/>
            <w:tcBorders>
              <w:top w:val="single" w:sz="6" w:space="0" w:color="auto"/>
            </w:tcBorders>
          </w:tcPr>
          <w:p w14:paraId="4B45CCD8"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Externe :</w:t>
            </w:r>
          </w:p>
          <w:p w14:paraId="4FD04F5D" w14:textId="77777777" w:rsidR="00636B15" w:rsidRPr="00B62618" w:rsidRDefault="00636B15" w:rsidP="009D5389">
            <w:pPr>
              <w:rPr>
                <w:b/>
                <w:bCs/>
                <w:color w:val="000000" w:themeColor="text1"/>
                <w:sz w:val="22"/>
                <w:szCs w:val="22"/>
                <w:lang w:val="fr-FR"/>
              </w:rPr>
            </w:pPr>
            <w:r w:rsidRPr="00B62618">
              <w:rPr>
                <w:sz w:val="22"/>
                <w:lang w:val="fr-FR"/>
              </w:rPr>
              <w:t>UNESCO OREALC, ILO-CINTERFOR, PAHO-OPS, IOHE-OUI, UNESCO IESALC, UNICEF, Consortium d'universités, groupes de réflexion et ONG.</w:t>
            </w:r>
          </w:p>
        </w:tc>
      </w:tr>
      <w:tr w:rsidR="00636B15" w:rsidRPr="00121D09" w14:paraId="181B5464" w14:textId="77777777" w:rsidTr="009D5389">
        <w:trPr>
          <w:jc w:val="center"/>
        </w:trPr>
        <w:tc>
          <w:tcPr>
            <w:tcW w:w="3312" w:type="dxa"/>
            <w:tcBorders>
              <w:bottom w:val="single" w:sz="6" w:space="0" w:color="auto"/>
            </w:tcBorders>
            <w:vAlign w:val="center"/>
          </w:tcPr>
          <w:p w14:paraId="526EC51E" w14:textId="77777777" w:rsidR="00636B15" w:rsidRPr="00B62618" w:rsidRDefault="00636B15" w:rsidP="009D5389">
            <w:pPr>
              <w:rPr>
                <w:sz w:val="22"/>
                <w:szCs w:val="22"/>
                <w:lang w:val="fr-FR"/>
              </w:rPr>
            </w:pPr>
            <w:r w:rsidRPr="00B62618">
              <w:rPr>
                <w:sz w:val="22"/>
                <w:lang w:val="fr-FR"/>
              </w:rPr>
              <w:t>Plan de travail de la CIE 2019-2022</w:t>
            </w:r>
          </w:p>
        </w:tc>
        <w:tc>
          <w:tcPr>
            <w:tcW w:w="4234" w:type="dxa"/>
            <w:tcBorders>
              <w:bottom w:val="single" w:sz="6" w:space="0" w:color="auto"/>
            </w:tcBorders>
          </w:tcPr>
          <w:p w14:paraId="7E8CEBC2" w14:textId="77777777" w:rsidR="00636B15" w:rsidRPr="00B62618" w:rsidRDefault="00636B15" w:rsidP="009D5389">
            <w:pPr>
              <w:rPr>
                <w:sz w:val="22"/>
                <w:szCs w:val="22"/>
                <w:lang w:val="fr-FR"/>
              </w:rPr>
            </w:pPr>
          </w:p>
        </w:tc>
        <w:tc>
          <w:tcPr>
            <w:tcW w:w="3427" w:type="dxa"/>
            <w:tcBorders>
              <w:bottom w:val="single" w:sz="6" w:space="0" w:color="auto"/>
            </w:tcBorders>
          </w:tcPr>
          <w:p w14:paraId="7F3D65D6" w14:textId="77777777" w:rsidR="00636B15" w:rsidRPr="00B62618" w:rsidRDefault="00636B15" w:rsidP="009D5389">
            <w:pPr>
              <w:rPr>
                <w:sz w:val="22"/>
                <w:szCs w:val="22"/>
                <w:lang w:val="fr-FR"/>
              </w:rPr>
            </w:pPr>
          </w:p>
          <w:p w14:paraId="7178C663" w14:textId="77777777" w:rsidR="00636B15" w:rsidRPr="00B62618" w:rsidRDefault="00636B15" w:rsidP="009D5389">
            <w:pPr>
              <w:rPr>
                <w:sz w:val="22"/>
                <w:szCs w:val="22"/>
                <w:lang w:val="fr-FR"/>
              </w:rPr>
            </w:pPr>
            <w:r w:rsidRPr="00B62618">
              <w:rPr>
                <w:sz w:val="22"/>
                <w:lang w:val="fr-FR"/>
              </w:rPr>
              <w:t xml:space="preserve">Partager des initiatives concrètes pour la mise en œuvre du PEI et des demandes formulées par les États membres sur le Plan d'action d'Antigua-et-Barbuda (PAAB 2019) ; approfondir les synergies entre les initiatives éducatives mondiales, continentales et sous-régionales ; et promouvoir la coopération intersectorielle et la coopération avec d'autres acteurs sociaux afin </w:t>
            </w:r>
            <w:r w:rsidRPr="00B62618">
              <w:rPr>
                <w:sz w:val="22"/>
                <w:lang w:val="fr-FR"/>
              </w:rPr>
              <w:lastRenderedPageBreak/>
              <w:t>d'aider à atteindre les objectifs fixés dans le Programme de développement durable à l’horizon 2030 et contribuer à réduire les inégalités exacerbées par la pandémie.</w:t>
            </w:r>
          </w:p>
          <w:p w14:paraId="415FC9B6" w14:textId="77777777" w:rsidR="00636B15" w:rsidRPr="00B62618" w:rsidRDefault="00636B15" w:rsidP="009D5389">
            <w:pPr>
              <w:rPr>
                <w:sz w:val="22"/>
                <w:szCs w:val="22"/>
                <w:lang w:val="fr-FR"/>
              </w:rPr>
            </w:pPr>
          </w:p>
          <w:p w14:paraId="12CA2DCD" w14:textId="77777777" w:rsidR="00636B15" w:rsidRPr="00B62618" w:rsidRDefault="00636B15" w:rsidP="009D5389">
            <w:pPr>
              <w:rPr>
                <w:sz w:val="22"/>
                <w:szCs w:val="22"/>
                <w:lang w:val="fr-FR"/>
              </w:rPr>
            </w:pPr>
          </w:p>
        </w:tc>
        <w:tc>
          <w:tcPr>
            <w:tcW w:w="2880" w:type="dxa"/>
            <w:tcBorders>
              <w:bottom w:val="single" w:sz="6" w:space="0" w:color="auto"/>
            </w:tcBorders>
          </w:tcPr>
          <w:p w14:paraId="714BCD6A" w14:textId="77777777" w:rsidR="00636B15" w:rsidRPr="00B62618" w:rsidRDefault="00636B15" w:rsidP="009D5389">
            <w:pPr>
              <w:rPr>
                <w:sz w:val="22"/>
                <w:szCs w:val="22"/>
                <w:lang w:val="fr-FR"/>
              </w:rPr>
            </w:pPr>
            <w:r w:rsidRPr="00B62618">
              <w:rPr>
                <w:b/>
                <w:sz w:val="22"/>
                <w:lang w:val="fr-FR"/>
              </w:rPr>
              <w:lastRenderedPageBreak/>
              <w:t>Externe :</w:t>
            </w:r>
          </w:p>
          <w:p w14:paraId="04144157" w14:textId="77777777" w:rsidR="00636B15" w:rsidRPr="00B62618" w:rsidRDefault="00636B15" w:rsidP="009D5389">
            <w:pPr>
              <w:rPr>
                <w:sz w:val="22"/>
                <w:szCs w:val="22"/>
                <w:lang w:val="fr-FR"/>
              </w:rPr>
            </w:pPr>
            <w:r w:rsidRPr="00B62618">
              <w:rPr>
                <w:sz w:val="22"/>
                <w:lang w:val="fr-FR"/>
              </w:rPr>
              <w:t>UNESCO OREALC, ILO-CINTERFOR, PAHO-OPS, IOHE-OUI, UNESCO IESALC, UNICEF, Consortium d'universités, groupes de réflexion et ONG.</w:t>
            </w:r>
          </w:p>
        </w:tc>
      </w:tr>
      <w:tr w:rsidR="00636B15" w:rsidRPr="00121D09" w14:paraId="1D4A3CAC" w14:textId="77777777" w:rsidTr="009D5389">
        <w:trPr>
          <w:jc w:val="center"/>
        </w:trPr>
        <w:tc>
          <w:tcPr>
            <w:tcW w:w="3312" w:type="dxa"/>
            <w:tcBorders>
              <w:top w:val="single" w:sz="6" w:space="0" w:color="auto"/>
              <w:bottom w:val="single" w:sz="6" w:space="0" w:color="auto"/>
            </w:tcBorders>
            <w:shd w:val="clear" w:color="auto" w:fill="BFBFBF" w:themeFill="background1" w:themeFillShade="BF"/>
          </w:tcPr>
          <w:p w14:paraId="6B813321" w14:textId="77777777" w:rsidR="00636B15" w:rsidRPr="00B62618" w:rsidRDefault="00636B15" w:rsidP="009D5389">
            <w:pPr>
              <w:rPr>
                <w:rFonts w:eastAsia="Calibri"/>
                <w:b/>
                <w:bCs/>
                <w:color w:val="000000" w:themeColor="text1"/>
                <w:sz w:val="22"/>
                <w:szCs w:val="22"/>
                <w:lang w:val="fr-FR"/>
              </w:rPr>
            </w:pPr>
            <w:r w:rsidRPr="00B62618">
              <w:rPr>
                <w:b/>
                <w:color w:val="000000" w:themeColor="text1"/>
                <w:sz w:val="22"/>
                <w:lang w:val="fr-FR"/>
              </w:rPr>
              <w:t xml:space="preserve">OBJECTIF </w:t>
            </w:r>
          </w:p>
          <w:p w14:paraId="569358AC" w14:textId="77777777" w:rsidR="00636B15" w:rsidRPr="00B62618" w:rsidRDefault="00636B15" w:rsidP="009D5389">
            <w:pPr>
              <w:rPr>
                <w:b/>
                <w:sz w:val="22"/>
                <w:szCs w:val="22"/>
                <w:lang w:val="fr-FR"/>
              </w:rPr>
            </w:pPr>
            <w:r w:rsidRPr="00B62618">
              <w:rPr>
                <w:b/>
                <w:color w:val="000000" w:themeColor="text1"/>
                <w:sz w:val="22"/>
                <w:lang w:val="fr-FR"/>
              </w:rPr>
              <w:t>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6DBD96AC" w14:textId="77777777" w:rsidR="00636B15" w:rsidRPr="00B62618" w:rsidRDefault="00636B15" w:rsidP="009D5389">
            <w:pPr>
              <w:rPr>
                <w:b/>
                <w:sz w:val="22"/>
                <w:szCs w:val="22"/>
                <w:lang w:val="fr-FR"/>
              </w:rPr>
            </w:pPr>
            <w:r w:rsidRPr="00B62618">
              <w:rPr>
                <w:b/>
                <w:sz w:val="22"/>
                <w:lang w:val="fr-FR"/>
              </w:rPr>
              <w:t>3.2.   Renforcer la profession d’enseignant dans les États membres en créant davantage de possibilités de formation.</w:t>
            </w:r>
          </w:p>
        </w:tc>
      </w:tr>
      <w:tr w:rsidR="00636B15" w:rsidRPr="00B62618" w14:paraId="6A748D57" w14:textId="77777777" w:rsidTr="009D5389">
        <w:trPr>
          <w:jc w:val="center"/>
        </w:trPr>
        <w:tc>
          <w:tcPr>
            <w:tcW w:w="10973" w:type="dxa"/>
            <w:gridSpan w:val="3"/>
            <w:tcBorders>
              <w:top w:val="single" w:sz="6" w:space="0" w:color="auto"/>
            </w:tcBorders>
            <w:shd w:val="clear" w:color="auto" w:fill="D9D9D9" w:themeFill="background1" w:themeFillShade="D9"/>
          </w:tcPr>
          <w:p w14:paraId="44065373" w14:textId="77777777" w:rsidR="00636B15" w:rsidRPr="00B62618" w:rsidRDefault="00636B15" w:rsidP="009D5389">
            <w:pPr>
              <w:tabs>
                <w:tab w:val="left" w:pos="177"/>
              </w:tabs>
              <w:rPr>
                <w:b/>
                <w:sz w:val="22"/>
                <w:szCs w:val="22"/>
                <w:lang w:val="fr-FR"/>
              </w:rPr>
            </w:pPr>
            <w:r w:rsidRPr="00B62618">
              <w:rPr>
                <w:b/>
                <w:sz w:val="22"/>
                <w:lang w:val="fr-FR"/>
              </w:rPr>
              <w:t>Éducation – Enseignants</w:t>
            </w:r>
          </w:p>
        </w:tc>
        <w:tc>
          <w:tcPr>
            <w:tcW w:w="2880" w:type="dxa"/>
            <w:tcBorders>
              <w:top w:val="single" w:sz="6" w:space="0" w:color="auto"/>
            </w:tcBorders>
          </w:tcPr>
          <w:p w14:paraId="41BC28C3" w14:textId="77777777" w:rsidR="00636B15" w:rsidRPr="00B62618" w:rsidRDefault="00636B15" w:rsidP="009D5389">
            <w:pPr>
              <w:rPr>
                <w:b/>
                <w:sz w:val="22"/>
                <w:szCs w:val="22"/>
                <w:lang w:val="fr-FR"/>
              </w:rPr>
            </w:pPr>
          </w:p>
        </w:tc>
      </w:tr>
      <w:tr w:rsidR="00636B15" w:rsidRPr="00121D09" w14:paraId="3274C464" w14:textId="77777777" w:rsidTr="009D5389">
        <w:trPr>
          <w:jc w:val="center"/>
        </w:trPr>
        <w:tc>
          <w:tcPr>
            <w:tcW w:w="3312" w:type="dxa"/>
          </w:tcPr>
          <w:p w14:paraId="145F2DE8" w14:textId="77777777" w:rsidR="00636B15" w:rsidRPr="00B62618" w:rsidRDefault="00636B15" w:rsidP="009D5389">
            <w:pPr>
              <w:tabs>
                <w:tab w:val="left" w:pos="177"/>
              </w:tabs>
              <w:rPr>
                <w:sz w:val="22"/>
                <w:szCs w:val="22"/>
                <w:lang w:val="fr-FR"/>
              </w:rPr>
            </w:pPr>
            <w:r w:rsidRPr="00B62618">
              <w:rPr>
                <w:sz w:val="22"/>
                <w:lang w:val="fr-FR"/>
              </w:rPr>
              <w:t>Réseau interaméricain de formation des enseignants (ITEN)</w:t>
            </w:r>
          </w:p>
          <w:p w14:paraId="2270D4F5" w14:textId="77777777" w:rsidR="00636B15" w:rsidRPr="00B62618" w:rsidRDefault="00636B15" w:rsidP="009D5389">
            <w:pPr>
              <w:tabs>
                <w:tab w:val="left" w:pos="177"/>
              </w:tabs>
              <w:rPr>
                <w:sz w:val="22"/>
                <w:szCs w:val="22"/>
                <w:lang w:val="fr-FR"/>
              </w:rPr>
            </w:pPr>
          </w:p>
          <w:p w14:paraId="5DA66CE8" w14:textId="77777777" w:rsidR="00636B15" w:rsidRPr="00B62618" w:rsidRDefault="00636B15" w:rsidP="009D5389">
            <w:pPr>
              <w:tabs>
                <w:tab w:val="left" w:pos="177"/>
              </w:tabs>
              <w:rPr>
                <w:sz w:val="22"/>
                <w:szCs w:val="22"/>
                <w:lang w:val="fr-FR"/>
              </w:rPr>
            </w:pPr>
            <w:r w:rsidRPr="00B62618">
              <w:rPr>
                <w:sz w:val="22"/>
                <w:lang w:val="fr-FR"/>
              </w:rPr>
              <w:t>Équipes de projet</w:t>
            </w:r>
          </w:p>
          <w:p w14:paraId="54ACD912" w14:textId="77777777" w:rsidR="00636B15" w:rsidRPr="00B62618" w:rsidRDefault="00636B15" w:rsidP="009D5389">
            <w:pPr>
              <w:tabs>
                <w:tab w:val="left" w:pos="177"/>
              </w:tabs>
              <w:rPr>
                <w:sz w:val="22"/>
                <w:szCs w:val="22"/>
                <w:lang w:val="fr-FR"/>
              </w:rPr>
            </w:pPr>
            <w:r w:rsidRPr="00B62618">
              <w:rPr>
                <w:sz w:val="22"/>
                <w:lang w:val="fr-FR"/>
              </w:rPr>
              <w:t>Bourse d'études pour les enseignants</w:t>
            </w:r>
          </w:p>
          <w:p w14:paraId="06106ABF" w14:textId="77777777" w:rsidR="00636B15" w:rsidRPr="00B62618" w:rsidRDefault="00636B15" w:rsidP="009D5389">
            <w:pPr>
              <w:tabs>
                <w:tab w:val="left" w:pos="177"/>
              </w:tabs>
              <w:rPr>
                <w:sz w:val="22"/>
                <w:szCs w:val="22"/>
                <w:lang w:val="fr-FR"/>
              </w:rPr>
            </w:pPr>
            <w:r w:rsidRPr="00B62618">
              <w:rPr>
                <w:sz w:val="22"/>
                <w:lang w:val="fr-FR"/>
              </w:rPr>
              <w:t>Séminaire annuel</w:t>
            </w:r>
          </w:p>
          <w:p w14:paraId="3EDBE7BF" w14:textId="77777777" w:rsidR="00636B15" w:rsidRPr="00B62618" w:rsidRDefault="00636B15" w:rsidP="009D5389">
            <w:pPr>
              <w:tabs>
                <w:tab w:val="left" w:pos="177"/>
              </w:tabs>
              <w:rPr>
                <w:sz w:val="22"/>
                <w:szCs w:val="22"/>
                <w:lang w:val="fr-FR"/>
              </w:rPr>
            </w:pPr>
            <w:r w:rsidRPr="00B62618">
              <w:rPr>
                <w:sz w:val="22"/>
                <w:lang w:val="fr-FR"/>
              </w:rPr>
              <w:t>Échange de coopération</w:t>
            </w:r>
          </w:p>
          <w:p w14:paraId="1556535F" w14:textId="77777777" w:rsidR="00636B15" w:rsidRPr="00B62618" w:rsidRDefault="00636B15" w:rsidP="009D5389">
            <w:pPr>
              <w:tabs>
                <w:tab w:val="left" w:pos="177"/>
              </w:tabs>
              <w:rPr>
                <w:sz w:val="22"/>
                <w:szCs w:val="22"/>
                <w:lang w:val="fr-FR"/>
              </w:rPr>
            </w:pPr>
            <w:r w:rsidRPr="00B62618">
              <w:rPr>
                <w:sz w:val="22"/>
                <w:lang w:val="fr-FR"/>
              </w:rPr>
              <w:t>Subvention d’amorçage</w:t>
            </w:r>
          </w:p>
        </w:tc>
        <w:tc>
          <w:tcPr>
            <w:tcW w:w="4234" w:type="dxa"/>
          </w:tcPr>
          <w:p w14:paraId="2BC913D8" w14:textId="77777777" w:rsidR="00636B15" w:rsidRPr="00B62618" w:rsidRDefault="00636B15" w:rsidP="009D5389">
            <w:pPr>
              <w:rPr>
                <w:sz w:val="22"/>
                <w:szCs w:val="22"/>
                <w:lang w:val="fr-FR"/>
              </w:rPr>
            </w:pPr>
          </w:p>
        </w:tc>
        <w:tc>
          <w:tcPr>
            <w:tcW w:w="3427" w:type="dxa"/>
          </w:tcPr>
          <w:p w14:paraId="5C0AFF03" w14:textId="77777777" w:rsidR="00636B15" w:rsidRPr="00B62618" w:rsidRDefault="00636B15" w:rsidP="00636B15">
            <w:pPr>
              <w:numPr>
                <w:ilvl w:val="0"/>
                <w:numId w:val="13"/>
              </w:numPr>
              <w:ind w:left="180" w:hanging="180"/>
              <w:rPr>
                <w:sz w:val="22"/>
                <w:szCs w:val="22"/>
                <w:lang w:val="fr-FR"/>
              </w:rPr>
            </w:pPr>
            <w:r w:rsidRPr="00B62618">
              <w:rPr>
                <w:sz w:val="22"/>
                <w:lang w:val="fr-FR"/>
              </w:rPr>
              <w:t>Plus de 30 000 enseignants et autres responsables de l'éducation formés par le biais d'ateliers et de programmes en face à face et virtuels proposés par l'ITEN, ses équipes de projet et ses enseignants associés pour soutenir un enseignement des STIM (et la formation des enseignants) de qualité et équitable pour les hommes et les femmes, afin de promouvoir une pensée critique et innovante pour répondre aux problèmes émergents, notamment l'énergie et la résilience climatique mondiale.</w:t>
            </w:r>
          </w:p>
          <w:p w14:paraId="2CE6031D" w14:textId="77777777" w:rsidR="00636B15" w:rsidRPr="00B62618" w:rsidRDefault="00636B15" w:rsidP="00636B15">
            <w:pPr>
              <w:numPr>
                <w:ilvl w:val="0"/>
                <w:numId w:val="13"/>
              </w:numPr>
              <w:ind w:left="180" w:hanging="180"/>
              <w:rPr>
                <w:sz w:val="22"/>
                <w:szCs w:val="22"/>
                <w:lang w:val="fr-FR"/>
              </w:rPr>
            </w:pPr>
            <w:r w:rsidRPr="00B62618">
              <w:rPr>
                <w:sz w:val="22"/>
                <w:lang w:val="fr-FR"/>
              </w:rPr>
              <w:t>Plus de 35 ministères de l'éducation et d'autres institutions de formation des enseignants, ainsi que leurs enseignants désignés, mis en réseau par des équipes de projet collaboratives, ont démontré une capacité accrue à répondre aux problèmes émergents de la formation des enseignants.</w:t>
            </w:r>
          </w:p>
          <w:p w14:paraId="0F122E07" w14:textId="77777777" w:rsidR="00636B15" w:rsidRPr="00B62618" w:rsidRDefault="00636B15" w:rsidP="00636B15">
            <w:pPr>
              <w:numPr>
                <w:ilvl w:val="0"/>
                <w:numId w:val="13"/>
              </w:numPr>
              <w:ind w:left="180" w:hanging="180"/>
              <w:rPr>
                <w:sz w:val="22"/>
                <w:szCs w:val="22"/>
                <w:lang w:val="fr-FR"/>
              </w:rPr>
            </w:pPr>
            <w:r w:rsidRPr="00B62618">
              <w:rPr>
                <w:sz w:val="22"/>
                <w:lang w:val="fr-FR"/>
              </w:rPr>
              <w:lastRenderedPageBreak/>
              <w:t>Plus de 12 publications (articles, rapports, etc.) diffusées à grande échelle pour fournir des stratégies visant à aider les filles et les femmes à surmonter les obstacles communs afin de combler les lacunes en matière de réussite et d'opportunités dans l'enseignement des STIM.</w:t>
            </w:r>
          </w:p>
          <w:p w14:paraId="477C88C0" w14:textId="77777777" w:rsidR="00636B15" w:rsidRPr="00B62618" w:rsidRDefault="00636B15" w:rsidP="00636B15">
            <w:pPr>
              <w:numPr>
                <w:ilvl w:val="0"/>
                <w:numId w:val="13"/>
              </w:numPr>
              <w:ind w:left="180" w:hanging="180"/>
              <w:rPr>
                <w:sz w:val="22"/>
                <w:szCs w:val="22"/>
                <w:lang w:val="fr-FR"/>
              </w:rPr>
            </w:pPr>
            <w:r w:rsidRPr="00B62618">
              <w:rPr>
                <w:sz w:val="22"/>
                <w:lang w:val="fr-FR"/>
              </w:rPr>
              <w:t>Dates utiles : Délai de dépôt de candidatures pour les équipes de projet : 1</w:t>
            </w:r>
            <w:r w:rsidRPr="00B62618">
              <w:rPr>
                <w:sz w:val="22"/>
                <w:vertAlign w:val="superscript"/>
                <w:lang w:val="fr-FR"/>
              </w:rPr>
              <w:t>er</w:t>
            </w:r>
            <w:r w:rsidRPr="00B62618">
              <w:rPr>
                <w:sz w:val="22"/>
                <w:lang w:val="fr-FR"/>
              </w:rPr>
              <w:t xml:space="preserve"> fév. ; équipes de projet : 1</w:t>
            </w:r>
            <w:r w:rsidRPr="00B62618">
              <w:rPr>
                <w:sz w:val="22"/>
                <w:vertAlign w:val="superscript"/>
                <w:lang w:val="fr-FR"/>
              </w:rPr>
              <w:t>er</w:t>
            </w:r>
            <w:r w:rsidRPr="00B62618">
              <w:rPr>
                <w:sz w:val="22"/>
                <w:lang w:val="fr-FR"/>
              </w:rPr>
              <w:t xml:space="preserve"> mars - 31 août ; demandes de subventions d'amorçage : 1</w:t>
            </w:r>
            <w:r w:rsidRPr="00B62618">
              <w:rPr>
                <w:sz w:val="22"/>
                <w:vertAlign w:val="superscript"/>
                <w:lang w:val="fr-FR"/>
              </w:rPr>
              <w:t>er</w:t>
            </w:r>
            <w:r w:rsidRPr="00B62618">
              <w:rPr>
                <w:sz w:val="22"/>
                <w:lang w:val="fr-FR"/>
              </w:rPr>
              <w:t xml:space="preserve"> mars - 1</w:t>
            </w:r>
            <w:r w:rsidRPr="00B62618">
              <w:rPr>
                <w:sz w:val="22"/>
                <w:vertAlign w:val="superscript"/>
                <w:lang w:val="fr-FR"/>
              </w:rPr>
              <w:t>er</w:t>
            </w:r>
            <w:r w:rsidRPr="00B62618">
              <w:rPr>
                <w:sz w:val="22"/>
                <w:lang w:val="fr-FR"/>
              </w:rPr>
              <w:t xml:space="preserve"> mai ; Session d'affiches virtuelles : Juin (à préciser) ; Séminaire virtuel : Août (à préciser)</w:t>
            </w:r>
          </w:p>
        </w:tc>
        <w:tc>
          <w:tcPr>
            <w:tcW w:w="2880" w:type="dxa"/>
          </w:tcPr>
          <w:p w14:paraId="0F970F29" w14:textId="77777777" w:rsidR="00636B15" w:rsidRPr="00B62618" w:rsidRDefault="00636B15" w:rsidP="009D5389">
            <w:pPr>
              <w:rPr>
                <w:sz w:val="22"/>
                <w:szCs w:val="22"/>
                <w:lang w:val="fr-FR"/>
              </w:rPr>
            </w:pPr>
            <w:r w:rsidRPr="00B62618">
              <w:rPr>
                <w:b/>
                <w:sz w:val="22"/>
                <w:lang w:val="fr-FR"/>
              </w:rPr>
              <w:lastRenderedPageBreak/>
              <w:t>Externe :</w:t>
            </w:r>
          </w:p>
          <w:p w14:paraId="312D5077" w14:textId="77777777" w:rsidR="00636B15" w:rsidRPr="00B62618" w:rsidRDefault="00636B15" w:rsidP="009D5389">
            <w:pPr>
              <w:rPr>
                <w:sz w:val="22"/>
                <w:szCs w:val="22"/>
                <w:lang w:val="fr-FR"/>
              </w:rPr>
            </w:pPr>
            <w:r w:rsidRPr="00B62618">
              <w:rPr>
                <w:sz w:val="22"/>
                <w:lang w:val="fr-FR"/>
              </w:rPr>
              <w:t>Fondation Siemens Stiftung, Centre international de physique théorique / UNESCO, Université du Colorado à Boulder / Physics Education Technology Interactive Simulations, Dinámica (centre de formation des enseignants au Pérou) / Association américaine des professeurs de physique - Mexique</w:t>
            </w:r>
          </w:p>
        </w:tc>
      </w:tr>
      <w:tr w:rsidR="00636B15" w:rsidRPr="00121D09" w14:paraId="3745D72B" w14:textId="77777777" w:rsidTr="009D5389">
        <w:trPr>
          <w:jc w:val="center"/>
        </w:trPr>
        <w:tc>
          <w:tcPr>
            <w:tcW w:w="3312" w:type="dxa"/>
            <w:tcBorders>
              <w:bottom w:val="single" w:sz="6" w:space="0" w:color="auto"/>
            </w:tcBorders>
          </w:tcPr>
          <w:p w14:paraId="449EFE07" w14:textId="77777777" w:rsidR="00636B15" w:rsidRPr="00B62618" w:rsidRDefault="00636B15" w:rsidP="009D5389">
            <w:pPr>
              <w:rPr>
                <w:sz w:val="22"/>
                <w:szCs w:val="22"/>
                <w:lang w:val="fr-FR"/>
              </w:rPr>
            </w:pPr>
            <w:r w:rsidRPr="00B62618">
              <w:rPr>
                <w:b/>
                <w:sz w:val="22"/>
                <w:lang w:val="fr-FR"/>
              </w:rPr>
              <w:t>Portail éducatif des Amériques :</w:t>
            </w:r>
            <w:r w:rsidRPr="00B62618">
              <w:rPr>
                <w:sz w:val="22"/>
                <w:lang w:val="fr-FR"/>
              </w:rPr>
              <w:t xml:space="preserve">  Formation en ligne pour le développement professionnel des citoyens des États membres de l'OEA</w:t>
            </w:r>
          </w:p>
        </w:tc>
        <w:tc>
          <w:tcPr>
            <w:tcW w:w="4234" w:type="dxa"/>
            <w:tcBorders>
              <w:bottom w:val="single" w:sz="6" w:space="0" w:color="auto"/>
            </w:tcBorders>
          </w:tcPr>
          <w:p w14:paraId="22843A3F" w14:textId="77777777" w:rsidR="00636B15" w:rsidRPr="00B62618" w:rsidRDefault="00636B15" w:rsidP="009D5389">
            <w:pPr>
              <w:rPr>
                <w:sz w:val="22"/>
                <w:szCs w:val="22"/>
                <w:lang w:val="fr-FR"/>
              </w:rPr>
            </w:pPr>
          </w:p>
        </w:tc>
        <w:tc>
          <w:tcPr>
            <w:tcW w:w="3427" w:type="dxa"/>
            <w:tcBorders>
              <w:bottom w:val="single" w:sz="6" w:space="0" w:color="auto"/>
            </w:tcBorders>
          </w:tcPr>
          <w:p w14:paraId="45BB4559" w14:textId="77777777" w:rsidR="00636B15" w:rsidRPr="00B62618" w:rsidRDefault="00636B15" w:rsidP="00636B15">
            <w:pPr>
              <w:numPr>
                <w:ilvl w:val="0"/>
                <w:numId w:val="14"/>
              </w:numPr>
              <w:ind w:left="180" w:hanging="180"/>
              <w:rPr>
                <w:sz w:val="22"/>
                <w:szCs w:val="22"/>
                <w:lang w:val="fr-FR"/>
              </w:rPr>
            </w:pPr>
            <w:r w:rsidRPr="00B62618">
              <w:rPr>
                <w:sz w:val="22"/>
                <w:lang w:val="fr-FR"/>
              </w:rPr>
              <w:t>Environ 350 citoyens des Amériques ont bénéficié de dispenses partielles de frais de scolarité pour des cours en ligne de développement professionnel dispensés par le Portail éducatif des Amériques.</w:t>
            </w:r>
          </w:p>
          <w:p w14:paraId="3C604598" w14:textId="77777777" w:rsidR="00636B15" w:rsidRPr="00B62618" w:rsidRDefault="00636B15" w:rsidP="00636B15">
            <w:pPr>
              <w:numPr>
                <w:ilvl w:val="0"/>
                <w:numId w:val="14"/>
              </w:numPr>
              <w:ind w:left="180" w:hanging="180"/>
              <w:rPr>
                <w:sz w:val="22"/>
                <w:szCs w:val="22"/>
                <w:lang w:val="fr-FR"/>
              </w:rPr>
            </w:pPr>
            <w:r w:rsidRPr="00B62618">
              <w:rPr>
                <w:sz w:val="22"/>
                <w:lang w:val="fr-FR"/>
              </w:rPr>
              <w:t>Environ 1 000 personnes ont été formées par le biais de MOOC sur des sujets liés à l'éducation, au genre, aux droits de la personne et au développement durable.</w:t>
            </w:r>
          </w:p>
          <w:p w14:paraId="545A9F06" w14:textId="77777777" w:rsidR="00636B15" w:rsidRPr="00B62618" w:rsidRDefault="00636B15" w:rsidP="00636B15">
            <w:pPr>
              <w:numPr>
                <w:ilvl w:val="0"/>
                <w:numId w:val="14"/>
              </w:numPr>
              <w:ind w:left="180" w:hanging="180"/>
              <w:rPr>
                <w:sz w:val="22"/>
                <w:szCs w:val="22"/>
                <w:lang w:val="fr-FR"/>
              </w:rPr>
            </w:pPr>
            <w:r w:rsidRPr="00B62618">
              <w:rPr>
                <w:sz w:val="22"/>
                <w:lang w:val="fr-FR"/>
              </w:rPr>
              <w:t>Environ 1 900 enseignants ont reçu une formation en ligne sur l'innovation et l'intégration des TIC dans l'éducation par le biais du programme éducatif OAS-ProFuturo.</w:t>
            </w:r>
          </w:p>
          <w:p w14:paraId="33939BF9" w14:textId="77777777" w:rsidR="00636B15" w:rsidRPr="00B62618" w:rsidRDefault="00636B15" w:rsidP="00636B15">
            <w:pPr>
              <w:numPr>
                <w:ilvl w:val="0"/>
                <w:numId w:val="14"/>
              </w:numPr>
              <w:ind w:left="180" w:hanging="180"/>
              <w:rPr>
                <w:sz w:val="22"/>
                <w:szCs w:val="22"/>
                <w:lang w:val="fr-FR"/>
              </w:rPr>
            </w:pPr>
            <w:r w:rsidRPr="00B62618">
              <w:rPr>
                <w:sz w:val="22"/>
                <w:lang w:val="fr-FR"/>
              </w:rPr>
              <w:t xml:space="preserve">Soutenir le renforcement des capacités au sein de l'OEA pour </w:t>
            </w:r>
            <w:r w:rsidRPr="00B62618">
              <w:rPr>
                <w:sz w:val="22"/>
                <w:lang w:val="fr-FR"/>
              </w:rPr>
              <w:lastRenderedPageBreak/>
              <w:t>offrir une formation virtuelle à divers publics d'intérêt, par le développement de solutions éducatives sur mesure.</w:t>
            </w:r>
          </w:p>
        </w:tc>
        <w:tc>
          <w:tcPr>
            <w:tcW w:w="2880" w:type="dxa"/>
            <w:tcBorders>
              <w:bottom w:val="single" w:sz="6" w:space="0" w:color="auto"/>
            </w:tcBorders>
          </w:tcPr>
          <w:p w14:paraId="40D35D6C" w14:textId="77777777" w:rsidR="00636B15" w:rsidRPr="00B62618" w:rsidRDefault="00636B15" w:rsidP="009D5389">
            <w:pPr>
              <w:rPr>
                <w:sz w:val="22"/>
                <w:szCs w:val="22"/>
                <w:lang w:val="fr-FR"/>
              </w:rPr>
            </w:pPr>
            <w:r w:rsidRPr="00B62618">
              <w:rPr>
                <w:b/>
                <w:sz w:val="22"/>
                <w:lang w:val="fr-FR"/>
              </w:rPr>
              <w:lastRenderedPageBreak/>
              <w:t>Interne :</w:t>
            </w:r>
          </w:p>
          <w:p w14:paraId="07B3DA65" w14:textId="77777777" w:rsidR="00636B15" w:rsidRPr="00B62618" w:rsidRDefault="00636B15" w:rsidP="009D5389">
            <w:pPr>
              <w:rPr>
                <w:sz w:val="22"/>
                <w:szCs w:val="22"/>
                <w:lang w:val="fr-FR"/>
              </w:rPr>
            </w:pPr>
            <w:r w:rsidRPr="00B62618">
              <w:rPr>
                <w:sz w:val="22"/>
                <w:lang w:val="fr-FR"/>
              </w:rPr>
              <w:t>RIAL, CIM, CIDH, CITEL, départements du SEDI, départements d’autres secrétariats</w:t>
            </w:r>
          </w:p>
          <w:p w14:paraId="19CE0639" w14:textId="77777777" w:rsidR="00636B15" w:rsidRPr="00B62618" w:rsidRDefault="00636B15" w:rsidP="009D5389">
            <w:pPr>
              <w:rPr>
                <w:sz w:val="22"/>
                <w:szCs w:val="22"/>
                <w:lang w:val="fr-FR"/>
              </w:rPr>
            </w:pPr>
          </w:p>
          <w:p w14:paraId="0FD16EA9" w14:textId="77777777" w:rsidR="00636B15" w:rsidRPr="00B62618" w:rsidRDefault="00636B15" w:rsidP="009D5389">
            <w:pPr>
              <w:rPr>
                <w:sz w:val="22"/>
                <w:szCs w:val="22"/>
                <w:lang w:val="fr-FR"/>
              </w:rPr>
            </w:pPr>
            <w:r w:rsidRPr="00B62618">
              <w:rPr>
                <w:b/>
                <w:sz w:val="22"/>
                <w:lang w:val="fr-FR"/>
              </w:rPr>
              <w:t>Externe :</w:t>
            </w:r>
          </w:p>
          <w:p w14:paraId="708EF47A" w14:textId="77777777" w:rsidR="00636B15" w:rsidRPr="00B62618" w:rsidRDefault="00636B15" w:rsidP="009D5389">
            <w:pPr>
              <w:rPr>
                <w:sz w:val="22"/>
                <w:szCs w:val="22"/>
                <w:lang w:val="fr-FR"/>
              </w:rPr>
            </w:pPr>
            <w:r w:rsidRPr="00B62618">
              <w:rPr>
                <w:sz w:val="22"/>
                <w:lang w:val="fr-FR"/>
              </w:rPr>
              <w:t>Fondation ProFuturo ; ministères de l'éducation des États membres ; Convention Andres Bello (CAB) ; FLACSO Chili ; Universidad Pontificia Bolivariana (UPB).</w:t>
            </w:r>
          </w:p>
        </w:tc>
      </w:tr>
      <w:tr w:rsidR="00636B15" w:rsidRPr="00121D09" w14:paraId="6BDD2E56" w14:textId="77777777" w:rsidTr="009D5389">
        <w:trPr>
          <w:jc w:val="center"/>
        </w:trPr>
        <w:tc>
          <w:tcPr>
            <w:tcW w:w="3312" w:type="dxa"/>
            <w:tcBorders>
              <w:top w:val="single" w:sz="6" w:space="0" w:color="auto"/>
              <w:bottom w:val="single" w:sz="6" w:space="0" w:color="auto"/>
            </w:tcBorders>
            <w:shd w:val="clear" w:color="auto" w:fill="BFBFBF" w:themeFill="background1" w:themeFillShade="BF"/>
          </w:tcPr>
          <w:p w14:paraId="0D5C675D" w14:textId="77777777" w:rsidR="00636B15" w:rsidRPr="00B62618" w:rsidRDefault="00636B15" w:rsidP="009D5389">
            <w:pPr>
              <w:rPr>
                <w:b/>
                <w:sz w:val="22"/>
                <w:szCs w:val="22"/>
                <w:lang w:val="fr-FR"/>
              </w:rPr>
            </w:pPr>
            <w:r w:rsidRPr="00B62618">
              <w:rPr>
                <w:b/>
                <w:sz w:val="22"/>
                <w:lang w:val="fr-FR"/>
              </w:rPr>
              <w:t>OBJECTIF</w:t>
            </w:r>
          </w:p>
          <w:p w14:paraId="2CF60CFD" w14:textId="77777777" w:rsidR="00636B15" w:rsidRPr="00B62618" w:rsidRDefault="00636B15" w:rsidP="009D5389">
            <w:pPr>
              <w:rPr>
                <w:b/>
                <w:sz w:val="22"/>
                <w:szCs w:val="22"/>
                <w:lang w:val="fr-FR"/>
              </w:rPr>
            </w:pPr>
            <w:r w:rsidRPr="00B62618">
              <w:rPr>
                <w:b/>
                <w:sz w:val="22"/>
                <w:lang w:val="fr-FR"/>
              </w:rPr>
              <w:t>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765D1435" w14:textId="77777777" w:rsidR="00636B15" w:rsidRPr="00B62618" w:rsidRDefault="00636B15" w:rsidP="009D5389">
            <w:pPr>
              <w:rPr>
                <w:b/>
                <w:sz w:val="22"/>
                <w:szCs w:val="22"/>
                <w:lang w:val="fr-FR"/>
              </w:rPr>
            </w:pPr>
            <w:r w:rsidRPr="00B62618">
              <w:rPr>
                <w:b/>
                <w:sz w:val="22"/>
                <w:lang w:val="fr-FR"/>
              </w:rPr>
              <w:t>3.3.   Renforcer les capacités institutionnelles des États membres afin d’assurer une prise en charge intégrale de la petite enfance.</w:t>
            </w:r>
          </w:p>
        </w:tc>
      </w:tr>
      <w:tr w:rsidR="00636B15" w:rsidRPr="00121D09" w14:paraId="16249B34" w14:textId="77777777" w:rsidTr="009D5389">
        <w:trPr>
          <w:jc w:val="center"/>
        </w:trPr>
        <w:tc>
          <w:tcPr>
            <w:tcW w:w="13853" w:type="dxa"/>
            <w:gridSpan w:val="4"/>
            <w:tcBorders>
              <w:top w:val="single" w:sz="6" w:space="0" w:color="auto"/>
            </w:tcBorders>
            <w:shd w:val="clear" w:color="auto" w:fill="D9D9D9" w:themeFill="background1" w:themeFillShade="D9"/>
          </w:tcPr>
          <w:p w14:paraId="1F478777" w14:textId="77777777" w:rsidR="00636B15" w:rsidRPr="00B62618" w:rsidRDefault="00636B15" w:rsidP="009D5389">
            <w:pPr>
              <w:rPr>
                <w:sz w:val="22"/>
                <w:szCs w:val="22"/>
                <w:lang w:val="fr-FR"/>
              </w:rPr>
            </w:pPr>
            <w:r w:rsidRPr="00B62618">
              <w:rPr>
                <w:b/>
                <w:bCs/>
                <w:sz w:val="22"/>
                <w:lang w:val="fr-FR"/>
              </w:rPr>
              <w:t xml:space="preserve">Éducation </w:t>
            </w:r>
            <w:r w:rsidRPr="00B62618">
              <w:rPr>
                <w:sz w:val="22"/>
                <w:lang w:val="fr-FR"/>
              </w:rPr>
              <w:t>- Programme de bourses d'études et de perfectionnement de l’OEA</w:t>
            </w:r>
          </w:p>
        </w:tc>
      </w:tr>
      <w:tr w:rsidR="00636B15" w:rsidRPr="00121D09" w14:paraId="38E61ABD" w14:textId="77777777" w:rsidTr="009D5389">
        <w:trPr>
          <w:jc w:val="center"/>
        </w:trPr>
        <w:tc>
          <w:tcPr>
            <w:tcW w:w="3312" w:type="dxa"/>
          </w:tcPr>
          <w:p w14:paraId="1562CB7F" w14:textId="77777777" w:rsidR="00636B15" w:rsidRPr="00B62618" w:rsidRDefault="00636B15" w:rsidP="009D5389">
            <w:pPr>
              <w:rPr>
                <w:sz w:val="22"/>
                <w:szCs w:val="22"/>
                <w:lang w:val="fr-FR"/>
              </w:rPr>
            </w:pPr>
            <w:r w:rsidRPr="00B62618">
              <w:rPr>
                <w:color w:val="000000" w:themeColor="text1"/>
                <w:sz w:val="22"/>
                <w:lang w:val="fr-FR"/>
              </w:rPr>
              <w:t>Attribue chaque année des bourses pour des masters, des doctorats ou des recherches de troisième cycle menant à un diplôme universitaire.</w:t>
            </w:r>
          </w:p>
        </w:tc>
        <w:tc>
          <w:tcPr>
            <w:tcW w:w="4234" w:type="dxa"/>
          </w:tcPr>
          <w:p w14:paraId="0A25840F" w14:textId="77777777" w:rsidR="00636B15" w:rsidRPr="00B62618" w:rsidRDefault="00636B15" w:rsidP="009D5389">
            <w:pPr>
              <w:rPr>
                <w:sz w:val="22"/>
                <w:szCs w:val="22"/>
                <w:lang w:val="fr-FR"/>
              </w:rPr>
            </w:pPr>
          </w:p>
        </w:tc>
        <w:tc>
          <w:tcPr>
            <w:tcW w:w="3427" w:type="dxa"/>
          </w:tcPr>
          <w:p w14:paraId="5C47DA69" w14:textId="77777777" w:rsidR="00636B15" w:rsidRPr="00B62618" w:rsidRDefault="00636B15" w:rsidP="00636B15">
            <w:pPr>
              <w:numPr>
                <w:ilvl w:val="0"/>
                <w:numId w:val="15"/>
              </w:numPr>
              <w:ind w:left="180" w:hanging="180"/>
              <w:rPr>
                <w:sz w:val="22"/>
                <w:szCs w:val="22"/>
                <w:lang w:val="fr-FR"/>
              </w:rPr>
            </w:pPr>
            <w:r w:rsidRPr="00B62618">
              <w:rPr>
                <w:sz w:val="22"/>
                <w:lang w:val="fr-FR"/>
              </w:rPr>
              <w:t>47 Bourses académiques menant à des diplômes de premier cycle, de maîtrise et de doctorat avec plus de 160 universités dans les États membres dans divers programmes contribuant au développement du capital humain pour promouvoir la compétitivité et le développement dans les pays de la région.</w:t>
            </w:r>
          </w:p>
          <w:p w14:paraId="4B92D95E" w14:textId="77777777" w:rsidR="00636B15" w:rsidRPr="00B62618" w:rsidRDefault="00636B15" w:rsidP="00636B15">
            <w:pPr>
              <w:numPr>
                <w:ilvl w:val="0"/>
                <w:numId w:val="15"/>
              </w:numPr>
              <w:ind w:left="180" w:hanging="180"/>
              <w:rPr>
                <w:sz w:val="22"/>
                <w:szCs w:val="22"/>
                <w:lang w:val="fr-FR"/>
              </w:rPr>
            </w:pPr>
            <w:r w:rsidRPr="00B62618">
              <w:rPr>
                <w:sz w:val="22"/>
                <w:lang w:val="fr-FR"/>
              </w:rPr>
              <w:t>11 Cours en ligne de développement professionnel à court terme pour les citoyens et les résidents permanents des États membres de l'OEA afin d'élargir et de renforcer le développement professionnel dans des domaines de travail spécialisés.</w:t>
            </w:r>
          </w:p>
          <w:p w14:paraId="5BA9C237" w14:textId="77777777" w:rsidR="00636B15" w:rsidRPr="00B62618" w:rsidRDefault="00636B15" w:rsidP="00636B15">
            <w:pPr>
              <w:numPr>
                <w:ilvl w:val="0"/>
                <w:numId w:val="15"/>
              </w:numPr>
              <w:ind w:left="180" w:hanging="180"/>
              <w:rPr>
                <w:sz w:val="22"/>
                <w:szCs w:val="22"/>
                <w:lang w:val="fr-FR"/>
              </w:rPr>
            </w:pPr>
            <w:r w:rsidRPr="00B62618">
              <w:rPr>
                <w:sz w:val="22"/>
                <w:lang w:val="fr-FR"/>
              </w:rPr>
              <w:t xml:space="preserve">Au moins 3 000 bourses d'études accordées dans le cadre de partenariats avec les gouvernements des États membres, les universités privées et publiques des États membres et des pays observateurs de l'OEA ainsi que d'autres établissements d'enseignement menant à des diplômes de maîtrise et de doctorat et à des certificats de développement professionnel, qui contribueront au développement </w:t>
            </w:r>
            <w:r w:rsidRPr="00B62618">
              <w:rPr>
                <w:sz w:val="22"/>
                <w:lang w:val="fr-FR"/>
              </w:rPr>
              <w:lastRenderedPageBreak/>
              <w:t>du capital humain et favoriseront la résilience, la compétitivité et le développement dans les pays de la région.</w:t>
            </w:r>
          </w:p>
        </w:tc>
        <w:tc>
          <w:tcPr>
            <w:tcW w:w="2880" w:type="dxa"/>
          </w:tcPr>
          <w:p w14:paraId="1A8C945F" w14:textId="77777777" w:rsidR="00636B15" w:rsidRPr="00B62618" w:rsidRDefault="00636B15" w:rsidP="009D5389">
            <w:pPr>
              <w:rPr>
                <w:sz w:val="22"/>
                <w:szCs w:val="22"/>
                <w:lang w:val="fr-FR"/>
              </w:rPr>
            </w:pPr>
            <w:r w:rsidRPr="00B62618">
              <w:rPr>
                <w:b/>
                <w:sz w:val="22"/>
                <w:lang w:val="fr-FR"/>
              </w:rPr>
              <w:lastRenderedPageBreak/>
              <w:t>Interne :</w:t>
            </w:r>
          </w:p>
          <w:p w14:paraId="1E24B291" w14:textId="77777777" w:rsidR="00636B15" w:rsidRPr="00B62618" w:rsidRDefault="00636B15" w:rsidP="009D5389">
            <w:pPr>
              <w:rPr>
                <w:sz w:val="22"/>
                <w:szCs w:val="22"/>
                <w:lang w:val="fr-FR"/>
              </w:rPr>
            </w:pPr>
            <w:r w:rsidRPr="00B62618">
              <w:rPr>
                <w:sz w:val="22"/>
                <w:lang w:val="fr-FR"/>
              </w:rPr>
              <w:t>Bureau exécutif du SEDI, tous les départements du SEDI</w:t>
            </w:r>
          </w:p>
          <w:p w14:paraId="00E3250B" w14:textId="77777777" w:rsidR="00636B15" w:rsidRPr="00B62618" w:rsidRDefault="00636B15" w:rsidP="009D5389">
            <w:pPr>
              <w:rPr>
                <w:sz w:val="22"/>
                <w:szCs w:val="22"/>
                <w:lang w:val="fr-FR"/>
              </w:rPr>
            </w:pPr>
          </w:p>
          <w:p w14:paraId="2510CB99" w14:textId="77777777" w:rsidR="00636B15" w:rsidRPr="00B62618" w:rsidRDefault="00636B15" w:rsidP="009D5389">
            <w:pPr>
              <w:rPr>
                <w:sz w:val="22"/>
                <w:szCs w:val="22"/>
                <w:lang w:val="fr-FR"/>
              </w:rPr>
            </w:pPr>
            <w:r w:rsidRPr="00B62618">
              <w:rPr>
                <w:b/>
                <w:sz w:val="22"/>
                <w:lang w:val="fr-FR"/>
              </w:rPr>
              <w:t>Externe :</w:t>
            </w:r>
          </w:p>
          <w:p w14:paraId="105F73B2" w14:textId="77777777" w:rsidR="00636B15" w:rsidRPr="00B62618" w:rsidRDefault="00636B15" w:rsidP="009D5389">
            <w:pPr>
              <w:rPr>
                <w:sz w:val="22"/>
                <w:szCs w:val="22"/>
                <w:lang w:val="fr-FR"/>
              </w:rPr>
            </w:pPr>
            <w:r w:rsidRPr="00B62618">
              <w:rPr>
                <w:sz w:val="22"/>
                <w:lang w:val="fr-FR"/>
              </w:rPr>
              <w:t>Gouvernements des États membres, 160 universités du Consortium des universités des États membres de l'OEA, 5 établissements d'enseignement des pays observateurs, 88 universités du Groupe de coopération internationale des universités brésiliennes.</w:t>
            </w:r>
          </w:p>
        </w:tc>
      </w:tr>
      <w:tr w:rsidR="00636B15" w:rsidRPr="00121D09" w14:paraId="3916D5CE" w14:textId="77777777" w:rsidTr="009D5389">
        <w:trPr>
          <w:jc w:val="center"/>
        </w:trPr>
        <w:tc>
          <w:tcPr>
            <w:tcW w:w="3312" w:type="dxa"/>
            <w:tcBorders>
              <w:bottom w:val="single" w:sz="6" w:space="0" w:color="auto"/>
            </w:tcBorders>
          </w:tcPr>
          <w:p w14:paraId="6E9CA727" w14:textId="77777777" w:rsidR="00636B15" w:rsidRPr="00B62618" w:rsidRDefault="00636B15" w:rsidP="009D5389">
            <w:pPr>
              <w:tabs>
                <w:tab w:val="left" w:pos="177"/>
              </w:tabs>
              <w:rPr>
                <w:b/>
                <w:sz w:val="22"/>
                <w:szCs w:val="22"/>
                <w:lang w:val="fr-FR"/>
              </w:rPr>
            </w:pPr>
            <w:r w:rsidRPr="00B62618">
              <w:rPr>
                <w:b/>
                <w:sz w:val="22"/>
                <w:lang w:val="fr-FR"/>
              </w:rPr>
              <w:t>Fonds Rowe</w:t>
            </w:r>
          </w:p>
          <w:p w14:paraId="0AC56747" w14:textId="77777777" w:rsidR="00636B15" w:rsidRPr="00B62618" w:rsidRDefault="00636B15" w:rsidP="009D5389">
            <w:pPr>
              <w:rPr>
                <w:sz w:val="22"/>
                <w:szCs w:val="22"/>
                <w:lang w:val="fr-FR"/>
              </w:rPr>
            </w:pPr>
            <w:r w:rsidRPr="00B62618">
              <w:rPr>
                <w:sz w:val="22"/>
                <w:lang w:val="fr-FR"/>
              </w:rPr>
              <w:t>Le Fonds Rowe est un programme de prêts à l'éducation de l'OEA qui aide les citoyens des États membres de l'OEA d'Amérique latine et des Caraïbes à financer leurs études ou leurs recherches dans des universités accréditées aux États-Unis en leur accordant des prêts sans intérêt d'un montant maximal de $15 000.</w:t>
            </w:r>
          </w:p>
        </w:tc>
        <w:tc>
          <w:tcPr>
            <w:tcW w:w="4234" w:type="dxa"/>
            <w:tcBorders>
              <w:bottom w:val="single" w:sz="6" w:space="0" w:color="auto"/>
            </w:tcBorders>
          </w:tcPr>
          <w:p w14:paraId="5217B5AE" w14:textId="77777777" w:rsidR="00636B15" w:rsidRPr="00B62618" w:rsidRDefault="00636B15" w:rsidP="009D5389">
            <w:pPr>
              <w:rPr>
                <w:sz w:val="22"/>
                <w:szCs w:val="22"/>
                <w:lang w:val="fr-FR"/>
              </w:rPr>
            </w:pPr>
          </w:p>
        </w:tc>
        <w:tc>
          <w:tcPr>
            <w:tcW w:w="3427" w:type="dxa"/>
            <w:tcBorders>
              <w:bottom w:val="single" w:sz="6" w:space="0" w:color="auto"/>
            </w:tcBorders>
          </w:tcPr>
          <w:p w14:paraId="72A1B876" w14:textId="77777777" w:rsidR="00636B15" w:rsidRPr="00B62618" w:rsidRDefault="00636B15" w:rsidP="00636B15">
            <w:pPr>
              <w:numPr>
                <w:ilvl w:val="0"/>
                <w:numId w:val="16"/>
              </w:numPr>
              <w:ind w:left="180" w:hanging="180"/>
              <w:rPr>
                <w:sz w:val="22"/>
                <w:szCs w:val="22"/>
                <w:lang w:val="fr-FR"/>
              </w:rPr>
            </w:pPr>
            <w:r w:rsidRPr="00B62618">
              <w:rPr>
                <w:sz w:val="22"/>
                <w:lang w:val="fr-FR"/>
              </w:rPr>
              <w:t>Plus de 90 aides financières accordées pour des études aux États-Unis</w:t>
            </w:r>
          </w:p>
          <w:p w14:paraId="412E886B" w14:textId="77777777" w:rsidR="00636B15" w:rsidRPr="00B62618" w:rsidRDefault="00636B15" w:rsidP="00636B15">
            <w:pPr>
              <w:numPr>
                <w:ilvl w:val="0"/>
                <w:numId w:val="16"/>
              </w:numPr>
              <w:ind w:left="180" w:hanging="180"/>
              <w:rPr>
                <w:sz w:val="22"/>
                <w:szCs w:val="22"/>
                <w:lang w:val="fr-FR"/>
              </w:rPr>
            </w:pPr>
            <w:r w:rsidRPr="00B62618">
              <w:rPr>
                <w:sz w:val="22"/>
                <w:lang w:val="fr-FR"/>
              </w:rPr>
              <w:t>Octroi de prêts éducatifs et d'urgence à 20 membres du personnel du Secrétariat général de l’OEA.</w:t>
            </w:r>
          </w:p>
          <w:p w14:paraId="31344CF6" w14:textId="77777777" w:rsidR="00636B15" w:rsidRPr="00B62618" w:rsidRDefault="00636B15" w:rsidP="00636B15">
            <w:pPr>
              <w:numPr>
                <w:ilvl w:val="0"/>
                <w:numId w:val="16"/>
              </w:numPr>
              <w:ind w:left="180" w:hanging="180"/>
              <w:rPr>
                <w:sz w:val="22"/>
                <w:szCs w:val="22"/>
                <w:lang w:val="fr-FR"/>
              </w:rPr>
            </w:pPr>
            <w:r w:rsidRPr="00B62618">
              <w:rPr>
                <w:sz w:val="22"/>
                <w:lang w:val="fr-FR"/>
              </w:rPr>
              <w:t>Plus de 300 comptes de prêts gérés par le fonds renouvelable</w:t>
            </w:r>
          </w:p>
          <w:p w14:paraId="3E7935E9" w14:textId="77777777" w:rsidR="00636B15" w:rsidRPr="00B62618" w:rsidRDefault="00636B15" w:rsidP="00636B15">
            <w:pPr>
              <w:numPr>
                <w:ilvl w:val="0"/>
                <w:numId w:val="16"/>
              </w:numPr>
              <w:ind w:left="180" w:hanging="180"/>
              <w:rPr>
                <w:sz w:val="22"/>
                <w:szCs w:val="22"/>
                <w:lang w:val="fr-FR"/>
              </w:rPr>
            </w:pPr>
            <w:r w:rsidRPr="00B62618">
              <w:rPr>
                <w:sz w:val="22"/>
                <w:lang w:val="fr-FR"/>
              </w:rPr>
              <w:t>Portefeuille d'investissement géré de manière modérément conservatrice</w:t>
            </w:r>
          </w:p>
          <w:p w14:paraId="4B15FC7E" w14:textId="77777777" w:rsidR="00636B15" w:rsidRPr="00B62618" w:rsidRDefault="00636B15" w:rsidP="009D5389">
            <w:pPr>
              <w:rPr>
                <w:sz w:val="22"/>
                <w:szCs w:val="22"/>
                <w:lang w:val="fr-FR"/>
              </w:rPr>
            </w:pPr>
            <w:r w:rsidRPr="00B62618">
              <w:rPr>
                <w:sz w:val="22"/>
                <w:lang w:val="fr-FR"/>
              </w:rPr>
              <w:t>Plus d’une bourse d'études accordée dans le cadre de l'aide d’urgence due à la COVID-19 pour aider les étudiants internationaux actuellement inscrits à obtenir leur diplôme aux États-Unis.</w:t>
            </w:r>
          </w:p>
        </w:tc>
        <w:tc>
          <w:tcPr>
            <w:tcW w:w="2880" w:type="dxa"/>
            <w:tcBorders>
              <w:bottom w:val="single" w:sz="6" w:space="0" w:color="auto"/>
            </w:tcBorders>
          </w:tcPr>
          <w:p w14:paraId="2584473D" w14:textId="77777777" w:rsidR="00636B15" w:rsidRPr="00B62618" w:rsidRDefault="00636B15" w:rsidP="009D5389">
            <w:pPr>
              <w:rPr>
                <w:sz w:val="22"/>
                <w:szCs w:val="22"/>
                <w:lang w:val="fr-FR"/>
              </w:rPr>
            </w:pPr>
            <w:r w:rsidRPr="00B62618">
              <w:rPr>
                <w:b/>
                <w:sz w:val="22"/>
                <w:lang w:val="fr-FR"/>
              </w:rPr>
              <w:t>Interne :</w:t>
            </w:r>
          </w:p>
          <w:p w14:paraId="5EADC45A" w14:textId="77777777" w:rsidR="00636B15" w:rsidRPr="00B62618" w:rsidRDefault="00636B15" w:rsidP="009D5389">
            <w:pPr>
              <w:rPr>
                <w:sz w:val="22"/>
                <w:szCs w:val="22"/>
                <w:lang w:val="fr-FR"/>
              </w:rPr>
            </w:pPr>
            <w:r w:rsidRPr="00B62618">
              <w:rPr>
                <w:sz w:val="22"/>
                <w:lang w:val="fr-FR"/>
              </w:rPr>
              <w:t>Comprend des prestataires internes (OEA)</w:t>
            </w:r>
          </w:p>
          <w:p w14:paraId="4B529EB1" w14:textId="77777777" w:rsidR="00636B15" w:rsidRPr="00B62618" w:rsidRDefault="00636B15" w:rsidP="009D5389">
            <w:pPr>
              <w:rPr>
                <w:sz w:val="22"/>
                <w:szCs w:val="22"/>
                <w:lang w:val="fr-FR"/>
              </w:rPr>
            </w:pPr>
          </w:p>
          <w:p w14:paraId="3B9EB8A7" w14:textId="77777777" w:rsidR="00636B15" w:rsidRPr="00B62618" w:rsidRDefault="00636B15" w:rsidP="009D5389">
            <w:pPr>
              <w:rPr>
                <w:sz w:val="22"/>
                <w:szCs w:val="22"/>
                <w:lang w:val="fr-FR"/>
              </w:rPr>
            </w:pPr>
            <w:r w:rsidRPr="00B62618">
              <w:rPr>
                <w:b/>
                <w:sz w:val="22"/>
                <w:lang w:val="fr-FR"/>
              </w:rPr>
              <w:t>Externe :</w:t>
            </w:r>
          </w:p>
          <w:p w14:paraId="531EBC07" w14:textId="77777777" w:rsidR="00636B15" w:rsidRPr="00B62618" w:rsidRDefault="00636B15" w:rsidP="009D5389">
            <w:pPr>
              <w:rPr>
                <w:sz w:val="22"/>
                <w:szCs w:val="22"/>
                <w:lang w:val="fr-FR"/>
              </w:rPr>
            </w:pPr>
            <w:r w:rsidRPr="00B62618">
              <w:rPr>
                <w:sz w:val="22"/>
                <w:lang w:val="fr-FR"/>
              </w:rPr>
              <w:t>OASFCU, Conseiller en investissement, Services de garde et de négociation, Audit externe ainsi que des institutions ou groupes informels dans le domaine des programmes d'échange d'enseignement supérieur et des programmes de bourses d'études/de prêts.</w:t>
            </w:r>
          </w:p>
          <w:p w14:paraId="5D203ED2" w14:textId="77777777" w:rsidR="00636B15" w:rsidRPr="00B62618" w:rsidRDefault="00636B15" w:rsidP="009D5389">
            <w:pPr>
              <w:rPr>
                <w:sz w:val="22"/>
                <w:szCs w:val="22"/>
                <w:lang w:val="fr-FR"/>
              </w:rPr>
            </w:pPr>
          </w:p>
        </w:tc>
      </w:tr>
      <w:tr w:rsidR="00636B15" w:rsidRPr="00121D09" w14:paraId="156E85F6" w14:textId="77777777" w:rsidTr="009D5389">
        <w:trPr>
          <w:jc w:val="center"/>
        </w:trPr>
        <w:tc>
          <w:tcPr>
            <w:tcW w:w="3312" w:type="dxa"/>
            <w:tcBorders>
              <w:top w:val="single" w:sz="6" w:space="0" w:color="auto"/>
              <w:bottom w:val="single" w:sz="6" w:space="0" w:color="auto"/>
            </w:tcBorders>
            <w:shd w:val="clear" w:color="auto" w:fill="BFBFBF" w:themeFill="background1" w:themeFillShade="BF"/>
          </w:tcPr>
          <w:p w14:paraId="3C151FAB" w14:textId="77777777" w:rsidR="00636B15" w:rsidRPr="00B62618" w:rsidRDefault="00636B15" w:rsidP="009D5389">
            <w:pPr>
              <w:rPr>
                <w:b/>
                <w:sz w:val="22"/>
                <w:szCs w:val="22"/>
                <w:lang w:val="fr-FR"/>
              </w:rPr>
            </w:pPr>
            <w:r w:rsidRPr="00B62618">
              <w:rPr>
                <w:b/>
                <w:sz w:val="22"/>
                <w:lang w:val="fr-FR"/>
              </w:rPr>
              <w:t>LIGNE STRATÉGIQUE :</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116CC92D" w14:textId="77777777" w:rsidR="00636B15" w:rsidRPr="00B62618" w:rsidRDefault="00636B15" w:rsidP="009D5389">
            <w:pPr>
              <w:rPr>
                <w:b/>
                <w:sz w:val="22"/>
                <w:szCs w:val="22"/>
                <w:lang w:val="fr-FR"/>
              </w:rPr>
            </w:pPr>
            <w:r w:rsidRPr="00B62618">
              <w:rPr>
                <w:b/>
                <w:sz w:val="22"/>
                <w:lang w:val="fr-FR"/>
              </w:rPr>
              <w:t>4. Promouvoir le travail décent, digne et productif pour tous</w:t>
            </w:r>
          </w:p>
        </w:tc>
      </w:tr>
      <w:tr w:rsidR="00636B15" w:rsidRPr="00121D09" w14:paraId="581C267F" w14:textId="77777777" w:rsidTr="009D5389">
        <w:trPr>
          <w:jc w:val="center"/>
        </w:trPr>
        <w:tc>
          <w:tcPr>
            <w:tcW w:w="3312" w:type="dxa"/>
            <w:tcBorders>
              <w:top w:val="single" w:sz="6" w:space="0" w:color="auto"/>
              <w:bottom w:val="single" w:sz="6" w:space="0" w:color="auto"/>
            </w:tcBorders>
            <w:shd w:val="clear" w:color="auto" w:fill="BFBFBF" w:themeFill="background1" w:themeFillShade="BF"/>
          </w:tcPr>
          <w:p w14:paraId="4C15F433" w14:textId="77777777" w:rsidR="00636B15" w:rsidRPr="00B62618" w:rsidRDefault="00636B15" w:rsidP="009D5389">
            <w:pPr>
              <w:rPr>
                <w:b/>
                <w:sz w:val="22"/>
                <w:szCs w:val="22"/>
                <w:lang w:val="fr-FR"/>
              </w:rPr>
            </w:pPr>
            <w:r w:rsidRPr="00B62618">
              <w:rPr>
                <w:b/>
                <w:sz w:val="22"/>
                <w:lang w:val="fr-FR"/>
              </w:rPr>
              <w:t xml:space="preserve">OBJECTIF </w:t>
            </w:r>
          </w:p>
          <w:p w14:paraId="01462D76" w14:textId="77777777" w:rsidR="00636B15" w:rsidRPr="00B62618" w:rsidRDefault="00636B15" w:rsidP="009D5389">
            <w:pPr>
              <w:rPr>
                <w:b/>
                <w:sz w:val="22"/>
                <w:szCs w:val="22"/>
                <w:lang w:val="fr-FR"/>
              </w:rPr>
            </w:pPr>
            <w:r w:rsidRPr="00B62618">
              <w:rPr>
                <w:b/>
                <w:sz w:val="22"/>
                <w:lang w:val="fr-FR"/>
              </w:rPr>
              <w:t>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7C4AAEAD" w14:textId="77777777" w:rsidR="00636B15" w:rsidRPr="00B62618" w:rsidRDefault="00636B15" w:rsidP="009D5389">
            <w:pPr>
              <w:rPr>
                <w:b/>
                <w:sz w:val="22"/>
                <w:szCs w:val="22"/>
                <w:lang w:val="fr-FR"/>
              </w:rPr>
            </w:pPr>
            <w:r w:rsidRPr="00B62618">
              <w:rPr>
                <w:b/>
                <w:sz w:val="22"/>
                <w:lang w:val="fr-FR"/>
              </w:rPr>
              <w:t>4.1.  Renforcer les capacités institutionnelles des États membres pour le renforcement des systèmes d’éducation et de formation continue</w:t>
            </w:r>
          </w:p>
        </w:tc>
      </w:tr>
      <w:tr w:rsidR="00636B15" w:rsidRPr="00B62618" w14:paraId="03E43E03" w14:textId="77777777" w:rsidTr="009D5389">
        <w:trPr>
          <w:jc w:val="center"/>
        </w:trPr>
        <w:tc>
          <w:tcPr>
            <w:tcW w:w="13853" w:type="dxa"/>
            <w:gridSpan w:val="4"/>
            <w:tcBorders>
              <w:top w:val="single" w:sz="6" w:space="0" w:color="auto"/>
            </w:tcBorders>
            <w:shd w:val="clear" w:color="auto" w:fill="D9D9D9" w:themeFill="background1" w:themeFillShade="D9"/>
          </w:tcPr>
          <w:p w14:paraId="4AFDC10F" w14:textId="77777777" w:rsidR="00636B15" w:rsidRPr="00B62618" w:rsidRDefault="00636B15" w:rsidP="009D5389">
            <w:pPr>
              <w:rPr>
                <w:b/>
                <w:sz w:val="22"/>
                <w:szCs w:val="22"/>
                <w:lang w:val="fr-FR"/>
              </w:rPr>
            </w:pPr>
            <w:r w:rsidRPr="00B62618">
              <w:rPr>
                <w:b/>
                <w:sz w:val="22"/>
                <w:lang w:val="fr-FR"/>
              </w:rPr>
              <w:t>Travail :</w:t>
            </w:r>
          </w:p>
        </w:tc>
      </w:tr>
      <w:tr w:rsidR="00636B15" w:rsidRPr="00121D09" w14:paraId="4AB80A8E" w14:textId="77777777" w:rsidTr="009D5389">
        <w:trPr>
          <w:jc w:val="center"/>
        </w:trPr>
        <w:tc>
          <w:tcPr>
            <w:tcW w:w="3312" w:type="dxa"/>
          </w:tcPr>
          <w:p w14:paraId="662B993B"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Conférence interaméricaine des ministres du travail (CIMT)</w:t>
            </w:r>
          </w:p>
        </w:tc>
        <w:tc>
          <w:tcPr>
            <w:tcW w:w="4234" w:type="dxa"/>
          </w:tcPr>
          <w:p w14:paraId="31A269B7" w14:textId="77777777" w:rsidR="00636B15" w:rsidRPr="00B62618" w:rsidRDefault="00636B15" w:rsidP="009D5389">
            <w:pPr>
              <w:rPr>
                <w:sz w:val="22"/>
                <w:szCs w:val="22"/>
                <w:lang w:val="fr-FR"/>
              </w:rPr>
            </w:pPr>
            <w:r w:rsidRPr="00B62618">
              <w:rPr>
                <w:sz w:val="22"/>
                <w:lang w:val="fr-FR"/>
              </w:rPr>
              <w:t>Activités de coopération bilatérale et régionale du Réseau interaméricain de l'administration dans le domaine du travail (RIAL)</w:t>
            </w:r>
          </w:p>
        </w:tc>
        <w:tc>
          <w:tcPr>
            <w:tcW w:w="3427" w:type="dxa"/>
          </w:tcPr>
          <w:p w14:paraId="3EBE5FEE" w14:textId="77777777" w:rsidR="00636B15" w:rsidRPr="00B62618" w:rsidRDefault="00636B15" w:rsidP="00636B15">
            <w:pPr>
              <w:numPr>
                <w:ilvl w:val="0"/>
                <w:numId w:val="18"/>
              </w:numPr>
              <w:ind w:left="180" w:hanging="180"/>
              <w:rPr>
                <w:sz w:val="22"/>
                <w:szCs w:val="22"/>
                <w:lang w:val="fr-FR"/>
              </w:rPr>
            </w:pPr>
            <w:r w:rsidRPr="00B62618">
              <w:rPr>
                <w:sz w:val="22"/>
                <w:lang w:val="fr-FR"/>
              </w:rPr>
              <w:t xml:space="preserve">Concevoir, réformer, exécuter et évaluer les politiques et les programmes en matière de travail et d'emploi, grâce aux activités de coopération bilatérale et régionale du RIAL, au portefeuille de réponses des ministères du travail à la COVID-19 et aux bulletins d'information, entre autres.  Un accent particulier sur les mesures visant à promouvoir le travail décent et l'emploi productif, y </w:t>
            </w:r>
            <w:r w:rsidRPr="00B62618">
              <w:rPr>
                <w:sz w:val="22"/>
                <w:lang w:val="fr-FR"/>
              </w:rPr>
              <w:lastRenderedPageBreak/>
              <w:t>compris l'emploi des jeunes, le renforcement des systèmes de protection sociale et la promotion d'un vieillissement dans la dignité.</w:t>
            </w:r>
          </w:p>
          <w:p w14:paraId="28730E1F" w14:textId="77777777" w:rsidR="00636B15" w:rsidRPr="00B62618" w:rsidRDefault="00636B15" w:rsidP="00636B15">
            <w:pPr>
              <w:numPr>
                <w:ilvl w:val="0"/>
                <w:numId w:val="18"/>
              </w:numPr>
              <w:ind w:left="180" w:hanging="180"/>
              <w:rPr>
                <w:sz w:val="22"/>
                <w:szCs w:val="22"/>
                <w:lang w:val="fr-FR"/>
              </w:rPr>
            </w:pPr>
            <w:r w:rsidRPr="00B62618">
              <w:rPr>
                <w:sz w:val="22"/>
                <w:lang w:val="fr-FR"/>
              </w:rPr>
              <w:t xml:space="preserve">Combler le déficit de compétences, identifier et développer les compétences pour l'avenir et mieux préparer la main-d'œuvre afin de se remettre de la crise de l'emploi générée par la COVID-19, et construire des économies et des sociétés plus résilientes et durables.  </w:t>
            </w:r>
          </w:p>
        </w:tc>
        <w:tc>
          <w:tcPr>
            <w:tcW w:w="2880" w:type="dxa"/>
          </w:tcPr>
          <w:p w14:paraId="60F17AE0" w14:textId="77777777" w:rsidR="00636B15" w:rsidRPr="00B62618" w:rsidRDefault="00636B15" w:rsidP="009D5389">
            <w:pPr>
              <w:rPr>
                <w:sz w:val="22"/>
                <w:szCs w:val="22"/>
                <w:lang w:val="fr-FR"/>
              </w:rPr>
            </w:pPr>
            <w:r w:rsidRPr="00B62618">
              <w:rPr>
                <w:b/>
                <w:sz w:val="22"/>
                <w:lang w:val="fr-FR"/>
              </w:rPr>
              <w:lastRenderedPageBreak/>
              <w:t>Interne :</w:t>
            </w:r>
          </w:p>
          <w:p w14:paraId="2B03C562" w14:textId="77777777" w:rsidR="00636B15" w:rsidRPr="00B62618" w:rsidRDefault="00636B15" w:rsidP="009D5389">
            <w:pPr>
              <w:rPr>
                <w:sz w:val="22"/>
                <w:szCs w:val="22"/>
                <w:lang w:val="fr-FR"/>
              </w:rPr>
            </w:pPr>
            <w:r w:rsidRPr="00B62618">
              <w:rPr>
                <w:sz w:val="22"/>
                <w:lang w:val="fr-FR"/>
              </w:rPr>
              <w:t>Secrétariat à l'accès aux droits et à l'équité</w:t>
            </w:r>
          </w:p>
        </w:tc>
      </w:tr>
      <w:tr w:rsidR="00636B15" w:rsidRPr="00121D09" w14:paraId="68D22C68" w14:textId="77777777" w:rsidTr="009D5389">
        <w:trPr>
          <w:jc w:val="center"/>
        </w:trPr>
        <w:tc>
          <w:tcPr>
            <w:tcW w:w="3312" w:type="dxa"/>
            <w:tcBorders>
              <w:bottom w:val="single" w:sz="6" w:space="0" w:color="auto"/>
            </w:tcBorders>
          </w:tcPr>
          <w:p w14:paraId="1179CE25" w14:textId="77777777" w:rsidR="00636B15" w:rsidRPr="00B62618" w:rsidRDefault="00636B15" w:rsidP="009D5389">
            <w:pPr>
              <w:rPr>
                <w:sz w:val="22"/>
                <w:szCs w:val="22"/>
                <w:lang w:val="fr-FR"/>
              </w:rPr>
            </w:pPr>
          </w:p>
        </w:tc>
        <w:tc>
          <w:tcPr>
            <w:tcW w:w="4234" w:type="dxa"/>
            <w:tcBorders>
              <w:bottom w:val="single" w:sz="6" w:space="0" w:color="auto"/>
            </w:tcBorders>
          </w:tcPr>
          <w:p w14:paraId="08E60BC8" w14:textId="77777777" w:rsidR="00636B15" w:rsidRPr="00B62618" w:rsidRDefault="00636B15" w:rsidP="009D5389">
            <w:pPr>
              <w:rPr>
                <w:sz w:val="22"/>
                <w:szCs w:val="22"/>
                <w:lang w:val="fr-FR"/>
              </w:rPr>
            </w:pPr>
            <w:r w:rsidRPr="00B62618">
              <w:rPr>
                <w:sz w:val="22"/>
                <w:lang w:val="fr-FR"/>
              </w:rPr>
              <w:t>Actions visant à améliorer l'équité entre les sexes sur le marché du travail grâce à l'intégration de la dimension de genre dans les ministères du travail</w:t>
            </w:r>
          </w:p>
        </w:tc>
        <w:tc>
          <w:tcPr>
            <w:tcW w:w="3427" w:type="dxa"/>
            <w:tcBorders>
              <w:bottom w:val="single" w:sz="6" w:space="0" w:color="auto"/>
            </w:tcBorders>
          </w:tcPr>
          <w:p w14:paraId="7C5E9CD1" w14:textId="77777777" w:rsidR="00636B15" w:rsidRPr="00B62618" w:rsidRDefault="00636B15" w:rsidP="00636B15">
            <w:pPr>
              <w:numPr>
                <w:ilvl w:val="0"/>
                <w:numId w:val="18"/>
              </w:numPr>
              <w:spacing w:line="216" w:lineRule="auto"/>
              <w:ind w:left="187" w:hanging="187"/>
              <w:rPr>
                <w:sz w:val="22"/>
                <w:szCs w:val="22"/>
                <w:lang w:val="fr-FR"/>
              </w:rPr>
            </w:pPr>
            <w:r w:rsidRPr="00B62618">
              <w:rPr>
                <w:sz w:val="22"/>
                <w:lang w:val="fr-FR"/>
              </w:rPr>
              <w:t>Une étude complète sur le statut de l'intégration de la dimension de genre dans les ministères du travail et une série de recommandations pour renforcer ce processus ont été finalisées.  L'intégration de la dimension de genre est un moyen de parvenir à l'équité entre les sexes.</w:t>
            </w:r>
          </w:p>
          <w:p w14:paraId="54B301B9" w14:textId="77777777" w:rsidR="00636B15" w:rsidRPr="00B62618" w:rsidRDefault="00636B15" w:rsidP="00636B15">
            <w:pPr>
              <w:numPr>
                <w:ilvl w:val="0"/>
                <w:numId w:val="18"/>
              </w:numPr>
              <w:spacing w:line="216" w:lineRule="auto"/>
              <w:ind w:left="187" w:hanging="187"/>
              <w:rPr>
                <w:sz w:val="22"/>
                <w:szCs w:val="22"/>
                <w:lang w:val="fr-FR"/>
              </w:rPr>
            </w:pPr>
            <w:r w:rsidRPr="00B62618">
              <w:rPr>
                <w:sz w:val="22"/>
                <w:lang w:val="fr-FR"/>
              </w:rPr>
              <w:t>Les gouvernements ont accru leurs connaissances et leurs capacités sur la manière d'identifier, de prévenir, de traiter et de sanctionner la violence sexiste au travail, après un cours virtuel développé par le SEDI et la Commission interaméricaine des femmes (CIM) dans le Portail éducatif des Amériques.</w:t>
            </w:r>
          </w:p>
        </w:tc>
        <w:tc>
          <w:tcPr>
            <w:tcW w:w="2880" w:type="dxa"/>
            <w:tcBorders>
              <w:bottom w:val="single" w:sz="6" w:space="0" w:color="auto"/>
            </w:tcBorders>
          </w:tcPr>
          <w:p w14:paraId="72560386" w14:textId="77777777" w:rsidR="00636B15" w:rsidRPr="00B62618" w:rsidRDefault="00636B15" w:rsidP="009D5389">
            <w:pPr>
              <w:rPr>
                <w:sz w:val="22"/>
                <w:szCs w:val="22"/>
                <w:lang w:val="fr-FR"/>
              </w:rPr>
            </w:pPr>
          </w:p>
        </w:tc>
      </w:tr>
      <w:tr w:rsidR="00636B15" w:rsidRPr="00121D09" w14:paraId="15D09446" w14:textId="77777777" w:rsidTr="009D5389">
        <w:trPr>
          <w:jc w:val="center"/>
        </w:trPr>
        <w:tc>
          <w:tcPr>
            <w:tcW w:w="3312" w:type="dxa"/>
            <w:tcBorders>
              <w:top w:val="single" w:sz="6" w:space="0" w:color="auto"/>
              <w:bottom w:val="single" w:sz="6" w:space="0" w:color="auto"/>
            </w:tcBorders>
            <w:shd w:val="clear" w:color="auto" w:fill="BFBFBF" w:themeFill="background1" w:themeFillShade="BF"/>
          </w:tcPr>
          <w:p w14:paraId="61FE6E04" w14:textId="77777777" w:rsidR="00636B15" w:rsidRPr="00B62618" w:rsidRDefault="00636B15" w:rsidP="009D5389">
            <w:pPr>
              <w:rPr>
                <w:b/>
                <w:sz w:val="22"/>
                <w:szCs w:val="22"/>
                <w:lang w:val="fr-FR"/>
              </w:rPr>
            </w:pPr>
            <w:r w:rsidRPr="00B62618">
              <w:rPr>
                <w:b/>
                <w:sz w:val="22"/>
                <w:lang w:val="fr-FR"/>
              </w:rPr>
              <w:t>OBJECTIF</w:t>
            </w:r>
          </w:p>
          <w:p w14:paraId="78CF804B" w14:textId="77777777" w:rsidR="00636B15" w:rsidRPr="00B62618" w:rsidRDefault="00636B15" w:rsidP="009D5389">
            <w:pPr>
              <w:rPr>
                <w:b/>
                <w:sz w:val="22"/>
                <w:szCs w:val="22"/>
                <w:lang w:val="fr-FR"/>
              </w:rPr>
            </w:pPr>
            <w:r w:rsidRPr="00B62618">
              <w:rPr>
                <w:b/>
                <w:sz w:val="22"/>
                <w:lang w:val="fr-FR"/>
              </w:rPr>
              <w:t>STRATÉGIQUE</w:t>
            </w:r>
          </w:p>
        </w:tc>
        <w:tc>
          <w:tcPr>
            <w:tcW w:w="10541" w:type="dxa"/>
            <w:gridSpan w:val="3"/>
            <w:tcBorders>
              <w:top w:val="single" w:sz="6" w:space="0" w:color="auto"/>
              <w:bottom w:val="single" w:sz="6" w:space="0" w:color="auto"/>
            </w:tcBorders>
            <w:shd w:val="clear" w:color="auto" w:fill="BFBFBF" w:themeFill="background1" w:themeFillShade="BF"/>
          </w:tcPr>
          <w:p w14:paraId="4B79AC37" w14:textId="77777777" w:rsidR="00636B15" w:rsidRPr="00B62618" w:rsidRDefault="00636B15" w:rsidP="009D5389">
            <w:pPr>
              <w:rPr>
                <w:b/>
                <w:sz w:val="22"/>
                <w:szCs w:val="22"/>
                <w:lang w:val="fr-FR"/>
              </w:rPr>
            </w:pPr>
            <w:r w:rsidRPr="00B62618">
              <w:rPr>
                <w:b/>
                <w:sz w:val="22"/>
                <w:lang w:val="fr-FR"/>
              </w:rPr>
              <w:t>4.2.   Renforcer les capacités institutionnelles des États membres afin de favoriser des conditions et perspectives d’emploi équitables et inclusives pour les populations en situation de vulnérabilité et tous les groupes qui rencontrent des difficultés importantes sur le marché du travail.</w:t>
            </w:r>
          </w:p>
        </w:tc>
      </w:tr>
      <w:tr w:rsidR="00636B15" w:rsidRPr="00121D09" w14:paraId="1812617C" w14:textId="77777777" w:rsidTr="009D5389">
        <w:trPr>
          <w:jc w:val="center"/>
        </w:trPr>
        <w:tc>
          <w:tcPr>
            <w:tcW w:w="3312" w:type="dxa"/>
            <w:tcBorders>
              <w:top w:val="single" w:sz="6" w:space="0" w:color="auto"/>
            </w:tcBorders>
          </w:tcPr>
          <w:p w14:paraId="7DD4F02E" w14:textId="77777777" w:rsidR="00636B15" w:rsidRPr="00B62618" w:rsidRDefault="00636B15" w:rsidP="009D5389">
            <w:pPr>
              <w:tabs>
                <w:tab w:val="left" w:pos="177"/>
              </w:tabs>
              <w:rPr>
                <w:sz w:val="22"/>
                <w:szCs w:val="22"/>
                <w:lang w:val="fr-FR"/>
              </w:rPr>
            </w:pPr>
            <w:r w:rsidRPr="00B62618">
              <w:rPr>
                <w:b/>
                <w:bCs/>
                <w:sz w:val="22"/>
                <w:lang w:val="fr-FR"/>
              </w:rPr>
              <w:t>Travail</w:t>
            </w:r>
            <w:r w:rsidRPr="00B62618">
              <w:rPr>
                <w:sz w:val="22"/>
                <w:lang w:val="fr-FR"/>
              </w:rPr>
              <w:t xml:space="preserve"> - Dialogue politique</w:t>
            </w:r>
          </w:p>
          <w:p w14:paraId="6D0F2219" w14:textId="77777777" w:rsidR="00636B15" w:rsidRPr="00B62618" w:rsidRDefault="00636B15" w:rsidP="009D5389">
            <w:pPr>
              <w:tabs>
                <w:tab w:val="left" w:pos="177"/>
              </w:tabs>
              <w:rPr>
                <w:sz w:val="22"/>
                <w:szCs w:val="22"/>
                <w:lang w:val="fr-FR"/>
              </w:rPr>
            </w:pPr>
          </w:p>
          <w:p w14:paraId="789C0FFD" w14:textId="77777777" w:rsidR="00636B15" w:rsidRPr="00B62618" w:rsidRDefault="00636B15" w:rsidP="00636B15">
            <w:pPr>
              <w:numPr>
                <w:ilvl w:val="0"/>
                <w:numId w:val="20"/>
              </w:numPr>
              <w:tabs>
                <w:tab w:val="left" w:pos="177"/>
              </w:tabs>
              <w:ind w:left="180" w:hanging="180"/>
              <w:rPr>
                <w:sz w:val="22"/>
                <w:szCs w:val="22"/>
                <w:lang w:val="fr-FR"/>
              </w:rPr>
            </w:pPr>
            <w:r w:rsidRPr="00B62618">
              <w:rPr>
                <w:sz w:val="22"/>
                <w:lang w:val="fr-FR"/>
              </w:rPr>
              <w:lastRenderedPageBreak/>
              <w:t xml:space="preserve">Vingt-et-unième Conférence interaméricaine des ministres du travail (CIMT) </w:t>
            </w:r>
          </w:p>
          <w:p w14:paraId="161E674E" w14:textId="77777777" w:rsidR="00636B15" w:rsidRPr="00B62618" w:rsidRDefault="00636B15" w:rsidP="00636B15">
            <w:pPr>
              <w:numPr>
                <w:ilvl w:val="0"/>
                <w:numId w:val="19"/>
              </w:numPr>
              <w:ind w:left="180" w:hanging="180"/>
              <w:rPr>
                <w:sz w:val="22"/>
                <w:szCs w:val="22"/>
                <w:lang w:val="fr-FR"/>
              </w:rPr>
            </w:pPr>
            <w:r w:rsidRPr="00B62618">
              <w:rPr>
                <w:sz w:val="22"/>
                <w:lang w:val="fr-FR"/>
              </w:rPr>
              <w:t>Réunions de syndicats (COSATE) et d’organisations patronales (CEATAL) - (Argentine, 22-24 septembre 2021)</w:t>
            </w:r>
          </w:p>
          <w:p w14:paraId="276DE1B2" w14:textId="77777777" w:rsidR="00636B15" w:rsidRPr="00B62618" w:rsidRDefault="00636B15" w:rsidP="009D5389">
            <w:pPr>
              <w:rPr>
                <w:sz w:val="22"/>
                <w:szCs w:val="22"/>
                <w:lang w:val="fr-FR"/>
              </w:rPr>
            </w:pPr>
          </w:p>
        </w:tc>
        <w:tc>
          <w:tcPr>
            <w:tcW w:w="4234" w:type="dxa"/>
            <w:tcBorders>
              <w:top w:val="single" w:sz="6" w:space="0" w:color="auto"/>
            </w:tcBorders>
          </w:tcPr>
          <w:p w14:paraId="3D7832A5" w14:textId="77777777" w:rsidR="00636B15" w:rsidRPr="00B62618" w:rsidRDefault="00636B15" w:rsidP="009D5389">
            <w:pPr>
              <w:rPr>
                <w:sz w:val="22"/>
                <w:szCs w:val="22"/>
                <w:lang w:val="fr-FR"/>
              </w:rPr>
            </w:pPr>
          </w:p>
        </w:tc>
        <w:tc>
          <w:tcPr>
            <w:tcW w:w="3427" w:type="dxa"/>
            <w:tcBorders>
              <w:top w:val="single" w:sz="6" w:space="0" w:color="auto"/>
            </w:tcBorders>
          </w:tcPr>
          <w:p w14:paraId="473BBAA2" w14:textId="77777777" w:rsidR="00636B15" w:rsidRPr="00B62618" w:rsidRDefault="00636B15" w:rsidP="009D5389">
            <w:pPr>
              <w:spacing w:line="216" w:lineRule="auto"/>
              <w:rPr>
                <w:sz w:val="22"/>
                <w:szCs w:val="22"/>
                <w:lang w:val="fr-FR"/>
              </w:rPr>
            </w:pPr>
            <w:r w:rsidRPr="00B62618">
              <w:rPr>
                <w:sz w:val="22"/>
                <w:lang w:val="fr-FR"/>
              </w:rPr>
              <w:t xml:space="preserve">Les gouvernements sont parvenus à un nouveau consensus continental sur les priorités et les actions en matière de travail et d'emploi, notamment les stratégies visant à </w:t>
            </w:r>
            <w:r w:rsidRPr="00B62618">
              <w:rPr>
                <w:sz w:val="22"/>
                <w:lang w:val="fr-FR"/>
              </w:rPr>
              <w:lastRenderedPageBreak/>
              <w:t xml:space="preserve">relancer l'activité économique, à promouvoir le travail décent et l'emploi productif, en particulier pour les travailleurs qui ont perdu leur emploi en raison de la pandémie de COVID-19, à renforcer le dialogue social et à améliorer la coordination entre l'éducation et le travail. </w:t>
            </w:r>
          </w:p>
          <w:p w14:paraId="5973B8C2" w14:textId="77777777" w:rsidR="00636B15" w:rsidRPr="00B62618" w:rsidRDefault="00636B15" w:rsidP="009D5389">
            <w:pPr>
              <w:spacing w:line="216" w:lineRule="auto"/>
              <w:rPr>
                <w:sz w:val="22"/>
                <w:szCs w:val="22"/>
                <w:lang w:val="fr-FR"/>
              </w:rPr>
            </w:pPr>
          </w:p>
          <w:p w14:paraId="4783D77F" w14:textId="77777777" w:rsidR="00636B15" w:rsidRPr="00B62618" w:rsidRDefault="00636B15" w:rsidP="009D5389">
            <w:pPr>
              <w:spacing w:line="216" w:lineRule="auto"/>
              <w:rPr>
                <w:sz w:val="22"/>
                <w:szCs w:val="22"/>
                <w:lang w:val="fr-FR"/>
              </w:rPr>
            </w:pPr>
            <w:r w:rsidRPr="00B62618">
              <w:rPr>
                <w:sz w:val="22"/>
                <w:lang w:val="fr-FR"/>
              </w:rPr>
              <w:t>Les travailleurs et les employeurs ont conclu des accords au niveau continental sur les questions émergentes et urgentes en matière de travail, ainsi que sur les actions à entreprendre pour y remédier.</w:t>
            </w:r>
          </w:p>
        </w:tc>
        <w:tc>
          <w:tcPr>
            <w:tcW w:w="2880" w:type="dxa"/>
            <w:tcBorders>
              <w:top w:val="single" w:sz="6" w:space="0" w:color="auto"/>
            </w:tcBorders>
          </w:tcPr>
          <w:p w14:paraId="27EF07FE" w14:textId="77777777" w:rsidR="00636B15" w:rsidRPr="00B62618" w:rsidRDefault="00636B15" w:rsidP="009D5389">
            <w:pPr>
              <w:rPr>
                <w:sz w:val="22"/>
                <w:szCs w:val="22"/>
                <w:lang w:val="fr-FR"/>
              </w:rPr>
            </w:pPr>
          </w:p>
        </w:tc>
      </w:tr>
    </w:tbl>
    <w:p w14:paraId="14328D18" w14:textId="77777777" w:rsidR="00636B15" w:rsidRPr="00B62618" w:rsidRDefault="00636B15" w:rsidP="00636B15">
      <w:pPr>
        <w:spacing w:after="160" w:line="259" w:lineRule="auto"/>
        <w:rPr>
          <w:sz w:val="22"/>
          <w:szCs w:val="22"/>
          <w:lang w:val="fr-FR"/>
        </w:rPr>
      </w:pPr>
    </w:p>
    <w:p w14:paraId="725B8A49" w14:textId="77777777" w:rsidR="00636B15" w:rsidRPr="00B62618" w:rsidRDefault="00636B15" w:rsidP="00636B15">
      <w:pPr>
        <w:rPr>
          <w:b/>
          <w:color w:val="0000CC"/>
          <w:sz w:val="22"/>
          <w:szCs w:val="22"/>
          <w:lang w:val="fr-FR"/>
        </w:rPr>
      </w:pPr>
      <w:r w:rsidRPr="00B62618">
        <w:rPr>
          <w:b/>
          <w:color w:val="0000CC"/>
          <w:sz w:val="22"/>
          <w:lang w:val="fr-FR"/>
        </w:rPr>
        <w:t>DÉPARTEMENT/SECTION :</w:t>
      </w:r>
      <w:r w:rsidRPr="00B62618">
        <w:rPr>
          <w:b/>
          <w:color w:val="0000CC"/>
          <w:sz w:val="22"/>
          <w:lang w:val="fr-FR"/>
        </w:rPr>
        <w:tab/>
        <w:t>BUREAU EXÉCUTIF - SECTION DE LA COOPÉRATION TECHNIQUE (SEDI-EO-TCS)</w:t>
      </w:r>
    </w:p>
    <w:p w14:paraId="3CD5180B" w14:textId="77777777" w:rsidR="00636B15" w:rsidRPr="00B62618" w:rsidRDefault="00636B15" w:rsidP="00636B15">
      <w:pPr>
        <w:spacing w:after="160" w:line="259" w:lineRule="auto"/>
        <w:rPr>
          <w:sz w:val="22"/>
          <w:szCs w:val="22"/>
          <w:lang w:val="fr-FR"/>
        </w:rPr>
      </w:pPr>
    </w:p>
    <w:tbl>
      <w:tblPr>
        <w:tblW w:w="138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312"/>
        <w:gridCol w:w="4234"/>
        <w:gridCol w:w="3427"/>
        <w:gridCol w:w="2880"/>
      </w:tblGrid>
      <w:tr w:rsidR="00636B15" w:rsidRPr="00B62618" w14:paraId="7CBA635E" w14:textId="77777777" w:rsidTr="009D5389">
        <w:trPr>
          <w:trHeight w:val="810"/>
          <w:tblHeader/>
          <w:jc w:val="center"/>
        </w:trPr>
        <w:tc>
          <w:tcPr>
            <w:tcW w:w="3312" w:type="dxa"/>
            <w:tcBorders>
              <w:top w:val="single" w:sz="12" w:space="0" w:color="000000"/>
              <w:bottom w:val="single" w:sz="6" w:space="0" w:color="000000"/>
            </w:tcBorders>
            <w:shd w:val="clear" w:color="000000" w:fill="DBE5F1"/>
            <w:vAlign w:val="center"/>
            <w:hideMark/>
          </w:tcPr>
          <w:p w14:paraId="56082BD8"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INITIATIVES/ACTIVITÉS</w:t>
            </w:r>
          </w:p>
        </w:tc>
        <w:tc>
          <w:tcPr>
            <w:tcW w:w="4234" w:type="dxa"/>
            <w:tcBorders>
              <w:top w:val="single" w:sz="12" w:space="0" w:color="000000"/>
              <w:bottom w:val="single" w:sz="6" w:space="0" w:color="000000"/>
            </w:tcBorders>
            <w:shd w:val="clear" w:color="000000" w:fill="D9E2F3"/>
            <w:vAlign w:val="center"/>
            <w:hideMark/>
          </w:tcPr>
          <w:p w14:paraId="1286F31C"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CONTRIBUTION À LA RÉSILIENCE ET À LA COMPÉTITIVITÉ</w:t>
            </w:r>
          </w:p>
        </w:tc>
        <w:tc>
          <w:tcPr>
            <w:tcW w:w="3427" w:type="dxa"/>
            <w:tcBorders>
              <w:top w:val="single" w:sz="12" w:space="0" w:color="000000"/>
              <w:bottom w:val="single" w:sz="6" w:space="0" w:color="000000"/>
            </w:tcBorders>
            <w:shd w:val="clear" w:color="000000" w:fill="DBE5F1"/>
            <w:vAlign w:val="center"/>
            <w:hideMark/>
          </w:tcPr>
          <w:p w14:paraId="5E293364"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RÉSULTATS ANTICIPÉS</w:t>
            </w:r>
          </w:p>
        </w:tc>
        <w:tc>
          <w:tcPr>
            <w:tcW w:w="2880" w:type="dxa"/>
            <w:tcBorders>
              <w:top w:val="single" w:sz="12" w:space="0" w:color="000000"/>
              <w:bottom w:val="single" w:sz="6" w:space="0" w:color="000000"/>
            </w:tcBorders>
            <w:shd w:val="clear" w:color="000000" w:fill="DBE5F1"/>
            <w:vAlign w:val="center"/>
            <w:hideMark/>
          </w:tcPr>
          <w:p w14:paraId="6DA56256"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COOPÉRATION ET PARTENARIATS</w:t>
            </w:r>
          </w:p>
        </w:tc>
      </w:tr>
      <w:tr w:rsidR="00636B15" w:rsidRPr="00121D09" w14:paraId="27550207" w14:textId="77777777" w:rsidTr="009D5389">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1582FD2B"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LIGNE STRATÉGIQUE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5D372360"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6. Encouragement de partenariats et de la coopération pour le développement</w:t>
            </w:r>
          </w:p>
        </w:tc>
      </w:tr>
      <w:tr w:rsidR="00636B15" w:rsidRPr="00121D09" w14:paraId="6301CCE7" w14:textId="77777777" w:rsidTr="009D5389">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033B8C75"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OBJECTIF STRATÉGIQUE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1E8803AD"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6.1. Promouvoir la coopération bilatérale, Sud-Sud, triangulaire et internationale à travers le continent.</w:t>
            </w:r>
          </w:p>
        </w:tc>
      </w:tr>
      <w:tr w:rsidR="00636B15" w:rsidRPr="00B62618" w14:paraId="4F1C5CD9" w14:textId="77777777" w:rsidTr="009D5389">
        <w:trPr>
          <w:trHeight w:val="368"/>
          <w:jc w:val="center"/>
        </w:trPr>
        <w:tc>
          <w:tcPr>
            <w:tcW w:w="13853" w:type="dxa"/>
            <w:gridSpan w:val="4"/>
            <w:tcBorders>
              <w:top w:val="single" w:sz="6" w:space="0" w:color="000000"/>
            </w:tcBorders>
            <w:shd w:val="clear" w:color="auto" w:fill="D9D9D9" w:themeFill="background1" w:themeFillShade="D9"/>
            <w:vAlign w:val="center"/>
          </w:tcPr>
          <w:p w14:paraId="571EAE95"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Coopération :</w:t>
            </w:r>
          </w:p>
        </w:tc>
      </w:tr>
      <w:tr w:rsidR="00636B15" w:rsidRPr="00121D09" w14:paraId="7D912D78" w14:textId="77777777" w:rsidTr="009D5389">
        <w:trPr>
          <w:trHeight w:val="368"/>
          <w:jc w:val="center"/>
        </w:trPr>
        <w:tc>
          <w:tcPr>
            <w:tcW w:w="3312" w:type="dxa"/>
            <w:vMerge w:val="restart"/>
            <w:shd w:val="clear" w:color="auto" w:fill="auto"/>
            <w:hideMark/>
          </w:tcPr>
          <w:p w14:paraId="0E22DF0E" w14:textId="77777777" w:rsidR="00636B15" w:rsidRPr="00B62618" w:rsidRDefault="00636B15" w:rsidP="009D5389">
            <w:pPr>
              <w:rPr>
                <w:color w:val="000000" w:themeColor="text1"/>
                <w:sz w:val="22"/>
                <w:szCs w:val="22"/>
                <w:lang w:val="fr-FR"/>
              </w:rPr>
            </w:pPr>
          </w:p>
          <w:p w14:paraId="6AD3D6FA" w14:textId="77777777" w:rsidR="00636B15" w:rsidRPr="00B62618" w:rsidRDefault="00636B15" w:rsidP="009D5389">
            <w:pPr>
              <w:rPr>
                <w:color w:val="000000" w:themeColor="text1"/>
                <w:sz w:val="22"/>
                <w:szCs w:val="22"/>
                <w:lang w:val="fr-FR"/>
              </w:rPr>
            </w:pPr>
            <w:r w:rsidRPr="00B62618">
              <w:rPr>
                <w:color w:val="000000" w:themeColor="text1"/>
                <w:sz w:val="22"/>
                <w:lang w:val="fr-FR"/>
              </w:rPr>
              <w:t>Fonds de coopération pour le développement de l'OEA (FCD)</w:t>
            </w:r>
          </w:p>
        </w:tc>
        <w:tc>
          <w:tcPr>
            <w:tcW w:w="4234" w:type="dxa"/>
            <w:vMerge w:val="restart"/>
            <w:shd w:val="clear" w:color="auto" w:fill="auto"/>
            <w:hideMark/>
          </w:tcPr>
          <w:p w14:paraId="5BEB2C2E" w14:textId="77777777" w:rsidR="00636B15" w:rsidRPr="00B62618" w:rsidRDefault="00636B15" w:rsidP="009D5389">
            <w:pPr>
              <w:rPr>
                <w:color w:val="000000" w:themeColor="text1"/>
                <w:sz w:val="22"/>
                <w:szCs w:val="22"/>
                <w:lang w:val="fr-FR"/>
              </w:rPr>
            </w:pPr>
          </w:p>
          <w:p w14:paraId="680AC82F" w14:textId="77777777" w:rsidR="00636B15" w:rsidRPr="00B62618" w:rsidRDefault="00636B15" w:rsidP="009D5389">
            <w:pPr>
              <w:rPr>
                <w:rFonts w:eastAsia="Calibri"/>
                <w:iCs/>
                <w:sz w:val="22"/>
                <w:szCs w:val="22"/>
                <w:lang w:val="fr-FR"/>
              </w:rPr>
            </w:pPr>
            <w:r w:rsidRPr="00B62618">
              <w:rPr>
                <w:color w:val="000000" w:themeColor="text1"/>
                <w:sz w:val="22"/>
                <w:lang w:val="fr-FR"/>
              </w:rPr>
              <w:t xml:space="preserve">Le cycle de programmation du FCD pour 2021-2024 sera axé sur la </w:t>
            </w:r>
            <w:r w:rsidRPr="00B62618">
              <w:rPr>
                <w:sz w:val="22"/>
                <w:lang w:val="fr-FR"/>
              </w:rPr>
              <w:t>"</w:t>
            </w:r>
            <w:r w:rsidRPr="00B62618">
              <w:rPr>
                <w:i/>
                <w:sz w:val="22"/>
                <w:lang w:val="fr-FR"/>
              </w:rPr>
              <w:t xml:space="preserve">résilience inclusive pour une reprise efficace, avec un accent sur la science et la technologie" </w:t>
            </w:r>
            <w:r w:rsidRPr="00B62618">
              <w:rPr>
                <w:sz w:val="22"/>
                <w:lang w:val="fr-FR"/>
              </w:rPr>
              <w:t>avec quatre lignes d'actions :</w:t>
            </w:r>
          </w:p>
          <w:p w14:paraId="00AEAD5D" w14:textId="77777777" w:rsidR="00636B15" w:rsidRPr="00B62618" w:rsidRDefault="00636B15" w:rsidP="00636B15">
            <w:pPr>
              <w:numPr>
                <w:ilvl w:val="0"/>
                <w:numId w:val="17"/>
              </w:numPr>
              <w:ind w:left="299" w:hanging="270"/>
              <w:rPr>
                <w:bCs/>
                <w:sz w:val="22"/>
                <w:szCs w:val="22"/>
                <w:lang w:val="fr-FR"/>
              </w:rPr>
            </w:pPr>
            <w:r w:rsidRPr="00B62618">
              <w:rPr>
                <w:color w:val="000000"/>
                <w:sz w:val="22"/>
                <w:lang w:val="fr-FR"/>
              </w:rPr>
              <w:t>Reconversion des MPME par l'innovation et la technologie</w:t>
            </w:r>
          </w:p>
          <w:p w14:paraId="483D66AE" w14:textId="77777777" w:rsidR="00636B15" w:rsidRPr="00B62618" w:rsidRDefault="00636B15" w:rsidP="00636B15">
            <w:pPr>
              <w:numPr>
                <w:ilvl w:val="0"/>
                <w:numId w:val="17"/>
              </w:numPr>
              <w:ind w:left="299" w:hanging="270"/>
              <w:rPr>
                <w:color w:val="000000"/>
                <w:sz w:val="22"/>
                <w:szCs w:val="22"/>
                <w:lang w:val="fr-FR"/>
              </w:rPr>
            </w:pPr>
            <w:r w:rsidRPr="00B62618">
              <w:rPr>
                <w:color w:val="000000"/>
                <w:sz w:val="22"/>
                <w:lang w:val="fr-FR"/>
              </w:rPr>
              <w:t>La reconversion innovante pour la relance du secteur du tourisme et des économies régionales</w:t>
            </w:r>
          </w:p>
          <w:p w14:paraId="76990D41" w14:textId="77777777" w:rsidR="00636B15" w:rsidRPr="00B62618" w:rsidRDefault="00636B15" w:rsidP="00636B15">
            <w:pPr>
              <w:numPr>
                <w:ilvl w:val="0"/>
                <w:numId w:val="17"/>
              </w:numPr>
              <w:ind w:left="299" w:hanging="270"/>
              <w:rPr>
                <w:color w:val="000000"/>
                <w:sz w:val="22"/>
                <w:szCs w:val="22"/>
                <w:lang w:val="fr-FR"/>
              </w:rPr>
            </w:pPr>
            <w:r w:rsidRPr="00B62618">
              <w:rPr>
                <w:color w:val="000000"/>
                <w:sz w:val="22"/>
                <w:lang w:val="fr-FR"/>
              </w:rPr>
              <w:lastRenderedPageBreak/>
              <w:t>L'innovation scientifique et technologique pour renforcer la résilience</w:t>
            </w:r>
          </w:p>
          <w:p w14:paraId="689E7F6E" w14:textId="77777777" w:rsidR="00636B15" w:rsidRPr="00B62618" w:rsidRDefault="00636B15" w:rsidP="00636B15">
            <w:pPr>
              <w:numPr>
                <w:ilvl w:val="0"/>
                <w:numId w:val="17"/>
              </w:numPr>
              <w:ind w:left="299" w:hanging="270"/>
              <w:rPr>
                <w:color w:val="000000"/>
                <w:sz w:val="22"/>
                <w:szCs w:val="22"/>
                <w:lang w:val="fr-FR"/>
              </w:rPr>
            </w:pPr>
            <w:r w:rsidRPr="00B62618">
              <w:rPr>
                <w:color w:val="000000"/>
                <w:sz w:val="22"/>
                <w:lang w:val="fr-FR"/>
              </w:rPr>
              <w:t xml:space="preserve">La science au service de la prise de décisions en matière de planification des risques de catastrophe </w:t>
            </w:r>
          </w:p>
          <w:p w14:paraId="238B92E1" w14:textId="77777777" w:rsidR="00636B15" w:rsidRPr="00B62618" w:rsidRDefault="00636B15" w:rsidP="009D5389">
            <w:pPr>
              <w:rPr>
                <w:color w:val="000000" w:themeColor="text1"/>
                <w:sz w:val="22"/>
                <w:szCs w:val="22"/>
                <w:lang w:val="fr-FR"/>
              </w:rPr>
            </w:pPr>
          </w:p>
        </w:tc>
        <w:tc>
          <w:tcPr>
            <w:tcW w:w="3427" w:type="dxa"/>
            <w:shd w:val="clear" w:color="auto" w:fill="auto"/>
            <w:hideMark/>
          </w:tcPr>
          <w:p w14:paraId="3C8E7524" w14:textId="77777777" w:rsidR="00636B15" w:rsidRPr="00B62618" w:rsidRDefault="00636B15" w:rsidP="009D5389">
            <w:pPr>
              <w:rPr>
                <w:color w:val="000000" w:themeColor="text1"/>
                <w:sz w:val="22"/>
                <w:szCs w:val="22"/>
                <w:lang w:val="fr-FR"/>
              </w:rPr>
            </w:pPr>
            <w:r w:rsidRPr="00B62618">
              <w:rPr>
                <w:color w:val="000000" w:themeColor="text1"/>
                <w:sz w:val="22"/>
                <w:lang w:val="fr-FR"/>
              </w:rPr>
              <w:lastRenderedPageBreak/>
              <w:t>Cycle de programmation 2017-2021 du FCD achevé à la fin de l'année 2021.</w:t>
            </w:r>
          </w:p>
          <w:p w14:paraId="4030B0C8" w14:textId="77777777" w:rsidR="00636B15" w:rsidRPr="00B62618" w:rsidRDefault="00636B15" w:rsidP="009D5389">
            <w:pPr>
              <w:rPr>
                <w:color w:val="000000" w:themeColor="text1"/>
                <w:sz w:val="22"/>
                <w:szCs w:val="22"/>
                <w:lang w:val="fr-FR"/>
              </w:rPr>
            </w:pPr>
          </w:p>
        </w:tc>
        <w:tc>
          <w:tcPr>
            <w:tcW w:w="2880" w:type="dxa"/>
            <w:vMerge w:val="restart"/>
            <w:shd w:val="clear" w:color="auto" w:fill="auto"/>
            <w:hideMark/>
          </w:tcPr>
          <w:p w14:paraId="26FAC62B" w14:textId="77777777" w:rsidR="00636B15" w:rsidRPr="00B62618" w:rsidRDefault="00636B15" w:rsidP="009D5389">
            <w:pPr>
              <w:rPr>
                <w:color w:val="000000" w:themeColor="text1"/>
                <w:sz w:val="22"/>
                <w:szCs w:val="22"/>
                <w:lang w:val="fr-FR"/>
              </w:rPr>
            </w:pPr>
            <w:r w:rsidRPr="00B62618">
              <w:rPr>
                <w:b/>
                <w:color w:val="000000" w:themeColor="text1"/>
                <w:sz w:val="22"/>
                <w:lang w:val="fr-FR"/>
              </w:rPr>
              <w:t xml:space="preserve">Interne (OEA) : </w:t>
            </w:r>
            <w:r w:rsidRPr="00B62618">
              <w:rPr>
                <w:color w:val="000000" w:themeColor="text1"/>
                <w:sz w:val="22"/>
                <w:lang w:val="fr-FR"/>
              </w:rPr>
              <w:t xml:space="preserve">Tous les départements du SEDI et DOITS. </w:t>
            </w:r>
            <w:r w:rsidRPr="00B62618">
              <w:rPr>
                <w:color w:val="000000" w:themeColor="text1"/>
                <w:sz w:val="22"/>
                <w:lang w:val="fr-FR"/>
              </w:rPr>
              <w:br/>
            </w:r>
            <w:r w:rsidRPr="00B62618">
              <w:rPr>
                <w:color w:val="000000" w:themeColor="text1"/>
                <w:sz w:val="22"/>
                <w:lang w:val="fr-FR"/>
              </w:rPr>
              <w:br/>
            </w:r>
            <w:r w:rsidRPr="00B62618">
              <w:rPr>
                <w:b/>
                <w:color w:val="000000" w:themeColor="text1"/>
                <w:sz w:val="22"/>
                <w:lang w:val="fr-FR"/>
              </w:rPr>
              <w:t xml:space="preserve">Externe : </w:t>
            </w:r>
            <w:r w:rsidRPr="00B62618">
              <w:rPr>
                <w:color w:val="000000" w:themeColor="text1"/>
                <w:sz w:val="22"/>
                <w:lang w:val="fr-FR"/>
              </w:rPr>
              <w:t>Agences de coopération des États membres, secteur privé et monde universitaire (à préciser)</w:t>
            </w:r>
          </w:p>
        </w:tc>
      </w:tr>
      <w:tr w:rsidR="00636B15" w:rsidRPr="00121D09" w14:paraId="0DE39EA0" w14:textId="77777777" w:rsidTr="009D5389">
        <w:trPr>
          <w:trHeight w:val="1110"/>
          <w:jc w:val="center"/>
        </w:trPr>
        <w:tc>
          <w:tcPr>
            <w:tcW w:w="3312" w:type="dxa"/>
            <w:vMerge/>
            <w:hideMark/>
          </w:tcPr>
          <w:p w14:paraId="458A4A3B" w14:textId="77777777" w:rsidR="00636B15" w:rsidRPr="00B62618" w:rsidRDefault="00636B15" w:rsidP="009D5389">
            <w:pPr>
              <w:rPr>
                <w:color w:val="000000" w:themeColor="text1"/>
                <w:sz w:val="22"/>
                <w:szCs w:val="22"/>
                <w:lang w:val="fr-FR"/>
              </w:rPr>
            </w:pPr>
          </w:p>
        </w:tc>
        <w:tc>
          <w:tcPr>
            <w:tcW w:w="4234" w:type="dxa"/>
            <w:vMerge/>
            <w:hideMark/>
          </w:tcPr>
          <w:p w14:paraId="654E9A2A" w14:textId="77777777" w:rsidR="00636B15" w:rsidRPr="00B62618" w:rsidRDefault="00636B15" w:rsidP="009D5389">
            <w:pPr>
              <w:rPr>
                <w:color w:val="000000" w:themeColor="text1"/>
                <w:sz w:val="22"/>
                <w:szCs w:val="22"/>
                <w:lang w:val="fr-FR"/>
              </w:rPr>
            </w:pPr>
          </w:p>
        </w:tc>
        <w:tc>
          <w:tcPr>
            <w:tcW w:w="3427" w:type="dxa"/>
            <w:shd w:val="clear" w:color="auto" w:fill="auto"/>
          </w:tcPr>
          <w:p w14:paraId="137D2A35" w14:textId="77777777" w:rsidR="00636B15" w:rsidRPr="00B62618" w:rsidRDefault="00636B15" w:rsidP="009D5389">
            <w:pPr>
              <w:contextualSpacing/>
              <w:rPr>
                <w:color w:val="000000" w:themeColor="text1"/>
                <w:sz w:val="22"/>
                <w:szCs w:val="22"/>
                <w:lang w:val="fr-FR"/>
              </w:rPr>
            </w:pPr>
            <w:r w:rsidRPr="00B62618">
              <w:rPr>
                <w:color w:val="000000" w:themeColor="text1"/>
                <w:sz w:val="22"/>
                <w:lang w:val="fr-FR"/>
              </w:rPr>
              <w:t>Cycle de programmation 2021-2024 du FCD/OEA – Cadre conçu et prêt à être mis en œuvre</w:t>
            </w:r>
          </w:p>
        </w:tc>
        <w:tc>
          <w:tcPr>
            <w:tcW w:w="2880" w:type="dxa"/>
            <w:vMerge/>
            <w:hideMark/>
          </w:tcPr>
          <w:p w14:paraId="43C8EAC7" w14:textId="77777777" w:rsidR="00636B15" w:rsidRPr="00B62618" w:rsidRDefault="00636B15" w:rsidP="009D5389">
            <w:pPr>
              <w:rPr>
                <w:color w:val="000000" w:themeColor="text1"/>
                <w:sz w:val="22"/>
                <w:szCs w:val="22"/>
                <w:lang w:val="fr-FR"/>
              </w:rPr>
            </w:pPr>
          </w:p>
        </w:tc>
      </w:tr>
      <w:tr w:rsidR="00636B15" w:rsidRPr="00121D09" w14:paraId="150BA9BE" w14:textId="77777777" w:rsidTr="009D5389">
        <w:trPr>
          <w:trHeight w:val="1052"/>
          <w:jc w:val="center"/>
        </w:trPr>
        <w:tc>
          <w:tcPr>
            <w:tcW w:w="3312" w:type="dxa"/>
            <w:vMerge/>
            <w:hideMark/>
          </w:tcPr>
          <w:p w14:paraId="70491ACB" w14:textId="77777777" w:rsidR="00636B15" w:rsidRPr="00B62618" w:rsidRDefault="00636B15" w:rsidP="009D5389">
            <w:pPr>
              <w:rPr>
                <w:color w:val="000000" w:themeColor="text1"/>
                <w:sz w:val="22"/>
                <w:szCs w:val="22"/>
                <w:lang w:val="fr-FR"/>
              </w:rPr>
            </w:pPr>
          </w:p>
        </w:tc>
        <w:tc>
          <w:tcPr>
            <w:tcW w:w="4234" w:type="dxa"/>
            <w:vMerge/>
            <w:hideMark/>
          </w:tcPr>
          <w:p w14:paraId="3F95C034" w14:textId="77777777" w:rsidR="00636B15" w:rsidRPr="00B62618" w:rsidRDefault="00636B15" w:rsidP="009D5389">
            <w:pPr>
              <w:rPr>
                <w:color w:val="000000" w:themeColor="text1"/>
                <w:sz w:val="22"/>
                <w:szCs w:val="22"/>
                <w:lang w:val="fr-FR"/>
              </w:rPr>
            </w:pPr>
          </w:p>
        </w:tc>
        <w:tc>
          <w:tcPr>
            <w:tcW w:w="3427" w:type="dxa"/>
            <w:shd w:val="clear" w:color="auto" w:fill="auto"/>
          </w:tcPr>
          <w:p w14:paraId="6EFB5870" w14:textId="77777777" w:rsidR="00636B15" w:rsidRPr="00B62618" w:rsidRDefault="00636B15" w:rsidP="009D5389">
            <w:pPr>
              <w:rPr>
                <w:color w:val="000000" w:themeColor="text1"/>
                <w:sz w:val="22"/>
                <w:szCs w:val="22"/>
                <w:lang w:val="fr-FR"/>
              </w:rPr>
            </w:pPr>
            <w:r w:rsidRPr="00B62618">
              <w:rPr>
                <w:color w:val="000000" w:themeColor="text1"/>
                <w:sz w:val="22"/>
                <w:lang w:val="fr-FR"/>
              </w:rPr>
              <w:t xml:space="preserve">Réunions avec des partenaires potentiels pour compléter le financement d'amorçage du FCD en </w:t>
            </w:r>
            <w:r w:rsidRPr="00B62618">
              <w:rPr>
                <w:color w:val="000000" w:themeColor="text1"/>
                <w:sz w:val="22"/>
                <w:lang w:val="fr-FR"/>
              </w:rPr>
              <w:lastRenderedPageBreak/>
              <w:t xml:space="preserve">coordination avec les États membres </w:t>
            </w:r>
          </w:p>
          <w:p w14:paraId="3B7CC0D1" w14:textId="77777777" w:rsidR="00636B15" w:rsidRPr="00B62618" w:rsidRDefault="00636B15" w:rsidP="009D5389">
            <w:pPr>
              <w:contextualSpacing/>
              <w:rPr>
                <w:color w:val="000000" w:themeColor="text1"/>
                <w:sz w:val="22"/>
                <w:szCs w:val="22"/>
                <w:lang w:val="fr-FR"/>
              </w:rPr>
            </w:pPr>
          </w:p>
        </w:tc>
        <w:tc>
          <w:tcPr>
            <w:tcW w:w="2880" w:type="dxa"/>
            <w:vMerge/>
            <w:hideMark/>
          </w:tcPr>
          <w:p w14:paraId="3BFDDCC8" w14:textId="77777777" w:rsidR="00636B15" w:rsidRPr="00B62618" w:rsidRDefault="00636B15" w:rsidP="009D5389">
            <w:pPr>
              <w:rPr>
                <w:color w:val="000000" w:themeColor="text1"/>
                <w:sz w:val="22"/>
                <w:szCs w:val="22"/>
                <w:lang w:val="fr-FR"/>
              </w:rPr>
            </w:pPr>
          </w:p>
        </w:tc>
      </w:tr>
      <w:tr w:rsidR="00636B15" w:rsidRPr="00121D09" w14:paraId="76D680FF" w14:textId="77777777" w:rsidTr="009D5389">
        <w:trPr>
          <w:trHeight w:val="1340"/>
          <w:jc w:val="center"/>
        </w:trPr>
        <w:tc>
          <w:tcPr>
            <w:tcW w:w="3312" w:type="dxa"/>
            <w:vMerge w:val="restart"/>
            <w:shd w:val="clear" w:color="auto" w:fill="auto"/>
            <w:hideMark/>
          </w:tcPr>
          <w:p w14:paraId="7B7BA3A1" w14:textId="77777777" w:rsidR="00636B15" w:rsidRPr="00B62618" w:rsidRDefault="00636B15" w:rsidP="009D5389">
            <w:pPr>
              <w:rPr>
                <w:rFonts w:eastAsia="Calibri"/>
                <w:color w:val="000000" w:themeColor="text1"/>
                <w:sz w:val="22"/>
                <w:szCs w:val="22"/>
                <w:lang w:val="fr-FR"/>
              </w:rPr>
            </w:pPr>
          </w:p>
          <w:p w14:paraId="51414DE0" w14:textId="77777777" w:rsidR="00636B15" w:rsidRPr="00B62618" w:rsidRDefault="00636B15" w:rsidP="009D5389">
            <w:pPr>
              <w:rPr>
                <w:color w:val="000000" w:themeColor="text1"/>
                <w:sz w:val="22"/>
                <w:szCs w:val="22"/>
                <w:lang w:val="fr-FR"/>
              </w:rPr>
            </w:pPr>
            <w:r w:rsidRPr="00B62618">
              <w:rPr>
                <w:color w:val="000000" w:themeColor="text1"/>
                <w:sz w:val="22"/>
                <w:lang w:val="fr-FR"/>
              </w:rPr>
              <w:t>CooperaNet : le centre en ligne pour les partenariats stratégiques et la coopération.</w:t>
            </w:r>
          </w:p>
        </w:tc>
        <w:tc>
          <w:tcPr>
            <w:tcW w:w="4234" w:type="dxa"/>
            <w:shd w:val="clear" w:color="auto" w:fill="auto"/>
            <w:hideMark/>
          </w:tcPr>
          <w:p w14:paraId="515563EA" w14:textId="77777777" w:rsidR="00636B15" w:rsidRPr="00B62618" w:rsidRDefault="00636B15" w:rsidP="009D5389">
            <w:pPr>
              <w:rPr>
                <w:rFonts w:eastAsia="Calibri"/>
                <w:color w:val="000000" w:themeColor="text1"/>
                <w:sz w:val="22"/>
                <w:szCs w:val="22"/>
                <w:lang w:val="fr-FR"/>
              </w:rPr>
            </w:pPr>
          </w:p>
          <w:p w14:paraId="53E6E42B" w14:textId="77777777" w:rsidR="00636B15" w:rsidRPr="00B62618" w:rsidRDefault="00636B15" w:rsidP="009D5389">
            <w:pPr>
              <w:rPr>
                <w:color w:val="000000" w:themeColor="text1"/>
                <w:sz w:val="22"/>
                <w:szCs w:val="22"/>
                <w:lang w:val="fr-FR"/>
              </w:rPr>
            </w:pPr>
            <w:r w:rsidRPr="00B62618">
              <w:rPr>
                <w:color w:val="000000" w:themeColor="text1"/>
                <w:sz w:val="22"/>
                <w:lang w:val="fr-FR"/>
              </w:rPr>
              <w:t xml:space="preserve">« Bourse de la coopération » : continuer à alimenter les offres et les besoins en collaboration avec les points focaux des États membres. </w:t>
            </w:r>
          </w:p>
        </w:tc>
        <w:tc>
          <w:tcPr>
            <w:tcW w:w="3427" w:type="dxa"/>
            <w:shd w:val="clear" w:color="auto" w:fill="auto"/>
            <w:hideMark/>
          </w:tcPr>
          <w:p w14:paraId="5BCC2F7E" w14:textId="77777777" w:rsidR="00636B15" w:rsidRPr="00B62618" w:rsidRDefault="00636B15" w:rsidP="009D5389">
            <w:pPr>
              <w:rPr>
                <w:rFonts w:eastAsia="Calibri"/>
                <w:color w:val="000000" w:themeColor="text1"/>
                <w:sz w:val="22"/>
                <w:szCs w:val="22"/>
                <w:lang w:val="fr-FR"/>
              </w:rPr>
            </w:pPr>
          </w:p>
          <w:p w14:paraId="4346E7DD" w14:textId="77777777" w:rsidR="00636B15" w:rsidRPr="00B62618" w:rsidRDefault="00636B15" w:rsidP="009D5389">
            <w:pPr>
              <w:rPr>
                <w:rFonts w:eastAsia="Calibri"/>
                <w:color w:val="000000" w:themeColor="text1"/>
                <w:sz w:val="22"/>
                <w:szCs w:val="22"/>
                <w:lang w:val="fr-FR"/>
              </w:rPr>
            </w:pPr>
            <w:r w:rsidRPr="00B62618">
              <w:rPr>
                <w:color w:val="000000" w:themeColor="text1"/>
                <w:sz w:val="22"/>
                <w:lang w:val="fr-FR"/>
              </w:rPr>
              <w:t xml:space="preserve">Au moins 400 offres de coopération, et 20 besoins de coopération publiés. Tous les besoins identifiés dans le nouveau cycle de programmation 2021-2024 du FCD sont inclus. </w:t>
            </w:r>
          </w:p>
          <w:p w14:paraId="1239E321" w14:textId="77777777" w:rsidR="00636B15" w:rsidRPr="00B62618" w:rsidRDefault="00636B15" w:rsidP="009D5389">
            <w:pPr>
              <w:rPr>
                <w:color w:val="000000" w:themeColor="text1"/>
                <w:sz w:val="22"/>
                <w:szCs w:val="22"/>
                <w:lang w:val="fr-FR"/>
              </w:rPr>
            </w:pPr>
          </w:p>
        </w:tc>
        <w:tc>
          <w:tcPr>
            <w:tcW w:w="2880" w:type="dxa"/>
            <w:vMerge/>
            <w:hideMark/>
          </w:tcPr>
          <w:p w14:paraId="51CB144C" w14:textId="77777777" w:rsidR="00636B15" w:rsidRPr="00B62618" w:rsidRDefault="00636B15" w:rsidP="009D5389">
            <w:pPr>
              <w:rPr>
                <w:color w:val="000000" w:themeColor="text1"/>
                <w:sz w:val="22"/>
                <w:szCs w:val="22"/>
                <w:lang w:val="fr-FR"/>
              </w:rPr>
            </w:pPr>
          </w:p>
        </w:tc>
      </w:tr>
      <w:tr w:rsidR="00636B15" w:rsidRPr="00121D09" w14:paraId="03F8D2F7" w14:textId="77777777" w:rsidTr="009D5389">
        <w:trPr>
          <w:trHeight w:val="1052"/>
          <w:jc w:val="center"/>
        </w:trPr>
        <w:tc>
          <w:tcPr>
            <w:tcW w:w="3312" w:type="dxa"/>
            <w:vMerge/>
            <w:hideMark/>
          </w:tcPr>
          <w:p w14:paraId="1E1FAB3A" w14:textId="77777777" w:rsidR="00636B15" w:rsidRPr="00B62618" w:rsidRDefault="00636B15" w:rsidP="009D5389">
            <w:pPr>
              <w:rPr>
                <w:color w:val="000000" w:themeColor="text1"/>
                <w:sz w:val="22"/>
                <w:szCs w:val="22"/>
                <w:lang w:val="fr-FR"/>
              </w:rPr>
            </w:pPr>
          </w:p>
        </w:tc>
        <w:tc>
          <w:tcPr>
            <w:tcW w:w="4234" w:type="dxa"/>
            <w:shd w:val="clear" w:color="auto" w:fill="auto"/>
            <w:hideMark/>
          </w:tcPr>
          <w:p w14:paraId="3FF89BD3" w14:textId="77777777" w:rsidR="00636B15" w:rsidRPr="00B62618" w:rsidRDefault="00636B15" w:rsidP="009D5389">
            <w:pPr>
              <w:rPr>
                <w:rFonts w:eastAsia="Calibri"/>
                <w:color w:val="000000" w:themeColor="text1"/>
                <w:sz w:val="22"/>
                <w:szCs w:val="22"/>
                <w:lang w:val="fr-FR"/>
              </w:rPr>
            </w:pPr>
          </w:p>
          <w:p w14:paraId="3F7EB9A1" w14:textId="77777777" w:rsidR="00636B15" w:rsidRPr="00B62618" w:rsidRDefault="00636B15" w:rsidP="009D5389">
            <w:pPr>
              <w:rPr>
                <w:color w:val="000000" w:themeColor="text1"/>
                <w:sz w:val="22"/>
                <w:szCs w:val="22"/>
                <w:lang w:val="fr-FR"/>
              </w:rPr>
            </w:pPr>
            <w:r w:rsidRPr="00B62618">
              <w:rPr>
                <w:color w:val="000000" w:themeColor="text1"/>
                <w:sz w:val="22"/>
                <w:lang w:val="fr-FR"/>
              </w:rPr>
              <w:t xml:space="preserve">Reconnaitre les partenaires en développement du SEDI </w:t>
            </w:r>
          </w:p>
        </w:tc>
        <w:tc>
          <w:tcPr>
            <w:tcW w:w="3427" w:type="dxa"/>
            <w:shd w:val="clear" w:color="auto" w:fill="auto"/>
            <w:hideMark/>
          </w:tcPr>
          <w:p w14:paraId="7BA4365E" w14:textId="77777777" w:rsidR="00636B15" w:rsidRPr="00B62618" w:rsidRDefault="00636B15" w:rsidP="009D5389">
            <w:pPr>
              <w:rPr>
                <w:rFonts w:eastAsia="Calibri"/>
                <w:color w:val="000000" w:themeColor="text1"/>
                <w:sz w:val="22"/>
                <w:szCs w:val="22"/>
                <w:lang w:val="fr-FR"/>
              </w:rPr>
            </w:pPr>
          </w:p>
          <w:p w14:paraId="65C6AF07" w14:textId="77777777" w:rsidR="00636B15" w:rsidRPr="00B62618" w:rsidRDefault="00636B15" w:rsidP="009D5389">
            <w:pPr>
              <w:rPr>
                <w:rFonts w:eastAsia="Calibri"/>
                <w:color w:val="000000" w:themeColor="text1"/>
                <w:sz w:val="22"/>
                <w:szCs w:val="22"/>
                <w:lang w:val="fr-FR"/>
              </w:rPr>
            </w:pPr>
            <w:r w:rsidRPr="00B62618">
              <w:rPr>
                <w:color w:val="000000" w:themeColor="text1"/>
                <w:sz w:val="22"/>
                <w:lang w:val="fr-FR"/>
              </w:rPr>
              <w:t>Présenter des partenaires en développement actifs travaillant dans les programmes du FCD et avec d'autres secteurs techniques de SEDI.</w:t>
            </w:r>
          </w:p>
          <w:p w14:paraId="12359B8D" w14:textId="77777777" w:rsidR="00636B15" w:rsidRPr="00B62618" w:rsidRDefault="00636B15" w:rsidP="009D5389">
            <w:pPr>
              <w:rPr>
                <w:color w:val="000000" w:themeColor="text1"/>
                <w:sz w:val="22"/>
                <w:szCs w:val="22"/>
                <w:lang w:val="fr-FR"/>
              </w:rPr>
            </w:pPr>
          </w:p>
        </w:tc>
        <w:tc>
          <w:tcPr>
            <w:tcW w:w="2880" w:type="dxa"/>
            <w:vMerge/>
            <w:hideMark/>
          </w:tcPr>
          <w:p w14:paraId="2D9D3B4D" w14:textId="77777777" w:rsidR="00636B15" w:rsidRPr="00B62618" w:rsidRDefault="00636B15" w:rsidP="009D5389">
            <w:pPr>
              <w:rPr>
                <w:color w:val="000000" w:themeColor="text1"/>
                <w:sz w:val="22"/>
                <w:szCs w:val="22"/>
                <w:lang w:val="fr-FR"/>
              </w:rPr>
            </w:pPr>
          </w:p>
        </w:tc>
      </w:tr>
      <w:tr w:rsidR="00636B15" w:rsidRPr="00121D09" w14:paraId="52D6E7D0" w14:textId="77777777" w:rsidTr="009D5389">
        <w:trPr>
          <w:trHeight w:val="59"/>
          <w:jc w:val="center"/>
        </w:trPr>
        <w:tc>
          <w:tcPr>
            <w:tcW w:w="3312" w:type="dxa"/>
            <w:vMerge/>
            <w:hideMark/>
          </w:tcPr>
          <w:p w14:paraId="7BC206F9" w14:textId="77777777" w:rsidR="00636B15" w:rsidRPr="00B62618" w:rsidRDefault="00636B15" w:rsidP="009D5389">
            <w:pPr>
              <w:rPr>
                <w:color w:val="000000" w:themeColor="text1"/>
                <w:sz w:val="22"/>
                <w:szCs w:val="22"/>
                <w:lang w:val="fr-FR"/>
              </w:rPr>
            </w:pPr>
          </w:p>
        </w:tc>
        <w:tc>
          <w:tcPr>
            <w:tcW w:w="4234" w:type="dxa"/>
            <w:shd w:val="clear" w:color="auto" w:fill="auto"/>
            <w:hideMark/>
          </w:tcPr>
          <w:p w14:paraId="5D9275F7" w14:textId="77777777" w:rsidR="00636B15" w:rsidRPr="00B62618" w:rsidRDefault="00636B15" w:rsidP="009D5389">
            <w:pPr>
              <w:rPr>
                <w:rFonts w:eastAsia="Calibri"/>
                <w:color w:val="000000" w:themeColor="text1"/>
                <w:sz w:val="22"/>
                <w:szCs w:val="22"/>
                <w:lang w:val="fr-FR"/>
              </w:rPr>
            </w:pPr>
          </w:p>
          <w:p w14:paraId="56C47A24" w14:textId="77777777" w:rsidR="00636B15" w:rsidRPr="00B62618" w:rsidRDefault="00636B15" w:rsidP="009D5389">
            <w:pPr>
              <w:rPr>
                <w:rFonts w:eastAsia="Calibri"/>
                <w:color w:val="000000" w:themeColor="text1"/>
                <w:sz w:val="22"/>
                <w:szCs w:val="22"/>
                <w:lang w:val="fr-FR"/>
              </w:rPr>
            </w:pPr>
            <w:r w:rsidRPr="00B62618">
              <w:rPr>
                <w:color w:val="000000" w:themeColor="text1"/>
                <w:sz w:val="22"/>
                <w:lang w:val="fr-FR"/>
              </w:rPr>
              <w:t xml:space="preserve">« Rejoindre un expert ». Exploiter les réseaux existants au sein du SEDI pour alimenter la liste des experts. </w:t>
            </w:r>
          </w:p>
          <w:p w14:paraId="0A2B8F3C" w14:textId="77777777" w:rsidR="00636B15" w:rsidRDefault="00636B15" w:rsidP="009D5389">
            <w:pPr>
              <w:rPr>
                <w:color w:val="000000" w:themeColor="text1"/>
                <w:sz w:val="22"/>
                <w:szCs w:val="22"/>
                <w:lang w:val="fr-FR"/>
              </w:rPr>
            </w:pPr>
          </w:p>
          <w:p w14:paraId="7EA632E0" w14:textId="77777777" w:rsidR="00C17753" w:rsidRDefault="00C17753" w:rsidP="009D5389">
            <w:pPr>
              <w:rPr>
                <w:color w:val="000000" w:themeColor="text1"/>
                <w:sz w:val="22"/>
                <w:szCs w:val="22"/>
                <w:lang w:val="fr-FR"/>
              </w:rPr>
            </w:pPr>
          </w:p>
          <w:p w14:paraId="5684E84E" w14:textId="77777777" w:rsidR="00C17753" w:rsidRDefault="00C17753" w:rsidP="009D5389">
            <w:pPr>
              <w:rPr>
                <w:color w:val="000000" w:themeColor="text1"/>
                <w:sz w:val="22"/>
                <w:szCs w:val="22"/>
                <w:lang w:val="fr-FR"/>
              </w:rPr>
            </w:pPr>
          </w:p>
          <w:p w14:paraId="3D2FF91D" w14:textId="77777777" w:rsidR="00C17753" w:rsidRDefault="00C17753" w:rsidP="009D5389">
            <w:pPr>
              <w:rPr>
                <w:color w:val="000000" w:themeColor="text1"/>
                <w:sz w:val="22"/>
                <w:szCs w:val="22"/>
                <w:lang w:val="fr-FR"/>
              </w:rPr>
            </w:pPr>
          </w:p>
          <w:p w14:paraId="3BA1AFE6" w14:textId="77777777" w:rsidR="00C17753" w:rsidRDefault="00C17753" w:rsidP="009D5389">
            <w:pPr>
              <w:rPr>
                <w:color w:val="000000" w:themeColor="text1"/>
                <w:sz w:val="22"/>
                <w:szCs w:val="22"/>
                <w:lang w:val="fr-FR"/>
              </w:rPr>
            </w:pPr>
          </w:p>
          <w:p w14:paraId="426C48E1" w14:textId="77777777" w:rsidR="00C17753" w:rsidRDefault="00C17753" w:rsidP="009D5389">
            <w:pPr>
              <w:rPr>
                <w:color w:val="000000" w:themeColor="text1"/>
                <w:sz w:val="22"/>
                <w:szCs w:val="22"/>
                <w:lang w:val="fr-FR"/>
              </w:rPr>
            </w:pPr>
          </w:p>
          <w:p w14:paraId="372758C3" w14:textId="77777777" w:rsidR="00C17753" w:rsidRDefault="00C17753" w:rsidP="009D5389">
            <w:pPr>
              <w:rPr>
                <w:color w:val="000000" w:themeColor="text1"/>
                <w:sz w:val="22"/>
                <w:szCs w:val="22"/>
                <w:lang w:val="fr-FR"/>
              </w:rPr>
            </w:pPr>
          </w:p>
          <w:p w14:paraId="4A8EA91E" w14:textId="4F34C99D" w:rsidR="00C17753" w:rsidRPr="00B62618" w:rsidRDefault="00C17753" w:rsidP="009D5389">
            <w:pPr>
              <w:rPr>
                <w:color w:val="000000" w:themeColor="text1"/>
                <w:sz w:val="22"/>
                <w:szCs w:val="22"/>
                <w:lang w:val="fr-FR"/>
              </w:rPr>
            </w:pPr>
          </w:p>
        </w:tc>
        <w:tc>
          <w:tcPr>
            <w:tcW w:w="3427" w:type="dxa"/>
            <w:shd w:val="clear" w:color="auto" w:fill="auto"/>
            <w:hideMark/>
          </w:tcPr>
          <w:p w14:paraId="5DFACF45" w14:textId="77777777" w:rsidR="00636B15" w:rsidRPr="00B62618" w:rsidRDefault="00636B15" w:rsidP="009D5389">
            <w:pPr>
              <w:rPr>
                <w:rFonts w:eastAsia="Calibri"/>
                <w:color w:val="000000" w:themeColor="text1"/>
                <w:sz w:val="22"/>
                <w:szCs w:val="22"/>
                <w:lang w:val="fr-FR"/>
              </w:rPr>
            </w:pPr>
          </w:p>
          <w:p w14:paraId="79EE6F11" w14:textId="77777777" w:rsidR="00636B15" w:rsidRPr="00B62618" w:rsidRDefault="00636B15" w:rsidP="009D5389">
            <w:pPr>
              <w:rPr>
                <w:color w:val="000000" w:themeColor="text1"/>
                <w:sz w:val="22"/>
                <w:szCs w:val="22"/>
                <w:lang w:val="fr-FR"/>
              </w:rPr>
            </w:pPr>
            <w:r w:rsidRPr="00B62618">
              <w:rPr>
                <w:color w:val="000000" w:themeColor="text1"/>
                <w:sz w:val="22"/>
                <w:lang w:val="fr-FR"/>
              </w:rPr>
              <w:t xml:space="preserve">Interne et Experts en vedette. </w:t>
            </w:r>
          </w:p>
        </w:tc>
        <w:tc>
          <w:tcPr>
            <w:tcW w:w="2880" w:type="dxa"/>
            <w:vMerge/>
            <w:hideMark/>
          </w:tcPr>
          <w:p w14:paraId="4B27D9AF" w14:textId="77777777" w:rsidR="00636B15" w:rsidRPr="00B62618" w:rsidRDefault="00636B15" w:rsidP="009D5389">
            <w:pPr>
              <w:rPr>
                <w:color w:val="000000" w:themeColor="text1"/>
                <w:sz w:val="22"/>
                <w:szCs w:val="22"/>
                <w:lang w:val="fr-FR"/>
              </w:rPr>
            </w:pPr>
          </w:p>
        </w:tc>
      </w:tr>
      <w:tr w:rsidR="00636B15" w:rsidRPr="00121D09" w14:paraId="46EE140C" w14:textId="77777777" w:rsidTr="009D5389">
        <w:trPr>
          <w:trHeight w:val="435"/>
          <w:jc w:val="center"/>
        </w:trPr>
        <w:tc>
          <w:tcPr>
            <w:tcW w:w="3312" w:type="dxa"/>
            <w:tcBorders>
              <w:top w:val="single" w:sz="6" w:space="0" w:color="000000"/>
              <w:bottom w:val="single" w:sz="6" w:space="0" w:color="000000"/>
            </w:tcBorders>
            <w:shd w:val="clear" w:color="auto" w:fill="BFBFBF" w:themeFill="background1" w:themeFillShade="BF"/>
          </w:tcPr>
          <w:p w14:paraId="1987FD38"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OBJECTIF STRATÉGIQUE</w:t>
            </w:r>
          </w:p>
        </w:tc>
        <w:tc>
          <w:tcPr>
            <w:tcW w:w="10541" w:type="dxa"/>
            <w:gridSpan w:val="3"/>
            <w:tcBorders>
              <w:top w:val="single" w:sz="6" w:space="0" w:color="000000"/>
              <w:bottom w:val="single" w:sz="6" w:space="0" w:color="000000"/>
            </w:tcBorders>
            <w:shd w:val="clear" w:color="auto" w:fill="BFBFBF" w:themeFill="background1" w:themeFillShade="BF"/>
          </w:tcPr>
          <w:p w14:paraId="1109FAFA"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6.2. Encourager les partenariats multisectoriels efficaces pour soutenir les États membres dans la réalisation des objectifs de développement durable.</w:t>
            </w:r>
          </w:p>
        </w:tc>
      </w:tr>
      <w:tr w:rsidR="00636B15" w:rsidRPr="00B62618" w14:paraId="7FD8DFE2" w14:textId="77777777" w:rsidTr="009D5389">
        <w:trPr>
          <w:trHeight w:val="435"/>
          <w:jc w:val="center"/>
        </w:trPr>
        <w:tc>
          <w:tcPr>
            <w:tcW w:w="13853" w:type="dxa"/>
            <w:gridSpan w:val="4"/>
            <w:tcBorders>
              <w:top w:val="single" w:sz="6" w:space="0" w:color="000000"/>
            </w:tcBorders>
            <w:shd w:val="clear" w:color="auto" w:fill="D9D9D9" w:themeFill="background1" w:themeFillShade="D9"/>
            <w:vAlign w:val="center"/>
          </w:tcPr>
          <w:p w14:paraId="3683F849" w14:textId="77777777" w:rsidR="00636B15" w:rsidRPr="00B62618" w:rsidRDefault="00636B15" w:rsidP="009D5389">
            <w:pPr>
              <w:rPr>
                <w:b/>
                <w:bCs/>
                <w:color w:val="000000" w:themeColor="text1"/>
                <w:sz w:val="22"/>
                <w:szCs w:val="22"/>
                <w:lang w:val="fr-FR"/>
              </w:rPr>
            </w:pPr>
            <w:r w:rsidRPr="00B62618">
              <w:rPr>
                <w:b/>
                <w:color w:val="000000" w:themeColor="text1"/>
                <w:sz w:val="22"/>
                <w:lang w:val="fr-FR"/>
              </w:rPr>
              <w:t>Partenariats</w:t>
            </w:r>
          </w:p>
        </w:tc>
      </w:tr>
      <w:tr w:rsidR="00636B15" w:rsidRPr="00121D09" w14:paraId="5E12B50A" w14:textId="77777777" w:rsidTr="009D5389">
        <w:trPr>
          <w:trHeight w:val="2243"/>
          <w:jc w:val="center"/>
        </w:trPr>
        <w:tc>
          <w:tcPr>
            <w:tcW w:w="3312" w:type="dxa"/>
            <w:shd w:val="clear" w:color="auto" w:fill="auto"/>
            <w:hideMark/>
          </w:tcPr>
          <w:p w14:paraId="3E11D95D" w14:textId="77777777" w:rsidR="00636B15" w:rsidRPr="00B62618" w:rsidRDefault="00636B15" w:rsidP="009D5389">
            <w:pPr>
              <w:rPr>
                <w:color w:val="000000" w:themeColor="text1"/>
                <w:sz w:val="22"/>
                <w:szCs w:val="22"/>
                <w:lang w:val="fr-FR"/>
              </w:rPr>
            </w:pPr>
            <w:r w:rsidRPr="00B62618">
              <w:rPr>
                <w:color w:val="000000" w:themeColor="text1"/>
                <w:sz w:val="22"/>
                <w:lang w:val="fr-FR"/>
              </w:rPr>
              <w:lastRenderedPageBreak/>
              <w:t>La stratégie de travail en collaboration du SEDI avec le secteur privé et d'autres partenaires devient opérationnelle.</w:t>
            </w:r>
          </w:p>
        </w:tc>
        <w:tc>
          <w:tcPr>
            <w:tcW w:w="4234" w:type="dxa"/>
            <w:shd w:val="clear" w:color="auto" w:fill="auto"/>
            <w:hideMark/>
          </w:tcPr>
          <w:p w14:paraId="4DCC8CCA" w14:textId="77777777" w:rsidR="00636B15" w:rsidRPr="00B62618" w:rsidRDefault="00636B15" w:rsidP="009D5389">
            <w:pPr>
              <w:rPr>
                <w:color w:val="000000" w:themeColor="text1"/>
                <w:sz w:val="22"/>
                <w:szCs w:val="22"/>
                <w:lang w:val="fr-FR"/>
              </w:rPr>
            </w:pPr>
            <w:r w:rsidRPr="00B62618">
              <w:rPr>
                <w:color w:val="000000" w:themeColor="text1"/>
                <w:sz w:val="22"/>
                <w:lang w:val="fr-FR"/>
              </w:rPr>
              <w:t>Inclure un accent spécifique sur la résilience dans la liste des partenaires potentiels pour guider les efforts d'engagement.</w:t>
            </w:r>
          </w:p>
        </w:tc>
        <w:tc>
          <w:tcPr>
            <w:tcW w:w="3427" w:type="dxa"/>
            <w:shd w:val="clear" w:color="auto" w:fill="auto"/>
            <w:hideMark/>
          </w:tcPr>
          <w:p w14:paraId="3B421094" w14:textId="77777777" w:rsidR="00636B15" w:rsidRPr="00B62618" w:rsidRDefault="00636B15" w:rsidP="009D5389">
            <w:pPr>
              <w:rPr>
                <w:rFonts w:eastAsia="Calibri"/>
                <w:color w:val="000000" w:themeColor="text1"/>
                <w:sz w:val="22"/>
                <w:szCs w:val="22"/>
                <w:lang w:val="fr-FR"/>
              </w:rPr>
            </w:pPr>
            <w:r w:rsidRPr="00B62618">
              <w:rPr>
                <w:color w:val="000000" w:themeColor="text1"/>
                <w:sz w:val="22"/>
                <w:lang w:val="fr-FR"/>
              </w:rPr>
              <w:t>Continuer à rechercher et à obtenir des partenariats sur la base des lignes directrices établies (action permanente au niveau institutionnel).</w:t>
            </w:r>
          </w:p>
          <w:p w14:paraId="7082C685" w14:textId="77777777" w:rsidR="00636B15" w:rsidRPr="00B62618" w:rsidRDefault="00636B15" w:rsidP="009D5389">
            <w:pPr>
              <w:rPr>
                <w:rFonts w:eastAsia="Calibri"/>
                <w:color w:val="000000" w:themeColor="text1"/>
                <w:sz w:val="22"/>
                <w:szCs w:val="22"/>
                <w:lang w:val="fr-FR"/>
              </w:rPr>
            </w:pPr>
          </w:p>
          <w:p w14:paraId="6406C477" w14:textId="77777777" w:rsidR="00636B15" w:rsidRPr="00B62618" w:rsidRDefault="00636B15" w:rsidP="009D5389">
            <w:pPr>
              <w:rPr>
                <w:rFonts w:eastAsia="Calibri"/>
                <w:iCs/>
                <w:sz w:val="22"/>
                <w:szCs w:val="22"/>
                <w:lang w:val="fr-FR"/>
              </w:rPr>
            </w:pPr>
            <w:r w:rsidRPr="00B62618">
              <w:rPr>
                <w:sz w:val="22"/>
                <w:lang w:val="fr-FR"/>
              </w:rPr>
              <w:t xml:space="preserve">Élaborer des propositions de projet axées sur le domaine d'action « La résilience inclusive pour une reprise efficace, avec un accent sur la science et la technologie » afin d'obtenir de nouveaux partenariats. </w:t>
            </w:r>
          </w:p>
          <w:p w14:paraId="72ABF5A6" w14:textId="77777777" w:rsidR="00636B15" w:rsidRPr="00B62618" w:rsidRDefault="00636B15" w:rsidP="009D5389">
            <w:pPr>
              <w:rPr>
                <w:color w:val="000000" w:themeColor="text1"/>
                <w:sz w:val="22"/>
                <w:szCs w:val="22"/>
                <w:lang w:val="fr-FR"/>
              </w:rPr>
            </w:pPr>
          </w:p>
        </w:tc>
        <w:tc>
          <w:tcPr>
            <w:tcW w:w="2880" w:type="dxa"/>
            <w:shd w:val="clear" w:color="auto" w:fill="auto"/>
            <w:hideMark/>
          </w:tcPr>
          <w:p w14:paraId="49FBDB23" w14:textId="77777777" w:rsidR="00636B15" w:rsidRPr="00B62618" w:rsidRDefault="00636B15" w:rsidP="009D5389">
            <w:pPr>
              <w:rPr>
                <w:color w:val="000000" w:themeColor="text1"/>
                <w:sz w:val="22"/>
                <w:szCs w:val="22"/>
                <w:lang w:val="fr-FR"/>
              </w:rPr>
            </w:pPr>
            <w:r w:rsidRPr="00B62618">
              <w:rPr>
                <w:b/>
                <w:color w:val="000000" w:themeColor="text1"/>
                <w:sz w:val="22"/>
                <w:lang w:val="fr-FR"/>
              </w:rPr>
              <w:t xml:space="preserve">Interne (OEA) : </w:t>
            </w:r>
            <w:r w:rsidRPr="00B62618">
              <w:rPr>
                <w:color w:val="000000" w:themeColor="text1"/>
                <w:sz w:val="22"/>
                <w:lang w:val="fr-FR"/>
              </w:rPr>
              <w:t xml:space="preserve">Tous les départements du SEDI </w:t>
            </w:r>
            <w:r w:rsidRPr="00B62618">
              <w:rPr>
                <w:color w:val="000000" w:themeColor="text1"/>
                <w:sz w:val="22"/>
                <w:lang w:val="fr-FR"/>
              </w:rPr>
              <w:br/>
            </w:r>
            <w:r w:rsidRPr="00B62618">
              <w:rPr>
                <w:color w:val="000000" w:themeColor="text1"/>
                <w:sz w:val="22"/>
                <w:lang w:val="fr-FR"/>
              </w:rPr>
              <w:br/>
            </w:r>
            <w:r w:rsidRPr="00B62618">
              <w:rPr>
                <w:b/>
                <w:color w:val="000000" w:themeColor="text1"/>
                <w:sz w:val="22"/>
                <w:lang w:val="fr-FR"/>
              </w:rPr>
              <w:t>Externe :</w:t>
            </w:r>
            <w:r w:rsidRPr="00B62618">
              <w:rPr>
                <w:color w:val="000000" w:themeColor="text1"/>
                <w:sz w:val="22"/>
                <w:lang w:val="fr-FR"/>
              </w:rPr>
              <w:t xml:space="preserve"> Secteur privé, autres organisations, banques multilatérales et universités (à préciser).</w:t>
            </w:r>
          </w:p>
        </w:tc>
      </w:tr>
    </w:tbl>
    <w:p w14:paraId="0EB82CFC" w14:textId="77777777" w:rsidR="00636B15" w:rsidRPr="00B62618" w:rsidRDefault="00636B15" w:rsidP="00636B15">
      <w:pPr>
        <w:rPr>
          <w:color w:val="000000" w:themeColor="text1"/>
          <w:sz w:val="22"/>
          <w:szCs w:val="22"/>
          <w:lang w:val="fr-FR"/>
        </w:rPr>
      </w:pPr>
    </w:p>
    <w:p w14:paraId="4AA265AF" w14:textId="77777777" w:rsidR="00636B15" w:rsidRPr="00B62618" w:rsidRDefault="00636B15" w:rsidP="00636B15">
      <w:pPr>
        <w:spacing w:after="160" w:line="259" w:lineRule="auto"/>
        <w:rPr>
          <w:sz w:val="22"/>
          <w:szCs w:val="22"/>
          <w:lang w:val="fr-FR"/>
        </w:rPr>
      </w:pPr>
    </w:p>
    <w:p w14:paraId="5323D5DF" w14:textId="77777777" w:rsidR="00636B15" w:rsidRPr="00B62618" w:rsidRDefault="00636B15" w:rsidP="00636B15">
      <w:pPr>
        <w:spacing w:after="160" w:line="259" w:lineRule="auto"/>
        <w:rPr>
          <w:sz w:val="22"/>
          <w:szCs w:val="22"/>
          <w:lang w:val="fr-FR"/>
        </w:rPr>
      </w:pPr>
    </w:p>
    <w:p w14:paraId="20D0AA0D" w14:textId="77777777" w:rsidR="00636B15" w:rsidRPr="00B62618" w:rsidRDefault="00636B15" w:rsidP="00636B15">
      <w:pPr>
        <w:spacing w:after="160" w:line="259" w:lineRule="auto"/>
        <w:rPr>
          <w:sz w:val="22"/>
          <w:szCs w:val="22"/>
          <w:lang w:val="fr-FR"/>
        </w:rPr>
      </w:pPr>
    </w:p>
    <w:p w14:paraId="431153B5" w14:textId="7B850AAD" w:rsidR="00636B15" w:rsidRDefault="00636B15" w:rsidP="00636B15">
      <w:pPr>
        <w:spacing w:after="160" w:line="259" w:lineRule="auto"/>
        <w:rPr>
          <w:sz w:val="22"/>
          <w:szCs w:val="22"/>
          <w:lang w:val="fr-FR"/>
        </w:rPr>
      </w:pPr>
    </w:p>
    <w:p w14:paraId="39F786E2" w14:textId="67FE65A4" w:rsidR="00C17753" w:rsidRDefault="00C17753" w:rsidP="00636B15">
      <w:pPr>
        <w:spacing w:after="160" w:line="259" w:lineRule="auto"/>
        <w:rPr>
          <w:sz w:val="22"/>
          <w:szCs w:val="22"/>
          <w:lang w:val="fr-FR"/>
        </w:rPr>
      </w:pPr>
    </w:p>
    <w:p w14:paraId="258E20BE" w14:textId="588ADC88" w:rsidR="00C17753" w:rsidRDefault="00C17753" w:rsidP="00636B15">
      <w:pPr>
        <w:spacing w:after="160" w:line="259" w:lineRule="auto"/>
        <w:rPr>
          <w:sz w:val="22"/>
          <w:szCs w:val="22"/>
          <w:lang w:val="fr-FR"/>
        </w:rPr>
      </w:pPr>
    </w:p>
    <w:p w14:paraId="623B407F" w14:textId="162621FB" w:rsidR="00C17753" w:rsidRDefault="00C17753" w:rsidP="00636B15">
      <w:pPr>
        <w:spacing w:after="160" w:line="259" w:lineRule="auto"/>
        <w:rPr>
          <w:sz w:val="22"/>
          <w:szCs w:val="22"/>
          <w:lang w:val="fr-FR"/>
        </w:rPr>
      </w:pPr>
    </w:p>
    <w:p w14:paraId="4FF2457E" w14:textId="1C60CC2A" w:rsidR="00C17753" w:rsidRDefault="00C17753" w:rsidP="00636B15">
      <w:pPr>
        <w:spacing w:after="160" w:line="259" w:lineRule="auto"/>
        <w:rPr>
          <w:sz w:val="22"/>
          <w:szCs w:val="22"/>
          <w:lang w:val="fr-FR"/>
        </w:rPr>
      </w:pPr>
    </w:p>
    <w:p w14:paraId="4885357C" w14:textId="3961A1CD" w:rsidR="00C17753" w:rsidRDefault="00C17753" w:rsidP="00636B15">
      <w:pPr>
        <w:spacing w:after="160" w:line="259" w:lineRule="auto"/>
        <w:rPr>
          <w:sz w:val="22"/>
          <w:szCs w:val="22"/>
          <w:lang w:val="fr-FR"/>
        </w:rPr>
      </w:pPr>
    </w:p>
    <w:p w14:paraId="4591CF22" w14:textId="77777777" w:rsidR="00636B15" w:rsidRPr="00B62618" w:rsidRDefault="00636B15" w:rsidP="00636B15">
      <w:pPr>
        <w:rPr>
          <w:lang w:val="fr-FR"/>
        </w:rPr>
      </w:pPr>
    </w:p>
    <w:p w14:paraId="14005DB2" w14:textId="204C44F0" w:rsidR="001B2A32" w:rsidRPr="00B62618" w:rsidRDefault="00121D09" w:rsidP="00636B15">
      <w:pPr>
        <w:rPr>
          <w:sz w:val="18"/>
          <w:szCs w:val="18"/>
          <w:lang w:val="fr-FR"/>
        </w:rPr>
      </w:pPr>
      <w:r>
        <w:rPr>
          <w:noProof/>
          <w:sz w:val="18"/>
          <w:szCs w:val="18"/>
          <w:lang w:val="fr-FR"/>
        </w:rPr>
        <mc:AlternateContent>
          <mc:Choice Requires="wps">
            <w:drawing>
              <wp:anchor distT="0" distB="0" distL="114300" distR="114300" simplePos="0" relativeHeight="251662336" behindDoc="0" locked="1" layoutInCell="1" allowOverlap="1" wp14:anchorId="6B649F74" wp14:editId="4F1C35B2">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BA47106" w14:textId="4F223FBB" w:rsidR="00121D09" w:rsidRPr="00121D09" w:rsidRDefault="00121D09">
                            <w:pPr>
                              <w:rPr>
                                <w:sz w:val="18"/>
                              </w:rPr>
                            </w:pPr>
                            <w:r>
                              <w:rPr>
                                <w:sz w:val="18"/>
                              </w:rPr>
                              <w:fldChar w:fldCharType="begin"/>
                            </w:r>
                            <w:r>
                              <w:rPr>
                                <w:sz w:val="18"/>
                              </w:rPr>
                              <w:instrText xml:space="preserve"> FILENAME  \* MERGEFORMAT </w:instrText>
                            </w:r>
                            <w:r>
                              <w:rPr>
                                <w:sz w:val="18"/>
                              </w:rPr>
                              <w:fldChar w:fldCharType="separate"/>
                            </w:r>
                            <w:r>
                              <w:rPr>
                                <w:noProof/>
                                <w:sz w:val="18"/>
                              </w:rPr>
                              <w:t>CIDRP03109F01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49F74" id="Text Box 1" o:sp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YHlAIAADgFAAAOAAAAZHJzL2Uyb0RvYy54bWysVF1v2yAUfZ+0/4B4X524H0ujOlXWrtOk&#10;qK3UTn2+wTi2hoEBSZz9+h2w00TdHqZpLxi4h/t1zvXVddcqtpHON0YXfHwy4kxqYcpGrwr+7fnu&#10;w4QzH0iXpIyWBd9Jz69n799dbe1U5qY2qpSOwYn2060teB2CnWaZF7VsyZ8YKzWMlXEtBRzdKisd&#10;beG9VVk+Gl1kW+NK64yQ3uP2tjfyWfJfVVKEh6ryMjBVcOQW0urSuoxrNrui6cqRrRsxpEH/kEVL&#10;jUbQV1e3FIitXfObq7YRznhThRNh2sxUVSNkqgHVjEdvqnmqycpUC5rj7Wub/P9zK+43j441Jbjj&#10;TFMLip5lF9gn07Fx7M7W+ilATxaw0OE6ImOl3i6M+O4ByY4w/QMPdMR0lWvjF3UyPAQBu9emxygC&#10;l6enk9N8ApOALc8nF6PESnZ4bZ0PX6RpWdwU3IHUlAFtFj7E+DTdQ1JiRjXlXaNUOgi3Wt4ox3rO&#10;IUpE2jOPh/4YrDTbFvzyPD9HNgQ1VooCtq1Ff7xecUZqBZmL4FIC2sQwSUIxgVvyNdsQlJa89tpy&#10;Zq3LBKkllZ91ycLOossa48BjuFaWnCkJt3GXkIEa9TdI5K/00P++5ZGJ0C27gVF4izdLU+5AnzO9&#10;/L0Vdw3yXZAPj+Sgd/QEMxwesFTKICkz7Dirjfv5p/uIhwxhRRWYHxT9Y00ONamvGgK9HJ+dwW1I&#10;h7PzjzkO7tiyPLbodXtj0DiIENmlbcQHtd9WzrQvGPV5jAoTaYHYBQc9/fYm9AzjVyHkfJ5AGDFL&#10;YaGfrNirNvL03L2Qs4OaAnR4b/aTRtM3ouqxUUnazNfBVE1S3KGrQ/sxnkmIw68kzv/xOaEOP7zZ&#10;LwAAAP//AwBQSwMEFAAGAAgAAAAhAHVeCcvdAAAADQEAAA8AAABkcnMvZG93bnJldi54bWxMj8FO&#10;wzAQRO9I/QdrK3Fr7VRpqEKcCpAQV2j5ADfexhGxHdluY/h6tic47szT7Eyzz3ZkVwxx8E5CsRbA&#10;0HVeD66X8Hl8Xe2AxaScVqN3KOEbI+zbxV2jau1n94HXQ+oZhbhYKwkmpanmPHYGrYprP6Ej7+yD&#10;VYnO0HMd1EzhduQbISpu1eDog1ETvhjsvg4XK2HUP7M5F5sQ3nV+03z7HKqcpbxf5qdHYAlz+oPh&#10;Vp+qQ0udTv7idGSjhFVRloSSUZaCVhGyLXYknW7SQyWAtw3/v6L9BQAA//8DAFBLAQItABQABgAI&#10;AAAAIQC2gziS/gAAAOEBAAATAAAAAAAAAAAAAAAAAAAAAABbQ29udGVudF9UeXBlc10ueG1sUEsB&#10;Ai0AFAAGAAgAAAAhADj9If/WAAAAlAEAAAsAAAAAAAAAAAAAAAAALwEAAF9yZWxzLy5yZWxzUEsB&#10;Ai0AFAAGAAgAAAAhAAZ6JgeUAgAAOAUAAA4AAAAAAAAAAAAAAAAALgIAAGRycy9lMm9Eb2MueG1s&#10;UEsBAi0AFAAGAAgAAAAhAHVeCcvdAAAADQEAAA8AAAAAAAAAAAAAAAAA7gQAAGRycy9kb3ducmV2&#10;LnhtbFBLBQYAAAAABAAEAPMAAAD4BQAAAAA=&#10;" fillcolor="black" stroked="f">
                <v:stroke joinstyle="round"/>
                <v:path arrowok="t"/>
                <v:textbox>
                  <w:txbxContent>
                    <w:p w14:paraId="4BA47106" w14:textId="4F223FBB" w:rsidR="00121D09" w:rsidRPr="00121D09" w:rsidRDefault="00121D09">
                      <w:pPr>
                        <w:rPr>
                          <w:sz w:val="18"/>
                        </w:rPr>
                      </w:pPr>
                      <w:r>
                        <w:rPr>
                          <w:sz w:val="18"/>
                        </w:rPr>
                        <w:fldChar w:fldCharType="begin"/>
                      </w:r>
                      <w:r>
                        <w:rPr>
                          <w:sz w:val="18"/>
                        </w:rPr>
                        <w:instrText xml:space="preserve"> FILENAME  \* MERGEFORMAT </w:instrText>
                      </w:r>
                      <w:r>
                        <w:rPr>
                          <w:sz w:val="18"/>
                        </w:rPr>
                        <w:fldChar w:fldCharType="separate"/>
                      </w:r>
                      <w:r>
                        <w:rPr>
                          <w:noProof/>
                          <w:sz w:val="18"/>
                        </w:rPr>
                        <w:t>CIDRP03109F01</w:t>
                      </w:r>
                      <w:r>
                        <w:rPr>
                          <w:sz w:val="18"/>
                        </w:rPr>
                        <w:fldChar w:fldCharType="end"/>
                      </w:r>
                    </w:p>
                  </w:txbxContent>
                </v:textbox>
                <w10:wrap anchory="page"/>
                <w10:anchorlock/>
              </v:shape>
            </w:pict>
          </mc:Fallback>
        </mc:AlternateContent>
      </w:r>
      <w:r>
        <w:rPr>
          <w:sz w:val="18"/>
          <w:szCs w:val="18"/>
          <w:lang w:val="fr-FR"/>
        </w:rPr>
        <w:t>CIDRP03109F01</w:t>
      </w:r>
    </w:p>
    <w:sectPr w:rsidR="001B2A32" w:rsidRPr="00B62618" w:rsidSect="00E82E10">
      <w:pgSz w:w="15840" w:h="12240" w:orient="landscape"/>
      <w:pgMar w:top="1080"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F96F" w14:textId="77777777" w:rsidR="00394DE4" w:rsidRDefault="00394DE4" w:rsidP="00E82E10">
      <w:r>
        <w:separator/>
      </w:r>
    </w:p>
  </w:endnote>
  <w:endnote w:type="continuationSeparator" w:id="0">
    <w:p w14:paraId="5AE06CB8" w14:textId="77777777" w:rsidR="00394DE4" w:rsidRDefault="00394DE4" w:rsidP="00E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9EA9" w14:textId="77777777" w:rsidR="00394DE4" w:rsidRDefault="00394DE4" w:rsidP="00E82E10">
      <w:r>
        <w:separator/>
      </w:r>
    </w:p>
  </w:footnote>
  <w:footnote w:type="continuationSeparator" w:id="0">
    <w:p w14:paraId="50A024F0" w14:textId="77777777" w:rsidR="00394DE4" w:rsidRDefault="00394DE4" w:rsidP="00E8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2120909367"/>
      <w:docPartObj>
        <w:docPartGallery w:val="Page Numbers (Top of Page)"/>
        <w:docPartUnique/>
      </w:docPartObj>
    </w:sdtPr>
    <w:sdtEndPr>
      <w:rPr>
        <w:noProof/>
      </w:rPr>
    </w:sdtEndPr>
    <w:sdtContent>
      <w:p w14:paraId="0F554ADF" w14:textId="3F3D49ED" w:rsidR="008A2ECD" w:rsidRPr="00E82E10" w:rsidRDefault="008A2ECD">
        <w:pPr>
          <w:pStyle w:val="Header"/>
          <w:jc w:val="center"/>
          <w:rPr>
            <w:b/>
            <w:sz w:val="20"/>
            <w:szCs w:val="20"/>
          </w:rPr>
        </w:pPr>
        <w:r w:rsidRPr="00E82E10">
          <w:rPr>
            <w:b/>
            <w:sz w:val="20"/>
            <w:szCs w:val="20"/>
          </w:rPr>
          <w:t xml:space="preserve">- </w:t>
        </w:r>
        <w:r w:rsidRPr="00E82E10">
          <w:rPr>
            <w:b/>
            <w:sz w:val="20"/>
            <w:szCs w:val="20"/>
          </w:rPr>
          <w:fldChar w:fldCharType="begin"/>
        </w:r>
        <w:r w:rsidRPr="00E82E10">
          <w:rPr>
            <w:b/>
            <w:sz w:val="20"/>
            <w:szCs w:val="20"/>
          </w:rPr>
          <w:instrText xml:space="preserve"> PAGE   \* MERGEFORMAT </w:instrText>
        </w:r>
        <w:r w:rsidRPr="00E82E10">
          <w:rPr>
            <w:b/>
            <w:sz w:val="20"/>
            <w:szCs w:val="20"/>
          </w:rPr>
          <w:fldChar w:fldCharType="separate"/>
        </w:r>
        <w:r>
          <w:rPr>
            <w:b/>
            <w:noProof/>
            <w:sz w:val="20"/>
            <w:szCs w:val="20"/>
          </w:rPr>
          <w:t>21</w:t>
        </w:r>
        <w:r w:rsidRPr="00E82E10">
          <w:rPr>
            <w:b/>
            <w:noProof/>
            <w:sz w:val="20"/>
            <w:szCs w:val="20"/>
          </w:rPr>
          <w:fldChar w:fldCharType="end"/>
        </w:r>
        <w:r w:rsidRPr="00E82E10">
          <w:rPr>
            <w:b/>
            <w:noProof/>
            <w:sz w:val="20"/>
            <w:szCs w:val="20"/>
          </w:rPr>
          <w:t xml:space="preserve"> -</w:t>
        </w:r>
      </w:p>
    </w:sdtContent>
  </w:sdt>
  <w:p w14:paraId="5626062E" w14:textId="77777777" w:rsidR="008A2ECD" w:rsidRDefault="008A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C3A"/>
    <w:multiLevelType w:val="hybridMultilevel"/>
    <w:tmpl w:val="1D1E7902"/>
    <w:lvl w:ilvl="0" w:tplc="5DE6BB68">
      <w:start w:val="1"/>
      <w:numFmt w:val="bullet"/>
      <w:lvlText w:val=""/>
      <w:lvlJc w:val="left"/>
      <w:pPr>
        <w:ind w:left="612" w:hanging="360"/>
      </w:pPr>
      <w:rPr>
        <w:rFonts w:ascii="Symbol" w:eastAsia="Times New Roman" w:hAnsi="Symbol"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29D60FC"/>
    <w:multiLevelType w:val="hybridMultilevel"/>
    <w:tmpl w:val="FCA01A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56EB"/>
    <w:multiLevelType w:val="hybridMultilevel"/>
    <w:tmpl w:val="768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260D"/>
    <w:multiLevelType w:val="hybridMultilevel"/>
    <w:tmpl w:val="FCC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3337"/>
    <w:multiLevelType w:val="hybridMultilevel"/>
    <w:tmpl w:val="EB4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0039"/>
    <w:multiLevelType w:val="hybridMultilevel"/>
    <w:tmpl w:val="29DC67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A96C25"/>
    <w:multiLevelType w:val="hybridMultilevel"/>
    <w:tmpl w:val="25D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5633A"/>
    <w:multiLevelType w:val="hybridMultilevel"/>
    <w:tmpl w:val="C200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A46E2"/>
    <w:multiLevelType w:val="hybridMultilevel"/>
    <w:tmpl w:val="AB76708E"/>
    <w:lvl w:ilvl="0" w:tplc="514C66D6">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790B"/>
    <w:multiLevelType w:val="hybridMultilevel"/>
    <w:tmpl w:val="5C22D760"/>
    <w:lvl w:ilvl="0" w:tplc="3B14C6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A24DC"/>
    <w:multiLevelType w:val="hybridMultilevel"/>
    <w:tmpl w:val="868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55776"/>
    <w:multiLevelType w:val="hybridMultilevel"/>
    <w:tmpl w:val="235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84514"/>
    <w:multiLevelType w:val="hybridMultilevel"/>
    <w:tmpl w:val="8BC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23DEB"/>
    <w:multiLevelType w:val="hybridMultilevel"/>
    <w:tmpl w:val="2EBC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4753A"/>
    <w:multiLevelType w:val="hybridMultilevel"/>
    <w:tmpl w:val="095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6578F"/>
    <w:multiLevelType w:val="hybridMultilevel"/>
    <w:tmpl w:val="E7AC4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1131ED"/>
    <w:multiLevelType w:val="hybridMultilevel"/>
    <w:tmpl w:val="F8B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B0504"/>
    <w:multiLevelType w:val="hybridMultilevel"/>
    <w:tmpl w:val="C03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9"/>
  </w:num>
  <w:num w:numId="5">
    <w:abstractNumId w:val="15"/>
  </w:num>
  <w:num w:numId="6">
    <w:abstractNumId w:val="7"/>
  </w:num>
  <w:num w:numId="7">
    <w:abstractNumId w:val="0"/>
  </w:num>
  <w:num w:numId="8">
    <w:abstractNumId w:val="16"/>
  </w:num>
  <w:num w:numId="9">
    <w:abstractNumId w:val="1"/>
  </w:num>
  <w:num w:numId="10">
    <w:abstractNumId w:val="18"/>
  </w:num>
  <w:num w:numId="11">
    <w:abstractNumId w:val="20"/>
  </w:num>
  <w:num w:numId="12">
    <w:abstractNumId w:val="8"/>
  </w:num>
  <w:num w:numId="13">
    <w:abstractNumId w:val="17"/>
  </w:num>
  <w:num w:numId="14">
    <w:abstractNumId w:val="3"/>
  </w:num>
  <w:num w:numId="15">
    <w:abstractNumId w:val="5"/>
  </w:num>
  <w:num w:numId="16">
    <w:abstractNumId w:val="12"/>
  </w:num>
  <w:num w:numId="17">
    <w:abstractNumId w:val="2"/>
  </w:num>
  <w:num w:numId="18">
    <w:abstractNumId w:val="14"/>
  </w:num>
  <w:num w:numId="19">
    <w:abstractNumId w:val="1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10"/>
    <w:rsid w:val="000448B8"/>
    <w:rsid w:val="00054179"/>
    <w:rsid w:val="0007041E"/>
    <w:rsid w:val="00075D25"/>
    <w:rsid w:val="00091B9F"/>
    <w:rsid w:val="00091E01"/>
    <w:rsid w:val="000A50F1"/>
    <w:rsid w:val="000C0CAD"/>
    <w:rsid w:val="000C0DF0"/>
    <w:rsid w:val="000C3EBF"/>
    <w:rsid w:val="000F02A8"/>
    <w:rsid w:val="00105D52"/>
    <w:rsid w:val="00121D09"/>
    <w:rsid w:val="00145015"/>
    <w:rsid w:val="00155EC7"/>
    <w:rsid w:val="00162FD4"/>
    <w:rsid w:val="0017179A"/>
    <w:rsid w:val="00191653"/>
    <w:rsid w:val="00191C84"/>
    <w:rsid w:val="001A3D28"/>
    <w:rsid w:val="001B038F"/>
    <w:rsid w:val="001B2A32"/>
    <w:rsid w:val="001B2FA7"/>
    <w:rsid w:val="001D25CE"/>
    <w:rsid w:val="001E7EBA"/>
    <w:rsid w:val="001F36E2"/>
    <w:rsid w:val="001F3FEE"/>
    <w:rsid w:val="002007D6"/>
    <w:rsid w:val="00220D87"/>
    <w:rsid w:val="0022357F"/>
    <w:rsid w:val="002336CE"/>
    <w:rsid w:val="00241C33"/>
    <w:rsid w:val="00246D2B"/>
    <w:rsid w:val="00283F34"/>
    <w:rsid w:val="0028632E"/>
    <w:rsid w:val="0029333F"/>
    <w:rsid w:val="002A4444"/>
    <w:rsid w:val="002B53B9"/>
    <w:rsid w:val="002B7E95"/>
    <w:rsid w:val="002D002A"/>
    <w:rsid w:val="003036E9"/>
    <w:rsid w:val="0031735B"/>
    <w:rsid w:val="00332B68"/>
    <w:rsid w:val="00335CFB"/>
    <w:rsid w:val="00336EAD"/>
    <w:rsid w:val="00344461"/>
    <w:rsid w:val="00351175"/>
    <w:rsid w:val="00354442"/>
    <w:rsid w:val="00367351"/>
    <w:rsid w:val="00367DA0"/>
    <w:rsid w:val="0037371D"/>
    <w:rsid w:val="00390D1B"/>
    <w:rsid w:val="00394DE4"/>
    <w:rsid w:val="003975E9"/>
    <w:rsid w:val="00397E4F"/>
    <w:rsid w:val="003A1503"/>
    <w:rsid w:val="003B297E"/>
    <w:rsid w:val="003C13B2"/>
    <w:rsid w:val="003C29AE"/>
    <w:rsid w:val="003F22DB"/>
    <w:rsid w:val="003F4765"/>
    <w:rsid w:val="003F4D45"/>
    <w:rsid w:val="003F607D"/>
    <w:rsid w:val="003F7F9C"/>
    <w:rsid w:val="00407306"/>
    <w:rsid w:val="00414C42"/>
    <w:rsid w:val="00416A4A"/>
    <w:rsid w:val="00424B93"/>
    <w:rsid w:val="00456B2B"/>
    <w:rsid w:val="0045730A"/>
    <w:rsid w:val="00477C3C"/>
    <w:rsid w:val="00477D51"/>
    <w:rsid w:val="00493A9B"/>
    <w:rsid w:val="004B2E66"/>
    <w:rsid w:val="004B497E"/>
    <w:rsid w:val="004C04B1"/>
    <w:rsid w:val="004C418D"/>
    <w:rsid w:val="004D43A2"/>
    <w:rsid w:val="004E6054"/>
    <w:rsid w:val="005057D9"/>
    <w:rsid w:val="00513450"/>
    <w:rsid w:val="005508D9"/>
    <w:rsid w:val="00551EB1"/>
    <w:rsid w:val="005531B0"/>
    <w:rsid w:val="005657C8"/>
    <w:rsid w:val="00565A1C"/>
    <w:rsid w:val="005677D2"/>
    <w:rsid w:val="00581411"/>
    <w:rsid w:val="005823BE"/>
    <w:rsid w:val="00597243"/>
    <w:rsid w:val="00597BF0"/>
    <w:rsid w:val="005B7924"/>
    <w:rsid w:val="005E69D6"/>
    <w:rsid w:val="005F0DF9"/>
    <w:rsid w:val="005F46C1"/>
    <w:rsid w:val="00606B42"/>
    <w:rsid w:val="00616822"/>
    <w:rsid w:val="00636B15"/>
    <w:rsid w:val="00655D02"/>
    <w:rsid w:val="00655DAD"/>
    <w:rsid w:val="00662B8D"/>
    <w:rsid w:val="00663390"/>
    <w:rsid w:val="0067192F"/>
    <w:rsid w:val="00673776"/>
    <w:rsid w:val="00674DB4"/>
    <w:rsid w:val="006761E5"/>
    <w:rsid w:val="00691C13"/>
    <w:rsid w:val="00697CE0"/>
    <w:rsid w:val="006A6994"/>
    <w:rsid w:val="006A771D"/>
    <w:rsid w:val="006B66C4"/>
    <w:rsid w:val="006B6C6F"/>
    <w:rsid w:val="006C2E29"/>
    <w:rsid w:val="006D2F9E"/>
    <w:rsid w:val="006D77D6"/>
    <w:rsid w:val="006E2F04"/>
    <w:rsid w:val="00715A88"/>
    <w:rsid w:val="00715B8B"/>
    <w:rsid w:val="0071638E"/>
    <w:rsid w:val="007479EC"/>
    <w:rsid w:val="00750542"/>
    <w:rsid w:val="0075058C"/>
    <w:rsid w:val="00751041"/>
    <w:rsid w:val="007511B1"/>
    <w:rsid w:val="00773776"/>
    <w:rsid w:val="00781145"/>
    <w:rsid w:val="007914FD"/>
    <w:rsid w:val="007944BF"/>
    <w:rsid w:val="007A4100"/>
    <w:rsid w:val="007D0E1D"/>
    <w:rsid w:val="007D1DC3"/>
    <w:rsid w:val="007D43B5"/>
    <w:rsid w:val="007E113D"/>
    <w:rsid w:val="007E2E44"/>
    <w:rsid w:val="007F6C58"/>
    <w:rsid w:val="008173C1"/>
    <w:rsid w:val="00846F93"/>
    <w:rsid w:val="008606A2"/>
    <w:rsid w:val="008642B4"/>
    <w:rsid w:val="008718A6"/>
    <w:rsid w:val="00883E34"/>
    <w:rsid w:val="008A2ECD"/>
    <w:rsid w:val="008A3C72"/>
    <w:rsid w:val="008A4CE7"/>
    <w:rsid w:val="008B3B30"/>
    <w:rsid w:val="008C0FE0"/>
    <w:rsid w:val="008C17DE"/>
    <w:rsid w:val="008C3207"/>
    <w:rsid w:val="008C5F0C"/>
    <w:rsid w:val="008D57E7"/>
    <w:rsid w:val="008D6D62"/>
    <w:rsid w:val="008E3DC7"/>
    <w:rsid w:val="008F6E66"/>
    <w:rsid w:val="00905CEA"/>
    <w:rsid w:val="0090691D"/>
    <w:rsid w:val="00922B88"/>
    <w:rsid w:val="009250DA"/>
    <w:rsid w:val="00925125"/>
    <w:rsid w:val="00944E71"/>
    <w:rsid w:val="00966EE0"/>
    <w:rsid w:val="00974FD5"/>
    <w:rsid w:val="00975D47"/>
    <w:rsid w:val="009875C4"/>
    <w:rsid w:val="00991635"/>
    <w:rsid w:val="00993440"/>
    <w:rsid w:val="0099649B"/>
    <w:rsid w:val="009973E7"/>
    <w:rsid w:val="009A1EB4"/>
    <w:rsid w:val="009A5F60"/>
    <w:rsid w:val="009B77B2"/>
    <w:rsid w:val="009F6795"/>
    <w:rsid w:val="00A036F4"/>
    <w:rsid w:val="00A132BD"/>
    <w:rsid w:val="00A20A5E"/>
    <w:rsid w:val="00A250FC"/>
    <w:rsid w:val="00A267CE"/>
    <w:rsid w:val="00A42370"/>
    <w:rsid w:val="00A55B4B"/>
    <w:rsid w:val="00A60D0C"/>
    <w:rsid w:val="00A66C51"/>
    <w:rsid w:val="00A6724E"/>
    <w:rsid w:val="00A94045"/>
    <w:rsid w:val="00A942C9"/>
    <w:rsid w:val="00AA3F9A"/>
    <w:rsid w:val="00AB2896"/>
    <w:rsid w:val="00AC13A0"/>
    <w:rsid w:val="00AE64A8"/>
    <w:rsid w:val="00AE7193"/>
    <w:rsid w:val="00AF66D5"/>
    <w:rsid w:val="00B07A63"/>
    <w:rsid w:val="00B11D49"/>
    <w:rsid w:val="00B175FB"/>
    <w:rsid w:val="00B1788F"/>
    <w:rsid w:val="00B26656"/>
    <w:rsid w:val="00B41362"/>
    <w:rsid w:val="00B41F4C"/>
    <w:rsid w:val="00B47C48"/>
    <w:rsid w:val="00B62618"/>
    <w:rsid w:val="00B6749A"/>
    <w:rsid w:val="00B720BA"/>
    <w:rsid w:val="00B745A0"/>
    <w:rsid w:val="00B84D75"/>
    <w:rsid w:val="00BA3006"/>
    <w:rsid w:val="00BB7C3C"/>
    <w:rsid w:val="00BC43E9"/>
    <w:rsid w:val="00BC64A6"/>
    <w:rsid w:val="00BE5CC3"/>
    <w:rsid w:val="00C00BEE"/>
    <w:rsid w:val="00C128D4"/>
    <w:rsid w:val="00C17753"/>
    <w:rsid w:val="00C237D9"/>
    <w:rsid w:val="00C4194D"/>
    <w:rsid w:val="00C43246"/>
    <w:rsid w:val="00C70624"/>
    <w:rsid w:val="00C73675"/>
    <w:rsid w:val="00C945C0"/>
    <w:rsid w:val="00CA4AFC"/>
    <w:rsid w:val="00CA527E"/>
    <w:rsid w:val="00CC5761"/>
    <w:rsid w:val="00CD4CB4"/>
    <w:rsid w:val="00CD5CF9"/>
    <w:rsid w:val="00CE720A"/>
    <w:rsid w:val="00CE7E33"/>
    <w:rsid w:val="00CF0ACD"/>
    <w:rsid w:val="00CF51D8"/>
    <w:rsid w:val="00D11D46"/>
    <w:rsid w:val="00D13F59"/>
    <w:rsid w:val="00D17632"/>
    <w:rsid w:val="00D224D4"/>
    <w:rsid w:val="00D26062"/>
    <w:rsid w:val="00D26179"/>
    <w:rsid w:val="00D54B14"/>
    <w:rsid w:val="00D54BD2"/>
    <w:rsid w:val="00D620E5"/>
    <w:rsid w:val="00D63A5E"/>
    <w:rsid w:val="00D732FD"/>
    <w:rsid w:val="00D7707C"/>
    <w:rsid w:val="00D85CEE"/>
    <w:rsid w:val="00DB4A0C"/>
    <w:rsid w:val="00DC1B39"/>
    <w:rsid w:val="00DC2845"/>
    <w:rsid w:val="00DC7F18"/>
    <w:rsid w:val="00E4279C"/>
    <w:rsid w:val="00E76380"/>
    <w:rsid w:val="00E818B1"/>
    <w:rsid w:val="00E82E10"/>
    <w:rsid w:val="00E85454"/>
    <w:rsid w:val="00E917F1"/>
    <w:rsid w:val="00EA177C"/>
    <w:rsid w:val="00EA46D7"/>
    <w:rsid w:val="00EB1976"/>
    <w:rsid w:val="00EC0B12"/>
    <w:rsid w:val="00EC44EF"/>
    <w:rsid w:val="00EE1BED"/>
    <w:rsid w:val="00EF1FE1"/>
    <w:rsid w:val="00F01EA4"/>
    <w:rsid w:val="00F10748"/>
    <w:rsid w:val="00F2279D"/>
    <w:rsid w:val="00F3315F"/>
    <w:rsid w:val="00F369A3"/>
    <w:rsid w:val="00F37C80"/>
    <w:rsid w:val="00F806DA"/>
    <w:rsid w:val="00F860DB"/>
    <w:rsid w:val="00F93B27"/>
    <w:rsid w:val="00FA0697"/>
    <w:rsid w:val="00FB0B06"/>
    <w:rsid w:val="00FC1B55"/>
    <w:rsid w:val="00FC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75536"/>
  <w15:chartTrackingRefBased/>
  <w15:docId w15:val="{8DCBE3CC-B6F5-4322-9B1F-3C055DCD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10"/>
    <w:pPr>
      <w:ind w:left="720"/>
    </w:pPr>
  </w:style>
  <w:style w:type="paragraph" w:styleId="Header">
    <w:name w:val="header"/>
    <w:basedOn w:val="Normal"/>
    <w:link w:val="HeaderChar"/>
    <w:uiPriority w:val="99"/>
    <w:rsid w:val="00E82E10"/>
    <w:pPr>
      <w:tabs>
        <w:tab w:val="center" w:pos="4680"/>
        <w:tab w:val="right" w:pos="9360"/>
      </w:tabs>
    </w:pPr>
  </w:style>
  <w:style w:type="character" w:customStyle="1" w:styleId="HeaderChar">
    <w:name w:val="Header Char"/>
    <w:basedOn w:val="DefaultParagraphFont"/>
    <w:link w:val="Header"/>
    <w:uiPriority w:val="99"/>
    <w:rsid w:val="00E82E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E10"/>
    <w:pPr>
      <w:tabs>
        <w:tab w:val="center" w:pos="4680"/>
        <w:tab w:val="right" w:pos="9360"/>
      </w:tabs>
    </w:pPr>
  </w:style>
  <w:style w:type="character" w:customStyle="1" w:styleId="FooterChar">
    <w:name w:val="Footer Char"/>
    <w:basedOn w:val="DefaultParagraphFont"/>
    <w:link w:val="Footer"/>
    <w:uiPriority w:val="99"/>
    <w:rsid w:val="00E82E10"/>
    <w:rPr>
      <w:rFonts w:ascii="Times New Roman" w:eastAsia="Times New Roman" w:hAnsi="Times New Roman" w:cs="Times New Roman"/>
      <w:sz w:val="24"/>
      <w:szCs w:val="24"/>
    </w:rPr>
  </w:style>
  <w:style w:type="table" w:styleId="TableGrid">
    <w:name w:val="Table Grid"/>
    <w:basedOn w:val="TableNormal"/>
    <w:uiPriority w:val="39"/>
    <w:rsid w:val="007D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8431-5AAC-45C1-8476-EBC4B102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9127</Words>
  <Characters>52027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Rudder, J'anne</dc:creator>
  <cp:keywords/>
  <dc:description/>
  <cp:lastModifiedBy>Diaz - Avalos,  Estela</cp:lastModifiedBy>
  <cp:revision>3</cp:revision>
  <dcterms:created xsi:type="dcterms:W3CDTF">2021-08-13T17:06:00Z</dcterms:created>
  <dcterms:modified xsi:type="dcterms:W3CDTF">2021-08-13T17:08:00Z</dcterms:modified>
</cp:coreProperties>
</file>