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665DD" w14:textId="77777777" w:rsidR="00E82E10" w:rsidRPr="00493A9B" w:rsidRDefault="00DA56F9" w:rsidP="00493A9B">
      <w:pPr>
        <w:autoSpaceDE w:val="0"/>
        <w:autoSpaceDN w:val="0"/>
        <w:adjustRightInd w:val="0"/>
        <w:ind w:left="7200"/>
        <w:rPr>
          <w:rFonts w:eastAsia="MS PGothic"/>
          <w:bCs/>
          <w:color w:val="000000" w:themeColor="text1"/>
          <w:kern w:val="24"/>
          <w:sz w:val="22"/>
          <w:szCs w:val="22"/>
        </w:rPr>
      </w:pPr>
      <w:r>
        <w:rPr>
          <w:noProof/>
          <w:lang w:val="en-US"/>
        </w:rPr>
        <mc:AlternateContent>
          <mc:Choice Requires="wps">
            <w:drawing>
              <wp:anchor distT="0" distB="0" distL="114300" distR="114300" simplePos="0" relativeHeight="251665408" behindDoc="0" locked="0" layoutInCell="1" allowOverlap="1" wp14:anchorId="21201AAF" wp14:editId="67AC8137">
                <wp:simplePos x="0" y="0"/>
                <wp:positionH relativeFrom="column">
                  <wp:posOffset>472440</wp:posOffset>
                </wp:positionH>
                <wp:positionV relativeFrom="paragraph">
                  <wp:posOffset>-1034111</wp:posOffset>
                </wp:positionV>
                <wp:extent cx="4663440" cy="914400"/>
                <wp:effectExtent l="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BD0104" w14:textId="77777777" w:rsidR="00DA56F9" w:rsidRPr="00C54813" w:rsidRDefault="00DA56F9" w:rsidP="00C54813">
                            <w:pPr>
                              <w:pStyle w:val="Header"/>
                              <w:tabs>
                                <w:tab w:val="left" w:pos="900"/>
                              </w:tabs>
                              <w:spacing w:line="240" w:lineRule="atLeast"/>
                              <w:jc w:val="center"/>
                              <w:rPr>
                                <w:rFonts w:ascii="Garamond" w:hAnsi="Garamond"/>
                                <w:b/>
                                <w:sz w:val="28"/>
                              </w:rPr>
                            </w:pPr>
                            <w:r w:rsidRPr="00C54813">
                              <w:rPr>
                                <w:rFonts w:ascii="Garamond" w:hAnsi="Garamond"/>
                                <w:b/>
                                <w:sz w:val="28"/>
                              </w:rPr>
                              <w:t>ORGANIZAÇÃO DOS ESTADOS AMERICANOS</w:t>
                            </w:r>
                          </w:p>
                          <w:p w14:paraId="35DCE593" w14:textId="77777777" w:rsidR="00DA56F9" w:rsidRPr="00C54813" w:rsidRDefault="00DA56F9" w:rsidP="00C54813">
                            <w:pPr>
                              <w:pStyle w:val="Header"/>
                              <w:tabs>
                                <w:tab w:val="left" w:pos="900"/>
                              </w:tabs>
                              <w:spacing w:line="240" w:lineRule="atLeast"/>
                              <w:jc w:val="center"/>
                              <w:rPr>
                                <w:rFonts w:ascii="Garamond" w:hAnsi="Garamond"/>
                                <w:b/>
                                <w:sz w:val="22"/>
                                <w:szCs w:val="22"/>
                              </w:rPr>
                            </w:pPr>
                            <w:r w:rsidRPr="00C54813">
                              <w:rPr>
                                <w:rFonts w:ascii="Garamond" w:hAnsi="Garamond"/>
                                <w:b/>
                                <w:sz w:val="22"/>
                                <w:szCs w:val="22"/>
                              </w:rPr>
                              <w:t>Conselho Interamericano de Des</w:t>
                            </w:r>
                            <w:r>
                              <w:rPr>
                                <w:rFonts w:ascii="Garamond" w:hAnsi="Garamond"/>
                                <w:b/>
                                <w:sz w:val="22"/>
                                <w:szCs w:val="22"/>
                              </w:rPr>
                              <w:t>envolvimento</w:t>
                            </w:r>
                            <w:r w:rsidRPr="00C54813">
                              <w:rPr>
                                <w:rFonts w:ascii="Garamond" w:hAnsi="Garamond"/>
                                <w:b/>
                                <w:sz w:val="22"/>
                                <w:szCs w:val="22"/>
                              </w:rPr>
                              <w:t xml:space="preserve"> Integral</w:t>
                            </w:r>
                          </w:p>
                          <w:p w14:paraId="765FFA30" w14:textId="77777777" w:rsidR="00DA56F9" w:rsidRPr="00C54813" w:rsidRDefault="00DA56F9" w:rsidP="00C54813">
                            <w:pPr>
                              <w:pStyle w:val="Header"/>
                              <w:tabs>
                                <w:tab w:val="left" w:pos="900"/>
                              </w:tabs>
                              <w:spacing w:line="240" w:lineRule="atLeast"/>
                              <w:jc w:val="center"/>
                              <w:rPr>
                                <w:b/>
                                <w:sz w:val="22"/>
                                <w:szCs w:val="22"/>
                              </w:rPr>
                            </w:pPr>
                            <w:r w:rsidRPr="00C54813">
                              <w:rPr>
                                <w:rFonts w:ascii="Garamond" w:hAnsi="Garamond"/>
                                <w:b/>
                                <w:sz w:val="22"/>
                                <w:szCs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01AAF" id="_x0000_t202" coordsize="21600,21600" o:spt="202" path="m,l,21600r21600,l21600,xe">
                <v:stroke joinstyle="miter"/>
                <v:path gradientshapeok="t" o:connecttype="rect"/>
              </v:shapetype>
              <v:shape id="Text Box 5" o:spid="_x0000_s1026" type="#_x0000_t202" style="position:absolute;left:0;text-align:left;margin-left:37.2pt;margin-top:-81.45pt;width:367.2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" stroked="f">
                <v:textbox>
                  <w:txbxContent>
                    <w:p w14:paraId="68BD0104" w14:textId="77777777" w:rsidR="00DA56F9" w:rsidRPr="00C54813" w:rsidRDefault="00DA56F9" w:rsidP="00C54813">
                      <w:pPr>
                        <w:pStyle w:val="Header"/>
                        <w:tabs>
                          <w:tab w:val="left" w:pos="900"/>
                        </w:tabs>
                        <w:spacing w:line="240" w:lineRule="atLeast"/>
                        <w:jc w:val="center"/>
                        <w:rPr>
                          <w:rFonts w:ascii="Garamond" w:hAnsi="Garamond"/>
                          <w:b/>
                          <w:sz w:val="28"/>
                        </w:rPr>
                      </w:pPr>
                      <w:r w:rsidRPr="00C54813">
                        <w:rPr>
                          <w:rFonts w:ascii="Garamond" w:hAnsi="Garamond"/>
                          <w:b/>
                          <w:sz w:val="28"/>
                        </w:rPr>
                        <w:t>ORGANIZAÇÃO DOS ESTADOS AMERICANOS</w:t>
                      </w:r>
                    </w:p>
                    <w:p w14:paraId="35DCE593" w14:textId="77777777" w:rsidR="00DA56F9" w:rsidRPr="00C54813" w:rsidRDefault="00DA56F9" w:rsidP="00C54813">
                      <w:pPr>
                        <w:pStyle w:val="Header"/>
                        <w:tabs>
                          <w:tab w:val="left" w:pos="900"/>
                        </w:tabs>
                        <w:spacing w:line="240" w:lineRule="atLeast"/>
                        <w:jc w:val="center"/>
                        <w:rPr>
                          <w:rFonts w:ascii="Garamond" w:hAnsi="Garamond"/>
                          <w:b/>
                          <w:sz w:val="22"/>
                          <w:szCs w:val="22"/>
                        </w:rPr>
                      </w:pPr>
                      <w:r w:rsidRPr="00C54813">
                        <w:rPr>
                          <w:rFonts w:ascii="Garamond" w:hAnsi="Garamond"/>
                          <w:b/>
                          <w:sz w:val="22"/>
                          <w:szCs w:val="22"/>
                        </w:rPr>
                        <w:t>Conselho Interamericano de Des</w:t>
                      </w:r>
                      <w:r>
                        <w:rPr>
                          <w:rFonts w:ascii="Garamond" w:hAnsi="Garamond"/>
                          <w:b/>
                          <w:sz w:val="22"/>
                          <w:szCs w:val="22"/>
                        </w:rPr>
                        <w:t>envolvimento</w:t>
                      </w:r>
                      <w:r w:rsidRPr="00C54813">
                        <w:rPr>
                          <w:rFonts w:ascii="Garamond" w:hAnsi="Garamond"/>
                          <w:b/>
                          <w:sz w:val="22"/>
                          <w:szCs w:val="22"/>
                        </w:rPr>
                        <w:t xml:space="preserve"> Integral</w:t>
                      </w:r>
                    </w:p>
                    <w:p w14:paraId="765FFA30" w14:textId="77777777" w:rsidR="00DA56F9" w:rsidRPr="00C54813" w:rsidRDefault="00DA56F9" w:rsidP="00C54813">
                      <w:pPr>
                        <w:pStyle w:val="Header"/>
                        <w:tabs>
                          <w:tab w:val="left" w:pos="900"/>
                        </w:tabs>
                        <w:spacing w:line="240" w:lineRule="atLeast"/>
                        <w:jc w:val="center"/>
                        <w:rPr>
                          <w:b/>
                          <w:sz w:val="22"/>
                          <w:szCs w:val="22"/>
                        </w:rPr>
                      </w:pPr>
                      <w:r w:rsidRPr="00C54813">
                        <w:rPr>
                          <w:rFonts w:ascii="Garamond" w:hAnsi="Garamond"/>
                          <w:b/>
                          <w:sz w:val="22"/>
                          <w:szCs w:val="22"/>
                        </w:rPr>
                        <w:t>(CIDI)</w:t>
                      </w:r>
                    </w:p>
                  </w:txbxContent>
                </v:textbox>
              </v:shape>
            </w:pict>
          </mc:Fallback>
        </mc:AlternateContent>
      </w:r>
      <w:r>
        <w:rPr>
          <w:noProof/>
          <w:lang w:val="en-US"/>
        </w:rPr>
        <mc:AlternateContent>
          <mc:Choice Requires="wps">
            <w:drawing>
              <wp:anchor distT="0" distB="0" distL="114300" distR="114300" simplePos="0" relativeHeight="251664384" behindDoc="0" locked="0" layoutInCell="1" allowOverlap="1" wp14:anchorId="5FE60C6C" wp14:editId="1777653A">
                <wp:simplePos x="0" y="0"/>
                <wp:positionH relativeFrom="column">
                  <wp:posOffset>5135245</wp:posOffset>
                </wp:positionH>
                <wp:positionV relativeFrom="paragraph">
                  <wp:posOffset>-1068705</wp:posOffset>
                </wp:positionV>
                <wp:extent cx="1287780" cy="862330"/>
                <wp:effectExtent l="0" t="0" r="762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1DEBA" w14:textId="77777777" w:rsidR="00DA56F9" w:rsidRDefault="00DA56F9" w:rsidP="00C54813">
                            <w:pPr>
                              <w:ind w:right="-130"/>
                            </w:pPr>
                            <w:r>
                              <w:rPr>
                                <w:rFonts w:ascii="News Gothic MT" w:hAnsi="News Gothic MT"/>
                                <w:noProof/>
                                <w:color w:val="000000"/>
                                <w:lang w:val="en-US"/>
                              </w:rPr>
                              <w:drawing>
                                <wp:inline distT="0" distB="0" distL="0" distR="0" wp14:anchorId="6FA3B560" wp14:editId="767224E6">
                                  <wp:extent cx="1105535" cy="771525"/>
                                  <wp:effectExtent l="0" t="0" r="0" b="9525"/>
                                  <wp:docPr id="3" name="Picture 3"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60C6C" id="Text Box 4" o:spid="_x0000_s1027" type="#_x0000_t202" style="position:absolute;left:0;text-align:left;margin-left:404.35pt;margin-top:-84.15pt;width:101.4pt;height:6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" stroked="f">
                <v:textbox>
                  <w:txbxContent>
                    <w:p w14:paraId="40B1DEBA" w14:textId="77777777" w:rsidR="00DA56F9" w:rsidRDefault="00DA56F9" w:rsidP="00C54813">
                      <w:pPr>
                        <w:ind w:right="-130"/>
                      </w:pPr>
                      <w:r>
                        <w:rPr>
                          <w:rFonts w:ascii="News Gothic MT" w:hAnsi="News Gothic MT"/>
                          <w:noProof/>
                          <w:color w:val="000000"/>
                          <w:lang w:val="en-US"/>
                        </w:rPr>
                        <w:drawing>
                          <wp:inline distT="0" distB="0" distL="0" distR="0" wp14:anchorId="6FA3B560" wp14:editId="767224E6">
                            <wp:extent cx="1105535" cy="771525"/>
                            <wp:effectExtent l="0" t="0" r="0" b="9525"/>
                            <wp:docPr id="3" name="Picture 3"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63360" behindDoc="0" locked="0" layoutInCell="1" allowOverlap="1" wp14:anchorId="5A731B50" wp14:editId="0CEBC394">
            <wp:simplePos x="0" y="0"/>
            <wp:positionH relativeFrom="column">
              <wp:posOffset>-374015</wp:posOffset>
            </wp:positionH>
            <wp:positionV relativeFrom="paragraph">
              <wp:posOffset>-1013764</wp:posOffset>
            </wp:positionV>
            <wp:extent cx="8229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E82E10">
        <w:t>OEA/Ser.W</w:t>
      </w:r>
    </w:p>
    <w:p w14:paraId="1B4EB0EB" w14:textId="272E454F" w:rsidR="00E82E10" w:rsidRPr="00493A9B" w:rsidRDefault="00E82E10" w:rsidP="00493A9B">
      <w:pPr>
        <w:autoSpaceDE w:val="0"/>
        <w:autoSpaceDN w:val="0"/>
        <w:adjustRightInd w:val="0"/>
        <w:ind w:left="7200" w:right="-389"/>
        <w:rPr>
          <w:rFonts w:eastAsia="MS PGothic"/>
          <w:bCs/>
          <w:color w:val="000000" w:themeColor="text1"/>
          <w:kern w:val="24"/>
          <w:sz w:val="22"/>
          <w:szCs w:val="22"/>
        </w:rPr>
      </w:pPr>
      <w:r>
        <w:rPr>
          <w:color w:val="000000" w:themeColor="text1"/>
          <w:sz w:val="22"/>
        </w:rPr>
        <w:t>CIDI/doc.309/21</w:t>
      </w:r>
      <w:r w:rsidR="000C7BC2">
        <w:rPr>
          <w:color w:val="000000" w:themeColor="text1"/>
          <w:sz w:val="22"/>
        </w:rPr>
        <w:t xml:space="preserve"> rev.1</w:t>
      </w:r>
    </w:p>
    <w:p w14:paraId="34E5F4D9" w14:textId="54C1E161" w:rsidR="00E82E10" w:rsidRPr="00493A9B" w:rsidRDefault="000C7BC2" w:rsidP="00493A9B">
      <w:pPr>
        <w:autoSpaceDE w:val="0"/>
        <w:autoSpaceDN w:val="0"/>
        <w:adjustRightInd w:val="0"/>
        <w:ind w:left="7200"/>
        <w:rPr>
          <w:rFonts w:eastAsia="MS PGothic"/>
          <w:bCs/>
          <w:color w:val="000000" w:themeColor="text1"/>
          <w:kern w:val="24"/>
          <w:sz w:val="22"/>
          <w:szCs w:val="22"/>
        </w:rPr>
      </w:pPr>
      <w:r>
        <w:rPr>
          <w:color w:val="000000" w:themeColor="text1"/>
          <w:sz w:val="22"/>
        </w:rPr>
        <w:t>23 f</w:t>
      </w:r>
      <w:r w:rsidR="00493A9B">
        <w:rPr>
          <w:color w:val="000000" w:themeColor="text1"/>
          <w:sz w:val="22"/>
        </w:rPr>
        <w:t>evereiro 2021</w:t>
      </w:r>
    </w:p>
    <w:p w14:paraId="74EEFBA0" w14:textId="77777777" w:rsidR="00E82E10" w:rsidRPr="00493A9B" w:rsidRDefault="00E82E10" w:rsidP="00493A9B">
      <w:pPr>
        <w:autoSpaceDE w:val="0"/>
        <w:autoSpaceDN w:val="0"/>
        <w:adjustRightInd w:val="0"/>
        <w:ind w:left="7200"/>
        <w:rPr>
          <w:rFonts w:eastAsia="MS PGothic"/>
          <w:bCs/>
          <w:color w:val="000000" w:themeColor="text1"/>
          <w:kern w:val="24"/>
          <w:sz w:val="22"/>
          <w:szCs w:val="22"/>
        </w:rPr>
      </w:pPr>
      <w:r>
        <w:rPr>
          <w:color w:val="000000" w:themeColor="text1"/>
          <w:sz w:val="22"/>
        </w:rPr>
        <w:t>Original: inglês</w:t>
      </w:r>
    </w:p>
    <w:p w14:paraId="0F381E51" w14:textId="77777777" w:rsidR="00E82E10" w:rsidRPr="00493A9B" w:rsidRDefault="00E82E10" w:rsidP="00493A9B">
      <w:pPr>
        <w:autoSpaceDE w:val="0"/>
        <w:autoSpaceDN w:val="0"/>
        <w:adjustRightInd w:val="0"/>
        <w:rPr>
          <w:rFonts w:eastAsia="MS PGothic"/>
          <w:bCs/>
          <w:color w:val="000000" w:themeColor="text1"/>
          <w:kern w:val="24"/>
          <w:sz w:val="22"/>
          <w:szCs w:val="22"/>
        </w:rPr>
      </w:pPr>
    </w:p>
    <w:p w14:paraId="76EFC032" w14:textId="77777777" w:rsidR="00E82E10" w:rsidRPr="00493A9B" w:rsidRDefault="00E82E10" w:rsidP="00493A9B">
      <w:pPr>
        <w:autoSpaceDE w:val="0"/>
        <w:autoSpaceDN w:val="0"/>
        <w:adjustRightInd w:val="0"/>
        <w:rPr>
          <w:rFonts w:eastAsia="MS PGothic"/>
          <w:bCs/>
          <w:color w:val="000000" w:themeColor="text1"/>
          <w:kern w:val="24"/>
          <w:sz w:val="22"/>
          <w:szCs w:val="22"/>
        </w:rPr>
      </w:pPr>
    </w:p>
    <w:p w14:paraId="66AD35E6" w14:textId="77777777" w:rsidR="00E82E10" w:rsidRPr="00493A9B" w:rsidRDefault="00E82E10" w:rsidP="00493A9B">
      <w:pPr>
        <w:autoSpaceDE w:val="0"/>
        <w:autoSpaceDN w:val="0"/>
        <w:adjustRightInd w:val="0"/>
        <w:rPr>
          <w:rFonts w:eastAsia="MS PGothic"/>
          <w:bCs/>
          <w:color w:val="000000" w:themeColor="text1"/>
          <w:kern w:val="24"/>
          <w:sz w:val="22"/>
          <w:szCs w:val="22"/>
        </w:rPr>
      </w:pPr>
    </w:p>
    <w:p w14:paraId="1DF99C96" w14:textId="77777777" w:rsidR="00E82E10" w:rsidRPr="00493A9B" w:rsidRDefault="00E82E10" w:rsidP="00493A9B">
      <w:pPr>
        <w:autoSpaceDE w:val="0"/>
        <w:autoSpaceDN w:val="0"/>
        <w:adjustRightInd w:val="0"/>
        <w:rPr>
          <w:rFonts w:eastAsia="MS PGothic"/>
          <w:bCs/>
          <w:color w:val="000000" w:themeColor="text1"/>
          <w:kern w:val="24"/>
          <w:sz w:val="22"/>
          <w:szCs w:val="22"/>
        </w:rPr>
      </w:pPr>
    </w:p>
    <w:p w14:paraId="0BF8ECC7" w14:textId="77777777" w:rsidR="00E82E10" w:rsidRPr="00493A9B" w:rsidRDefault="00E82E10" w:rsidP="00493A9B">
      <w:pPr>
        <w:autoSpaceDE w:val="0"/>
        <w:autoSpaceDN w:val="0"/>
        <w:adjustRightInd w:val="0"/>
        <w:rPr>
          <w:rFonts w:eastAsia="MS PGothic"/>
          <w:bCs/>
          <w:color w:val="000000" w:themeColor="text1"/>
          <w:kern w:val="24"/>
          <w:sz w:val="22"/>
          <w:szCs w:val="22"/>
        </w:rPr>
      </w:pPr>
    </w:p>
    <w:p w14:paraId="67A0504D" w14:textId="77777777" w:rsidR="00E82E10" w:rsidRPr="00493A9B" w:rsidRDefault="00E82E10" w:rsidP="00493A9B">
      <w:pPr>
        <w:autoSpaceDE w:val="0"/>
        <w:autoSpaceDN w:val="0"/>
        <w:adjustRightInd w:val="0"/>
        <w:rPr>
          <w:rFonts w:eastAsia="MS PGothic"/>
          <w:bCs/>
          <w:color w:val="000000" w:themeColor="text1"/>
          <w:kern w:val="24"/>
          <w:sz w:val="22"/>
          <w:szCs w:val="22"/>
        </w:rPr>
      </w:pPr>
    </w:p>
    <w:p w14:paraId="0C359B27" w14:textId="77777777" w:rsidR="00E82E10" w:rsidRPr="00493A9B" w:rsidRDefault="00E82E10" w:rsidP="00493A9B">
      <w:pPr>
        <w:autoSpaceDE w:val="0"/>
        <w:autoSpaceDN w:val="0"/>
        <w:adjustRightInd w:val="0"/>
        <w:rPr>
          <w:rFonts w:eastAsia="MS PGothic"/>
          <w:bCs/>
          <w:color w:val="000000" w:themeColor="text1"/>
          <w:kern w:val="24"/>
          <w:sz w:val="22"/>
          <w:szCs w:val="22"/>
        </w:rPr>
      </w:pPr>
    </w:p>
    <w:p w14:paraId="7F8DE056" w14:textId="77777777" w:rsidR="007E113D" w:rsidRPr="00493A9B" w:rsidRDefault="007E113D" w:rsidP="00493A9B">
      <w:pPr>
        <w:autoSpaceDE w:val="0"/>
        <w:autoSpaceDN w:val="0"/>
        <w:adjustRightInd w:val="0"/>
        <w:rPr>
          <w:rFonts w:eastAsia="MS PGothic"/>
          <w:bCs/>
          <w:color w:val="000000" w:themeColor="text1"/>
          <w:kern w:val="24"/>
          <w:sz w:val="22"/>
          <w:szCs w:val="22"/>
        </w:rPr>
      </w:pPr>
    </w:p>
    <w:p w14:paraId="00E433CA" w14:textId="77777777" w:rsidR="007E113D" w:rsidRPr="00493A9B" w:rsidRDefault="007E113D" w:rsidP="00493A9B">
      <w:pPr>
        <w:autoSpaceDE w:val="0"/>
        <w:autoSpaceDN w:val="0"/>
        <w:adjustRightInd w:val="0"/>
        <w:rPr>
          <w:rFonts w:eastAsia="MS PGothic"/>
          <w:bCs/>
          <w:color w:val="000000" w:themeColor="text1"/>
          <w:kern w:val="24"/>
          <w:sz w:val="22"/>
          <w:szCs w:val="22"/>
        </w:rPr>
      </w:pPr>
    </w:p>
    <w:p w14:paraId="4DA37944" w14:textId="77777777" w:rsidR="007E113D" w:rsidRPr="00493A9B" w:rsidRDefault="007E113D" w:rsidP="00493A9B">
      <w:pPr>
        <w:autoSpaceDE w:val="0"/>
        <w:autoSpaceDN w:val="0"/>
        <w:adjustRightInd w:val="0"/>
        <w:rPr>
          <w:rFonts w:eastAsia="MS PGothic"/>
          <w:bCs/>
          <w:color w:val="000000" w:themeColor="text1"/>
          <w:kern w:val="24"/>
          <w:sz w:val="22"/>
          <w:szCs w:val="22"/>
        </w:rPr>
      </w:pPr>
    </w:p>
    <w:p w14:paraId="136FF7FB" w14:textId="77777777" w:rsidR="007E113D" w:rsidRPr="00493A9B" w:rsidRDefault="007E113D" w:rsidP="00493A9B">
      <w:pPr>
        <w:autoSpaceDE w:val="0"/>
        <w:autoSpaceDN w:val="0"/>
        <w:adjustRightInd w:val="0"/>
        <w:rPr>
          <w:rFonts w:eastAsia="MS PGothic"/>
          <w:bCs/>
          <w:color w:val="000000" w:themeColor="text1"/>
          <w:kern w:val="24"/>
          <w:sz w:val="22"/>
          <w:szCs w:val="22"/>
        </w:rPr>
      </w:pPr>
    </w:p>
    <w:p w14:paraId="498901B2" w14:textId="77777777" w:rsidR="007E113D" w:rsidRPr="00493A9B" w:rsidRDefault="007E113D" w:rsidP="00493A9B">
      <w:pPr>
        <w:autoSpaceDE w:val="0"/>
        <w:autoSpaceDN w:val="0"/>
        <w:adjustRightInd w:val="0"/>
        <w:rPr>
          <w:rFonts w:eastAsia="MS PGothic"/>
          <w:bCs/>
          <w:color w:val="000000" w:themeColor="text1"/>
          <w:kern w:val="24"/>
          <w:sz w:val="22"/>
          <w:szCs w:val="22"/>
        </w:rPr>
      </w:pPr>
    </w:p>
    <w:p w14:paraId="2812D545" w14:textId="77777777" w:rsidR="00E82E10" w:rsidRPr="00493A9B" w:rsidRDefault="00E82E10" w:rsidP="00493A9B">
      <w:pPr>
        <w:autoSpaceDE w:val="0"/>
        <w:autoSpaceDN w:val="0"/>
        <w:adjustRightInd w:val="0"/>
        <w:rPr>
          <w:rFonts w:eastAsia="MS PGothic"/>
          <w:bCs/>
          <w:color w:val="000000" w:themeColor="text1"/>
          <w:kern w:val="24"/>
          <w:sz w:val="22"/>
          <w:szCs w:val="22"/>
        </w:rPr>
      </w:pPr>
    </w:p>
    <w:p w14:paraId="758C761B" w14:textId="77777777" w:rsidR="00E82E10" w:rsidRPr="00493A9B" w:rsidRDefault="00E82E10" w:rsidP="00493A9B">
      <w:pPr>
        <w:autoSpaceDE w:val="0"/>
        <w:autoSpaceDN w:val="0"/>
        <w:adjustRightInd w:val="0"/>
        <w:rPr>
          <w:rFonts w:eastAsia="MS PGothic"/>
          <w:bCs/>
          <w:color w:val="000000" w:themeColor="text1"/>
          <w:kern w:val="24"/>
          <w:sz w:val="22"/>
          <w:szCs w:val="22"/>
        </w:rPr>
      </w:pPr>
    </w:p>
    <w:p w14:paraId="289BD2EF" w14:textId="77777777" w:rsidR="00E82E10" w:rsidRPr="00493A9B" w:rsidRDefault="00E82E10" w:rsidP="00493A9B">
      <w:pPr>
        <w:autoSpaceDE w:val="0"/>
        <w:autoSpaceDN w:val="0"/>
        <w:adjustRightInd w:val="0"/>
        <w:jc w:val="center"/>
        <w:rPr>
          <w:rFonts w:eastAsia="MS PGothic"/>
          <w:bCs/>
          <w:color w:val="000000" w:themeColor="text1"/>
          <w:kern w:val="24"/>
          <w:sz w:val="22"/>
          <w:szCs w:val="22"/>
        </w:rPr>
      </w:pPr>
    </w:p>
    <w:p w14:paraId="7CF7EEAA" w14:textId="5969189C" w:rsidR="00D732FD" w:rsidRPr="00493A9B" w:rsidRDefault="007E113D" w:rsidP="00493A9B">
      <w:pPr>
        <w:autoSpaceDE w:val="0"/>
        <w:autoSpaceDN w:val="0"/>
        <w:adjustRightInd w:val="0"/>
        <w:jc w:val="center"/>
        <w:rPr>
          <w:rFonts w:eastAsia="MS PGothic"/>
          <w:b/>
          <w:bCs/>
          <w:color w:val="000000" w:themeColor="text1"/>
          <w:kern w:val="24"/>
          <w:sz w:val="22"/>
          <w:szCs w:val="22"/>
        </w:rPr>
      </w:pPr>
      <w:r>
        <w:rPr>
          <w:b/>
          <w:color w:val="000000" w:themeColor="text1"/>
          <w:sz w:val="22"/>
        </w:rPr>
        <w:t>PLANO DE TRABALHO DA</w:t>
      </w:r>
    </w:p>
    <w:p w14:paraId="4E8BF9C6" w14:textId="77777777" w:rsidR="00E82E10" w:rsidRPr="00493A9B" w:rsidRDefault="00E82E10" w:rsidP="00493A9B">
      <w:pPr>
        <w:autoSpaceDE w:val="0"/>
        <w:autoSpaceDN w:val="0"/>
        <w:adjustRightInd w:val="0"/>
        <w:jc w:val="center"/>
        <w:rPr>
          <w:rFonts w:eastAsia="MS PGothic"/>
          <w:b/>
          <w:bCs/>
          <w:color w:val="000000" w:themeColor="text1"/>
          <w:kern w:val="24"/>
          <w:sz w:val="22"/>
          <w:szCs w:val="22"/>
        </w:rPr>
      </w:pPr>
    </w:p>
    <w:p w14:paraId="6AFA113F" w14:textId="77777777" w:rsidR="007E113D" w:rsidRPr="00493A9B" w:rsidRDefault="007E113D" w:rsidP="00493A9B">
      <w:pPr>
        <w:autoSpaceDE w:val="0"/>
        <w:autoSpaceDN w:val="0"/>
        <w:adjustRightInd w:val="0"/>
        <w:jc w:val="center"/>
        <w:rPr>
          <w:rFonts w:eastAsia="MS PGothic"/>
          <w:b/>
          <w:bCs/>
          <w:color w:val="000000" w:themeColor="text1"/>
          <w:kern w:val="24"/>
          <w:sz w:val="22"/>
          <w:szCs w:val="22"/>
        </w:rPr>
      </w:pPr>
      <w:r>
        <w:rPr>
          <w:b/>
          <w:color w:val="000000" w:themeColor="text1"/>
          <w:sz w:val="22"/>
        </w:rPr>
        <w:t>SECRETARIA EXECUTIVA DE DESENVOLVIMENTO INTEGRAL (SEDI)</w:t>
      </w:r>
    </w:p>
    <w:p w14:paraId="16748272" w14:textId="77777777" w:rsidR="00E82E10" w:rsidRPr="00493A9B" w:rsidRDefault="00E82E10" w:rsidP="00493A9B">
      <w:pPr>
        <w:autoSpaceDE w:val="0"/>
        <w:autoSpaceDN w:val="0"/>
        <w:adjustRightInd w:val="0"/>
        <w:jc w:val="center"/>
        <w:rPr>
          <w:rFonts w:eastAsia="MS PGothic"/>
          <w:b/>
          <w:bCs/>
          <w:color w:val="000000" w:themeColor="text1"/>
          <w:kern w:val="24"/>
          <w:sz w:val="22"/>
          <w:szCs w:val="22"/>
        </w:rPr>
      </w:pPr>
    </w:p>
    <w:p w14:paraId="0EBCF9E7" w14:textId="77777777" w:rsidR="007E113D" w:rsidRPr="00493A9B" w:rsidRDefault="007E113D" w:rsidP="00493A9B">
      <w:pPr>
        <w:autoSpaceDE w:val="0"/>
        <w:autoSpaceDN w:val="0"/>
        <w:adjustRightInd w:val="0"/>
        <w:jc w:val="center"/>
        <w:rPr>
          <w:rFonts w:eastAsia="MS PGothic"/>
          <w:b/>
          <w:bCs/>
          <w:color w:val="000000" w:themeColor="text1"/>
          <w:kern w:val="24"/>
          <w:sz w:val="22"/>
          <w:szCs w:val="22"/>
        </w:rPr>
      </w:pPr>
      <w:r>
        <w:rPr>
          <w:b/>
          <w:color w:val="000000" w:themeColor="text1"/>
          <w:sz w:val="22"/>
        </w:rPr>
        <w:t>janeiro a dezembro de 2021</w:t>
      </w:r>
    </w:p>
    <w:p w14:paraId="02CBC606" w14:textId="2FE1F609" w:rsidR="007E113D" w:rsidRDefault="007E113D" w:rsidP="00493A9B">
      <w:pPr>
        <w:autoSpaceDE w:val="0"/>
        <w:autoSpaceDN w:val="0"/>
        <w:adjustRightInd w:val="0"/>
        <w:jc w:val="center"/>
        <w:rPr>
          <w:rFonts w:eastAsia="MS PGothic"/>
          <w:bCs/>
          <w:color w:val="000000" w:themeColor="text1"/>
          <w:kern w:val="24"/>
          <w:sz w:val="22"/>
          <w:szCs w:val="22"/>
        </w:rPr>
      </w:pPr>
    </w:p>
    <w:p w14:paraId="732BBAEA" w14:textId="5884FBA0" w:rsidR="000C7BC2" w:rsidRPr="009A4643" w:rsidRDefault="000C7BC2" w:rsidP="000C7BC2">
      <w:pPr>
        <w:jc w:val="center"/>
      </w:pPr>
      <w:r w:rsidRPr="009A4643">
        <w:t>(Aprovad</w:t>
      </w:r>
      <w:r>
        <w:t>o</w:t>
      </w:r>
      <w:r w:rsidRPr="009A4643">
        <w:t xml:space="preserve"> na sessão ordinária de </w:t>
      </w:r>
      <w:r>
        <w:t>2</w:t>
      </w:r>
      <w:r>
        <w:t xml:space="preserve">3 de fevereiro </w:t>
      </w:r>
      <w:r w:rsidRPr="009A4643">
        <w:t>de 20</w:t>
      </w:r>
      <w:r>
        <w:t>2</w:t>
      </w:r>
      <w:r>
        <w:t>1</w:t>
      </w:r>
      <w:r w:rsidRPr="009A4643">
        <w:t>)</w:t>
      </w:r>
    </w:p>
    <w:p w14:paraId="0AA87730" w14:textId="77777777" w:rsidR="000C7BC2" w:rsidRPr="00493A9B" w:rsidRDefault="000C7BC2" w:rsidP="00493A9B">
      <w:pPr>
        <w:autoSpaceDE w:val="0"/>
        <w:autoSpaceDN w:val="0"/>
        <w:adjustRightInd w:val="0"/>
        <w:jc w:val="center"/>
        <w:rPr>
          <w:rFonts w:eastAsia="MS PGothic"/>
          <w:bCs/>
          <w:color w:val="000000" w:themeColor="text1"/>
          <w:kern w:val="24"/>
          <w:sz w:val="22"/>
          <w:szCs w:val="22"/>
        </w:rPr>
      </w:pPr>
    </w:p>
    <w:p w14:paraId="5E788302" w14:textId="77777777" w:rsidR="007E113D" w:rsidRPr="00493A9B" w:rsidRDefault="007E113D" w:rsidP="00493A9B">
      <w:pPr>
        <w:autoSpaceDE w:val="0"/>
        <w:autoSpaceDN w:val="0"/>
        <w:adjustRightInd w:val="0"/>
        <w:rPr>
          <w:rFonts w:eastAsia="MS PGothic"/>
          <w:b/>
          <w:bCs/>
          <w:color w:val="000000" w:themeColor="text1"/>
          <w:kern w:val="24"/>
          <w:sz w:val="22"/>
          <w:szCs w:val="22"/>
        </w:rPr>
        <w:sectPr w:rsidR="007E113D" w:rsidRPr="00493A9B" w:rsidSect="00390D1B">
          <w:headerReference w:type="default" r:id="rId10"/>
          <w:pgSz w:w="12240" w:h="15840" w:code="1"/>
          <w:pgMar w:top="2160" w:right="1570" w:bottom="1296" w:left="1699" w:header="1296" w:footer="1296" w:gutter="0"/>
          <w:cols w:space="720"/>
          <w:titlePg/>
          <w:docGrid w:linePitch="360"/>
        </w:sectPr>
      </w:pPr>
    </w:p>
    <w:p w14:paraId="5046D1B9" w14:textId="00B61E2B" w:rsidR="007E113D" w:rsidRPr="00493A9B" w:rsidRDefault="007E113D" w:rsidP="00493A9B">
      <w:pPr>
        <w:autoSpaceDE w:val="0"/>
        <w:autoSpaceDN w:val="0"/>
        <w:adjustRightInd w:val="0"/>
        <w:jc w:val="center"/>
        <w:rPr>
          <w:rFonts w:eastAsia="MS PGothic"/>
          <w:b/>
          <w:bCs/>
          <w:color w:val="000000" w:themeColor="text1"/>
          <w:kern w:val="24"/>
          <w:sz w:val="22"/>
          <w:szCs w:val="22"/>
        </w:rPr>
      </w:pPr>
      <w:r>
        <w:rPr>
          <w:b/>
          <w:color w:val="000000" w:themeColor="text1"/>
          <w:sz w:val="22"/>
        </w:rPr>
        <w:lastRenderedPageBreak/>
        <w:t>PLANO DE TRABALHO DA</w:t>
      </w:r>
    </w:p>
    <w:p w14:paraId="47E88990" w14:textId="77777777" w:rsidR="00E82E10" w:rsidRPr="00493A9B" w:rsidRDefault="00E82E10" w:rsidP="00493A9B">
      <w:pPr>
        <w:autoSpaceDE w:val="0"/>
        <w:autoSpaceDN w:val="0"/>
        <w:adjustRightInd w:val="0"/>
        <w:jc w:val="center"/>
        <w:rPr>
          <w:rFonts w:eastAsia="MS PGothic"/>
          <w:b/>
          <w:bCs/>
          <w:color w:val="000000" w:themeColor="text1"/>
          <w:kern w:val="24"/>
          <w:sz w:val="22"/>
          <w:szCs w:val="22"/>
        </w:rPr>
      </w:pPr>
      <w:r>
        <w:rPr>
          <w:b/>
          <w:color w:val="000000" w:themeColor="text1"/>
          <w:sz w:val="22"/>
        </w:rPr>
        <w:t>SECRETARIA EXECUTIVA DE DESENVOLVIMENTO INTEGRAL (SEDI)</w:t>
      </w:r>
    </w:p>
    <w:p w14:paraId="3EF22D9B" w14:textId="77777777" w:rsidR="007E113D" w:rsidRPr="00493A9B" w:rsidRDefault="007E113D" w:rsidP="00493A9B">
      <w:pPr>
        <w:autoSpaceDE w:val="0"/>
        <w:autoSpaceDN w:val="0"/>
        <w:adjustRightInd w:val="0"/>
        <w:jc w:val="center"/>
        <w:rPr>
          <w:rFonts w:eastAsia="MS PGothic"/>
          <w:b/>
          <w:bCs/>
          <w:color w:val="000000" w:themeColor="text1"/>
          <w:kern w:val="24"/>
          <w:sz w:val="22"/>
          <w:szCs w:val="22"/>
        </w:rPr>
      </w:pPr>
    </w:p>
    <w:p w14:paraId="6BCC7A68" w14:textId="77777777" w:rsidR="007E113D" w:rsidRPr="00493A9B" w:rsidRDefault="007E113D" w:rsidP="00493A9B">
      <w:pPr>
        <w:autoSpaceDE w:val="0"/>
        <w:autoSpaceDN w:val="0"/>
        <w:adjustRightInd w:val="0"/>
        <w:jc w:val="center"/>
        <w:rPr>
          <w:rFonts w:eastAsia="MS PGothic"/>
          <w:b/>
          <w:bCs/>
          <w:color w:val="000000" w:themeColor="text1"/>
          <w:kern w:val="24"/>
          <w:sz w:val="22"/>
          <w:szCs w:val="22"/>
        </w:rPr>
      </w:pPr>
      <w:r>
        <w:rPr>
          <w:b/>
          <w:color w:val="000000" w:themeColor="text1"/>
          <w:sz w:val="22"/>
        </w:rPr>
        <w:t>janeiro a dezembro de 2021</w:t>
      </w:r>
    </w:p>
    <w:p w14:paraId="1E80E597" w14:textId="77777777" w:rsidR="007E113D" w:rsidRPr="00493A9B" w:rsidRDefault="007E113D" w:rsidP="00493A9B">
      <w:pPr>
        <w:autoSpaceDE w:val="0"/>
        <w:autoSpaceDN w:val="0"/>
        <w:adjustRightInd w:val="0"/>
        <w:rPr>
          <w:rFonts w:eastAsia="MS PGothic"/>
          <w:bCs/>
          <w:color w:val="000000" w:themeColor="text1"/>
          <w:kern w:val="24"/>
          <w:sz w:val="22"/>
          <w:szCs w:val="22"/>
        </w:rPr>
      </w:pPr>
    </w:p>
    <w:p w14:paraId="51F4846E" w14:textId="77777777" w:rsidR="00E82E10" w:rsidRPr="00493A9B" w:rsidRDefault="00E82E10" w:rsidP="00493A9B">
      <w:pPr>
        <w:autoSpaceDE w:val="0"/>
        <w:autoSpaceDN w:val="0"/>
        <w:adjustRightInd w:val="0"/>
        <w:rPr>
          <w:rFonts w:eastAsia="MS PGothic"/>
          <w:bCs/>
          <w:color w:val="000000" w:themeColor="text1"/>
          <w:kern w:val="24"/>
          <w:sz w:val="22"/>
          <w:szCs w:val="22"/>
        </w:rPr>
      </w:pPr>
    </w:p>
    <w:p w14:paraId="2C89611B" w14:textId="77777777" w:rsidR="00E82E10" w:rsidRPr="00493A9B" w:rsidRDefault="00E82E10" w:rsidP="00493A9B">
      <w:pPr>
        <w:autoSpaceDE w:val="0"/>
        <w:autoSpaceDN w:val="0"/>
        <w:adjustRightInd w:val="0"/>
        <w:rPr>
          <w:rFonts w:eastAsia="MS PGothic"/>
          <w:bCs/>
          <w:color w:val="000000" w:themeColor="text1"/>
          <w:kern w:val="24"/>
          <w:sz w:val="22"/>
          <w:szCs w:val="22"/>
        </w:rPr>
      </w:pPr>
    </w:p>
    <w:p w14:paraId="2D5F06ED" w14:textId="77777777" w:rsidR="00E82E10" w:rsidRPr="00493A9B" w:rsidRDefault="007D43B5" w:rsidP="00493A9B">
      <w:pPr>
        <w:jc w:val="both"/>
        <w:rPr>
          <w:b/>
          <w:bCs/>
          <w:color w:val="000000" w:themeColor="text1"/>
          <w:sz w:val="22"/>
          <w:szCs w:val="22"/>
        </w:rPr>
      </w:pPr>
      <w:r>
        <w:rPr>
          <w:b/>
          <w:color w:val="000000" w:themeColor="text1"/>
          <w:sz w:val="22"/>
        </w:rPr>
        <w:t>INTRODUÇÃO</w:t>
      </w:r>
    </w:p>
    <w:p w14:paraId="31997BD4" w14:textId="77777777" w:rsidR="00A60D0C" w:rsidRPr="00493A9B" w:rsidRDefault="00A60D0C" w:rsidP="00493A9B">
      <w:pPr>
        <w:jc w:val="both"/>
        <w:rPr>
          <w:b/>
          <w:bCs/>
          <w:color w:val="000000" w:themeColor="text1"/>
          <w:sz w:val="22"/>
          <w:szCs w:val="22"/>
        </w:rPr>
      </w:pPr>
    </w:p>
    <w:p w14:paraId="683043AA" w14:textId="77777777" w:rsidR="00A60D0C" w:rsidRPr="00493A9B" w:rsidRDefault="00A60D0C" w:rsidP="00493A9B">
      <w:pPr>
        <w:jc w:val="both"/>
        <w:rPr>
          <w:b/>
          <w:bCs/>
          <w:color w:val="000000" w:themeColor="text1"/>
          <w:sz w:val="22"/>
          <w:szCs w:val="22"/>
        </w:rPr>
      </w:pPr>
    </w:p>
    <w:p w14:paraId="1EA0ADD2" w14:textId="65B00074" w:rsidR="005B7924" w:rsidRPr="00493A9B" w:rsidRDefault="00397E4F" w:rsidP="00493A9B">
      <w:pPr>
        <w:ind w:firstLine="720"/>
        <w:jc w:val="both"/>
        <w:rPr>
          <w:bCs/>
          <w:color w:val="000000" w:themeColor="text1"/>
          <w:sz w:val="22"/>
          <w:szCs w:val="22"/>
        </w:rPr>
      </w:pPr>
      <w:r>
        <w:rPr>
          <w:color w:val="000000" w:themeColor="text1"/>
          <w:sz w:val="22"/>
        </w:rPr>
        <w:t xml:space="preserve">O plano de trabalho da Secretaria Executiva de Desenvolvimento Integral (SEDI) para 2021 foi elaborado tendo como pano de fundo os desafios que os Estados membros enfrentam em seus esforços de recuperação da convulsão sanitária e econômica provocada pela pandemia de covid-19. Com isso em mente e apesar da necessidade de operar de maneira remota, o plano de trabalho foi concebido para cumprir a missão central da SEDI de fortalecer a capacidade humana, institucional e técnica dos Estados membros para assegurar seu desenvolvimento sustentável, aproveitando, para tanto, o poder da cooperação e das parcerias multissetoriais. </w:t>
      </w:r>
    </w:p>
    <w:p w14:paraId="15391BB2" w14:textId="77777777" w:rsidR="005B7924" w:rsidRPr="00493A9B" w:rsidRDefault="005B7924" w:rsidP="00493A9B">
      <w:pPr>
        <w:jc w:val="both"/>
        <w:rPr>
          <w:bCs/>
          <w:color w:val="000000" w:themeColor="text1"/>
          <w:sz w:val="22"/>
          <w:szCs w:val="22"/>
        </w:rPr>
      </w:pPr>
    </w:p>
    <w:p w14:paraId="4AE83D4D" w14:textId="77777777" w:rsidR="00E82E10" w:rsidRPr="00493A9B" w:rsidRDefault="007D43B5" w:rsidP="00493A9B">
      <w:pPr>
        <w:ind w:firstLine="720"/>
        <w:jc w:val="both"/>
        <w:rPr>
          <w:bCs/>
          <w:color w:val="000000" w:themeColor="text1"/>
          <w:sz w:val="22"/>
          <w:szCs w:val="22"/>
        </w:rPr>
      </w:pPr>
      <w:r>
        <w:rPr>
          <w:color w:val="000000" w:themeColor="text1"/>
          <w:sz w:val="22"/>
        </w:rPr>
        <w:t>Todas as ações apresentadas respondem a mandatos ministeriais e da Assembleia Geral específicos para a Secretaria. Os mandatos foram traduzidos em programas, projetos e atividades que estão alinhados com o Plano Estratégico Integral da OEA 2016–2021 e se concentram em cinco (5) áreas de ação.</w:t>
      </w:r>
    </w:p>
    <w:p w14:paraId="4A84914F" w14:textId="77777777" w:rsidR="00E82E10" w:rsidRPr="00493A9B" w:rsidRDefault="00E82E10" w:rsidP="00493A9B">
      <w:pPr>
        <w:jc w:val="both"/>
        <w:rPr>
          <w:b/>
          <w:bCs/>
          <w:color w:val="000000" w:themeColor="text1"/>
          <w:sz w:val="22"/>
          <w:szCs w:val="22"/>
        </w:rPr>
      </w:pPr>
    </w:p>
    <w:p w14:paraId="5AC75179" w14:textId="77777777" w:rsidR="00A60D0C" w:rsidRPr="00493A9B" w:rsidRDefault="00AC76D0" w:rsidP="00493A9B">
      <w:pPr>
        <w:jc w:val="both"/>
        <w:rPr>
          <w:b/>
          <w:bCs/>
          <w:color w:val="000000" w:themeColor="text1"/>
          <w:sz w:val="22"/>
          <w:szCs w:val="22"/>
        </w:rPr>
      </w:pPr>
      <w:r>
        <w:rPr>
          <w:b/>
          <w:color w:val="000000" w:themeColor="text1"/>
          <w:sz w:val="22"/>
        </w:rPr>
        <w:t>Áreas de Ação:</w:t>
      </w:r>
    </w:p>
    <w:p w14:paraId="2B8D7DA1" w14:textId="77777777" w:rsidR="00A60D0C" w:rsidRPr="00493A9B" w:rsidRDefault="00A60D0C" w:rsidP="00493A9B">
      <w:pPr>
        <w:jc w:val="both"/>
        <w:rPr>
          <w:b/>
          <w:bCs/>
          <w:color w:val="000000" w:themeColor="text1"/>
          <w:sz w:val="22"/>
          <w:szCs w:val="22"/>
        </w:rPr>
      </w:pPr>
    </w:p>
    <w:p w14:paraId="6E1947D3" w14:textId="77777777" w:rsidR="00A60D0C" w:rsidRPr="00493A9B" w:rsidRDefault="00A60D0C" w:rsidP="00493A9B">
      <w:pPr>
        <w:pStyle w:val="ListParagraph"/>
        <w:numPr>
          <w:ilvl w:val="0"/>
          <w:numId w:val="1"/>
        </w:numPr>
        <w:spacing w:after="160" w:line="259" w:lineRule="auto"/>
        <w:ind w:left="1440" w:hanging="720"/>
        <w:contextualSpacing/>
        <w:jc w:val="both"/>
        <w:rPr>
          <w:color w:val="000000" w:themeColor="text1"/>
          <w:sz w:val="22"/>
          <w:szCs w:val="22"/>
        </w:rPr>
      </w:pPr>
      <w:r>
        <w:rPr>
          <w:b/>
          <w:color w:val="000000" w:themeColor="text1"/>
          <w:sz w:val="22"/>
        </w:rPr>
        <w:t>Promover economias inclusivas e competitivas:</w:t>
      </w:r>
      <w:r>
        <w:rPr>
          <w:color w:val="000000" w:themeColor="text1"/>
          <w:sz w:val="22"/>
        </w:rPr>
        <w:t xml:space="preserve"> Apoiar o crescimento econômico, a competitividade, a produtividade e a inovação, enfatizando as </w:t>
      </w:r>
      <w:r w:rsidR="00AC76D0">
        <w:rPr>
          <w:color w:val="000000" w:themeColor="text1"/>
          <w:sz w:val="22"/>
        </w:rPr>
        <w:t>micro, pequenas e médias empresas (</w:t>
      </w:r>
      <w:r>
        <w:rPr>
          <w:color w:val="000000" w:themeColor="text1"/>
          <w:sz w:val="22"/>
        </w:rPr>
        <w:t>MPMEs</w:t>
      </w:r>
      <w:r w:rsidR="00AC76D0">
        <w:rPr>
          <w:color w:val="000000" w:themeColor="text1"/>
          <w:sz w:val="22"/>
        </w:rPr>
        <w:t>)</w:t>
      </w:r>
      <w:r>
        <w:rPr>
          <w:color w:val="000000" w:themeColor="text1"/>
          <w:sz w:val="22"/>
        </w:rPr>
        <w:t xml:space="preserve"> </w:t>
      </w:r>
    </w:p>
    <w:p w14:paraId="5AE56EA6" w14:textId="77777777" w:rsidR="00A60D0C" w:rsidRPr="00493A9B" w:rsidRDefault="00A60D0C" w:rsidP="00493A9B">
      <w:pPr>
        <w:pStyle w:val="ListParagraph"/>
        <w:numPr>
          <w:ilvl w:val="0"/>
          <w:numId w:val="1"/>
        </w:numPr>
        <w:spacing w:after="160" w:line="259" w:lineRule="auto"/>
        <w:ind w:left="1440" w:hanging="720"/>
        <w:contextualSpacing/>
        <w:jc w:val="both"/>
        <w:rPr>
          <w:color w:val="000000" w:themeColor="text1"/>
          <w:sz w:val="22"/>
          <w:szCs w:val="22"/>
        </w:rPr>
      </w:pPr>
      <w:r>
        <w:rPr>
          <w:b/>
          <w:color w:val="000000" w:themeColor="text1"/>
          <w:sz w:val="22"/>
        </w:rPr>
        <w:t>Desenvolvimento sustentável e meio ambiente:</w:t>
      </w:r>
      <w:r>
        <w:rPr>
          <w:color w:val="000000" w:themeColor="text1"/>
          <w:sz w:val="22"/>
        </w:rPr>
        <w:t xml:space="preserve"> Construir sustentabilidade e resiliência nas Américas</w:t>
      </w:r>
    </w:p>
    <w:p w14:paraId="2ED2C008" w14:textId="77777777" w:rsidR="00A60D0C" w:rsidRPr="00493A9B" w:rsidRDefault="00A60D0C" w:rsidP="00493A9B">
      <w:pPr>
        <w:pStyle w:val="ListParagraph"/>
        <w:numPr>
          <w:ilvl w:val="0"/>
          <w:numId w:val="1"/>
        </w:numPr>
        <w:spacing w:after="160" w:line="259" w:lineRule="auto"/>
        <w:ind w:left="1440" w:hanging="720"/>
        <w:contextualSpacing/>
        <w:jc w:val="both"/>
        <w:rPr>
          <w:color w:val="000000" w:themeColor="text1"/>
          <w:sz w:val="22"/>
          <w:szCs w:val="22"/>
        </w:rPr>
      </w:pPr>
      <w:r>
        <w:rPr>
          <w:b/>
          <w:color w:val="000000" w:themeColor="text1"/>
          <w:sz w:val="22"/>
        </w:rPr>
        <w:t>Promover a educação e o desenvolvimento humano nas Américas:</w:t>
      </w:r>
      <w:r>
        <w:rPr>
          <w:color w:val="000000" w:themeColor="text1"/>
          <w:sz w:val="22"/>
        </w:rPr>
        <w:t xml:space="preserve"> Reduzir a pobreza, a desigualdade e a exclusão mediante a melhoria do acesso à educação de qualidade e ao trabalho decente</w:t>
      </w:r>
    </w:p>
    <w:p w14:paraId="661DB1B2" w14:textId="77777777" w:rsidR="00A60D0C" w:rsidRPr="00493A9B" w:rsidRDefault="00A60D0C" w:rsidP="00493A9B">
      <w:pPr>
        <w:pStyle w:val="ListParagraph"/>
        <w:numPr>
          <w:ilvl w:val="0"/>
          <w:numId w:val="1"/>
        </w:numPr>
        <w:spacing w:after="160" w:line="259" w:lineRule="auto"/>
        <w:ind w:left="1440" w:hanging="720"/>
        <w:contextualSpacing/>
        <w:jc w:val="both"/>
        <w:rPr>
          <w:color w:val="000000" w:themeColor="text1"/>
          <w:sz w:val="22"/>
          <w:szCs w:val="22"/>
        </w:rPr>
      </w:pPr>
      <w:r>
        <w:rPr>
          <w:b/>
          <w:color w:val="000000" w:themeColor="text1"/>
          <w:sz w:val="22"/>
        </w:rPr>
        <w:t>Promover trabalho decente, digno e produtivo para todos:</w:t>
      </w:r>
      <w:r>
        <w:rPr>
          <w:color w:val="000000" w:themeColor="text1"/>
          <w:sz w:val="22"/>
        </w:rPr>
        <w:t xml:space="preserve"> Fortalec</w:t>
      </w:r>
      <w:r w:rsidR="00561711">
        <w:rPr>
          <w:color w:val="000000" w:themeColor="text1"/>
          <w:sz w:val="22"/>
        </w:rPr>
        <w:t>er</w:t>
      </w:r>
      <w:r>
        <w:rPr>
          <w:color w:val="000000" w:themeColor="text1"/>
          <w:sz w:val="22"/>
        </w:rPr>
        <w:t xml:space="preserve"> a administração trabalhista nas Américas</w:t>
      </w:r>
    </w:p>
    <w:p w14:paraId="1C36DBBF" w14:textId="77777777" w:rsidR="00A60D0C" w:rsidRPr="00493A9B" w:rsidRDefault="00A60D0C" w:rsidP="00493A9B">
      <w:pPr>
        <w:pStyle w:val="ListParagraph"/>
        <w:numPr>
          <w:ilvl w:val="0"/>
          <w:numId w:val="1"/>
        </w:numPr>
        <w:spacing w:after="160" w:line="259" w:lineRule="auto"/>
        <w:ind w:left="1440" w:hanging="720"/>
        <w:contextualSpacing/>
        <w:jc w:val="both"/>
        <w:rPr>
          <w:b/>
          <w:bCs/>
          <w:color w:val="000000" w:themeColor="text1"/>
          <w:sz w:val="22"/>
          <w:szCs w:val="22"/>
        </w:rPr>
      </w:pPr>
      <w:r>
        <w:rPr>
          <w:b/>
          <w:color w:val="000000" w:themeColor="text1"/>
          <w:sz w:val="22"/>
        </w:rPr>
        <w:t>Fomentar a cooperação para o desenvolvimento e estabelecer parcerias</w:t>
      </w:r>
    </w:p>
    <w:p w14:paraId="7F98FF4E" w14:textId="77777777" w:rsidR="00493A9B" w:rsidRPr="00493A9B" w:rsidRDefault="00493A9B" w:rsidP="00493A9B">
      <w:pPr>
        <w:jc w:val="both"/>
        <w:rPr>
          <w:b/>
          <w:bCs/>
          <w:color w:val="000000" w:themeColor="text1"/>
          <w:sz w:val="22"/>
          <w:szCs w:val="22"/>
        </w:rPr>
      </w:pPr>
    </w:p>
    <w:p w14:paraId="2B875A22" w14:textId="77777777" w:rsidR="00A60D0C" w:rsidRPr="00493A9B" w:rsidRDefault="00A60D0C" w:rsidP="00493A9B">
      <w:pPr>
        <w:jc w:val="both"/>
        <w:rPr>
          <w:b/>
          <w:bCs/>
          <w:color w:val="000000" w:themeColor="text1"/>
          <w:sz w:val="22"/>
          <w:szCs w:val="22"/>
        </w:rPr>
      </w:pPr>
      <w:r>
        <w:rPr>
          <w:b/>
          <w:color w:val="000000" w:themeColor="text1"/>
          <w:sz w:val="22"/>
        </w:rPr>
        <w:t xml:space="preserve">Abordagem comum: </w:t>
      </w:r>
    </w:p>
    <w:p w14:paraId="02999B81" w14:textId="77777777" w:rsidR="00A60D0C" w:rsidRPr="00493A9B" w:rsidRDefault="00A60D0C" w:rsidP="00493A9B">
      <w:pPr>
        <w:jc w:val="both"/>
        <w:rPr>
          <w:b/>
          <w:bCs/>
          <w:color w:val="000000" w:themeColor="text1"/>
          <w:sz w:val="22"/>
          <w:szCs w:val="22"/>
        </w:rPr>
      </w:pPr>
    </w:p>
    <w:p w14:paraId="59EF4C79" w14:textId="77777777" w:rsidR="00A60D0C" w:rsidRPr="00493A9B" w:rsidRDefault="00A60D0C" w:rsidP="00493A9B">
      <w:pPr>
        <w:ind w:firstLine="720"/>
        <w:jc w:val="both"/>
        <w:rPr>
          <w:b/>
          <w:bCs/>
          <w:color w:val="000000" w:themeColor="text1"/>
          <w:sz w:val="22"/>
          <w:szCs w:val="22"/>
        </w:rPr>
      </w:pPr>
      <w:r>
        <w:rPr>
          <w:color w:val="000000" w:themeColor="text1"/>
          <w:sz w:val="22"/>
        </w:rPr>
        <w:t xml:space="preserve">A Secretaria continuará adotando uma abordagem comum — “A SEDI UNIFICADA” —, que consiste em fazer com que todas as suas áreas trabalhem de forma holística, capitalizando os pontos fortes organizacionais e a capacidade comprovada de agregar valor para os Estados membros à medida que estes conduzem seu próprio desenvolvimento socioeconômico. </w:t>
      </w:r>
    </w:p>
    <w:p w14:paraId="4C55A908" w14:textId="77777777" w:rsidR="00A60D0C" w:rsidRPr="00493A9B" w:rsidRDefault="00A60D0C" w:rsidP="00493A9B">
      <w:pPr>
        <w:jc w:val="both"/>
        <w:rPr>
          <w:color w:val="000000" w:themeColor="text1"/>
          <w:sz w:val="22"/>
          <w:szCs w:val="22"/>
        </w:rPr>
      </w:pPr>
    </w:p>
    <w:p w14:paraId="0D42780B" w14:textId="77777777" w:rsidR="00A60D0C" w:rsidRPr="00493A9B" w:rsidRDefault="00A60D0C" w:rsidP="00493A9B">
      <w:pPr>
        <w:pStyle w:val="ListParagraph"/>
        <w:numPr>
          <w:ilvl w:val="0"/>
          <w:numId w:val="2"/>
        </w:numPr>
        <w:spacing w:after="160" w:line="259" w:lineRule="auto"/>
        <w:ind w:left="1440" w:hanging="720"/>
        <w:contextualSpacing/>
        <w:jc w:val="both"/>
        <w:rPr>
          <w:color w:val="000000" w:themeColor="text1"/>
          <w:sz w:val="22"/>
          <w:szCs w:val="22"/>
        </w:rPr>
      </w:pPr>
      <w:r>
        <w:rPr>
          <w:b/>
          <w:color w:val="000000" w:themeColor="text1"/>
          <w:sz w:val="22"/>
        </w:rPr>
        <w:t xml:space="preserve">Diálogo político </w:t>
      </w:r>
      <w:r>
        <w:rPr>
          <w:color w:val="000000" w:themeColor="text1"/>
          <w:sz w:val="22"/>
        </w:rPr>
        <w:t>orientado para a construção de consenso em torno de desafios comuns e para a formulação de soluções políticas compartilhadas.</w:t>
      </w:r>
    </w:p>
    <w:p w14:paraId="4A03F332" w14:textId="77777777" w:rsidR="00A60D0C" w:rsidRPr="00493A9B" w:rsidRDefault="00A60D0C" w:rsidP="00493A9B">
      <w:pPr>
        <w:pStyle w:val="ListParagraph"/>
        <w:numPr>
          <w:ilvl w:val="0"/>
          <w:numId w:val="2"/>
        </w:numPr>
        <w:spacing w:after="160" w:line="259" w:lineRule="auto"/>
        <w:ind w:left="1440" w:hanging="720"/>
        <w:contextualSpacing/>
        <w:jc w:val="both"/>
        <w:rPr>
          <w:color w:val="000000" w:themeColor="text1"/>
          <w:sz w:val="22"/>
          <w:szCs w:val="22"/>
        </w:rPr>
      </w:pPr>
      <w:r>
        <w:rPr>
          <w:b/>
          <w:color w:val="000000" w:themeColor="text1"/>
          <w:sz w:val="22"/>
        </w:rPr>
        <w:t xml:space="preserve">Cooperação Sul-Sul, triangular e horizontal </w:t>
      </w:r>
      <w:r>
        <w:rPr>
          <w:color w:val="000000" w:themeColor="text1"/>
          <w:sz w:val="22"/>
        </w:rPr>
        <w:t>para o compartilhamento de conhecimentos e o intercâmbio de boas práticas para acelerar o desenvolvimento.</w:t>
      </w:r>
    </w:p>
    <w:p w14:paraId="14959DA8" w14:textId="77777777" w:rsidR="00A60D0C" w:rsidRPr="00493A9B" w:rsidRDefault="00D17632" w:rsidP="00493A9B">
      <w:pPr>
        <w:pStyle w:val="ListParagraph"/>
        <w:numPr>
          <w:ilvl w:val="0"/>
          <w:numId w:val="2"/>
        </w:numPr>
        <w:spacing w:after="160" w:line="259" w:lineRule="auto"/>
        <w:ind w:left="1440" w:hanging="720"/>
        <w:contextualSpacing/>
        <w:jc w:val="both"/>
        <w:rPr>
          <w:color w:val="000000" w:themeColor="text1"/>
          <w:sz w:val="22"/>
          <w:szCs w:val="22"/>
        </w:rPr>
      </w:pPr>
      <w:r>
        <w:rPr>
          <w:b/>
          <w:color w:val="000000" w:themeColor="text1"/>
          <w:sz w:val="22"/>
        </w:rPr>
        <w:t>Parcerias multissetoriais</w:t>
      </w:r>
      <w:r>
        <w:rPr>
          <w:color w:val="000000" w:themeColor="text1"/>
          <w:sz w:val="22"/>
        </w:rPr>
        <w:t xml:space="preserve"> para alavancar o poder da colaboração e da ação conjunta.</w:t>
      </w:r>
    </w:p>
    <w:p w14:paraId="4ACDFD5D" w14:textId="77777777" w:rsidR="00A60D0C" w:rsidRPr="00493A9B" w:rsidRDefault="00A60D0C" w:rsidP="00493A9B">
      <w:pPr>
        <w:ind w:firstLine="720"/>
        <w:jc w:val="both"/>
        <w:rPr>
          <w:color w:val="000000" w:themeColor="text1"/>
          <w:sz w:val="22"/>
          <w:szCs w:val="22"/>
        </w:rPr>
      </w:pPr>
      <w:r>
        <w:rPr>
          <w:color w:val="000000" w:themeColor="text1"/>
          <w:sz w:val="22"/>
        </w:rPr>
        <w:lastRenderedPageBreak/>
        <w:t>As iniciativas e ações descritas abaixo não são exaustivas e dependem dos recursos humanos e financeiros disponíveis.   A SEDI ajustará e adaptará seus programas, projetos e atividades conforme necessário para responder às necessidades emergentes dos Estados membros, particularmente nesta era desafiadora.</w:t>
      </w:r>
    </w:p>
    <w:p w14:paraId="5B7DAFA0" w14:textId="77777777" w:rsidR="00A60D0C" w:rsidRPr="00493A9B" w:rsidRDefault="00A60D0C" w:rsidP="00493A9B">
      <w:pPr>
        <w:rPr>
          <w:b/>
          <w:color w:val="000000" w:themeColor="text1"/>
          <w:sz w:val="22"/>
          <w:szCs w:val="22"/>
          <w:u w:val="single"/>
        </w:rPr>
        <w:sectPr w:rsidR="00A60D0C" w:rsidRPr="00493A9B" w:rsidSect="00A60D0C">
          <w:pgSz w:w="12240" w:h="15840" w:code="1"/>
          <w:pgMar w:top="1296" w:right="1440" w:bottom="1296" w:left="1440" w:header="720" w:footer="360" w:gutter="0"/>
          <w:cols w:space="720"/>
          <w:titlePg/>
          <w:docGrid w:linePitch="360"/>
        </w:sectPr>
      </w:pPr>
    </w:p>
    <w:p w14:paraId="7FC77AF7" w14:textId="77777777" w:rsidR="00E82E10" w:rsidRPr="00493A9B" w:rsidRDefault="00E82E10" w:rsidP="00493A9B">
      <w:pPr>
        <w:autoSpaceDE w:val="0"/>
        <w:autoSpaceDN w:val="0"/>
        <w:adjustRightInd w:val="0"/>
        <w:rPr>
          <w:rFonts w:eastAsia="MS PGothic"/>
          <w:b/>
          <w:bCs/>
          <w:color w:val="000000" w:themeColor="text1"/>
          <w:kern w:val="24"/>
          <w:sz w:val="22"/>
          <w:szCs w:val="22"/>
          <w:u w:val="single"/>
        </w:rPr>
      </w:pPr>
      <w:r>
        <w:rPr>
          <w:b/>
          <w:color w:val="000000" w:themeColor="text1"/>
          <w:sz w:val="22"/>
          <w:u w:val="single"/>
        </w:rPr>
        <w:lastRenderedPageBreak/>
        <w:t>PLANO DE TRABALHO SEDI</w:t>
      </w:r>
      <w:r w:rsidR="00942B50">
        <w:rPr>
          <w:b/>
          <w:color w:val="000000" w:themeColor="text1"/>
          <w:sz w:val="22"/>
          <w:u w:val="single"/>
        </w:rPr>
        <w:t>/OEA</w:t>
      </w:r>
      <w:r>
        <w:rPr>
          <w:b/>
          <w:color w:val="000000" w:themeColor="text1"/>
          <w:sz w:val="22"/>
          <w:u w:val="single"/>
        </w:rPr>
        <w:t xml:space="preserve"> 2021: ATIVIDADES PLANEJADAS E RESULTADOS ESPERADOS</w:t>
      </w:r>
    </w:p>
    <w:p w14:paraId="22C560E0" w14:textId="77777777" w:rsidR="00FC3A26" w:rsidRPr="00493A9B" w:rsidRDefault="00FC3A26" w:rsidP="00493A9B">
      <w:pPr>
        <w:autoSpaceDE w:val="0"/>
        <w:autoSpaceDN w:val="0"/>
        <w:adjustRightInd w:val="0"/>
        <w:rPr>
          <w:rFonts w:eastAsia="MS PGothic"/>
          <w:b/>
          <w:bCs/>
          <w:color w:val="000000" w:themeColor="text1"/>
          <w:kern w:val="24"/>
          <w:sz w:val="22"/>
          <w:szCs w:val="22"/>
          <w:u w:val="single"/>
        </w:rPr>
      </w:pPr>
    </w:p>
    <w:p w14:paraId="092230B1" w14:textId="77777777" w:rsidR="00E82E10" w:rsidRPr="00493A9B" w:rsidRDefault="00E82E10" w:rsidP="00493A9B">
      <w:pPr>
        <w:rPr>
          <w:b/>
          <w:color w:val="000000" w:themeColor="text1"/>
          <w:sz w:val="22"/>
          <w:szCs w:val="22"/>
          <w:u w:val="single"/>
        </w:rPr>
      </w:pPr>
    </w:p>
    <w:p w14:paraId="7FB2BC6E" w14:textId="77777777" w:rsidR="007D1DC3" w:rsidRPr="00493A9B" w:rsidRDefault="00E82E10" w:rsidP="00493A9B">
      <w:pPr>
        <w:rPr>
          <w:color w:val="0000CC"/>
          <w:sz w:val="22"/>
          <w:szCs w:val="22"/>
        </w:rPr>
      </w:pPr>
      <w:r w:rsidRPr="00DA56F9">
        <w:rPr>
          <w:b/>
          <w:color w:val="1F4E79" w:themeColor="accent1" w:themeShade="80"/>
          <w:sz w:val="22"/>
        </w:rPr>
        <w:t>DEPARTAMENTO/SEÇÃO:</w:t>
      </w:r>
      <w:r w:rsidRPr="00DA56F9">
        <w:rPr>
          <w:color w:val="1F4E79" w:themeColor="accent1" w:themeShade="80"/>
          <w:sz w:val="22"/>
        </w:rPr>
        <w:tab/>
        <w:t>DESENVOLVIMENTO ECONÔMICO (DDE)</w:t>
      </w:r>
    </w:p>
    <w:p w14:paraId="06F3C8C4" w14:textId="77777777" w:rsidR="007D1DC3" w:rsidRPr="00493A9B" w:rsidRDefault="007D1DC3" w:rsidP="00493A9B">
      <w:pPr>
        <w:rPr>
          <w:sz w:val="22"/>
          <w:szCs w:val="22"/>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05"/>
        <w:gridCol w:w="4140"/>
        <w:gridCol w:w="3420"/>
        <w:gridCol w:w="2880"/>
      </w:tblGrid>
      <w:tr w:rsidR="00EA177C" w:rsidRPr="00493A9B" w14:paraId="546A0A82" w14:textId="77777777" w:rsidTr="006D77D6">
        <w:trPr>
          <w:tblHeader/>
          <w:jc w:val="center"/>
        </w:trPr>
        <w:tc>
          <w:tcPr>
            <w:tcW w:w="3405" w:type="dxa"/>
            <w:tcBorders>
              <w:top w:val="single" w:sz="12" w:space="0" w:color="auto"/>
              <w:bottom w:val="single" w:sz="12" w:space="0" w:color="auto"/>
            </w:tcBorders>
            <w:shd w:val="clear" w:color="auto" w:fill="BDD6EE" w:themeFill="accent1" w:themeFillTint="66"/>
            <w:vAlign w:val="center"/>
          </w:tcPr>
          <w:p w14:paraId="5169C3F8" w14:textId="77777777" w:rsidR="00EA177C" w:rsidRPr="00493A9B" w:rsidRDefault="00EA177C" w:rsidP="00493A9B">
            <w:pPr>
              <w:rPr>
                <w:b/>
                <w:bCs/>
                <w:color w:val="000000" w:themeColor="text1"/>
                <w:sz w:val="22"/>
                <w:szCs w:val="22"/>
              </w:rPr>
            </w:pPr>
            <w:r>
              <w:rPr>
                <w:b/>
                <w:color w:val="000000" w:themeColor="text1"/>
                <w:sz w:val="22"/>
              </w:rPr>
              <w:t>INICIATIVAS / ATIVIDADES</w:t>
            </w:r>
          </w:p>
        </w:tc>
        <w:tc>
          <w:tcPr>
            <w:tcW w:w="4140" w:type="dxa"/>
            <w:tcBorders>
              <w:top w:val="single" w:sz="12" w:space="0" w:color="auto"/>
              <w:bottom w:val="single" w:sz="12" w:space="0" w:color="auto"/>
            </w:tcBorders>
            <w:shd w:val="clear" w:color="auto" w:fill="BDD6EE" w:themeFill="accent1" w:themeFillTint="66"/>
            <w:vAlign w:val="center"/>
          </w:tcPr>
          <w:p w14:paraId="618FE6D8" w14:textId="77777777" w:rsidR="00EA177C" w:rsidRPr="00493A9B" w:rsidRDefault="00EA177C" w:rsidP="00493A9B">
            <w:pPr>
              <w:rPr>
                <w:b/>
                <w:bCs/>
                <w:color w:val="000000" w:themeColor="text1"/>
                <w:sz w:val="22"/>
                <w:szCs w:val="22"/>
              </w:rPr>
            </w:pPr>
            <w:r>
              <w:rPr>
                <w:b/>
                <w:color w:val="000000" w:themeColor="text1"/>
                <w:sz w:val="22"/>
              </w:rPr>
              <w:t>CONTRIBUIÇÃO PARA A RESILIÊNCIA E A COMPETITIVIDADE</w:t>
            </w:r>
          </w:p>
        </w:tc>
        <w:tc>
          <w:tcPr>
            <w:tcW w:w="3420" w:type="dxa"/>
            <w:tcBorders>
              <w:top w:val="single" w:sz="12" w:space="0" w:color="auto"/>
              <w:bottom w:val="single" w:sz="12" w:space="0" w:color="auto"/>
            </w:tcBorders>
            <w:shd w:val="clear" w:color="auto" w:fill="BDD6EE" w:themeFill="accent1" w:themeFillTint="66"/>
            <w:vAlign w:val="center"/>
          </w:tcPr>
          <w:p w14:paraId="6897DFEE" w14:textId="77777777" w:rsidR="00EA177C" w:rsidRPr="00493A9B" w:rsidRDefault="00EA177C" w:rsidP="00493A9B">
            <w:pPr>
              <w:rPr>
                <w:b/>
                <w:bCs/>
                <w:color w:val="000000" w:themeColor="text1"/>
                <w:sz w:val="22"/>
                <w:szCs w:val="22"/>
              </w:rPr>
            </w:pPr>
            <w:r>
              <w:rPr>
                <w:b/>
                <w:color w:val="000000" w:themeColor="text1"/>
                <w:sz w:val="22"/>
              </w:rPr>
              <w:t>RESULTADOS ESPERADOS</w:t>
            </w:r>
          </w:p>
        </w:tc>
        <w:tc>
          <w:tcPr>
            <w:tcW w:w="2880" w:type="dxa"/>
            <w:tcBorders>
              <w:top w:val="single" w:sz="12" w:space="0" w:color="auto"/>
              <w:bottom w:val="single" w:sz="12" w:space="0" w:color="auto"/>
            </w:tcBorders>
            <w:shd w:val="clear" w:color="auto" w:fill="BDD6EE" w:themeFill="accent1" w:themeFillTint="66"/>
            <w:vAlign w:val="center"/>
          </w:tcPr>
          <w:p w14:paraId="2576AA25" w14:textId="77777777" w:rsidR="00EA177C" w:rsidRPr="00493A9B" w:rsidRDefault="00EA177C" w:rsidP="00493A9B">
            <w:pPr>
              <w:rPr>
                <w:b/>
                <w:bCs/>
                <w:color w:val="000000" w:themeColor="text1"/>
                <w:sz w:val="22"/>
                <w:szCs w:val="22"/>
              </w:rPr>
            </w:pPr>
            <w:r>
              <w:rPr>
                <w:b/>
                <w:color w:val="000000" w:themeColor="text1"/>
                <w:sz w:val="22"/>
              </w:rPr>
              <w:t>COOPERAÇÃO E PARCERIAS</w:t>
            </w:r>
          </w:p>
        </w:tc>
      </w:tr>
      <w:tr w:rsidR="006D77D6" w:rsidRPr="00493A9B" w14:paraId="38CFF226" w14:textId="77777777" w:rsidTr="006D77D6">
        <w:trPr>
          <w:jc w:val="center"/>
        </w:trPr>
        <w:tc>
          <w:tcPr>
            <w:tcW w:w="3405" w:type="dxa"/>
            <w:tcBorders>
              <w:top w:val="single" w:sz="6" w:space="0" w:color="auto"/>
            </w:tcBorders>
            <w:vAlign w:val="center"/>
          </w:tcPr>
          <w:p w14:paraId="0321F87E" w14:textId="77777777" w:rsidR="006D77D6" w:rsidRPr="00493A9B" w:rsidRDefault="006D77D6" w:rsidP="00493A9B">
            <w:pPr>
              <w:rPr>
                <w:b/>
                <w:bCs/>
                <w:color w:val="000000" w:themeColor="text1"/>
                <w:sz w:val="22"/>
                <w:szCs w:val="22"/>
              </w:rPr>
            </w:pPr>
            <w:r>
              <w:rPr>
                <w:b/>
                <w:color w:val="000000" w:themeColor="text1"/>
                <w:sz w:val="22"/>
              </w:rPr>
              <w:t>LINHA ESTRATÉGICA</w:t>
            </w:r>
          </w:p>
        </w:tc>
        <w:tc>
          <w:tcPr>
            <w:tcW w:w="10440" w:type="dxa"/>
            <w:gridSpan w:val="3"/>
            <w:tcBorders>
              <w:top w:val="single" w:sz="6" w:space="0" w:color="auto"/>
            </w:tcBorders>
          </w:tcPr>
          <w:p w14:paraId="4946B664" w14:textId="77777777" w:rsidR="006D77D6" w:rsidRPr="00493A9B" w:rsidRDefault="006D77D6" w:rsidP="00493A9B">
            <w:pPr>
              <w:rPr>
                <w:sz w:val="22"/>
                <w:szCs w:val="22"/>
              </w:rPr>
            </w:pPr>
            <w:r>
              <w:rPr>
                <w:b/>
                <w:color w:val="000000" w:themeColor="text1"/>
                <w:sz w:val="22"/>
              </w:rPr>
              <w:t>1. Promover economias inclusivas e competitivas</w:t>
            </w:r>
          </w:p>
        </w:tc>
      </w:tr>
      <w:tr w:rsidR="006D77D6" w:rsidRPr="00493A9B" w14:paraId="11C56A18" w14:textId="77777777" w:rsidTr="006D77D6">
        <w:trPr>
          <w:jc w:val="center"/>
        </w:trPr>
        <w:tc>
          <w:tcPr>
            <w:tcW w:w="3405" w:type="dxa"/>
            <w:tcBorders>
              <w:top w:val="single" w:sz="6" w:space="0" w:color="auto"/>
            </w:tcBorders>
            <w:vAlign w:val="center"/>
          </w:tcPr>
          <w:p w14:paraId="1C8961CA" w14:textId="77777777" w:rsidR="00942B50" w:rsidRDefault="00942B50" w:rsidP="00493A9B">
            <w:pPr>
              <w:rPr>
                <w:b/>
                <w:color w:val="000000" w:themeColor="text1"/>
                <w:sz w:val="22"/>
              </w:rPr>
            </w:pPr>
            <w:r>
              <w:rPr>
                <w:b/>
                <w:color w:val="000000" w:themeColor="text1"/>
                <w:sz w:val="22"/>
              </w:rPr>
              <w:t>OBJETIVO</w:t>
            </w:r>
          </w:p>
          <w:p w14:paraId="5D794EE2" w14:textId="77777777" w:rsidR="006D77D6" w:rsidRPr="00493A9B" w:rsidRDefault="006D77D6" w:rsidP="00942B50">
            <w:pPr>
              <w:rPr>
                <w:b/>
                <w:bCs/>
                <w:color w:val="000000" w:themeColor="text1"/>
                <w:sz w:val="22"/>
                <w:szCs w:val="22"/>
              </w:rPr>
            </w:pPr>
            <w:r>
              <w:rPr>
                <w:b/>
                <w:color w:val="000000" w:themeColor="text1"/>
                <w:sz w:val="22"/>
              </w:rPr>
              <w:t xml:space="preserve">ESTRATÉGICO </w:t>
            </w:r>
          </w:p>
        </w:tc>
        <w:tc>
          <w:tcPr>
            <w:tcW w:w="10440" w:type="dxa"/>
            <w:gridSpan w:val="3"/>
            <w:tcBorders>
              <w:top w:val="single" w:sz="6" w:space="0" w:color="auto"/>
            </w:tcBorders>
          </w:tcPr>
          <w:p w14:paraId="11D41F67" w14:textId="77777777" w:rsidR="006D77D6" w:rsidRPr="00493A9B" w:rsidRDefault="006D77D6" w:rsidP="00493A9B">
            <w:pPr>
              <w:rPr>
                <w:sz w:val="22"/>
                <w:szCs w:val="22"/>
              </w:rPr>
            </w:pPr>
            <w:r>
              <w:rPr>
                <w:b/>
                <w:color w:val="000000" w:themeColor="text1"/>
                <w:sz w:val="22"/>
              </w:rPr>
              <w:t>1.1. Aumentar a capacidade das instituições dos Estados membros que apoiam o projeto e a implementação de políticas e programas promotores da produtividade, do empreendedorismo, da inovação e da internacionalização das micro, pequenas e médias empresas (MPMEs), bem como das cooperativas e outras unidades de produção.</w:t>
            </w:r>
          </w:p>
        </w:tc>
      </w:tr>
      <w:tr w:rsidR="006D77D6" w:rsidRPr="00493A9B" w14:paraId="5713AC6D" w14:textId="77777777" w:rsidTr="006D77D6">
        <w:trPr>
          <w:jc w:val="center"/>
        </w:trPr>
        <w:tc>
          <w:tcPr>
            <w:tcW w:w="3405" w:type="dxa"/>
            <w:tcBorders>
              <w:top w:val="single" w:sz="6" w:space="0" w:color="auto"/>
            </w:tcBorders>
            <w:vAlign w:val="center"/>
          </w:tcPr>
          <w:p w14:paraId="5D83CC9F" w14:textId="77777777" w:rsidR="006D77D6" w:rsidRPr="00493A9B" w:rsidRDefault="006D77D6" w:rsidP="00493A9B">
            <w:pPr>
              <w:rPr>
                <w:bCs/>
                <w:color w:val="000000" w:themeColor="text1"/>
                <w:sz w:val="22"/>
                <w:szCs w:val="22"/>
              </w:rPr>
            </w:pPr>
            <w:r>
              <w:rPr>
                <w:b/>
                <w:color w:val="000000" w:themeColor="text1"/>
                <w:sz w:val="22"/>
              </w:rPr>
              <w:t>MPMEs</w:t>
            </w:r>
          </w:p>
        </w:tc>
        <w:tc>
          <w:tcPr>
            <w:tcW w:w="10440" w:type="dxa"/>
            <w:gridSpan w:val="3"/>
            <w:tcBorders>
              <w:top w:val="single" w:sz="6" w:space="0" w:color="auto"/>
            </w:tcBorders>
            <w:vAlign w:val="center"/>
          </w:tcPr>
          <w:p w14:paraId="244DC88E" w14:textId="77777777" w:rsidR="006D77D6" w:rsidRPr="00493A9B" w:rsidRDefault="006D77D6" w:rsidP="00493A9B">
            <w:pPr>
              <w:rPr>
                <w:b/>
                <w:sz w:val="22"/>
                <w:szCs w:val="22"/>
              </w:rPr>
            </w:pPr>
          </w:p>
        </w:tc>
      </w:tr>
      <w:tr w:rsidR="00EA177C" w:rsidRPr="00493A9B" w14:paraId="02C2F67E" w14:textId="77777777" w:rsidTr="006D77D6">
        <w:trPr>
          <w:jc w:val="center"/>
        </w:trPr>
        <w:tc>
          <w:tcPr>
            <w:tcW w:w="3405" w:type="dxa"/>
            <w:tcBorders>
              <w:top w:val="single" w:sz="6" w:space="0" w:color="auto"/>
            </w:tcBorders>
            <w:vAlign w:val="center"/>
          </w:tcPr>
          <w:p w14:paraId="28CABE52" w14:textId="77777777" w:rsidR="00EA177C" w:rsidRPr="00493A9B" w:rsidRDefault="00EA177C" w:rsidP="00493A9B">
            <w:pPr>
              <w:rPr>
                <w:bCs/>
                <w:color w:val="000000" w:themeColor="text1"/>
                <w:sz w:val="22"/>
                <w:szCs w:val="22"/>
              </w:rPr>
            </w:pPr>
            <w:r>
              <w:rPr>
                <w:color w:val="000000" w:themeColor="text1"/>
                <w:sz w:val="22"/>
              </w:rPr>
              <w:t>Programa de Digitalização de MPMEs da OEA: Fornecimento de programas de treinamento virtual personalizados para as MPMEs e um programa de treinamento de instrutores para autoridades/centros de MPMEs a fim de fortalecer a resiliência e a recuperação pós-pandemia</w:t>
            </w:r>
          </w:p>
        </w:tc>
        <w:tc>
          <w:tcPr>
            <w:tcW w:w="4140" w:type="dxa"/>
            <w:tcBorders>
              <w:top w:val="single" w:sz="6" w:space="0" w:color="auto"/>
            </w:tcBorders>
            <w:vAlign w:val="center"/>
          </w:tcPr>
          <w:p w14:paraId="04F418C6" w14:textId="77777777" w:rsidR="00EA177C" w:rsidRPr="00493A9B" w:rsidRDefault="00EA177C" w:rsidP="00493A9B">
            <w:pPr>
              <w:rPr>
                <w:bCs/>
                <w:color w:val="000000" w:themeColor="text1"/>
                <w:sz w:val="22"/>
                <w:szCs w:val="22"/>
              </w:rPr>
            </w:pPr>
            <w:r>
              <w:rPr>
                <w:color w:val="000000" w:themeColor="text1"/>
                <w:sz w:val="22"/>
              </w:rPr>
              <w:t xml:space="preserve">Viabilidade econômica e resiliência das PMEs. As MPMEs poderão capitalizar a procura que existe </w:t>
            </w:r>
            <w:r w:rsidR="00942B50">
              <w:rPr>
                <w:color w:val="000000" w:themeColor="text1"/>
                <w:sz w:val="22"/>
              </w:rPr>
              <w:t>por</w:t>
            </w:r>
            <w:r>
              <w:rPr>
                <w:color w:val="000000" w:themeColor="text1"/>
                <w:sz w:val="22"/>
              </w:rPr>
              <w:t xml:space="preserve"> seus produtos na internet. </w:t>
            </w:r>
          </w:p>
          <w:p w14:paraId="23671443" w14:textId="77777777" w:rsidR="00EA177C" w:rsidRPr="00493A9B" w:rsidRDefault="00EA177C" w:rsidP="00493A9B">
            <w:pPr>
              <w:rPr>
                <w:bCs/>
                <w:color w:val="000000" w:themeColor="text1"/>
                <w:sz w:val="22"/>
                <w:szCs w:val="22"/>
              </w:rPr>
            </w:pPr>
          </w:p>
          <w:p w14:paraId="448107E3" w14:textId="77777777" w:rsidR="00EA177C" w:rsidRPr="00493A9B" w:rsidRDefault="00EA177C" w:rsidP="00493A9B">
            <w:pPr>
              <w:rPr>
                <w:b/>
                <w:bCs/>
                <w:color w:val="000000" w:themeColor="text1"/>
                <w:sz w:val="22"/>
                <w:szCs w:val="22"/>
              </w:rPr>
            </w:pPr>
            <w:r>
              <w:rPr>
                <w:color w:val="000000" w:themeColor="text1"/>
                <w:sz w:val="22"/>
              </w:rPr>
              <w:t>Treinamento e recursos para a recuperação pós-covid-19 e resiliência empresarial</w:t>
            </w:r>
          </w:p>
        </w:tc>
        <w:tc>
          <w:tcPr>
            <w:tcW w:w="3420" w:type="dxa"/>
            <w:tcBorders>
              <w:top w:val="single" w:sz="6" w:space="0" w:color="auto"/>
            </w:tcBorders>
            <w:vAlign w:val="center"/>
          </w:tcPr>
          <w:p w14:paraId="25185620" w14:textId="77777777" w:rsidR="00EA177C" w:rsidRPr="00493A9B" w:rsidRDefault="00EA177C" w:rsidP="00493A9B">
            <w:pPr>
              <w:rPr>
                <w:sz w:val="22"/>
                <w:szCs w:val="22"/>
              </w:rPr>
            </w:pPr>
            <w:r>
              <w:rPr>
                <w:sz w:val="22"/>
              </w:rPr>
              <w:t>Implementação do Programa de Digitalização de MPMEs da OEA em pelo menos 10 Estados membros</w:t>
            </w:r>
          </w:p>
          <w:p w14:paraId="31ACC81E" w14:textId="77777777" w:rsidR="00EA177C" w:rsidRPr="00493A9B" w:rsidRDefault="00EA177C" w:rsidP="00493A9B">
            <w:pPr>
              <w:rPr>
                <w:sz w:val="22"/>
                <w:szCs w:val="22"/>
              </w:rPr>
            </w:pPr>
          </w:p>
          <w:p w14:paraId="4C85ED1B" w14:textId="77777777" w:rsidR="00EA177C" w:rsidRPr="00493A9B" w:rsidRDefault="00EA177C" w:rsidP="00493A9B">
            <w:pPr>
              <w:rPr>
                <w:sz w:val="22"/>
                <w:szCs w:val="22"/>
              </w:rPr>
            </w:pPr>
          </w:p>
          <w:p w14:paraId="48E60637" w14:textId="77777777" w:rsidR="00EA177C" w:rsidRPr="00493A9B" w:rsidRDefault="00EA177C" w:rsidP="00493A9B">
            <w:pPr>
              <w:rPr>
                <w:sz w:val="22"/>
                <w:szCs w:val="22"/>
              </w:rPr>
            </w:pPr>
            <w:r>
              <w:rPr>
                <w:sz w:val="22"/>
              </w:rPr>
              <w:t>Treinamento em competências digitais para PMEs em pelo menos cinco Estados membros</w:t>
            </w:r>
          </w:p>
          <w:p w14:paraId="3B894AEA" w14:textId="77777777" w:rsidR="00EA177C" w:rsidRPr="00493A9B" w:rsidRDefault="00EA177C" w:rsidP="00493A9B">
            <w:pPr>
              <w:rPr>
                <w:b/>
                <w:bCs/>
                <w:color w:val="000000" w:themeColor="text1"/>
                <w:sz w:val="22"/>
                <w:szCs w:val="22"/>
              </w:rPr>
            </w:pPr>
          </w:p>
        </w:tc>
        <w:tc>
          <w:tcPr>
            <w:tcW w:w="2880" w:type="dxa"/>
            <w:tcBorders>
              <w:top w:val="single" w:sz="6" w:space="0" w:color="auto"/>
            </w:tcBorders>
            <w:vAlign w:val="center"/>
          </w:tcPr>
          <w:p w14:paraId="1D0BD22B" w14:textId="77777777" w:rsidR="00EA177C" w:rsidRPr="00493A9B" w:rsidRDefault="00EA177C" w:rsidP="00493A9B">
            <w:pPr>
              <w:rPr>
                <w:sz w:val="22"/>
                <w:szCs w:val="22"/>
              </w:rPr>
            </w:pPr>
            <w:r>
              <w:rPr>
                <w:b/>
                <w:sz w:val="22"/>
              </w:rPr>
              <w:t xml:space="preserve">Externas: </w:t>
            </w:r>
            <w:r>
              <w:rPr>
                <w:sz w:val="22"/>
              </w:rPr>
              <w:t>What</w:t>
            </w:r>
            <w:r w:rsidR="00942B50">
              <w:rPr>
                <w:sz w:val="22"/>
              </w:rPr>
              <w:t>s</w:t>
            </w:r>
            <w:r>
              <w:rPr>
                <w:sz w:val="22"/>
              </w:rPr>
              <w:t>App, eBay, Google e Estados membros da OEA</w:t>
            </w:r>
          </w:p>
          <w:p w14:paraId="698A8952" w14:textId="77777777" w:rsidR="00EA177C" w:rsidRPr="00493A9B" w:rsidRDefault="00EA177C" w:rsidP="00493A9B">
            <w:pPr>
              <w:rPr>
                <w:b/>
                <w:bCs/>
                <w:color w:val="000000" w:themeColor="text1"/>
                <w:sz w:val="22"/>
                <w:szCs w:val="22"/>
              </w:rPr>
            </w:pPr>
          </w:p>
        </w:tc>
      </w:tr>
      <w:tr w:rsidR="00EA177C" w:rsidRPr="00493A9B" w14:paraId="325C75AC" w14:textId="77777777" w:rsidTr="006D77D6">
        <w:trPr>
          <w:jc w:val="center"/>
        </w:trPr>
        <w:tc>
          <w:tcPr>
            <w:tcW w:w="3405" w:type="dxa"/>
            <w:vAlign w:val="center"/>
          </w:tcPr>
          <w:p w14:paraId="0C77023D" w14:textId="77777777" w:rsidR="00EA177C" w:rsidRPr="00493A9B" w:rsidRDefault="00EA177C" w:rsidP="00493A9B">
            <w:pPr>
              <w:rPr>
                <w:sz w:val="22"/>
                <w:szCs w:val="22"/>
              </w:rPr>
            </w:pPr>
            <w:r>
              <w:rPr>
                <w:sz w:val="22"/>
              </w:rPr>
              <w:t xml:space="preserve">Centro de informação </w:t>
            </w:r>
            <w:r>
              <w:rPr>
                <w:i/>
                <w:iCs/>
                <w:sz w:val="22"/>
              </w:rPr>
              <w:t>online</w:t>
            </w:r>
            <w:r>
              <w:rPr>
                <w:sz w:val="22"/>
              </w:rPr>
              <w:t xml:space="preserve"> de legislaç</w:t>
            </w:r>
            <w:r w:rsidR="00942B50">
              <w:rPr>
                <w:sz w:val="22"/>
              </w:rPr>
              <w:t>ões</w:t>
            </w:r>
            <w:r>
              <w:rPr>
                <w:sz w:val="22"/>
              </w:rPr>
              <w:t xml:space="preserve"> e iniciativas sobre políticas </w:t>
            </w:r>
            <w:r w:rsidR="002D082F">
              <w:rPr>
                <w:sz w:val="22"/>
              </w:rPr>
              <w:t xml:space="preserve">públicas </w:t>
            </w:r>
            <w:r>
              <w:rPr>
                <w:sz w:val="22"/>
              </w:rPr>
              <w:t>e programas de apoio ao desenvolvimento do setor de MPMEs</w:t>
            </w:r>
          </w:p>
        </w:tc>
        <w:tc>
          <w:tcPr>
            <w:tcW w:w="4140" w:type="dxa"/>
            <w:vAlign w:val="center"/>
          </w:tcPr>
          <w:p w14:paraId="4C9D960F" w14:textId="77777777" w:rsidR="00EA177C" w:rsidRPr="00493A9B" w:rsidRDefault="00EA177C" w:rsidP="00493A9B">
            <w:pPr>
              <w:rPr>
                <w:sz w:val="22"/>
                <w:szCs w:val="22"/>
              </w:rPr>
            </w:pPr>
            <w:r>
              <w:rPr>
                <w:sz w:val="22"/>
              </w:rPr>
              <w:t xml:space="preserve">Pedido para reunir dados sobre políticas </w:t>
            </w:r>
            <w:r w:rsidR="002D082F">
              <w:rPr>
                <w:sz w:val="22"/>
              </w:rPr>
              <w:t xml:space="preserve">públicas </w:t>
            </w:r>
            <w:r>
              <w:rPr>
                <w:sz w:val="22"/>
              </w:rPr>
              <w:t>e programas especificamente centrados na resiliência das PMEs, na recuperação pós-covid-19, na continuidade dos negócios e na competitividade</w:t>
            </w:r>
          </w:p>
        </w:tc>
        <w:tc>
          <w:tcPr>
            <w:tcW w:w="3420" w:type="dxa"/>
            <w:vAlign w:val="center"/>
          </w:tcPr>
          <w:p w14:paraId="54929B40" w14:textId="77777777" w:rsidR="00EA177C" w:rsidRPr="00493A9B" w:rsidRDefault="00EA177C" w:rsidP="00493A9B">
            <w:pPr>
              <w:rPr>
                <w:sz w:val="22"/>
                <w:szCs w:val="22"/>
              </w:rPr>
            </w:pPr>
            <w:r>
              <w:rPr>
                <w:sz w:val="22"/>
              </w:rPr>
              <w:t>Centro de informação com acesso a um extenso inventário regional de boas práticas sobre políticas públicas e programas para a resiliência das PMEs, a recuperação pós-covid-19, a continuidade dos negócios e a competitividade</w:t>
            </w:r>
          </w:p>
        </w:tc>
        <w:tc>
          <w:tcPr>
            <w:tcW w:w="2880" w:type="dxa"/>
          </w:tcPr>
          <w:p w14:paraId="175AC0B1" w14:textId="77777777" w:rsidR="00EA177C" w:rsidRPr="00493A9B" w:rsidRDefault="00EA177C" w:rsidP="00493A9B">
            <w:pPr>
              <w:rPr>
                <w:sz w:val="22"/>
                <w:szCs w:val="22"/>
              </w:rPr>
            </w:pPr>
            <w:r w:rsidRPr="002D082F">
              <w:rPr>
                <w:b/>
                <w:sz w:val="22"/>
              </w:rPr>
              <w:t>Internas</w:t>
            </w:r>
            <w:r>
              <w:rPr>
                <w:b/>
                <w:sz w:val="22"/>
              </w:rPr>
              <w:t>:</w:t>
            </w:r>
          </w:p>
          <w:p w14:paraId="0F9F02FF" w14:textId="77777777" w:rsidR="00EA177C" w:rsidRPr="00493A9B" w:rsidRDefault="00EA177C" w:rsidP="00493A9B">
            <w:pPr>
              <w:autoSpaceDE w:val="0"/>
              <w:autoSpaceDN w:val="0"/>
              <w:adjustRightInd w:val="0"/>
              <w:rPr>
                <w:sz w:val="22"/>
                <w:szCs w:val="22"/>
              </w:rPr>
            </w:pPr>
            <w:r>
              <w:rPr>
                <w:sz w:val="22"/>
              </w:rPr>
              <w:t>Escritório Executivo da SEDI - CooperaNet (Fóruns virtuais de MPMEs e repositório de programas); Departamento de Desenvolvimento Sustentável (DDS) (energia / água) sobre diálogo de políticas de competitividade</w:t>
            </w:r>
          </w:p>
          <w:p w14:paraId="6242A90E" w14:textId="77777777" w:rsidR="00EA177C" w:rsidRPr="00493A9B" w:rsidRDefault="00EA177C" w:rsidP="00493A9B">
            <w:pPr>
              <w:rPr>
                <w:sz w:val="22"/>
                <w:szCs w:val="22"/>
              </w:rPr>
            </w:pPr>
          </w:p>
        </w:tc>
      </w:tr>
      <w:tr w:rsidR="00EA177C" w:rsidRPr="00493A9B" w14:paraId="703FAA8F" w14:textId="77777777" w:rsidTr="006D77D6">
        <w:trPr>
          <w:jc w:val="center"/>
        </w:trPr>
        <w:tc>
          <w:tcPr>
            <w:tcW w:w="3405" w:type="dxa"/>
          </w:tcPr>
          <w:p w14:paraId="201B1D6E" w14:textId="77777777" w:rsidR="00EA177C" w:rsidRPr="00493A9B" w:rsidRDefault="00EA177C" w:rsidP="00493A9B">
            <w:pPr>
              <w:rPr>
                <w:rFonts w:eastAsia="Calibri"/>
                <w:sz w:val="22"/>
                <w:szCs w:val="22"/>
              </w:rPr>
            </w:pPr>
            <w:r>
              <w:rPr>
                <w:sz w:val="22"/>
              </w:rPr>
              <w:t>Boletim informativo sobre o desenvolvimento de MPMEs nas Américas distribuído para autoridades e partes interessadas de MPMEs (inglês e espanhol)</w:t>
            </w:r>
          </w:p>
          <w:p w14:paraId="4B44C58C" w14:textId="77777777" w:rsidR="00EA177C" w:rsidRPr="00493A9B" w:rsidRDefault="00EA177C" w:rsidP="00493A9B">
            <w:pPr>
              <w:tabs>
                <w:tab w:val="left" w:pos="177"/>
              </w:tabs>
              <w:rPr>
                <w:sz w:val="22"/>
                <w:szCs w:val="22"/>
              </w:rPr>
            </w:pPr>
          </w:p>
          <w:p w14:paraId="285B7BBB" w14:textId="77777777" w:rsidR="00EA177C" w:rsidRPr="00493A9B" w:rsidRDefault="00EA177C" w:rsidP="00493A9B">
            <w:pPr>
              <w:rPr>
                <w:sz w:val="22"/>
                <w:szCs w:val="22"/>
              </w:rPr>
            </w:pPr>
          </w:p>
        </w:tc>
        <w:tc>
          <w:tcPr>
            <w:tcW w:w="4140" w:type="dxa"/>
          </w:tcPr>
          <w:p w14:paraId="58A66FAD" w14:textId="77777777" w:rsidR="00EA177C" w:rsidRPr="00493A9B" w:rsidRDefault="00EA177C" w:rsidP="00493A9B">
            <w:pPr>
              <w:tabs>
                <w:tab w:val="left" w:pos="177"/>
              </w:tabs>
              <w:rPr>
                <w:rFonts w:eastAsia="Calibri"/>
                <w:sz w:val="22"/>
                <w:szCs w:val="22"/>
              </w:rPr>
            </w:pPr>
            <w:r>
              <w:rPr>
                <w:color w:val="000000"/>
                <w:sz w:val="22"/>
                <w:u w:color="000000"/>
              </w:rPr>
              <w:lastRenderedPageBreak/>
              <w:t xml:space="preserve">Compartilhamento de políticas públicas e programas especificamente centrados na resiliência das PMEs e na </w:t>
            </w:r>
            <w:r>
              <w:rPr>
                <w:sz w:val="22"/>
              </w:rPr>
              <w:t>recuperação pós-covid-19: Respostas de políticas para PMEs</w:t>
            </w:r>
          </w:p>
          <w:p w14:paraId="04172947" w14:textId="77777777" w:rsidR="00EA177C" w:rsidRPr="00493A9B" w:rsidRDefault="00EA177C" w:rsidP="00493A9B">
            <w:pPr>
              <w:rPr>
                <w:sz w:val="22"/>
                <w:szCs w:val="22"/>
              </w:rPr>
            </w:pPr>
          </w:p>
        </w:tc>
        <w:tc>
          <w:tcPr>
            <w:tcW w:w="3420" w:type="dxa"/>
          </w:tcPr>
          <w:p w14:paraId="07972BB7" w14:textId="77777777" w:rsidR="00EA177C" w:rsidRPr="00493A9B" w:rsidRDefault="00EA177C" w:rsidP="00493A9B">
            <w:pPr>
              <w:rPr>
                <w:rFonts w:eastAsia="Calibri"/>
                <w:sz w:val="22"/>
                <w:szCs w:val="22"/>
              </w:rPr>
            </w:pPr>
            <w:r>
              <w:rPr>
                <w:sz w:val="22"/>
              </w:rPr>
              <w:t xml:space="preserve">Intercâmbio de pelo menos 10 boas práticas e identificação de oportunidades concretas de cooperação em </w:t>
            </w:r>
            <w:r w:rsidR="002D082F">
              <w:rPr>
                <w:sz w:val="22"/>
              </w:rPr>
              <w:t xml:space="preserve">matéria de </w:t>
            </w:r>
            <w:r>
              <w:rPr>
                <w:sz w:val="22"/>
              </w:rPr>
              <w:t xml:space="preserve">políticas e programas de apoio à resiliência </w:t>
            </w:r>
            <w:r>
              <w:rPr>
                <w:sz w:val="22"/>
              </w:rPr>
              <w:lastRenderedPageBreak/>
              <w:t>das MPMEs e às respostas de recuperação pós-covid-19</w:t>
            </w:r>
          </w:p>
          <w:p w14:paraId="4D74B152" w14:textId="77777777" w:rsidR="00EA177C" w:rsidRPr="00493A9B" w:rsidRDefault="00EA177C" w:rsidP="00493A9B">
            <w:pPr>
              <w:rPr>
                <w:sz w:val="22"/>
                <w:szCs w:val="22"/>
              </w:rPr>
            </w:pPr>
          </w:p>
        </w:tc>
        <w:tc>
          <w:tcPr>
            <w:tcW w:w="2880" w:type="dxa"/>
          </w:tcPr>
          <w:p w14:paraId="10C36637" w14:textId="77777777" w:rsidR="00EA177C" w:rsidRPr="00493A9B" w:rsidRDefault="00EA177C" w:rsidP="00493A9B">
            <w:pPr>
              <w:rPr>
                <w:sz w:val="22"/>
                <w:szCs w:val="22"/>
              </w:rPr>
            </w:pPr>
            <w:r>
              <w:rPr>
                <w:b/>
                <w:sz w:val="22"/>
              </w:rPr>
              <w:lastRenderedPageBreak/>
              <w:t>Externas:</w:t>
            </w:r>
          </w:p>
          <w:p w14:paraId="33351423" w14:textId="77777777" w:rsidR="00EA177C" w:rsidRPr="00493A9B" w:rsidRDefault="00EA177C" w:rsidP="00493A9B">
            <w:pPr>
              <w:rPr>
                <w:sz w:val="22"/>
                <w:szCs w:val="22"/>
              </w:rPr>
            </w:pPr>
            <w:r>
              <w:rPr>
                <w:sz w:val="22"/>
              </w:rPr>
              <w:t xml:space="preserve">Parceiros governamentais como o Governo do Chile, e instituições financeiras como BCIE e CAF, organizações regionais de MPMEs como a </w:t>
            </w:r>
            <w:r>
              <w:rPr>
                <w:sz w:val="22"/>
              </w:rPr>
              <w:lastRenderedPageBreak/>
              <w:t>Agência de Desenvolvimento das Exportações do Caribe e o CENPROMYPE</w:t>
            </w:r>
          </w:p>
          <w:p w14:paraId="1652597C" w14:textId="77777777" w:rsidR="00EA177C" w:rsidRPr="00493A9B" w:rsidRDefault="00EA177C" w:rsidP="00493A9B">
            <w:pPr>
              <w:rPr>
                <w:sz w:val="22"/>
                <w:szCs w:val="22"/>
              </w:rPr>
            </w:pPr>
          </w:p>
        </w:tc>
      </w:tr>
      <w:tr w:rsidR="00EA177C" w:rsidRPr="00493A9B" w14:paraId="3FB01685" w14:textId="77777777" w:rsidTr="006D77D6">
        <w:trPr>
          <w:jc w:val="center"/>
        </w:trPr>
        <w:tc>
          <w:tcPr>
            <w:tcW w:w="3405" w:type="dxa"/>
          </w:tcPr>
          <w:p w14:paraId="557F18D9" w14:textId="77777777" w:rsidR="00EA177C" w:rsidRPr="00493A9B" w:rsidRDefault="00EA177C" w:rsidP="00493A9B">
            <w:pPr>
              <w:pBdr>
                <w:top w:val="nil"/>
                <w:left w:val="nil"/>
                <w:bottom w:val="nil"/>
                <w:right w:val="nil"/>
                <w:between w:val="nil"/>
                <w:bar w:val="nil"/>
              </w:pBdr>
              <w:rPr>
                <w:sz w:val="22"/>
                <w:szCs w:val="22"/>
              </w:rPr>
            </w:pPr>
            <w:r>
              <w:rPr>
                <w:sz w:val="22"/>
              </w:rPr>
              <w:lastRenderedPageBreak/>
              <w:t>Processo Preparatório e Sétimo Diálogo Interamericano de Altas Autoridades em Matéria de MPMEs</w:t>
            </w:r>
          </w:p>
          <w:p w14:paraId="07E92210" w14:textId="77777777" w:rsidR="00EA177C" w:rsidRPr="00493A9B" w:rsidRDefault="00EA177C" w:rsidP="00493A9B">
            <w:pPr>
              <w:rPr>
                <w:sz w:val="22"/>
                <w:szCs w:val="22"/>
              </w:rPr>
            </w:pPr>
          </w:p>
        </w:tc>
        <w:tc>
          <w:tcPr>
            <w:tcW w:w="4140" w:type="dxa"/>
          </w:tcPr>
          <w:p w14:paraId="15CC8280" w14:textId="77777777" w:rsidR="00EA177C" w:rsidRPr="00493A9B" w:rsidRDefault="00EA177C" w:rsidP="00493A9B">
            <w:pPr>
              <w:tabs>
                <w:tab w:val="left" w:pos="177"/>
              </w:tabs>
              <w:rPr>
                <w:rFonts w:eastAsia="Calibri"/>
                <w:sz w:val="22"/>
                <w:szCs w:val="22"/>
              </w:rPr>
            </w:pPr>
            <w:r>
              <w:rPr>
                <w:sz w:val="22"/>
              </w:rPr>
              <w:t>Reuniões virtuais centradas na resiliência das PMEs, na continuidade dos negócios e na recuperação pós-covid-19:  Respostas de políticas para PMEs</w:t>
            </w:r>
          </w:p>
          <w:p w14:paraId="61B7354D" w14:textId="77777777" w:rsidR="00EA177C" w:rsidRPr="00493A9B" w:rsidRDefault="00EA177C" w:rsidP="00493A9B">
            <w:pPr>
              <w:rPr>
                <w:sz w:val="22"/>
                <w:szCs w:val="22"/>
              </w:rPr>
            </w:pPr>
          </w:p>
        </w:tc>
        <w:tc>
          <w:tcPr>
            <w:tcW w:w="3420" w:type="dxa"/>
          </w:tcPr>
          <w:p w14:paraId="4C84ABC8" w14:textId="77777777" w:rsidR="00EA177C" w:rsidRPr="00493A9B" w:rsidRDefault="00EA177C" w:rsidP="00493A9B">
            <w:pPr>
              <w:rPr>
                <w:sz w:val="22"/>
                <w:szCs w:val="22"/>
              </w:rPr>
            </w:pPr>
            <w:r>
              <w:rPr>
                <w:sz w:val="22"/>
              </w:rPr>
              <w:t>Modelo estratégico SBDC elaborado e adotado pelas autoridades em matéria de MPMEs em países que são novos beneficiários do programa: Bolívia, Equador e Paraguai</w:t>
            </w:r>
          </w:p>
          <w:p w14:paraId="18BEE536" w14:textId="77777777" w:rsidR="00EA177C" w:rsidRPr="00493A9B" w:rsidRDefault="00EA177C" w:rsidP="00493A9B">
            <w:pPr>
              <w:rPr>
                <w:sz w:val="22"/>
                <w:szCs w:val="22"/>
              </w:rPr>
            </w:pPr>
          </w:p>
        </w:tc>
        <w:tc>
          <w:tcPr>
            <w:tcW w:w="2880" w:type="dxa"/>
          </w:tcPr>
          <w:p w14:paraId="6E6BFC04" w14:textId="77777777" w:rsidR="00EA177C" w:rsidRPr="00493A9B" w:rsidRDefault="00EA177C" w:rsidP="00493A9B">
            <w:pPr>
              <w:rPr>
                <w:sz w:val="22"/>
                <w:szCs w:val="22"/>
              </w:rPr>
            </w:pPr>
          </w:p>
        </w:tc>
      </w:tr>
      <w:tr w:rsidR="00EA177C" w:rsidRPr="00493A9B" w14:paraId="69854BCA" w14:textId="77777777" w:rsidTr="006D77D6">
        <w:trPr>
          <w:jc w:val="center"/>
        </w:trPr>
        <w:tc>
          <w:tcPr>
            <w:tcW w:w="3405" w:type="dxa"/>
          </w:tcPr>
          <w:p w14:paraId="615CC9E6" w14:textId="77777777" w:rsidR="00EA177C" w:rsidRPr="00493A9B" w:rsidRDefault="00EA177C" w:rsidP="00493A9B">
            <w:pPr>
              <w:rPr>
                <w:b/>
                <w:sz w:val="22"/>
                <w:szCs w:val="22"/>
              </w:rPr>
            </w:pPr>
            <w:r>
              <w:rPr>
                <w:b/>
                <w:sz w:val="22"/>
              </w:rPr>
              <w:t>Programa SBDC caribenho</w:t>
            </w:r>
            <w:r w:rsidR="00406C99">
              <w:rPr>
                <w:b/>
                <w:sz w:val="22"/>
              </w:rPr>
              <w:t>:</w:t>
            </w:r>
            <w:r>
              <w:rPr>
                <w:b/>
                <w:sz w:val="22"/>
              </w:rPr>
              <w:t xml:space="preserve"> </w:t>
            </w:r>
          </w:p>
          <w:p w14:paraId="3FBA77BD" w14:textId="77777777" w:rsidR="00EA177C" w:rsidRPr="00493A9B" w:rsidRDefault="00EA177C" w:rsidP="00493A9B">
            <w:pPr>
              <w:rPr>
                <w:sz w:val="22"/>
                <w:szCs w:val="22"/>
              </w:rPr>
            </w:pPr>
            <w:r>
              <w:rPr>
                <w:sz w:val="22"/>
              </w:rPr>
              <w:t>Transferência de melhores práticas do programa SBDC caribenho para três novos Estados membros da OEA: Bolívia, Equador e Paraguai.</w:t>
            </w:r>
          </w:p>
        </w:tc>
        <w:tc>
          <w:tcPr>
            <w:tcW w:w="4140" w:type="dxa"/>
          </w:tcPr>
          <w:p w14:paraId="6F9058D0" w14:textId="77777777" w:rsidR="00EA177C" w:rsidRPr="00493A9B" w:rsidRDefault="00EA177C" w:rsidP="00493A9B">
            <w:pPr>
              <w:tabs>
                <w:tab w:val="left" w:pos="177"/>
              </w:tabs>
              <w:rPr>
                <w:sz w:val="22"/>
                <w:szCs w:val="22"/>
              </w:rPr>
            </w:pPr>
            <w:r>
              <w:rPr>
                <w:sz w:val="22"/>
              </w:rPr>
              <w:t xml:space="preserve">O modelo SBDC caribenho será aplicado e servirá de complemento para outros projetos de desenvolvimento de MPMEs existentes, inclusive projetos de doadores multilaterais como o Banco Interamericano de Desenvolvimento na Bolívia, Equador e Paraguai, </w:t>
            </w:r>
            <w:r w:rsidR="00406C99">
              <w:rPr>
                <w:sz w:val="22"/>
              </w:rPr>
              <w:t>permitindo, assim,</w:t>
            </w:r>
            <w:r>
              <w:rPr>
                <w:sz w:val="22"/>
              </w:rPr>
              <w:t xml:space="preserve"> a aplicação de lições aprendidas na elaboração de programas mais sólidos para MPMEs nesses países</w:t>
            </w:r>
          </w:p>
          <w:p w14:paraId="0FAC0486" w14:textId="77777777" w:rsidR="00EA177C" w:rsidRPr="00493A9B" w:rsidRDefault="00EA177C" w:rsidP="00493A9B">
            <w:pPr>
              <w:rPr>
                <w:sz w:val="22"/>
                <w:szCs w:val="22"/>
              </w:rPr>
            </w:pPr>
          </w:p>
        </w:tc>
        <w:tc>
          <w:tcPr>
            <w:tcW w:w="3420" w:type="dxa"/>
          </w:tcPr>
          <w:p w14:paraId="55363DF4" w14:textId="77777777" w:rsidR="00EA177C" w:rsidRPr="00493A9B" w:rsidRDefault="00EA177C" w:rsidP="00493A9B">
            <w:pPr>
              <w:rPr>
                <w:sz w:val="22"/>
                <w:szCs w:val="22"/>
              </w:rPr>
            </w:pPr>
            <w:r>
              <w:rPr>
                <w:sz w:val="22"/>
              </w:rPr>
              <w:t>Aprimoramento do acesso a mercados e do acesso a financiamento para as MPMEs caribenhas, com foco especial em empreendedores mulheres e jovens</w:t>
            </w:r>
          </w:p>
          <w:p w14:paraId="1CF3991A" w14:textId="77777777" w:rsidR="00EA177C" w:rsidRPr="00493A9B" w:rsidRDefault="00EA177C" w:rsidP="00493A9B">
            <w:pPr>
              <w:rPr>
                <w:sz w:val="22"/>
                <w:szCs w:val="22"/>
              </w:rPr>
            </w:pPr>
          </w:p>
        </w:tc>
        <w:tc>
          <w:tcPr>
            <w:tcW w:w="2880" w:type="dxa"/>
          </w:tcPr>
          <w:p w14:paraId="48453DA8" w14:textId="77777777" w:rsidR="00EA177C" w:rsidRPr="00493A9B" w:rsidRDefault="00EA177C" w:rsidP="00493A9B">
            <w:pPr>
              <w:rPr>
                <w:sz w:val="22"/>
                <w:szCs w:val="22"/>
              </w:rPr>
            </w:pPr>
            <w:r>
              <w:rPr>
                <w:b/>
                <w:sz w:val="22"/>
              </w:rPr>
              <w:t>Externas:</w:t>
            </w:r>
          </w:p>
          <w:p w14:paraId="235B2D40" w14:textId="77777777" w:rsidR="00EA177C" w:rsidRPr="00493A9B" w:rsidRDefault="00EA177C" w:rsidP="00493A9B">
            <w:pPr>
              <w:tabs>
                <w:tab w:val="left" w:pos="177"/>
              </w:tabs>
              <w:rPr>
                <w:sz w:val="22"/>
                <w:szCs w:val="22"/>
              </w:rPr>
            </w:pPr>
            <w:r>
              <w:rPr>
                <w:sz w:val="22"/>
              </w:rPr>
              <w:t>Banco Interamericano de Desenvolvimento (BID); Escritório de Assuntos Ocidentais, Parceria com o Programa Compete Caribe financiado pelo BID</w:t>
            </w:r>
          </w:p>
          <w:p w14:paraId="7BE3B435" w14:textId="77777777" w:rsidR="00EA177C" w:rsidRPr="00493A9B" w:rsidRDefault="00EA177C" w:rsidP="00493A9B">
            <w:pPr>
              <w:rPr>
                <w:sz w:val="22"/>
                <w:szCs w:val="22"/>
              </w:rPr>
            </w:pPr>
          </w:p>
        </w:tc>
      </w:tr>
      <w:tr w:rsidR="00EA177C" w:rsidRPr="00493A9B" w14:paraId="7C6822A1" w14:textId="77777777" w:rsidTr="006D77D6">
        <w:trPr>
          <w:jc w:val="center"/>
        </w:trPr>
        <w:tc>
          <w:tcPr>
            <w:tcW w:w="3405" w:type="dxa"/>
          </w:tcPr>
          <w:p w14:paraId="39B96C02" w14:textId="77777777" w:rsidR="00EA177C" w:rsidRPr="00493A9B" w:rsidRDefault="00EA177C" w:rsidP="00493A9B">
            <w:pPr>
              <w:rPr>
                <w:sz w:val="22"/>
                <w:szCs w:val="22"/>
              </w:rPr>
            </w:pPr>
            <w:r>
              <w:rPr>
                <w:sz w:val="22"/>
              </w:rPr>
              <w:t>Prestação de serviços direcionados de assistência técnica e desenvolvimento de negócios a fim de melhorar as oportunidades de acesso a mercados e acesso a financiamento para pequenos negócios, com foco especial em empreendedores mulheres e jovens em países definidos como beneficiários de projetos SBDC</w:t>
            </w:r>
          </w:p>
        </w:tc>
        <w:tc>
          <w:tcPr>
            <w:tcW w:w="4140" w:type="dxa"/>
          </w:tcPr>
          <w:p w14:paraId="19716A96" w14:textId="77777777" w:rsidR="00EA177C" w:rsidRPr="00493A9B" w:rsidRDefault="00EA177C" w:rsidP="00493A9B">
            <w:pPr>
              <w:rPr>
                <w:sz w:val="22"/>
                <w:szCs w:val="22"/>
              </w:rPr>
            </w:pPr>
            <w:r>
              <w:rPr>
                <w:sz w:val="22"/>
              </w:rPr>
              <w:t>Assistência técnica especializada e capacitação para clientes SBDC, a fim de melhorar o acesso a mercados e financiamento</w:t>
            </w:r>
          </w:p>
        </w:tc>
        <w:tc>
          <w:tcPr>
            <w:tcW w:w="3420" w:type="dxa"/>
          </w:tcPr>
          <w:p w14:paraId="2F12B883" w14:textId="77777777" w:rsidR="00EA177C" w:rsidRPr="00493A9B" w:rsidRDefault="00A713A1" w:rsidP="00493A9B">
            <w:pPr>
              <w:rPr>
                <w:sz w:val="22"/>
                <w:szCs w:val="22"/>
              </w:rPr>
            </w:pPr>
            <w:r>
              <w:rPr>
                <w:sz w:val="22"/>
              </w:rPr>
              <w:t>Identificação de t</w:t>
            </w:r>
            <w:r w:rsidR="00EA177C">
              <w:rPr>
                <w:sz w:val="22"/>
              </w:rPr>
              <w:t xml:space="preserve">rês prioridades factíveis no Décimo Primeiro </w:t>
            </w:r>
            <w:r>
              <w:rPr>
                <w:sz w:val="22"/>
              </w:rPr>
              <w:t>Fórum de Competitividade das Américas (</w:t>
            </w:r>
            <w:r w:rsidR="00EA177C">
              <w:rPr>
                <w:sz w:val="22"/>
              </w:rPr>
              <w:t>FCA</w:t>
            </w:r>
            <w:r>
              <w:rPr>
                <w:sz w:val="22"/>
              </w:rPr>
              <w:t>)</w:t>
            </w:r>
            <w:r w:rsidR="00EA177C">
              <w:rPr>
                <w:sz w:val="22"/>
              </w:rPr>
              <w:t xml:space="preserve"> para serem implementadas com parceiros da </w:t>
            </w:r>
            <w:r w:rsidR="00D8144C">
              <w:rPr>
                <w:sz w:val="22"/>
              </w:rPr>
              <w:t>Rede Interamericana de Competitividade (</w:t>
            </w:r>
            <w:r w:rsidR="00EA177C">
              <w:rPr>
                <w:sz w:val="22"/>
              </w:rPr>
              <w:t>RIAC</w:t>
            </w:r>
            <w:r w:rsidR="00D8144C">
              <w:rPr>
                <w:sz w:val="22"/>
              </w:rPr>
              <w:t>)</w:t>
            </w:r>
            <w:r w:rsidR="00EA177C">
              <w:rPr>
                <w:sz w:val="22"/>
              </w:rPr>
              <w:t>, a fim de promover a recuperação econômica e a resiliência nas Américas</w:t>
            </w:r>
          </w:p>
          <w:p w14:paraId="7C3D4005" w14:textId="77777777" w:rsidR="00EA177C" w:rsidRPr="00493A9B" w:rsidRDefault="00EA177C" w:rsidP="00493A9B">
            <w:pPr>
              <w:rPr>
                <w:sz w:val="22"/>
                <w:szCs w:val="22"/>
              </w:rPr>
            </w:pPr>
          </w:p>
        </w:tc>
        <w:tc>
          <w:tcPr>
            <w:tcW w:w="2880" w:type="dxa"/>
          </w:tcPr>
          <w:p w14:paraId="54CDF621" w14:textId="77777777" w:rsidR="00EA177C" w:rsidRPr="00493A9B" w:rsidRDefault="00EA177C" w:rsidP="00493A9B">
            <w:pPr>
              <w:rPr>
                <w:sz w:val="22"/>
                <w:szCs w:val="22"/>
              </w:rPr>
            </w:pPr>
          </w:p>
        </w:tc>
      </w:tr>
      <w:tr w:rsidR="00EA177C" w:rsidRPr="00493A9B" w14:paraId="2355DF61" w14:textId="77777777" w:rsidTr="006D77D6">
        <w:trPr>
          <w:jc w:val="center"/>
        </w:trPr>
        <w:tc>
          <w:tcPr>
            <w:tcW w:w="3405" w:type="dxa"/>
          </w:tcPr>
          <w:p w14:paraId="4205881A" w14:textId="77777777" w:rsidR="00EA177C" w:rsidRPr="00493A9B" w:rsidRDefault="00EA177C" w:rsidP="00493A9B">
            <w:pPr>
              <w:tabs>
                <w:tab w:val="left" w:pos="177"/>
              </w:tabs>
              <w:rPr>
                <w:b/>
                <w:sz w:val="22"/>
                <w:szCs w:val="22"/>
              </w:rPr>
            </w:pPr>
            <w:r>
              <w:rPr>
                <w:b/>
                <w:sz w:val="22"/>
              </w:rPr>
              <w:t>Competitividade</w:t>
            </w:r>
          </w:p>
          <w:p w14:paraId="694332F9" w14:textId="77777777" w:rsidR="00EA177C" w:rsidRPr="00493A9B" w:rsidRDefault="00EA177C" w:rsidP="00493A9B">
            <w:pPr>
              <w:tabs>
                <w:tab w:val="left" w:pos="177"/>
              </w:tabs>
              <w:rPr>
                <w:sz w:val="22"/>
                <w:szCs w:val="22"/>
              </w:rPr>
            </w:pPr>
            <w:r>
              <w:rPr>
                <w:sz w:val="22"/>
              </w:rPr>
              <w:t xml:space="preserve">Fórum de Competitividade das Américas (FCA) 2021 e Reunião Anual de Ministros, Altas Autoridades e Conselhos de </w:t>
            </w:r>
            <w:r>
              <w:rPr>
                <w:sz w:val="22"/>
              </w:rPr>
              <w:lastRenderedPageBreak/>
              <w:t xml:space="preserve">Competitividade das Américas da RIAC, a realizar-se por meio virtual em 25 de fevereiro de 2021, sob a liderança do Governo do Equador, na sua qualidade de Presidente </w:t>
            </w:r>
            <w:r>
              <w:rPr>
                <w:i/>
                <w:iCs/>
                <w:sz w:val="22"/>
              </w:rPr>
              <w:t>Pro Tempore</w:t>
            </w:r>
            <w:r>
              <w:rPr>
                <w:sz w:val="22"/>
              </w:rPr>
              <w:t xml:space="preserve"> da RIAC </w:t>
            </w:r>
          </w:p>
          <w:p w14:paraId="52075904" w14:textId="77777777" w:rsidR="00EA177C" w:rsidRPr="00493A9B" w:rsidRDefault="00EA177C" w:rsidP="00493A9B">
            <w:pPr>
              <w:rPr>
                <w:sz w:val="22"/>
                <w:szCs w:val="22"/>
              </w:rPr>
            </w:pPr>
          </w:p>
        </w:tc>
        <w:tc>
          <w:tcPr>
            <w:tcW w:w="4140" w:type="dxa"/>
          </w:tcPr>
          <w:p w14:paraId="7EEED121" w14:textId="77777777" w:rsidR="00EA177C" w:rsidRPr="00493A9B" w:rsidRDefault="00EA177C" w:rsidP="00493A9B">
            <w:pPr>
              <w:rPr>
                <w:rFonts w:eastAsia="Calibri"/>
                <w:sz w:val="22"/>
                <w:szCs w:val="22"/>
              </w:rPr>
            </w:pPr>
            <w:r>
              <w:rPr>
                <w:sz w:val="22"/>
              </w:rPr>
              <w:lastRenderedPageBreak/>
              <w:t>Redefinição da Agenda de Competitividade para as Américas e assentamento das bases para a RIAC na recuperação pós-covid-19</w:t>
            </w:r>
          </w:p>
          <w:p w14:paraId="2AD9E7A9" w14:textId="77777777" w:rsidR="00EA177C" w:rsidRPr="00493A9B" w:rsidRDefault="00EA177C" w:rsidP="00493A9B">
            <w:pPr>
              <w:rPr>
                <w:sz w:val="22"/>
                <w:szCs w:val="22"/>
              </w:rPr>
            </w:pPr>
          </w:p>
        </w:tc>
        <w:tc>
          <w:tcPr>
            <w:tcW w:w="3420" w:type="dxa"/>
          </w:tcPr>
          <w:p w14:paraId="0498FDDD" w14:textId="77777777" w:rsidR="00EA177C" w:rsidRPr="00493A9B" w:rsidRDefault="00EA177C" w:rsidP="00493A9B">
            <w:pPr>
              <w:rPr>
                <w:sz w:val="22"/>
                <w:szCs w:val="22"/>
              </w:rPr>
            </w:pPr>
            <w:r>
              <w:rPr>
                <w:sz w:val="22"/>
              </w:rPr>
              <w:t>Implementação da abordagem baseada em dados para o avanço da competitividade e da resiliência em pelo menos dois estudos regionais feitos em Estados membros da OEA</w:t>
            </w:r>
          </w:p>
          <w:p w14:paraId="7C4FB4FD" w14:textId="77777777" w:rsidR="00EA177C" w:rsidRPr="00493A9B" w:rsidRDefault="00EA177C" w:rsidP="00493A9B">
            <w:pPr>
              <w:rPr>
                <w:sz w:val="22"/>
                <w:szCs w:val="22"/>
              </w:rPr>
            </w:pPr>
          </w:p>
        </w:tc>
        <w:tc>
          <w:tcPr>
            <w:tcW w:w="2880" w:type="dxa"/>
          </w:tcPr>
          <w:p w14:paraId="18DF4679" w14:textId="77777777" w:rsidR="00EA177C" w:rsidRPr="00493A9B" w:rsidRDefault="00EA177C" w:rsidP="00493A9B">
            <w:pPr>
              <w:rPr>
                <w:sz w:val="22"/>
                <w:szCs w:val="22"/>
              </w:rPr>
            </w:pPr>
            <w:r w:rsidRPr="00D8144C">
              <w:rPr>
                <w:b/>
                <w:sz w:val="22"/>
              </w:rPr>
              <w:lastRenderedPageBreak/>
              <w:t>Internas</w:t>
            </w:r>
            <w:r>
              <w:rPr>
                <w:b/>
                <w:sz w:val="22"/>
              </w:rPr>
              <w:t>:</w:t>
            </w:r>
          </w:p>
          <w:p w14:paraId="489F4D79" w14:textId="77777777" w:rsidR="00EA177C" w:rsidRPr="00493A9B" w:rsidRDefault="00EA177C" w:rsidP="00493A9B">
            <w:pPr>
              <w:autoSpaceDE w:val="0"/>
              <w:autoSpaceDN w:val="0"/>
              <w:adjustRightInd w:val="0"/>
              <w:rPr>
                <w:sz w:val="22"/>
                <w:szCs w:val="22"/>
              </w:rPr>
            </w:pPr>
            <w:r>
              <w:rPr>
                <w:sz w:val="22"/>
              </w:rPr>
              <w:t xml:space="preserve">Escritório Executivo da SEDI:  </w:t>
            </w:r>
          </w:p>
          <w:p w14:paraId="226BF9AB" w14:textId="77777777" w:rsidR="00EA177C" w:rsidRPr="00493A9B" w:rsidRDefault="00EA177C" w:rsidP="00493A9B">
            <w:pPr>
              <w:rPr>
                <w:sz w:val="22"/>
                <w:szCs w:val="22"/>
              </w:rPr>
            </w:pPr>
            <w:r>
              <w:rPr>
                <w:sz w:val="22"/>
              </w:rPr>
              <w:t xml:space="preserve">Escritório da Assessoria Estratégica de </w:t>
            </w:r>
            <w:r>
              <w:rPr>
                <w:sz w:val="22"/>
              </w:rPr>
              <w:lastRenderedPageBreak/>
              <w:t>Desenvolvimento Organizacional e Gestão por Resultados</w:t>
            </w:r>
          </w:p>
        </w:tc>
      </w:tr>
      <w:tr w:rsidR="00EA177C" w:rsidRPr="00493A9B" w14:paraId="1E53FE04" w14:textId="77777777" w:rsidTr="006D77D6">
        <w:trPr>
          <w:jc w:val="center"/>
        </w:trPr>
        <w:tc>
          <w:tcPr>
            <w:tcW w:w="3405" w:type="dxa"/>
          </w:tcPr>
          <w:p w14:paraId="30673FF1" w14:textId="77777777" w:rsidR="00EA177C" w:rsidRPr="00493A9B" w:rsidRDefault="00EA177C" w:rsidP="00493A9B">
            <w:pPr>
              <w:rPr>
                <w:sz w:val="22"/>
                <w:szCs w:val="22"/>
              </w:rPr>
            </w:pPr>
          </w:p>
        </w:tc>
        <w:tc>
          <w:tcPr>
            <w:tcW w:w="4140" w:type="dxa"/>
          </w:tcPr>
          <w:p w14:paraId="040CC0C5" w14:textId="77777777" w:rsidR="00EA177C" w:rsidRPr="00493A9B" w:rsidRDefault="00EA177C" w:rsidP="00493A9B">
            <w:pPr>
              <w:rPr>
                <w:sz w:val="22"/>
                <w:szCs w:val="22"/>
              </w:rPr>
            </w:pPr>
            <w:r>
              <w:rPr>
                <w:sz w:val="22"/>
              </w:rPr>
              <w:t>Abordagem baseada em dados para o avanço da competitividade e a promoção da resiliência nas Américas</w:t>
            </w:r>
          </w:p>
          <w:p w14:paraId="784BEC3A" w14:textId="77777777" w:rsidR="00EA177C" w:rsidRPr="00493A9B" w:rsidRDefault="00EA177C" w:rsidP="00493A9B">
            <w:pPr>
              <w:rPr>
                <w:sz w:val="22"/>
                <w:szCs w:val="22"/>
              </w:rPr>
            </w:pPr>
          </w:p>
        </w:tc>
        <w:tc>
          <w:tcPr>
            <w:tcW w:w="3420" w:type="dxa"/>
          </w:tcPr>
          <w:p w14:paraId="13B262C9" w14:textId="77777777" w:rsidR="00EA177C" w:rsidRPr="00493A9B" w:rsidRDefault="00EA177C" w:rsidP="00493A9B">
            <w:pPr>
              <w:rPr>
                <w:sz w:val="22"/>
                <w:szCs w:val="22"/>
              </w:rPr>
            </w:pPr>
            <w:r>
              <w:rPr>
                <w:sz w:val="22"/>
              </w:rPr>
              <w:t>Lançamento do programa-piloto: Certificação Interamericana de Licenças de Construção (guichê para licença de construção simplificada) em dois Estados Membros</w:t>
            </w:r>
          </w:p>
        </w:tc>
        <w:tc>
          <w:tcPr>
            <w:tcW w:w="2880" w:type="dxa"/>
          </w:tcPr>
          <w:p w14:paraId="3D847A48" w14:textId="77777777" w:rsidR="00EA177C" w:rsidRPr="00493A9B" w:rsidRDefault="00EA177C" w:rsidP="00493A9B">
            <w:pPr>
              <w:rPr>
                <w:sz w:val="22"/>
                <w:szCs w:val="22"/>
              </w:rPr>
            </w:pPr>
          </w:p>
        </w:tc>
      </w:tr>
      <w:tr w:rsidR="00EA177C" w:rsidRPr="00493A9B" w14:paraId="2FF8CECF" w14:textId="77777777" w:rsidTr="008C3207">
        <w:trPr>
          <w:jc w:val="center"/>
        </w:trPr>
        <w:tc>
          <w:tcPr>
            <w:tcW w:w="3405" w:type="dxa"/>
            <w:tcBorders>
              <w:bottom w:val="single" w:sz="6" w:space="0" w:color="auto"/>
            </w:tcBorders>
          </w:tcPr>
          <w:p w14:paraId="17449B79" w14:textId="77777777" w:rsidR="00EA177C" w:rsidRPr="00493A9B" w:rsidRDefault="00EA177C" w:rsidP="00493A9B">
            <w:pPr>
              <w:rPr>
                <w:sz w:val="22"/>
                <w:szCs w:val="22"/>
              </w:rPr>
            </w:pPr>
            <w:r>
              <w:rPr>
                <w:sz w:val="22"/>
              </w:rPr>
              <w:t>Grupo de Peritos em Competitividade Subnacional (GTECS): GT sobre Licenças de Construção – GTECS</w:t>
            </w:r>
          </w:p>
          <w:p w14:paraId="3E0D3764" w14:textId="77777777" w:rsidR="00EA177C" w:rsidRPr="00493A9B" w:rsidRDefault="00EA177C" w:rsidP="00493A9B">
            <w:pPr>
              <w:rPr>
                <w:sz w:val="22"/>
                <w:szCs w:val="22"/>
              </w:rPr>
            </w:pPr>
          </w:p>
        </w:tc>
        <w:tc>
          <w:tcPr>
            <w:tcW w:w="4140" w:type="dxa"/>
            <w:tcBorders>
              <w:bottom w:val="single" w:sz="6" w:space="0" w:color="auto"/>
            </w:tcBorders>
          </w:tcPr>
          <w:p w14:paraId="1C12C747" w14:textId="77777777" w:rsidR="00EA177C" w:rsidRPr="00493A9B" w:rsidRDefault="00EA177C" w:rsidP="00493A9B">
            <w:pPr>
              <w:rPr>
                <w:sz w:val="22"/>
                <w:szCs w:val="22"/>
              </w:rPr>
            </w:pPr>
            <w:r>
              <w:rPr>
                <w:sz w:val="22"/>
              </w:rPr>
              <w:t>Intercâmbio de boas práticas locais para a implementação de reformas regulatórias, particularmente na emissão de licenças de construção</w:t>
            </w:r>
          </w:p>
          <w:p w14:paraId="1773C15E" w14:textId="77777777" w:rsidR="00EA177C" w:rsidRPr="00493A9B" w:rsidRDefault="00EA177C" w:rsidP="00493A9B">
            <w:pPr>
              <w:rPr>
                <w:sz w:val="22"/>
                <w:szCs w:val="22"/>
              </w:rPr>
            </w:pPr>
          </w:p>
          <w:p w14:paraId="4ECDED11" w14:textId="77777777" w:rsidR="00EA177C" w:rsidRPr="00493A9B" w:rsidRDefault="00EA177C" w:rsidP="00493A9B">
            <w:pPr>
              <w:rPr>
                <w:sz w:val="22"/>
                <w:szCs w:val="22"/>
              </w:rPr>
            </w:pPr>
          </w:p>
        </w:tc>
        <w:tc>
          <w:tcPr>
            <w:tcW w:w="3420" w:type="dxa"/>
            <w:tcBorders>
              <w:bottom w:val="single" w:sz="6" w:space="0" w:color="auto"/>
            </w:tcBorders>
          </w:tcPr>
          <w:p w14:paraId="4D0C8EAD" w14:textId="77777777" w:rsidR="00EA177C" w:rsidRPr="00493A9B" w:rsidRDefault="00EA177C" w:rsidP="00493A9B">
            <w:pPr>
              <w:rPr>
                <w:sz w:val="22"/>
                <w:szCs w:val="22"/>
              </w:rPr>
            </w:pPr>
          </w:p>
        </w:tc>
        <w:tc>
          <w:tcPr>
            <w:tcW w:w="2880" w:type="dxa"/>
            <w:tcBorders>
              <w:bottom w:val="single" w:sz="6" w:space="0" w:color="auto"/>
            </w:tcBorders>
          </w:tcPr>
          <w:p w14:paraId="75CA5318" w14:textId="77777777" w:rsidR="00EA177C" w:rsidRPr="00493A9B" w:rsidRDefault="00EA177C" w:rsidP="00493A9B">
            <w:pPr>
              <w:rPr>
                <w:sz w:val="22"/>
                <w:szCs w:val="22"/>
              </w:rPr>
            </w:pPr>
            <w:r>
              <w:rPr>
                <w:b/>
                <w:sz w:val="22"/>
              </w:rPr>
              <w:t>Externas:</w:t>
            </w:r>
          </w:p>
          <w:p w14:paraId="6DE2AE29" w14:textId="77777777" w:rsidR="00EA177C" w:rsidRPr="00493A9B" w:rsidRDefault="00EA177C" w:rsidP="00493A9B">
            <w:pPr>
              <w:rPr>
                <w:sz w:val="22"/>
                <w:szCs w:val="22"/>
              </w:rPr>
            </w:pPr>
            <w:r>
              <w:rPr>
                <w:sz w:val="22"/>
              </w:rPr>
              <w:t xml:space="preserve">CONAMER–México, </w:t>
            </w:r>
          </w:p>
          <w:p w14:paraId="2C405135" w14:textId="77777777" w:rsidR="00EA177C" w:rsidRPr="00493A9B" w:rsidRDefault="00EA177C" w:rsidP="00493A9B">
            <w:pPr>
              <w:rPr>
                <w:sz w:val="22"/>
                <w:szCs w:val="22"/>
              </w:rPr>
            </w:pPr>
            <w:r>
              <w:rPr>
                <w:sz w:val="22"/>
              </w:rPr>
              <w:t>colaboração entre autoridades nacionais, estaduais e municipais do setor público, líderes do setor privado e do setor acadêmico de Estados membros da OEA</w:t>
            </w:r>
          </w:p>
          <w:p w14:paraId="3A7830E7" w14:textId="77777777" w:rsidR="00EA177C" w:rsidRPr="00493A9B" w:rsidRDefault="00EA177C" w:rsidP="00493A9B">
            <w:pPr>
              <w:rPr>
                <w:sz w:val="22"/>
                <w:szCs w:val="22"/>
              </w:rPr>
            </w:pPr>
          </w:p>
        </w:tc>
      </w:tr>
      <w:tr w:rsidR="008C3207" w:rsidRPr="00493A9B" w14:paraId="0DBAFEDF" w14:textId="77777777" w:rsidTr="008C3207">
        <w:trPr>
          <w:jc w:val="center"/>
        </w:trPr>
        <w:tc>
          <w:tcPr>
            <w:tcW w:w="3405" w:type="dxa"/>
            <w:tcBorders>
              <w:top w:val="single" w:sz="6" w:space="0" w:color="auto"/>
              <w:bottom w:val="single" w:sz="6" w:space="0" w:color="auto"/>
            </w:tcBorders>
            <w:shd w:val="clear" w:color="auto" w:fill="BFBFBF" w:themeFill="background1" w:themeFillShade="BF"/>
            <w:vAlign w:val="center"/>
          </w:tcPr>
          <w:p w14:paraId="77229A36" w14:textId="77777777" w:rsidR="008C3207" w:rsidRPr="00493A9B" w:rsidRDefault="008C3207" w:rsidP="00493A9B">
            <w:pPr>
              <w:rPr>
                <w:b/>
                <w:bCs/>
                <w:color w:val="000000" w:themeColor="text1"/>
                <w:sz w:val="22"/>
                <w:szCs w:val="22"/>
              </w:rPr>
            </w:pPr>
            <w:r>
              <w:rPr>
                <w:b/>
                <w:color w:val="000000" w:themeColor="text1"/>
                <w:sz w:val="22"/>
              </w:rPr>
              <w:t>OBJETIVO ESTRATÉGICO</w:t>
            </w:r>
          </w:p>
        </w:tc>
        <w:tc>
          <w:tcPr>
            <w:tcW w:w="10440" w:type="dxa"/>
            <w:gridSpan w:val="3"/>
            <w:tcBorders>
              <w:top w:val="single" w:sz="6" w:space="0" w:color="auto"/>
              <w:bottom w:val="single" w:sz="6" w:space="0" w:color="auto"/>
            </w:tcBorders>
            <w:shd w:val="clear" w:color="auto" w:fill="BFBFBF" w:themeFill="background1" w:themeFillShade="BF"/>
          </w:tcPr>
          <w:p w14:paraId="0583009B" w14:textId="77777777" w:rsidR="008C3207" w:rsidRPr="00493A9B" w:rsidRDefault="008C3207" w:rsidP="00493A9B">
            <w:pPr>
              <w:rPr>
                <w:b/>
                <w:bCs/>
                <w:color w:val="000000" w:themeColor="text1"/>
                <w:sz w:val="22"/>
                <w:szCs w:val="22"/>
              </w:rPr>
            </w:pPr>
            <w:r>
              <w:rPr>
                <w:b/>
                <w:color w:val="000000" w:themeColor="text1"/>
                <w:sz w:val="22"/>
              </w:rPr>
              <w:t>1.2. Aumentar a cooperação regional, o intercâmbio de conhecimentos e a transferência de tecnologia em termos e condições mutuamente acordados, além da colaboração intersetorial nos Estados membros e entre eles, em matéria de competitividade, produtividade e inovação.</w:t>
            </w:r>
          </w:p>
        </w:tc>
      </w:tr>
      <w:tr w:rsidR="008C3207" w:rsidRPr="00493A9B" w14:paraId="2BD3F3C3" w14:textId="77777777" w:rsidTr="008C3207">
        <w:trPr>
          <w:jc w:val="center"/>
        </w:trPr>
        <w:tc>
          <w:tcPr>
            <w:tcW w:w="13845" w:type="dxa"/>
            <w:gridSpan w:val="4"/>
            <w:tcBorders>
              <w:top w:val="single" w:sz="6" w:space="0" w:color="auto"/>
              <w:bottom w:val="single" w:sz="6" w:space="0" w:color="auto"/>
            </w:tcBorders>
            <w:shd w:val="clear" w:color="auto" w:fill="D9D9D9" w:themeFill="background1" w:themeFillShade="D9"/>
          </w:tcPr>
          <w:p w14:paraId="59D06C34" w14:textId="77777777" w:rsidR="008C3207" w:rsidRPr="00493A9B" w:rsidRDefault="008C3207" w:rsidP="00493A9B">
            <w:pPr>
              <w:rPr>
                <w:b/>
                <w:sz w:val="22"/>
                <w:szCs w:val="22"/>
              </w:rPr>
            </w:pPr>
            <w:r>
              <w:rPr>
                <w:b/>
                <w:color w:val="000000" w:themeColor="text1"/>
                <w:sz w:val="22"/>
              </w:rPr>
              <w:t>Competitividade:</w:t>
            </w:r>
          </w:p>
        </w:tc>
      </w:tr>
      <w:tr w:rsidR="00EA177C" w:rsidRPr="00493A9B" w14:paraId="22321ECC" w14:textId="77777777" w:rsidTr="008C3207">
        <w:trPr>
          <w:jc w:val="center"/>
        </w:trPr>
        <w:tc>
          <w:tcPr>
            <w:tcW w:w="3405" w:type="dxa"/>
            <w:tcBorders>
              <w:top w:val="single" w:sz="6" w:space="0" w:color="auto"/>
            </w:tcBorders>
          </w:tcPr>
          <w:p w14:paraId="7D3B56C1" w14:textId="77777777" w:rsidR="00EA177C" w:rsidRPr="003E72BC" w:rsidRDefault="00EA177C" w:rsidP="00493A9B">
            <w:pPr>
              <w:rPr>
                <w:sz w:val="22"/>
                <w:szCs w:val="22"/>
              </w:rPr>
            </w:pPr>
            <w:r w:rsidRPr="003E72BC">
              <w:rPr>
                <w:sz w:val="22"/>
              </w:rPr>
              <w:t>Intercâmbio para a Competitividade das Américas em Inovação e Empreendedorismo (ACE);</w:t>
            </w:r>
          </w:p>
          <w:p w14:paraId="687C1EED" w14:textId="77777777" w:rsidR="00EA177C" w:rsidRPr="003E72BC" w:rsidRDefault="00EA177C" w:rsidP="00493A9B">
            <w:pPr>
              <w:rPr>
                <w:sz w:val="22"/>
                <w:szCs w:val="22"/>
              </w:rPr>
            </w:pPr>
            <w:r w:rsidRPr="003E72BC">
              <w:rPr>
                <w:sz w:val="22"/>
              </w:rPr>
              <w:t xml:space="preserve"> </w:t>
            </w:r>
          </w:p>
          <w:p w14:paraId="7CBB4AD4" w14:textId="77777777" w:rsidR="00EA177C" w:rsidRPr="003E72BC" w:rsidRDefault="00EA177C" w:rsidP="00493A9B">
            <w:pPr>
              <w:pStyle w:val="ListParagraph"/>
              <w:numPr>
                <w:ilvl w:val="0"/>
                <w:numId w:val="5"/>
              </w:numPr>
              <w:ind w:left="180" w:hanging="180"/>
              <w:rPr>
                <w:sz w:val="22"/>
                <w:szCs w:val="22"/>
              </w:rPr>
            </w:pPr>
            <w:r w:rsidRPr="003E72BC">
              <w:rPr>
                <w:sz w:val="22"/>
              </w:rPr>
              <w:t>ACE 13: Colorado (EUA): 1-6 de agosto de 2020 (a confirmar)</w:t>
            </w:r>
          </w:p>
          <w:p w14:paraId="383293F6" w14:textId="77777777" w:rsidR="00EA177C" w:rsidRPr="003E72BC" w:rsidRDefault="00EA177C" w:rsidP="00493A9B">
            <w:pPr>
              <w:pStyle w:val="ListParagraph"/>
              <w:numPr>
                <w:ilvl w:val="0"/>
                <w:numId w:val="5"/>
              </w:numPr>
              <w:ind w:left="180" w:hanging="180"/>
              <w:rPr>
                <w:sz w:val="22"/>
                <w:szCs w:val="22"/>
              </w:rPr>
            </w:pPr>
            <w:r w:rsidRPr="003E72BC">
              <w:rPr>
                <w:sz w:val="22"/>
              </w:rPr>
              <w:t>ACE 14: Louisiana (EUA): 7-12 de novembro de 2021 (a confirmar)</w:t>
            </w:r>
          </w:p>
        </w:tc>
        <w:tc>
          <w:tcPr>
            <w:tcW w:w="4140" w:type="dxa"/>
            <w:tcBorders>
              <w:top w:val="single" w:sz="6" w:space="0" w:color="auto"/>
            </w:tcBorders>
          </w:tcPr>
          <w:p w14:paraId="07632268" w14:textId="77777777" w:rsidR="00EA177C" w:rsidRPr="00493A9B" w:rsidRDefault="00EA177C" w:rsidP="00493A9B">
            <w:pPr>
              <w:tabs>
                <w:tab w:val="left" w:pos="177"/>
              </w:tabs>
              <w:rPr>
                <w:sz w:val="22"/>
                <w:szCs w:val="22"/>
              </w:rPr>
            </w:pPr>
            <w:r>
              <w:rPr>
                <w:sz w:val="22"/>
              </w:rPr>
              <w:t>Compartilhamento de soluções, experiências de cidades/loca</w:t>
            </w:r>
            <w:r w:rsidR="003E72BC">
              <w:rPr>
                <w:sz w:val="22"/>
              </w:rPr>
              <w:t>lidades</w:t>
            </w:r>
            <w:r>
              <w:rPr>
                <w:sz w:val="22"/>
              </w:rPr>
              <w:t xml:space="preserve"> líderes em resiliência econômica para a competitividade e recuperação econômica pós-covid-19, criando parcerias </w:t>
            </w:r>
          </w:p>
          <w:p w14:paraId="012BA1B0" w14:textId="77777777" w:rsidR="00EA177C" w:rsidRPr="00493A9B" w:rsidRDefault="00EA177C" w:rsidP="00493A9B">
            <w:pPr>
              <w:rPr>
                <w:sz w:val="22"/>
                <w:szCs w:val="22"/>
              </w:rPr>
            </w:pPr>
          </w:p>
        </w:tc>
        <w:tc>
          <w:tcPr>
            <w:tcW w:w="3420" w:type="dxa"/>
            <w:tcBorders>
              <w:top w:val="single" w:sz="6" w:space="0" w:color="auto"/>
            </w:tcBorders>
          </w:tcPr>
          <w:p w14:paraId="01E68F5E" w14:textId="77777777" w:rsidR="00EA177C" w:rsidRPr="00493A9B" w:rsidRDefault="003E72BC" w:rsidP="00493A9B">
            <w:pPr>
              <w:rPr>
                <w:sz w:val="22"/>
                <w:szCs w:val="22"/>
              </w:rPr>
            </w:pPr>
            <w:r>
              <w:rPr>
                <w:sz w:val="22"/>
              </w:rPr>
              <w:t>C</w:t>
            </w:r>
            <w:r w:rsidR="00EA177C">
              <w:rPr>
                <w:sz w:val="22"/>
              </w:rPr>
              <w:t>onstrução de 10 parcerias de longo prazo em torno de desenvolvimento econômico e de resiliência locais baseados em inovação</w:t>
            </w:r>
          </w:p>
          <w:p w14:paraId="0516C5FF" w14:textId="77777777" w:rsidR="00EA177C" w:rsidRPr="00493A9B" w:rsidRDefault="00EA177C" w:rsidP="00493A9B">
            <w:pPr>
              <w:rPr>
                <w:sz w:val="22"/>
                <w:szCs w:val="22"/>
              </w:rPr>
            </w:pPr>
          </w:p>
        </w:tc>
        <w:tc>
          <w:tcPr>
            <w:tcW w:w="2880" w:type="dxa"/>
            <w:tcBorders>
              <w:top w:val="single" w:sz="6" w:space="0" w:color="auto"/>
            </w:tcBorders>
          </w:tcPr>
          <w:p w14:paraId="55B67321" w14:textId="77777777" w:rsidR="00EA177C" w:rsidRPr="00493A9B" w:rsidRDefault="00EA177C" w:rsidP="00493A9B">
            <w:pPr>
              <w:rPr>
                <w:sz w:val="22"/>
                <w:szCs w:val="22"/>
              </w:rPr>
            </w:pPr>
            <w:r>
              <w:rPr>
                <w:b/>
                <w:sz w:val="22"/>
              </w:rPr>
              <w:t>Internas:</w:t>
            </w:r>
          </w:p>
          <w:p w14:paraId="536B9FFC" w14:textId="77777777" w:rsidR="00EA177C" w:rsidRPr="00493A9B" w:rsidRDefault="00EA177C" w:rsidP="00493A9B">
            <w:pPr>
              <w:autoSpaceDE w:val="0"/>
              <w:autoSpaceDN w:val="0"/>
              <w:adjustRightInd w:val="0"/>
              <w:rPr>
                <w:sz w:val="22"/>
                <w:szCs w:val="22"/>
              </w:rPr>
            </w:pPr>
            <w:r>
              <w:rPr>
                <w:sz w:val="22"/>
              </w:rPr>
              <w:t>Escritório Executivo e Departamentos da SEDI</w:t>
            </w:r>
          </w:p>
          <w:p w14:paraId="62E575F7" w14:textId="77777777" w:rsidR="00EA177C" w:rsidRPr="00493A9B" w:rsidRDefault="00EA177C" w:rsidP="00493A9B">
            <w:pPr>
              <w:rPr>
                <w:sz w:val="22"/>
                <w:szCs w:val="22"/>
              </w:rPr>
            </w:pPr>
          </w:p>
          <w:p w14:paraId="17EB6265" w14:textId="77777777" w:rsidR="00EA177C" w:rsidRPr="00493A9B" w:rsidRDefault="00EA177C" w:rsidP="00493A9B">
            <w:pPr>
              <w:rPr>
                <w:sz w:val="22"/>
                <w:szCs w:val="22"/>
              </w:rPr>
            </w:pPr>
            <w:r>
              <w:rPr>
                <w:b/>
                <w:sz w:val="22"/>
              </w:rPr>
              <w:t>Externas:</w:t>
            </w:r>
          </w:p>
          <w:p w14:paraId="3C2A721E" w14:textId="77777777" w:rsidR="00EA177C" w:rsidRPr="00493A9B" w:rsidRDefault="00EA177C" w:rsidP="00493A9B">
            <w:pPr>
              <w:rPr>
                <w:sz w:val="22"/>
                <w:szCs w:val="22"/>
              </w:rPr>
            </w:pPr>
            <w:r>
              <w:rPr>
                <w:sz w:val="22"/>
              </w:rPr>
              <w:t>Departamento de Comércio (EDA e ITA) e Departamento de Estado dos EUA, FUPAD,</w:t>
            </w:r>
          </w:p>
          <w:p w14:paraId="4368AFEE" w14:textId="77777777" w:rsidR="00EA177C" w:rsidRPr="00493A9B" w:rsidRDefault="00EA177C" w:rsidP="00493A9B">
            <w:pPr>
              <w:rPr>
                <w:sz w:val="22"/>
                <w:szCs w:val="22"/>
              </w:rPr>
            </w:pPr>
            <w:r>
              <w:rPr>
                <w:sz w:val="22"/>
              </w:rPr>
              <w:t>Estados membros da OEA, setor privado e setor acadêmico</w:t>
            </w:r>
          </w:p>
        </w:tc>
      </w:tr>
      <w:tr w:rsidR="00EA177C" w:rsidRPr="00493A9B" w14:paraId="717D3D66" w14:textId="77777777" w:rsidTr="006D77D6">
        <w:trPr>
          <w:jc w:val="center"/>
        </w:trPr>
        <w:tc>
          <w:tcPr>
            <w:tcW w:w="3405" w:type="dxa"/>
            <w:tcBorders>
              <w:bottom w:val="single" w:sz="6" w:space="0" w:color="auto"/>
            </w:tcBorders>
          </w:tcPr>
          <w:p w14:paraId="77D429B5" w14:textId="77777777" w:rsidR="00EA177C" w:rsidRPr="00493A9B" w:rsidRDefault="00EA177C" w:rsidP="00493A9B">
            <w:pPr>
              <w:rPr>
                <w:sz w:val="22"/>
                <w:szCs w:val="22"/>
              </w:rPr>
            </w:pPr>
            <w:r>
              <w:rPr>
                <w:sz w:val="22"/>
              </w:rPr>
              <w:lastRenderedPageBreak/>
              <w:t xml:space="preserve">Acelerador de Ideias da RIAC para a Covid-19  </w:t>
            </w:r>
          </w:p>
          <w:p w14:paraId="21510E66" w14:textId="77777777" w:rsidR="00EA177C" w:rsidRPr="00493A9B" w:rsidRDefault="00EA177C" w:rsidP="00493A9B">
            <w:pPr>
              <w:rPr>
                <w:sz w:val="22"/>
                <w:szCs w:val="22"/>
              </w:rPr>
            </w:pPr>
          </w:p>
        </w:tc>
        <w:tc>
          <w:tcPr>
            <w:tcW w:w="4140" w:type="dxa"/>
            <w:tcBorders>
              <w:bottom w:val="single" w:sz="6" w:space="0" w:color="auto"/>
            </w:tcBorders>
          </w:tcPr>
          <w:p w14:paraId="3DA22C75" w14:textId="77777777" w:rsidR="00EA177C" w:rsidRPr="00493A9B" w:rsidRDefault="00EA177C" w:rsidP="00493A9B">
            <w:pPr>
              <w:rPr>
                <w:sz w:val="22"/>
                <w:szCs w:val="22"/>
              </w:rPr>
            </w:pPr>
            <w:r>
              <w:rPr>
                <w:color w:val="262626"/>
                <w:sz w:val="22"/>
              </w:rPr>
              <w:t>Identificar e compartilhar estratégias, produtos e serviços inovadores e voltados a soluções</w:t>
            </w:r>
            <w:r>
              <w:rPr>
                <w:sz w:val="22"/>
              </w:rPr>
              <w:t xml:space="preserve"> para a recuperação econômica e a resiliência pós-covid-19</w:t>
            </w:r>
          </w:p>
          <w:p w14:paraId="11905056" w14:textId="77777777" w:rsidR="00EA177C" w:rsidRPr="00493A9B" w:rsidRDefault="00EA177C" w:rsidP="00493A9B">
            <w:pPr>
              <w:rPr>
                <w:sz w:val="22"/>
                <w:szCs w:val="22"/>
              </w:rPr>
            </w:pPr>
          </w:p>
        </w:tc>
        <w:tc>
          <w:tcPr>
            <w:tcW w:w="3420" w:type="dxa"/>
            <w:tcBorders>
              <w:bottom w:val="single" w:sz="6" w:space="0" w:color="auto"/>
            </w:tcBorders>
          </w:tcPr>
          <w:p w14:paraId="68669FD3" w14:textId="77777777" w:rsidR="00EA177C" w:rsidRPr="00493A9B" w:rsidRDefault="00EA177C" w:rsidP="00493A9B">
            <w:pPr>
              <w:rPr>
                <w:sz w:val="22"/>
                <w:szCs w:val="22"/>
              </w:rPr>
            </w:pPr>
            <w:r>
              <w:rPr>
                <w:sz w:val="22"/>
              </w:rPr>
              <w:t xml:space="preserve">Apresentação de pelo menos 20 novas soluções e estratégias inovadoras no Acelerador de Ideias da RIAC para a Covid-19  </w:t>
            </w:r>
          </w:p>
        </w:tc>
        <w:tc>
          <w:tcPr>
            <w:tcW w:w="2880" w:type="dxa"/>
            <w:tcBorders>
              <w:bottom w:val="single" w:sz="6" w:space="0" w:color="auto"/>
            </w:tcBorders>
          </w:tcPr>
          <w:p w14:paraId="440E3E6A" w14:textId="77777777" w:rsidR="00EA177C" w:rsidRPr="00493A9B" w:rsidRDefault="00EA177C" w:rsidP="00493A9B">
            <w:pPr>
              <w:rPr>
                <w:sz w:val="22"/>
                <w:szCs w:val="22"/>
              </w:rPr>
            </w:pPr>
          </w:p>
        </w:tc>
      </w:tr>
      <w:tr w:rsidR="008C3207" w:rsidRPr="00493A9B" w14:paraId="4774A1E0" w14:textId="77777777" w:rsidTr="006D77D6">
        <w:trPr>
          <w:jc w:val="center"/>
        </w:trPr>
        <w:tc>
          <w:tcPr>
            <w:tcW w:w="3405" w:type="dxa"/>
            <w:tcBorders>
              <w:top w:val="single" w:sz="6" w:space="0" w:color="auto"/>
              <w:bottom w:val="single" w:sz="6" w:space="0" w:color="auto"/>
            </w:tcBorders>
            <w:shd w:val="clear" w:color="auto" w:fill="BFBFBF" w:themeFill="background1" w:themeFillShade="BF"/>
            <w:vAlign w:val="center"/>
          </w:tcPr>
          <w:p w14:paraId="6CA96A89" w14:textId="77777777" w:rsidR="008C3207" w:rsidRPr="00493A9B" w:rsidRDefault="003E72BC" w:rsidP="00493A9B">
            <w:pPr>
              <w:rPr>
                <w:b/>
                <w:sz w:val="22"/>
                <w:szCs w:val="22"/>
              </w:rPr>
            </w:pPr>
            <w:r>
              <w:rPr>
                <w:b/>
                <w:sz w:val="22"/>
              </w:rPr>
              <w:t xml:space="preserve">OBJETIVO </w:t>
            </w:r>
            <w:r w:rsidR="008C3207">
              <w:rPr>
                <w:b/>
                <w:sz w:val="22"/>
              </w:rPr>
              <w:t xml:space="preserve">ESTRATÉGICO </w:t>
            </w:r>
          </w:p>
          <w:p w14:paraId="3A690CF8" w14:textId="77777777" w:rsidR="008C3207" w:rsidRPr="00493A9B" w:rsidRDefault="008C3207" w:rsidP="00493A9B">
            <w:pPr>
              <w:rPr>
                <w:b/>
                <w:sz w:val="22"/>
                <w:szCs w:val="22"/>
              </w:rPr>
            </w:pPr>
          </w:p>
        </w:tc>
        <w:tc>
          <w:tcPr>
            <w:tcW w:w="10440" w:type="dxa"/>
            <w:gridSpan w:val="3"/>
            <w:tcBorders>
              <w:top w:val="single" w:sz="6" w:space="0" w:color="auto"/>
              <w:bottom w:val="single" w:sz="6" w:space="0" w:color="auto"/>
            </w:tcBorders>
            <w:shd w:val="clear" w:color="auto" w:fill="BFBFBF" w:themeFill="background1" w:themeFillShade="BF"/>
          </w:tcPr>
          <w:p w14:paraId="6B236207" w14:textId="77777777" w:rsidR="008C3207" w:rsidRPr="00493A9B" w:rsidRDefault="008C3207" w:rsidP="00493A9B">
            <w:pPr>
              <w:rPr>
                <w:b/>
                <w:sz w:val="22"/>
                <w:szCs w:val="22"/>
              </w:rPr>
            </w:pPr>
            <w:r>
              <w:rPr>
                <w:b/>
                <w:sz w:val="22"/>
              </w:rPr>
              <w:t>1.3. Aumentar a cooperação para fortalecer a capacidade institucional dos Estados membros de incorporar inovação e tecnologia transformadoras, que gerem valor agregado e diversificação de suas economias, de maneira sustentável e inclusiva.</w:t>
            </w:r>
          </w:p>
        </w:tc>
      </w:tr>
      <w:tr w:rsidR="008C3207" w:rsidRPr="00493A9B" w14:paraId="332C58B0" w14:textId="77777777" w:rsidTr="006D77D6">
        <w:trPr>
          <w:jc w:val="center"/>
        </w:trPr>
        <w:tc>
          <w:tcPr>
            <w:tcW w:w="13845" w:type="dxa"/>
            <w:gridSpan w:val="4"/>
            <w:tcBorders>
              <w:top w:val="single" w:sz="6" w:space="0" w:color="auto"/>
            </w:tcBorders>
            <w:shd w:val="clear" w:color="auto" w:fill="D9D9D9" w:themeFill="background1" w:themeFillShade="D9"/>
          </w:tcPr>
          <w:p w14:paraId="6072E79D" w14:textId="77777777" w:rsidR="008C3207" w:rsidRPr="00493A9B" w:rsidRDefault="008C3207" w:rsidP="00493A9B">
            <w:pPr>
              <w:rPr>
                <w:b/>
                <w:sz w:val="22"/>
                <w:szCs w:val="22"/>
              </w:rPr>
            </w:pPr>
            <w:r>
              <w:rPr>
                <w:b/>
                <w:sz w:val="22"/>
              </w:rPr>
              <w:t>Ciência e Tecnologia</w:t>
            </w:r>
          </w:p>
        </w:tc>
      </w:tr>
      <w:tr w:rsidR="006D77D6" w:rsidRPr="00493A9B" w14:paraId="38E17B29" w14:textId="77777777" w:rsidTr="006D77D6">
        <w:trPr>
          <w:jc w:val="center"/>
        </w:trPr>
        <w:tc>
          <w:tcPr>
            <w:tcW w:w="3405" w:type="dxa"/>
          </w:tcPr>
          <w:p w14:paraId="47532BEF" w14:textId="77777777" w:rsidR="006D77D6" w:rsidRPr="00493A9B" w:rsidRDefault="006D77D6" w:rsidP="00493A9B">
            <w:pPr>
              <w:tabs>
                <w:tab w:val="left" w:pos="177"/>
              </w:tabs>
              <w:rPr>
                <w:sz w:val="22"/>
                <w:szCs w:val="22"/>
              </w:rPr>
            </w:pPr>
            <w:r>
              <w:rPr>
                <w:sz w:val="22"/>
              </w:rPr>
              <w:t>Quarta Reunião de Ministros e Altas Autoridades de Ciência e Tecnologia e reunião preparatória</w:t>
            </w:r>
            <w:r w:rsidR="003E72BC">
              <w:rPr>
                <w:sz w:val="22"/>
              </w:rPr>
              <w:t>.</w:t>
            </w:r>
            <w:r>
              <w:rPr>
                <w:sz w:val="22"/>
              </w:rPr>
              <w:t xml:space="preserve">  Tema: “Como aproveitar o potencial da ciência e das tecnologias transformadoras para impulsionar nossas comunidades” (Jamaica, datas a confirmar)</w:t>
            </w:r>
          </w:p>
        </w:tc>
        <w:tc>
          <w:tcPr>
            <w:tcW w:w="4140" w:type="dxa"/>
          </w:tcPr>
          <w:p w14:paraId="5CC93B0D" w14:textId="77777777" w:rsidR="006D77D6" w:rsidRPr="00493A9B" w:rsidRDefault="006D77D6" w:rsidP="00493A9B">
            <w:pPr>
              <w:tabs>
                <w:tab w:val="left" w:pos="177"/>
              </w:tabs>
              <w:rPr>
                <w:sz w:val="22"/>
                <w:szCs w:val="22"/>
              </w:rPr>
            </w:pPr>
            <w:r>
              <w:rPr>
                <w:sz w:val="22"/>
              </w:rPr>
              <w:t xml:space="preserve">A reunião ministerial é uma oportunidade para definir prioridades regionais factíveis sobre o papel da ciência e da tecnologia no apoio à resiliência, à recuperação pós-covid-19 e à prontidão </w:t>
            </w:r>
          </w:p>
          <w:p w14:paraId="2EEB49A6" w14:textId="77777777" w:rsidR="006D77D6" w:rsidRPr="00493A9B" w:rsidRDefault="006D77D6" w:rsidP="00493A9B">
            <w:pPr>
              <w:rPr>
                <w:sz w:val="22"/>
                <w:szCs w:val="22"/>
              </w:rPr>
            </w:pPr>
          </w:p>
        </w:tc>
        <w:tc>
          <w:tcPr>
            <w:tcW w:w="3420" w:type="dxa"/>
          </w:tcPr>
          <w:p w14:paraId="13753CAD" w14:textId="77777777" w:rsidR="006D77D6" w:rsidRPr="00493A9B" w:rsidRDefault="006D77D6" w:rsidP="00493A9B">
            <w:pPr>
              <w:autoSpaceDE w:val="0"/>
              <w:autoSpaceDN w:val="0"/>
              <w:adjustRightInd w:val="0"/>
              <w:rPr>
                <w:sz w:val="22"/>
                <w:szCs w:val="22"/>
              </w:rPr>
            </w:pPr>
            <w:r>
              <w:rPr>
                <w:sz w:val="22"/>
              </w:rPr>
              <w:t>Definição, por parte dos Estados membros da OEA, das prioridades científicas e tecnológicas e das ações-chave da COMCYT destinadas a apoiar a resiliência e a recuperação dos Estados membros da OEA</w:t>
            </w:r>
          </w:p>
          <w:p w14:paraId="13A56462" w14:textId="77777777" w:rsidR="006D77D6" w:rsidRPr="00493A9B" w:rsidRDefault="006D77D6" w:rsidP="00493A9B">
            <w:pPr>
              <w:rPr>
                <w:sz w:val="22"/>
                <w:szCs w:val="22"/>
              </w:rPr>
            </w:pPr>
          </w:p>
        </w:tc>
        <w:tc>
          <w:tcPr>
            <w:tcW w:w="2880" w:type="dxa"/>
          </w:tcPr>
          <w:p w14:paraId="4B08CB88" w14:textId="77777777" w:rsidR="006D77D6" w:rsidRPr="00493A9B" w:rsidRDefault="006D77D6" w:rsidP="00493A9B">
            <w:pPr>
              <w:rPr>
                <w:sz w:val="22"/>
                <w:szCs w:val="22"/>
              </w:rPr>
            </w:pPr>
            <w:r>
              <w:rPr>
                <w:b/>
                <w:sz w:val="22"/>
              </w:rPr>
              <w:t>Internas:</w:t>
            </w:r>
          </w:p>
          <w:p w14:paraId="2B7508A2" w14:textId="77777777" w:rsidR="006D77D6" w:rsidRPr="00493A9B" w:rsidRDefault="006D77D6" w:rsidP="00493A9B">
            <w:pPr>
              <w:rPr>
                <w:sz w:val="22"/>
                <w:szCs w:val="22"/>
              </w:rPr>
            </w:pPr>
            <w:r>
              <w:rPr>
                <w:sz w:val="22"/>
              </w:rPr>
              <w:t>Escritório Executivo e Departamentos da SEDI</w:t>
            </w:r>
          </w:p>
          <w:p w14:paraId="43D8FBBA" w14:textId="77777777" w:rsidR="006D77D6" w:rsidRPr="00493A9B" w:rsidRDefault="006D77D6" w:rsidP="00493A9B">
            <w:pPr>
              <w:rPr>
                <w:sz w:val="22"/>
                <w:szCs w:val="22"/>
              </w:rPr>
            </w:pPr>
          </w:p>
          <w:p w14:paraId="763DF658" w14:textId="77777777" w:rsidR="006D77D6" w:rsidRPr="00493A9B" w:rsidRDefault="006D77D6" w:rsidP="00493A9B">
            <w:pPr>
              <w:rPr>
                <w:sz w:val="22"/>
                <w:szCs w:val="22"/>
              </w:rPr>
            </w:pPr>
            <w:r>
              <w:rPr>
                <w:b/>
                <w:sz w:val="22"/>
              </w:rPr>
              <w:t>Externas:</w:t>
            </w:r>
          </w:p>
          <w:p w14:paraId="42207DC3" w14:textId="77777777" w:rsidR="006D77D6" w:rsidRPr="00493A9B" w:rsidRDefault="006D77D6" w:rsidP="00493A9B">
            <w:pPr>
              <w:rPr>
                <w:sz w:val="22"/>
                <w:szCs w:val="22"/>
              </w:rPr>
            </w:pPr>
            <w:r>
              <w:rPr>
                <w:sz w:val="22"/>
              </w:rPr>
              <w:t xml:space="preserve">MSET – Jamaica, NCST – Jamaica </w:t>
            </w:r>
          </w:p>
          <w:p w14:paraId="73857BFA" w14:textId="77777777" w:rsidR="006D77D6" w:rsidRPr="00493A9B" w:rsidRDefault="006D77D6" w:rsidP="00493A9B">
            <w:pPr>
              <w:rPr>
                <w:sz w:val="22"/>
                <w:szCs w:val="22"/>
              </w:rPr>
            </w:pPr>
            <w:r>
              <w:rPr>
                <w:sz w:val="22"/>
              </w:rPr>
              <w:t xml:space="preserve">MINCIENCIAS – Colômbia </w:t>
            </w:r>
          </w:p>
          <w:p w14:paraId="62F2135D" w14:textId="77777777" w:rsidR="006D77D6" w:rsidRPr="00493A9B" w:rsidRDefault="006D77D6" w:rsidP="00493A9B">
            <w:pPr>
              <w:rPr>
                <w:sz w:val="22"/>
                <w:szCs w:val="22"/>
              </w:rPr>
            </w:pPr>
            <w:r>
              <w:rPr>
                <w:sz w:val="22"/>
              </w:rPr>
              <w:t>CONCYTEC – Peru, CONACYT – México, CIBNOR – México</w:t>
            </w:r>
          </w:p>
          <w:p w14:paraId="7BDDC633" w14:textId="77777777" w:rsidR="006D77D6" w:rsidRPr="00493A9B" w:rsidRDefault="006D77D6" w:rsidP="00493A9B">
            <w:pPr>
              <w:rPr>
                <w:sz w:val="22"/>
                <w:szCs w:val="22"/>
              </w:rPr>
            </w:pPr>
            <w:r>
              <w:rPr>
                <w:sz w:val="22"/>
              </w:rPr>
              <w:t xml:space="preserve">SENACYT – Guatemala, CORFO – Chile, Universidade Purdue, PUCP – Peru, Universidade da Costa Rica, UNAM, Rede OTT México, Instituto de Tecnologia de Illinois, Universidade de Georgetown, </w:t>
            </w:r>
          </w:p>
          <w:p w14:paraId="0609968E" w14:textId="77777777" w:rsidR="006D77D6" w:rsidRPr="00493A9B" w:rsidRDefault="006D77D6" w:rsidP="00493A9B">
            <w:pPr>
              <w:rPr>
                <w:sz w:val="22"/>
                <w:szCs w:val="22"/>
              </w:rPr>
            </w:pPr>
            <w:r>
              <w:rPr>
                <w:sz w:val="22"/>
              </w:rPr>
              <w:t>AWS e outros parceiros do setor privado e de universidades.</w:t>
            </w:r>
          </w:p>
        </w:tc>
      </w:tr>
      <w:tr w:rsidR="006D77D6" w:rsidRPr="00493A9B" w14:paraId="5673262B" w14:textId="77777777" w:rsidTr="006D77D6">
        <w:trPr>
          <w:jc w:val="center"/>
        </w:trPr>
        <w:tc>
          <w:tcPr>
            <w:tcW w:w="3405" w:type="dxa"/>
          </w:tcPr>
          <w:p w14:paraId="3D3EA8DD" w14:textId="77777777" w:rsidR="006D77D6" w:rsidRPr="00493A9B" w:rsidRDefault="006D77D6" w:rsidP="00493A9B">
            <w:pPr>
              <w:autoSpaceDE w:val="0"/>
              <w:autoSpaceDN w:val="0"/>
              <w:adjustRightInd w:val="0"/>
              <w:rPr>
                <w:sz w:val="22"/>
                <w:szCs w:val="22"/>
              </w:rPr>
            </w:pPr>
            <w:r>
              <w:rPr>
                <w:sz w:val="22"/>
              </w:rPr>
              <w:t>Grupos de Trabalho da COMCYT sobre a) Inovação; b) Educação em Engenharia; c) Infraestrutura de Qualidade Nacional; d) Desenvolvimento Tecnológico.</w:t>
            </w:r>
          </w:p>
          <w:p w14:paraId="27E0FF60" w14:textId="77777777" w:rsidR="006D77D6" w:rsidRPr="00493A9B" w:rsidRDefault="006D77D6" w:rsidP="00493A9B">
            <w:pPr>
              <w:autoSpaceDE w:val="0"/>
              <w:autoSpaceDN w:val="0"/>
              <w:adjustRightInd w:val="0"/>
              <w:rPr>
                <w:sz w:val="22"/>
                <w:szCs w:val="22"/>
                <w:highlight w:val="yellow"/>
              </w:rPr>
            </w:pPr>
            <w:r>
              <w:rPr>
                <w:sz w:val="22"/>
              </w:rPr>
              <w:t xml:space="preserve">Programa do GT 4 para compartilhar boas práticas e </w:t>
            </w:r>
            <w:r>
              <w:rPr>
                <w:sz w:val="22"/>
              </w:rPr>
              <w:lastRenderedPageBreak/>
              <w:t>propostas para a promoção da equidade e da igualdade de gênero em STEM (coordenado com o SENACYT Guatemala, CORFO Chile). Diálogo Virtual com Mulheres Ministras e Altas Autoridades. 8 de março de 2021, Dia Internacional da Mulher. Todos os grupos de trabalho da COMCYT.</w:t>
            </w:r>
          </w:p>
          <w:p w14:paraId="7DB1DE96" w14:textId="77777777" w:rsidR="006D77D6" w:rsidRPr="00493A9B" w:rsidRDefault="006D77D6" w:rsidP="00493A9B">
            <w:pPr>
              <w:rPr>
                <w:sz w:val="22"/>
                <w:szCs w:val="22"/>
              </w:rPr>
            </w:pPr>
          </w:p>
        </w:tc>
        <w:tc>
          <w:tcPr>
            <w:tcW w:w="4140" w:type="dxa"/>
          </w:tcPr>
          <w:p w14:paraId="2BB52318" w14:textId="77777777" w:rsidR="006D77D6" w:rsidRPr="00493A9B" w:rsidRDefault="006D77D6" w:rsidP="003E72BC">
            <w:pPr>
              <w:tabs>
                <w:tab w:val="left" w:pos="177"/>
              </w:tabs>
              <w:rPr>
                <w:sz w:val="22"/>
                <w:szCs w:val="22"/>
              </w:rPr>
            </w:pPr>
            <w:r>
              <w:rPr>
                <w:sz w:val="22"/>
              </w:rPr>
              <w:lastRenderedPageBreak/>
              <w:t xml:space="preserve">Dar destaque ao trabalho e à resiliência das mulheres em STEM como uma das populações fortemente afetadas pela covid-19 </w:t>
            </w:r>
          </w:p>
          <w:p w14:paraId="5F101A45" w14:textId="77777777" w:rsidR="006D77D6" w:rsidRPr="00493A9B" w:rsidRDefault="006D77D6" w:rsidP="00493A9B">
            <w:pPr>
              <w:rPr>
                <w:sz w:val="22"/>
                <w:szCs w:val="22"/>
              </w:rPr>
            </w:pPr>
          </w:p>
        </w:tc>
        <w:tc>
          <w:tcPr>
            <w:tcW w:w="3420" w:type="dxa"/>
          </w:tcPr>
          <w:p w14:paraId="07CCBF02" w14:textId="77777777" w:rsidR="006D77D6" w:rsidRPr="00493A9B" w:rsidRDefault="006D77D6" w:rsidP="00493A9B">
            <w:pPr>
              <w:snapToGrid w:val="0"/>
              <w:rPr>
                <w:sz w:val="22"/>
                <w:szCs w:val="22"/>
              </w:rPr>
            </w:pPr>
            <w:r>
              <w:rPr>
                <w:sz w:val="22"/>
              </w:rPr>
              <w:t>Identificação de cinco oportunidades de colaboração regional e boas práticas para apoiar as mulheres e a inclusão em STEM, de acordo com o mandato ministerial</w:t>
            </w:r>
          </w:p>
          <w:p w14:paraId="54C85F74" w14:textId="77777777" w:rsidR="006D77D6" w:rsidRPr="00493A9B" w:rsidRDefault="006D77D6" w:rsidP="00493A9B">
            <w:pPr>
              <w:rPr>
                <w:sz w:val="22"/>
                <w:szCs w:val="22"/>
              </w:rPr>
            </w:pPr>
          </w:p>
        </w:tc>
        <w:tc>
          <w:tcPr>
            <w:tcW w:w="2880" w:type="dxa"/>
          </w:tcPr>
          <w:p w14:paraId="2602DA08" w14:textId="77777777" w:rsidR="006D77D6" w:rsidRPr="00493A9B" w:rsidRDefault="006D77D6" w:rsidP="00493A9B">
            <w:pPr>
              <w:rPr>
                <w:sz w:val="22"/>
                <w:szCs w:val="22"/>
              </w:rPr>
            </w:pPr>
          </w:p>
        </w:tc>
      </w:tr>
      <w:tr w:rsidR="006D77D6" w:rsidRPr="00493A9B" w14:paraId="48C3E75B" w14:textId="77777777" w:rsidTr="006D77D6">
        <w:trPr>
          <w:jc w:val="center"/>
        </w:trPr>
        <w:tc>
          <w:tcPr>
            <w:tcW w:w="3405" w:type="dxa"/>
          </w:tcPr>
          <w:p w14:paraId="1A8C217B" w14:textId="77777777" w:rsidR="006D77D6" w:rsidRPr="00493A9B" w:rsidRDefault="006D77D6" w:rsidP="00493A9B">
            <w:pPr>
              <w:tabs>
                <w:tab w:val="left" w:pos="177"/>
              </w:tabs>
              <w:rPr>
                <w:sz w:val="22"/>
                <w:szCs w:val="22"/>
              </w:rPr>
            </w:pPr>
            <w:r>
              <w:rPr>
                <w:sz w:val="22"/>
              </w:rPr>
              <w:t xml:space="preserve">Segunda edição do </w:t>
            </w:r>
            <w:r>
              <w:rPr>
                <w:i/>
                <w:sz w:val="22"/>
              </w:rPr>
              <w:t>Prospecta Américas</w:t>
            </w:r>
            <w:r>
              <w:rPr>
                <w:sz w:val="22"/>
              </w:rPr>
              <w:t xml:space="preserve"> (Hidalgo, México, out. 2021, a confirmar): Plataforma de prospecção para reunir as partes interessadas a fim de que trabalhem em 10 tecnologias emergentes e transformadoras.</w:t>
            </w:r>
          </w:p>
          <w:p w14:paraId="0CED27B4" w14:textId="77777777" w:rsidR="006D77D6" w:rsidRPr="00493A9B" w:rsidRDefault="006D77D6" w:rsidP="00493A9B">
            <w:pPr>
              <w:autoSpaceDE w:val="0"/>
              <w:autoSpaceDN w:val="0"/>
              <w:adjustRightInd w:val="0"/>
              <w:rPr>
                <w:sz w:val="22"/>
                <w:szCs w:val="22"/>
              </w:rPr>
            </w:pPr>
            <w:r>
              <w:rPr>
                <w:sz w:val="22"/>
              </w:rPr>
              <w:t xml:space="preserve">1. Nano/novos materiais; </w:t>
            </w:r>
          </w:p>
          <w:p w14:paraId="0118EAD4" w14:textId="77777777" w:rsidR="006D77D6" w:rsidRPr="00493A9B" w:rsidRDefault="006D77D6" w:rsidP="00493A9B">
            <w:pPr>
              <w:autoSpaceDE w:val="0"/>
              <w:autoSpaceDN w:val="0"/>
              <w:adjustRightInd w:val="0"/>
              <w:rPr>
                <w:sz w:val="22"/>
                <w:szCs w:val="22"/>
              </w:rPr>
            </w:pPr>
            <w:r>
              <w:rPr>
                <w:sz w:val="22"/>
              </w:rPr>
              <w:t xml:space="preserve">2.  Robótica – satélites; </w:t>
            </w:r>
          </w:p>
          <w:p w14:paraId="33F5709A" w14:textId="77777777" w:rsidR="006D77D6" w:rsidRPr="00493A9B" w:rsidRDefault="006D77D6" w:rsidP="00493A9B">
            <w:pPr>
              <w:autoSpaceDE w:val="0"/>
              <w:autoSpaceDN w:val="0"/>
              <w:adjustRightInd w:val="0"/>
              <w:rPr>
                <w:sz w:val="22"/>
                <w:szCs w:val="22"/>
              </w:rPr>
            </w:pPr>
            <w:r>
              <w:rPr>
                <w:sz w:val="22"/>
              </w:rPr>
              <w:t>3. Biologia sintética;</w:t>
            </w:r>
          </w:p>
          <w:p w14:paraId="69ED9684" w14:textId="77777777" w:rsidR="006D77D6" w:rsidRPr="00493A9B" w:rsidRDefault="006D77D6" w:rsidP="00493A9B">
            <w:pPr>
              <w:autoSpaceDE w:val="0"/>
              <w:autoSpaceDN w:val="0"/>
              <w:adjustRightInd w:val="0"/>
              <w:rPr>
                <w:sz w:val="22"/>
                <w:szCs w:val="22"/>
              </w:rPr>
            </w:pPr>
            <w:r>
              <w:rPr>
                <w:sz w:val="22"/>
              </w:rPr>
              <w:t xml:space="preserve">4. Engenharia biomédica; </w:t>
            </w:r>
          </w:p>
          <w:p w14:paraId="5AB431BC" w14:textId="77777777" w:rsidR="006D77D6" w:rsidRPr="00493A9B" w:rsidRDefault="006D77D6" w:rsidP="00493A9B">
            <w:pPr>
              <w:autoSpaceDE w:val="0"/>
              <w:autoSpaceDN w:val="0"/>
              <w:adjustRightInd w:val="0"/>
              <w:rPr>
                <w:sz w:val="22"/>
                <w:szCs w:val="22"/>
              </w:rPr>
            </w:pPr>
            <w:r>
              <w:rPr>
                <w:sz w:val="22"/>
              </w:rPr>
              <w:t xml:space="preserve">5. </w:t>
            </w:r>
            <w:r>
              <w:rPr>
                <w:i/>
                <w:iCs/>
                <w:sz w:val="22"/>
              </w:rPr>
              <w:t>Big data</w:t>
            </w:r>
            <w:r>
              <w:rPr>
                <w:sz w:val="22"/>
              </w:rPr>
              <w:t>;</w:t>
            </w:r>
          </w:p>
          <w:p w14:paraId="4DE4F17B" w14:textId="77777777" w:rsidR="006D77D6" w:rsidRPr="00493A9B" w:rsidRDefault="006D77D6" w:rsidP="00493A9B">
            <w:pPr>
              <w:autoSpaceDE w:val="0"/>
              <w:autoSpaceDN w:val="0"/>
              <w:adjustRightInd w:val="0"/>
              <w:rPr>
                <w:sz w:val="22"/>
                <w:szCs w:val="22"/>
              </w:rPr>
            </w:pPr>
            <w:r>
              <w:rPr>
                <w:sz w:val="22"/>
              </w:rPr>
              <w:t xml:space="preserve">6. </w:t>
            </w:r>
            <w:r>
              <w:rPr>
                <w:i/>
                <w:iCs/>
                <w:sz w:val="22"/>
              </w:rPr>
              <w:t>Block chain</w:t>
            </w:r>
            <w:r>
              <w:rPr>
                <w:sz w:val="22"/>
              </w:rPr>
              <w:t xml:space="preserve">; </w:t>
            </w:r>
          </w:p>
          <w:p w14:paraId="6310E302" w14:textId="77777777" w:rsidR="006D77D6" w:rsidRPr="00493A9B" w:rsidRDefault="006D77D6" w:rsidP="00493A9B">
            <w:pPr>
              <w:autoSpaceDE w:val="0"/>
              <w:autoSpaceDN w:val="0"/>
              <w:adjustRightInd w:val="0"/>
              <w:rPr>
                <w:sz w:val="22"/>
                <w:szCs w:val="22"/>
              </w:rPr>
            </w:pPr>
            <w:r>
              <w:rPr>
                <w:sz w:val="22"/>
              </w:rPr>
              <w:t xml:space="preserve">7. Computação quântica; </w:t>
            </w:r>
          </w:p>
          <w:p w14:paraId="19E1B013" w14:textId="77777777" w:rsidR="006D77D6" w:rsidRPr="00493A9B" w:rsidRDefault="006D77D6" w:rsidP="00493A9B">
            <w:pPr>
              <w:autoSpaceDE w:val="0"/>
              <w:autoSpaceDN w:val="0"/>
              <w:adjustRightInd w:val="0"/>
              <w:rPr>
                <w:sz w:val="22"/>
                <w:szCs w:val="22"/>
              </w:rPr>
            </w:pPr>
            <w:r>
              <w:rPr>
                <w:sz w:val="22"/>
              </w:rPr>
              <w:t xml:space="preserve">8. Realidade aumentada; </w:t>
            </w:r>
          </w:p>
          <w:p w14:paraId="022C9569" w14:textId="77777777" w:rsidR="006D77D6" w:rsidRPr="00493A9B" w:rsidRDefault="006D77D6" w:rsidP="00493A9B">
            <w:pPr>
              <w:autoSpaceDE w:val="0"/>
              <w:autoSpaceDN w:val="0"/>
              <w:adjustRightInd w:val="0"/>
              <w:rPr>
                <w:sz w:val="22"/>
                <w:szCs w:val="22"/>
              </w:rPr>
            </w:pPr>
            <w:r>
              <w:rPr>
                <w:sz w:val="22"/>
              </w:rPr>
              <w:t xml:space="preserve">9. Realidade virtual; </w:t>
            </w:r>
          </w:p>
          <w:p w14:paraId="036C7BB8" w14:textId="77777777" w:rsidR="006D77D6" w:rsidRPr="00493A9B" w:rsidRDefault="006D77D6" w:rsidP="00493A9B">
            <w:pPr>
              <w:autoSpaceDE w:val="0"/>
              <w:autoSpaceDN w:val="0"/>
              <w:adjustRightInd w:val="0"/>
              <w:rPr>
                <w:sz w:val="22"/>
                <w:szCs w:val="22"/>
              </w:rPr>
            </w:pPr>
            <w:r>
              <w:rPr>
                <w:sz w:val="22"/>
              </w:rPr>
              <w:t xml:space="preserve">10. Inteligência artificial. </w:t>
            </w:r>
          </w:p>
        </w:tc>
        <w:tc>
          <w:tcPr>
            <w:tcW w:w="4140" w:type="dxa"/>
          </w:tcPr>
          <w:p w14:paraId="73D2F984" w14:textId="77777777" w:rsidR="006D77D6" w:rsidRPr="00493A9B" w:rsidRDefault="006D77D6" w:rsidP="00493A9B">
            <w:pPr>
              <w:tabs>
                <w:tab w:val="left" w:pos="177"/>
              </w:tabs>
              <w:rPr>
                <w:sz w:val="22"/>
                <w:szCs w:val="22"/>
              </w:rPr>
            </w:pPr>
            <w:r>
              <w:rPr>
                <w:sz w:val="22"/>
              </w:rPr>
              <w:t>Mapear capacidades regionais, tendências e prontidão dos países para futuros desenvolvimentos tecnológicos, com foco especial nas prioridades pós-covid-19.</w:t>
            </w:r>
          </w:p>
          <w:p w14:paraId="7FBB2C35" w14:textId="77777777" w:rsidR="006D77D6" w:rsidRPr="00493A9B" w:rsidRDefault="006D77D6" w:rsidP="00493A9B">
            <w:pPr>
              <w:tabs>
                <w:tab w:val="left" w:pos="177"/>
              </w:tabs>
              <w:rPr>
                <w:sz w:val="22"/>
                <w:szCs w:val="22"/>
              </w:rPr>
            </w:pPr>
          </w:p>
          <w:p w14:paraId="4A9BFA7E" w14:textId="77777777" w:rsidR="006D77D6" w:rsidRPr="00493A9B" w:rsidRDefault="006D77D6" w:rsidP="00493A9B">
            <w:pPr>
              <w:tabs>
                <w:tab w:val="left" w:pos="177"/>
              </w:tabs>
              <w:rPr>
                <w:sz w:val="22"/>
                <w:szCs w:val="22"/>
              </w:rPr>
            </w:pPr>
            <w:r>
              <w:rPr>
                <w:sz w:val="22"/>
              </w:rPr>
              <w:t>Revisar as 10 tecnologias identificadas e avaliar o seu potencial de impacto em todas as áreas da SEDI.</w:t>
            </w:r>
          </w:p>
          <w:p w14:paraId="5CE59CBF" w14:textId="77777777" w:rsidR="006D77D6" w:rsidRPr="00493A9B" w:rsidRDefault="006D77D6" w:rsidP="00493A9B">
            <w:pPr>
              <w:rPr>
                <w:sz w:val="22"/>
                <w:szCs w:val="22"/>
              </w:rPr>
            </w:pPr>
          </w:p>
        </w:tc>
        <w:tc>
          <w:tcPr>
            <w:tcW w:w="3420" w:type="dxa"/>
          </w:tcPr>
          <w:p w14:paraId="6FBB3795" w14:textId="77777777" w:rsidR="006D77D6" w:rsidRPr="00493A9B" w:rsidRDefault="006D77D6" w:rsidP="00493A9B">
            <w:pPr>
              <w:snapToGrid w:val="0"/>
              <w:rPr>
                <w:sz w:val="22"/>
                <w:szCs w:val="22"/>
              </w:rPr>
            </w:pPr>
            <w:r>
              <w:rPr>
                <w:sz w:val="22"/>
              </w:rPr>
              <w:t>Avanç</w:t>
            </w:r>
            <w:r w:rsidR="003030EE">
              <w:rPr>
                <w:sz w:val="22"/>
              </w:rPr>
              <w:t>o</w:t>
            </w:r>
            <w:r>
              <w:rPr>
                <w:sz w:val="22"/>
              </w:rPr>
              <w:t xml:space="preserve"> no processo de estabelecimento de Centros Interamericanos de Excelência em Prospecção sobre duas das 10 tecnologias transformadoras identificadas no Prospecta Américas </w:t>
            </w:r>
          </w:p>
          <w:p w14:paraId="7C50340E" w14:textId="77777777" w:rsidR="006D77D6" w:rsidRPr="00493A9B" w:rsidRDefault="006D77D6" w:rsidP="00493A9B">
            <w:pPr>
              <w:rPr>
                <w:sz w:val="22"/>
                <w:szCs w:val="22"/>
              </w:rPr>
            </w:pPr>
          </w:p>
        </w:tc>
        <w:tc>
          <w:tcPr>
            <w:tcW w:w="2880" w:type="dxa"/>
          </w:tcPr>
          <w:p w14:paraId="2BE9F0B4" w14:textId="77777777" w:rsidR="006D77D6" w:rsidRPr="00493A9B" w:rsidRDefault="006D77D6" w:rsidP="00493A9B">
            <w:pPr>
              <w:rPr>
                <w:sz w:val="22"/>
                <w:szCs w:val="22"/>
              </w:rPr>
            </w:pPr>
          </w:p>
        </w:tc>
      </w:tr>
      <w:tr w:rsidR="006D77D6" w:rsidRPr="00493A9B" w14:paraId="718FA7BC" w14:textId="77777777" w:rsidTr="008C3207">
        <w:trPr>
          <w:jc w:val="center"/>
        </w:trPr>
        <w:tc>
          <w:tcPr>
            <w:tcW w:w="3405" w:type="dxa"/>
            <w:tcBorders>
              <w:bottom w:val="single" w:sz="6" w:space="0" w:color="auto"/>
            </w:tcBorders>
          </w:tcPr>
          <w:p w14:paraId="1E8F7038" w14:textId="77777777" w:rsidR="006D77D6" w:rsidRPr="00493A9B" w:rsidRDefault="006D77D6" w:rsidP="00493A9B">
            <w:pPr>
              <w:tabs>
                <w:tab w:val="left" w:pos="177"/>
              </w:tabs>
              <w:rPr>
                <w:sz w:val="22"/>
                <w:szCs w:val="22"/>
              </w:rPr>
            </w:pPr>
            <w:r>
              <w:rPr>
                <w:sz w:val="22"/>
              </w:rPr>
              <w:t xml:space="preserve">HUB de Comercialização e Transferência de Tecnologia das Américas, Lima, Peru (a confirmar) e compromissos virtuais de aceleração e mentoria por meio do HUB </w:t>
            </w:r>
          </w:p>
          <w:p w14:paraId="7FD0C5DE" w14:textId="77777777" w:rsidR="006D77D6" w:rsidRPr="00493A9B" w:rsidRDefault="006D77D6" w:rsidP="00493A9B">
            <w:pPr>
              <w:rPr>
                <w:sz w:val="22"/>
                <w:szCs w:val="22"/>
              </w:rPr>
            </w:pPr>
          </w:p>
        </w:tc>
        <w:tc>
          <w:tcPr>
            <w:tcW w:w="4140" w:type="dxa"/>
            <w:tcBorders>
              <w:bottom w:val="single" w:sz="6" w:space="0" w:color="auto"/>
            </w:tcBorders>
          </w:tcPr>
          <w:p w14:paraId="0743D854" w14:textId="77777777" w:rsidR="006D77D6" w:rsidRPr="00493A9B" w:rsidRDefault="006D77D6" w:rsidP="00493A9B">
            <w:pPr>
              <w:rPr>
                <w:sz w:val="22"/>
                <w:szCs w:val="22"/>
              </w:rPr>
            </w:pPr>
            <w:r>
              <w:rPr>
                <w:sz w:val="22"/>
              </w:rPr>
              <w:t>Acelerar ideias e soluções sobre prioridades relacionadas com a recuperação pós-covid-19 “da concepção ao mercado” e promover e apoiar a transformação digital para a recuperação pós-covid-19 por meio do programa HUB e da plataforma COMUNITT</w:t>
            </w:r>
          </w:p>
        </w:tc>
        <w:tc>
          <w:tcPr>
            <w:tcW w:w="3420" w:type="dxa"/>
            <w:tcBorders>
              <w:bottom w:val="single" w:sz="6" w:space="0" w:color="auto"/>
            </w:tcBorders>
          </w:tcPr>
          <w:p w14:paraId="50CEB999" w14:textId="77777777" w:rsidR="006D77D6" w:rsidRDefault="006D77D6" w:rsidP="00493A9B">
            <w:pPr>
              <w:snapToGrid w:val="0"/>
              <w:rPr>
                <w:sz w:val="22"/>
              </w:rPr>
            </w:pPr>
            <w:r>
              <w:rPr>
                <w:sz w:val="22"/>
              </w:rPr>
              <w:t>Colaboração e orientação por meio do HUB para apoiar os Estados membros em seus esforços de acelerar 10 tecnologias em áreas de maior necessidade e levar as tecnologias da concepção ao mercado</w:t>
            </w:r>
          </w:p>
          <w:p w14:paraId="25B30D6F" w14:textId="77777777" w:rsidR="00DA56F9" w:rsidRDefault="00DA56F9" w:rsidP="00493A9B">
            <w:pPr>
              <w:snapToGrid w:val="0"/>
              <w:rPr>
                <w:sz w:val="22"/>
              </w:rPr>
            </w:pPr>
          </w:p>
          <w:p w14:paraId="61170F8C" w14:textId="77777777" w:rsidR="00DA56F9" w:rsidRPr="00493A9B" w:rsidRDefault="00DA56F9" w:rsidP="00493A9B">
            <w:pPr>
              <w:snapToGrid w:val="0"/>
              <w:rPr>
                <w:sz w:val="22"/>
                <w:szCs w:val="22"/>
              </w:rPr>
            </w:pPr>
          </w:p>
        </w:tc>
        <w:tc>
          <w:tcPr>
            <w:tcW w:w="2880" w:type="dxa"/>
            <w:tcBorders>
              <w:bottom w:val="single" w:sz="6" w:space="0" w:color="auto"/>
            </w:tcBorders>
          </w:tcPr>
          <w:p w14:paraId="4CBC5EDA" w14:textId="77777777" w:rsidR="006D77D6" w:rsidRPr="00493A9B" w:rsidRDefault="006D77D6" w:rsidP="00493A9B">
            <w:pPr>
              <w:rPr>
                <w:sz w:val="22"/>
                <w:szCs w:val="22"/>
              </w:rPr>
            </w:pPr>
          </w:p>
        </w:tc>
      </w:tr>
      <w:tr w:rsidR="006D77D6" w:rsidRPr="00493A9B" w14:paraId="1AF75F98" w14:textId="77777777" w:rsidTr="008C3207">
        <w:trPr>
          <w:jc w:val="center"/>
        </w:trPr>
        <w:tc>
          <w:tcPr>
            <w:tcW w:w="3405" w:type="dxa"/>
            <w:tcBorders>
              <w:top w:val="single" w:sz="6" w:space="0" w:color="auto"/>
              <w:bottom w:val="single" w:sz="6" w:space="0" w:color="auto"/>
            </w:tcBorders>
            <w:shd w:val="clear" w:color="auto" w:fill="BFBFBF" w:themeFill="background1" w:themeFillShade="BF"/>
          </w:tcPr>
          <w:p w14:paraId="2F22CFA2" w14:textId="77777777" w:rsidR="006D77D6" w:rsidRPr="00493A9B" w:rsidRDefault="003030EE" w:rsidP="00493A9B">
            <w:pPr>
              <w:rPr>
                <w:b/>
                <w:sz w:val="22"/>
                <w:szCs w:val="22"/>
              </w:rPr>
            </w:pPr>
            <w:r>
              <w:rPr>
                <w:b/>
                <w:sz w:val="22"/>
              </w:rPr>
              <w:lastRenderedPageBreak/>
              <w:t xml:space="preserve">OBJETIVO </w:t>
            </w:r>
            <w:r w:rsidR="006D77D6">
              <w:rPr>
                <w:b/>
                <w:sz w:val="22"/>
              </w:rPr>
              <w:t xml:space="preserve">ESTRATÉGICO </w:t>
            </w:r>
          </w:p>
          <w:p w14:paraId="658448E6" w14:textId="77777777" w:rsidR="006D77D6" w:rsidRPr="00493A9B" w:rsidRDefault="006D77D6" w:rsidP="00493A9B">
            <w:pPr>
              <w:rPr>
                <w:b/>
                <w:sz w:val="22"/>
                <w:szCs w:val="22"/>
              </w:rPr>
            </w:pPr>
          </w:p>
        </w:tc>
        <w:tc>
          <w:tcPr>
            <w:tcW w:w="10440" w:type="dxa"/>
            <w:gridSpan w:val="3"/>
            <w:tcBorders>
              <w:top w:val="single" w:sz="6" w:space="0" w:color="auto"/>
              <w:bottom w:val="single" w:sz="6" w:space="0" w:color="auto"/>
            </w:tcBorders>
            <w:shd w:val="clear" w:color="auto" w:fill="BFBFBF" w:themeFill="background1" w:themeFillShade="BF"/>
          </w:tcPr>
          <w:p w14:paraId="1EED9199" w14:textId="77777777" w:rsidR="006D77D6" w:rsidRPr="00493A9B" w:rsidRDefault="006D77D6" w:rsidP="00493A9B">
            <w:pPr>
              <w:rPr>
                <w:b/>
                <w:sz w:val="22"/>
                <w:szCs w:val="22"/>
              </w:rPr>
            </w:pPr>
            <w:r>
              <w:rPr>
                <w:b/>
                <w:sz w:val="22"/>
              </w:rPr>
              <w:t>1.4.  Apoiar os Estados membros no fortalecimento da capacidade institucional, de modo a incentivar a promoção de atividades produtivas sustentáveis nos setores de turismo e cultura.</w:t>
            </w:r>
          </w:p>
        </w:tc>
      </w:tr>
      <w:tr w:rsidR="008C3207" w:rsidRPr="00493A9B" w14:paraId="6B2FB410" w14:textId="77777777" w:rsidTr="008C3207">
        <w:trPr>
          <w:jc w:val="center"/>
        </w:trPr>
        <w:tc>
          <w:tcPr>
            <w:tcW w:w="13845" w:type="dxa"/>
            <w:gridSpan w:val="4"/>
            <w:tcBorders>
              <w:top w:val="single" w:sz="6" w:space="0" w:color="auto"/>
              <w:bottom w:val="single" w:sz="6" w:space="0" w:color="auto"/>
            </w:tcBorders>
            <w:shd w:val="clear" w:color="auto" w:fill="D9D9D9" w:themeFill="background1" w:themeFillShade="D9"/>
          </w:tcPr>
          <w:p w14:paraId="1F1B08DC" w14:textId="77777777" w:rsidR="008C3207" w:rsidRPr="00493A9B" w:rsidRDefault="008C3207" w:rsidP="00493A9B">
            <w:pPr>
              <w:rPr>
                <w:b/>
                <w:sz w:val="22"/>
                <w:szCs w:val="22"/>
              </w:rPr>
            </w:pPr>
            <w:r>
              <w:rPr>
                <w:b/>
                <w:sz w:val="22"/>
              </w:rPr>
              <w:t>Turismo</w:t>
            </w:r>
          </w:p>
        </w:tc>
      </w:tr>
      <w:tr w:rsidR="006D77D6" w:rsidRPr="00493A9B" w14:paraId="2AB80B68" w14:textId="77777777" w:rsidTr="008C3207">
        <w:trPr>
          <w:jc w:val="center"/>
        </w:trPr>
        <w:tc>
          <w:tcPr>
            <w:tcW w:w="3405" w:type="dxa"/>
            <w:tcBorders>
              <w:top w:val="single" w:sz="6" w:space="0" w:color="auto"/>
            </w:tcBorders>
          </w:tcPr>
          <w:p w14:paraId="201BC958" w14:textId="77777777" w:rsidR="006D77D6" w:rsidRPr="00493A9B" w:rsidRDefault="006D77D6" w:rsidP="00493A9B">
            <w:pPr>
              <w:rPr>
                <w:b/>
                <w:sz w:val="22"/>
                <w:szCs w:val="22"/>
              </w:rPr>
            </w:pPr>
            <w:r>
              <w:rPr>
                <w:b/>
                <w:sz w:val="22"/>
              </w:rPr>
              <w:t>DIÁLOGO POLÍTICO:</w:t>
            </w:r>
          </w:p>
          <w:p w14:paraId="6507EE70" w14:textId="77777777" w:rsidR="006D77D6" w:rsidRPr="00493A9B" w:rsidRDefault="006D77D6" w:rsidP="00493A9B">
            <w:pPr>
              <w:pStyle w:val="ListParagraph"/>
              <w:numPr>
                <w:ilvl w:val="0"/>
                <w:numId w:val="6"/>
              </w:numPr>
              <w:tabs>
                <w:tab w:val="left" w:pos="177"/>
              </w:tabs>
              <w:ind w:left="180" w:hanging="180"/>
              <w:rPr>
                <w:sz w:val="22"/>
                <w:szCs w:val="22"/>
              </w:rPr>
            </w:pPr>
            <w:r>
              <w:rPr>
                <w:sz w:val="22"/>
              </w:rPr>
              <w:t>Processo Ministerial do Turismo: Vigésimo Quinto Congresso Interamericano de Ministros e Altas Autoridades de Turismo</w:t>
            </w:r>
          </w:p>
          <w:p w14:paraId="7C5324BD" w14:textId="77777777" w:rsidR="006D77D6" w:rsidRPr="00493A9B" w:rsidRDefault="006D77D6" w:rsidP="00493A9B">
            <w:pPr>
              <w:pStyle w:val="ListParagraph"/>
              <w:numPr>
                <w:ilvl w:val="0"/>
                <w:numId w:val="6"/>
              </w:numPr>
              <w:tabs>
                <w:tab w:val="left" w:pos="177"/>
              </w:tabs>
              <w:ind w:left="180" w:hanging="180"/>
              <w:rPr>
                <w:sz w:val="22"/>
                <w:szCs w:val="22"/>
              </w:rPr>
            </w:pPr>
            <w:r>
              <w:rPr>
                <w:sz w:val="22"/>
              </w:rPr>
              <w:t xml:space="preserve">Reunião preparatória para o Vigésimo Quinto Congresso Interamericano de Ministros e Altas Autoridades de Turismo </w:t>
            </w:r>
          </w:p>
          <w:p w14:paraId="1CB54FA3" w14:textId="77777777" w:rsidR="006D77D6" w:rsidRPr="00493A9B" w:rsidRDefault="006D77D6" w:rsidP="00493A9B">
            <w:pPr>
              <w:pStyle w:val="ListParagraph"/>
              <w:numPr>
                <w:ilvl w:val="0"/>
                <w:numId w:val="6"/>
              </w:numPr>
              <w:ind w:left="180" w:hanging="180"/>
              <w:rPr>
                <w:sz w:val="22"/>
                <w:szCs w:val="22"/>
              </w:rPr>
            </w:pPr>
            <w:r>
              <w:rPr>
                <w:sz w:val="22"/>
              </w:rPr>
              <w:t>Reuniões virtuais do grupo de trabalho da CITUR</w:t>
            </w:r>
          </w:p>
        </w:tc>
        <w:tc>
          <w:tcPr>
            <w:tcW w:w="4140" w:type="dxa"/>
            <w:vMerge w:val="restart"/>
            <w:tcBorders>
              <w:top w:val="single" w:sz="6" w:space="0" w:color="auto"/>
            </w:tcBorders>
            <w:vAlign w:val="center"/>
          </w:tcPr>
          <w:p w14:paraId="72BCE61F" w14:textId="77777777" w:rsidR="006D77D6" w:rsidRPr="00493A9B" w:rsidRDefault="006D77D6" w:rsidP="00493A9B">
            <w:pPr>
              <w:tabs>
                <w:tab w:val="left" w:pos="177"/>
              </w:tabs>
              <w:rPr>
                <w:sz w:val="22"/>
                <w:szCs w:val="22"/>
              </w:rPr>
            </w:pPr>
            <w:r>
              <w:rPr>
                <w:sz w:val="22"/>
              </w:rPr>
              <w:t xml:space="preserve">Reunião ministerial para abordar a resiliência do setor do turismo em linha com a recuperação pós-covid-19 </w:t>
            </w:r>
          </w:p>
          <w:p w14:paraId="53D51F28" w14:textId="77777777" w:rsidR="006D77D6" w:rsidRPr="00493A9B" w:rsidRDefault="006D77D6" w:rsidP="00493A9B">
            <w:pPr>
              <w:tabs>
                <w:tab w:val="left" w:pos="177"/>
              </w:tabs>
              <w:rPr>
                <w:sz w:val="22"/>
                <w:szCs w:val="22"/>
              </w:rPr>
            </w:pPr>
          </w:p>
          <w:p w14:paraId="321930F3" w14:textId="77777777" w:rsidR="006D77D6" w:rsidRPr="00493A9B" w:rsidRDefault="006D77D6" w:rsidP="00493A9B">
            <w:pPr>
              <w:tabs>
                <w:tab w:val="left" w:pos="177"/>
              </w:tabs>
              <w:rPr>
                <w:sz w:val="22"/>
                <w:szCs w:val="22"/>
              </w:rPr>
            </w:pPr>
            <w:r>
              <w:rPr>
                <w:sz w:val="22"/>
              </w:rPr>
              <w:t>Reforçar a necessidade de construir resiliência para o turismo, particularmente no Caribe</w:t>
            </w:r>
          </w:p>
          <w:p w14:paraId="0B77B7F1" w14:textId="77777777" w:rsidR="006D77D6" w:rsidRPr="00493A9B" w:rsidRDefault="006D77D6" w:rsidP="00493A9B">
            <w:pPr>
              <w:tabs>
                <w:tab w:val="left" w:pos="177"/>
              </w:tabs>
              <w:rPr>
                <w:sz w:val="22"/>
                <w:szCs w:val="22"/>
              </w:rPr>
            </w:pPr>
          </w:p>
          <w:p w14:paraId="0AD84DFA" w14:textId="77777777" w:rsidR="006D77D6" w:rsidRPr="00493A9B" w:rsidRDefault="006D77D6" w:rsidP="00493A9B">
            <w:pPr>
              <w:rPr>
                <w:sz w:val="22"/>
                <w:szCs w:val="22"/>
              </w:rPr>
            </w:pPr>
          </w:p>
        </w:tc>
        <w:tc>
          <w:tcPr>
            <w:tcW w:w="3420" w:type="dxa"/>
            <w:vMerge w:val="restart"/>
            <w:tcBorders>
              <w:top w:val="single" w:sz="6" w:space="0" w:color="auto"/>
            </w:tcBorders>
          </w:tcPr>
          <w:p w14:paraId="273436DB" w14:textId="77777777" w:rsidR="006D77D6" w:rsidRPr="00493A9B" w:rsidRDefault="006D77D6" w:rsidP="00493A9B">
            <w:pPr>
              <w:pStyle w:val="ListParagraph"/>
              <w:ind w:left="0"/>
              <w:rPr>
                <w:sz w:val="22"/>
                <w:szCs w:val="22"/>
              </w:rPr>
            </w:pPr>
            <w:r>
              <w:rPr>
                <w:sz w:val="22"/>
              </w:rPr>
              <w:t>Realização bem-sucedida do Vigésimo Quinto Congresso Interamericano de Ministros e Altas Autoridades de Turismo no Paraguai</w:t>
            </w:r>
          </w:p>
          <w:p w14:paraId="19292A88" w14:textId="77777777" w:rsidR="006D77D6" w:rsidRPr="00493A9B" w:rsidRDefault="006D77D6" w:rsidP="00493A9B">
            <w:pPr>
              <w:pStyle w:val="ListParagraph"/>
              <w:ind w:left="0"/>
              <w:rPr>
                <w:sz w:val="22"/>
                <w:szCs w:val="22"/>
              </w:rPr>
            </w:pPr>
          </w:p>
          <w:p w14:paraId="5B515502" w14:textId="77777777" w:rsidR="006D77D6" w:rsidRPr="00493A9B" w:rsidRDefault="006D77D6" w:rsidP="00493A9B">
            <w:pPr>
              <w:pStyle w:val="ListParagraph"/>
              <w:ind w:left="0"/>
              <w:rPr>
                <w:sz w:val="22"/>
                <w:szCs w:val="22"/>
              </w:rPr>
            </w:pPr>
            <w:r>
              <w:rPr>
                <w:sz w:val="22"/>
              </w:rPr>
              <w:t>Realização bem-sucedida da reunião preparatória para o Vigésimo Quinto Congresso Interamericano de Ministros e Altas Autoridades de Turismo por meio virtual ou na sede da OEA</w:t>
            </w:r>
          </w:p>
          <w:p w14:paraId="5A371101" w14:textId="77777777" w:rsidR="006D77D6" w:rsidRPr="00493A9B" w:rsidRDefault="006D77D6" w:rsidP="00493A9B">
            <w:pPr>
              <w:rPr>
                <w:sz w:val="22"/>
                <w:szCs w:val="22"/>
              </w:rPr>
            </w:pPr>
          </w:p>
          <w:p w14:paraId="0D94470E" w14:textId="77777777" w:rsidR="006D77D6" w:rsidRPr="00493A9B" w:rsidRDefault="006D77D6" w:rsidP="00493A9B">
            <w:pPr>
              <w:pStyle w:val="ListParagraph"/>
              <w:ind w:left="0"/>
              <w:rPr>
                <w:sz w:val="22"/>
                <w:szCs w:val="22"/>
              </w:rPr>
            </w:pPr>
            <w:r>
              <w:rPr>
                <w:sz w:val="22"/>
              </w:rPr>
              <w:t>Plano de trabalho da CITUR implementado</w:t>
            </w:r>
          </w:p>
          <w:p w14:paraId="0C76A8F3" w14:textId="77777777" w:rsidR="006D77D6" w:rsidRPr="00493A9B" w:rsidRDefault="006D77D6" w:rsidP="00493A9B">
            <w:pPr>
              <w:pStyle w:val="ListParagraph"/>
              <w:ind w:left="0"/>
              <w:rPr>
                <w:sz w:val="22"/>
                <w:szCs w:val="22"/>
              </w:rPr>
            </w:pPr>
          </w:p>
          <w:p w14:paraId="3F3C22FB" w14:textId="77777777" w:rsidR="006D77D6" w:rsidRPr="00493A9B" w:rsidRDefault="006D77D6" w:rsidP="00493A9B">
            <w:pPr>
              <w:rPr>
                <w:sz w:val="22"/>
                <w:szCs w:val="22"/>
              </w:rPr>
            </w:pPr>
            <w:r>
              <w:rPr>
                <w:sz w:val="22"/>
              </w:rPr>
              <w:t>Pelo menos três países indicam sua prontidão para implementar as Diretrizes de Turismo Rural Comunitário e para elaborar manuais</w:t>
            </w:r>
          </w:p>
        </w:tc>
        <w:tc>
          <w:tcPr>
            <w:tcW w:w="2880" w:type="dxa"/>
            <w:vMerge w:val="restart"/>
            <w:tcBorders>
              <w:top w:val="single" w:sz="6" w:space="0" w:color="auto"/>
            </w:tcBorders>
          </w:tcPr>
          <w:p w14:paraId="0116D393" w14:textId="77777777" w:rsidR="006D77D6" w:rsidRPr="00493A9B" w:rsidRDefault="006D77D6" w:rsidP="00493A9B">
            <w:pPr>
              <w:rPr>
                <w:b/>
                <w:sz w:val="22"/>
                <w:szCs w:val="22"/>
              </w:rPr>
            </w:pPr>
            <w:r>
              <w:rPr>
                <w:b/>
                <w:sz w:val="22"/>
                <w:u w:val="single"/>
              </w:rPr>
              <w:t>Internas</w:t>
            </w:r>
            <w:r>
              <w:rPr>
                <w:b/>
                <w:sz w:val="22"/>
              </w:rPr>
              <w:t>:</w:t>
            </w:r>
          </w:p>
          <w:p w14:paraId="63BF6074" w14:textId="77777777" w:rsidR="006D77D6" w:rsidRPr="00493A9B" w:rsidRDefault="006D77D6" w:rsidP="00493A9B">
            <w:pPr>
              <w:rPr>
                <w:sz w:val="22"/>
                <w:szCs w:val="22"/>
              </w:rPr>
            </w:pPr>
            <w:r>
              <w:rPr>
                <w:sz w:val="22"/>
              </w:rPr>
              <w:t>Possíveis vínculos da Rede de Turismo Rural Comunitário com a CooperaNet;</w:t>
            </w:r>
          </w:p>
          <w:p w14:paraId="3FE428DE" w14:textId="77777777" w:rsidR="006D77D6" w:rsidRPr="00493A9B" w:rsidRDefault="006D77D6" w:rsidP="00493A9B">
            <w:pPr>
              <w:rPr>
                <w:sz w:val="22"/>
                <w:szCs w:val="22"/>
              </w:rPr>
            </w:pPr>
            <w:r>
              <w:rPr>
                <w:sz w:val="22"/>
              </w:rPr>
              <w:t>SEDI – Departamento de Desenvolvimento Sustentável (DDS);</w:t>
            </w:r>
          </w:p>
          <w:p w14:paraId="2F00B314" w14:textId="77777777" w:rsidR="006D77D6" w:rsidRPr="00493A9B" w:rsidRDefault="006D77D6" w:rsidP="00493A9B">
            <w:pPr>
              <w:rPr>
                <w:sz w:val="22"/>
                <w:szCs w:val="22"/>
              </w:rPr>
            </w:pPr>
            <w:r>
              <w:rPr>
                <w:sz w:val="22"/>
              </w:rPr>
              <w:t>CooperaNet</w:t>
            </w:r>
          </w:p>
          <w:p w14:paraId="48E2C55B" w14:textId="77777777" w:rsidR="006D77D6" w:rsidRPr="00493A9B" w:rsidRDefault="006D77D6" w:rsidP="00493A9B">
            <w:pPr>
              <w:rPr>
                <w:sz w:val="22"/>
                <w:szCs w:val="22"/>
              </w:rPr>
            </w:pPr>
          </w:p>
          <w:p w14:paraId="3EBA0BA6" w14:textId="77777777" w:rsidR="006D77D6" w:rsidRPr="00493A9B" w:rsidRDefault="006D77D6" w:rsidP="00493A9B">
            <w:pPr>
              <w:rPr>
                <w:sz w:val="22"/>
                <w:szCs w:val="22"/>
              </w:rPr>
            </w:pPr>
            <w:r>
              <w:rPr>
                <w:b/>
                <w:sz w:val="22"/>
              </w:rPr>
              <w:t>Externas:</w:t>
            </w:r>
          </w:p>
          <w:p w14:paraId="025DC61C" w14:textId="77777777" w:rsidR="006D77D6" w:rsidRPr="00493A9B" w:rsidRDefault="006D77D6" w:rsidP="00493A9B">
            <w:pPr>
              <w:rPr>
                <w:sz w:val="22"/>
                <w:szCs w:val="22"/>
              </w:rPr>
            </w:pPr>
            <w:r>
              <w:rPr>
                <w:sz w:val="22"/>
              </w:rPr>
              <w:t>Universidade George Washington e Bureau de Assuntos Indígenas dos EUA;</w:t>
            </w:r>
          </w:p>
          <w:p w14:paraId="6285DBBD" w14:textId="77777777" w:rsidR="006D77D6" w:rsidRPr="00493A9B" w:rsidRDefault="006D77D6" w:rsidP="00493A9B">
            <w:pPr>
              <w:rPr>
                <w:sz w:val="22"/>
                <w:szCs w:val="22"/>
              </w:rPr>
            </w:pPr>
            <w:r>
              <w:rPr>
                <w:sz w:val="22"/>
              </w:rPr>
              <w:t xml:space="preserve">Associação Internacional de Transporte Aéreo (IATA); Associação de Cruzeiros do Caribe da Flórida (F-CCA); Associação Internacional de Linhas de Cruzeiro (CLIA), Câmaras de Turismo </w:t>
            </w:r>
          </w:p>
          <w:p w14:paraId="444BCB03" w14:textId="77777777" w:rsidR="006D77D6" w:rsidRPr="00493A9B" w:rsidRDefault="006D77D6" w:rsidP="00493A9B">
            <w:pPr>
              <w:rPr>
                <w:sz w:val="22"/>
                <w:szCs w:val="22"/>
              </w:rPr>
            </w:pPr>
          </w:p>
        </w:tc>
      </w:tr>
      <w:tr w:rsidR="006D77D6" w:rsidRPr="00493A9B" w14:paraId="3FF260DE" w14:textId="77777777" w:rsidTr="006D77D6">
        <w:trPr>
          <w:jc w:val="center"/>
        </w:trPr>
        <w:tc>
          <w:tcPr>
            <w:tcW w:w="3405" w:type="dxa"/>
          </w:tcPr>
          <w:p w14:paraId="719A5C09" w14:textId="77777777" w:rsidR="006D77D6" w:rsidRPr="00493A9B" w:rsidRDefault="006D77D6" w:rsidP="00493A9B">
            <w:pPr>
              <w:numPr>
                <w:ilvl w:val="0"/>
                <w:numId w:val="8"/>
              </w:numPr>
              <w:tabs>
                <w:tab w:val="left" w:pos="177"/>
              </w:tabs>
              <w:ind w:left="173" w:hanging="173"/>
              <w:rPr>
                <w:sz w:val="22"/>
                <w:szCs w:val="22"/>
              </w:rPr>
            </w:pPr>
            <w:r>
              <w:rPr>
                <w:sz w:val="22"/>
              </w:rPr>
              <w:t>Avanço de um Modelo Sustentável de Gestão do Desenvolvimento Turístico Comunitário para as Américas</w:t>
            </w:r>
          </w:p>
          <w:p w14:paraId="49C9BB82" w14:textId="77777777" w:rsidR="006D77D6" w:rsidRPr="00493A9B" w:rsidRDefault="006D77D6" w:rsidP="00493A9B">
            <w:pPr>
              <w:numPr>
                <w:ilvl w:val="0"/>
                <w:numId w:val="8"/>
              </w:numPr>
              <w:autoSpaceDE w:val="0"/>
              <w:autoSpaceDN w:val="0"/>
              <w:adjustRightInd w:val="0"/>
              <w:ind w:left="173" w:hanging="173"/>
              <w:rPr>
                <w:sz w:val="22"/>
                <w:szCs w:val="22"/>
              </w:rPr>
            </w:pPr>
            <w:r>
              <w:rPr>
                <w:sz w:val="22"/>
              </w:rPr>
              <w:t>Consolidação de uma Rede de Turismo Rural Comunitário</w:t>
            </w:r>
          </w:p>
          <w:p w14:paraId="5B2B35FA" w14:textId="77777777" w:rsidR="006D77D6" w:rsidRPr="00493A9B" w:rsidRDefault="006D77D6" w:rsidP="00493A9B">
            <w:pPr>
              <w:numPr>
                <w:ilvl w:val="0"/>
                <w:numId w:val="8"/>
              </w:numPr>
              <w:tabs>
                <w:tab w:val="left" w:pos="177"/>
              </w:tabs>
              <w:ind w:left="173" w:hanging="173"/>
              <w:rPr>
                <w:sz w:val="22"/>
                <w:szCs w:val="22"/>
              </w:rPr>
            </w:pPr>
            <w:r>
              <w:rPr>
                <w:sz w:val="22"/>
              </w:rPr>
              <w:t>Consolidação do Trabalho Colaborativo para o Turismo Indígena das Américas</w:t>
            </w:r>
          </w:p>
          <w:p w14:paraId="23C2AA2A" w14:textId="77777777" w:rsidR="006D77D6" w:rsidRPr="00493A9B" w:rsidRDefault="006D77D6" w:rsidP="00493A9B">
            <w:pPr>
              <w:numPr>
                <w:ilvl w:val="0"/>
                <w:numId w:val="8"/>
              </w:numPr>
              <w:tabs>
                <w:tab w:val="left" w:pos="177"/>
              </w:tabs>
              <w:ind w:left="173" w:hanging="173"/>
              <w:rPr>
                <w:sz w:val="22"/>
                <w:szCs w:val="22"/>
              </w:rPr>
            </w:pPr>
            <w:r>
              <w:rPr>
                <w:sz w:val="22"/>
              </w:rPr>
              <w:t>Iniciativa de Construção da Resiliência das Pequenas Empresas de Turismo do Caribe a Catástrofes (SEDI - Departamento de Desenvolvimento Sustentável)</w:t>
            </w:r>
          </w:p>
          <w:p w14:paraId="7E06C7C6" w14:textId="77777777" w:rsidR="006D77D6" w:rsidRPr="00493A9B" w:rsidRDefault="006D77D6" w:rsidP="00493A9B">
            <w:pPr>
              <w:ind w:left="173" w:hanging="173"/>
              <w:rPr>
                <w:sz w:val="22"/>
                <w:szCs w:val="22"/>
              </w:rPr>
            </w:pPr>
          </w:p>
        </w:tc>
        <w:tc>
          <w:tcPr>
            <w:tcW w:w="4140" w:type="dxa"/>
            <w:vMerge/>
          </w:tcPr>
          <w:p w14:paraId="652AF1CF" w14:textId="77777777" w:rsidR="006D77D6" w:rsidRPr="00493A9B" w:rsidRDefault="006D77D6" w:rsidP="00493A9B">
            <w:pPr>
              <w:rPr>
                <w:sz w:val="22"/>
                <w:szCs w:val="22"/>
              </w:rPr>
            </w:pPr>
          </w:p>
        </w:tc>
        <w:tc>
          <w:tcPr>
            <w:tcW w:w="3420" w:type="dxa"/>
            <w:vMerge/>
          </w:tcPr>
          <w:p w14:paraId="3B8B8E35" w14:textId="77777777" w:rsidR="006D77D6" w:rsidRPr="00493A9B" w:rsidRDefault="006D77D6" w:rsidP="00493A9B">
            <w:pPr>
              <w:rPr>
                <w:sz w:val="22"/>
                <w:szCs w:val="22"/>
              </w:rPr>
            </w:pPr>
          </w:p>
        </w:tc>
        <w:tc>
          <w:tcPr>
            <w:tcW w:w="2880" w:type="dxa"/>
            <w:vMerge/>
          </w:tcPr>
          <w:p w14:paraId="73DB5254" w14:textId="77777777" w:rsidR="006D77D6" w:rsidRPr="00493A9B" w:rsidRDefault="006D77D6" w:rsidP="00493A9B">
            <w:pPr>
              <w:rPr>
                <w:sz w:val="22"/>
                <w:szCs w:val="22"/>
              </w:rPr>
            </w:pPr>
          </w:p>
        </w:tc>
      </w:tr>
      <w:tr w:rsidR="00F2279D" w:rsidRPr="00493A9B" w14:paraId="1A6208FF" w14:textId="77777777" w:rsidTr="00F2279D">
        <w:trPr>
          <w:jc w:val="center"/>
        </w:trPr>
        <w:tc>
          <w:tcPr>
            <w:tcW w:w="13845" w:type="dxa"/>
            <w:gridSpan w:val="4"/>
            <w:shd w:val="clear" w:color="auto" w:fill="D9D9D9" w:themeFill="background1" w:themeFillShade="D9"/>
          </w:tcPr>
          <w:p w14:paraId="507B0455" w14:textId="77777777" w:rsidR="00F2279D" w:rsidRPr="00493A9B" w:rsidRDefault="00F2279D" w:rsidP="00493A9B">
            <w:pPr>
              <w:rPr>
                <w:b/>
                <w:sz w:val="22"/>
                <w:szCs w:val="22"/>
              </w:rPr>
            </w:pPr>
            <w:r>
              <w:rPr>
                <w:b/>
                <w:sz w:val="22"/>
              </w:rPr>
              <w:t>Cultura</w:t>
            </w:r>
          </w:p>
        </w:tc>
      </w:tr>
      <w:tr w:rsidR="006D77D6" w:rsidRPr="00493A9B" w14:paraId="518F5514" w14:textId="77777777" w:rsidTr="006D77D6">
        <w:trPr>
          <w:jc w:val="center"/>
        </w:trPr>
        <w:tc>
          <w:tcPr>
            <w:tcW w:w="3405" w:type="dxa"/>
          </w:tcPr>
          <w:p w14:paraId="3DFFE97E" w14:textId="77777777" w:rsidR="006D77D6" w:rsidRPr="00493A9B" w:rsidRDefault="006D77D6" w:rsidP="00493A9B">
            <w:pPr>
              <w:pStyle w:val="ListParagraph"/>
              <w:numPr>
                <w:ilvl w:val="0"/>
                <w:numId w:val="9"/>
              </w:numPr>
              <w:tabs>
                <w:tab w:val="left" w:pos="177"/>
              </w:tabs>
              <w:ind w:left="173" w:hanging="173"/>
              <w:rPr>
                <w:sz w:val="22"/>
                <w:szCs w:val="22"/>
              </w:rPr>
            </w:pPr>
            <w:r>
              <w:rPr>
                <w:sz w:val="22"/>
              </w:rPr>
              <w:t xml:space="preserve">Processo Ministerial e Comissão Interamericana de Cultura (CIC): Reunião da CIC </w:t>
            </w:r>
          </w:p>
          <w:p w14:paraId="1DAD4BDC" w14:textId="77777777" w:rsidR="006D77D6" w:rsidRPr="00493A9B" w:rsidRDefault="006D77D6" w:rsidP="00493A9B">
            <w:pPr>
              <w:pStyle w:val="ListParagraph"/>
              <w:numPr>
                <w:ilvl w:val="0"/>
                <w:numId w:val="9"/>
              </w:numPr>
              <w:tabs>
                <w:tab w:val="left" w:pos="177"/>
              </w:tabs>
              <w:ind w:left="173" w:hanging="173"/>
              <w:rPr>
                <w:sz w:val="22"/>
                <w:szCs w:val="22"/>
              </w:rPr>
            </w:pPr>
            <w:r>
              <w:rPr>
                <w:sz w:val="22"/>
              </w:rPr>
              <w:t>Reuniões técnicas virtuais das iniciativas do plano de trabalho</w:t>
            </w:r>
          </w:p>
          <w:p w14:paraId="1C43FC88" w14:textId="77777777" w:rsidR="006D77D6" w:rsidRPr="00493A9B" w:rsidRDefault="006D77D6" w:rsidP="00493A9B">
            <w:pPr>
              <w:pStyle w:val="ListParagraph"/>
              <w:numPr>
                <w:ilvl w:val="0"/>
                <w:numId w:val="9"/>
              </w:numPr>
              <w:tabs>
                <w:tab w:val="left" w:pos="177"/>
              </w:tabs>
              <w:ind w:left="173" w:hanging="173"/>
              <w:rPr>
                <w:sz w:val="22"/>
                <w:szCs w:val="22"/>
              </w:rPr>
            </w:pPr>
            <w:r>
              <w:rPr>
                <w:i/>
                <w:iCs/>
                <w:sz w:val="22"/>
              </w:rPr>
              <w:lastRenderedPageBreak/>
              <w:t>e-book</w:t>
            </w:r>
            <w:r>
              <w:rPr>
                <w:sz w:val="22"/>
              </w:rPr>
              <w:t xml:space="preserve"> sobre boas práticas e programas em torno da articulação interinstitucional</w:t>
            </w:r>
          </w:p>
          <w:p w14:paraId="773BBD6D" w14:textId="77777777" w:rsidR="006D77D6" w:rsidRPr="00493A9B" w:rsidRDefault="006D77D6" w:rsidP="00493A9B">
            <w:pPr>
              <w:pStyle w:val="ListParagraph"/>
              <w:numPr>
                <w:ilvl w:val="0"/>
                <w:numId w:val="9"/>
              </w:numPr>
              <w:tabs>
                <w:tab w:val="left" w:pos="177"/>
              </w:tabs>
              <w:ind w:left="173" w:hanging="173"/>
              <w:rPr>
                <w:sz w:val="22"/>
                <w:szCs w:val="22"/>
              </w:rPr>
            </w:pPr>
            <w:r>
              <w:rPr>
                <w:sz w:val="22"/>
              </w:rPr>
              <w:t>Proposta de Contas-Satélite de Cultura</w:t>
            </w:r>
          </w:p>
          <w:p w14:paraId="49DEFE80" w14:textId="77777777" w:rsidR="006D77D6" w:rsidRPr="00493A9B" w:rsidRDefault="006D77D6" w:rsidP="00493A9B">
            <w:pPr>
              <w:rPr>
                <w:sz w:val="22"/>
                <w:szCs w:val="22"/>
              </w:rPr>
            </w:pPr>
          </w:p>
        </w:tc>
        <w:tc>
          <w:tcPr>
            <w:tcW w:w="4140" w:type="dxa"/>
            <w:vAlign w:val="center"/>
          </w:tcPr>
          <w:p w14:paraId="0AD650BE" w14:textId="77777777" w:rsidR="006D77D6" w:rsidRPr="00493A9B" w:rsidRDefault="006D77D6" w:rsidP="00493A9B">
            <w:pPr>
              <w:rPr>
                <w:sz w:val="22"/>
                <w:szCs w:val="22"/>
              </w:rPr>
            </w:pPr>
            <w:r>
              <w:rPr>
                <w:sz w:val="22"/>
              </w:rPr>
              <w:lastRenderedPageBreak/>
              <w:t>Voltar o foco da cultura para indústrias criativas ligadas a PMEs</w:t>
            </w:r>
          </w:p>
        </w:tc>
        <w:tc>
          <w:tcPr>
            <w:tcW w:w="3420" w:type="dxa"/>
          </w:tcPr>
          <w:p w14:paraId="5AE42D23" w14:textId="77777777" w:rsidR="006D77D6" w:rsidRPr="00493A9B" w:rsidRDefault="006D77D6" w:rsidP="00493A9B">
            <w:pPr>
              <w:pStyle w:val="ListParagraph"/>
              <w:numPr>
                <w:ilvl w:val="0"/>
                <w:numId w:val="10"/>
              </w:numPr>
              <w:ind w:left="180" w:hanging="180"/>
              <w:rPr>
                <w:sz w:val="22"/>
                <w:szCs w:val="22"/>
              </w:rPr>
            </w:pPr>
            <w:r>
              <w:rPr>
                <w:sz w:val="22"/>
              </w:rPr>
              <w:t xml:space="preserve">Execução do projeto bem encaminhada </w:t>
            </w:r>
          </w:p>
          <w:p w14:paraId="7EA486AE" w14:textId="77777777" w:rsidR="006D77D6" w:rsidRPr="00493A9B" w:rsidRDefault="006D77D6" w:rsidP="00493A9B">
            <w:pPr>
              <w:pStyle w:val="ListParagraph"/>
              <w:numPr>
                <w:ilvl w:val="0"/>
                <w:numId w:val="10"/>
              </w:numPr>
              <w:ind w:left="180" w:hanging="180"/>
              <w:rPr>
                <w:sz w:val="22"/>
                <w:szCs w:val="22"/>
              </w:rPr>
            </w:pPr>
            <w:r>
              <w:rPr>
                <w:sz w:val="22"/>
              </w:rPr>
              <w:t xml:space="preserve">Realização de pelo menos duas reuniões virtuais do Grupo de Trabalho sobre Contas-Satélite de Cultura (CSA)  </w:t>
            </w:r>
          </w:p>
          <w:p w14:paraId="08CFC1CB" w14:textId="77777777" w:rsidR="006D77D6" w:rsidRPr="00493A9B" w:rsidRDefault="006D77D6" w:rsidP="00493A9B">
            <w:pPr>
              <w:pStyle w:val="ListParagraph"/>
              <w:numPr>
                <w:ilvl w:val="0"/>
                <w:numId w:val="10"/>
              </w:numPr>
              <w:ind w:left="180" w:hanging="180"/>
              <w:rPr>
                <w:sz w:val="22"/>
                <w:szCs w:val="22"/>
              </w:rPr>
            </w:pPr>
            <w:r>
              <w:rPr>
                <w:sz w:val="22"/>
              </w:rPr>
              <w:lastRenderedPageBreak/>
              <w:t xml:space="preserve">Compilação do </w:t>
            </w:r>
            <w:r>
              <w:rPr>
                <w:i/>
                <w:iCs/>
                <w:sz w:val="22"/>
              </w:rPr>
              <w:t>e-book</w:t>
            </w:r>
            <w:r>
              <w:rPr>
                <w:sz w:val="22"/>
              </w:rPr>
              <w:t xml:space="preserve"> sobre boas práticas e programas em torno da articulação e colaboração interinstitucional em apoio à economia criativa</w:t>
            </w:r>
          </w:p>
          <w:p w14:paraId="254A3089" w14:textId="77777777" w:rsidR="006D77D6" w:rsidRPr="00493A9B" w:rsidRDefault="006D77D6" w:rsidP="00493A9B">
            <w:pPr>
              <w:pStyle w:val="ListParagraph"/>
              <w:numPr>
                <w:ilvl w:val="0"/>
                <w:numId w:val="10"/>
              </w:numPr>
              <w:ind w:left="180" w:hanging="180"/>
              <w:rPr>
                <w:sz w:val="22"/>
                <w:szCs w:val="22"/>
              </w:rPr>
            </w:pPr>
            <w:r>
              <w:rPr>
                <w:sz w:val="22"/>
              </w:rPr>
              <w:t>Plano de Trabalho da CIC em execução</w:t>
            </w:r>
          </w:p>
          <w:p w14:paraId="2A34BC8E" w14:textId="77777777" w:rsidR="006D77D6" w:rsidRPr="00493A9B" w:rsidRDefault="006D77D6" w:rsidP="00493A9B">
            <w:pPr>
              <w:pStyle w:val="ListParagraph"/>
              <w:numPr>
                <w:ilvl w:val="0"/>
                <w:numId w:val="10"/>
              </w:numPr>
              <w:ind w:left="180" w:hanging="180"/>
              <w:rPr>
                <w:sz w:val="22"/>
                <w:szCs w:val="22"/>
                <w:u w:val="single"/>
              </w:rPr>
            </w:pPr>
            <w:r>
              <w:rPr>
                <w:sz w:val="22"/>
              </w:rPr>
              <w:t>Elaboração da proposta para reforçar a capacidade de tomada de decisão no setor da cultura no Caribe</w:t>
            </w:r>
          </w:p>
        </w:tc>
        <w:tc>
          <w:tcPr>
            <w:tcW w:w="2880" w:type="dxa"/>
          </w:tcPr>
          <w:p w14:paraId="443263AF" w14:textId="77777777" w:rsidR="006D77D6" w:rsidRPr="00493A9B" w:rsidRDefault="006D77D6" w:rsidP="00493A9B">
            <w:pPr>
              <w:rPr>
                <w:sz w:val="22"/>
                <w:szCs w:val="22"/>
              </w:rPr>
            </w:pPr>
            <w:r>
              <w:rPr>
                <w:b/>
                <w:sz w:val="22"/>
              </w:rPr>
              <w:lastRenderedPageBreak/>
              <w:t>Externas:</w:t>
            </w:r>
          </w:p>
          <w:p w14:paraId="5C271115" w14:textId="77777777" w:rsidR="006D77D6" w:rsidRPr="00493A9B" w:rsidRDefault="006D77D6" w:rsidP="00493A9B">
            <w:pPr>
              <w:rPr>
                <w:sz w:val="22"/>
                <w:szCs w:val="22"/>
              </w:rPr>
            </w:pPr>
            <w:r>
              <w:rPr>
                <w:sz w:val="22"/>
              </w:rPr>
              <w:t>Organização do Convênio Andrés Bello</w:t>
            </w:r>
          </w:p>
          <w:p w14:paraId="61C72AAB" w14:textId="77777777" w:rsidR="006D77D6" w:rsidRPr="00493A9B" w:rsidRDefault="006D77D6" w:rsidP="00493A9B">
            <w:pPr>
              <w:rPr>
                <w:sz w:val="22"/>
                <w:szCs w:val="22"/>
              </w:rPr>
            </w:pPr>
          </w:p>
          <w:p w14:paraId="30BCCC5F" w14:textId="77777777" w:rsidR="006D77D6" w:rsidRPr="00493A9B" w:rsidRDefault="006D77D6" w:rsidP="00493A9B">
            <w:pPr>
              <w:rPr>
                <w:sz w:val="22"/>
                <w:szCs w:val="22"/>
              </w:rPr>
            </w:pPr>
            <w:r>
              <w:rPr>
                <w:sz w:val="22"/>
              </w:rPr>
              <w:lastRenderedPageBreak/>
              <w:t>Banco de Desenvolvimento do Caribe sobre indústrias criativas</w:t>
            </w:r>
          </w:p>
          <w:p w14:paraId="55F921B7" w14:textId="77777777" w:rsidR="006D77D6" w:rsidRPr="00493A9B" w:rsidRDefault="006D77D6" w:rsidP="00493A9B">
            <w:pPr>
              <w:rPr>
                <w:sz w:val="22"/>
                <w:szCs w:val="22"/>
              </w:rPr>
            </w:pPr>
          </w:p>
        </w:tc>
      </w:tr>
    </w:tbl>
    <w:p w14:paraId="02BFB3D1" w14:textId="77777777" w:rsidR="00336EAD" w:rsidRPr="00493A9B" w:rsidRDefault="00336EAD" w:rsidP="00493A9B">
      <w:pPr>
        <w:rPr>
          <w:sz w:val="22"/>
          <w:szCs w:val="22"/>
        </w:rPr>
      </w:pPr>
    </w:p>
    <w:p w14:paraId="0F61FA59" w14:textId="77777777" w:rsidR="00C237D9" w:rsidRPr="00493A9B" w:rsidRDefault="00C237D9" w:rsidP="00493A9B">
      <w:pPr>
        <w:spacing w:after="160" w:line="259" w:lineRule="auto"/>
        <w:rPr>
          <w:sz w:val="22"/>
          <w:szCs w:val="22"/>
        </w:rPr>
      </w:pPr>
      <w:r>
        <w:br w:type="page"/>
      </w:r>
    </w:p>
    <w:p w14:paraId="3CCDDC43" w14:textId="77777777" w:rsidR="00336EAD" w:rsidRPr="00DA56F9" w:rsidRDefault="00336EAD" w:rsidP="00493A9B">
      <w:pPr>
        <w:rPr>
          <w:b/>
          <w:color w:val="1F4E79" w:themeColor="accent1" w:themeShade="80"/>
          <w:sz w:val="22"/>
          <w:szCs w:val="22"/>
        </w:rPr>
      </w:pPr>
      <w:r w:rsidRPr="00DA56F9">
        <w:rPr>
          <w:b/>
          <w:color w:val="1F4E79" w:themeColor="accent1" w:themeShade="80"/>
          <w:sz w:val="22"/>
        </w:rPr>
        <w:lastRenderedPageBreak/>
        <w:t>DEPARTAMENTO/SEÇÃO:</w:t>
      </w:r>
      <w:r w:rsidRPr="00DA56F9">
        <w:rPr>
          <w:b/>
          <w:color w:val="1F4E79" w:themeColor="accent1" w:themeShade="80"/>
          <w:sz w:val="22"/>
        </w:rPr>
        <w:tab/>
        <w:t>COMISSÃO INTERAMERICANA DE PORTOS (CIP)</w:t>
      </w:r>
    </w:p>
    <w:p w14:paraId="4087BC19" w14:textId="77777777" w:rsidR="00336EAD" w:rsidRPr="00493A9B" w:rsidRDefault="00336EAD" w:rsidP="00493A9B">
      <w:pPr>
        <w:rPr>
          <w:sz w:val="22"/>
          <w:szCs w:val="22"/>
        </w:rPr>
      </w:pPr>
    </w:p>
    <w:p w14:paraId="3247E90B" w14:textId="77777777" w:rsidR="00336EAD" w:rsidRPr="00493A9B" w:rsidRDefault="00336EAD" w:rsidP="00493A9B">
      <w:pPr>
        <w:rPr>
          <w:sz w:val="22"/>
          <w:szCs w:val="22"/>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15"/>
        <w:gridCol w:w="4230"/>
        <w:gridCol w:w="3420"/>
        <w:gridCol w:w="2790"/>
      </w:tblGrid>
      <w:tr w:rsidR="00697CE0" w:rsidRPr="00493A9B" w14:paraId="486B734A" w14:textId="77777777" w:rsidTr="0029333F">
        <w:trPr>
          <w:tblHeader/>
          <w:jc w:val="center"/>
        </w:trPr>
        <w:tc>
          <w:tcPr>
            <w:tcW w:w="3315" w:type="dxa"/>
            <w:tcBorders>
              <w:top w:val="single" w:sz="12" w:space="0" w:color="auto"/>
              <w:bottom w:val="single" w:sz="6" w:space="0" w:color="auto"/>
            </w:tcBorders>
            <w:shd w:val="clear" w:color="auto" w:fill="BDD6EE" w:themeFill="accent1" w:themeFillTint="66"/>
            <w:vAlign w:val="center"/>
          </w:tcPr>
          <w:p w14:paraId="0BC41C4C" w14:textId="77777777" w:rsidR="00697CE0" w:rsidRPr="00493A9B" w:rsidRDefault="00697CE0" w:rsidP="00493A9B">
            <w:pPr>
              <w:rPr>
                <w:b/>
                <w:bCs/>
                <w:color w:val="000000" w:themeColor="text1"/>
                <w:sz w:val="22"/>
                <w:szCs w:val="22"/>
              </w:rPr>
            </w:pPr>
            <w:r>
              <w:rPr>
                <w:b/>
                <w:color w:val="000000" w:themeColor="text1"/>
                <w:sz w:val="22"/>
              </w:rPr>
              <w:t>INICIATIVAS / ATIVIDADES</w:t>
            </w:r>
          </w:p>
        </w:tc>
        <w:tc>
          <w:tcPr>
            <w:tcW w:w="4230" w:type="dxa"/>
            <w:tcBorders>
              <w:top w:val="single" w:sz="12" w:space="0" w:color="auto"/>
              <w:bottom w:val="single" w:sz="6" w:space="0" w:color="auto"/>
            </w:tcBorders>
            <w:shd w:val="clear" w:color="auto" w:fill="BDD6EE" w:themeFill="accent1" w:themeFillTint="66"/>
            <w:vAlign w:val="center"/>
          </w:tcPr>
          <w:p w14:paraId="7D7E4627" w14:textId="77777777" w:rsidR="00697CE0" w:rsidRPr="00493A9B" w:rsidRDefault="00697CE0" w:rsidP="00493A9B">
            <w:pPr>
              <w:rPr>
                <w:b/>
                <w:bCs/>
                <w:color w:val="000000" w:themeColor="text1"/>
                <w:sz w:val="22"/>
                <w:szCs w:val="22"/>
              </w:rPr>
            </w:pPr>
            <w:r>
              <w:rPr>
                <w:b/>
                <w:color w:val="000000" w:themeColor="text1"/>
                <w:sz w:val="22"/>
              </w:rPr>
              <w:t>CONTRIBUIÇÃO PARA A RESILIÊNCIA E A COMPETITIVIDADE</w:t>
            </w:r>
          </w:p>
        </w:tc>
        <w:tc>
          <w:tcPr>
            <w:tcW w:w="3420" w:type="dxa"/>
            <w:tcBorders>
              <w:top w:val="single" w:sz="12" w:space="0" w:color="auto"/>
              <w:bottom w:val="single" w:sz="6" w:space="0" w:color="auto"/>
            </w:tcBorders>
            <w:shd w:val="clear" w:color="auto" w:fill="BDD6EE" w:themeFill="accent1" w:themeFillTint="66"/>
            <w:vAlign w:val="center"/>
          </w:tcPr>
          <w:p w14:paraId="70564F5C" w14:textId="77777777" w:rsidR="00697CE0" w:rsidRPr="00493A9B" w:rsidRDefault="00697CE0" w:rsidP="00493A9B">
            <w:pPr>
              <w:rPr>
                <w:b/>
                <w:bCs/>
                <w:color w:val="000000" w:themeColor="text1"/>
                <w:sz w:val="22"/>
                <w:szCs w:val="22"/>
              </w:rPr>
            </w:pPr>
            <w:r>
              <w:rPr>
                <w:b/>
                <w:color w:val="000000" w:themeColor="text1"/>
                <w:sz w:val="22"/>
              </w:rPr>
              <w:t>RESULTADOS ESPERADOS</w:t>
            </w:r>
          </w:p>
        </w:tc>
        <w:tc>
          <w:tcPr>
            <w:tcW w:w="2790" w:type="dxa"/>
            <w:tcBorders>
              <w:top w:val="single" w:sz="12" w:space="0" w:color="auto"/>
              <w:bottom w:val="single" w:sz="6" w:space="0" w:color="auto"/>
            </w:tcBorders>
            <w:shd w:val="clear" w:color="auto" w:fill="BDD6EE" w:themeFill="accent1" w:themeFillTint="66"/>
            <w:vAlign w:val="center"/>
          </w:tcPr>
          <w:p w14:paraId="3A2F6CBD" w14:textId="77777777" w:rsidR="00697CE0" w:rsidRPr="00493A9B" w:rsidRDefault="00697CE0" w:rsidP="00493A9B">
            <w:pPr>
              <w:rPr>
                <w:b/>
                <w:bCs/>
                <w:color w:val="000000" w:themeColor="text1"/>
                <w:sz w:val="22"/>
                <w:szCs w:val="22"/>
              </w:rPr>
            </w:pPr>
            <w:r>
              <w:rPr>
                <w:b/>
                <w:color w:val="000000" w:themeColor="text1"/>
                <w:sz w:val="22"/>
              </w:rPr>
              <w:t>COOPERAÇÃO E PARCERIAS</w:t>
            </w:r>
          </w:p>
        </w:tc>
      </w:tr>
      <w:tr w:rsidR="0029333F" w:rsidRPr="00493A9B" w14:paraId="2657634D" w14:textId="77777777" w:rsidTr="0029333F">
        <w:trPr>
          <w:jc w:val="center"/>
        </w:trPr>
        <w:tc>
          <w:tcPr>
            <w:tcW w:w="3315" w:type="dxa"/>
            <w:tcBorders>
              <w:top w:val="single" w:sz="6" w:space="0" w:color="auto"/>
              <w:bottom w:val="single" w:sz="6" w:space="0" w:color="auto"/>
            </w:tcBorders>
            <w:shd w:val="clear" w:color="auto" w:fill="BFBFBF" w:themeFill="background1" w:themeFillShade="BF"/>
            <w:vAlign w:val="center"/>
          </w:tcPr>
          <w:p w14:paraId="5D32B58C" w14:textId="77777777" w:rsidR="0029333F" w:rsidRPr="00493A9B" w:rsidRDefault="0029333F" w:rsidP="00493A9B">
            <w:pPr>
              <w:rPr>
                <w:b/>
                <w:bCs/>
                <w:color w:val="000000" w:themeColor="text1"/>
                <w:sz w:val="22"/>
                <w:szCs w:val="22"/>
              </w:rPr>
            </w:pPr>
            <w:r>
              <w:rPr>
                <w:b/>
                <w:color w:val="000000" w:themeColor="text1"/>
                <w:sz w:val="22"/>
              </w:rPr>
              <w:t>LINHA ESTRATÉGICA</w:t>
            </w:r>
          </w:p>
        </w:tc>
        <w:tc>
          <w:tcPr>
            <w:tcW w:w="10440" w:type="dxa"/>
            <w:gridSpan w:val="3"/>
            <w:tcBorders>
              <w:top w:val="single" w:sz="6" w:space="0" w:color="auto"/>
              <w:bottom w:val="single" w:sz="6" w:space="0" w:color="auto"/>
            </w:tcBorders>
            <w:shd w:val="clear" w:color="auto" w:fill="BFBFBF" w:themeFill="background1" w:themeFillShade="BF"/>
          </w:tcPr>
          <w:p w14:paraId="7D6BA9A0" w14:textId="77777777" w:rsidR="0029333F" w:rsidRPr="00493A9B" w:rsidRDefault="0029333F" w:rsidP="00493A9B">
            <w:pPr>
              <w:rPr>
                <w:b/>
                <w:bCs/>
                <w:color w:val="000000" w:themeColor="text1"/>
                <w:sz w:val="22"/>
                <w:szCs w:val="22"/>
              </w:rPr>
            </w:pPr>
            <w:r>
              <w:rPr>
                <w:b/>
                <w:color w:val="000000" w:themeColor="text1"/>
                <w:sz w:val="22"/>
              </w:rPr>
              <w:t>2. Fortalecimento da implementação dos objetivos de desenvolvimento sustentável, em conformidade com o Programa Interamericano de Desenvolvimento Sustentável 2016-2021 (PIDS).</w:t>
            </w:r>
          </w:p>
        </w:tc>
      </w:tr>
      <w:tr w:rsidR="0029333F" w:rsidRPr="00493A9B" w14:paraId="68D09055" w14:textId="77777777" w:rsidTr="0029333F">
        <w:trPr>
          <w:jc w:val="center"/>
        </w:trPr>
        <w:tc>
          <w:tcPr>
            <w:tcW w:w="3315" w:type="dxa"/>
            <w:tcBorders>
              <w:top w:val="single" w:sz="6" w:space="0" w:color="auto"/>
              <w:bottom w:val="single" w:sz="6" w:space="0" w:color="auto"/>
            </w:tcBorders>
            <w:shd w:val="clear" w:color="auto" w:fill="BFBFBF" w:themeFill="background1" w:themeFillShade="BF"/>
            <w:vAlign w:val="center"/>
          </w:tcPr>
          <w:p w14:paraId="01894456" w14:textId="77777777" w:rsidR="0029333F" w:rsidRPr="00493A9B" w:rsidRDefault="0027504F" w:rsidP="00493A9B">
            <w:pPr>
              <w:rPr>
                <w:rFonts w:eastAsia="Calibri"/>
                <w:b/>
                <w:bCs/>
                <w:color w:val="000000" w:themeColor="text1"/>
                <w:sz w:val="22"/>
                <w:szCs w:val="22"/>
              </w:rPr>
            </w:pPr>
            <w:r>
              <w:rPr>
                <w:b/>
                <w:color w:val="000000" w:themeColor="text1"/>
                <w:sz w:val="22"/>
              </w:rPr>
              <w:t xml:space="preserve">OBJETIVO </w:t>
            </w:r>
            <w:r w:rsidR="0029333F">
              <w:rPr>
                <w:b/>
                <w:color w:val="000000" w:themeColor="text1"/>
                <w:sz w:val="22"/>
              </w:rPr>
              <w:t xml:space="preserve">ESTRATÉGICO </w:t>
            </w:r>
          </w:p>
          <w:p w14:paraId="0A0F5609" w14:textId="77777777" w:rsidR="0029333F" w:rsidRPr="00493A9B" w:rsidRDefault="0029333F" w:rsidP="00493A9B">
            <w:pPr>
              <w:rPr>
                <w:b/>
                <w:bCs/>
                <w:color w:val="000000" w:themeColor="text1"/>
                <w:sz w:val="22"/>
                <w:szCs w:val="22"/>
              </w:rPr>
            </w:pPr>
          </w:p>
        </w:tc>
        <w:tc>
          <w:tcPr>
            <w:tcW w:w="10440" w:type="dxa"/>
            <w:gridSpan w:val="3"/>
            <w:tcBorders>
              <w:top w:val="single" w:sz="6" w:space="0" w:color="auto"/>
              <w:bottom w:val="single" w:sz="6" w:space="0" w:color="auto"/>
            </w:tcBorders>
            <w:shd w:val="clear" w:color="auto" w:fill="BFBFBF" w:themeFill="background1" w:themeFillShade="BF"/>
          </w:tcPr>
          <w:p w14:paraId="096452FE" w14:textId="77777777" w:rsidR="0029333F" w:rsidRPr="00493A9B" w:rsidRDefault="0029333F" w:rsidP="00493A9B">
            <w:pPr>
              <w:rPr>
                <w:sz w:val="22"/>
                <w:szCs w:val="22"/>
              </w:rPr>
            </w:pPr>
            <w:r>
              <w:rPr>
                <w:b/>
                <w:color w:val="000000" w:themeColor="text1"/>
                <w:sz w:val="22"/>
              </w:rPr>
              <w:t>2.1. Promover a capacidade dos Estados membros na gestão do risco de desastres, de acordo com os objetivos e bases de ação dispostos na Seção 3.1 do PIDS.</w:t>
            </w:r>
          </w:p>
        </w:tc>
      </w:tr>
      <w:tr w:rsidR="0029333F" w:rsidRPr="00493A9B" w14:paraId="58083F48" w14:textId="77777777" w:rsidTr="0029333F">
        <w:trPr>
          <w:jc w:val="center"/>
        </w:trPr>
        <w:tc>
          <w:tcPr>
            <w:tcW w:w="3315" w:type="dxa"/>
            <w:tcBorders>
              <w:top w:val="single" w:sz="6" w:space="0" w:color="auto"/>
              <w:bottom w:val="single" w:sz="6" w:space="0" w:color="auto"/>
            </w:tcBorders>
            <w:shd w:val="clear" w:color="auto" w:fill="D9D9D9" w:themeFill="background1" w:themeFillShade="D9"/>
            <w:vAlign w:val="center"/>
          </w:tcPr>
          <w:p w14:paraId="243DFBF6" w14:textId="77777777" w:rsidR="0029333F" w:rsidRPr="00493A9B" w:rsidRDefault="0029333F" w:rsidP="00493A9B">
            <w:pPr>
              <w:rPr>
                <w:b/>
                <w:bCs/>
                <w:color w:val="000000" w:themeColor="text1"/>
                <w:sz w:val="22"/>
                <w:szCs w:val="22"/>
              </w:rPr>
            </w:pPr>
            <w:r>
              <w:rPr>
                <w:b/>
                <w:color w:val="000000" w:themeColor="text1"/>
                <w:sz w:val="22"/>
              </w:rPr>
              <w:t>PORTOS</w:t>
            </w:r>
          </w:p>
        </w:tc>
        <w:tc>
          <w:tcPr>
            <w:tcW w:w="10440" w:type="dxa"/>
            <w:gridSpan w:val="3"/>
            <w:tcBorders>
              <w:top w:val="single" w:sz="6" w:space="0" w:color="auto"/>
              <w:bottom w:val="single" w:sz="6" w:space="0" w:color="auto"/>
            </w:tcBorders>
            <w:shd w:val="clear" w:color="auto" w:fill="D9D9D9" w:themeFill="background1" w:themeFillShade="D9"/>
          </w:tcPr>
          <w:p w14:paraId="78F7DDE3" w14:textId="77777777" w:rsidR="0029333F" w:rsidRPr="00493A9B" w:rsidRDefault="0029333F" w:rsidP="00493A9B">
            <w:pPr>
              <w:rPr>
                <w:b/>
                <w:bCs/>
                <w:color w:val="000000" w:themeColor="text1"/>
                <w:sz w:val="22"/>
                <w:szCs w:val="22"/>
              </w:rPr>
            </w:pPr>
          </w:p>
        </w:tc>
      </w:tr>
      <w:tr w:rsidR="00A55B4B" w:rsidRPr="00493A9B" w14:paraId="28960BD0" w14:textId="77777777" w:rsidTr="00655DAD">
        <w:trPr>
          <w:jc w:val="center"/>
        </w:trPr>
        <w:tc>
          <w:tcPr>
            <w:tcW w:w="3315" w:type="dxa"/>
            <w:tcBorders>
              <w:top w:val="single" w:sz="6" w:space="0" w:color="auto"/>
              <w:bottom w:val="single" w:sz="6" w:space="0" w:color="auto"/>
            </w:tcBorders>
            <w:vAlign w:val="center"/>
          </w:tcPr>
          <w:p w14:paraId="4F7083B3" w14:textId="77777777" w:rsidR="00A55B4B" w:rsidRPr="00493A9B" w:rsidRDefault="00A55B4B" w:rsidP="00493A9B">
            <w:pPr>
              <w:rPr>
                <w:bCs/>
                <w:color w:val="000000" w:themeColor="text1"/>
                <w:sz w:val="22"/>
                <w:szCs w:val="22"/>
              </w:rPr>
            </w:pPr>
            <w:r>
              <w:rPr>
                <w:color w:val="000000" w:themeColor="text1"/>
                <w:sz w:val="22"/>
              </w:rPr>
              <w:t>Gestão do risco de desastres para portos no Caribe:</w:t>
            </w:r>
          </w:p>
          <w:p w14:paraId="2A793C00" w14:textId="77777777" w:rsidR="00A55B4B" w:rsidRPr="00493A9B" w:rsidRDefault="00A55B4B" w:rsidP="00493A9B">
            <w:pPr>
              <w:rPr>
                <w:bCs/>
                <w:color w:val="000000" w:themeColor="text1"/>
                <w:sz w:val="22"/>
                <w:szCs w:val="22"/>
              </w:rPr>
            </w:pPr>
          </w:p>
          <w:p w14:paraId="07FF9AE7" w14:textId="77777777" w:rsidR="00A55B4B" w:rsidRPr="00493A9B" w:rsidRDefault="00A55B4B" w:rsidP="00493A9B">
            <w:pPr>
              <w:autoSpaceDE w:val="0"/>
              <w:autoSpaceDN w:val="0"/>
              <w:adjustRightInd w:val="0"/>
              <w:rPr>
                <w:sz w:val="22"/>
                <w:szCs w:val="22"/>
              </w:rPr>
            </w:pPr>
            <w:r>
              <w:rPr>
                <w:sz w:val="22"/>
              </w:rPr>
              <w:t>Desenvolvimento de planos de resposta de emergência entre</w:t>
            </w:r>
          </w:p>
          <w:p w14:paraId="73E64DA8" w14:textId="77777777" w:rsidR="00A55B4B" w:rsidRPr="00493A9B" w:rsidRDefault="00A55B4B" w:rsidP="00493A9B">
            <w:pPr>
              <w:autoSpaceDE w:val="0"/>
              <w:autoSpaceDN w:val="0"/>
              <w:adjustRightInd w:val="0"/>
              <w:rPr>
                <w:sz w:val="22"/>
                <w:szCs w:val="22"/>
              </w:rPr>
            </w:pPr>
            <w:r>
              <w:rPr>
                <w:sz w:val="22"/>
              </w:rPr>
              <w:t>várias partes interessadas para aprimorar a resposta</w:t>
            </w:r>
          </w:p>
          <w:p w14:paraId="653E19A5" w14:textId="77777777" w:rsidR="00A55B4B" w:rsidRPr="00493A9B" w:rsidRDefault="00A55B4B" w:rsidP="00493A9B">
            <w:pPr>
              <w:autoSpaceDE w:val="0"/>
              <w:autoSpaceDN w:val="0"/>
              <w:adjustRightInd w:val="0"/>
              <w:rPr>
                <w:sz w:val="22"/>
                <w:szCs w:val="22"/>
              </w:rPr>
            </w:pPr>
            <w:r>
              <w:rPr>
                <w:sz w:val="22"/>
              </w:rPr>
              <w:t>a emergências:</w:t>
            </w:r>
          </w:p>
          <w:p w14:paraId="1A6AB346" w14:textId="77777777" w:rsidR="00A55B4B" w:rsidRPr="00493A9B" w:rsidRDefault="00A55B4B" w:rsidP="00493A9B">
            <w:pPr>
              <w:rPr>
                <w:bCs/>
                <w:color w:val="000000" w:themeColor="text1"/>
                <w:sz w:val="22"/>
                <w:szCs w:val="22"/>
              </w:rPr>
            </w:pPr>
            <w:r>
              <w:rPr>
                <w:sz w:val="22"/>
              </w:rPr>
              <w:t>Melhoria da gestão do risco de desastres para portos no Caribe</w:t>
            </w:r>
            <w:r>
              <w:rPr>
                <w:color w:val="000000" w:themeColor="text1"/>
                <w:sz w:val="22"/>
              </w:rPr>
              <w:br/>
            </w:r>
          </w:p>
        </w:tc>
        <w:tc>
          <w:tcPr>
            <w:tcW w:w="4230" w:type="dxa"/>
            <w:tcBorders>
              <w:top w:val="single" w:sz="6" w:space="0" w:color="auto"/>
              <w:bottom w:val="single" w:sz="6" w:space="0" w:color="auto"/>
            </w:tcBorders>
            <w:vAlign w:val="center"/>
          </w:tcPr>
          <w:p w14:paraId="0A6C403A" w14:textId="77777777" w:rsidR="00A55B4B" w:rsidRPr="00493A9B" w:rsidRDefault="00A55B4B" w:rsidP="00493A9B">
            <w:pPr>
              <w:rPr>
                <w:b/>
                <w:bCs/>
                <w:color w:val="000000" w:themeColor="text1"/>
                <w:sz w:val="22"/>
                <w:szCs w:val="22"/>
              </w:rPr>
            </w:pPr>
          </w:p>
        </w:tc>
        <w:tc>
          <w:tcPr>
            <w:tcW w:w="3420" w:type="dxa"/>
            <w:tcBorders>
              <w:top w:val="single" w:sz="6" w:space="0" w:color="auto"/>
              <w:bottom w:val="single" w:sz="6" w:space="0" w:color="auto"/>
            </w:tcBorders>
          </w:tcPr>
          <w:p w14:paraId="75E8A298" w14:textId="77777777" w:rsidR="00A55B4B" w:rsidRPr="00493A9B" w:rsidRDefault="00A55B4B" w:rsidP="00493A9B">
            <w:pPr>
              <w:rPr>
                <w:color w:val="000000"/>
                <w:sz w:val="22"/>
                <w:szCs w:val="22"/>
              </w:rPr>
            </w:pPr>
            <w:r>
              <w:rPr>
                <w:color w:val="000000"/>
                <w:sz w:val="22"/>
              </w:rPr>
              <w:t xml:space="preserve">No contexto do projeto aprovado para melhoria da gestão do risco de desastres para portos no Caribe, a Secretaria da CIP deverá: </w:t>
            </w:r>
          </w:p>
          <w:p w14:paraId="78B2A3E4" w14:textId="77777777" w:rsidR="00A55B4B" w:rsidRPr="00493A9B" w:rsidRDefault="00A55B4B" w:rsidP="00493A9B">
            <w:pPr>
              <w:ind w:left="180" w:hanging="180"/>
              <w:rPr>
                <w:color w:val="000000"/>
                <w:sz w:val="22"/>
                <w:szCs w:val="22"/>
              </w:rPr>
            </w:pPr>
          </w:p>
          <w:p w14:paraId="784659A3" w14:textId="77777777" w:rsidR="00A55B4B" w:rsidRPr="00493A9B" w:rsidRDefault="00A55B4B" w:rsidP="00493A9B">
            <w:pPr>
              <w:numPr>
                <w:ilvl w:val="0"/>
                <w:numId w:val="11"/>
              </w:numPr>
              <w:ind w:left="180" w:hanging="180"/>
              <w:rPr>
                <w:color w:val="000000"/>
                <w:sz w:val="22"/>
                <w:szCs w:val="22"/>
              </w:rPr>
            </w:pPr>
            <w:r>
              <w:rPr>
                <w:color w:val="000000"/>
                <w:sz w:val="22"/>
              </w:rPr>
              <w:t xml:space="preserve">Estabelecer uma linha de base das atuais diretrizes de gestão do risco de desastres para o posterior projeto de um Plano Modelo de Resposta a Desastres. </w:t>
            </w:r>
          </w:p>
          <w:p w14:paraId="3DE9AD23" w14:textId="77777777" w:rsidR="00A55B4B" w:rsidRPr="00493A9B" w:rsidRDefault="0027504F" w:rsidP="00493A9B">
            <w:pPr>
              <w:numPr>
                <w:ilvl w:val="0"/>
                <w:numId w:val="11"/>
              </w:numPr>
              <w:ind w:left="180" w:hanging="180"/>
              <w:rPr>
                <w:color w:val="000000"/>
                <w:sz w:val="22"/>
                <w:szCs w:val="22"/>
              </w:rPr>
            </w:pPr>
            <w:r>
              <w:rPr>
                <w:color w:val="000000"/>
                <w:sz w:val="22"/>
              </w:rPr>
              <w:t>Conceber</w:t>
            </w:r>
            <w:r w:rsidR="00A55B4B">
              <w:rPr>
                <w:color w:val="000000"/>
                <w:sz w:val="22"/>
              </w:rPr>
              <w:t xml:space="preserve"> uma versão preliminar do Plano Modelo de Resposta a Desastres para portos no Caribe.</w:t>
            </w:r>
          </w:p>
          <w:p w14:paraId="48A3F959" w14:textId="77777777" w:rsidR="00A55B4B" w:rsidRPr="00493A9B" w:rsidRDefault="00A55B4B" w:rsidP="00493A9B">
            <w:pPr>
              <w:numPr>
                <w:ilvl w:val="0"/>
                <w:numId w:val="11"/>
              </w:numPr>
              <w:ind w:left="180" w:hanging="180"/>
              <w:rPr>
                <w:color w:val="000000"/>
                <w:sz w:val="22"/>
                <w:szCs w:val="22"/>
              </w:rPr>
            </w:pPr>
            <w:r>
              <w:rPr>
                <w:color w:val="000000"/>
                <w:sz w:val="22"/>
              </w:rPr>
              <w:t xml:space="preserve">Realizar um seminário regional (online ou presencial) para os funcionários portuários do Caribe sobre gestão do risco de desastres em portos. </w:t>
            </w:r>
          </w:p>
          <w:p w14:paraId="55A198CF" w14:textId="77777777" w:rsidR="00A55B4B" w:rsidRPr="00493A9B" w:rsidRDefault="00A55B4B" w:rsidP="00493A9B">
            <w:pPr>
              <w:rPr>
                <w:b/>
                <w:bCs/>
                <w:color w:val="000000" w:themeColor="text1"/>
                <w:sz w:val="22"/>
                <w:szCs w:val="22"/>
              </w:rPr>
            </w:pPr>
          </w:p>
        </w:tc>
        <w:tc>
          <w:tcPr>
            <w:tcW w:w="2790" w:type="dxa"/>
            <w:tcBorders>
              <w:top w:val="single" w:sz="6" w:space="0" w:color="auto"/>
              <w:bottom w:val="single" w:sz="6" w:space="0" w:color="auto"/>
            </w:tcBorders>
            <w:vAlign w:val="center"/>
          </w:tcPr>
          <w:p w14:paraId="33700FFF" w14:textId="77777777" w:rsidR="00A55B4B" w:rsidRPr="00493A9B" w:rsidRDefault="00A55B4B" w:rsidP="00493A9B">
            <w:pPr>
              <w:rPr>
                <w:bCs/>
                <w:color w:val="000000" w:themeColor="text1"/>
                <w:sz w:val="22"/>
                <w:szCs w:val="22"/>
              </w:rPr>
            </w:pPr>
            <w:r w:rsidRPr="0027504F">
              <w:rPr>
                <w:b/>
                <w:color w:val="000000" w:themeColor="text1"/>
                <w:sz w:val="22"/>
              </w:rPr>
              <w:t>Internas</w:t>
            </w:r>
            <w:r>
              <w:rPr>
                <w:b/>
                <w:color w:val="000000" w:themeColor="text1"/>
                <w:sz w:val="22"/>
              </w:rPr>
              <w:t xml:space="preserve">: </w:t>
            </w:r>
            <w:r>
              <w:rPr>
                <w:color w:val="000000" w:themeColor="text1"/>
                <w:sz w:val="22"/>
              </w:rPr>
              <w:t>Divisão de Gestão de Risco da SEDI.</w:t>
            </w:r>
          </w:p>
          <w:p w14:paraId="6D227875" w14:textId="77777777" w:rsidR="00A55B4B" w:rsidRPr="00493A9B" w:rsidRDefault="00A55B4B" w:rsidP="00493A9B">
            <w:pPr>
              <w:rPr>
                <w:b/>
                <w:bCs/>
                <w:color w:val="000000" w:themeColor="text1"/>
                <w:sz w:val="22"/>
                <w:szCs w:val="22"/>
              </w:rPr>
            </w:pPr>
          </w:p>
          <w:p w14:paraId="5E742400" w14:textId="77777777" w:rsidR="00A55B4B" w:rsidRPr="00493A9B" w:rsidRDefault="00A55B4B" w:rsidP="00493A9B">
            <w:pPr>
              <w:rPr>
                <w:bCs/>
                <w:color w:val="000000" w:themeColor="text1"/>
                <w:sz w:val="22"/>
                <w:szCs w:val="22"/>
              </w:rPr>
            </w:pPr>
            <w:r>
              <w:rPr>
                <w:b/>
                <w:color w:val="000000" w:themeColor="text1"/>
                <w:sz w:val="22"/>
              </w:rPr>
              <w:t xml:space="preserve">Externas: </w:t>
            </w:r>
            <w:r>
              <w:rPr>
                <w:color w:val="000000" w:themeColor="text1"/>
                <w:sz w:val="22"/>
              </w:rPr>
              <w:t>Agência Caribenha de Gestão de Emergência em Casos de Desastre (CDEMA); Associação de Navegação do Caribe (CSA); autoridades portuárias nacionais da CIP; Governo da Itália; HudsonAnalytix; MAERSK; Associação de Gestão Portuária do Caribe (PMAC); T&amp;T Salvage; Guarda Costeira dos Estados Unidos (USCG).</w:t>
            </w:r>
          </w:p>
        </w:tc>
      </w:tr>
      <w:tr w:rsidR="00655DAD" w:rsidRPr="00493A9B" w14:paraId="065D29E9" w14:textId="77777777" w:rsidTr="00655DAD">
        <w:trPr>
          <w:jc w:val="center"/>
        </w:trPr>
        <w:tc>
          <w:tcPr>
            <w:tcW w:w="3315" w:type="dxa"/>
            <w:tcBorders>
              <w:top w:val="single" w:sz="6" w:space="0" w:color="auto"/>
              <w:bottom w:val="single" w:sz="6" w:space="0" w:color="auto"/>
            </w:tcBorders>
            <w:shd w:val="clear" w:color="auto" w:fill="BFBFBF" w:themeFill="background1" w:themeFillShade="BF"/>
            <w:vAlign w:val="center"/>
          </w:tcPr>
          <w:p w14:paraId="1F4FEF0D" w14:textId="77777777" w:rsidR="00655DAD" w:rsidRPr="00493A9B" w:rsidRDefault="00655DAD" w:rsidP="00493A9B">
            <w:pPr>
              <w:rPr>
                <w:b/>
                <w:bCs/>
                <w:color w:val="000000" w:themeColor="text1"/>
                <w:sz w:val="22"/>
                <w:szCs w:val="22"/>
              </w:rPr>
            </w:pPr>
            <w:r>
              <w:rPr>
                <w:b/>
                <w:color w:val="000000" w:themeColor="text1"/>
                <w:sz w:val="22"/>
              </w:rPr>
              <w:t>LINHA ESTRATÉGICA</w:t>
            </w:r>
          </w:p>
        </w:tc>
        <w:tc>
          <w:tcPr>
            <w:tcW w:w="10440" w:type="dxa"/>
            <w:gridSpan w:val="3"/>
            <w:tcBorders>
              <w:top w:val="single" w:sz="6" w:space="0" w:color="auto"/>
              <w:bottom w:val="single" w:sz="6" w:space="0" w:color="auto"/>
            </w:tcBorders>
            <w:shd w:val="clear" w:color="auto" w:fill="BFBFBF" w:themeFill="background1" w:themeFillShade="BF"/>
          </w:tcPr>
          <w:p w14:paraId="589279F2" w14:textId="77777777" w:rsidR="00655DAD" w:rsidRPr="00493A9B" w:rsidRDefault="00655DAD" w:rsidP="00493A9B">
            <w:pPr>
              <w:rPr>
                <w:b/>
                <w:bCs/>
                <w:color w:val="000000" w:themeColor="text1"/>
                <w:sz w:val="22"/>
                <w:szCs w:val="22"/>
              </w:rPr>
            </w:pPr>
            <w:r>
              <w:rPr>
                <w:b/>
                <w:color w:val="000000" w:themeColor="text1"/>
                <w:sz w:val="22"/>
              </w:rPr>
              <w:t xml:space="preserve">3.   </w:t>
            </w:r>
            <w:r>
              <w:rPr>
                <w:b/>
                <w:sz w:val="22"/>
              </w:rPr>
              <w:t>Promover a educação e o desenvolvimento humano nas Américas</w:t>
            </w:r>
          </w:p>
        </w:tc>
      </w:tr>
      <w:tr w:rsidR="00655DAD" w:rsidRPr="00493A9B" w14:paraId="15A03A49" w14:textId="77777777" w:rsidTr="00655DAD">
        <w:trPr>
          <w:jc w:val="center"/>
        </w:trPr>
        <w:tc>
          <w:tcPr>
            <w:tcW w:w="3315" w:type="dxa"/>
            <w:tcBorders>
              <w:top w:val="single" w:sz="6" w:space="0" w:color="auto"/>
              <w:bottom w:val="single" w:sz="6" w:space="0" w:color="auto"/>
            </w:tcBorders>
            <w:shd w:val="clear" w:color="auto" w:fill="BFBFBF" w:themeFill="background1" w:themeFillShade="BF"/>
            <w:vAlign w:val="center"/>
          </w:tcPr>
          <w:p w14:paraId="3F1D7FD3" w14:textId="77777777" w:rsidR="00655DAD" w:rsidRPr="00493A9B" w:rsidRDefault="005C3F01" w:rsidP="00493A9B">
            <w:pPr>
              <w:rPr>
                <w:rFonts w:eastAsia="Calibri"/>
                <w:b/>
                <w:bCs/>
                <w:color w:val="000000" w:themeColor="text1"/>
                <w:sz w:val="22"/>
                <w:szCs w:val="22"/>
              </w:rPr>
            </w:pPr>
            <w:r>
              <w:rPr>
                <w:b/>
                <w:color w:val="000000" w:themeColor="text1"/>
                <w:sz w:val="22"/>
              </w:rPr>
              <w:t xml:space="preserve">OBJETIVO </w:t>
            </w:r>
            <w:r w:rsidR="00655DAD">
              <w:rPr>
                <w:b/>
                <w:color w:val="000000" w:themeColor="text1"/>
                <w:sz w:val="22"/>
              </w:rPr>
              <w:t xml:space="preserve">ESTRATÉGICO </w:t>
            </w:r>
          </w:p>
          <w:p w14:paraId="69BD939F" w14:textId="77777777" w:rsidR="00655DAD" w:rsidRPr="00493A9B" w:rsidRDefault="00655DAD" w:rsidP="00493A9B">
            <w:pPr>
              <w:rPr>
                <w:b/>
                <w:bCs/>
                <w:color w:val="000000" w:themeColor="text1"/>
                <w:sz w:val="22"/>
                <w:szCs w:val="22"/>
              </w:rPr>
            </w:pPr>
          </w:p>
        </w:tc>
        <w:tc>
          <w:tcPr>
            <w:tcW w:w="10440" w:type="dxa"/>
            <w:gridSpan w:val="3"/>
            <w:tcBorders>
              <w:top w:val="single" w:sz="6" w:space="0" w:color="auto"/>
              <w:bottom w:val="single" w:sz="6" w:space="0" w:color="auto"/>
            </w:tcBorders>
            <w:shd w:val="clear" w:color="auto" w:fill="BFBFBF" w:themeFill="background1" w:themeFillShade="BF"/>
          </w:tcPr>
          <w:p w14:paraId="28D53007" w14:textId="77777777" w:rsidR="00655DAD" w:rsidRPr="00493A9B" w:rsidRDefault="00655DAD" w:rsidP="00493A9B">
            <w:pPr>
              <w:rPr>
                <w:b/>
                <w:bCs/>
                <w:color w:val="000000" w:themeColor="text1"/>
                <w:sz w:val="22"/>
                <w:szCs w:val="22"/>
              </w:rPr>
            </w:pPr>
            <w:r>
              <w:rPr>
                <w:b/>
                <w:color w:val="000000" w:themeColor="text1"/>
                <w:sz w:val="22"/>
              </w:rPr>
              <w:t xml:space="preserve">3.4.  </w:t>
            </w:r>
            <w:r>
              <w:rPr>
                <w:b/>
                <w:sz w:val="22"/>
              </w:rPr>
              <w:t>Promover o acesso, nos Estados membros, a oportunidades de educação de qualidade, inclusiva e equitativa, em todos os níveis e modalidades, e nos quatro idiomas oficiais da Organização</w:t>
            </w:r>
          </w:p>
        </w:tc>
      </w:tr>
      <w:tr w:rsidR="00A55B4B" w:rsidRPr="00493A9B" w14:paraId="06C129E0" w14:textId="77777777" w:rsidTr="00606B42">
        <w:trPr>
          <w:jc w:val="center"/>
        </w:trPr>
        <w:tc>
          <w:tcPr>
            <w:tcW w:w="3315" w:type="dxa"/>
            <w:tcBorders>
              <w:top w:val="single" w:sz="6" w:space="0" w:color="auto"/>
              <w:bottom w:val="single" w:sz="6" w:space="0" w:color="auto"/>
            </w:tcBorders>
            <w:vAlign w:val="center"/>
          </w:tcPr>
          <w:p w14:paraId="3EE8CFC5" w14:textId="77777777" w:rsidR="00A55B4B" w:rsidRPr="00493A9B" w:rsidRDefault="00A55B4B" w:rsidP="00493A9B">
            <w:pPr>
              <w:autoSpaceDE w:val="0"/>
              <w:autoSpaceDN w:val="0"/>
              <w:adjustRightInd w:val="0"/>
              <w:rPr>
                <w:sz w:val="22"/>
                <w:szCs w:val="22"/>
              </w:rPr>
            </w:pPr>
            <w:r>
              <w:rPr>
                <w:sz w:val="22"/>
              </w:rPr>
              <w:t>Programa de Bolsas de Estudo e Treinamento</w:t>
            </w:r>
          </w:p>
          <w:p w14:paraId="04779CD3" w14:textId="77777777" w:rsidR="00A55B4B" w:rsidRPr="00493A9B" w:rsidRDefault="00A55B4B" w:rsidP="00493A9B">
            <w:pPr>
              <w:rPr>
                <w:bCs/>
                <w:color w:val="000000" w:themeColor="text1"/>
                <w:sz w:val="22"/>
                <w:szCs w:val="22"/>
              </w:rPr>
            </w:pPr>
            <w:r>
              <w:rPr>
                <w:sz w:val="22"/>
              </w:rPr>
              <w:t>da Comissão Interamericana de Portos</w:t>
            </w:r>
          </w:p>
        </w:tc>
        <w:tc>
          <w:tcPr>
            <w:tcW w:w="4230" w:type="dxa"/>
            <w:tcBorders>
              <w:top w:val="single" w:sz="6" w:space="0" w:color="auto"/>
              <w:bottom w:val="single" w:sz="6" w:space="0" w:color="auto"/>
            </w:tcBorders>
            <w:vAlign w:val="center"/>
          </w:tcPr>
          <w:p w14:paraId="7BC7FF79" w14:textId="77777777" w:rsidR="00A55B4B" w:rsidRPr="00493A9B" w:rsidRDefault="00A55B4B" w:rsidP="00493A9B">
            <w:pPr>
              <w:rPr>
                <w:b/>
                <w:bCs/>
                <w:color w:val="000000" w:themeColor="text1"/>
                <w:sz w:val="22"/>
                <w:szCs w:val="22"/>
              </w:rPr>
            </w:pPr>
          </w:p>
        </w:tc>
        <w:tc>
          <w:tcPr>
            <w:tcW w:w="3420" w:type="dxa"/>
            <w:tcBorders>
              <w:top w:val="single" w:sz="6" w:space="0" w:color="auto"/>
              <w:bottom w:val="single" w:sz="6" w:space="0" w:color="auto"/>
            </w:tcBorders>
          </w:tcPr>
          <w:p w14:paraId="42A0C755" w14:textId="77777777" w:rsidR="00A55B4B" w:rsidRPr="00493A9B" w:rsidRDefault="00A55B4B" w:rsidP="00493A9B">
            <w:pPr>
              <w:ind w:left="180" w:hanging="180"/>
              <w:rPr>
                <w:sz w:val="22"/>
                <w:szCs w:val="22"/>
              </w:rPr>
            </w:pPr>
            <w:r>
              <w:rPr>
                <w:sz w:val="22"/>
              </w:rPr>
              <w:t>•</w:t>
            </w:r>
            <w:r>
              <w:rPr>
                <w:sz w:val="22"/>
              </w:rPr>
              <w:tab/>
              <w:t xml:space="preserve">Fortalecer a capacidade técnica de mais de 500 funcionários portuários em nível hemisférico mediante o intercâmbio de práticas bem-sucedidas sobre diversas questões relevantes para o setor marítimo-portuário, por </w:t>
            </w:r>
            <w:r>
              <w:rPr>
                <w:sz w:val="22"/>
              </w:rPr>
              <w:lastRenderedPageBreak/>
              <w:t xml:space="preserve">meio de oito </w:t>
            </w:r>
            <w:r>
              <w:rPr>
                <w:i/>
                <w:iCs/>
                <w:sz w:val="22"/>
              </w:rPr>
              <w:t>webinars</w:t>
            </w:r>
            <w:r>
              <w:rPr>
                <w:sz w:val="22"/>
              </w:rPr>
              <w:t xml:space="preserve"> técnicos e/ou conferências técnicas hemisféricas presenciais.</w:t>
            </w:r>
          </w:p>
          <w:p w14:paraId="2D0BE3D1" w14:textId="77777777" w:rsidR="00A55B4B" w:rsidRPr="00493A9B" w:rsidRDefault="00A55B4B" w:rsidP="00493A9B">
            <w:pPr>
              <w:ind w:left="180" w:hanging="180"/>
              <w:rPr>
                <w:b/>
                <w:bCs/>
                <w:color w:val="000000" w:themeColor="text1"/>
                <w:sz w:val="22"/>
                <w:szCs w:val="22"/>
              </w:rPr>
            </w:pPr>
            <w:r>
              <w:rPr>
                <w:sz w:val="22"/>
              </w:rPr>
              <w:t>•</w:t>
            </w:r>
            <w:r>
              <w:rPr>
                <w:sz w:val="22"/>
              </w:rPr>
              <w:tab/>
              <w:t xml:space="preserve">Fortalecer as capacidades institucionais com 300 bolsas de desenvolvimento profissional para 15 cursos </w:t>
            </w:r>
            <w:r>
              <w:rPr>
                <w:i/>
                <w:iCs/>
                <w:sz w:val="22"/>
              </w:rPr>
              <w:t>online</w:t>
            </w:r>
            <w:r>
              <w:rPr>
                <w:sz w:val="22"/>
              </w:rPr>
              <w:t xml:space="preserve"> certificados, destinados a funcionários portuários de 20 Estados membros.</w:t>
            </w:r>
          </w:p>
        </w:tc>
        <w:tc>
          <w:tcPr>
            <w:tcW w:w="2790" w:type="dxa"/>
            <w:tcBorders>
              <w:top w:val="single" w:sz="6" w:space="0" w:color="auto"/>
              <w:bottom w:val="single" w:sz="6" w:space="0" w:color="auto"/>
            </w:tcBorders>
            <w:vAlign w:val="center"/>
          </w:tcPr>
          <w:p w14:paraId="3C2F9DE5" w14:textId="77777777" w:rsidR="00A55B4B" w:rsidRPr="00493A9B" w:rsidRDefault="00A55B4B" w:rsidP="00493A9B">
            <w:pPr>
              <w:rPr>
                <w:b/>
                <w:bCs/>
                <w:color w:val="000000" w:themeColor="text1"/>
                <w:sz w:val="22"/>
                <w:szCs w:val="22"/>
              </w:rPr>
            </w:pPr>
          </w:p>
          <w:p w14:paraId="09C93349" w14:textId="77777777" w:rsidR="00A55B4B" w:rsidRPr="00493A9B" w:rsidRDefault="00A55B4B" w:rsidP="00493A9B">
            <w:pPr>
              <w:rPr>
                <w:b/>
                <w:bCs/>
                <w:color w:val="000000" w:themeColor="text1"/>
                <w:sz w:val="22"/>
                <w:szCs w:val="22"/>
              </w:rPr>
            </w:pPr>
            <w:r>
              <w:rPr>
                <w:b/>
                <w:color w:val="000000" w:themeColor="text1"/>
                <w:sz w:val="22"/>
              </w:rPr>
              <w:t xml:space="preserve">Externas: </w:t>
            </w:r>
            <w:r>
              <w:rPr>
                <w:color w:val="000000" w:themeColor="text1"/>
                <w:sz w:val="22"/>
              </w:rPr>
              <w:t xml:space="preserve">Associação Internacional de Portos (IAPH); Associação Internacional de Sistemas Comunitários Portuários (IPCSA); Departamento de </w:t>
            </w:r>
            <w:r>
              <w:rPr>
                <w:color w:val="000000" w:themeColor="text1"/>
                <w:sz w:val="22"/>
              </w:rPr>
              <w:lastRenderedPageBreak/>
              <w:t>Políticas Marítimas do Panamá; Rede Internacional ISPS do México; Autoridade Portuária Nacional do Peru; Comissão Portuária Nacional da Guatemala;</w:t>
            </w:r>
            <w:r>
              <w:rPr>
                <w:b/>
                <w:color w:val="000000" w:themeColor="text1"/>
                <w:sz w:val="22"/>
              </w:rPr>
              <w:t xml:space="preserve"> </w:t>
            </w:r>
            <w:r>
              <w:rPr>
                <w:color w:val="000000" w:themeColor="text1"/>
                <w:sz w:val="22"/>
              </w:rPr>
              <w:t>Rede de Mulheres de Autoridades Marítimas da América Latina (Rede MAMLA);</w:t>
            </w:r>
            <w:r>
              <w:rPr>
                <w:b/>
                <w:color w:val="000000" w:themeColor="text1"/>
                <w:sz w:val="22"/>
              </w:rPr>
              <w:t xml:space="preserve"> </w:t>
            </w:r>
            <w:r>
              <w:rPr>
                <w:i/>
                <w:color w:val="000000" w:themeColor="text1"/>
                <w:sz w:val="22"/>
              </w:rPr>
              <w:t>Puertos del Estado,</w:t>
            </w:r>
            <w:r>
              <w:rPr>
                <w:color w:val="000000" w:themeColor="text1"/>
                <w:sz w:val="22"/>
              </w:rPr>
              <w:t xml:space="preserve"> Espanha;</w:t>
            </w:r>
            <w:r>
              <w:rPr>
                <w:b/>
                <w:color w:val="000000" w:themeColor="text1"/>
                <w:sz w:val="22"/>
              </w:rPr>
              <w:t xml:space="preserve"> </w:t>
            </w:r>
            <w:r>
              <w:rPr>
                <w:color w:val="000000" w:themeColor="text1"/>
                <w:sz w:val="22"/>
              </w:rPr>
              <w:t xml:space="preserve">Guarda Costeira dos Estados Unidos (USCG); Fundação ValenciaPort,  Espanha; </w:t>
            </w:r>
            <w:r>
              <w:rPr>
                <w:i/>
                <w:iCs/>
                <w:color w:val="000000" w:themeColor="text1"/>
                <w:sz w:val="22"/>
              </w:rPr>
              <w:t>Women's International Shipping and Trading Association</w:t>
            </w:r>
            <w:r>
              <w:rPr>
                <w:color w:val="000000" w:themeColor="text1"/>
                <w:sz w:val="22"/>
              </w:rPr>
              <w:t xml:space="preserve"> (WISTA). </w:t>
            </w:r>
          </w:p>
        </w:tc>
      </w:tr>
      <w:tr w:rsidR="00F01EA4" w:rsidRPr="00493A9B" w14:paraId="143E978B" w14:textId="77777777" w:rsidTr="00397E4F">
        <w:trPr>
          <w:jc w:val="center"/>
        </w:trPr>
        <w:tc>
          <w:tcPr>
            <w:tcW w:w="3315" w:type="dxa"/>
            <w:tcBorders>
              <w:top w:val="single" w:sz="6" w:space="0" w:color="auto"/>
              <w:bottom w:val="single" w:sz="6" w:space="0" w:color="auto"/>
            </w:tcBorders>
            <w:shd w:val="clear" w:color="auto" w:fill="BFBFBF" w:themeFill="background1" w:themeFillShade="BF"/>
            <w:vAlign w:val="center"/>
          </w:tcPr>
          <w:p w14:paraId="3B702C40" w14:textId="77777777" w:rsidR="00F01EA4" w:rsidRPr="00493A9B" w:rsidRDefault="00F01EA4" w:rsidP="00493A9B">
            <w:pPr>
              <w:rPr>
                <w:b/>
                <w:bCs/>
                <w:color w:val="000000" w:themeColor="text1"/>
                <w:sz w:val="22"/>
                <w:szCs w:val="22"/>
              </w:rPr>
            </w:pPr>
            <w:r>
              <w:rPr>
                <w:b/>
                <w:color w:val="000000" w:themeColor="text1"/>
                <w:sz w:val="22"/>
              </w:rPr>
              <w:lastRenderedPageBreak/>
              <w:t>LINHA ESTRATÉGICA</w:t>
            </w:r>
          </w:p>
        </w:tc>
        <w:tc>
          <w:tcPr>
            <w:tcW w:w="10440" w:type="dxa"/>
            <w:gridSpan w:val="3"/>
            <w:tcBorders>
              <w:top w:val="single" w:sz="6" w:space="0" w:color="auto"/>
              <w:bottom w:val="single" w:sz="6" w:space="0" w:color="auto"/>
            </w:tcBorders>
            <w:shd w:val="clear" w:color="auto" w:fill="BFBFBF" w:themeFill="background1" w:themeFillShade="BF"/>
            <w:vAlign w:val="center"/>
          </w:tcPr>
          <w:p w14:paraId="595E5DBA" w14:textId="77777777" w:rsidR="00F01EA4" w:rsidRPr="00493A9B" w:rsidRDefault="00F01EA4" w:rsidP="00493A9B">
            <w:pPr>
              <w:rPr>
                <w:b/>
                <w:bCs/>
                <w:color w:val="000000" w:themeColor="text1"/>
                <w:sz w:val="22"/>
                <w:szCs w:val="22"/>
              </w:rPr>
            </w:pPr>
            <w:r>
              <w:rPr>
                <w:b/>
                <w:color w:val="000000" w:themeColor="text1"/>
                <w:sz w:val="22"/>
              </w:rPr>
              <w:t xml:space="preserve">6.   </w:t>
            </w:r>
            <w:r>
              <w:rPr>
                <w:b/>
                <w:sz w:val="22"/>
              </w:rPr>
              <w:t>Promover a cooperação para o desenvolvimento e a criação de parcerias</w:t>
            </w:r>
          </w:p>
        </w:tc>
      </w:tr>
      <w:tr w:rsidR="00F01EA4" w:rsidRPr="00493A9B" w14:paraId="74A24379" w14:textId="77777777" w:rsidTr="00397E4F">
        <w:trPr>
          <w:jc w:val="center"/>
        </w:trPr>
        <w:tc>
          <w:tcPr>
            <w:tcW w:w="3315" w:type="dxa"/>
            <w:tcBorders>
              <w:top w:val="single" w:sz="6" w:space="0" w:color="auto"/>
              <w:bottom w:val="single" w:sz="6" w:space="0" w:color="auto"/>
            </w:tcBorders>
            <w:shd w:val="clear" w:color="auto" w:fill="BFBFBF" w:themeFill="background1" w:themeFillShade="BF"/>
            <w:vAlign w:val="center"/>
          </w:tcPr>
          <w:p w14:paraId="40486359" w14:textId="77777777" w:rsidR="00F01EA4" w:rsidRPr="00493A9B" w:rsidRDefault="005C3F01" w:rsidP="00493A9B">
            <w:pPr>
              <w:rPr>
                <w:rFonts w:eastAsia="Calibri"/>
                <w:b/>
                <w:bCs/>
                <w:color w:val="000000" w:themeColor="text1"/>
                <w:sz w:val="22"/>
                <w:szCs w:val="22"/>
              </w:rPr>
            </w:pPr>
            <w:r>
              <w:rPr>
                <w:b/>
                <w:color w:val="000000" w:themeColor="text1"/>
                <w:sz w:val="22"/>
              </w:rPr>
              <w:t xml:space="preserve">OBJETIVO </w:t>
            </w:r>
            <w:r w:rsidR="00F01EA4">
              <w:rPr>
                <w:b/>
                <w:color w:val="000000" w:themeColor="text1"/>
                <w:sz w:val="22"/>
              </w:rPr>
              <w:t xml:space="preserve">ESTRATÉGICO </w:t>
            </w:r>
          </w:p>
          <w:p w14:paraId="34181B7C" w14:textId="77777777" w:rsidR="00F01EA4" w:rsidRPr="00493A9B" w:rsidRDefault="00F01EA4" w:rsidP="00493A9B">
            <w:pPr>
              <w:rPr>
                <w:b/>
                <w:bCs/>
                <w:color w:val="000000" w:themeColor="text1"/>
                <w:sz w:val="22"/>
                <w:szCs w:val="22"/>
              </w:rPr>
            </w:pPr>
          </w:p>
        </w:tc>
        <w:tc>
          <w:tcPr>
            <w:tcW w:w="10440" w:type="dxa"/>
            <w:gridSpan w:val="3"/>
            <w:tcBorders>
              <w:top w:val="single" w:sz="6" w:space="0" w:color="auto"/>
              <w:bottom w:val="single" w:sz="6" w:space="0" w:color="auto"/>
            </w:tcBorders>
            <w:shd w:val="clear" w:color="auto" w:fill="BFBFBF" w:themeFill="background1" w:themeFillShade="BF"/>
            <w:vAlign w:val="center"/>
          </w:tcPr>
          <w:p w14:paraId="1BE328D5" w14:textId="77777777" w:rsidR="00F01EA4" w:rsidRPr="00493A9B" w:rsidRDefault="00F01EA4" w:rsidP="00493A9B">
            <w:pPr>
              <w:rPr>
                <w:b/>
                <w:bCs/>
                <w:color w:val="000000" w:themeColor="text1"/>
                <w:sz w:val="22"/>
                <w:szCs w:val="22"/>
              </w:rPr>
            </w:pPr>
            <w:r>
              <w:rPr>
                <w:b/>
                <w:color w:val="000000" w:themeColor="text1"/>
                <w:sz w:val="22"/>
              </w:rPr>
              <w:t xml:space="preserve">6.1.  </w:t>
            </w:r>
            <w:r>
              <w:rPr>
                <w:b/>
                <w:sz w:val="22"/>
              </w:rPr>
              <w:t xml:space="preserve">Estimular a cooperação bilateral, </w:t>
            </w:r>
            <w:r w:rsidR="008452D2">
              <w:rPr>
                <w:b/>
                <w:sz w:val="22"/>
              </w:rPr>
              <w:t>Sul-Sul</w:t>
            </w:r>
            <w:r>
              <w:rPr>
                <w:b/>
                <w:sz w:val="22"/>
              </w:rPr>
              <w:t>, triangular e internacional no Hemisfério</w:t>
            </w:r>
          </w:p>
        </w:tc>
      </w:tr>
      <w:tr w:rsidR="00A55B4B" w:rsidRPr="00493A9B" w14:paraId="0A21C0ED" w14:textId="77777777" w:rsidTr="00606B42">
        <w:trPr>
          <w:jc w:val="center"/>
        </w:trPr>
        <w:tc>
          <w:tcPr>
            <w:tcW w:w="3315" w:type="dxa"/>
            <w:tcBorders>
              <w:top w:val="single" w:sz="6" w:space="0" w:color="auto"/>
            </w:tcBorders>
            <w:vAlign w:val="center"/>
          </w:tcPr>
          <w:p w14:paraId="10037FD5" w14:textId="77777777" w:rsidR="00A55B4B" w:rsidRPr="00493A9B" w:rsidRDefault="00A55B4B" w:rsidP="00493A9B">
            <w:pPr>
              <w:autoSpaceDE w:val="0"/>
              <w:autoSpaceDN w:val="0"/>
              <w:adjustRightInd w:val="0"/>
              <w:rPr>
                <w:sz w:val="22"/>
                <w:szCs w:val="22"/>
              </w:rPr>
            </w:pPr>
            <w:r>
              <w:rPr>
                <w:b/>
                <w:sz w:val="22"/>
              </w:rPr>
              <w:t>Diálogo político:</w:t>
            </w:r>
            <w:r>
              <w:rPr>
                <w:sz w:val="22"/>
              </w:rPr>
              <w:t xml:space="preserve">  </w:t>
            </w:r>
          </w:p>
          <w:p w14:paraId="714BC00E" w14:textId="77777777" w:rsidR="00A55B4B" w:rsidRPr="00493A9B" w:rsidRDefault="00A55B4B" w:rsidP="00493A9B">
            <w:pPr>
              <w:numPr>
                <w:ilvl w:val="0"/>
                <w:numId w:val="7"/>
              </w:numPr>
              <w:autoSpaceDE w:val="0"/>
              <w:autoSpaceDN w:val="0"/>
              <w:adjustRightInd w:val="0"/>
              <w:ind w:left="158" w:hanging="158"/>
              <w:rPr>
                <w:sz w:val="22"/>
                <w:szCs w:val="22"/>
              </w:rPr>
            </w:pPr>
            <w:r>
              <w:rPr>
                <w:sz w:val="22"/>
              </w:rPr>
              <w:t>Décima Segunda Reunião Ordinária da CIP, 19 de maio de 2021.</w:t>
            </w:r>
          </w:p>
          <w:p w14:paraId="0213C357" w14:textId="77777777" w:rsidR="00A55B4B" w:rsidRPr="00493A9B" w:rsidRDefault="00A55B4B" w:rsidP="00493A9B">
            <w:pPr>
              <w:autoSpaceDE w:val="0"/>
              <w:autoSpaceDN w:val="0"/>
              <w:adjustRightInd w:val="0"/>
              <w:ind w:left="252"/>
              <w:rPr>
                <w:sz w:val="22"/>
                <w:szCs w:val="22"/>
              </w:rPr>
            </w:pPr>
          </w:p>
          <w:p w14:paraId="4B398399" w14:textId="77777777" w:rsidR="00A55B4B" w:rsidRPr="00493A9B" w:rsidRDefault="00A55B4B" w:rsidP="00493A9B">
            <w:pPr>
              <w:rPr>
                <w:bCs/>
                <w:color w:val="000000" w:themeColor="text1"/>
                <w:sz w:val="22"/>
                <w:szCs w:val="22"/>
              </w:rPr>
            </w:pPr>
            <w:r>
              <w:rPr>
                <w:sz w:val="22"/>
              </w:rPr>
              <w:t>Aumento das atividades para captar mais membros associados e doadores.</w:t>
            </w:r>
          </w:p>
        </w:tc>
        <w:tc>
          <w:tcPr>
            <w:tcW w:w="4230" w:type="dxa"/>
            <w:tcBorders>
              <w:top w:val="single" w:sz="6" w:space="0" w:color="auto"/>
            </w:tcBorders>
            <w:vAlign w:val="center"/>
          </w:tcPr>
          <w:p w14:paraId="787A57C0" w14:textId="77777777" w:rsidR="00A55B4B" w:rsidRPr="00493A9B" w:rsidRDefault="00A55B4B" w:rsidP="00493A9B">
            <w:pPr>
              <w:rPr>
                <w:b/>
                <w:bCs/>
                <w:color w:val="000000" w:themeColor="text1"/>
                <w:sz w:val="22"/>
                <w:szCs w:val="22"/>
              </w:rPr>
            </w:pPr>
          </w:p>
        </w:tc>
        <w:tc>
          <w:tcPr>
            <w:tcW w:w="3420" w:type="dxa"/>
            <w:tcBorders>
              <w:top w:val="single" w:sz="6" w:space="0" w:color="auto"/>
            </w:tcBorders>
          </w:tcPr>
          <w:p w14:paraId="0885696C" w14:textId="77777777" w:rsidR="00A55B4B" w:rsidRPr="00493A9B" w:rsidRDefault="00A55B4B" w:rsidP="00493A9B">
            <w:pPr>
              <w:numPr>
                <w:ilvl w:val="0"/>
                <w:numId w:val="12"/>
              </w:numPr>
              <w:ind w:left="180" w:hanging="180"/>
              <w:rPr>
                <w:color w:val="000000"/>
                <w:sz w:val="22"/>
                <w:szCs w:val="22"/>
              </w:rPr>
            </w:pPr>
            <w:r>
              <w:rPr>
                <w:color w:val="000000"/>
                <w:sz w:val="22"/>
              </w:rPr>
              <w:t xml:space="preserve">Obter a aprovação do CIDI para a resolução relativa à realização da Décima Segunda Reunião Ordinária da Comissão Interamericana de Portos, </w:t>
            </w:r>
            <w:r>
              <w:rPr>
                <w:i/>
                <w:color w:val="000000"/>
                <w:sz w:val="22"/>
              </w:rPr>
              <w:t>por meio virtual,</w:t>
            </w:r>
            <w:r>
              <w:rPr>
                <w:color w:val="000000"/>
                <w:sz w:val="22"/>
              </w:rPr>
              <w:t xml:space="preserve"> em 19 de maio de 2021. </w:t>
            </w:r>
          </w:p>
          <w:p w14:paraId="012A13B4" w14:textId="77777777" w:rsidR="00A55B4B" w:rsidRPr="00493A9B" w:rsidRDefault="00A55B4B" w:rsidP="00493A9B">
            <w:pPr>
              <w:numPr>
                <w:ilvl w:val="0"/>
                <w:numId w:val="12"/>
              </w:numPr>
              <w:ind w:left="180" w:hanging="180"/>
              <w:rPr>
                <w:color w:val="000000"/>
                <w:sz w:val="22"/>
                <w:szCs w:val="22"/>
              </w:rPr>
            </w:pPr>
            <w:r>
              <w:rPr>
                <w:color w:val="000000"/>
                <w:sz w:val="22"/>
              </w:rPr>
              <w:t>Obter a aprovação de documentos de fundo (resolução CIP, Plano de Ação de Buenos Aires e orçamento para 2020–2021), assim como relatórios de atividades e financeiros da CIP 2018–2020.</w:t>
            </w:r>
          </w:p>
          <w:p w14:paraId="46428E19" w14:textId="77777777" w:rsidR="00A55B4B" w:rsidRPr="00493A9B" w:rsidRDefault="00A55B4B" w:rsidP="00493A9B">
            <w:pPr>
              <w:numPr>
                <w:ilvl w:val="0"/>
                <w:numId w:val="12"/>
              </w:numPr>
              <w:ind w:left="180" w:hanging="180"/>
              <w:rPr>
                <w:color w:val="000000"/>
                <w:sz w:val="22"/>
                <w:szCs w:val="22"/>
              </w:rPr>
            </w:pPr>
            <w:r>
              <w:rPr>
                <w:color w:val="000000"/>
                <w:sz w:val="22"/>
              </w:rPr>
              <w:t xml:space="preserve">Eleger o Comitê Executivo da CIP (CECIP) para o mandato de 2021–2023.  </w:t>
            </w:r>
          </w:p>
        </w:tc>
        <w:tc>
          <w:tcPr>
            <w:tcW w:w="2790" w:type="dxa"/>
            <w:tcBorders>
              <w:top w:val="single" w:sz="6" w:space="0" w:color="auto"/>
            </w:tcBorders>
            <w:vAlign w:val="center"/>
          </w:tcPr>
          <w:p w14:paraId="02522749" w14:textId="77777777" w:rsidR="00A55B4B" w:rsidRPr="00493A9B" w:rsidRDefault="00A55B4B" w:rsidP="00493A9B">
            <w:pPr>
              <w:rPr>
                <w:b/>
                <w:bCs/>
                <w:color w:val="000000" w:themeColor="text1"/>
                <w:sz w:val="22"/>
                <w:szCs w:val="22"/>
              </w:rPr>
            </w:pPr>
            <w:r w:rsidRPr="008452D2">
              <w:rPr>
                <w:b/>
                <w:color w:val="000000" w:themeColor="text1"/>
                <w:sz w:val="22"/>
              </w:rPr>
              <w:t>Internas</w:t>
            </w:r>
            <w:r>
              <w:rPr>
                <w:b/>
                <w:color w:val="000000" w:themeColor="text1"/>
                <w:sz w:val="22"/>
              </w:rPr>
              <w:t>:</w:t>
            </w:r>
          </w:p>
          <w:p w14:paraId="24B9BE10" w14:textId="77777777" w:rsidR="00A55B4B" w:rsidRPr="00493A9B" w:rsidRDefault="00A55B4B" w:rsidP="00493A9B">
            <w:pPr>
              <w:rPr>
                <w:sz w:val="22"/>
                <w:szCs w:val="22"/>
              </w:rPr>
            </w:pPr>
            <w:r>
              <w:rPr>
                <w:sz w:val="22"/>
              </w:rPr>
              <w:t>Missão Permanente da Argentina junto à OEA; Departamento de Gestão de Conferências e Reuniões da OEA; Escritório Executivo da SEDI.</w:t>
            </w:r>
          </w:p>
          <w:p w14:paraId="04BD3B8B" w14:textId="77777777" w:rsidR="00A55B4B" w:rsidRPr="00493A9B" w:rsidRDefault="00A55B4B" w:rsidP="00493A9B">
            <w:pPr>
              <w:rPr>
                <w:sz w:val="22"/>
                <w:szCs w:val="22"/>
              </w:rPr>
            </w:pPr>
          </w:p>
          <w:p w14:paraId="6AA1F1CD" w14:textId="77777777" w:rsidR="00A55B4B" w:rsidRPr="00493A9B" w:rsidRDefault="00A55B4B" w:rsidP="00493A9B">
            <w:pPr>
              <w:rPr>
                <w:sz w:val="22"/>
                <w:szCs w:val="22"/>
              </w:rPr>
            </w:pPr>
            <w:r>
              <w:rPr>
                <w:b/>
                <w:color w:val="000000" w:themeColor="text1"/>
                <w:sz w:val="22"/>
              </w:rPr>
              <w:t>Externas:</w:t>
            </w:r>
            <w:r>
              <w:rPr>
                <w:b/>
                <w:sz w:val="22"/>
              </w:rPr>
              <w:t xml:space="preserve"> </w:t>
            </w:r>
            <w:r>
              <w:rPr>
                <w:sz w:val="22"/>
              </w:rPr>
              <w:t>Administração Geral de Portos da Argentina;</w:t>
            </w:r>
            <w:r>
              <w:rPr>
                <w:b/>
                <w:sz w:val="22"/>
              </w:rPr>
              <w:t xml:space="preserve"> </w:t>
            </w:r>
            <w:r>
              <w:rPr>
                <w:sz w:val="22"/>
              </w:rPr>
              <w:t xml:space="preserve">Autoridades Portuárias Nacionais da CIP. </w:t>
            </w:r>
          </w:p>
          <w:p w14:paraId="61C6290D" w14:textId="77777777" w:rsidR="00A55B4B" w:rsidRPr="00493A9B" w:rsidRDefault="00A55B4B" w:rsidP="00493A9B">
            <w:pPr>
              <w:rPr>
                <w:b/>
                <w:bCs/>
                <w:color w:val="000000" w:themeColor="text1"/>
                <w:sz w:val="22"/>
                <w:szCs w:val="22"/>
              </w:rPr>
            </w:pPr>
          </w:p>
        </w:tc>
      </w:tr>
    </w:tbl>
    <w:p w14:paraId="4BF2F879" w14:textId="77777777" w:rsidR="001B038F" w:rsidRPr="00493A9B" w:rsidRDefault="00C945C0" w:rsidP="00493A9B">
      <w:pPr>
        <w:spacing w:after="160" w:line="259" w:lineRule="auto"/>
        <w:rPr>
          <w:bCs/>
          <w:sz w:val="22"/>
          <w:szCs w:val="22"/>
        </w:rPr>
      </w:pPr>
      <w:r w:rsidRPr="008452D2">
        <w:br w:type="page"/>
      </w:r>
      <w:r w:rsidR="001B038F" w:rsidRPr="00DA56F9">
        <w:rPr>
          <w:b/>
          <w:color w:val="1F4E79" w:themeColor="accent1" w:themeShade="80"/>
          <w:sz w:val="22"/>
        </w:rPr>
        <w:lastRenderedPageBreak/>
        <w:t>DEPARTAMENTO/SEÇÃO:  DESENVOLVIMENTO SUSTENTÁVEL (DDS)</w:t>
      </w:r>
    </w:p>
    <w:p w14:paraId="43331286" w14:textId="77777777" w:rsidR="001B038F" w:rsidRPr="00493A9B" w:rsidRDefault="001B038F" w:rsidP="00493A9B">
      <w:pPr>
        <w:rPr>
          <w:bCs/>
          <w:sz w:val="22"/>
          <w:szCs w:val="22"/>
        </w:rPr>
      </w:pPr>
    </w:p>
    <w:tbl>
      <w:tblPr>
        <w:tblW w:w="135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225"/>
        <w:gridCol w:w="4269"/>
        <w:gridCol w:w="51"/>
        <w:gridCol w:w="3330"/>
        <w:gridCol w:w="2700"/>
        <w:gridCol w:w="15"/>
      </w:tblGrid>
      <w:tr w:rsidR="00C945C0" w:rsidRPr="00493A9B" w14:paraId="080CA775" w14:textId="77777777" w:rsidTr="00A66C51">
        <w:trPr>
          <w:trHeight w:val="540"/>
          <w:tblHeader/>
          <w:jc w:val="center"/>
        </w:trPr>
        <w:tc>
          <w:tcPr>
            <w:tcW w:w="3225" w:type="dxa"/>
            <w:tcBorders>
              <w:top w:val="single" w:sz="12" w:space="0" w:color="000000"/>
              <w:bottom w:val="single" w:sz="6" w:space="0" w:color="000000"/>
            </w:tcBorders>
            <w:shd w:val="clear" w:color="000000" w:fill="DBE5F1"/>
            <w:vAlign w:val="center"/>
            <w:hideMark/>
          </w:tcPr>
          <w:p w14:paraId="195A6CFC" w14:textId="77777777" w:rsidR="00C945C0" w:rsidRPr="00493A9B" w:rsidRDefault="00C945C0" w:rsidP="00493A9B">
            <w:pPr>
              <w:rPr>
                <w:b/>
                <w:bCs/>
                <w:color w:val="000000" w:themeColor="text1"/>
                <w:sz w:val="22"/>
                <w:szCs w:val="22"/>
              </w:rPr>
            </w:pPr>
            <w:r>
              <w:rPr>
                <w:b/>
                <w:color w:val="000000" w:themeColor="text1"/>
                <w:sz w:val="22"/>
              </w:rPr>
              <w:t>INICIATIVAS / ATIVIDADES:</w:t>
            </w:r>
          </w:p>
        </w:tc>
        <w:tc>
          <w:tcPr>
            <w:tcW w:w="4269" w:type="dxa"/>
            <w:tcBorders>
              <w:top w:val="single" w:sz="12" w:space="0" w:color="000000"/>
              <w:bottom w:val="single" w:sz="6" w:space="0" w:color="000000"/>
            </w:tcBorders>
            <w:shd w:val="clear" w:color="000000" w:fill="D9E2F3"/>
            <w:vAlign w:val="center"/>
            <w:hideMark/>
          </w:tcPr>
          <w:p w14:paraId="3D13ABE8" w14:textId="77777777" w:rsidR="00C945C0" w:rsidRPr="00493A9B" w:rsidRDefault="00C945C0" w:rsidP="00493A9B">
            <w:pPr>
              <w:rPr>
                <w:b/>
                <w:bCs/>
                <w:color w:val="000000" w:themeColor="text1"/>
                <w:sz w:val="22"/>
                <w:szCs w:val="22"/>
              </w:rPr>
            </w:pPr>
            <w:r>
              <w:rPr>
                <w:b/>
                <w:color w:val="000000" w:themeColor="text1"/>
                <w:sz w:val="22"/>
              </w:rPr>
              <w:t>CONTRIBUIÇÃO PARA A RESILIÊNCIA E A COMPETITIVIDADE</w:t>
            </w:r>
          </w:p>
        </w:tc>
        <w:tc>
          <w:tcPr>
            <w:tcW w:w="3381" w:type="dxa"/>
            <w:gridSpan w:val="2"/>
            <w:tcBorders>
              <w:top w:val="single" w:sz="12" w:space="0" w:color="000000"/>
              <w:bottom w:val="single" w:sz="6" w:space="0" w:color="000000"/>
            </w:tcBorders>
            <w:shd w:val="clear" w:color="000000" w:fill="DBE5F1"/>
            <w:vAlign w:val="center"/>
            <w:hideMark/>
          </w:tcPr>
          <w:p w14:paraId="36B6AB23" w14:textId="77777777" w:rsidR="00C945C0" w:rsidRPr="00493A9B" w:rsidRDefault="00C945C0" w:rsidP="00493A9B">
            <w:pPr>
              <w:rPr>
                <w:b/>
                <w:bCs/>
                <w:color w:val="000000" w:themeColor="text1"/>
                <w:sz w:val="22"/>
                <w:szCs w:val="22"/>
              </w:rPr>
            </w:pPr>
            <w:r>
              <w:rPr>
                <w:b/>
                <w:color w:val="000000" w:themeColor="text1"/>
                <w:sz w:val="22"/>
              </w:rPr>
              <w:t>RESULTADOS ESPERADOS</w:t>
            </w:r>
          </w:p>
        </w:tc>
        <w:tc>
          <w:tcPr>
            <w:tcW w:w="2715" w:type="dxa"/>
            <w:gridSpan w:val="2"/>
            <w:tcBorders>
              <w:top w:val="single" w:sz="12" w:space="0" w:color="000000"/>
              <w:bottom w:val="single" w:sz="6" w:space="0" w:color="000000"/>
            </w:tcBorders>
            <w:shd w:val="clear" w:color="000000" w:fill="DBE5F1"/>
            <w:vAlign w:val="center"/>
            <w:hideMark/>
          </w:tcPr>
          <w:p w14:paraId="18D03EF9" w14:textId="77777777" w:rsidR="00C945C0" w:rsidRPr="00493A9B" w:rsidRDefault="00C945C0" w:rsidP="00493A9B">
            <w:pPr>
              <w:rPr>
                <w:b/>
                <w:bCs/>
                <w:color w:val="000000" w:themeColor="text1"/>
                <w:sz w:val="22"/>
                <w:szCs w:val="22"/>
              </w:rPr>
            </w:pPr>
            <w:r>
              <w:rPr>
                <w:b/>
                <w:color w:val="000000" w:themeColor="text1"/>
                <w:sz w:val="22"/>
              </w:rPr>
              <w:t>COOPERAÇÃO E PARCERIAS</w:t>
            </w:r>
          </w:p>
        </w:tc>
      </w:tr>
      <w:tr w:rsidR="001F36E2" w:rsidRPr="00493A9B" w14:paraId="419F1529" w14:textId="77777777" w:rsidTr="00A66C51">
        <w:trPr>
          <w:trHeight w:val="318"/>
          <w:jc w:val="center"/>
        </w:trPr>
        <w:tc>
          <w:tcPr>
            <w:tcW w:w="3225" w:type="dxa"/>
            <w:tcBorders>
              <w:top w:val="single" w:sz="6" w:space="0" w:color="000000"/>
              <w:bottom w:val="single" w:sz="6" w:space="0" w:color="000000"/>
            </w:tcBorders>
            <w:shd w:val="clear" w:color="auto" w:fill="BFBFBF" w:themeFill="background1" w:themeFillShade="BF"/>
          </w:tcPr>
          <w:p w14:paraId="6880F48A" w14:textId="77777777" w:rsidR="001F36E2" w:rsidRPr="00493A9B" w:rsidRDefault="001F36E2" w:rsidP="00493A9B">
            <w:pPr>
              <w:rPr>
                <w:b/>
                <w:bCs/>
                <w:color w:val="000000" w:themeColor="text1"/>
                <w:sz w:val="22"/>
                <w:szCs w:val="22"/>
              </w:rPr>
            </w:pPr>
            <w:r>
              <w:rPr>
                <w:b/>
                <w:color w:val="000000" w:themeColor="text1"/>
                <w:sz w:val="22"/>
              </w:rPr>
              <w:t>LINHA ESTRATÉGICA</w:t>
            </w:r>
          </w:p>
        </w:tc>
        <w:tc>
          <w:tcPr>
            <w:tcW w:w="10365" w:type="dxa"/>
            <w:gridSpan w:val="5"/>
            <w:tcBorders>
              <w:top w:val="single" w:sz="6" w:space="0" w:color="000000"/>
              <w:bottom w:val="single" w:sz="6" w:space="0" w:color="000000"/>
            </w:tcBorders>
            <w:shd w:val="clear" w:color="auto" w:fill="BFBFBF" w:themeFill="background1" w:themeFillShade="BF"/>
          </w:tcPr>
          <w:p w14:paraId="36324573" w14:textId="77777777" w:rsidR="001F36E2" w:rsidRPr="00493A9B" w:rsidRDefault="001F36E2" w:rsidP="00493A9B">
            <w:pPr>
              <w:rPr>
                <w:b/>
                <w:bCs/>
                <w:color w:val="000000" w:themeColor="text1"/>
                <w:sz w:val="22"/>
                <w:szCs w:val="22"/>
              </w:rPr>
            </w:pPr>
            <w:r>
              <w:rPr>
                <w:b/>
                <w:color w:val="000000" w:themeColor="text1"/>
                <w:sz w:val="22"/>
              </w:rPr>
              <w:t>2. Fortalecimento da implementação dos objetivos de desenvolvimento sustentável, em conformidade com o Programa Interamericano de Desenvolvimento Sustentável 2016-2021 (PIDS).</w:t>
            </w:r>
          </w:p>
        </w:tc>
      </w:tr>
      <w:tr w:rsidR="001F36E2" w:rsidRPr="00493A9B" w14:paraId="262862B7" w14:textId="77777777" w:rsidTr="00A66C51">
        <w:trPr>
          <w:trHeight w:val="345"/>
          <w:jc w:val="center"/>
        </w:trPr>
        <w:tc>
          <w:tcPr>
            <w:tcW w:w="3225" w:type="dxa"/>
            <w:tcBorders>
              <w:top w:val="single" w:sz="6" w:space="0" w:color="000000"/>
              <w:bottom w:val="single" w:sz="6" w:space="0" w:color="000000"/>
            </w:tcBorders>
            <w:shd w:val="clear" w:color="auto" w:fill="BFBFBF" w:themeFill="background1" w:themeFillShade="BF"/>
          </w:tcPr>
          <w:p w14:paraId="0EFB8B35" w14:textId="77777777" w:rsidR="001F36E2" w:rsidRPr="00493A9B" w:rsidRDefault="00B85369" w:rsidP="00493A9B">
            <w:pPr>
              <w:rPr>
                <w:rFonts w:eastAsia="Calibri"/>
                <w:b/>
                <w:bCs/>
                <w:color w:val="000000" w:themeColor="text1"/>
                <w:sz w:val="22"/>
                <w:szCs w:val="22"/>
              </w:rPr>
            </w:pPr>
            <w:r>
              <w:rPr>
                <w:b/>
                <w:color w:val="000000" w:themeColor="text1"/>
                <w:sz w:val="22"/>
              </w:rPr>
              <w:t xml:space="preserve">OBJETIVO </w:t>
            </w:r>
            <w:r w:rsidR="001F36E2">
              <w:rPr>
                <w:b/>
                <w:color w:val="000000" w:themeColor="text1"/>
                <w:sz w:val="22"/>
              </w:rPr>
              <w:t xml:space="preserve">ESTRATÉGICO </w:t>
            </w:r>
          </w:p>
          <w:p w14:paraId="63182467" w14:textId="77777777" w:rsidR="001F36E2" w:rsidRPr="00493A9B" w:rsidRDefault="001F36E2" w:rsidP="00493A9B">
            <w:pPr>
              <w:rPr>
                <w:b/>
                <w:bCs/>
                <w:color w:val="000000" w:themeColor="text1"/>
                <w:sz w:val="22"/>
                <w:szCs w:val="22"/>
              </w:rPr>
            </w:pPr>
          </w:p>
        </w:tc>
        <w:tc>
          <w:tcPr>
            <w:tcW w:w="10365" w:type="dxa"/>
            <w:gridSpan w:val="5"/>
            <w:tcBorders>
              <w:top w:val="single" w:sz="6" w:space="0" w:color="000000"/>
              <w:bottom w:val="single" w:sz="6" w:space="0" w:color="000000"/>
            </w:tcBorders>
            <w:shd w:val="clear" w:color="auto" w:fill="BFBFBF" w:themeFill="background1" w:themeFillShade="BF"/>
          </w:tcPr>
          <w:p w14:paraId="30396D71" w14:textId="77777777" w:rsidR="001F36E2" w:rsidRPr="00493A9B" w:rsidRDefault="001F36E2" w:rsidP="00493A9B">
            <w:pPr>
              <w:rPr>
                <w:b/>
                <w:bCs/>
                <w:color w:val="000000" w:themeColor="text1"/>
                <w:sz w:val="22"/>
                <w:szCs w:val="22"/>
              </w:rPr>
            </w:pPr>
            <w:r>
              <w:rPr>
                <w:b/>
                <w:color w:val="000000" w:themeColor="text1"/>
                <w:sz w:val="22"/>
              </w:rPr>
              <w:t>2.1. Promover a capacidade dos Estados membros na gestão do risco de desastres, de acordo com os objetivos e bases de ação dispostos na Seção 3.1 do PIDS.</w:t>
            </w:r>
          </w:p>
        </w:tc>
      </w:tr>
      <w:tr w:rsidR="001F36E2" w:rsidRPr="00493A9B" w14:paraId="55F149B0" w14:textId="77777777" w:rsidTr="00A66C51">
        <w:trPr>
          <w:trHeight w:val="345"/>
          <w:jc w:val="center"/>
        </w:trPr>
        <w:tc>
          <w:tcPr>
            <w:tcW w:w="13590" w:type="dxa"/>
            <w:gridSpan w:val="6"/>
            <w:tcBorders>
              <w:top w:val="single" w:sz="6" w:space="0" w:color="000000"/>
              <w:bottom w:val="single" w:sz="6" w:space="0" w:color="000000"/>
            </w:tcBorders>
            <w:shd w:val="clear" w:color="auto" w:fill="D9D9D9" w:themeFill="background1" w:themeFillShade="D9"/>
          </w:tcPr>
          <w:p w14:paraId="765FD813" w14:textId="77777777" w:rsidR="001F36E2" w:rsidRPr="00493A9B" w:rsidRDefault="001F36E2" w:rsidP="00493A9B">
            <w:pPr>
              <w:rPr>
                <w:b/>
                <w:bCs/>
                <w:color w:val="000000" w:themeColor="text1"/>
                <w:sz w:val="22"/>
                <w:szCs w:val="22"/>
              </w:rPr>
            </w:pPr>
            <w:r>
              <w:rPr>
                <w:b/>
                <w:color w:val="000000" w:themeColor="text1"/>
                <w:sz w:val="22"/>
              </w:rPr>
              <w:t>Gestão de riscos de desastres:</w:t>
            </w:r>
          </w:p>
        </w:tc>
      </w:tr>
      <w:tr w:rsidR="00C945C0" w:rsidRPr="00493A9B" w14:paraId="2121FF44" w14:textId="77777777" w:rsidTr="00A66C51">
        <w:trPr>
          <w:trHeight w:val="1995"/>
          <w:jc w:val="center"/>
        </w:trPr>
        <w:tc>
          <w:tcPr>
            <w:tcW w:w="3225" w:type="dxa"/>
            <w:tcBorders>
              <w:top w:val="single" w:sz="6" w:space="0" w:color="000000"/>
            </w:tcBorders>
            <w:shd w:val="clear" w:color="auto" w:fill="auto"/>
            <w:hideMark/>
          </w:tcPr>
          <w:p w14:paraId="24A4B749" w14:textId="77777777" w:rsidR="00C945C0" w:rsidRPr="00493A9B" w:rsidRDefault="00C945C0" w:rsidP="00493A9B">
            <w:pPr>
              <w:rPr>
                <w:b/>
                <w:color w:val="000000" w:themeColor="text1"/>
                <w:sz w:val="22"/>
                <w:szCs w:val="22"/>
              </w:rPr>
            </w:pPr>
            <w:r>
              <w:rPr>
                <w:b/>
                <w:color w:val="000000" w:themeColor="text1"/>
                <w:sz w:val="22"/>
              </w:rPr>
              <w:t xml:space="preserve">Equipe de Resposta a Emergências Comunitárias (CERT) Regional </w:t>
            </w:r>
          </w:p>
        </w:tc>
        <w:tc>
          <w:tcPr>
            <w:tcW w:w="4269" w:type="dxa"/>
            <w:tcBorders>
              <w:top w:val="single" w:sz="6" w:space="0" w:color="000000"/>
            </w:tcBorders>
            <w:shd w:val="clear" w:color="auto" w:fill="auto"/>
            <w:hideMark/>
          </w:tcPr>
          <w:p w14:paraId="5E1836E5" w14:textId="77777777" w:rsidR="00C945C0" w:rsidRPr="00493A9B" w:rsidRDefault="00C945C0" w:rsidP="00493A9B">
            <w:pPr>
              <w:rPr>
                <w:color w:val="000000" w:themeColor="text1"/>
                <w:sz w:val="22"/>
                <w:szCs w:val="22"/>
              </w:rPr>
            </w:pPr>
            <w:r>
              <w:rPr>
                <w:color w:val="000000" w:themeColor="text1"/>
                <w:sz w:val="22"/>
              </w:rPr>
              <w:t>Desenvolver a capacidade de treinar e organizar comunidades — quer definidas por fronteiras geográficas e administrativas, quer por serviços e prestadores de serviços empresariais</w:t>
            </w:r>
            <w:r w:rsidR="00B85369">
              <w:rPr>
                <w:color w:val="000000" w:themeColor="text1"/>
                <w:sz w:val="22"/>
              </w:rPr>
              <w:t xml:space="preserve"> — </w:t>
            </w:r>
            <w:r>
              <w:rPr>
                <w:color w:val="000000" w:themeColor="text1"/>
                <w:sz w:val="22"/>
              </w:rPr>
              <w:t>e integrar essas comunidades nos mecanismos nacionais de gestão de emergências e acordos formais.</w:t>
            </w:r>
          </w:p>
        </w:tc>
        <w:tc>
          <w:tcPr>
            <w:tcW w:w="3381" w:type="dxa"/>
            <w:gridSpan w:val="2"/>
            <w:tcBorders>
              <w:top w:val="single" w:sz="6" w:space="0" w:color="000000"/>
            </w:tcBorders>
            <w:shd w:val="clear" w:color="auto" w:fill="auto"/>
            <w:hideMark/>
          </w:tcPr>
          <w:p w14:paraId="61FEE50D" w14:textId="77777777" w:rsidR="00C945C0" w:rsidRPr="00493A9B" w:rsidRDefault="00C945C0" w:rsidP="00493A9B">
            <w:pPr>
              <w:rPr>
                <w:color w:val="000000" w:themeColor="text1"/>
                <w:sz w:val="22"/>
                <w:szCs w:val="22"/>
              </w:rPr>
            </w:pPr>
            <w:r>
              <w:rPr>
                <w:color w:val="000000" w:themeColor="text1"/>
                <w:sz w:val="22"/>
              </w:rPr>
              <w:t>Expansão da linha de base de conhecimentos e habilidades para a resposta comunitária a emergências e aumento da capacidade de preparação, resposta e recuperação diante de desastres e choques, em sub-regiões específicas e nos Estados membros participantes.</w:t>
            </w:r>
          </w:p>
        </w:tc>
        <w:tc>
          <w:tcPr>
            <w:tcW w:w="2715" w:type="dxa"/>
            <w:gridSpan w:val="2"/>
            <w:vMerge w:val="restart"/>
            <w:tcBorders>
              <w:top w:val="single" w:sz="6" w:space="0" w:color="000000"/>
            </w:tcBorders>
            <w:shd w:val="clear" w:color="auto" w:fill="auto"/>
            <w:hideMark/>
          </w:tcPr>
          <w:p w14:paraId="0AA61937" w14:textId="77777777" w:rsidR="00C945C0" w:rsidRPr="00493A9B" w:rsidRDefault="00C945C0" w:rsidP="00493A9B">
            <w:pPr>
              <w:rPr>
                <w:color w:val="000000" w:themeColor="text1"/>
                <w:sz w:val="22"/>
                <w:szCs w:val="22"/>
              </w:rPr>
            </w:pPr>
            <w:r>
              <w:rPr>
                <w:b/>
                <w:color w:val="000000" w:themeColor="text1"/>
                <w:sz w:val="22"/>
              </w:rPr>
              <w:t xml:space="preserve">Internas (OEA): </w:t>
            </w:r>
            <w:r>
              <w:rPr>
                <w:color w:val="000000" w:themeColor="text1"/>
                <w:sz w:val="22"/>
              </w:rPr>
              <w:t xml:space="preserve">Rede Interamericana de Mitigação de Desastres (RIMD), Escritório Executivo da SEDI (Cooperação Técnica em Treinamento em Gestão de Emergências – Base de Dados da SEDI), Seção de Turismo do DDE, DDHEE, CIP, SSM, SFD, Junta Interamericana de Defesa, Gabinete do SGA. </w:t>
            </w:r>
            <w:r>
              <w:rPr>
                <w:color w:val="000000" w:themeColor="text1"/>
                <w:sz w:val="22"/>
              </w:rPr>
              <w:br/>
            </w:r>
            <w:r>
              <w:rPr>
                <w:color w:val="000000" w:themeColor="text1"/>
                <w:sz w:val="22"/>
              </w:rPr>
              <w:br/>
            </w:r>
            <w:r>
              <w:rPr>
                <w:b/>
                <w:color w:val="000000" w:themeColor="text1"/>
                <w:sz w:val="22"/>
              </w:rPr>
              <w:t>Externas:</w:t>
            </w:r>
            <w:r>
              <w:rPr>
                <w:color w:val="000000" w:themeColor="text1"/>
                <w:sz w:val="22"/>
              </w:rPr>
              <w:t xml:space="preserve"> Agência Federal para Manejo de Emergências dos EUA (FEMA) e rede americana de CERT locais. Todas as agências dos Estados Unidos que fazem parte do Bureau de Assistência Humanitária (US BHA), Associação de Hotelaria e Turismo do Caribe (CHTA), OPAS, BID, FUPAD, IICA, Federação </w:t>
            </w:r>
            <w:r>
              <w:rPr>
                <w:color w:val="000000" w:themeColor="text1"/>
                <w:sz w:val="22"/>
              </w:rPr>
              <w:lastRenderedPageBreak/>
              <w:t>Internacional das Sociedades da Cruz Vermelha e do Crescente Vermelho, Comissão dos Capacetes Brancos, Instituto Interamericano de Pesquisa de Mudanças Globais (IAI), instituições financeiras internacionais e bancos de desenvolvimento, Observadores Permanentes e Estados membros.</w:t>
            </w:r>
          </w:p>
        </w:tc>
      </w:tr>
      <w:tr w:rsidR="00C945C0" w:rsidRPr="00493A9B" w14:paraId="76825953" w14:textId="77777777" w:rsidTr="00A66C51">
        <w:trPr>
          <w:trHeight w:val="1110"/>
          <w:jc w:val="center"/>
        </w:trPr>
        <w:tc>
          <w:tcPr>
            <w:tcW w:w="3225" w:type="dxa"/>
            <w:shd w:val="clear" w:color="auto" w:fill="auto"/>
          </w:tcPr>
          <w:p w14:paraId="304A9498" w14:textId="77777777" w:rsidR="00C945C0" w:rsidRPr="00493A9B" w:rsidRDefault="00C945C0" w:rsidP="00493A9B">
            <w:pPr>
              <w:rPr>
                <w:rFonts w:eastAsia="Symbol"/>
                <w:i/>
                <w:color w:val="000000" w:themeColor="text1"/>
                <w:sz w:val="22"/>
                <w:szCs w:val="22"/>
              </w:rPr>
            </w:pPr>
            <w:r>
              <w:rPr>
                <w:i/>
                <w:color w:val="000000" w:themeColor="text1"/>
                <w:sz w:val="22"/>
              </w:rPr>
              <w:t>Projeto “Construção da resiliência das pequenas empresas de turismo do Caribe a catástrofes”:</w:t>
            </w:r>
          </w:p>
          <w:p w14:paraId="38334A3C" w14:textId="77777777" w:rsidR="00C945C0" w:rsidRPr="00493A9B" w:rsidRDefault="00C945C0" w:rsidP="00493A9B">
            <w:pPr>
              <w:rPr>
                <w:rFonts w:eastAsia="Symbol"/>
                <w:color w:val="000000" w:themeColor="text1"/>
                <w:sz w:val="22"/>
                <w:szCs w:val="22"/>
              </w:rPr>
            </w:pPr>
          </w:p>
          <w:p w14:paraId="22B3B06C" w14:textId="77777777" w:rsidR="00C945C0" w:rsidRPr="00493A9B" w:rsidRDefault="00C945C0" w:rsidP="00493A9B">
            <w:pPr>
              <w:rPr>
                <w:b/>
                <w:bCs/>
                <w:color w:val="000000" w:themeColor="text1"/>
                <w:sz w:val="22"/>
                <w:szCs w:val="22"/>
              </w:rPr>
            </w:pPr>
            <w:r w:rsidRPr="00B85369">
              <w:rPr>
                <w:i/>
                <w:iCs/>
                <w:color w:val="000000" w:themeColor="text1"/>
                <w:sz w:val="22"/>
              </w:rPr>
              <w:t>Workshop</w:t>
            </w:r>
            <w:r>
              <w:rPr>
                <w:color w:val="000000" w:themeColor="text1"/>
                <w:sz w:val="22"/>
              </w:rPr>
              <w:t xml:space="preserve"> de Planejamento de Contingência e Continuidade de Negócios e Estratégia de Comunicação de Crise</w:t>
            </w:r>
          </w:p>
        </w:tc>
        <w:tc>
          <w:tcPr>
            <w:tcW w:w="4269" w:type="dxa"/>
            <w:shd w:val="clear" w:color="auto" w:fill="auto"/>
            <w:noWrap/>
          </w:tcPr>
          <w:p w14:paraId="6283E3CB" w14:textId="77777777" w:rsidR="00C945C0" w:rsidRPr="00493A9B" w:rsidRDefault="00C945C0" w:rsidP="00493A9B">
            <w:pPr>
              <w:rPr>
                <w:color w:val="000000" w:themeColor="text1"/>
                <w:sz w:val="22"/>
                <w:szCs w:val="22"/>
              </w:rPr>
            </w:pPr>
            <w:r>
              <w:rPr>
                <w:color w:val="000000" w:themeColor="text1"/>
                <w:sz w:val="22"/>
              </w:rPr>
              <w:t>Assistir as pequenas empresas de turismo no desenvolvimento da capacidade de elaborar e implementar planos de contingência e planos de continuidade de negócios, e de elaborar e estabelecer uma estratégia de comunicação de crise para a sua implementação.</w:t>
            </w:r>
          </w:p>
        </w:tc>
        <w:tc>
          <w:tcPr>
            <w:tcW w:w="3381" w:type="dxa"/>
            <w:gridSpan w:val="2"/>
            <w:shd w:val="clear" w:color="auto" w:fill="auto"/>
          </w:tcPr>
          <w:p w14:paraId="78C6C44D" w14:textId="77777777" w:rsidR="00C945C0" w:rsidRPr="00493A9B" w:rsidRDefault="00C945C0" w:rsidP="00493A9B">
            <w:pPr>
              <w:contextualSpacing/>
              <w:rPr>
                <w:color w:val="000000" w:themeColor="text1"/>
                <w:sz w:val="22"/>
                <w:szCs w:val="22"/>
              </w:rPr>
            </w:pPr>
            <w:r>
              <w:rPr>
                <w:color w:val="000000" w:themeColor="text1"/>
                <w:sz w:val="22"/>
              </w:rPr>
              <w:t>Uma abordagem regional do planejamento de contingência para o setor do turismo, recomendações para todo o ecossistema turístico no sentido de reduzir as interrupções de negócios com enfoque nas pequenas empresas que fazem parte da cadeia de suprimentos do turismo.</w:t>
            </w:r>
          </w:p>
          <w:p w14:paraId="7C65AAD7" w14:textId="77777777" w:rsidR="00C945C0" w:rsidRPr="00493A9B" w:rsidRDefault="00C945C0" w:rsidP="00493A9B">
            <w:pPr>
              <w:contextualSpacing/>
              <w:rPr>
                <w:color w:val="000000" w:themeColor="text1"/>
                <w:sz w:val="22"/>
                <w:szCs w:val="22"/>
              </w:rPr>
            </w:pPr>
          </w:p>
          <w:p w14:paraId="6357F775" w14:textId="77777777" w:rsidR="00C945C0" w:rsidRPr="00493A9B" w:rsidRDefault="00C945C0" w:rsidP="00493A9B">
            <w:pPr>
              <w:contextualSpacing/>
              <w:rPr>
                <w:color w:val="000000" w:themeColor="text1"/>
                <w:sz w:val="22"/>
                <w:szCs w:val="22"/>
              </w:rPr>
            </w:pPr>
            <w:r>
              <w:rPr>
                <w:color w:val="000000" w:themeColor="text1"/>
                <w:sz w:val="22"/>
              </w:rPr>
              <w:t>O resultado esperado é a redução das interrupções de negócios, particularmente das pequenas empresas turísticas que fazem parte do ecossistema turístico, e o aumento do fluxo de renda para as comunidades que dependem do setor do turismo.</w:t>
            </w:r>
          </w:p>
          <w:p w14:paraId="40BD3F5C" w14:textId="77777777" w:rsidR="00C945C0" w:rsidRPr="00493A9B" w:rsidRDefault="00C945C0" w:rsidP="00493A9B">
            <w:pPr>
              <w:contextualSpacing/>
              <w:rPr>
                <w:color w:val="000000" w:themeColor="text1"/>
                <w:sz w:val="22"/>
                <w:szCs w:val="22"/>
              </w:rPr>
            </w:pPr>
          </w:p>
        </w:tc>
        <w:tc>
          <w:tcPr>
            <w:tcW w:w="2715" w:type="dxa"/>
            <w:gridSpan w:val="2"/>
            <w:vMerge/>
            <w:vAlign w:val="center"/>
            <w:hideMark/>
          </w:tcPr>
          <w:p w14:paraId="37348FED" w14:textId="77777777" w:rsidR="00C945C0" w:rsidRPr="00493A9B" w:rsidRDefault="00C945C0" w:rsidP="00493A9B">
            <w:pPr>
              <w:rPr>
                <w:color w:val="000000" w:themeColor="text1"/>
                <w:sz w:val="22"/>
                <w:szCs w:val="22"/>
              </w:rPr>
            </w:pPr>
          </w:p>
        </w:tc>
      </w:tr>
      <w:tr w:rsidR="00C945C0" w:rsidRPr="00493A9B" w14:paraId="11DEFD52" w14:textId="77777777" w:rsidTr="00A66C51">
        <w:trPr>
          <w:trHeight w:val="864"/>
          <w:jc w:val="center"/>
        </w:trPr>
        <w:tc>
          <w:tcPr>
            <w:tcW w:w="3225" w:type="dxa"/>
            <w:shd w:val="clear" w:color="auto" w:fill="auto"/>
          </w:tcPr>
          <w:p w14:paraId="01A9CA61" w14:textId="77777777" w:rsidR="00C945C0" w:rsidRPr="00493A9B" w:rsidRDefault="00C945C0" w:rsidP="00493A9B">
            <w:pPr>
              <w:rPr>
                <w:color w:val="000000" w:themeColor="text1"/>
                <w:sz w:val="22"/>
                <w:szCs w:val="22"/>
              </w:rPr>
            </w:pPr>
            <w:r>
              <w:rPr>
                <w:color w:val="000000" w:themeColor="text1"/>
                <w:sz w:val="22"/>
              </w:rPr>
              <w:lastRenderedPageBreak/>
              <w:t>Cursos para Equipes de Resposta a Emergências Comunitárias (CERT): Curso Básico, Formação de Formadores e Gestor de Programas (em 12 Estados membros da CARICOM e RD)</w:t>
            </w:r>
          </w:p>
        </w:tc>
        <w:tc>
          <w:tcPr>
            <w:tcW w:w="4269" w:type="dxa"/>
            <w:shd w:val="clear" w:color="auto" w:fill="auto"/>
          </w:tcPr>
          <w:p w14:paraId="69C59D37" w14:textId="77777777" w:rsidR="00C945C0" w:rsidRPr="00493A9B" w:rsidRDefault="00C945C0" w:rsidP="00493A9B">
            <w:pPr>
              <w:rPr>
                <w:color w:val="000000" w:themeColor="text1"/>
                <w:sz w:val="22"/>
                <w:szCs w:val="22"/>
              </w:rPr>
            </w:pPr>
            <w:r>
              <w:rPr>
                <w:color w:val="000000" w:themeColor="text1"/>
                <w:sz w:val="22"/>
              </w:rPr>
              <w:t>Dar treinamento às agências nacionais de gestão de emergência em casos de desastre sobre CERT básico, formação de formadores e gestor de projetos para a implementação de CERT nas comunidades locais (delimitação geográfica/administrativa) e nas comunidades de pequenas empresas de turismo prestadoras de serviços, com o patrocínio de empresas maiores. </w:t>
            </w:r>
          </w:p>
        </w:tc>
        <w:tc>
          <w:tcPr>
            <w:tcW w:w="3381" w:type="dxa"/>
            <w:gridSpan w:val="2"/>
            <w:shd w:val="clear" w:color="auto" w:fill="auto"/>
          </w:tcPr>
          <w:p w14:paraId="5D2D26BD" w14:textId="77777777" w:rsidR="00C945C0" w:rsidRPr="00493A9B" w:rsidRDefault="00C945C0" w:rsidP="00493A9B">
            <w:pPr>
              <w:rPr>
                <w:color w:val="000000" w:themeColor="text1"/>
                <w:sz w:val="22"/>
                <w:szCs w:val="22"/>
              </w:rPr>
            </w:pPr>
            <w:r>
              <w:rPr>
                <w:color w:val="000000" w:themeColor="text1"/>
                <w:sz w:val="22"/>
              </w:rPr>
              <w:t>Implementação de Equipes de Resposta a Emergências Comunitárias (CERT) em todos os Estados membros participantes, com o patrocínio de grandes empresas de turismo e dentro de mecanismos nacionais bem-estruturados de gestão de emergência em casos de desastre.</w:t>
            </w:r>
          </w:p>
          <w:p w14:paraId="28340B36" w14:textId="77777777" w:rsidR="00C945C0" w:rsidRPr="00493A9B" w:rsidRDefault="00C945C0" w:rsidP="00493A9B">
            <w:pPr>
              <w:rPr>
                <w:color w:val="000000" w:themeColor="text1"/>
                <w:sz w:val="22"/>
                <w:szCs w:val="22"/>
              </w:rPr>
            </w:pPr>
          </w:p>
          <w:p w14:paraId="6F9ED554" w14:textId="77777777" w:rsidR="00C945C0" w:rsidRPr="00493A9B" w:rsidRDefault="00C945C0" w:rsidP="00493A9B">
            <w:pPr>
              <w:rPr>
                <w:color w:val="000000" w:themeColor="text1"/>
                <w:sz w:val="22"/>
                <w:szCs w:val="22"/>
              </w:rPr>
            </w:pPr>
            <w:r>
              <w:rPr>
                <w:color w:val="000000" w:themeColor="text1"/>
                <w:sz w:val="22"/>
              </w:rPr>
              <w:t>O resultado esperado é a redução das interrupções das operações de negócios turísticos relacionadas com desastres.</w:t>
            </w:r>
          </w:p>
        </w:tc>
        <w:tc>
          <w:tcPr>
            <w:tcW w:w="2715" w:type="dxa"/>
            <w:gridSpan w:val="2"/>
            <w:vMerge/>
            <w:vAlign w:val="center"/>
            <w:hideMark/>
          </w:tcPr>
          <w:p w14:paraId="3B6AF8FE" w14:textId="77777777" w:rsidR="00C945C0" w:rsidRPr="00493A9B" w:rsidRDefault="00C945C0" w:rsidP="00493A9B">
            <w:pPr>
              <w:rPr>
                <w:color w:val="000000" w:themeColor="text1"/>
                <w:sz w:val="22"/>
                <w:szCs w:val="22"/>
              </w:rPr>
            </w:pPr>
          </w:p>
        </w:tc>
      </w:tr>
      <w:tr w:rsidR="00C945C0" w:rsidRPr="00493A9B" w14:paraId="7C4F7668" w14:textId="77777777" w:rsidTr="00A66C51">
        <w:trPr>
          <w:trHeight w:val="833"/>
          <w:jc w:val="center"/>
        </w:trPr>
        <w:tc>
          <w:tcPr>
            <w:tcW w:w="3225" w:type="dxa"/>
            <w:shd w:val="clear" w:color="auto" w:fill="auto"/>
            <w:vAlign w:val="center"/>
          </w:tcPr>
          <w:p w14:paraId="32A8EC7C" w14:textId="77777777" w:rsidR="00C945C0" w:rsidRPr="00493A9B" w:rsidRDefault="00C945C0" w:rsidP="00493A9B">
            <w:pPr>
              <w:rPr>
                <w:color w:val="000000" w:themeColor="text1"/>
                <w:sz w:val="22"/>
                <w:szCs w:val="22"/>
                <w:highlight w:val="magenta"/>
              </w:rPr>
            </w:pPr>
            <w:r>
              <w:rPr>
                <w:color w:val="000000" w:themeColor="text1"/>
                <w:sz w:val="22"/>
              </w:rPr>
              <w:t>Fórum de políticas de alto nível para múltiplos interessados</w:t>
            </w:r>
          </w:p>
        </w:tc>
        <w:tc>
          <w:tcPr>
            <w:tcW w:w="4269" w:type="dxa"/>
            <w:shd w:val="clear" w:color="auto" w:fill="auto"/>
          </w:tcPr>
          <w:p w14:paraId="158525A5" w14:textId="77777777" w:rsidR="00C945C0" w:rsidRPr="00493A9B" w:rsidRDefault="00C945C0" w:rsidP="00493A9B">
            <w:pPr>
              <w:rPr>
                <w:color w:val="000000" w:themeColor="text1"/>
                <w:sz w:val="22"/>
                <w:szCs w:val="22"/>
              </w:rPr>
            </w:pPr>
            <w:r>
              <w:rPr>
                <w:color w:val="000000" w:themeColor="text1"/>
                <w:sz w:val="22"/>
              </w:rPr>
              <w:t xml:space="preserve">Estabelecer um fórum de políticas de alto nível com a participação dos ministérios do turismo, agências nacionais de gestão de emergência em casos de desastre, grandes empresas de turismo — como cadeias hoteleiras, linhas de cruzeiros, companhias aéreas, agências e operadores turísticos —, centros de desenvolvimento de pequenas empresas (SBDC), pequenas empresas de turismo, empresas de energia e água, e todas as partes interessadas que </w:t>
            </w:r>
            <w:r w:rsidR="00B85369">
              <w:rPr>
                <w:color w:val="000000" w:themeColor="text1"/>
                <w:sz w:val="22"/>
              </w:rPr>
              <w:t>compõem o</w:t>
            </w:r>
            <w:r>
              <w:rPr>
                <w:color w:val="000000" w:themeColor="text1"/>
                <w:sz w:val="22"/>
              </w:rPr>
              <w:t xml:space="preserve"> setor do turismo.</w:t>
            </w:r>
          </w:p>
          <w:p w14:paraId="3001E131" w14:textId="77777777" w:rsidR="00C945C0" w:rsidRPr="00493A9B" w:rsidRDefault="00C945C0" w:rsidP="00493A9B">
            <w:pPr>
              <w:rPr>
                <w:color w:val="000000" w:themeColor="text1"/>
                <w:sz w:val="22"/>
                <w:szCs w:val="22"/>
              </w:rPr>
            </w:pPr>
          </w:p>
          <w:p w14:paraId="5328DBC2" w14:textId="77777777" w:rsidR="00C945C0" w:rsidRPr="00493A9B" w:rsidRDefault="00C945C0" w:rsidP="00493A9B">
            <w:pPr>
              <w:rPr>
                <w:color w:val="000000" w:themeColor="text1"/>
                <w:sz w:val="22"/>
                <w:szCs w:val="22"/>
              </w:rPr>
            </w:pPr>
            <w:r>
              <w:rPr>
                <w:color w:val="000000" w:themeColor="text1"/>
                <w:sz w:val="22"/>
              </w:rPr>
              <w:t>Produzir recomendações de políticas para agências governamentais e empresas privadas, com base no consenso e no diálogo político entre as múltiplas partes interessadas.</w:t>
            </w:r>
          </w:p>
        </w:tc>
        <w:tc>
          <w:tcPr>
            <w:tcW w:w="3381" w:type="dxa"/>
            <w:gridSpan w:val="2"/>
            <w:shd w:val="clear" w:color="auto" w:fill="auto"/>
          </w:tcPr>
          <w:p w14:paraId="61837BD7" w14:textId="77777777" w:rsidR="00C945C0" w:rsidRPr="00493A9B" w:rsidRDefault="00C945C0" w:rsidP="00493A9B">
            <w:pPr>
              <w:rPr>
                <w:color w:val="000000" w:themeColor="text1"/>
                <w:sz w:val="22"/>
                <w:szCs w:val="22"/>
              </w:rPr>
            </w:pPr>
            <w:r>
              <w:rPr>
                <w:color w:val="000000" w:themeColor="text1"/>
                <w:sz w:val="22"/>
              </w:rPr>
              <w:t>Um conjunto consensual de políticas públicas e privadas, e um fórum permanente de políticas de alto nível para múltiplos interessados capaz de responder a um ecossistema turístico em constante mudança, e particularmente a choques internos e externos, sejam eles relacionados a riscos naturais, biológicos, tecnológicos ou provocados pelo homem, ou choques econômicos e financeiros, ou qualquer outro choque.</w:t>
            </w:r>
          </w:p>
          <w:p w14:paraId="0C32C332" w14:textId="77777777" w:rsidR="00C945C0" w:rsidRPr="00493A9B" w:rsidRDefault="00C945C0" w:rsidP="00493A9B">
            <w:pPr>
              <w:rPr>
                <w:color w:val="000000" w:themeColor="text1"/>
                <w:sz w:val="22"/>
                <w:szCs w:val="22"/>
              </w:rPr>
            </w:pPr>
          </w:p>
          <w:p w14:paraId="127711B6" w14:textId="77777777" w:rsidR="00C945C0" w:rsidRPr="00493A9B" w:rsidRDefault="00C945C0" w:rsidP="00493A9B">
            <w:pPr>
              <w:rPr>
                <w:color w:val="000000" w:themeColor="text1"/>
                <w:sz w:val="22"/>
                <w:szCs w:val="22"/>
              </w:rPr>
            </w:pPr>
            <w:r>
              <w:rPr>
                <w:color w:val="000000" w:themeColor="text1"/>
                <w:sz w:val="22"/>
              </w:rPr>
              <w:t xml:space="preserve">O resultado esperado é um ecossistema turístico melhorado, onde as pequenas empresas de turismo sejam parte integrante dos planos de continuidade de negócios, e planos de contingência para a continuidade das operações das grandes empresas e a redução das contribuições do PIB do setor </w:t>
            </w:r>
            <w:r>
              <w:rPr>
                <w:color w:val="000000" w:themeColor="text1"/>
                <w:sz w:val="22"/>
              </w:rPr>
              <w:lastRenderedPageBreak/>
              <w:t>de turismo nas economias dos Estados membros participantes.</w:t>
            </w:r>
          </w:p>
        </w:tc>
        <w:tc>
          <w:tcPr>
            <w:tcW w:w="2715" w:type="dxa"/>
            <w:gridSpan w:val="2"/>
            <w:vMerge/>
            <w:vAlign w:val="center"/>
            <w:hideMark/>
          </w:tcPr>
          <w:p w14:paraId="7CEF1D99" w14:textId="77777777" w:rsidR="00C945C0" w:rsidRPr="00493A9B" w:rsidRDefault="00C945C0" w:rsidP="00493A9B">
            <w:pPr>
              <w:rPr>
                <w:color w:val="000000" w:themeColor="text1"/>
                <w:sz w:val="22"/>
                <w:szCs w:val="22"/>
              </w:rPr>
            </w:pPr>
          </w:p>
        </w:tc>
      </w:tr>
      <w:tr w:rsidR="00C945C0" w:rsidRPr="00493A9B" w14:paraId="3A55451C" w14:textId="77777777" w:rsidTr="00A66C51">
        <w:trPr>
          <w:trHeight w:val="1008"/>
          <w:jc w:val="center"/>
        </w:trPr>
        <w:tc>
          <w:tcPr>
            <w:tcW w:w="3225" w:type="dxa"/>
            <w:shd w:val="clear" w:color="auto" w:fill="auto"/>
          </w:tcPr>
          <w:p w14:paraId="0F7E6F7E" w14:textId="77777777" w:rsidR="00C945C0" w:rsidRPr="00493A9B" w:rsidRDefault="00C945C0" w:rsidP="00493A9B">
            <w:pPr>
              <w:rPr>
                <w:color w:val="000000" w:themeColor="text1"/>
                <w:sz w:val="22"/>
                <w:szCs w:val="22"/>
              </w:rPr>
            </w:pPr>
            <w:r>
              <w:rPr>
                <w:b/>
                <w:color w:val="000000" w:themeColor="text1"/>
                <w:sz w:val="22"/>
              </w:rPr>
              <w:t>Políticas e programas baseados em ciência e dados para tomadores de decisão</w:t>
            </w:r>
          </w:p>
        </w:tc>
        <w:tc>
          <w:tcPr>
            <w:tcW w:w="4269" w:type="dxa"/>
            <w:shd w:val="clear" w:color="auto" w:fill="auto"/>
          </w:tcPr>
          <w:p w14:paraId="0087E40F" w14:textId="77777777" w:rsidR="00C945C0" w:rsidRPr="00493A9B" w:rsidRDefault="00C945C0" w:rsidP="00493A9B">
            <w:pPr>
              <w:rPr>
                <w:color w:val="000000" w:themeColor="text1"/>
                <w:sz w:val="22"/>
                <w:szCs w:val="22"/>
              </w:rPr>
            </w:pPr>
            <w:r>
              <w:rPr>
                <w:color w:val="000000" w:themeColor="text1"/>
                <w:sz w:val="22"/>
              </w:rPr>
              <w:t>Aumentar a conscientização sobre a relevância de buscar uma abordagem orientada por dados para moldar programas e políticas para a construção de resiliência.</w:t>
            </w:r>
          </w:p>
        </w:tc>
        <w:tc>
          <w:tcPr>
            <w:tcW w:w="3381" w:type="dxa"/>
            <w:gridSpan w:val="2"/>
            <w:shd w:val="clear" w:color="auto" w:fill="auto"/>
          </w:tcPr>
          <w:p w14:paraId="7844B829" w14:textId="77777777" w:rsidR="00C945C0" w:rsidRPr="00493A9B" w:rsidRDefault="00C945C0" w:rsidP="00493A9B">
            <w:pPr>
              <w:rPr>
                <w:color w:val="000000" w:themeColor="text1"/>
                <w:sz w:val="22"/>
                <w:szCs w:val="22"/>
              </w:rPr>
            </w:pPr>
            <w:r>
              <w:rPr>
                <w:i/>
                <w:iCs/>
                <w:color w:val="000000" w:themeColor="text1"/>
                <w:sz w:val="22"/>
              </w:rPr>
              <w:t>Workshop</w:t>
            </w:r>
            <w:r>
              <w:rPr>
                <w:color w:val="000000" w:themeColor="text1"/>
                <w:sz w:val="22"/>
              </w:rPr>
              <w:t xml:space="preserve"> para aumentar a conscientização e a compreensão de como a ciência e os dados podem moldar políticas e programas para a construção de resiliência e gestão do risco de desastres (GRD).</w:t>
            </w:r>
          </w:p>
        </w:tc>
        <w:tc>
          <w:tcPr>
            <w:tcW w:w="2715" w:type="dxa"/>
            <w:gridSpan w:val="2"/>
            <w:vMerge/>
            <w:vAlign w:val="center"/>
            <w:hideMark/>
          </w:tcPr>
          <w:p w14:paraId="7F59FD3F" w14:textId="77777777" w:rsidR="00C945C0" w:rsidRPr="00493A9B" w:rsidRDefault="00C945C0" w:rsidP="00493A9B">
            <w:pPr>
              <w:rPr>
                <w:color w:val="000000" w:themeColor="text1"/>
                <w:sz w:val="22"/>
                <w:szCs w:val="22"/>
              </w:rPr>
            </w:pPr>
          </w:p>
        </w:tc>
      </w:tr>
      <w:tr w:rsidR="00C945C0" w:rsidRPr="00493A9B" w14:paraId="236EF6B8" w14:textId="77777777" w:rsidTr="00A66C51">
        <w:trPr>
          <w:trHeight w:val="833"/>
          <w:jc w:val="center"/>
        </w:trPr>
        <w:tc>
          <w:tcPr>
            <w:tcW w:w="3225" w:type="dxa"/>
            <w:vMerge w:val="restart"/>
            <w:shd w:val="clear" w:color="auto" w:fill="auto"/>
            <w:vAlign w:val="center"/>
            <w:hideMark/>
          </w:tcPr>
          <w:p w14:paraId="74491A50" w14:textId="77777777" w:rsidR="00C945C0" w:rsidRPr="00493A9B" w:rsidRDefault="00C945C0" w:rsidP="00493A9B">
            <w:pPr>
              <w:rPr>
                <w:b/>
                <w:bCs/>
                <w:color w:val="000000" w:themeColor="text1"/>
                <w:sz w:val="22"/>
                <w:szCs w:val="22"/>
              </w:rPr>
            </w:pPr>
            <w:r>
              <w:rPr>
                <w:b/>
                <w:color w:val="000000" w:themeColor="text1"/>
                <w:sz w:val="22"/>
              </w:rPr>
              <w:t>Integração dos</w:t>
            </w:r>
            <w:r>
              <w:rPr>
                <w:color w:val="000000" w:themeColor="text1"/>
                <w:sz w:val="22"/>
              </w:rPr>
              <w:t xml:space="preserve"> </w:t>
            </w:r>
            <w:r>
              <w:rPr>
                <w:b/>
                <w:color w:val="000000" w:themeColor="text1"/>
                <w:sz w:val="22"/>
              </w:rPr>
              <w:t>objetivos</w:t>
            </w:r>
            <w:r>
              <w:rPr>
                <w:color w:val="000000" w:themeColor="text1"/>
                <w:sz w:val="22"/>
              </w:rPr>
              <w:t xml:space="preserve"> da </w:t>
            </w:r>
            <w:r>
              <w:rPr>
                <w:b/>
                <w:color w:val="000000" w:themeColor="text1"/>
                <w:sz w:val="22"/>
              </w:rPr>
              <w:t>gestão de riscos de desastres</w:t>
            </w:r>
            <w:r>
              <w:rPr>
                <w:color w:val="000000" w:themeColor="text1"/>
                <w:sz w:val="22"/>
              </w:rPr>
              <w:t xml:space="preserve"> em todos os pilares da Carta da OEA e em todas as dependências da Secretaria-Geral e, particularmente, dentro da SEDI.</w:t>
            </w:r>
          </w:p>
        </w:tc>
        <w:tc>
          <w:tcPr>
            <w:tcW w:w="4269" w:type="dxa"/>
            <w:vMerge w:val="restart"/>
            <w:shd w:val="clear" w:color="auto" w:fill="auto"/>
            <w:noWrap/>
            <w:vAlign w:val="center"/>
            <w:hideMark/>
          </w:tcPr>
          <w:p w14:paraId="3383526B" w14:textId="77777777" w:rsidR="00C945C0" w:rsidRPr="00493A9B" w:rsidRDefault="00C945C0" w:rsidP="00493A9B">
            <w:pPr>
              <w:rPr>
                <w:color w:val="000000" w:themeColor="text1"/>
                <w:sz w:val="22"/>
                <w:szCs w:val="22"/>
              </w:rPr>
            </w:pPr>
            <w:r>
              <w:rPr>
                <w:color w:val="000000" w:themeColor="text1"/>
                <w:sz w:val="22"/>
              </w:rPr>
              <w:t>Fornecer apoio técnico para a concepção e a formulação de projetos e programas.</w:t>
            </w:r>
          </w:p>
          <w:p w14:paraId="4FFDA751" w14:textId="77777777" w:rsidR="00C945C0" w:rsidRPr="00493A9B" w:rsidRDefault="00C945C0" w:rsidP="00493A9B">
            <w:pPr>
              <w:rPr>
                <w:color w:val="000000" w:themeColor="text1"/>
                <w:sz w:val="22"/>
                <w:szCs w:val="22"/>
              </w:rPr>
            </w:pPr>
          </w:p>
          <w:p w14:paraId="51089D1A" w14:textId="77777777" w:rsidR="00C945C0" w:rsidRPr="00493A9B" w:rsidRDefault="00C945C0" w:rsidP="00493A9B">
            <w:pPr>
              <w:rPr>
                <w:color w:val="000000" w:themeColor="text1"/>
                <w:sz w:val="22"/>
                <w:szCs w:val="22"/>
              </w:rPr>
            </w:pPr>
            <w:r>
              <w:rPr>
                <w:color w:val="000000" w:themeColor="text1"/>
                <w:sz w:val="22"/>
              </w:rPr>
              <w:t xml:space="preserve">Revisar e dar </w:t>
            </w:r>
            <w:r>
              <w:rPr>
                <w:i/>
                <w:iCs/>
                <w:color w:val="000000" w:themeColor="text1"/>
                <w:sz w:val="22"/>
              </w:rPr>
              <w:t>feedback</w:t>
            </w:r>
            <w:r>
              <w:rPr>
                <w:color w:val="000000" w:themeColor="text1"/>
                <w:sz w:val="22"/>
              </w:rPr>
              <w:t xml:space="preserve"> a todos os projetos submetidos ao PEC. </w:t>
            </w:r>
          </w:p>
        </w:tc>
        <w:tc>
          <w:tcPr>
            <w:tcW w:w="3381" w:type="dxa"/>
            <w:gridSpan w:val="2"/>
            <w:shd w:val="clear" w:color="auto" w:fill="auto"/>
            <w:hideMark/>
          </w:tcPr>
          <w:p w14:paraId="527FBDA5" w14:textId="77777777" w:rsidR="00C945C0" w:rsidRPr="00493A9B" w:rsidRDefault="00C945C0" w:rsidP="00493A9B">
            <w:pPr>
              <w:rPr>
                <w:color w:val="000000" w:themeColor="text1"/>
                <w:sz w:val="22"/>
                <w:szCs w:val="22"/>
              </w:rPr>
            </w:pPr>
            <w:r>
              <w:rPr>
                <w:color w:val="000000" w:themeColor="text1"/>
                <w:sz w:val="22"/>
              </w:rPr>
              <w:t>Objetivos da gestão de riscos de desastres integrados a todas as dependências da Secretaria-Geral.</w:t>
            </w:r>
          </w:p>
        </w:tc>
        <w:tc>
          <w:tcPr>
            <w:tcW w:w="2715" w:type="dxa"/>
            <w:gridSpan w:val="2"/>
            <w:vMerge/>
            <w:vAlign w:val="center"/>
            <w:hideMark/>
          </w:tcPr>
          <w:p w14:paraId="099B3C8F" w14:textId="77777777" w:rsidR="00C945C0" w:rsidRPr="00493A9B" w:rsidRDefault="00C945C0" w:rsidP="00493A9B">
            <w:pPr>
              <w:rPr>
                <w:color w:val="000000" w:themeColor="text1"/>
                <w:sz w:val="22"/>
                <w:szCs w:val="22"/>
              </w:rPr>
            </w:pPr>
          </w:p>
        </w:tc>
      </w:tr>
      <w:tr w:rsidR="00C945C0" w:rsidRPr="00493A9B" w14:paraId="2E4EA135" w14:textId="77777777" w:rsidTr="00A66C51">
        <w:trPr>
          <w:trHeight w:val="833"/>
          <w:jc w:val="center"/>
        </w:trPr>
        <w:tc>
          <w:tcPr>
            <w:tcW w:w="3225" w:type="dxa"/>
            <w:vMerge/>
            <w:vAlign w:val="center"/>
            <w:hideMark/>
          </w:tcPr>
          <w:p w14:paraId="72FBB03B" w14:textId="77777777" w:rsidR="00C945C0" w:rsidRPr="00493A9B" w:rsidRDefault="00C945C0" w:rsidP="00493A9B">
            <w:pPr>
              <w:rPr>
                <w:b/>
                <w:bCs/>
                <w:color w:val="000000" w:themeColor="text1"/>
                <w:sz w:val="22"/>
                <w:szCs w:val="22"/>
              </w:rPr>
            </w:pPr>
          </w:p>
        </w:tc>
        <w:tc>
          <w:tcPr>
            <w:tcW w:w="4269" w:type="dxa"/>
            <w:vMerge/>
            <w:vAlign w:val="center"/>
            <w:hideMark/>
          </w:tcPr>
          <w:p w14:paraId="3CA4BAE6" w14:textId="77777777" w:rsidR="00C945C0" w:rsidRPr="00493A9B" w:rsidRDefault="00C945C0" w:rsidP="00493A9B">
            <w:pPr>
              <w:rPr>
                <w:color w:val="000000" w:themeColor="text1"/>
                <w:sz w:val="22"/>
                <w:szCs w:val="22"/>
              </w:rPr>
            </w:pPr>
          </w:p>
        </w:tc>
        <w:tc>
          <w:tcPr>
            <w:tcW w:w="3381" w:type="dxa"/>
            <w:gridSpan w:val="2"/>
            <w:shd w:val="clear" w:color="auto" w:fill="auto"/>
            <w:hideMark/>
          </w:tcPr>
          <w:p w14:paraId="16A2DFF3" w14:textId="77777777" w:rsidR="00C945C0" w:rsidRPr="00493A9B" w:rsidRDefault="00C945C0" w:rsidP="00493A9B">
            <w:pPr>
              <w:rPr>
                <w:color w:val="000000" w:themeColor="text1"/>
                <w:sz w:val="22"/>
                <w:szCs w:val="22"/>
              </w:rPr>
            </w:pPr>
            <w:r>
              <w:rPr>
                <w:color w:val="000000" w:themeColor="text1"/>
                <w:sz w:val="22"/>
              </w:rPr>
              <w:t>Envio ao PEC de projetos analisados para integrar os objetivos d</w:t>
            </w:r>
            <w:r w:rsidR="00B85369">
              <w:rPr>
                <w:color w:val="000000" w:themeColor="text1"/>
                <w:sz w:val="22"/>
              </w:rPr>
              <w:t>e</w:t>
            </w:r>
            <w:r>
              <w:rPr>
                <w:color w:val="000000" w:themeColor="text1"/>
                <w:sz w:val="22"/>
              </w:rPr>
              <w:t xml:space="preserve"> GRD.</w:t>
            </w:r>
          </w:p>
        </w:tc>
        <w:tc>
          <w:tcPr>
            <w:tcW w:w="2715" w:type="dxa"/>
            <w:gridSpan w:val="2"/>
            <w:vMerge/>
            <w:vAlign w:val="center"/>
            <w:hideMark/>
          </w:tcPr>
          <w:p w14:paraId="01763151" w14:textId="77777777" w:rsidR="00C945C0" w:rsidRPr="00493A9B" w:rsidRDefault="00C945C0" w:rsidP="00493A9B">
            <w:pPr>
              <w:rPr>
                <w:color w:val="000000" w:themeColor="text1"/>
                <w:sz w:val="22"/>
                <w:szCs w:val="22"/>
              </w:rPr>
            </w:pPr>
          </w:p>
        </w:tc>
      </w:tr>
      <w:tr w:rsidR="00C945C0" w:rsidRPr="00493A9B" w14:paraId="166A045B" w14:textId="77777777" w:rsidTr="00A66C51">
        <w:trPr>
          <w:trHeight w:val="555"/>
          <w:jc w:val="center"/>
        </w:trPr>
        <w:tc>
          <w:tcPr>
            <w:tcW w:w="3225" w:type="dxa"/>
            <w:vMerge/>
            <w:vAlign w:val="center"/>
            <w:hideMark/>
          </w:tcPr>
          <w:p w14:paraId="198B2B40" w14:textId="77777777" w:rsidR="00C945C0" w:rsidRPr="00493A9B" w:rsidRDefault="00C945C0" w:rsidP="00493A9B">
            <w:pPr>
              <w:rPr>
                <w:b/>
                <w:bCs/>
                <w:color w:val="000000" w:themeColor="text1"/>
                <w:sz w:val="22"/>
                <w:szCs w:val="22"/>
              </w:rPr>
            </w:pPr>
          </w:p>
        </w:tc>
        <w:tc>
          <w:tcPr>
            <w:tcW w:w="4269" w:type="dxa"/>
            <w:vMerge/>
            <w:vAlign w:val="center"/>
            <w:hideMark/>
          </w:tcPr>
          <w:p w14:paraId="0B06EFB0" w14:textId="77777777" w:rsidR="00C945C0" w:rsidRPr="00493A9B" w:rsidRDefault="00C945C0" w:rsidP="00493A9B">
            <w:pPr>
              <w:rPr>
                <w:color w:val="000000" w:themeColor="text1"/>
                <w:sz w:val="22"/>
                <w:szCs w:val="22"/>
              </w:rPr>
            </w:pPr>
          </w:p>
        </w:tc>
        <w:tc>
          <w:tcPr>
            <w:tcW w:w="3381" w:type="dxa"/>
            <w:gridSpan w:val="2"/>
            <w:shd w:val="clear" w:color="auto" w:fill="auto"/>
            <w:hideMark/>
          </w:tcPr>
          <w:p w14:paraId="2425DBF6" w14:textId="77777777" w:rsidR="00C945C0" w:rsidRPr="00493A9B" w:rsidRDefault="00C945C0" w:rsidP="00493A9B">
            <w:pPr>
              <w:rPr>
                <w:color w:val="000000" w:themeColor="text1"/>
                <w:sz w:val="22"/>
                <w:szCs w:val="22"/>
              </w:rPr>
            </w:pPr>
            <w:r>
              <w:rPr>
                <w:color w:val="000000" w:themeColor="text1"/>
                <w:sz w:val="22"/>
              </w:rPr>
              <w:t>Formulação de projetos que abordam áreas específicas de GRD e setores específicos.</w:t>
            </w:r>
          </w:p>
        </w:tc>
        <w:tc>
          <w:tcPr>
            <w:tcW w:w="2715" w:type="dxa"/>
            <w:gridSpan w:val="2"/>
            <w:vMerge/>
            <w:vAlign w:val="center"/>
            <w:hideMark/>
          </w:tcPr>
          <w:p w14:paraId="5B744438" w14:textId="77777777" w:rsidR="00C945C0" w:rsidRPr="00493A9B" w:rsidRDefault="00C945C0" w:rsidP="00493A9B">
            <w:pPr>
              <w:rPr>
                <w:color w:val="000000" w:themeColor="text1"/>
                <w:sz w:val="22"/>
                <w:szCs w:val="22"/>
              </w:rPr>
            </w:pPr>
          </w:p>
        </w:tc>
      </w:tr>
      <w:tr w:rsidR="00C945C0" w:rsidRPr="00493A9B" w14:paraId="76120D88" w14:textId="77777777" w:rsidTr="00A66C51">
        <w:trPr>
          <w:trHeight w:val="278"/>
          <w:jc w:val="center"/>
        </w:trPr>
        <w:tc>
          <w:tcPr>
            <w:tcW w:w="3225" w:type="dxa"/>
            <w:shd w:val="clear" w:color="auto" w:fill="auto"/>
          </w:tcPr>
          <w:p w14:paraId="7C35D758" w14:textId="77777777" w:rsidR="00C945C0" w:rsidRPr="00493A9B" w:rsidRDefault="00C945C0" w:rsidP="00493A9B">
            <w:pPr>
              <w:rPr>
                <w:b/>
                <w:bCs/>
                <w:color w:val="000000" w:themeColor="text1"/>
                <w:sz w:val="22"/>
                <w:szCs w:val="22"/>
              </w:rPr>
            </w:pPr>
            <w:r>
              <w:rPr>
                <w:b/>
                <w:color w:val="000000" w:themeColor="text1"/>
                <w:sz w:val="22"/>
              </w:rPr>
              <w:t>Diálogo e cooperação entre vários países e várias partes interessadas com vistas à mitigação, resposta, reconstrução e recuperação em casos de desastre</w:t>
            </w:r>
          </w:p>
        </w:tc>
        <w:tc>
          <w:tcPr>
            <w:tcW w:w="4269" w:type="dxa"/>
            <w:shd w:val="clear" w:color="auto" w:fill="auto"/>
          </w:tcPr>
          <w:p w14:paraId="38934554" w14:textId="77777777" w:rsidR="00C945C0" w:rsidRPr="00493A9B" w:rsidRDefault="00C945C0" w:rsidP="00493A9B">
            <w:pPr>
              <w:rPr>
                <w:rFonts w:eastAsia="Calibri"/>
                <w:color w:val="000000" w:themeColor="text1"/>
                <w:sz w:val="22"/>
                <w:szCs w:val="22"/>
              </w:rPr>
            </w:pPr>
            <w:r>
              <w:rPr>
                <w:color w:val="000000" w:themeColor="text1"/>
                <w:sz w:val="22"/>
              </w:rPr>
              <w:t>Facilitar a cooperação entre vários países e várias partes interessadas para a mitigação, resposta, reconstrução e recuperação em casos de desastre.</w:t>
            </w:r>
          </w:p>
        </w:tc>
        <w:tc>
          <w:tcPr>
            <w:tcW w:w="3381" w:type="dxa"/>
            <w:gridSpan w:val="2"/>
            <w:shd w:val="clear" w:color="auto" w:fill="auto"/>
          </w:tcPr>
          <w:p w14:paraId="04D772D3" w14:textId="77777777" w:rsidR="00C945C0" w:rsidRPr="00493A9B" w:rsidRDefault="00C945C0" w:rsidP="00493A9B">
            <w:pPr>
              <w:rPr>
                <w:rFonts w:eastAsia="Calibri"/>
                <w:color w:val="000000" w:themeColor="text1"/>
                <w:sz w:val="22"/>
                <w:szCs w:val="22"/>
              </w:rPr>
            </w:pPr>
            <w:r>
              <w:rPr>
                <w:color w:val="000000" w:themeColor="text1"/>
                <w:sz w:val="22"/>
              </w:rPr>
              <w:t>Acordos de colaboração entre vários países e partes interessadas para mitigação, resposta, reconstrução e recuperação em casos de desastre.</w:t>
            </w:r>
          </w:p>
        </w:tc>
        <w:tc>
          <w:tcPr>
            <w:tcW w:w="2715" w:type="dxa"/>
            <w:gridSpan w:val="2"/>
            <w:vMerge/>
            <w:vAlign w:val="center"/>
          </w:tcPr>
          <w:p w14:paraId="585CAAD2" w14:textId="77777777" w:rsidR="00C945C0" w:rsidRPr="00493A9B" w:rsidRDefault="00C945C0" w:rsidP="00493A9B">
            <w:pPr>
              <w:rPr>
                <w:color w:val="000000" w:themeColor="text1"/>
                <w:sz w:val="22"/>
                <w:szCs w:val="22"/>
              </w:rPr>
            </w:pPr>
          </w:p>
        </w:tc>
      </w:tr>
      <w:tr w:rsidR="00C945C0" w:rsidRPr="00493A9B" w14:paraId="3A8B17B1" w14:textId="77777777" w:rsidTr="00A66C51">
        <w:trPr>
          <w:trHeight w:val="278"/>
          <w:jc w:val="center"/>
        </w:trPr>
        <w:tc>
          <w:tcPr>
            <w:tcW w:w="3225" w:type="dxa"/>
            <w:shd w:val="clear" w:color="auto" w:fill="auto"/>
            <w:vAlign w:val="center"/>
          </w:tcPr>
          <w:p w14:paraId="2D9E130B" w14:textId="77777777" w:rsidR="00C945C0" w:rsidRPr="00493A9B" w:rsidRDefault="00C945C0" w:rsidP="00493A9B">
            <w:pPr>
              <w:rPr>
                <w:bCs/>
                <w:color w:val="000000" w:themeColor="text1"/>
                <w:sz w:val="22"/>
                <w:szCs w:val="22"/>
              </w:rPr>
            </w:pPr>
            <w:r>
              <w:rPr>
                <w:color w:val="000000" w:themeColor="text1"/>
                <w:sz w:val="22"/>
              </w:rPr>
              <w:t xml:space="preserve">Rede Interamericana de Mitigação de Desastres (RIMD): Base de Dados </w:t>
            </w:r>
            <w:r>
              <w:rPr>
                <w:i/>
                <w:iCs/>
                <w:color w:val="000000" w:themeColor="text1"/>
                <w:sz w:val="22"/>
              </w:rPr>
              <w:t>Online</w:t>
            </w:r>
            <w:r>
              <w:rPr>
                <w:color w:val="000000" w:themeColor="text1"/>
                <w:sz w:val="22"/>
              </w:rPr>
              <w:t xml:space="preserve"> e Encontros Hemisféricos</w:t>
            </w:r>
          </w:p>
        </w:tc>
        <w:tc>
          <w:tcPr>
            <w:tcW w:w="4269" w:type="dxa"/>
            <w:shd w:val="clear" w:color="auto" w:fill="auto"/>
          </w:tcPr>
          <w:p w14:paraId="244D518F" w14:textId="77777777" w:rsidR="00C945C0" w:rsidRPr="00493A9B" w:rsidRDefault="00C945C0" w:rsidP="00493A9B">
            <w:pPr>
              <w:rPr>
                <w:rFonts w:eastAsia="Calibri"/>
                <w:color w:val="000000" w:themeColor="text1"/>
                <w:sz w:val="22"/>
                <w:szCs w:val="22"/>
              </w:rPr>
            </w:pPr>
            <w:r>
              <w:rPr>
                <w:color w:val="000000" w:themeColor="text1"/>
                <w:sz w:val="22"/>
              </w:rPr>
              <w:t xml:space="preserve">Alimentar e manter a base de dados </w:t>
            </w:r>
            <w:r>
              <w:rPr>
                <w:i/>
                <w:iCs/>
                <w:color w:val="000000" w:themeColor="text1"/>
                <w:sz w:val="22"/>
              </w:rPr>
              <w:t>online</w:t>
            </w:r>
            <w:r>
              <w:rPr>
                <w:color w:val="000000" w:themeColor="text1"/>
                <w:sz w:val="22"/>
              </w:rPr>
              <w:t xml:space="preserve"> da RIMD em colaboração com a Junta Interamericana de Defesa, particularmente no que se refere a (1) autoridades de coordenação nacional responsáveis pela oferta, aceitação e solicitação de resposta internacional a desastres; (2) capacidades nacionais de resposta internacional a desastres — integração de todas as capacidades, civis e militares, públicas e privadas, bem como as ONGs; (3) acordos </w:t>
            </w:r>
            <w:r>
              <w:rPr>
                <w:color w:val="000000" w:themeColor="text1"/>
                <w:sz w:val="22"/>
              </w:rPr>
              <w:lastRenderedPageBreak/>
              <w:t>multilaterais e bilaterais de resposta internacional a desastres, incluindo acordos de ajuda mútua; e (4) toda legislação e regulamentos nacionais em caso de desastres que informem e regulamentem a resposta internacional a desastres.</w:t>
            </w:r>
          </w:p>
        </w:tc>
        <w:tc>
          <w:tcPr>
            <w:tcW w:w="3381" w:type="dxa"/>
            <w:gridSpan w:val="2"/>
            <w:shd w:val="clear" w:color="auto" w:fill="auto"/>
          </w:tcPr>
          <w:p w14:paraId="453E9625" w14:textId="77777777" w:rsidR="00C945C0" w:rsidRPr="00493A9B" w:rsidRDefault="00C945C0" w:rsidP="00493A9B">
            <w:pPr>
              <w:rPr>
                <w:rFonts w:eastAsia="Calibri"/>
                <w:color w:val="000000" w:themeColor="text1"/>
                <w:sz w:val="22"/>
                <w:szCs w:val="22"/>
              </w:rPr>
            </w:pPr>
            <w:r>
              <w:rPr>
                <w:color w:val="000000" w:themeColor="text1"/>
                <w:sz w:val="22"/>
              </w:rPr>
              <w:lastRenderedPageBreak/>
              <w:t xml:space="preserve">Banco de dados </w:t>
            </w:r>
            <w:r>
              <w:rPr>
                <w:i/>
                <w:iCs/>
                <w:color w:val="000000" w:themeColor="text1"/>
                <w:sz w:val="22"/>
              </w:rPr>
              <w:t>online</w:t>
            </w:r>
            <w:r>
              <w:rPr>
                <w:color w:val="000000" w:themeColor="text1"/>
                <w:sz w:val="22"/>
              </w:rPr>
              <w:t xml:space="preserve"> da RIMD atualizado e aprimorado para facilitar a coordenação entre os Estados membros da OEA e os Observadores Permanentes que prestam resposta a desastres e assistência humanitária, bem como entre e com agências do Sistema Interamericano, organizações intergovernamentais sub-regionais, organizações internacionais, </w:t>
            </w:r>
            <w:r>
              <w:rPr>
                <w:color w:val="000000" w:themeColor="text1"/>
                <w:sz w:val="22"/>
              </w:rPr>
              <w:lastRenderedPageBreak/>
              <w:t>instituições financeiras internacionais e bancos de desenvolvimento, e todos os demais atores humanitários e de resposta a desastres internacionais.</w:t>
            </w:r>
          </w:p>
          <w:p w14:paraId="0D12CFF4" w14:textId="77777777" w:rsidR="00C945C0" w:rsidRPr="00493A9B" w:rsidRDefault="00C945C0" w:rsidP="00493A9B">
            <w:pPr>
              <w:rPr>
                <w:rFonts w:eastAsia="Calibri"/>
                <w:color w:val="000000" w:themeColor="text1"/>
                <w:sz w:val="22"/>
                <w:szCs w:val="22"/>
              </w:rPr>
            </w:pPr>
          </w:p>
          <w:p w14:paraId="25C07432" w14:textId="77777777" w:rsidR="00C945C0" w:rsidRPr="00493A9B" w:rsidRDefault="00C945C0" w:rsidP="00493A9B">
            <w:pPr>
              <w:rPr>
                <w:rFonts w:eastAsia="Calibri"/>
                <w:color w:val="000000" w:themeColor="text1"/>
                <w:sz w:val="22"/>
                <w:szCs w:val="22"/>
              </w:rPr>
            </w:pPr>
            <w:r>
              <w:rPr>
                <w:color w:val="000000" w:themeColor="text1"/>
                <w:sz w:val="22"/>
              </w:rPr>
              <w:t>O resultado esperado é uma maior capacidade da Secretaria-Geral para facilitar a coordenação da resposta internacional a desastres e da assistência humanitária.</w:t>
            </w:r>
          </w:p>
        </w:tc>
        <w:tc>
          <w:tcPr>
            <w:tcW w:w="2715" w:type="dxa"/>
            <w:gridSpan w:val="2"/>
            <w:vMerge/>
            <w:vAlign w:val="center"/>
          </w:tcPr>
          <w:p w14:paraId="6336709D" w14:textId="77777777" w:rsidR="00C945C0" w:rsidRPr="00493A9B" w:rsidRDefault="00C945C0" w:rsidP="00493A9B">
            <w:pPr>
              <w:rPr>
                <w:color w:val="000000" w:themeColor="text1"/>
                <w:sz w:val="22"/>
                <w:szCs w:val="22"/>
              </w:rPr>
            </w:pPr>
          </w:p>
        </w:tc>
      </w:tr>
      <w:tr w:rsidR="00C945C0" w:rsidRPr="00493A9B" w14:paraId="4518DCDE" w14:textId="77777777" w:rsidTr="00A66C51">
        <w:trPr>
          <w:trHeight w:val="278"/>
          <w:jc w:val="center"/>
        </w:trPr>
        <w:tc>
          <w:tcPr>
            <w:tcW w:w="3225" w:type="dxa"/>
            <w:shd w:val="clear" w:color="auto" w:fill="auto"/>
            <w:vAlign w:val="center"/>
          </w:tcPr>
          <w:p w14:paraId="0518C748" w14:textId="77777777" w:rsidR="00C945C0" w:rsidRPr="0025685F" w:rsidRDefault="00C945C0" w:rsidP="00493A9B">
            <w:pPr>
              <w:rPr>
                <w:bCs/>
                <w:color w:val="000000" w:themeColor="text1"/>
                <w:sz w:val="22"/>
                <w:szCs w:val="22"/>
              </w:rPr>
            </w:pPr>
            <w:r w:rsidRPr="0025685F">
              <w:rPr>
                <w:color w:val="000000" w:themeColor="text1"/>
                <w:sz w:val="22"/>
              </w:rPr>
              <w:t>Comissão Interamericana de Redução de Desastres Naturais (CIRDN) e Fundo Interamericano de Assistência para Situações de Emergência (FONDEM)</w:t>
            </w:r>
          </w:p>
        </w:tc>
        <w:tc>
          <w:tcPr>
            <w:tcW w:w="4269" w:type="dxa"/>
            <w:shd w:val="clear" w:color="auto" w:fill="auto"/>
          </w:tcPr>
          <w:p w14:paraId="22A1D0CD" w14:textId="77777777" w:rsidR="00C945C0" w:rsidRPr="00493A9B" w:rsidRDefault="00C945C0" w:rsidP="00493A9B">
            <w:pPr>
              <w:rPr>
                <w:rFonts w:eastAsia="Calibri"/>
                <w:color w:val="000000" w:themeColor="text1"/>
                <w:sz w:val="22"/>
                <w:szCs w:val="22"/>
              </w:rPr>
            </w:pPr>
            <w:r>
              <w:rPr>
                <w:color w:val="000000" w:themeColor="text1"/>
                <w:sz w:val="22"/>
              </w:rPr>
              <w:t>Apoiar reuniões da CIRDN em preparação e resposta a desastres com foco na recuperação e reconstrução pós-desastres, e facilitar a colaboração de vários países e várias partes interessadas na resposta a desastres, reconstrução e recuperação.</w:t>
            </w:r>
          </w:p>
        </w:tc>
        <w:tc>
          <w:tcPr>
            <w:tcW w:w="3381" w:type="dxa"/>
            <w:gridSpan w:val="2"/>
            <w:shd w:val="clear" w:color="auto" w:fill="auto"/>
          </w:tcPr>
          <w:p w14:paraId="34D4126E" w14:textId="77777777" w:rsidR="00C945C0" w:rsidRPr="00493A9B" w:rsidRDefault="00C945C0" w:rsidP="00493A9B">
            <w:pPr>
              <w:rPr>
                <w:color w:val="000000" w:themeColor="text1"/>
                <w:sz w:val="22"/>
                <w:szCs w:val="22"/>
              </w:rPr>
            </w:pPr>
            <w:r>
              <w:rPr>
                <w:color w:val="000000" w:themeColor="text1"/>
                <w:sz w:val="22"/>
              </w:rPr>
              <w:t>Informaç</w:t>
            </w:r>
            <w:r w:rsidR="0025685F">
              <w:rPr>
                <w:color w:val="000000" w:themeColor="text1"/>
                <w:sz w:val="22"/>
              </w:rPr>
              <w:t>ões</w:t>
            </w:r>
            <w:r>
              <w:rPr>
                <w:color w:val="000000" w:themeColor="text1"/>
                <w:sz w:val="22"/>
              </w:rPr>
              <w:t xml:space="preserve"> melhores sobre as capacidades existentes de resposta internacional a desastres e oportunidades de colaboração, relatórios de missão com lições aprendidas e recomendações de melhoria, e maior prontidão para uma resposta internacional coordenada, recuperação e reconstrução.</w:t>
            </w:r>
          </w:p>
        </w:tc>
        <w:tc>
          <w:tcPr>
            <w:tcW w:w="2715" w:type="dxa"/>
            <w:gridSpan w:val="2"/>
            <w:vMerge/>
            <w:vAlign w:val="center"/>
          </w:tcPr>
          <w:p w14:paraId="46D3C427" w14:textId="77777777" w:rsidR="00C945C0" w:rsidRPr="00493A9B" w:rsidRDefault="00C945C0" w:rsidP="00493A9B">
            <w:pPr>
              <w:rPr>
                <w:color w:val="000000" w:themeColor="text1"/>
                <w:sz w:val="22"/>
                <w:szCs w:val="22"/>
              </w:rPr>
            </w:pPr>
          </w:p>
        </w:tc>
      </w:tr>
      <w:tr w:rsidR="00C945C0" w:rsidRPr="00493A9B" w14:paraId="65D8EDDF" w14:textId="77777777" w:rsidTr="00A66C51">
        <w:trPr>
          <w:trHeight w:val="278"/>
          <w:jc w:val="center"/>
        </w:trPr>
        <w:tc>
          <w:tcPr>
            <w:tcW w:w="3225" w:type="dxa"/>
            <w:vMerge w:val="restart"/>
            <w:shd w:val="clear" w:color="auto" w:fill="auto"/>
            <w:vAlign w:val="center"/>
          </w:tcPr>
          <w:p w14:paraId="65DDFC2D" w14:textId="77777777" w:rsidR="00C945C0" w:rsidRPr="00493A9B" w:rsidRDefault="00C945C0" w:rsidP="00493A9B">
            <w:pPr>
              <w:rPr>
                <w:bCs/>
                <w:color w:val="000000" w:themeColor="text1"/>
                <w:sz w:val="22"/>
                <w:szCs w:val="22"/>
              </w:rPr>
            </w:pPr>
            <w:r>
              <w:rPr>
                <w:color w:val="000000" w:themeColor="text1"/>
                <w:sz w:val="22"/>
              </w:rPr>
              <w:t>Programa Capacetes Brancos da OEA</w:t>
            </w:r>
          </w:p>
        </w:tc>
        <w:tc>
          <w:tcPr>
            <w:tcW w:w="4269" w:type="dxa"/>
            <w:vMerge w:val="restart"/>
            <w:shd w:val="clear" w:color="auto" w:fill="auto"/>
          </w:tcPr>
          <w:p w14:paraId="102027C9" w14:textId="77777777" w:rsidR="00C945C0" w:rsidRPr="00493A9B" w:rsidRDefault="00C945C0" w:rsidP="00493A9B">
            <w:pPr>
              <w:rPr>
                <w:color w:val="000000" w:themeColor="text1"/>
                <w:sz w:val="22"/>
                <w:szCs w:val="22"/>
              </w:rPr>
            </w:pPr>
            <w:r>
              <w:rPr>
                <w:color w:val="000000" w:themeColor="text1"/>
                <w:sz w:val="22"/>
              </w:rPr>
              <w:t>Prestar apoio às missões da Comissão dos Capacetes Brancos da Argentina em resposta a desastres, incluindo desastres naturais e biológicos, e particularmente na resposta e no apoio aos Estados membros na gestão e recuperação da pandemia de covid-19.</w:t>
            </w:r>
          </w:p>
          <w:p w14:paraId="3CA310E7" w14:textId="77777777" w:rsidR="00C945C0" w:rsidRPr="00493A9B" w:rsidRDefault="00C945C0" w:rsidP="00493A9B">
            <w:pPr>
              <w:rPr>
                <w:color w:val="000000" w:themeColor="text1"/>
                <w:sz w:val="22"/>
                <w:szCs w:val="22"/>
              </w:rPr>
            </w:pPr>
          </w:p>
          <w:p w14:paraId="56CC4150" w14:textId="77777777" w:rsidR="00C945C0" w:rsidRPr="00493A9B" w:rsidRDefault="00C945C0" w:rsidP="00493A9B">
            <w:pPr>
              <w:rPr>
                <w:color w:val="000000" w:themeColor="text1"/>
                <w:sz w:val="22"/>
                <w:szCs w:val="22"/>
              </w:rPr>
            </w:pPr>
            <w:r>
              <w:rPr>
                <w:color w:val="000000" w:themeColor="text1"/>
                <w:sz w:val="22"/>
              </w:rPr>
              <w:t>Apoiar a realização de treinamento em mitigação de desastres, gestão de desastres, assim como em resposta, reconstrução e recuperação.</w:t>
            </w:r>
          </w:p>
          <w:p w14:paraId="74F27A44" w14:textId="77777777" w:rsidR="00C945C0" w:rsidRDefault="00C945C0" w:rsidP="00493A9B">
            <w:pPr>
              <w:rPr>
                <w:color w:val="000000" w:themeColor="text1"/>
                <w:sz w:val="22"/>
                <w:szCs w:val="22"/>
              </w:rPr>
            </w:pPr>
          </w:p>
          <w:p w14:paraId="15498B9A" w14:textId="77777777" w:rsidR="00DA56F9" w:rsidRDefault="00DA56F9" w:rsidP="00493A9B">
            <w:pPr>
              <w:rPr>
                <w:color w:val="000000" w:themeColor="text1"/>
                <w:sz w:val="22"/>
                <w:szCs w:val="22"/>
              </w:rPr>
            </w:pPr>
          </w:p>
          <w:p w14:paraId="417D4107" w14:textId="77777777" w:rsidR="00DA56F9" w:rsidRDefault="00DA56F9" w:rsidP="00493A9B">
            <w:pPr>
              <w:rPr>
                <w:color w:val="000000" w:themeColor="text1"/>
                <w:sz w:val="22"/>
                <w:szCs w:val="22"/>
              </w:rPr>
            </w:pPr>
          </w:p>
          <w:p w14:paraId="7D347837" w14:textId="77777777" w:rsidR="00DA56F9" w:rsidRDefault="00DA56F9" w:rsidP="00493A9B">
            <w:pPr>
              <w:rPr>
                <w:color w:val="000000" w:themeColor="text1"/>
                <w:sz w:val="22"/>
                <w:szCs w:val="22"/>
              </w:rPr>
            </w:pPr>
          </w:p>
          <w:p w14:paraId="60F4CB8B" w14:textId="77777777" w:rsidR="00DA56F9" w:rsidRDefault="00DA56F9" w:rsidP="00493A9B">
            <w:pPr>
              <w:rPr>
                <w:color w:val="000000" w:themeColor="text1"/>
                <w:sz w:val="22"/>
                <w:szCs w:val="22"/>
              </w:rPr>
            </w:pPr>
          </w:p>
          <w:p w14:paraId="2A316D30" w14:textId="77777777" w:rsidR="00DA56F9" w:rsidRPr="00493A9B" w:rsidRDefault="00DA56F9" w:rsidP="00493A9B">
            <w:pPr>
              <w:rPr>
                <w:color w:val="000000" w:themeColor="text1"/>
                <w:sz w:val="22"/>
                <w:szCs w:val="22"/>
              </w:rPr>
            </w:pPr>
          </w:p>
        </w:tc>
        <w:tc>
          <w:tcPr>
            <w:tcW w:w="3381" w:type="dxa"/>
            <w:gridSpan w:val="2"/>
            <w:vMerge w:val="restart"/>
            <w:shd w:val="clear" w:color="auto" w:fill="auto"/>
            <w:vAlign w:val="center"/>
          </w:tcPr>
          <w:p w14:paraId="45368E2C" w14:textId="77777777" w:rsidR="00C945C0" w:rsidRPr="00493A9B" w:rsidRDefault="00C945C0" w:rsidP="00493A9B">
            <w:pPr>
              <w:rPr>
                <w:color w:val="000000" w:themeColor="text1"/>
                <w:sz w:val="22"/>
                <w:szCs w:val="22"/>
              </w:rPr>
            </w:pPr>
            <w:r>
              <w:rPr>
                <w:color w:val="000000" w:themeColor="text1"/>
                <w:sz w:val="22"/>
              </w:rPr>
              <w:t>Missões de resposta a desastres e funcionários governamentais treinados nas áreas de mitigação de desastres, gestão de desastres, assim como de resposta, recuperação e reconstrução.</w:t>
            </w:r>
          </w:p>
        </w:tc>
        <w:tc>
          <w:tcPr>
            <w:tcW w:w="2715" w:type="dxa"/>
            <w:gridSpan w:val="2"/>
            <w:vMerge/>
            <w:vAlign w:val="center"/>
            <w:hideMark/>
          </w:tcPr>
          <w:p w14:paraId="58F90F9D" w14:textId="77777777" w:rsidR="00C945C0" w:rsidRPr="00493A9B" w:rsidRDefault="00C945C0" w:rsidP="00493A9B">
            <w:pPr>
              <w:rPr>
                <w:color w:val="000000" w:themeColor="text1"/>
                <w:sz w:val="22"/>
                <w:szCs w:val="22"/>
              </w:rPr>
            </w:pPr>
          </w:p>
        </w:tc>
      </w:tr>
      <w:tr w:rsidR="00C945C0" w:rsidRPr="00493A9B" w14:paraId="678D4BEA" w14:textId="77777777" w:rsidTr="00A66C51">
        <w:trPr>
          <w:trHeight w:val="278"/>
          <w:jc w:val="center"/>
        </w:trPr>
        <w:tc>
          <w:tcPr>
            <w:tcW w:w="3225" w:type="dxa"/>
            <w:vMerge/>
            <w:shd w:val="clear" w:color="auto" w:fill="auto"/>
          </w:tcPr>
          <w:p w14:paraId="4E2A7D2C" w14:textId="77777777" w:rsidR="00C945C0" w:rsidRPr="00493A9B" w:rsidRDefault="00C945C0" w:rsidP="00493A9B">
            <w:pPr>
              <w:rPr>
                <w:b/>
                <w:bCs/>
                <w:color w:val="000000" w:themeColor="text1"/>
                <w:sz w:val="22"/>
                <w:szCs w:val="22"/>
              </w:rPr>
            </w:pPr>
          </w:p>
        </w:tc>
        <w:tc>
          <w:tcPr>
            <w:tcW w:w="4269" w:type="dxa"/>
            <w:vMerge/>
            <w:shd w:val="clear" w:color="auto" w:fill="auto"/>
          </w:tcPr>
          <w:p w14:paraId="4F10CFCF" w14:textId="77777777" w:rsidR="00C945C0" w:rsidRPr="00493A9B" w:rsidRDefault="00C945C0" w:rsidP="00493A9B">
            <w:pPr>
              <w:rPr>
                <w:rFonts w:eastAsia="Calibri"/>
                <w:color w:val="000000" w:themeColor="text1"/>
                <w:sz w:val="22"/>
                <w:szCs w:val="22"/>
              </w:rPr>
            </w:pPr>
          </w:p>
        </w:tc>
        <w:tc>
          <w:tcPr>
            <w:tcW w:w="3381" w:type="dxa"/>
            <w:gridSpan w:val="2"/>
            <w:vMerge/>
            <w:shd w:val="clear" w:color="auto" w:fill="auto"/>
          </w:tcPr>
          <w:p w14:paraId="53011556" w14:textId="77777777" w:rsidR="00C945C0" w:rsidRPr="00493A9B" w:rsidRDefault="00C945C0" w:rsidP="00493A9B">
            <w:pPr>
              <w:rPr>
                <w:rFonts w:eastAsia="Calibri"/>
                <w:color w:val="000000" w:themeColor="text1"/>
                <w:sz w:val="22"/>
                <w:szCs w:val="22"/>
              </w:rPr>
            </w:pPr>
          </w:p>
        </w:tc>
        <w:tc>
          <w:tcPr>
            <w:tcW w:w="2715" w:type="dxa"/>
            <w:gridSpan w:val="2"/>
            <w:vMerge/>
            <w:vAlign w:val="center"/>
          </w:tcPr>
          <w:p w14:paraId="6B9C559D" w14:textId="77777777" w:rsidR="00C945C0" w:rsidRPr="00493A9B" w:rsidRDefault="00C945C0" w:rsidP="00493A9B">
            <w:pPr>
              <w:rPr>
                <w:color w:val="000000" w:themeColor="text1"/>
                <w:sz w:val="22"/>
                <w:szCs w:val="22"/>
              </w:rPr>
            </w:pPr>
          </w:p>
        </w:tc>
      </w:tr>
      <w:tr w:rsidR="00C945C0" w:rsidRPr="00493A9B" w14:paraId="09EA4E37" w14:textId="77777777" w:rsidTr="00A66C51">
        <w:trPr>
          <w:trHeight w:val="278"/>
          <w:jc w:val="center"/>
        </w:trPr>
        <w:tc>
          <w:tcPr>
            <w:tcW w:w="3225" w:type="dxa"/>
            <w:vMerge/>
            <w:tcBorders>
              <w:bottom w:val="single" w:sz="4" w:space="0" w:color="000000"/>
            </w:tcBorders>
            <w:vAlign w:val="center"/>
          </w:tcPr>
          <w:p w14:paraId="32A62ECB" w14:textId="77777777" w:rsidR="00C945C0" w:rsidRPr="00493A9B" w:rsidRDefault="00C945C0" w:rsidP="00493A9B">
            <w:pPr>
              <w:rPr>
                <w:b/>
                <w:bCs/>
                <w:color w:val="000000" w:themeColor="text1"/>
                <w:sz w:val="22"/>
                <w:szCs w:val="22"/>
              </w:rPr>
            </w:pPr>
          </w:p>
        </w:tc>
        <w:tc>
          <w:tcPr>
            <w:tcW w:w="4269" w:type="dxa"/>
            <w:vMerge/>
            <w:tcBorders>
              <w:bottom w:val="single" w:sz="4" w:space="0" w:color="000000"/>
            </w:tcBorders>
            <w:vAlign w:val="center"/>
          </w:tcPr>
          <w:p w14:paraId="2C5DF2F8" w14:textId="77777777" w:rsidR="00C945C0" w:rsidRPr="00493A9B" w:rsidRDefault="00C945C0" w:rsidP="00493A9B">
            <w:pPr>
              <w:rPr>
                <w:color w:val="000000" w:themeColor="text1"/>
                <w:sz w:val="22"/>
                <w:szCs w:val="22"/>
              </w:rPr>
            </w:pPr>
          </w:p>
        </w:tc>
        <w:tc>
          <w:tcPr>
            <w:tcW w:w="3381" w:type="dxa"/>
            <w:gridSpan w:val="2"/>
            <w:vMerge/>
            <w:tcBorders>
              <w:bottom w:val="single" w:sz="4" w:space="0" w:color="000000"/>
            </w:tcBorders>
            <w:vAlign w:val="center"/>
          </w:tcPr>
          <w:p w14:paraId="2B3EEA0A" w14:textId="77777777" w:rsidR="00C945C0" w:rsidRPr="00493A9B" w:rsidRDefault="00C945C0" w:rsidP="00493A9B">
            <w:pPr>
              <w:rPr>
                <w:color w:val="000000" w:themeColor="text1"/>
                <w:sz w:val="22"/>
                <w:szCs w:val="22"/>
              </w:rPr>
            </w:pPr>
          </w:p>
        </w:tc>
        <w:tc>
          <w:tcPr>
            <w:tcW w:w="2715" w:type="dxa"/>
            <w:gridSpan w:val="2"/>
            <w:vMerge/>
            <w:tcBorders>
              <w:bottom w:val="single" w:sz="4" w:space="0" w:color="000000"/>
            </w:tcBorders>
            <w:vAlign w:val="center"/>
            <w:hideMark/>
          </w:tcPr>
          <w:p w14:paraId="27A54239" w14:textId="77777777" w:rsidR="00C945C0" w:rsidRPr="00493A9B" w:rsidRDefault="00C945C0" w:rsidP="00493A9B">
            <w:pPr>
              <w:rPr>
                <w:color w:val="000000" w:themeColor="text1"/>
                <w:sz w:val="22"/>
                <w:szCs w:val="22"/>
              </w:rPr>
            </w:pPr>
          </w:p>
        </w:tc>
      </w:tr>
      <w:tr w:rsidR="00B84D75" w:rsidRPr="00493A9B" w14:paraId="50062835"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jc w:val="center"/>
        </w:trPr>
        <w:tc>
          <w:tcPr>
            <w:tcW w:w="32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CC74EB9" w14:textId="77777777" w:rsidR="00B84D75" w:rsidRPr="00493A9B" w:rsidRDefault="00B84D75" w:rsidP="00493A9B">
            <w:pPr>
              <w:rPr>
                <w:b/>
                <w:bCs/>
                <w:color w:val="000000" w:themeColor="text1"/>
                <w:sz w:val="22"/>
                <w:szCs w:val="22"/>
              </w:rPr>
            </w:pPr>
            <w:r>
              <w:rPr>
                <w:b/>
                <w:color w:val="000000" w:themeColor="text1"/>
                <w:sz w:val="22"/>
              </w:rPr>
              <w:lastRenderedPageBreak/>
              <w:t>OBJETIVO ESTRATÉGICO</w:t>
            </w:r>
          </w:p>
        </w:tc>
        <w:tc>
          <w:tcPr>
            <w:tcW w:w="1036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523F8A3" w14:textId="77777777" w:rsidR="00B84D75" w:rsidRPr="00493A9B" w:rsidRDefault="00B84D75" w:rsidP="00493A9B">
            <w:pPr>
              <w:rPr>
                <w:b/>
                <w:bCs/>
                <w:color w:val="000000" w:themeColor="text1"/>
                <w:sz w:val="22"/>
                <w:szCs w:val="22"/>
              </w:rPr>
            </w:pPr>
            <w:r>
              <w:rPr>
                <w:b/>
                <w:color w:val="000000" w:themeColor="text1"/>
                <w:sz w:val="22"/>
              </w:rPr>
              <w:t>2.2. Promover a capacidade dos Estados membros na gestão sustentável dos ecossistemas, de acordo com os objetivos e bases de ação dispostos na Seção 3.2 do PIDS.</w:t>
            </w:r>
          </w:p>
        </w:tc>
      </w:tr>
      <w:tr w:rsidR="00B84D75" w:rsidRPr="00493A9B" w14:paraId="3F1DBCE7"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jc w:val="center"/>
        </w:trPr>
        <w:tc>
          <w:tcPr>
            <w:tcW w:w="1359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7414C6D" w14:textId="77777777" w:rsidR="00B84D75" w:rsidRPr="00493A9B" w:rsidRDefault="00B84D75" w:rsidP="00493A9B">
            <w:pPr>
              <w:rPr>
                <w:b/>
                <w:bCs/>
                <w:color w:val="000000" w:themeColor="text1"/>
                <w:sz w:val="22"/>
                <w:szCs w:val="22"/>
              </w:rPr>
            </w:pPr>
            <w:r>
              <w:rPr>
                <w:b/>
                <w:color w:val="000000" w:themeColor="text1"/>
                <w:sz w:val="22"/>
              </w:rPr>
              <w:t>Gestão sustentável dos ecossistemas:</w:t>
            </w:r>
          </w:p>
        </w:tc>
      </w:tr>
      <w:tr w:rsidR="00C945C0" w:rsidRPr="00493A9B" w14:paraId="05E939E2"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0"/>
          <w:jc w:val="center"/>
        </w:trPr>
        <w:tc>
          <w:tcPr>
            <w:tcW w:w="3225" w:type="dxa"/>
            <w:tcBorders>
              <w:top w:val="single" w:sz="4" w:space="0" w:color="000000"/>
              <w:left w:val="single" w:sz="4" w:space="0" w:color="000000"/>
              <w:bottom w:val="single" w:sz="4" w:space="0" w:color="auto"/>
              <w:right w:val="single" w:sz="4" w:space="0" w:color="000000"/>
            </w:tcBorders>
            <w:shd w:val="clear" w:color="auto" w:fill="auto"/>
            <w:hideMark/>
          </w:tcPr>
          <w:p w14:paraId="72E4B272" w14:textId="77777777" w:rsidR="00C945C0" w:rsidRPr="00493A9B" w:rsidRDefault="00C945C0" w:rsidP="00493A9B">
            <w:pPr>
              <w:rPr>
                <w:color w:val="000000" w:themeColor="text1"/>
                <w:sz w:val="22"/>
                <w:szCs w:val="22"/>
              </w:rPr>
            </w:pPr>
            <w:r>
              <w:rPr>
                <w:color w:val="000000" w:themeColor="text1"/>
                <w:sz w:val="22"/>
              </w:rPr>
              <w:t>Apoiar os Estados membros em seus esforços para alcançar o ODS 15 de “Proteger, recuperar e promover o uso sustentável dos ecossistemas terrestres, gerir de forma sustentável as florestas, combater a desertificação, deter e reverter a degradação da terra e deter a perda de biodiversidade”, com o objetivo global de construir a resiliência das comunidades.</w:t>
            </w:r>
          </w:p>
        </w:tc>
        <w:tc>
          <w:tcPr>
            <w:tcW w:w="4269" w:type="dxa"/>
            <w:tcBorders>
              <w:top w:val="single" w:sz="4" w:space="0" w:color="000000"/>
              <w:left w:val="single" w:sz="4" w:space="0" w:color="000000"/>
              <w:bottom w:val="single" w:sz="4" w:space="0" w:color="auto"/>
              <w:right w:val="single" w:sz="4" w:space="0" w:color="000000"/>
            </w:tcBorders>
            <w:shd w:val="clear" w:color="auto" w:fill="auto"/>
            <w:hideMark/>
          </w:tcPr>
          <w:p w14:paraId="4A9EB906" w14:textId="77777777" w:rsidR="00C945C0" w:rsidRPr="00493A9B" w:rsidRDefault="00C945C0" w:rsidP="00493A9B">
            <w:pPr>
              <w:rPr>
                <w:color w:val="000000" w:themeColor="text1"/>
                <w:sz w:val="22"/>
                <w:szCs w:val="22"/>
              </w:rPr>
            </w:pPr>
            <w:r>
              <w:rPr>
                <w:color w:val="000000" w:themeColor="text1"/>
                <w:sz w:val="22"/>
              </w:rPr>
              <w:t xml:space="preserve">Ecossistemas saudáveis são a base das economias resilientes e competitivas. Os ecossistemas resilientes têm uma correlação positiva com vários fatores de produção, como saúde e produtividade dos trabalhadores; cadeias de abastecimento baseadas nos recursos dos ecossistemas locais e a saúde dos recursos costeiros dos quais dependem setores como o turismo. Ecossistemas resistentes, como os recifes de coral e os manguezais, aumentam a resiliência a desastres das cidades e comunidades costeiras. </w:t>
            </w:r>
          </w:p>
        </w:tc>
        <w:tc>
          <w:tcPr>
            <w:tcW w:w="3381" w:type="dxa"/>
            <w:gridSpan w:val="2"/>
            <w:tcBorders>
              <w:top w:val="single" w:sz="4" w:space="0" w:color="000000"/>
              <w:left w:val="single" w:sz="4" w:space="0" w:color="000000"/>
              <w:bottom w:val="single" w:sz="4" w:space="0" w:color="auto"/>
              <w:right w:val="single" w:sz="4" w:space="0" w:color="000000"/>
            </w:tcBorders>
            <w:shd w:val="clear" w:color="auto" w:fill="auto"/>
            <w:hideMark/>
          </w:tcPr>
          <w:p w14:paraId="462CED87" w14:textId="77777777" w:rsidR="00C945C0" w:rsidRPr="00493A9B" w:rsidRDefault="00C945C0" w:rsidP="00493A9B">
            <w:pPr>
              <w:rPr>
                <w:color w:val="000000" w:themeColor="text1"/>
                <w:sz w:val="22"/>
                <w:szCs w:val="22"/>
              </w:rPr>
            </w:pPr>
            <w:r>
              <w:rPr>
                <w:color w:val="000000" w:themeColor="text1"/>
                <w:sz w:val="22"/>
              </w:rPr>
              <w:t>Nenhum financiamento identificado. Assim, todas as iniciativas do objetivo estratégico 2.3 – Água contribuem para esse objetivo estratégico.</w:t>
            </w:r>
          </w:p>
        </w:tc>
        <w:tc>
          <w:tcPr>
            <w:tcW w:w="2715" w:type="dxa"/>
            <w:gridSpan w:val="2"/>
            <w:tcBorders>
              <w:top w:val="single" w:sz="4" w:space="0" w:color="000000"/>
              <w:left w:val="single" w:sz="4" w:space="0" w:color="000000"/>
              <w:bottom w:val="single" w:sz="4" w:space="0" w:color="auto"/>
              <w:right w:val="single" w:sz="4" w:space="0" w:color="000000"/>
            </w:tcBorders>
            <w:shd w:val="clear" w:color="auto" w:fill="auto"/>
            <w:hideMark/>
          </w:tcPr>
          <w:p w14:paraId="44A11F6C" w14:textId="77777777" w:rsidR="00C945C0" w:rsidRPr="00493A9B" w:rsidRDefault="00C945C0" w:rsidP="00493A9B">
            <w:pPr>
              <w:rPr>
                <w:color w:val="000000" w:themeColor="text1"/>
                <w:sz w:val="22"/>
                <w:szCs w:val="22"/>
              </w:rPr>
            </w:pPr>
            <w:r>
              <w:rPr>
                <w:b/>
                <w:color w:val="000000" w:themeColor="text1"/>
                <w:sz w:val="22"/>
              </w:rPr>
              <w:t xml:space="preserve">Internas (OEA): </w:t>
            </w:r>
            <w:r>
              <w:rPr>
                <w:color w:val="000000" w:themeColor="text1"/>
                <w:sz w:val="22"/>
              </w:rPr>
              <w:t>Cidades Sustentáveis, Resiliência e Gestão de Riscos em colaboração com outras áreas do DDS, Departamento de Desenvolvimento Econômico, CICTE, CIP.</w:t>
            </w:r>
          </w:p>
          <w:p w14:paraId="743F41BB" w14:textId="77777777" w:rsidR="00C945C0" w:rsidRPr="00493A9B" w:rsidRDefault="00C945C0" w:rsidP="00493A9B">
            <w:pPr>
              <w:rPr>
                <w:color w:val="000000" w:themeColor="text1"/>
                <w:sz w:val="22"/>
                <w:szCs w:val="22"/>
              </w:rPr>
            </w:pPr>
          </w:p>
          <w:p w14:paraId="39C9986C" w14:textId="77777777" w:rsidR="00C945C0" w:rsidRPr="00493A9B" w:rsidRDefault="00C945C0" w:rsidP="00493A9B">
            <w:pPr>
              <w:rPr>
                <w:color w:val="000000" w:themeColor="text1"/>
                <w:sz w:val="22"/>
                <w:szCs w:val="22"/>
              </w:rPr>
            </w:pPr>
            <w:r>
              <w:rPr>
                <w:b/>
                <w:color w:val="000000" w:themeColor="text1"/>
                <w:sz w:val="22"/>
              </w:rPr>
              <w:t xml:space="preserve">Externas: </w:t>
            </w:r>
            <w:r>
              <w:rPr>
                <w:color w:val="000000" w:themeColor="text1"/>
                <w:sz w:val="22"/>
              </w:rPr>
              <w:t>CAF, FMAM.</w:t>
            </w:r>
          </w:p>
        </w:tc>
      </w:tr>
      <w:tr w:rsidR="00B84D75" w:rsidRPr="00493A9B" w14:paraId="448050C9"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32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5E53FD" w14:textId="77777777" w:rsidR="00B84D75" w:rsidRPr="00493A9B" w:rsidRDefault="00E321C2" w:rsidP="00493A9B">
            <w:pPr>
              <w:rPr>
                <w:rFonts w:eastAsia="Calibri"/>
                <w:b/>
                <w:bCs/>
                <w:color w:val="000000" w:themeColor="text1"/>
                <w:sz w:val="22"/>
                <w:szCs w:val="22"/>
              </w:rPr>
            </w:pPr>
            <w:r>
              <w:rPr>
                <w:b/>
                <w:color w:val="000000" w:themeColor="text1"/>
                <w:sz w:val="22"/>
              </w:rPr>
              <w:t xml:space="preserve">OBJETIVO </w:t>
            </w:r>
            <w:r w:rsidR="00B84D75">
              <w:rPr>
                <w:b/>
                <w:color w:val="000000" w:themeColor="text1"/>
                <w:sz w:val="22"/>
              </w:rPr>
              <w:t xml:space="preserve">ESTRATÉGICO </w:t>
            </w:r>
          </w:p>
          <w:p w14:paraId="40C8F64A" w14:textId="77777777" w:rsidR="00B84D75" w:rsidRPr="00493A9B" w:rsidRDefault="00B84D75" w:rsidP="00493A9B">
            <w:pPr>
              <w:rPr>
                <w:rFonts w:eastAsia="Calibri"/>
                <w:b/>
                <w:bCs/>
                <w:color w:val="000000" w:themeColor="text1"/>
                <w:sz w:val="22"/>
                <w:szCs w:val="22"/>
              </w:rPr>
            </w:pPr>
          </w:p>
        </w:tc>
        <w:tc>
          <w:tcPr>
            <w:tcW w:w="10365"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9D4581" w14:textId="77777777" w:rsidR="00B84D75" w:rsidRPr="00493A9B" w:rsidRDefault="00B84D75" w:rsidP="00493A9B">
            <w:pPr>
              <w:rPr>
                <w:b/>
                <w:bCs/>
                <w:color w:val="000000" w:themeColor="text1"/>
                <w:sz w:val="22"/>
                <w:szCs w:val="22"/>
              </w:rPr>
            </w:pPr>
            <w:r>
              <w:rPr>
                <w:b/>
                <w:color w:val="000000" w:themeColor="text1"/>
                <w:sz w:val="22"/>
              </w:rPr>
              <w:t>2.3. Promover a capacidade dos Estados membros na gestão integrada dos recursos hídricos, de acordo com os objetivos e bases de ação dispostos na Seção 3.3 do PIDS.</w:t>
            </w:r>
          </w:p>
        </w:tc>
      </w:tr>
      <w:tr w:rsidR="00B84D75" w:rsidRPr="00493A9B" w14:paraId="0F93A426"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13590" w:type="dxa"/>
            <w:gridSpan w:val="6"/>
            <w:tcBorders>
              <w:top w:val="nil"/>
              <w:left w:val="single" w:sz="4" w:space="0" w:color="auto"/>
              <w:bottom w:val="single" w:sz="4" w:space="0" w:color="auto"/>
              <w:right w:val="single" w:sz="4" w:space="0" w:color="auto"/>
            </w:tcBorders>
            <w:shd w:val="clear" w:color="auto" w:fill="D9D9D9" w:themeFill="background1" w:themeFillShade="D9"/>
          </w:tcPr>
          <w:p w14:paraId="09A810A8" w14:textId="77777777" w:rsidR="00B84D75" w:rsidRPr="00493A9B" w:rsidRDefault="00B84D75" w:rsidP="00493A9B">
            <w:pPr>
              <w:rPr>
                <w:b/>
                <w:bCs/>
                <w:color w:val="000000" w:themeColor="text1"/>
                <w:sz w:val="22"/>
                <w:szCs w:val="22"/>
              </w:rPr>
            </w:pPr>
            <w:r>
              <w:rPr>
                <w:b/>
                <w:color w:val="000000" w:themeColor="text1"/>
                <w:sz w:val="22"/>
              </w:rPr>
              <w:t>Água:</w:t>
            </w:r>
          </w:p>
        </w:tc>
      </w:tr>
      <w:tr w:rsidR="00C945C0" w:rsidRPr="00493A9B" w14:paraId="4A2F7115"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0"/>
          <w:jc w:val="center"/>
        </w:trPr>
        <w:tc>
          <w:tcPr>
            <w:tcW w:w="3225" w:type="dxa"/>
            <w:vMerge w:val="restart"/>
            <w:tcBorders>
              <w:top w:val="nil"/>
              <w:left w:val="single" w:sz="4" w:space="0" w:color="auto"/>
              <w:bottom w:val="single" w:sz="4" w:space="0" w:color="auto"/>
              <w:right w:val="single" w:sz="4" w:space="0" w:color="auto"/>
            </w:tcBorders>
            <w:shd w:val="clear" w:color="auto" w:fill="auto"/>
            <w:hideMark/>
          </w:tcPr>
          <w:p w14:paraId="2E0CF23D" w14:textId="77777777" w:rsidR="00314A32" w:rsidRDefault="00C945C0" w:rsidP="00493A9B">
            <w:pPr>
              <w:rPr>
                <w:color w:val="000000" w:themeColor="text1"/>
                <w:sz w:val="22"/>
              </w:rPr>
            </w:pPr>
            <w:r>
              <w:rPr>
                <w:color w:val="000000" w:themeColor="text1"/>
                <w:sz w:val="22"/>
              </w:rPr>
              <w:t xml:space="preserve">Portfólio de projetos sobre choques específicos relacionados à água que afetam os países pertencentes a esses ecossistemas (bacia do rio Lempa – Trifinio, bacia do rio da Prata, região do Grande Caribe, rio Bravo) </w:t>
            </w:r>
          </w:p>
          <w:p w14:paraId="41B5DCFC" w14:textId="77777777" w:rsidR="00314A32" w:rsidRDefault="00314A32" w:rsidP="00493A9B">
            <w:pPr>
              <w:rPr>
                <w:color w:val="000000" w:themeColor="text1"/>
                <w:sz w:val="22"/>
              </w:rPr>
            </w:pPr>
          </w:p>
          <w:p w14:paraId="78EB8CAE" w14:textId="77777777" w:rsidR="00314A32" w:rsidRDefault="00C945C0" w:rsidP="00493A9B">
            <w:pPr>
              <w:rPr>
                <w:color w:val="000000" w:themeColor="text1"/>
                <w:sz w:val="22"/>
              </w:rPr>
            </w:pPr>
            <w:r>
              <w:rPr>
                <w:color w:val="000000" w:themeColor="text1"/>
                <w:sz w:val="22"/>
              </w:rPr>
              <w:t>1. Mudanças no abastecimento de água ligadas à variabilidade e à mudança do clima.</w:t>
            </w:r>
            <w:r>
              <w:rPr>
                <w:color w:val="000000" w:themeColor="text1"/>
                <w:sz w:val="22"/>
              </w:rPr>
              <w:br/>
              <w:t xml:space="preserve">2. Qualidade da água relacionada com a poluição </w:t>
            </w:r>
          </w:p>
          <w:p w14:paraId="7F80E6F1" w14:textId="77777777" w:rsidR="00C945C0" w:rsidRPr="00493A9B" w:rsidRDefault="00C945C0" w:rsidP="00493A9B">
            <w:pPr>
              <w:rPr>
                <w:color w:val="000000" w:themeColor="text1"/>
                <w:sz w:val="22"/>
                <w:szCs w:val="22"/>
              </w:rPr>
            </w:pPr>
            <w:r>
              <w:rPr>
                <w:color w:val="000000" w:themeColor="text1"/>
                <w:sz w:val="22"/>
              </w:rPr>
              <w:t xml:space="preserve">3. Conflitos em torno de águas transfronteiriças. </w:t>
            </w:r>
            <w:r>
              <w:rPr>
                <w:color w:val="000000" w:themeColor="text1"/>
                <w:sz w:val="22"/>
              </w:rPr>
              <w:br/>
            </w:r>
            <w:r>
              <w:rPr>
                <w:color w:val="000000" w:themeColor="text1"/>
                <w:sz w:val="22"/>
              </w:rPr>
              <w:lastRenderedPageBreak/>
              <w:t>4. Limitações na informação e no conhecimento de base para a construção de resiliência no setor hídrico.</w:t>
            </w:r>
          </w:p>
        </w:tc>
        <w:tc>
          <w:tcPr>
            <w:tcW w:w="4269" w:type="dxa"/>
            <w:vMerge w:val="restart"/>
            <w:tcBorders>
              <w:top w:val="nil"/>
              <w:left w:val="single" w:sz="4" w:space="0" w:color="auto"/>
              <w:bottom w:val="single" w:sz="4" w:space="0" w:color="auto"/>
              <w:right w:val="single" w:sz="4" w:space="0" w:color="auto"/>
            </w:tcBorders>
            <w:shd w:val="clear" w:color="auto" w:fill="auto"/>
            <w:hideMark/>
          </w:tcPr>
          <w:p w14:paraId="0F28B5F2" w14:textId="77777777" w:rsidR="00C945C0" w:rsidRPr="00493A9B" w:rsidRDefault="00C945C0" w:rsidP="00493A9B">
            <w:pPr>
              <w:rPr>
                <w:color w:val="000000" w:themeColor="text1"/>
                <w:sz w:val="22"/>
                <w:szCs w:val="22"/>
              </w:rPr>
            </w:pPr>
            <w:r>
              <w:rPr>
                <w:color w:val="000000" w:themeColor="text1"/>
                <w:sz w:val="22"/>
              </w:rPr>
              <w:lastRenderedPageBreak/>
              <w:t xml:space="preserve">A construção da resiliência e a competitividade podem ser prejudicadas por mudanças no abastecimento de água ligadas às mudanças e à variabilidade do clima; redução na qualidade da água devido a fontes de poluição terrestres; e conflitos sociais, especialmente em torno de águas transfronteiriças.  </w:t>
            </w:r>
            <w:r>
              <w:rPr>
                <w:color w:val="000000" w:themeColor="text1"/>
                <w:sz w:val="22"/>
              </w:rPr>
              <w:br/>
            </w:r>
            <w:r>
              <w:rPr>
                <w:color w:val="000000" w:themeColor="text1"/>
                <w:sz w:val="22"/>
              </w:rPr>
              <w:br/>
              <w:t xml:space="preserve">A resiliência e </w:t>
            </w:r>
            <w:r w:rsidR="00314A32">
              <w:rPr>
                <w:color w:val="000000" w:themeColor="text1"/>
                <w:sz w:val="22"/>
              </w:rPr>
              <w:t xml:space="preserve">a </w:t>
            </w:r>
            <w:r>
              <w:rPr>
                <w:color w:val="000000" w:themeColor="text1"/>
                <w:sz w:val="22"/>
              </w:rPr>
              <w:t>competitividade podem ser melhoradas com o acesso à tecnologia apropriada; eficiência hídrica; gestão da demanda de água e o uso de sistemas de abastecimento de água resilientes.</w:t>
            </w:r>
          </w:p>
          <w:p w14:paraId="27D8CB46" w14:textId="77777777" w:rsidR="00C945C0" w:rsidRPr="00493A9B" w:rsidRDefault="00C945C0" w:rsidP="00493A9B">
            <w:pPr>
              <w:rPr>
                <w:color w:val="000000" w:themeColor="text1"/>
                <w:sz w:val="22"/>
                <w:szCs w:val="22"/>
              </w:rPr>
            </w:pPr>
          </w:p>
          <w:p w14:paraId="42FB0569" w14:textId="77777777" w:rsidR="00C945C0" w:rsidRPr="00493A9B" w:rsidRDefault="00C945C0" w:rsidP="00493A9B">
            <w:pPr>
              <w:rPr>
                <w:color w:val="000000" w:themeColor="text1"/>
                <w:sz w:val="22"/>
                <w:szCs w:val="22"/>
              </w:rPr>
            </w:pPr>
            <w:r>
              <w:rPr>
                <w:color w:val="000000" w:themeColor="text1"/>
                <w:sz w:val="22"/>
              </w:rPr>
              <w:lastRenderedPageBreak/>
              <w:t>As ações feitas no âmbito deste Objetivo Estratégico 2.3 contribuem também para os Objetivos Estratégicos 2.1, 2.2, e 2.4.</w:t>
            </w:r>
          </w:p>
        </w:tc>
        <w:tc>
          <w:tcPr>
            <w:tcW w:w="3381" w:type="dxa"/>
            <w:gridSpan w:val="2"/>
            <w:tcBorders>
              <w:top w:val="nil"/>
              <w:left w:val="nil"/>
              <w:bottom w:val="single" w:sz="4" w:space="0" w:color="auto"/>
              <w:right w:val="single" w:sz="4" w:space="0" w:color="auto"/>
            </w:tcBorders>
            <w:shd w:val="clear" w:color="auto" w:fill="auto"/>
            <w:hideMark/>
          </w:tcPr>
          <w:p w14:paraId="330B63D6" w14:textId="77777777" w:rsidR="00C945C0" w:rsidRPr="00493A9B" w:rsidRDefault="00C945C0" w:rsidP="00493A9B">
            <w:pPr>
              <w:rPr>
                <w:color w:val="000000" w:themeColor="text1"/>
                <w:sz w:val="22"/>
                <w:szCs w:val="22"/>
              </w:rPr>
            </w:pPr>
            <w:r>
              <w:rPr>
                <w:color w:val="000000" w:themeColor="text1"/>
                <w:sz w:val="22"/>
              </w:rPr>
              <w:lastRenderedPageBreak/>
              <w:t>Portfólio de investimentos em projetos para a bacia do Prata com vistas a promover o desenvolvimento integral da bacia, com enfoque em água, energia e desenvolvimento sustentável.</w:t>
            </w:r>
          </w:p>
        </w:tc>
        <w:tc>
          <w:tcPr>
            <w:tcW w:w="2715" w:type="dxa"/>
            <w:gridSpan w:val="2"/>
            <w:vMerge w:val="restart"/>
            <w:tcBorders>
              <w:top w:val="nil"/>
              <w:left w:val="single" w:sz="4" w:space="0" w:color="auto"/>
              <w:bottom w:val="single" w:sz="4" w:space="0" w:color="auto"/>
              <w:right w:val="single" w:sz="4" w:space="0" w:color="auto"/>
            </w:tcBorders>
            <w:shd w:val="clear" w:color="auto" w:fill="auto"/>
            <w:hideMark/>
          </w:tcPr>
          <w:p w14:paraId="5701E8A6" w14:textId="77777777" w:rsidR="00493A9B" w:rsidRDefault="00C945C0" w:rsidP="00493A9B">
            <w:pPr>
              <w:rPr>
                <w:color w:val="000000" w:themeColor="text1"/>
                <w:sz w:val="22"/>
                <w:szCs w:val="22"/>
              </w:rPr>
            </w:pPr>
            <w:r>
              <w:rPr>
                <w:b/>
                <w:color w:val="000000" w:themeColor="text1"/>
                <w:sz w:val="22"/>
              </w:rPr>
              <w:t xml:space="preserve">Internas (OEA): </w:t>
            </w:r>
            <w:r>
              <w:rPr>
                <w:color w:val="000000" w:themeColor="text1"/>
                <w:sz w:val="22"/>
              </w:rPr>
              <w:t xml:space="preserve">Assuntos Políticos, CICTE, CIDH, CIM. </w:t>
            </w:r>
          </w:p>
          <w:p w14:paraId="7F471552" w14:textId="77777777" w:rsidR="00493A9B" w:rsidRDefault="00493A9B" w:rsidP="00493A9B">
            <w:pPr>
              <w:rPr>
                <w:b/>
                <w:bCs/>
                <w:color w:val="000000" w:themeColor="text1"/>
                <w:sz w:val="22"/>
                <w:szCs w:val="22"/>
              </w:rPr>
            </w:pPr>
          </w:p>
          <w:p w14:paraId="6509F601" w14:textId="77777777" w:rsidR="00C945C0" w:rsidRPr="00493A9B" w:rsidRDefault="00C945C0" w:rsidP="00493A9B">
            <w:pPr>
              <w:rPr>
                <w:color w:val="000000" w:themeColor="text1"/>
                <w:sz w:val="22"/>
                <w:szCs w:val="22"/>
              </w:rPr>
            </w:pPr>
            <w:r>
              <w:rPr>
                <w:b/>
                <w:color w:val="000000" w:themeColor="text1"/>
                <w:sz w:val="22"/>
              </w:rPr>
              <w:t xml:space="preserve">Externas: </w:t>
            </w:r>
            <w:r>
              <w:rPr>
                <w:color w:val="000000" w:themeColor="text1"/>
                <w:sz w:val="22"/>
              </w:rPr>
              <w:t xml:space="preserve">Estratégia de águas transfronteiriças do BID, Centro das Nações Unidas para a Água e a Paz e Convenção das Nações Unidas sobre a Água, IAI, SICA, CARICOM, CIC, BID, Banco Mundial, 2030 WRG, GIZ, NDB, CWWA, Centro da Água de Genebra para a Cooperação, OPAS, </w:t>
            </w:r>
            <w:r>
              <w:rPr>
                <w:color w:val="000000" w:themeColor="text1"/>
                <w:sz w:val="22"/>
              </w:rPr>
              <w:lastRenderedPageBreak/>
              <w:t>COSUDE, CAF, Universidade Internacional da Flórida, Universidade de San Luis Potosi (México), CODIA, PNUMA, UNESCO-PHI, Organização Meteorológica Mundial (OMM).</w:t>
            </w:r>
          </w:p>
        </w:tc>
      </w:tr>
      <w:tr w:rsidR="00C945C0" w:rsidRPr="00493A9B" w14:paraId="54663791"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3"/>
          <w:jc w:val="center"/>
        </w:trPr>
        <w:tc>
          <w:tcPr>
            <w:tcW w:w="3225" w:type="dxa"/>
            <w:vMerge/>
            <w:tcBorders>
              <w:top w:val="nil"/>
              <w:left w:val="single" w:sz="4" w:space="0" w:color="auto"/>
              <w:bottom w:val="single" w:sz="4" w:space="0" w:color="auto"/>
              <w:right w:val="single" w:sz="4" w:space="0" w:color="auto"/>
            </w:tcBorders>
            <w:shd w:val="clear" w:color="auto" w:fill="auto"/>
            <w:vAlign w:val="center"/>
          </w:tcPr>
          <w:p w14:paraId="191221FA" w14:textId="77777777" w:rsidR="00C945C0" w:rsidRPr="00493A9B" w:rsidRDefault="00C945C0" w:rsidP="00493A9B">
            <w:pPr>
              <w:rPr>
                <w:color w:val="000000" w:themeColor="text1"/>
                <w:sz w:val="22"/>
                <w:szCs w:val="22"/>
              </w:rPr>
            </w:pPr>
          </w:p>
        </w:tc>
        <w:tc>
          <w:tcPr>
            <w:tcW w:w="4269" w:type="dxa"/>
            <w:vMerge/>
            <w:tcBorders>
              <w:top w:val="nil"/>
              <w:left w:val="single" w:sz="4" w:space="0" w:color="auto"/>
              <w:bottom w:val="single" w:sz="4" w:space="0" w:color="auto"/>
              <w:right w:val="single" w:sz="4" w:space="0" w:color="auto"/>
            </w:tcBorders>
            <w:shd w:val="clear" w:color="auto" w:fill="auto"/>
            <w:vAlign w:val="center"/>
          </w:tcPr>
          <w:p w14:paraId="67AE2426" w14:textId="77777777" w:rsidR="00C945C0" w:rsidRPr="00493A9B" w:rsidRDefault="00C945C0" w:rsidP="00493A9B">
            <w:pPr>
              <w:rPr>
                <w:color w:val="000000" w:themeColor="text1"/>
                <w:sz w:val="22"/>
                <w:szCs w:val="22"/>
              </w:rPr>
            </w:pPr>
          </w:p>
        </w:tc>
        <w:tc>
          <w:tcPr>
            <w:tcW w:w="3381" w:type="dxa"/>
            <w:gridSpan w:val="2"/>
            <w:tcBorders>
              <w:top w:val="nil"/>
              <w:left w:val="nil"/>
              <w:bottom w:val="single" w:sz="4" w:space="0" w:color="auto"/>
              <w:right w:val="single" w:sz="4" w:space="0" w:color="auto"/>
            </w:tcBorders>
            <w:shd w:val="clear" w:color="auto" w:fill="auto"/>
          </w:tcPr>
          <w:p w14:paraId="1EADA5B7" w14:textId="77777777" w:rsidR="00C945C0" w:rsidRPr="00493A9B" w:rsidRDefault="00C945C0" w:rsidP="00493A9B">
            <w:pPr>
              <w:rPr>
                <w:color w:val="000000" w:themeColor="text1"/>
                <w:sz w:val="22"/>
                <w:szCs w:val="22"/>
              </w:rPr>
            </w:pPr>
            <w:r>
              <w:rPr>
                <w:color w:val="000000" w:themeColor="text1"/>
                <w:sz w:val="22"/>
              </w:rPr>
              <w:t>Plano de trabalho OEA–BID 2021–2023 acordado, desenvolvido e financiado.</w:t>
            </w:r>
          </w:p>
        </w:tc>
        <w:tc>
          <w:tcPr>
            <w:tcW w:w="2715" w:type="dxa"/>
            <w:gridSpan w:val="2"/>
            <w:vMerge/>
            <w:tcBorders>
              <w:top w:val="nil"/>
              <w:left w:val="single" w:sz="4" w:space="0" w:color="auto"/>
              <w:bottom w:val="single" w:sz="4" w:space="0" w:color="auto"/>
              <w:right w:val="single" w:sz="4" w:space="0" w:color="auto"/>
            </w:tcBorders>
            <w:shd w:val="clear" w:color="auto" w:fill="auto"/>
            <w:vAlign w:val="center"/>
          </w:tcPr>
          <w:p w14:paraId="06BB2424" w14:textId="77777777" w:rsidR="00C945C0" w:rsidRPr="00493A9B" w:rsidRDefault="00C945C0" w:rsidP="00493A9B">
            <w:pPr>
              <w:rPr>
                <w:color w:val="000000" w:themeColor="text1"/>
                <w:sz w:val="22"/>
                <w:szCs w:val="22"/>
              </w:rPr>
            </w:pPr>
          </w:p>
        </w:tc>
      </w:tr>
      <w:tr w:rsidR="00C945C0" w:rsidRPr="00493A9B" w14:paraId="71E7E7B6"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3"/>
          <w:jc w:val="center"/>
        </w:trPr>
        <w:tc>
          <w:tcPr>
            <w:tcW w:w="3225" w:type="dxa"/>
            <w:vMerge/>
            <w:tcBorders>
              <w:top w:val="nil"/>
              <w:left w:val="single" w:sz="4" w:space="0" w:color="auto"/>
              <w:bottom w:val="single" w:sz="4" w:space="0" w:color="auto"/>
              <w:right w:val="single" w:sz="4" w:space="0" w:color="auto"/>
            </w:tcBorders>
            <w:shd w:val="clear" w:color="auto" w:fill="auto"/>
            <w:vAlign w:val="center"/>
          </w:tcPr>
          <w:p w14:paraId="706EA23F" w14:textId="77777777" w:rsidR="00C945C0" w:rsidRPr="00493A9B" w:rsidRDefault="00C945C0" w:rsidP="00493A9B">
            <w:pPr>
              <w:rPr>
                <w:color w:val="000000" w:themeColor="text1"/>
                <w:sz w:val="22"/>
                <w:szCs w:val="22"/>
              </w:rPr>
            </w:pPr>
          </w:p>
        </w:tc>
        <w:tc>
          <w:tcPr>
            <w:tcW w:w="4269" w:type="dxa"/>
            <w:vMerge/>
            <w:tcBorders>
              <w:top w:val="nil"/>
              <w:left w:val="single" w:sz="4" w:space="0" w:color="auto"/>
              <w:bottom w:val="single" w:sz="4" w:space="0" w:color="auto"/>
              <w:right w:val="single" w:sz="4" w:space="0" w:color="auto"/>
            </w:tcBorders>
            <w:shd w:val="clear" w:color="auto" w:fill="auto"/>
            <w:vAlign w:val="center"/>
          </w:tcPr>
          <w:p w14:paraId="5F532C4B" w14:textId="77777777" w:rsidR="00C945C0" w:rsidRPr="00493A9B" w:rsidRDefault="00C945C0" w:rsidP="00493A9B">
            <w:pPr>
              <w:rPr>
                <w:color w:val="000000" w:themeColor="text1"/>
                <w:sz w:val="22"/>
                <w:szCs w:val="22"/>
              </w:rPr>
            </w:pPr>
          </w:p>
        </w:tc>
        <w:tc>
          <w:tcPr>
            <w:tcW w:w="3381" w:type="dxa"/>
            <w:gridSpan w:val="2"/>
            <w:tcBorders>
              <w:top w:val="nil"/>
              <w:left w:val="nil"/>
              <w:bottom w:val="single" w:sz="4" w:space="0" w:color="auto"/>
              <w:right w:val="single" w:sz="4" w:space="0" w:color="auto"/>
            </w:tcBorders>
            <w:shd w:val="clear" w:color="auto" w:fill="auto"/>
          </w:tcPr>
          <w:p w14:paraId="14D7182F" w14:textId="77777777" w:rsidR="00C945C0" w:rsidRPr="00493A9B" w:rsidRDefault="00C945C0" w:rsidP="00493A9B">
            <w:pPr>
              <w:rPr>
                <w:color w:val="000000" w:themeColor="text1"/>
                <w:sz w:val="22"/>
                <w:szCs w:val="22"/>
              </w:rPr>
            </w:pPr>
            <w:r>
              <w:rPr>
                <w:color w:val="000000" w:themeColor="text1"/>
                <w:sz w:val="22"/>
              </w:rPr>
              <w:t xml:space="preserve">Cinco memorandos de </w:t>
            </w:r>
            <w:r w:rsidR="00674438">
              <w:rPr>
                <w:color w:val="000000" w:themeColor="text1"/>
                <w:sz w:val="22"/>
              </w:rPr>
              <w:t>entendimento</w:t>
            </w:r>
            <w:r>
              <w:rPr>
                <w:color w:val="000000" w:themeColor="text1"/>
                <w:sz w:val="22"/>
              </w:rPr>
              <w:t xml:space="preserve"> a serem assinados com parceiros estratégicos a fim de fortalecer a capacidade do programa hídrico.</w:t>
            </w:r>
          </w:p>
        </w:tc>
        <w:tc>
          <w:tcPr>
            <w:tcW w:w="2715" w:type="dxa"/>
            <w:gridSpan w:val="2"/>
            <w:vMerge/>
            <w:tcBorders>
              <w:top w:val="nil"/>
              <w:left w:val="single" w:sz="4" w:space="0" w:color="auto"/>
              <w:bottom w:val="single" w:sz="4" w:space="0" w:color="auto"/>
              <w:right w:val="single" w:sz="4" w:space="0" w:color="auto"/>
            </w:tcBorders>
            <w:shd w:val="clear" w:color="auto" w:fill="auto"/>
            <w:vAlign w:val="center"/>
          </w:tcPr>
          <w:p w14:paraId="1AC77BDF" w14:textId="77777777" w:rsidR="00C945C0" w:rsidRPr="00493A9B" w:rsidRDefault="00C945C0" w:rsidP="00493A9B">
            <w:pPr>
              <w:rPr>
                <w:color w:val="000000" w:themeColor="text1"/>
                <w:sz w:val="22"/>
                <w:szCs w:val="22"/>
              </w:rPr>
            </w:pPr>
          </w:p>
        </w:tc>
      </w:tr>
      <w:tr w:rsidR="00C945C0" w:rsidRPr="00493A9B" w14:paraId="2348334C"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3"/>
          <w:jc w:val="center"/>
        </w:trPr>
        <w:tc>
          <w:tcPr>
            <w:tcW w:w="3225" w:type="dxa"/>
            <w:vMerge/>
            <w:tcBorders>
              <w:top w:val="nil"/>
              <w:left w:val="single" w:sz="4" w:space="0" w:color="auto"/>
              <w:bottom w:val="single" w:sz="4" w:space="0" w:color="auto"/>
              <w:right w:val="single" w:sz="4" w:space="0" w:color="auto"/>
            </w:tcBorders>
            <w:shd w:val="clear" w:color="auto" w:fill="auto"/>
            <w:vAlign w:val="center"/>
          </w:tcPr>
          <w:p w14:paraId="68B118D1" w14:textId="77777777" w:rsidR="00C945C0" w:rsidRPr="00493A9B" w:rsidRDefault="00C945C0" w:rsidP="00493A9B">
            <w:pPr>
              <w:rPr>
                <w:color w:val="000000" w:themeColor="text1"/>
                <w:sz w:val="22"/>
                <w:szCs w:val="22"/>
              </w:rPr>
            </w:pPr>
          </w:p>
        </w:tc>
        <w:tc>
          <w:tcPr>
            <w:tcW w:w="4269" w:type="dxa"/>
            <w:vMerge/>
            <w:tcBorders>
              <w:top w:val="nil"/>
              <w:left w:val="single" w:sz="4" w:space="0" w:color="auto"/>
              <w:bottom w:val="single" w:sz="4" w:space="0" w:color="auto"/>
              <w:right w:val="single" w:sz="4" w:space="0" w:color="auto"/>
            </w:tcBorders>
            <w:shd w:val="clear" w:color="auto" w:fill="auto"/>
            <w:vAlign w:val="center"/>
          </w:tcPr>
          <w:p w14:paraId="6D11F2BF" w14:textId="77777777" w:rsidR="00C945C0" w:rsidRPr="00493A9B" w:rsidRDefault="00C945C0" w:rsidP="00493A9B">
            <w:pPr>
              <w:rPr>
                <w:color w:val="000000" w:themeColor="text1"/>
                <w:sz w:val="22"/>
                <w:szCs w:val="22"/>
              </w:rPr>
            </w:pPr>
          </w:p>
        </w:tc>
        <w:tc>
          <w:tcPr>
            <w:tcW w:w="3381" w:type="dxa"/>
            <w:gridSpan w:val="2"/>
            <w:tcBorders>
              <w:top w:val="nil"/>
              <w:left w:val="nil"/>
              <w:bottom w:val="single" w:sz="4" w:space="0" w:color="auto"/>
              <w:right w:val="single" w:sz="4" w:space="0" w:color="auto"/>
            </w:tcBorders>
            <w:shd w:val="clear" w:color="auto" w:fill="auto"/>
          </w:tcPr>
          <w:p w14:paraId="649A8E02" w14:textId="77777777" w:rsidR="00C945C0" w:rsidRPr="00493A9B" w:rsidRDefault="00C945C0" w:rsidP="00493A9B">
            <w:pPr>
              <w:rPr>
                <w:color w:val="000000" w:themeColor="text1"/>
                <w:sz w:val="22"/>
                <w:szCs w:val="22"/>
              </w:rPr>
            </w:pPr>
            <w:r>
              <w:rPr>
                <w:color w:val="000000" w:themeColor="text1"/>
                <w:sz w:val="22"/>
              </w:rPr>
              <w:t>Ao menos três produtos de gestão do conhecimento desenvolvidos e publicados nos seguintes temas:</w:t>
            </w:r>
          </w:p>
          <w:p w14:paraId="1846D00D" w14:textId="77777777" w:rsidR="00C945C0" w:rsidRPr="00493A9B" w:rsidRDefault="00314A32" w:rsidP="00493A9B">
            <w:pPr>
              <w:rPr>
                <w:color w:val="000000" w:themeColor="text1"/>
                <w:sz w:val="22"/>
                <w:szCs w:val="22"/>
              </w:rPr>
            </w:pPr>
            <w:r>
              <w:rPr>
                <w:color w:val="000000" w:themeColor="text1"/>
                <w:sz w:val="22"/>
              </w:rPr>
              <w:t>c</w:t>
            </w:r>
            <w:r w:rsidR="00C945C0">
              <w:rPr>
                <w:color w:val="000000" w:themeColor="text1"/>
                <w:sz w:val="22"/>
              </w:rPr>
              <w:t>ooperação hídrica transfronteiriça, água e gênero, água para os Objetivos de Desenvolvimento Sustentável (ODS).</w:t>
            </w:r>
          </w:p>
        </w:tc>
        <w:tc>
          <w:tcPr>
            <w:tcW w:w="2715" w:type="dxa"/>
            <w:gridSpan w:val="2"/>
            <w:vMerge/>
            <w:tcBorders>
              <w:top w:val="nil"/>
              <w:left w:val="single" w:sz="4" w:space="0" w:color="auto"/>
              <w:bottom w:val="single" w:sz="4" w:space="0" w:color="auto"/>
              <w:right w:val="single" w:sz="4" w:space="0" w:color="auto"/>
            </w:tcBorders>
            <w:shd w:val="clear" w:color="auto" w:fill="auto"/>
            <w:vAlign w:val="center"/>
          </w:tcPr>
          <w:p w14:paraId="6FA836B8" w14:textId="77777777" w:rsidR="00C945C0" w:rsidRPr="00493A9B" w:rsidRDefault="00C945C0" w:rsidP="00493A9B">
            <w:pPr>
              <w:rPr>
                <w:color w:val="000000" w:themeColor="text1"/>
                <w:sz w:val="22"/>
                <w:szCs w:val="22"/>
              </w:rPr>
            </w:pPr>
          </w:p>
        </w:tc>
      </w:tr>
      <w:tr w:rsidR="00C945C0" w:rsidRPr="00493A9B" w14:paraId="6FFADBAC"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3"/>
          <w:jc w:val="center"/>
        </w:trPr>
        <w:tc>
          <w:tcPr>
            <w:tcW w:w="3225" w:type="dxa"/>
            <w:vMerge/>
            <w:tcBorders>
              <w:top w:val="nil"/>
              <w:left w:val="single" w:sz="4" w:space="0" w:color="auto"/>
              <w:bottom w:val="single" w:sz="4" w:space="0" w:color="auto"/>
              <w:right w:val="single" w:sz="4" w:space="0" w:color="auto"/>
            </w:tcBorders>
            <w:shd w:val="clear" w:color="auto" w:fill="auto"/>
            <w:vAlign w:val="center"/>
            <w:hideMark/>
          </w:tcPr>
          <w:p w14:paraId="23E4A73A" w14:textId="77777777" w:rsidR="00C945C0" w:rsidRPr="00493A9B" w:rsidRDefault="00C945C0" w:rsidP="00493A9B">
            <w:pPr>
              <w:rPr>
                <w:color w:val="000000" w:themeColor="text1"/>
                <w:sz w:val="22"/>
                <w:szCs w:val="22"/>
              </w:rPr>
            </w:pPr>
          </w:p>
        </w:tc>
        <w:tc>
          <w:tcPr>
            <w:tcW w:w="4269" w:type="dxa"/>
            <w:vMerge/>
            <w:tcBorders>
              <w:top w:val="nil"/>
              <w:left w:val="single" w:sz="4" w:space="0" w:color="auto"/>
              <w:bottom w:val="single" w:sz="4" w:space="0" w:color="auto"/>
              <w:right w:val="single" w:sz="4" w:space="0" w:color="auto"/>
            </w:tcBorders>
            <w:shd w:val="clear" w:color="auto" w:fill="auto"/>
            <w:vAlign w:val="center"/>
            <w:hideMark/>
          </w:tcPr>
          <w:p w14:paraId="15F033E4" w14:textId="77777777" w:rsidR="00C945C0" w:rsidRPr="00493A9B" w:rsidRDefault="00C945C0" w:rsidP="00493A9B">
            <w:pPr>
              <w:rPr>
                <w:color w:val="000000" w:themeColor="text1"/>
                <w:sz w:val="22"/>
                <w:szCs w:val="22"/>
              </w:rPr>
            </w:pPr>
          </w:p>
        </w:tc>
        <w:tc>
          <w:tcPr>
            <w:tcW w:w="3381" w:type="dxa"/>
            <w:gridSpan w:val="2"/>
            <w:tcBorders>
              <w:top w:val="nil"/>
              <w:left w:val="nil"/>
              <w:bottom w:val="single" w:sz="4" w:space="0" w:color="auto"/>
              <w:right w:val="single" w:sz="4" w:space="0" w:color="auto"/>
            </w:tcBorders>
            <w:shd w:val="clear" w:color="auto" w:fill="auto"/>
            <w:hideMark/>
          </w:tcPr>
          <w:p w14:paraId="3B0360CF" w14:textId="77777777" w:rsidR="00C945C0" w:rsidRPr="00493A9B" w:rsidRDefault="00C945C0" w:rsidP="00493A9B">
            <w:pPr>
              <w:rPr>
                <w:color w:val="000000" w:themeColor="text1"/>
                <w:sz w:val="22"/>
                <w:szCs w:val="22"/>
              </w:rPr>
            </w:pPr>
            <w:r>
              <w:rPr>
                <w:color w:val="000000" w:themeColor="text1"/>
                <w:sz w:val="22"/>
              </w:rPr>
              <w:t>Promover o desenvolvimento de instrumentos de financiamento da água no Grande Caribe. Pelo menos uma estratégia desenvolvida.</w:t>
            </w:r>
          </w:p>
        </w:tc>
        <w:tc>
          <w:tcPr>
            <w:tcW w:w="2715" w:type="dxa"/>
            <w:gridSpan w:val="2"/>
            <w:vMerge/>
            <w:tcBorders>
              <w:top w:val="nil"/>
              <w:left w:val="single" w:sz="4" w:space="0" w:color="auto"/>
              <w:bottom w:val="single" w:sz="4" w:space="0" w:color="auto"/>
              <w:right w:val="single" w:sz="4" w:space="0" w:color="auto"/>
            </w:tcBorders>
            <w:shd w:val="clear" w:color="auto" w:fill="auto"/>
            <w:vAlign w:val="center"/>
            <w:hideMark/>
          </w:tcPr>
          <w:p w14:paraId="0BA5BAC5" w14:textId="77777777" w:rsidR="00C945C0" w:rsidRPr="00493A9B" w:rsidRDefault="00C945C0" w:rsidP="00493A9B">
            <w:pPr>
              <w:rPr>
                <w:color w:val="000000" w:themeColor="text1"/>
                <w:sz w:val="22"/>
                <w:szCs w:val="22"/>
              </w:rPr>
            </w:pPr>
          </w:p>
        </w:tc>
      </w:tr>
      <w:tr w:rsidR="00C945C0" w:rsidRPr="00493A9B" w14:paraId="4ACE076B"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3"/>
          <w:jc w:val="center"/>
        </w:trPr>
        <w:tc>
          <w:tcPr>
            <w:tcW w:w="3225" w:type="dxa"/>
            <w:vMerge/>
            <w:tcBorders>
              <w:top w:val="nil"/>
              <w:left w:val="single" w:sz="4" w:space="0" w:color="auto"/>
              <w:bottom w:val="single" w:sz="4" w:space="0" w:color="auto"/>
              <w:right w:val="single" w:sz="4" w:space="0" w:color="auto"/>
            </w:tcBorders>
            <w:shd w:val="clear" w:color="auto" w:fill="auto"/>
            <w:vAlign w:val="center"/>
          </w:tcPr>
          <w:p w14:paraId="05CA59F6" w14:textId="77777777" w:rsidR="00C945C0" w:rsidRPr="00493A9B" w:rsidRDefault="00C945C0" w:rsidP="00493A9B">
            <w:pPr>
              <w:rPr>
                <w:color w:val="000000" w:themeColor="text1"/>
                <w:sz w:val="22"/>
                <w:szCs w:val="22"/>
              </w:rPr>
            </w:pPr>
          </w:p>
        </w:tc>
        <w:tc>
          <w:tcPr>
            <w:tcW w:w="4269" w:type="dxa"/>
            <w:vMerge/>
            <w:tcBorders>
              <w:top w:val="nil"/>
              <w:left w:val="single" w:sz="4" w:space="0" w:color="auto"/>
              <w:bottom w:val="single" w:sz="4" w:space="0" w:color="auto"/>
              <w:right w:val="single" w:sz="4" w:space="0" w:color="auto"/>
            </w:tcBorders>
            <w:shd w:val="clear" w:color="auto" w:fill="auto"/>
            <w:vAlign w:val="center"/>
          </w:tcPr>
          <w:p w14:paraId="3EE9EB3D" w14:textId="77777777" w:rsidR="00C945C0" w:rsidRPr="00493A9B" w:rsidRDefault="00C945C0" w:rsidP="00493A9B">
            <w:pPr>
              <w:rPr>
                <w:color w:val="000000" w:themeColor="text1"/>
                <w:sz w:val="22"/>
                <w:szCs w:val="22"/>
              </w:rPr>
            </w:pPr>
          </w:p>
        </w:tc>
        <w:tc>
          <w:tcPr>
            <w:tcW w:w="3381" w:type="dxa"/>
            <w:gridSpan w:val="2"/>
            <w:tcBorders>
              <w:top w:val="nil"/>
              <w:left w:val="nil"/>
              <w:bottom w:val="single" w:sz="4" w:space="0" w:color="auto"/>
              <w:right w:val="single" w:sz="4" w:space="0" w:color="auto"/>
            </w:tcBorders>
            <w:shd w:val="clear" w:color="auto" w:fill="auto"/>
          </w:tcPr>
          <w:p w14:paraId="2EF257D5" w14:textId="77777777" w:rsidR="00C945C0" w:rsidRPr="00493A9B" w:rsidRDefault="00C945C0" w:rsidP="00493A9B">
            <w:pPr>
              <w:rPr>
                <w:color w:val="000000" w:themeColor="text1"/>
                <w:sz w:val="22"/>
                <w:szCs w:val="22"/>
              </w:rPr>
            </w:pPr>
            <w:r>
              <w:rPr>
                <w:color w:val="000000" w:themeColor="text1"/>
                <w:sz w:val="22"/>
              </w:rPr>
              <w:t>Quadro programático para a implementação das ações do PIDS no âmbito do objetivo 3.3 – Água.</w:t>
            </w:r>
          </w:p>
        </w:tc>
        <w:tc>
          <w:tcPr>
            <w:tcW w:w="2715" w:type="dxa"/>
            <w:gridSpan w:val="2"/>
            <w:vMerge/>
            <w:tcBorders>
              <w:top w:val="nil"/>
              <w:left w:val="single" w:sz="4" w:space="0" w:color="auto"/>
              <w:bottom w:val="single" w:sz="4" w:space="0" w:color="auto"/>
              <w:right w:val="single" w:sz="4" w:space="0" w:color="auto"/>
            </w:tcBorders>
            <w:shd w:val="clear" w:color="auto" w:fill="auto"/>
            <w:vAlign w:val="center"/>
          </w:tcPr>
          <w:p w14:paraId="22204399" w14:textId="77777777" w:rsidR="00C945C0" w:rsidRPr="00493A9B" w:rsidRDefault="00C945C0" w:rsidP="00493A9B">
            <w:pPr>
              <w:rPr>
                <w:color w:val="000000" w:themeColor="text1"/>
                <w:sz w:val="22"/>
                <w:szCs w:val="22"/>
              </w:rPr>
            </w:pPr>
          </w:p>
        </w:tc>
      </w:tr>
      <w:tr w:rsidR="00C945C0" w:rsidRPr="00493A9B" w14:paraId="434B32B7"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jc w:val="center"/>
        </w:trPr>
        <w:tc>
          <w:tcPr>
            <w:tcW w:w="3225" w:type="dxa"/>
            <w:vMerge/>
            <w:tcBorders>
              <w:top w:val="nil"/>
              <w:left w:val="single" w:sz="4" w:space="0" w:color="auto"/>
              <w:bottom w:val="single" w:sz="4" w:space="0" w:color="auto"/>
              <w:right w:val="single" w:sz="4" w:space="0" w:color="auto"/>
            </w:tcBorders>
            <w:shd w:val="clear" w:color="auto" w:fill="auto"/>
            <w:vAlign w:val="center"/>
            <w:hideMark/>
          </w:tcPr>
          <w:p w14:paraId="5CFF6E9C" w14:textId="77777777" w:rsidR="00C945C0" w:rsidRPr="00493A9B" w:rsidRDefault="00C945C0" w:rsidP="00493A9B">
            <w:pPr>
              <w:rPr>
                <w:color w:val="000000" w:themeColor="text1"/>
                <w:sz w:val="22"/>
                <w:szCs w:val="22"/>
              </w:rPr>
            </w:pPr>
          </w:p>
        </w:tc>
        <w:tc>
          <w:tcPr>
            <w:tcW w:w="4269" w:type="dxa"/>
            <w:vMerge/>
            <w:tcBorders>
              <w:top w:val="nil"/>
              <w:left w:val="single" w:sz="4" w:space="0" w:color="auto"/>
              <w:bottom w:val="single" w:sz="4" w:space="0" w:color="auto"/>
              <w:right w:val="single" w:sz="4" w:space="0" w:color="auto"/>
            </w:tcBorders>
            <w:shd w:val="clear" w:color="auto" w:fill="auto"/>
            <w:vAlign w:val="center"/>
            <w:hideMark/>
          </w:tcPr>
          <w:p w14:paraId="4E432F3D" w14:textId="77777777" w:rsidR="00C945C0" w:rsidRPr="00493A9B" w:rsidRDefault="00C945C0" w:rsidP="00493A9B">
            <w:pPr>
              <w:rPr>
                <w:color w:val="000000" w:themeColor="text1"/>
                <w:sz w:val="22"/>
                <w:szCs w:val="22"/>
              </w:rPr>
            </w:pPr>
          </w:p>
        </w:tc>
        <w:tc>
          <w:tcPr>
            <w:tcW w:w="3381" w:type="dxa"/>
            <w:gridSpan w:val="2"/>
            <w:tcBorders>
              <w:top w:val="nil"/>
              <w:left w:val="nil"/>
              <w:bottom w:val="single" w:sz="4" w:space="0" w:color="auto"/>
              <w:right w:val="single" w:sz="4" w:space="0" w:color="auto"/>
            </w:tcBorders>
            <w:shd w:val="clear" w:color="auto" w:fill="auto"/>
            <w:hideMark/>
          </w:tcPr>
          <w:p w14:paraId="02780577" w14:textId="77777777" w:rsidR="00C945C0" w:rsidRPr="00493A9B" w:rsidRDefault="00C945C0" w:rsidP="00493A9B">
            <w:pPr>
              <w:rPr>
                <w:color w:val="000000" w:themeColor="text1"/>
                <w:sz w:val="22"/>
                <w:szCs w:val="22"/>
              </w:rPr>
            </w:pPr>
            <w:r>
              <w:rPr>
                <w:color w:val="000000" w:themeColor="text1"/>
                <w:sz w:val="22"/>
              </w:rPr>
              <w:t>Balanços hídricos, estudos e cenários futuros da água produzidos na bacia do Bravo e no Trifinio.</w:t>
            </w:r>
          </w:p>
        </w:tc>
        <w:tc>
          <w:tcPr>
            <w:tcW w:w="2715" w:type="dxa"/>
            <w:gridSpan w:val="2"/>
            <w:vMerge/>
            <w:tcBorders>
              <w:top w:val="nil"/>
              <w:left w:val="single" w:sz="4" w:space="0" w:color="auto"/>
              <w:bottom w:val="single" w:sz="4" w:space="0" w:color="auto"/>
              <w:right w:val="single" w:sz="4" w:space="0" w:color="auto"/>
            </w:tcBorders>
            <w:shd w:val="clear" w:color="auto" w:fill="auto"/>
            <w:vAlign w:val="center"/>
            <w:hideMark/>
          </w:tcPr>
          <w:p w14:paraId="51765296" w14:textId="77777777" w:rsidR="00C945C0" w:rsidRPr="00493A9B" w:rsidRDefault="00C945C0" w:rsidP="00493A9B">
            <w:pPr>
              <w:rPr>
                <w:color w:val="000000" w:themeColor="text1"/>
                <w:sz w:val="22"/>
                <w:szCs w:val="22"/>
              </w:rPr>
            </w:pPr>
          </w:p>
        </w:tc>
      </w:tr>
      <w:tr w:rsidR="00C945C0" w:rsidRPr="00493A9B" w14:paraId="667CD287"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jc w:val="center"/>
        </w:trPr>
        <w:tc>
          <w:tcPr>
            <w:tcW w:w="3225" w:type="dxa"/>
            <w:vMerge/>
            <w:tcBorders>
              <w:top w:val="nil"/>
              <w:left w:val="single" w:sz="4" w:space="0" w:color="auto"/>
              <w:bottom w:val="single" w:sz="4" w:space="0" w:color="auto"/>
              <w:right w:val="single" w:sz="4" w:space="0" w:color="auto"/>
            </w:tcBorders>
            <w:shd w:val="clear" w:color="auto" w:fill="auto"/>
            <w:vAlign w:val="center"/>
            <w:hideMark/>
          </w:tcPr>
          <w:p w14:paraId="36E56861" w14:textId="77777777" w:rsidR="00C945C0" w:rsidRPr="00493A9B" w:rsidRDefault="00C945C0" w:rsidP="00493A9B">
            <w:pPr>
              <w:rPr>
                <w:color w:val="000000" w:themeColor="text1"/>
                <w:sz w:val="22"/>
                <w:szCs w:val="22"/>
              </w:rPr>
            </w:pPr>
          </w:p>
        </w:tc>
        <w:tc>
          <w:tcPr>
            <w:tcW w:w="4269" w:type="dxa"/>
            <w:vMerge/>
            <w:tcBorders>
              <w:top w:val="nil"/>
              <w:left w:val="single" w:sz="4" w:space="0" w:color="auto"/>
              <w:bottom w:val="single" w:sz="4" w:space="0" w:color="auto"/>
              <w:right w:val="single" w:sz="4" w:space="0" w:color="auto"/>
            </w:tcBorders>
            <w:shd w:val="clear" w:color="auto" w:fill="auto"/>
            <w:vAlign w:val="center"/>
            <w:hideMark/>
          </w:tcPr>
          <w:p w14:paraId="19E2192C" w14:textId="77777777" w:rsidR="00C945C0" w:rsidRPr="00493A9B" w:rsidRDefault="00C945C0" w:rsidP="00493A9B">
            <w:pPr>
              <w:rPr>
                <w:color w:val="000000" w:themeColor="text1"/>
                <w:sz w:val="22"/>
                <w:szCs w:val="22"/>
              </w:rPr>
            </w:pPr>
          </w:p>
        </w:tc>
        <w:tc>
          <w:tcPr>
            <w:tcW w:w="3381" w:type="dxa"/>
            <w:gridSpan w:val="2"/>
            <w:tcBorders>
              <w:top w:val="nil"/>
              <w:left w:val="nil"/>
              <w:bottom w:val="single" w:sz="4" w:space="0" w:color="auto"/>
              <w:right w:val="single" w:sz="4" w:space="0" w:color="auto"/>
            </w:tcBorders>
            <w:shd w:val="clear" w:color="auto" w:fill="auto"/>
            <w:hideMark/>
          </w:tcPr>
          <w:p w14:paraId="11EC6ED9" w14:textId="77777777" w:rsidR="00C945C0" w:rsidRPr="00493A9B" w:rsidRDefault="00C945C0" w:rsidP="00493A9B">
            <w:pPr>
              <w:rPr>
                <w:color w:val="000000" w:themeColor="text1"/>
                <w:sz w:val="22"/>
                <w:szCs w:val="22"/>
              </w:rPr>
            </w:pPr>
            <w:r>
              <w:rPr>
                <w:color w:val="000000" w:themeColor="text1"/>
                <w:sz w:val="22"/>
              </w:rPr>
              <w:t>Início da execução das atividades dos projetos do FMAM financiados pelo BID–PNUMA para o Trifinio e o Pantanal.</w:t>
            </w:r>
          </w:p>
        </w:tc>
        <w:tc>
          <w:tcPr>
            <w:tcW w:w="2715" w:type="dxa"/>
            <w:gridSpan w:val="2"/>
            <w:vMerge/>
            <w:tcBorders>
              <w:top w:val="nil"/>
              <w:left w:val="single" w:sz="4" w:space="0" w:color="auto"/>
              <w:bottom w:val="single" w:sz="4" w:space="0" w:color="auto"/>
              <w:right w:val="single" w:sz="4" w:space="0" w:color="auto"/>
            </w:tcBorders>
            <w:shd w:val="clear" w:color="auto" w:fill="auto"/>
            <w:vAlign w:val="center"/>
            <w:hideMark/>
          </w:tcPr>
          <w:p w14:paraId="366547B6" w14:textId="77777777" w:rsidR="00C945C0" w:rsidRPr="00493A9B" w:rsidRDefault="00C945C0" w:rsidP="00493A9B">
            <w:pPr>
              <w:rPr>
                <w:color w:val="000000" w:themeColor="text1"/>
                <w:sz w:val="22"/>
                <w:szCs w:val="22"/>
              </w:rPr>
            </w:pPr>
          </w:p>
        </w:tc>
      </w:tr>
      <w:tr w:rsidR="00C945C0" w:rsidRPr="00493A9B" w14:paraId="30DA3253"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3"/>
          <w:jc w:val="center"/>
        </w:trPr>
        <w:tc>
          <w:tcPr>
            <w:tcW w:w="3225" w:type="dxa"/>
            <w:vMerge/>
            <w:tcBorders>
              <w:top w:val="nil"/>
              <w:left w:val="single" w:sz="4" w:space="0" w:color="auto"/>
              <w:bottom w:val="single" w:sz="4" w:space="0" w:color="auto"/>
              <w:right w:val="single" w:sz="4" w:space="0" w:color="auto"/>
            </w:tcBorders>
            <w:shd w:val="clear" w:color="auto" w:fill="auto"/>
            <w:vAlign w:val="center"/>
            <w:hideMark/>
          </w:tcPr>
          <w:p w14:paraId="5DA574D6" w14:textId="77777777" w:rsidR="00C945C0" w:rsidRPr="00493A9B" w:rsidRDefault="00C945C0" w:rsidP="00493A9B">
            <w:pPr>
              <w:rPr>
                <w:color w:val="000000" w:themeColor="text1"/>
                <w:sz w:val="22"/>
                <w:szCs w:val="22"/>
              </w:rPr>
            </w:pPr>
          </w:p>
        </w:tc>
        <w:tc>
          <w:tcPr>
            <w:tcW w:w="4269" w:type="dxa"/>
            <w:vMerge/>
            <w:tcBorders>
              <w:top w:val="nil"/>
              <w:left w:val="single" w:sz="4" w:space="0" w:color="auto"/>
              <w:bottom w:val="single" w:sz="4" w:space="0" w:color="auto"/>
              <w:right w:val="single" w:sz="4" w:space="0" w:color="auto"/>
            </w:tcBorders>
            <w:shd w:val="clear" w:color="auto" w:fill="auto"/>
            <w:vAlign w:val="center"/>
            <w:hideMark/>
          </w:tcPr>
          <w:p w14:paraId="2F800FE2" w14:textId="77777777" w:rsidR="00C945C0" w:rsidRPr="00493A9B" w:rsidRDefault="00C945C0" w:rsidP="00493A9B">
            <w:pPr>
              <w:rPr>
                <w:color w:val="000000" w:themeColor="text1"/>
                <w:sz w:val="22"/>
                <w:szCs w:val="22"/>
              </w:rPr>
            </w:pPr>
          </w:p>
        </w:tc>
        <w:tc>
          <w:tcPr>
            <w:tcW w:w="3381" w:type="dxa"/>
            <w:gridSpan w:val="2"/>
            <w:tcBorders>
              <w:top w:val="nil"/>
              <w:left w:val="nil"/>
              <w:bottom w:val="single" w:sz="4" w:space="0" w:color="auto"/>
              <w:right w:val="single" w:sz="4" w:space="0" w:color="auto"/>
            </w:tcBorders>
            <w:shd w:val="clear" w:color="auto" w:fill="auto"/>
            <w:hideMark/>
          </w:tcPr>
          <w:p w14:paraId="5EEE1848" w14:textId="77777777" w:rsidR="00C945C0" w:rsidRPr="00493A9B" w:rsidRDefault="00C945C0" w:rsidP="00493A9B">
            <w:pPr>
              <w:rPr>
                <w:color w:val="000000" w:themeColor="text1"/>
                <w:sz w:val="22"/>
                <w:szCs w:val="22"/>
              </w:rPr>
            </w:pPr>
            <w:r>
              <w:rPr>
                <w:color w:val="000000" w:themeColor="text1"/>
                <w:sz w:val="22"/>
              </w:rPr>
              <w:t xml:space="preserve">Realização de diálogos regionais de alto nível, </w:t>
            </w:r>
            <w:r>
              <w:rPr>
                <w:i/>
                <w:iCs/>
                <w:color w:val="000000" w:themeColor="text1"/>
                <w:sz w:val="22"/>
              </w:rPr>
              <w:t xml:space="preserve">workshops </w:t>
            </w:r>
            <w:r>
              <w:rPr>
                <w:color w:val="000000" w:themeColor="text1"/>
                <w:sz w:val="22"/>
              </w:rPr>
              <w:t>e conferências para o compartilhamento de conhecimentos, incluindo ensino à distância.</w:t>
            </w:r>
          </w:p>
        </w:tc>
        <w:tc>
          <w:tcPr>
            <w:tcW w:w="2715" w:type="dxa"/>
            <w:gridSpan w:val="2"/>
            <w:vMerge/>
            <w:tcBorders>
              <w:top w:val="nil"/>
              <w:left w:val="single" w:sz="4" w:space="0" w:color="auto"/>
              <w:bottom w:val="single" w:sz="4" w:space="0" w:color="auto"/>
              <w:right w:val="single" w:sz="4" w:space="0" w:color="auto"/>
            </w:tcBorders>
            <w:shd w:val="clear" w:color="auto" w:fill="auto"/>
            <w:vAlign w:val="center"/>
            <w:hideMark/>
          </w:tcPr>
          <w:p w14:paraId="6F26716C" w14:textId="77777777" w:rsidR="00C945C0" w:rsidRPr="00493A9B" w:rsidRDefault="00C945C0" w:rsidP="00493A9B">
            <w:pPr>
              <w:rPr>
                <w:color w:val="000000" w:themeColor="text1"/>
                <w:sz w:val="22"/>
                <w:szCs w:val="22"/>
              </w:rPr>
            </w:pPr>
          </w:p>
        </w:tc>
      </w:tr>
      <w:tr w:rsidR="00C945C0" w:rsidRPr="00493A9B" w14:paraId="31FDC032"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3"/>
          <w:jc w:val="center"/>
        </w:trPr>
        <w:tc>
          <w:tcPr>
            <w:tcW w:w="3225" w:type="dxa"/>
            <w:vMerge/>
            <w:tcBorders>
              <w:top w:val="nil"/>
              <w:left w:val="single" w:sz="4" w:space="0" w:color="auto"/>
              <w:bottom w:val="single" w:sz="4" w:space="0" w:color="auto"/>
              <w:right w:val="single" w:sz="4" w:space="0" w:color="auto"/>
            </w:tcBorders>
            <w:shd w:val="clear" w:color="auto" w:fill="auto"/>
            <w:vAlign w:val="center"/>
            <w:hideMark/>
          </w:tcPr>
          <w:p w14:paraId="3DC957D2" w14:textId="77777777" w:rsidR="00C945C0" w:rsidRPr="00493A9B" w:rsidRDefault="00C945C0" w:rsidP="00493A9B">
            <w:pPr>
              <w:rPr>
                <w:color w:val="000000" w:themeColor="text1"/>
                <w:sz w:val="22"/>
                <w:szCs w:val="22"/>
              </w:rPr>
            </w:pPr>
          </w:p>
        </w:tc>
        <w:tc>
          <w:tcPr>
            <w:tcW w:w="4269" w:type="dxa"/>
            <w:vMerge/>
            <w:tcBorders>
              <w:top w:val="nil"/>
              <w:left w:val="single" w:sz="4" w:space="0" w:color="auto"/>
              <w:bottom w:val="single" w:sz="4" w:space="0" w:color="auto"/>
              <w:right w:val="single" w:sz="4" w:space="0" w:color="auto"/>
            </w:tcBorders>
            <w:shd w:val="clear" w:color="auto" w:fill="auto"/>
            <w:vAlign w:val="center"/>
            <w:hideMark/>
          </w:tcPr>
          <w:p w14:paraId="703AD992" w14:textId="77777777" w:rsidR="00C945C0" w:rsidRPr="00493A9B" w:rsidRDefault="00C945C0" w:rsidP="00493A9B">
            <w:pPr>
              <w:rPr>
                <w:color w:val="000000" w:themeColor="text1"/>
                <w:sz w:val="22"/>
                <w:szCs w:val="22"/>
              </w:rPr>
            </w:pPr>
          </w:p>
        </w:tc>
        <w:tc>
          <w:tcPr>
            <w:tcW w:w="3381" w:type="dxa"/>
            <w:gridSpan w:val="2"/>
            <w:tcBorders>
              <w:top w:val="nil"/>
              <w:left w:val="nil"/>
              <w:bottom w:val="single" w:sz="4" w:space="0" w:color="auto"/>
              <w:right w:val="single" w:sz="4" w:space="0" w:color="auto"/>
            </w:tcBorders>
            <w:shd w:val="clear" w:color="auto" w:fill="auto"/>
            <w:hideMark/>
          </w:tcPr>
          <w:p w14:paraId="1CB99E6B" w14:textId="77777777" w:rsidR="00C945C0" w:rsidRPr="00493A9B" w:rsidRDefault="00C945C0" w:rsidP="00493A9B">
            <w:pPr>
              <w:rPr>
                <w:color w:val="000000" w:themeColor="text1"/>
                <w:sz w:val="22"/>
                <w:szCs w:val="22"/>
              </w:rPr>
            </w:pPr>
            <w:r>
              <w:rPr>
                <w:color w:val="000000" w:themeColor="text1"/>
                <w:sz w:val="22"/>
              </w:rPr>
              <w:t>Apresentação de estratégias regionais de conservação e uso sustentável dos recursos marinhos (economia azul)</w:t>
            </w:r>
          </w:p>
        </w:tc>
        <w:tc>
          <w:tcPr>
            <w:tcW w:w="2715" w:type="dxa"/>
            <w:gridSpan w:val="2"/>
            <w:vMerge/>
            <w:tcBorders>
              <w:top w:val="nil"/>
              <w:left w:val="single" w:sz="4" w:space="0" w:color="auto"/>
              <w:bottom w:val="single" w:sz="4" w:space="0" w:color="auto"/>
              <w:right w:val="single" w:sz="4" w:space="0" w:color="auto"/>
            </w:tcBorders>
            <w:shd w:val="clear" w:color="auto" w:fill="auto"/>
            <w:vAlign w:val="center"/>
            <w:hideMark/>
          </w:tcPr>
          <w:p w14:paraId="17FF2366" w14:textId="77777777" w:rsidR="00C945C0" w:rsidRPr="00493A9B" w:rsidRDefault="00C945C0" w:rsidP="00493A9B">
            <w:pPr>
              <w:rPr>
                <w:color w:val="000000" w:themeColor="text1"/>
                <w:sz w:val="22"/>
                <w:szCs w:val="22"/>
              </w:rPr>
            </w:pPr>
          </w:p>
        </w:tc>
      </w:tr>
      <w:tr w:rsidR="00C945C0" w:rsidRPr="00493A9B" w14:paraId="2B9208E2"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0"/>
          <w:jc w:val="center"/>
        </w:trPr>
        <w:tc>
          <w:tcPr>
            <w:tcW w:w="3225" w:type="dxa"/>
            <w:tcBorders>
              <w:top w:val="nil"/>
              <w:left w:val="single" w:sz="4" w:space="0" w:color="auto"/>
              <w:bottom w:val="single" w:sz="4" w:space="0" w:color="auto"/>
              <w:right w:val="single" w:sz="4" w:space="0" w:color="auto"/>
            </w:tcBorders>
            <w:shd w:val="clear" w:color="auto" w:fill="auto"/>
            <w:hideMark/>
          </w:tcPr>
          <w:p w14:paraId="6EC30438" w14:textId="77777777" w:rsidR="00C945C0" w:rsidRPr="00493A9B" w:rsidRDefault="00C945C0" w:rsidP="00493A9B">
            <w:pPr>
              <w:rPr>
                <w:color w:val="000000" w:themeColor="text1"/>
                <w:sz w:val="22"/>
                <w:szCs w:val="22"/>
              </w:rPr>
            </w:pPr>
            <w:r>
              <w:rPr>
                <w:color w:val="000000" w:themeColor="text1"/>
                <w:sz w:val="22"/>
              </w:rPr>
              <w:lastRenderedPageBreak/>
              <w:t>Desenvolver uma agenda comum sobre gestão da água com organizações políticas sub-regionais:</w:t>
            </w:r>
          </w:p>
        </w:tc>
        <w:tc>
          <w:tcPr>
            <w:tcW w:w="4269" w:type="dxa"/>
            <w:vMerge/>
            <w:tcBorders>
              <w:top w:val="nil"/>
              <w:left w:val="single" w:sz="4" w:space="0" w:color="auto"/>
              <w:bottom w:val="single" w:sz="4" w:space="0" w:color="auto"/>
              <w:right w:val="single" w:sz="4" w:space="0" w:color="auto"/>
            </w:tcBorders>
            <w:shd w:val="clear" w:color="auto" w:fill="auto"/>
            <w:vAlign w:val="center"/>
            <w:hideMark/>
          </w:tcPr>
          <w:p w14:paraId="4A85D22D" w14:textId="77777777" w:rsidR="00C945C0" w:rsidRPr="00493A9B" w:rsidRDefault="00C945C0" w:rsidP="00493A9B">
            <w:pPr>
              <w:rPr>
                <w:color w:val="000000" w:themeColor="text1"/>
                <w:sz w:val="22"/>
                <w:szCs w:val="22"/>
              </w:rPr>
            </w:pPr>
          </w:p>
        </w:tc>
        <w:tc>
          <w:tcPr>
            <w:tcW w:w="3381" w:type="dxa"/>
            <w:gridSpan w:val="2"/>
            <w:tcBorders>
              <w:top w:val="nil"/>
              <w:left w:val="nil"/>
              <w:bottom w:val="single" w:sz="4" w:space="0" w:color="auto"/>
              <w:right w:val="single" w:sz="4" w:space="0" w:color="auto"/>
            </w:tcBorders>
            <w:shd w:val="clear" w:color="auto" w:fill="auto"/>
            <w:hideMark/>
          </w:tcPr>
          <w:p w14:paraId="0ADCEFAD" w14:textId="77777777" w:rsidR="00C945C0" w:rsidRPr="00493A9B" w:rsidRDefault="00C945C0" w:rsidP="00493A9B">
            <w:pPr>
              <w:rPr>
                <w:color w:val="000000" w:themeColor="text1"/>
                <w:sz w:val="22"/>
                <w:szCs w:val="22"/>
              </w:rPr>
            </w:pPr>
            <w:r>
              <w:rPr>
                <w:color w:val="000000" w:themeColor="text1"/>
                <w:sz w:val="22"/>
              </w:rPr>
              <w:t xml:space="preserve">Projeto e implementação do modelo PPP para água potável e saneamento dentro da OEA; </w:t>
            </w:r>
          </w:p>
        </w:tc>
        <w:tc>
          <w:tcPr>
            <w:tcW w:w="2715" w:type="dxa"/>
            <w:gridSpan w:val="2"/>
            <w:vMerge/>
            <w:tcBorders>
              <w:top w:val="nil"/>
              <w:left w:val="single" w:sz="4" w:space="0" w:color="auto"/>
              <w:bottom w:val="single" w:sz="4" w:space="0" w:color="auto"/>
              <w:right w:val="single" w:sz="4" w:space="0" w:color="auto"/>
            </w:tcBorders>
            <w:shd w:val="clear" w:color="auto" w:fill="auto"/>
            <w:vAlign w:val="center"/>
            <w:hideMark/>
          </w:tcPr>
          <w:p w14:paraId="58E385D4" w14:textId="77777777" w:rsidR="00C945C0" w:rsidRPr="00493A9B" w:rsidRDefault="00C945C0" w:rsidP="00493A9B">
            <w:pPr>
              <w:rPr>
                <w:color w:val="000000" w:themeColor="text1"/>
                <w:sz w:val="22"/>
                <w:szCs w:val="22"/>
              </w:rPr>
            </w:pPr>
          </w:p>
        </w:tc>
      </w:tr>
      <w:tr w:rsidR="00C945C0" w:rsidRPr="00493A9B" w14:paraId="76E12193"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3"/>
          <w:jc w:val="center"/>
        </w:trPr>
        <w:tc>
          <w:tcPr>
            <w:tcW w:w="3225" w:type="dxa"/>
            <w:tcBorders>
              <w:top w:val="nil"/>
              <w:left w:val="single" w:sz="4" w:space="0" w:color="auto"/>
              <w:bottom w:val="single" w:sz="4" w:space="0" w:color="auto"/>
              <w:right w:val="single" w:sz="4" w:space="0" w:color="auto"/>
            </w:tcBorders>
            <w:shd w:val="clear" w:color="auto" w:fill="auto"/>
            <w:hideMark/>
          </w:tcPr>
          <w:p w14:paraId="1C6B8B0A" w14:textId="77777777" w:rsidR="00C945C0" w:rsidRPr="00493A9B" w:rsidRDefault="00C945C0" w:rsidP="00493A9B">
            <w:pPr>
              <w:rPr>
                <w:color w:val="000000" w:themeColor="text1"/>
                <w:sz w:val="22"/>
                <w:szCs w:val="22"/>
              </w:rPr>
            </w:pPr>
            <w:r>
              <w:rPr>
                <w:color w:val="000000" w:themeColor="text1"/>
                <w:sz w:val="22"/>
              </w:rPr>
              <w:t>Implementar um mecanismo virtual de coordenação e troca de informações sobre gestão de recursos hídricos.</w:t>
            </w:r>
          </w:p>
        </w:tc>
        <w:tc>
          <w:tcPr>
            <w:tcW w:w="4269" w:type="dxa"/>
            <w:vMerge/>
            <w:tcBorders>
              <w:top w:val="nil"/>
              <w:left w:val="single" w:sz="4" w:space="0" w:color="auto"/>
              <w:bottom w:val="single" w:sz="4" w:space="0" w:color="auto"/>
              <w:right w:val="single" w:sz="4" w:space="0" w:color="auto"/>
            </w:tcBorders>
            <w:shd w:val="clear" w:color="auto" w:fill="auto"/>
            <w:vAlign w:val="center"/>
            <w:hideMark/>
          </w:tcPr>
          <w:p w14:paraId="64C1B64D" w14:textId="77777777" w:rsidR="00C945C0" w:rsidRPr="00493A9B" w:rsidRDefault="00C945C0" w:rsidP="00493A9B">
            <w:pPr>
              <w:rPr>
                <w:color w:val="000000" w:themeColor="text1"/>
                <w:sz w:val="22"/>
                <w:szCs w:val="22"/>
              </w:rPr>
            </w:pPr>
          </w:p>
        </w:tc>
        <w:tc>
          <w:tcPr>
            <w:tcW w:w="3381" w:type="dxa"/>
            <w:gridSpan w:val="2"/>
            <w:tcBorders>
              <w:top w:val="nil"/>
              <w:left w:val="nil"/>
              <w:bottom w:val="single" w:sz="4" w:space="0" w:color="auto"/>
              <w:right w:val="single" w:sz="4" w:space="0" w:color="auto"/>
            </w:tcBorders>
            <w:shd w:val="clear" w:color="auto" w:fill="auto"/>
            <w:hideMark/>
          </w:tcPr>
          <w:p w14:paraId="767BA699" w14:textId="77777777" w:rsidR="00C945C0" w:rsidRPr="00493A9B" w:rsidRDefault="00C945C0" w:rsidP="00493A9B">
            <w:pPr>
              <w:rPr>
                <w:color w:val="000000" w:themeColor="text1"/>
                <w:sz w:val="22"/>
                <w:szCs w:val="22"/>
              </w:rPr>
            </w:pPr>
            <w:r>
              <w:rPr>
                <w:color w:val="000000" w:themeColor="text1"/>
                <w:sz w:val="22"/>
              </w:rPr>
              <w:t>Desenvolvimento de diretrizes sobre água e segurança cibernética para instituições de água e saneamento.</w:t>
            </w:r>
          </w:p>
        </w:tc>
        <w:tc>
          <w:tcPr>
            <w:tcW w:w="2715" w:type="dxa"/>
            <w:gridSpan w:val="2"/>
            <w:vMerge/>
            <w:tcBorders>
              <w:top w:val="nil"/>
              <w:left w:val="single" w:sz="4" w:space="0" w:color="auto"/>
              <w:bottom w:val="single" w:sz="4" w:space="0" w:color="auto"/>
              <w:right w:val="single" w:sz="4" w:space="0" w:color="auto"/>
            </w:tcBorders>
            <w:shd w:val="clear" w:color="auto" w:fill="auto"/>
            <w:vAlign w:val="center"/>
            <w:hideMark/>
          </w:tcPr>
          <w:p w14:paraId="00B33ABD" w14:textId="77777777" w:rsidR="00C945C0" w:rsidRPr="00493A9B" w:rsidRDefault="00C945C0" w:rsidP="00493A9B">
            <w:pPr>
              <w:rPr>
                <w:color w:val="000000" w:themeColor="text1"/>
                <w:sz w:val="22"/>
                <w:szCs w:val="22"/>
              </w:rPr>
            </w:pPr>
          </w:p>
        </w:tc>
      </w:tr>
      <w:tr w:rsidR="00C945C0" w:rsidRPr="00493A9B" w14:paraId="22802ED9"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0"/>
          <w:jc w:val="center"/>
        </w:trPr>
        <w:tc>
          <w:tcPr>
            <w:tcW w:w="3225" w:type="dxa"/>
            <w:tcBorders>
              <w:top w:val="single" w:sz="4" w:space="0" w:color="auto"/>
              <w:left w:val="single" w:sz="4" w:space="0" w:color="auto"/>
              <w:bottom w:val="single" w:sz="4" w:space="0" w:color="auto"/>
              <w:right w:val="single" w:sz="4" w:space="0" w:color="auto"/>
            </w:tcBorders>
            <w:shd w:val="clear" w:color="auto" w:fill="auto"/>
            <w:hideMark/>
          </w:tcPr>
          <w:p w14:paraId="35D1F818" w14:textId="77777777" w:rsidR="00C945C0" w:rsidRPr="00493A9B" w:rsidRDefault="00C945C0" w:rsidP="00493A9B">
            <w:pPr>
              <w:rPr>
                <w:color w:val="000000" w:themeColor="text1"/>
                <w:sz w:val="22"/>
                <w:szCs w:val="22"/>
              </w:rPr>
            </w:pPr>
            <w:r>
              <w:rPr>
                <w:color w:val="000000" w:themeColor="text1"/>
                <w:sz w:val="22"/>
              </w:rPr>
              <w:t>Diálogo com parceiros globais e regionais do setor hídrico — ONGs, setor acadêmico e privado —, a fim de identificar oportunidades que ajudem os Estados membros a enfrentar seus desafios com relação à água.</w:t>
            </w:r>
          </w:p>
        </w:tc>
        <w:tc>
          <w:tcPr>
            <w:tcW w:w="42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27811E" w14:textId="77777777" w:rsidR="00C945C0" w:rsidRPr="00493A9B" w:rsidRDefault="00C945C0" w:rsidP="00493A9B">
            <w:pPr>
              <w:rPr>
                <w:color w:val="000000" w:themeColor="text1"/>
                <w:sz w:val="22"/>
                <w:szCs w:val="22"/>
              </w:rPr>
            </w:pPr>
          </w:p>
        </w:tc>
        <w:tc>
          <w:tcPr>
            <w:tcW w:w="3381" w:type="dxa"/>
            <w:gridSpan w:val="2"/>
            <w:tcBorders>
              <w:top w:val="single" w:sz="4" w:space="0" w:color="auto"/>
              <w:left w:val="nil"/>
              <w:bottom w:val="single" w:sz="4" w:space="0" w:color="auto"/>
              <w:right w:val="single" w:sz="4" w:space="0" w:color="auto"/>
            </w:tcBorders>
            <w:shd w:val="clear" w:color="auto" w:fill="auto"/>
            <w:hideMark/>
          </w:tcPr>
          <w:p w14:paraId="2D9131EB" w14:textId="77777777" w:rsidR="00C945C0" w:rsidRPr="00493A9B" w:rsidRDefault="00C945C0" w:rsidP="00493A9B">
            <w:pPr>
              <w:rPr>
                <w:color w:val="000000" w:themeColor="text1"/>
                <w:sz w:val="22"/>
                <w:szCs w:val="22"/>
              </w:rPr>
            </w:pPr>
            <w:r>
              <w:rPr>
                <w:color w:val="000000" w:themeColor="text1"/>
                <w:sz w:val="22"/>
              </w:rPr>
              <w:t>Desenvolvimento de acordos técnicos e protocolos de trabalho sobre a gestão da água.</w:t>
            </w:r>
          </w:p>
        </w:tc>
        <w:tc>
          <w:tcPr>
            <w:tcW w:w="27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34CBEE" w14:textId="77777777" w:rsidR="00C945C0" w:rsidRPr="00493A9B" w:rsidRDefault="00C945C0" w:rsidP="00493A9B">
            <w:pPr>
              <w:rPr>
                <w:color w:val="000000" w:themeColor="text1"/>
                <w:sz w:val="22"/>
                <w:szCs w:val="22"/>
              </w:rPr>
            </w:pPr>
          </w:p>
        </w:tc>
      </w:tr>
      <w:tr w:rsidR="00C945C0" w:rsidRPr="00493A9B" w14:paraId="15CF75D6"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8"/>
          <w:jc w:val="center"/>
        </w:trPr>
        <w:tc>
          <w:tcPr>
            <w:tcW w:w="3225" w:type="dxa"/>
            <w:tcBorders>
              <w:top w:val="single" w:sz="4" w:space="0" w:color="auto"/>
              <w:left w:val="single" w:sz="4" w:space="0" w:color="auto"/>
              <w:bottom w:val="single" w:sz="4" w:space="0" w:color="auto"/>
              <w:right w:val="single" w:sz="4" w:space="0" w:color="auto"/>
            </w:tcBorders>
            <w:shd w:val="clear" w:color="auto" w:fill="auto"/>
            <w:hideMark/>
          </w:tcPr>
          <w:p w14:paraId="2A91F5F4" w14:textId="77777777" w:rsidR="00C945C0" w:rsidRPr="00493A9B" w:rsidRDefault="00C945C0" w:rsidP="00493A9B">
            <w:pPr>
              <w:rPr>
                <w:color w:val="000000" w:themeColor="text1"/>
                <w:sz w:val="22"/>
                <w:szCs w:val="22"/>
              </w:rPr>
            </w:pPr>
            <w:r>
              <w:rPr>
                <w:color w:val="000000" w:themeColor="text1"/>
                <w:sz w:val="22"/>
              </w:rPr>
              <w:t>Conceber e implementar programas multidisciplinares para aumentar a participação pública, especialmente de mulheres, jovens e grupos indígenas, em iniciativas nacionais e regionais sobre a água, incluindo a adaptação à mudança climática.</w:t>
            </w:r>
          </w:p>
        </w:tc>
        <w:tc>
          <w:tcPr>
            <w:tcW w:w="42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95512E" w14:textId="77777777" w:rsidR="00C945C0" w:rsidRPr="00493A9B" w:rsidRDefault="00C945C0" w:rsidP="00493A9B">
            <w:pPr>
              <w:rPr>
                <w:color w:val="000000" w:themeColor="text1"/>
                <w:sz w:val="22"/>
                <w:szCs w:val="22"/>
              </w:rPr>
            </w:pPr>
          </w:p>
        </w:tc>
        <w:tc>
          <w:tcPr>
            <w:tcW w:w="3381" w:type="dxa"/>
            <w:gridSpan w:val="2"/>
            <w:tcBorders>
              <w:top w:val="single" w:sz="4" w:space="0" w:color="auto"/>
              <w:left w:val="nil"/>
              <w:bottom w:val="single" w:sz="4" w:space="0" w:color="auto"/>
              <w:right w:val="single" w:sz="4" w:space="0" w:color="auto"/>
            </w:tcBorders>
            <w:shd w:val="clear" w:color="auto" w:fill="auto"/>
            <w:hideMark/>
          </w:tcPr>
          <w:p w14:paraId="47582CC0" w14:textId="77777777" w:rsidR="00C945C0" w:rsidRPr="00493A9B" w:rsidRDefault="00C945C0" w:rsidP="00493A9B">
            <w:pPr>
              <w:rPr>
                <w:color w:val="000000" w:themeColor="text1"/>
                <w:sz w:val="22"/>
                <w:szCs w:val="22"/>
              </w:rPr>
            </w:pPr>
            <w:r>
              <w:rPr>
                <w:color w:val="000000" w:themeColor="text1"/>
                <w:sz w:val="22"/>
              </w:rPr>
              <w:t>Aumento da participação pública em iniciativas nacionais e regionais sobre a água, incluindo a adaptação à mudança climática.</w:t>
            </w:r>
          </w:p>
        </w:tc>
        <w:tc>
          <w:tcPr>
            <w:tcW w:w="27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B98FD4" w14:textId="77777777" w:rsidR="00C945C0" w:rsidRPr="00493A9B" w:rsidRDefault="00C945C0" w:rsidP="00493A9B">
            <w:pPr>
              <w:rPr>
                <w:color w:val="000000" w:themeColor="text1"/>
                <w:sz w:val="22"/>
                <w:szCs w:val="22"/>
              </w:rPr>
            </w:pPr>
          </w:p>
        </w:tc>
      </w:tr>
      <w:tr w:rsidR="00C945C0" w:rsidRPr="00493A9B" w14:paraId="5BE07C13"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3"/>
          <w:jc w:val="center"/>
        </w:trPr>
        <w:tc>
          <w:tcPr>
            <w:tcW w:w="3225" w:type="dxa"/>
            <w:tcBorders>
              <w:top w:val="nil"/>
              <w:left w:val="single" w:sz="4" w:space="0" w:color="auto"/>
              <w:bottom w:val="single" w:sz="4" w:space="0" w:color="auto"/>
              <w:right w:val="single" w:sz="4" w:space="0" w:color="auto"/>
            </w:tcBorders>
            <w:shd w:val="clear" w:color="auto" w:fill="auto"/>
            <w:hideMark/>
          </w:tcPr>
          <w:p w14:paraId="52E84099" w14:textId="77777777" w:rsidR="00C945C0" w:rsidRDefault="00C945C0" w:rsidP="00493A9B">
            <w:pPr>
              <w:rPr>
                <w:color w:val="000000" w:themeColor="text1"/>
                <w:sz w:val="22"/>
                <w:szCs w:val="22"/>
              </w:rPr>
            </w:pPr>
            <w:r>
              <w:rPr>
                <w:color w:val="000000" w:themeColor="text1"/>
                <w:sz w:val="22"/>
              </w:rPr>
              <w:t>Promover medidas para permitir que a SG/OEA tenha acesso a recursos do Fundo Verde para o Clima, do Fundo de Adaptação e de outras organizações ou mecanismos financeiros.</w:t>
            </w:r>
          </w:p>
          <w:p w14:paraId="33030DB7" w14:textId="77777777" w:rsidR="00493A9B" w:rsidRDefault="00493A9B" w:rsidP="00493A9B">
            <w:pPr>
              <w:rPr>
                <w:color w:val="000000" w:themeColor="text1"/>
                <w:sz w:val="22"/>
                <w:szCs w:val="22"/>
              </w:rPr>
            </w:pPr>
          </w:p>
          <w:p w14:paraId="1732010C" w14:textId="77777777" w:rsidR="00493A9B" w:rsidRDefault="00493A9B" w:rsidP="00493A9B">
            <w:pPr>
              <w:rPr>
                <w:color w:val="000000" w:themeColor="text1"/>
                <w:sz w:val="22"/>
                <w:szCs w:val="22"/>
              </w:rPr>
            </w:pPr>
          </w:p>
          <w:p w14:paraId="745EDB7C" w14:textId="77777777" w:rsidR="00493A9B" w:rsidRDefault="00493A9B" w:rsidP="00493A9B">
            <w:pPr>
              <w:rPr>
                <w:color w:val="000000" w:themeColor="text1"/>
                <w:sz w:val="22"/>
                <w:szCs w:val="22"/>
              </w:rPr>
            </w:pPr>
          </w:p>
          <w:p w14:paraId="761711BD" w14:textId="77777777" w:rsidR="00493A9B" w:rsidRDefault="00493A9B" w:rsidP="00493A9B">
            <w:pPr>
              <w:rPr>
                <w:color w:val="000000" w:themeColor="text1"/>
                <w:sz w:val="22"/>
                <w:szCs w:val="22"/>
              </w:rPr>
            </w:pPr>
          </w:p>
          <w:p w14:paraId="6E107CDD" w14:textId="77777777" w:rsidR="00DA56F9" w:rsidRDefault="00DA56F9" w:rsidP="00493A9B">
            <w:pPr>
              <w:rPr>
                <w:color w:val="000000" w:themeColor="text1"/>
                <w:sz w:val="22"/>
                <w:szCs w:val="22"/>
              </w:rPr>
            </w:pPr>
          </w:p>
          <w:p w14:paraId="09931835" w14:textId="77777777" w:rsidR="00DA56F9" w:rsidRDefault="00DA56F9" w:rsidP="00493A9B">
            <w:pPr>
              <w:rPr>
                <w:color w:val="000000" w:themeColor="text1"/>
                <w:sz w:val="22"/>
                <w:szCs w:val="22"/>
              </w:rPr>
            </w:pPr>
          </w:p>
          <w:p w14:paraId="6B146EB6" w14:textId="77777777" w:rsidR="00DA56F9" w:rsidRDefault="00DA56F9" w:rsidP="00493A9B">
            <w:pPr>
              <w:rPr>
                <w:color w:val="000000" w:themeColor="text1"/>
                <w:sz w:val="22"/>
                <w:szCs w:val="22"/>
              </w:rPr>
            </w:pPr>
          </w:p>
          <w:p w14:paraId="09E82492" w14:textId="77777777" w:rsidR="00493A9B" w:rsidRPr="00493A9B" w:rsidRDefault="00493A9B" w:rsidP="00493A9B">
            <w:pPr>
              <w:rPr>
                <w:color w:val="000000" w:themeColor="text1"/>
                <w:sz w:val="22"/>
                <w:szCs w:val="22"/>
              </w:rPr>
            </w:pPr>
          </w:p>
        </w:tc>
        <w:tc>
          <w:tcPr>
            <w:tcW w:w="4269" w:type="dxa"/>
            <w:vMerge/>
            <w:tcBorders>
              <w:top w:val="nil"/>
              <w:left w:val="single" w:sz="4" w:space="0" w:color="auto"/>
              <w:bottom w:val="single" w:sz="4" w:space="0" w:color="auto"/>
              <w:right w:val="single" w:sz="4" w:space="0" w:color="auto"/>
            </w:tcBorders>
            <w:shd w:val="clear" w:color="auto" w:fill="auto"/>
            <w:vAlign w:val="center"/>
            <w:hideMark/>
          </w:tcPr>
          <w:p w14:paraId="29CFB09C" w14:textId="77777777" w:rsidR="00C945C0" w:rsidRPr="00493A9B" w:rsidRDefault="00C945C0" w:rsidP="00493A9B">
            <w:pPr>
              <w:rPr>
                <w:color w:val="000000" w:themeColor="text1"/>
                <w:sz w:val="22"/>
                <w:szCs w:val="22"/>
              </w:rPr>
            </w:pPr>
          </w:p>
        </w:tc>
        <w:tc>
          <w:tcPr>
            <w:tcW w:w="3381" w:type="dxa"/>
            <w:gridSpan w:val="2"/>
            <w:tcBorders>
              <w:top w:val="nil"/>
              <w:left w:val="nil"/>
              <w:bottom w:val="single" w:sz="4" w:space="0" w:color="auto"/>
              <w:right w:val="single" w:sz="4" w:space="0" w:color="auto"/>
            </w:tcBorders>
            <w:shd w:val="clear" w:color="auto" w:fill="auto"/>
            <w:hideMark/>
          </w:tcPr>
          <w:p w14:paraId="1FB713A9" w14:textId="77777777" w:rsidR="00C945C0" w:rsidRPr="00493A9B" w:rsidRDefault="00C945C0" w:rsidP="00493A9B">
            <w:pPr>
              <w:rPr>
                <w:color w:val="000000" w:themeColor="text1"/>
                <w:sz w:val="22"/>
                <w:szCs w:val="22"/>
              </w:rPr>
            </w:pPr>
            <w:r>
              <w:rPr>
                <w:color w:val="000000" w:themeColor="text1"/>
                <w:sz w:val="22"/>
              </w:rPr>
              <w:t>Desenvolvimento de novas alianças estratégicas com parceiros internacionais e ampliação de alianças existentes.</w:t>
            </w:r>
          </w:p>
        </w:tc>
        <w:tc>
          <w:tcPr>
            <w:tcW w:w="2715" w:type="dxa"/>
            <w:gridSpan w:val="2"/>
            <w:vMerge/>
            <w:tcBorders>
              <w:top w:val="nil"/>
              <w:left w:val="single" w:sz="4" w:space="0" w:color="auto"/>
              <w:bottom w:val="single" w:sz="4" w:space="0" w:color="auto"/>
              <w:right w:val="single" w:sz="4" w:space="0" w:color="auto"/>
            </w:tcBorders>
            <w:shd w:val="clear" w:color="auto" w:fill="auto"/>
            <w:vAlign w:val="center"/>
            <w:hideMark/>
          </w:tcPr>
          <w:p w14:paraId="4D79FCB5" w14:textId="77777777" w:rsidR="00C945C0" w:rsidRPr="00493A9B" w:rsidRDefault="00C945C0" w:rsidP="00493A9B">
            <w:pPr>
              <w:rPr>
                <w:color w:val="000000" w:themeColor="text1"/>
                <w:sz w:val="22"/>
                <w:szCs w:val="22"/>
              </w:rPr>
            </w:pPr>
          </w:p>
        </w:tc>
      </w:tr>
      <w:tr w:rsidR="00075D25" w:rsidRPr="00493A9B" w14:paraId="235ACDD2"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32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04DA50" w14:textId="77777777" w:rsidR="00075D25" w:rsidRPr="00493A9B" w:rsidRDefault="00075D25" w:rsidP="00493A9B">
            <w:pPr>
              <w:rPr>
                <w:b/>
                <w:bCs/>
                <w:color w:val="000000" w:themeColor="text1"/>
                <w:sz w:val="22"/>
                <w:szCs w:val="22"/>
              </w:rPr>
            </w:pPr>
            <w:r>
              <w:rPr>
                <w:b/>
                <w:color w:val="000000" w:themeColor="text1"/>
                <w:sz w:val="22"/>
              </w:rPr>
              <w:lastRenderedPageBreak/>
              <w:t>OBJETIVO ESTRATÉGICO</w:t>
            </w:r>
          </w:p>
        </w:tc>
        <w:tc>
          <w:tcPr>
            <w:tcW w:w="10365"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2B38211B" w14:textId="77777777" w:rsidR="00075D25" w:rsidRPr="00493A9B" w:rsidRDefault="00075D25" w:rsidP="00493A9B">
            <w:pPr>
              <w:rPr>
                <w:b/>
                <w:bCs/>
                <w:color w:val="000000" w:themeColor="text1"/>
                <w:sz w:val="22"/>
                <w:szCs w:val="22"/>
              </w:rPr>
            </w:pPr>
            <w:r>
              <w:rPr>
                <w:b/>
                <w:color w:val="000000" w:themeColor="text1"/>
                <w:sz w:val="22"/>
              </w:rPr>
              <w:t>2.4. Promover a capacidade dos Estados membros no tema cidades e comunidades sustentáveis, de acordo com os objetivos e bases de ação dispostos na Seção 3.4 do PIDS.</w:t>
            </w:r>
          </w:p>
        </w:tc>
      </w:tr>
      <w:tr w:rsidR="00075D25" w:rsidRPr="00493A9B" w14:paraId="48E8119B"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13590" w:type="dxa"/>
            <w:gridSpan w:val="6"/>
            <w:tcBorders>
              <w:top w:val="nil"/>
              <w:left w:val="single" w:sz="4" w:space="0" w:color="auto"/>
              <w:bottom w:val="single" w:sz="4" w:space="0" w:color="auto"/>
              <w:right w:val="single" w:sz="4" w:space="0" w:color="auto"/>
            </w:tcBorders>
            <w:shd w:val="clear" w:color="auto" w:fill="D9D9D9" w:themeFill="background1" w:themeFillShade="D9"/>
          </w:tcPr>
          <w:p w14:paraId="6D96AFED" w14:textId="77777777" w:rsidR="00075D25" w:rsidRPr="00493A9B" w:rsidRDefault="00075D25" w:rsidP="00493A9B">
            <w:pPr>
              <w:rPr>
                <w:b/>
                <w:bCs/>
                <w:color w:val="000000" w:themeColor="text1"/>
                <w:sz w:val="22"/>
                <w:szCs w:val="22"/>
              </w:rPr>
            </w:pPr>
            <w:r>
              <w:rPr>
                <w:b/>
                <w:color w:val="000000" w:themeColor="text1"/>
                <w:sz w:val="22"/>
              </w:rPr>
              <w:t>Cidades sustentáveis:</w:t>
            </w:r>
          </w:p>
        </w:tc>
      </w:tr>
      <w:tr w:rsidR="00C945C0" w:rsidRPr="00493A9B" w14:paraId="221843B9"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0"/>
          <w:jc w:val="center"/>
        </w:trPr>
        <w:tc>
          <w:tcPr>
            <w:tcW w:w="3225" w:type="dxa"/>
            <w:tcBorders>
              <w:top w:val="nil"/>
              <w:left w:val="single" w:sz="4" w:space="0" w:color="auto"/>
              <w:bottom w:val="single" w:sz="4" w:space="0" w:color="auto"/>
              <w:right w:val="single" w:sz="4" w:space="0" w:color="auto"/>
            </w:tcBorders>
            <w:shd w:val="clear" w:color="auto" w:fill="auto"/>
            <w:hideMark/>
          </w:tcPr>
          <w:p w14:paraId="09F8408D" w14:textId="77777777" w:rsidR="00C945C0" w:rsidRPr="00493A9B" w:rsidRDefault="00C945C0" w:rsidP="00493A9B">
            <w:pPr>
              <w:contextualSpacing/>
              <w:rPr>
                <w:color w:val="000000" w:themeColor="text1"/>
                <w:sz w:val="22"/>
                <w:szCs w:val="22"/>
              </w:rPr>
            </w:pPr>
            <w:r>
              <w:rPr>
                <w:color w:val="000000" w:themeColor="text1"/>
                <w:sz w:val="22"/>
              </w:rPr>
              <w:t>Treinar jovens e funcionários públicos na condução de mudanças para a concretização de cidades e comunidades sustentáveis.</w:t>
            </w:r>
          </w:p>
        </w:tc>
        <w:tc>
          <w:tcPr>
            <w:tcW w:w="4269" w:type="dxa"/>
            <w:tcBorders>
              <w:top w:val="nil"/>
              <w:left w:val="nil"/>
              <w:bottom w:val="single" w:sz="4" w:space="0" w:color="auto"/>
              <w:right w:val="single" w:sz="4" w:space="0" w:color="auto"/>
            </w:tcBorders>
            <w:shd w:val="clear" w:color="auto" w:fill="auto"/>
            <w:hideMark/>
          </w:tcPr>
          <w:p w14:paraId="13D12184" w14:textId="77777777" w:rsidR="00C945C0" w:rsidRPr="00493A9B" w:rsidRDefault="00C945C0" w:rsidP="00493A9B">
            <w:pPr>
              <w:rPr>
                <w:color w:val="000000" w:themeColor="text1"/>
                <w:sz w:val="22"/>
                <w:szCs w:val="22"/>
              </w:rPr>
            </w:pPr>
            <w:r>
              <w:rPr>
                <w:color w:val="000000" w:themeColor="text1"/>
                <w:sz w:val="22"/>
              </w:rPr>
              <w:t>Apoiar os Estados membros em seus esforços para implementar abordagens integrais em ambientes urbanos que tratem dos desafios em matéria de transporte e mobilidade, eficiência energética, água e saneamento, gestão de resíduos, saúde e educação, promovam a redundância e a resiliência dos serviços básicos, protejam os ecossistemas urbanos e construam soluções socialmente inclusivas.</w:t>
            </w:r>
          </w:p>
        </w:tc>
        <w:tc>
          <w:tcPr>
            <w:tcW w:w="3381" w:type="dxa"/>
            <w:gridSpan w:val="2"/>
            <w:tcBorders>
              <w:top w:val="nil"/>
              <w:left w:val="nil"/>
              <w:bottom w:val="single" w:sz="4" w:space="0" w:color="auto"/>
              <w:right w:val="single" w:sz="4" w:space="0" w:color="auto"/>
            </w:tcBorders>
            <w:shd w:val="clear" w:color="auto" w:fill="auto"/>
            <w:hideMark/>
          </w:tcPr>
          <w:p w14:paraId="58FF7295" w14:textId="77777777" w:rsidR="00C945C0" w:rsidRPr="00493A9B" w:rsidRDefault="00C945C0" w:rsidP="00493A9B">
            <w:pPr>
              <w:rPr>
                <w:color w:val="000000" w:themeColor="text1"/>
                <w:sz w:val="22"/>
                <w:szCs w:val="22"/>
              </w:rPr>
            </w:pPr>
            <w:r>
              <w:rPr>
                <w:color w:val="000000" w:themeColor="text1"/>
                <w:sz w:val="22"/>
              </w:rPr>
              <w:t>Revisão do MOOC de Cidades Sustentáveis e implantação das providências para execução do projeto.</w:t>
            </w:r>
          </w:p>
        </w:tc>
        <w:tc>
          <w:tcPr>
            <w:tcW w:w="2715" w:type="dxa"/>
            <w:gridSpan w:val="2"/>
            <w:tcBorders>
              <w:top w:val="nil"/>
              <w:left w:val="nil"/>
              <w:bottom w:val="single" w:sz="4" w:space="0" w:color="auto"/>
              <w:right w:val="single" w:sz="4" w:space="0" w:color="auto"/>
            </w:tcBorders>
            <w:shd w:val="clear" w:color="auto" w:fill="auto"/>
            <w:hideMark/>
          </w:tcPr>
          <w:p w14:paraId="5ADBAFB8" w14:textId="77777777" w:rsidR="00C945C0" w:rsidRPr="00493A9B" w:rsidRDefault="00C945C0" w:rsidP="00493A9B">
            <w:pPr>
              <w:contextualSpacing/>
              <w:rPr>
                <w:color w:val="000000" w:themeColor="text1"/>
                <w:sz w:val="22"/>
                <w:szCs w:val="22"/>
              </w:rPr>
            </w:pPr>
            <w:r>
              <w:rPr>
                <w:b/>
                <w:color w:val="000000" w:themeColor="text1"/>
                <w:sz w:val="22"/>
              </w:rPr>
              <w:t>Internas (OEA):</w:t>
            </w:r>
            <w:r>
              <w:rPr>
                <w:color w:val="000000" w:themeColor="text1"/>
                <w:sz w:val="22"/>
              </w:rPr>
              <w:t xml:space="preserve"> Portal de Educação das Américas. </w:t>
            </w:r>
          </w:p>
          <w:p w14:paraId="38F10DC5" w14:textId="77777777" w:rsidR="00C945C0" w:rsidRPr="00493A9B" w:rsidRDefault="00C945C0" w:rsidP="00493A9B">
            <w:pPr>
              <w:contextualSpacing/>
              <w:rPr>
                <w:color w:val="000000" w:themeColor="text1"/>
                <w:sz w:val="22"/>
                <w:szCs w:val="22"/>
              </w:rPr>
            </w:pPr>
          </w:p>
          <w:p w14:paraId="12AA15F0" w14:textId="77777777" w:rsidR="00C945C0" w:rsidRPr="00493A9B" w:rsidRDefault="00C945C0" w:rsidP="00493A9B">
            <w:pPr>
              <w:contextualSpacing/>
              <w:rPr>
                <w:color w:val="000000" w:themeColor="text1"/>
                <w:sz w:val="22"/>
                <w:szCs w:val="22"/>
              </w:rPr>
            </w:pPr>
            <w:r>
              <w:rPr>
                <w:b/>
                <w:color w:val="000000" w:themeColor="text1"/>
                <w:sz w:val="22"/>
              </w:rPr>
              <w:t>Externas:</w:t>
            </w:r>
            <w:r>
              <w:rPr>
                <w:color w:val="000000" w:themeColor="text1"/>
                <w:sz w:val="22"/>
              </w:rPr>
              <w:t xml:space="preserve"> FMAM, todas as áreas focais e o Programa de Impacto em Cidades Sustentáveis identificados como possíveis parceiros.</w:t>
            </w:r>
          </w:p>
        </w:tc>
      </w:tr>
      <w:tr w:rsidR="00A66C51" w:rsidRPr="00493A9B" w14:paraId="629F2561" w14:textId="77777777" w:rsidTr="00A66C51">
        <w:trPr>
          <w:gridAfter w:val="1"/>
          <w:wAfter w:w="15" w:type="dxa"/>
          <w:trHeight w:val="345"/>
          <w:jc w:val="center"/>
        </w:trPr>
        <w:tc>
          <w:tcPr>
            <w:tcW w:w="3225" w:type="dxa"/>
            <w:tcBorders>
              <w:top w:val="single" w:sz="6" w:space="0" w:color="000000"/>
              <w:bottom w:val="single" w:sz="6" w:space="0" w:color="000000"/>
            </w:tcBorders>
            <w:shd w:val="clear" w:color="auto" w:fill="BFBFBF" w:themeFill="background1" w:themeFillShade="BF"/>
          </w:tcPr>
          <w:p w14:paraId="17EAD824" w14:textId="77777777" w:rsidR="00A66C51" w:rsidRPr="00493A9B" w:rsidRDefault="00E321C2" w:rsidP="00493A9B">
            <w:pPr>
              <w:keepNext/>
              <w:rPr>
                <w:rFonts w:eastAsia="Calibri"/>
                <w:b/>
                <w:bCs/>
                <w:color w:val="000000" w:themeColor="text1"/>
                <w:sz w:val="22"/>
                <w:szCs w:val="22"/>
              </w:rPr>
            </w:pPr>
            <w:r>
              <w:rPr>
                <w:b/>
                <w:color w:val="000000" w:themeColor="text1"/>
                <w:sz w:val="22"/>
              </w:rPr>
              <w:t xml:space="preserve">OBJETIVO </w:t>
            </w:r>
            <w:r w:rsidR="00A66C51">
              <w:rPr>
                <w:b/>
                <w:color w:val="000000" w:themeColor="text1"/>
                <w:sz w:val="22"/>
              </w:rPr>
              <w:t>ESTRATÉGICO</w:t>
            </w:r>
          </w:p>
          <w:p w14:paraId="27729EF1" w14:textId="77777777" w:rsidR="00A66C51" w:rsidRPr="00493A9B" w:rsidRDefault="00A66C51" w:rsidP="00493A9B">
            <w:pPr>
              <w:keepNext/>
              <w:rPr>
                <w:rFonts w:eastAsia="Calibri"/>
                <w:b/>
                <w:bCs/>
                <w:color w:val="000000" w:themeColor="text1"/>
                <w:sz w:val="22"/>
                <w:szCs w:val="22"/>
              </w:rPr>
            </w:pPr>
            <w:r>
              <w:rPr>
                <w:b/>
                <w:color w:val="000000" w:themeColor="text1"/>
                <w:sz w:val="22"/>
              </w:rPr>
              <w:t xml:space="preserve"> </w:t>
            </w:r>
          </w:p>
          <w:p w14:paraId="7348506D" w14:textId="77777777" w:rsidR="00A66C51" w:rsidRPr="00493A9B" w:rsidRDefault="00A66C51" w:rsidP="00493A9B">
            <w:pPr>
              <w:keepNext/>
              <w:rPr>
                <w:b/>
                <w:bCs/>
                <w:color w:val="000000" w:themeColor="text1"/>
                <w:sz w:val="22"/>
                <w:szCs w:val="22"/>
              </w:rPr>
            </w:pPr>
          </w:p>
        </w:tc>
        <w:tc>
          <w:tcPr>
            <w:tcW w:w="10350" w:type="dxa"/>
            <w:gridSpan w:val="4"/>
            <w:tcBorders>
              <w:top w:val="single" w:sz="6" w:space="0" w:color="000000"/>
              <w:bottom w:val="single" w:sz="6" w:space="0" w:color="000000"/>
            </w:tcBorders>
            <w:shd w:val="clear" w:color="auto" w:fill="BFBFBF" w:themeFill="background1" w:themeFillShade="BF"/>
          </w:tcPr>
          <w:p w14:paraId="38424D60" w14:textId="77777777" w:rsidR="00A66C51" w:rsidRPr="00493A9B" w:rsidRDefault="00A66C51" w:rsidP="00493A9B">
            <w:pPr>
              <w:keepNext/>
              <w:rPr>
                <w:b/>
                <w:bCs/>
                <w:color w:val="000000" w:themeColor="text1"/>
                <w:sz w:val="22"/>
                <w:szCs w:val="22"/>
              </w:rPr>
            </w:pPr>
            <w:r>
              <w:rPr>
                <w:b/>
                <w:color w:val="000000" w:themeColor="text1"/>
                <w:sz w:val="22"/>
              </w:rPr>
              <w:t>2.5. Promover a capacidade dos Estados membros na gestão sustentável da energia, priorizando a promoção de energias limpas, renováveis e ambientalmente sustentáveis e a eficiência energética, de acordo com os objetivos e bases de ação dispostos na Seção 3.5 do PIDS.</w:t>
            </w:r>
          </w:p>
        </w:tc>
      </w:tr>
      <w:tr w:rsidR="00A66C51" w:rsidRPr="00493A9B" w14:paraId="0E10A865" w14:textId="77777777" w:rsidTr="00A66C51">
        <w:trPr>
          <w:gridAfter w:val="1"/>
          <w:wAfter w:w="15" w:type="dxa"/>
          <w:trHeight w:val="345"/>
          <w:jc w:val="center"/>
        </w:trPr>
        <w:tc>
          <w:tcPr>
            <w:tcW w:w="13575" w:type="dxa"/>
            <w:gridSpan w:val="5"/>
            <w:tcBorders>
              <w:top w:val="single" w:sz="6" w:space="0" w:color="000000"/>
            </w:tcBorders>
            <w:shd w:val="clear" w:color="auto" w:fill="D9D9D9" w:themeFill="background1" w:themeFillShade="D9"/>
          </w:tcPr>
          <w:p w14:paraId="0E69DB59" w14:textId="77777777" w:rsidR="00A66C51" w:rsidRPr="00493A9B" w:rsidRDefault="00A66C51" w:rsidP="00493A9B">
            <w:pPr>
              <w:keepNext/>
              <w:rPr>
                <w:b/>
                <w:bCs/>
                <w:color w:val="000000" w:themeColor="text1"/>
                <w:sz w:val="22"/>
                <w:szCs w:val="22"/>
              </w:rPr>
            </w:pPr>
            <w:r>
              <w:rPr>
                <w:b/>
                <w:color w:val="000000" w:themeColor="text1"/>
                <w:sz w:val="22"/>
              </w:rPr>
              <w:t>Energia</w:t>
            </w:r>
          </w:p>
        </w:tc>
      </w:tr>
      <w:tr w:rsidR="007A4100" w:rsidRPr="00493A9B" w14:paraId="679F6842" w14:textId="77777777" w:rsidTr="00A66C51">
        <w:trPr>
          <w:gridAfter w:val="1"/>
          <w:wAfter w:w="15" w:type="dxa"/>
          <w:trHeight w:val="2130"/>
          <w:jc w:val="center"/>
        </w:trPr>
        <w:tc>
          <w:tcPr>
            <w:tcW w:w="3225" w:type="dxa"/>
            <w:vMerge w:val="restart"/>
            <w:shd w:val="clear" w:color="auto" w:fill="auto"/>
            <w:hideMark/>
          </w:tcPr>
          <w:p w14:paraId="3018F3F9" w14:textId="77777777" w:rsidR="007A4100" w:rsidRPr="00E232B9" w:rsidRDefault="007A4100" w:rsidP="00493A9B">
            <w:pPr>
              <w:rPr>
                <w:color w:val="000000" w:themeColor="text1"/>
                <w:sz w:val="22"/>
                <w:szCs w:val="22"/>
              </w:rPr>
            </w:pPr>
            <w:r w:rsidRPr="00E232B9">
              <w:rPr>
                <w:b/>
                <w:color w:val="000000" w:themeColor="text1"/>
                <w:sz w:val="22"/>
              </w:rPr>
              <w:t>Parceria em Energia e Clima para as Américas (ECPA)</w:t>
            </w:r>
          </w:p>
        </w:tc>
        <w:tc>
          <w:tcPr>
            <w:tcW w:w="4320" w:type="dxa"/>
            <w:gridSpan w:val="2"/>
            <w:vMerge w:val="restart"/>
            <w:shd w:val="clear" w:color="auto" w:fill="auto"/>
            <w:hideMark/>
          </w:tcPr>
          <w:p w14:paraId="485463A9" w14:textId="77777777" w:rsidR="007A4100" w:rsidRPr="00493A9B" w:rsidRDefault="007A4100" w:rsidP="00493A9B">
            <w:pPr>
              <w:rPr>
                <w:color w:val="000000" w:themeColor="text1"/>
                <w:sz w:val="22"/>
                <w:szCs w:val="22"/>
              </w:rPr>
            </w:pPr>
            <w:r>
              <w:rPr>
                <w:color w:val="000000" w:themeColor="text1"/>
                <w:sz w:val="22"/>
              </w:rPr>
              <w:t>Contribuir para o desenvolvimento de mercados que promovam as energias renováveis e o gás natural, criem empregos e fomentem o crescimento com baixo teor de carbono.</w:t>
            </w:r>
          </w:p>
          <w:p w14:paraId="688019D1" w14:textId="77777777" w:rsidR="007A4100" w:rsidRPr="00493A9B" w:rsidRDefault="007A4100" w:rsidP="00493A9B">
            <w:pPr>
              <w:rPr>
                <w:color w:val="000000" w:themeColor="text1"/>
                <w:sz w:val="22"/>
                <w:szCs w:val="22"/>
              </w:rPr>
            </w:pPr>
          </w:p>
          <w:p w14:paraId="156B5573" w14:textId="77777777" w:rsidR="007A4100" w:rsidRPr="00493A9B" w:rsidRDefault="007A4100" w:rsidP="00493A9B">
            <w:pPr>
              <w:rPr>
                <w:color w:val="000000" w:themeColor="text1"/>
                <w:sz w:val="22"/>
                <w:szCs w:val="22"/>
              </w:rPr>
            </w:pPr>
            <w:r>
              <w:rPr>
                <w:color w:val="000000" w:themeColor="text1"/>
                <w:sz w:val="22"/>
              </w:rPr>
              <w:t>A energia é de suma importância para o desenvolvimento integral. As principais motivações dos Estados membros no se refere à tomada de decisões sobre seus setores energéticos são a oferta, a procura e o custo. As transições para a energia limpa que estão acontecendo em nível regional proporcionam uma oportunidade renovada para estimular o crescimento econômico e social sustentável.</w:t>
            </w:r>
          </w:p>
          <w:p w14:paraId="51B9CD2E" w14:textId="77777777" w:rsidR="007A4100" w:rsidRPr="00493A9B" w:rsidRDefault="007A4100" w:rsidP="00493A9B">
            <w:pPr>
              <w:rPr>
                <w:color w:val="000000" w:themeColor="text1"/>
                <w:sz w:val="22"/>
                <w:szCs w:val="22"/>
              </w:rPr>
            </w:pPr>
          </w:p>
          <w:p w14:paraId="60014496" w14:textId="77777777" w:rsidR="007A4100" w:rsidRPr="00493A9B" w:rsidRDefault="007A4100" w:rsidP="00493A9B">
            <w:pPr>
              <w:rPr>
                <w:color w:val="000000" w:themeColor="text1"/>
                <w:sz w:val="22"/>
                <w:szCs w:val="22"/>
              </w:rPr>
            </w:pPr>
            <w:r>
              <w:rPr>
                <w:color w:val="000000" w:themeColor="text1"/>
                <w:sz w:val="22"/>
              </w:rPr>
              <w:t>As ações feitas no âmbito deste Objetivo Estratégico contribuem também para os Objetivos Estratégicos 2.1, 2.3, e 2.4.</w:t>
            </w:r>
          </w:p>
        </w:tc>
        <w:tc>
          <w:tcPr>
            <w:tcW w:w="3330" w:type="dxa"/>
            <w:shd w:val="clear" w:color="auto" w:fill="auto"/>
            <w:hideMark/>
          </w:tcPr>
          <w:p w14:paraId="2BB11765" w14:textId="77777777" w:rsidR="007A4100" w:rsidRPr="00493A9B" w:rsidRDefault="007A4100" w:rsidP="00493A9B">
            <w:pPr>
              <w:rPr>
                <w:color w:val="000000" w:themeColor="text1"/>
                <w:sz w:val="22"/>
                <w:szCs w:val="22"/>
              </w:rPr>
            </w:pPr>
            <w:r>
              <w:rPr>
                <w:color w:val="000000" w:themeColor="text1"/>
                <w:sz w:val="22"/>
              </w:rPr>
              <w:t>Parcerias com o setor privado para gerar impacto social e ambiental positivo em termos de segurança, acesso e viabilidade financeira da energia; aumentar a resiliência e confiabilidade dos sistemas energéticos; e promover o conceito de transições energéticas como motores para o desenvolvimento sustentável, o crescimento e a recuperação econômica no contexto da pandemia de covid-19. Resultados específicos esperados:</w:t>
            </w:r>
          </w:p>
        </w:tc>
        <w:tc>
          <w:tcPr>
            <w:tcW w:w="2700" w:type="dxa"/>
            <w:vMerge w:val="restart"/>
            <w:shd w:val="clear" w:color="auto" w:fill="auto"/>
            <w:hideMark/>
          </w:tcPr>
          <w:p w14:paraId="43DB3C8E" w14:textId="77777777" w:rsidR="007A4100" w:rsidRPr="00493A9B" w:rsidRDefault="007A4100" w:rsidP="00493A9B">
            <w:pPr>
              <w:contextualSpacing/>
              <w:rPr>
                <w:color w:val="000000" w:themeColor="text1"/>
                <w:sz w:val="22"/>
                <w:szCs w:val="22"/>
              </w:rPr>
            </w:pPr>
            <w:r>
              <w:rPr>
                <w:b/>
                <w:color w:val="000000" w:themeColor="text1"/>
                <w:sz w:val="22"/>
              </w:rPr>
              <w:t>Internas (OEA):</w:t>
            </w:r>
            <w:r>
              <w:rPr>
                <w:color w:val="000000" w:themeColor="text1"/>
                <w:sz w:val="22"/>
              </w:rPr>
              <w:t xml:space="preserve"> DDE/SEDI (Possibilidade de envolvimento com FCA/ACE, S&amp;T ministerial, e SBCs), CICTE. </w:t>
            </w:r>
          </w:p>
          <w:p w14:paraId="4CAEFCA3" w14:textId="77777777" w:rsidR="007A4100" w:rsidRPr="00493A9B" w:rsidRDefault="007A4100" w:rsidP="00493A9B">
            <w:pPr>
              <w:contextualSpacing/>
              <w:rPr>
                <w:color w:val="000000" w:themeColor="text1"/>
                <w:sz w:val="22"/>
                <w:szCs w:val="22"/>
              </w:rPr>
            </w:pPr>
          </w:p>
          <w:p w14:paraId="701EC604" w14:textId="77777777" w:rsidR="007A4100" w:rsidRPr="00493A9B" w:rsidRDefault="007A4100" w:rsidP="00493A9B">
            <w:pPr>
              <w:contextualSpacing/>
              <w:rPr>
                <w:color w:val="000000" w:themeColor="text1"/>
                <w:sz w:val="22"/>
                <w:szCs w:val="22"/>
              </w:rPr>
            </w:pPr>
            <w:r>
              <w:rPr>
                <w:b/>
                <w:color w:val="000000" w:themeColor="text1"/>
                <w:sz w:val="22"/>
              </w:rPr>
              <w:t>Externas:</w:t>
            </w:r>
            <w:r>
              <w:rPr>
                <w:color w:val="000000" w:themeColor="text1"/>
                <w:sz w:val="22"/>
              </w:rPr>
              <w:t xml:space="preserve"> Programa Compete Caribe/BID como possível parceiro.</w:t>
            </w:r>
          </w:p>
        </w:tc>
      </w:tr>
      <w:tr w:rsidR="007A4100" w:rsidRPr="00493A9B" w14:paraId="507F499B" w14:textId="77777777" w:rsidTr="00A66C51">
        <w:trPr>
          <w:gridAfter w:val="1"/>
          <w:wAfter w:w="15" w:type="dxa"/>
          <w:trHeight w:val="555"/>
          <w:jc w:val="center"/>
        </w:trPr>
        <w:tc>
          <w:tcPr>
            <w:tcW w:w="3225" w:type="dxa"/>
            <w:vMerge/>
            <w:shd w:val="clear" w:color="auto" w:fill="auto"/>
            <w:vAlign w:val="center"/>
            <w:hideMark/>
          </w:tcPr>
          <w:p w14:paraId="696F9FE3" w14:textId="77777777" w:rsidR="007A4100" w:rsidRPr="00493A9B" w:rsidRDefault="007A4100" w:rsidP="00493A9B">
            <w:pPr>
              <w:rPr>
                <w:color w:val="000000" w:themeColor="text1"/>
                <w:sz w:val="22"/>
                <w:szCs w:val="22"/>
              </w:rPr>
            </w:pPr>
          </w:p>
        </w:tc>
        <w:tc>
          <w:tcPr>
            <w:tcW w:w="4320" w:type="dxa"/>
            <w:gridSpan w:val="2"/>
            <w:vMerge/>
            <w:shd w:val="clear" w:color="auto" w:fill="auto"/>
            <w:vAlign w:val="center"/>
            <w:hideMark/>
          </w:tcPr>
          <w:p w14:paraId="7A55C797" w14:textId="77777777" w:rsidR="007A4100" w:rsidRPr="00493A9B" w:rsidRDefault="007A4100" w:rsidP="00493A9B">
            <w:pPr>
              <w:rPr>
                <w:color w:val="000000" w:themeColor="text1"/>
                <w:sz w:val="22"/>
                <w:szCs w:val="22"/>
              </w:rPr>
            </w:pPr>
          </w:p>
        </w:tc>
        <w:tc>
          <w:tcPr>
            <w:tcW w:w="3330" w:type="dxa"/>
            <w:shd w:val="clear" w:color="auto" w:fill="auto"/>
            <w:hideMark/>
          </w:tcPr>
          <w:p w14:paraId="47D6DCEC" w14:textId="77777777" w:rsidR="007A4100" w:rsidRPr="00493A9B" w:rsidRDefault="007A4100" w:rsidP="00493A9B">
            <w:pPr>
              <w:rPr>
                <w:color w:val="000000" w:themeColor="text1"/>
                <w:sz w:val="22"/>
                <w:szCs w:val="22"/>
              </w:rPr>
            </w:pPr>
            <w:r>
              <w:rPr>
                <w:color w:val="000000" w:themeColor="text1"/>
                <w:sz w:val="22"/>
              </w:rPr>
              <w:t>Desenvolvimento da estratégia para promover o impacto da energia limpa investindo nos mercados da América Latina e do Caribe.</w:t>
            </w:r>
          </w:p>
        </w:tc>
        <w:tc>
          <w:tcPr>
            <w:tcW w:w="2700" w:type="dxa"/>
            <w:vMerge/>
            <w:shd w:val="clear" w:color="auto" w:fill="auto"/>
            <w:vAlign w:val="center"/>
            <w:hideMark/>
          </w:tcPr>
          <w:p w14:paraId="18E62753" w14:textId="77777777" w:rsidR="007A4100" w:rsidRPr="00493A9B" w:rsidRDefault="007A4100" w:rsidP="00493A9B">
            <w:pPr>
              <w:rPr>
                <w:color w:val="000000" w:themeColor="text1"/>
                <w:sz w:val="22"/>
                <w:szCs w:val="22"/>
              </w:rPr>
            </w:pPr>
          </w:p>
        </w:tc>
      </w:tr>
      <w:tr w:rsidR="007A4100" w:rsidRPr="00493A9B" w14:paraId="40A35932" w14:textId="77777777" w:rsidTr="00A66C51">
        <w:trPr>
          <w:gridAfter w:val="1"/>
          <w:wAfter w:w="15" w:type="dxa"/>
          <w:trHeight w:val="555"/>
          <w:jc w:val="center"/>
        </w:trPr>
        <w:tc>
          <w:tcPr>
            <w:tcW w:w="3225" w:type="dxa"/>
            <w:vMerge/>
            <w:shd w:val="clear" w:color="auto" w:fill="auto"/>
            <w:vAlign w:val="center"/>
            <w:hideMark/>
          </w:tcPr>
          <w:p w14:paraId="3E37B0D3" w14:textId="77777777" w:rsidR="007A4100" w:rsidRPr="00493A9B" w:rsidRDefault="007A4100" w:rsidP="00493A9B">
            <w:pPr>
              <w:rPr>
                <w:color w:val="000000" w:themeColor="text1"/>
                <w:sz w:val="22"/>
                <w:szCs w:val="22"/>
              </w:rPr>
            </w:pPr>
          </w:p>
        </w:tc>
        <w:tc>
          <w:tcPr>
            <w:tcW w:w="4320" w:type="dxa"/>
            <w:gridSpan w:val="2"/>
            <w:vMerge/>
            <w:shd w:val="clear" w:color="auto" w:fill="auto"/>
            <w:vAlign w:val="center"/>
            <w:hideMark/>
          </w:tcPr>
          <w:p w14:paraId="79876F9B" w14:textId="77777777" w:rsidR="007A4100" w:rsidRPr="00493A9B" w:rsidRDefault="007A4100" w:rsidP="00493A9B">
            <w:pPr>
              <w:rPr>
                <w:color w:val="000000" w:themeColor="text1"/>
                <w:sz w:val="22"/>
                <w:szCs w:val="22"/>
              </w:rPr>
            </w:pPr>
          </w:p>
        </w:tc>
        <w:tc>
          <w:tcPr>
            <w:tcW w:w="3330" w:type="dxa"/>
            <w:shd w:val="clear" w:color="auto" w:fill="auto"/>
            <w:hideMark/>
          </w:tcPr>
          <w:p w14:paraId="5BD18F28" w14:textId="77777777" w:rsidR="007A4100" w:rsidRPr="00493A9B" w:rsidRDefault="007A4100" w:rsidP="00493A9B">
            <w:pPr>
              <w:rPr>
                <w:color w:val="000000" w:themeColor="text1"/>
                <w:sz w:val="22"/>
                <w:szCs w:val="22"/>
              </w:rPr>
            </w:pPr>
            <w:r>
              <w:rPr>
                <w:color w:val="000000" w:themeColor="text1"/>
                <w:sz w:val="22"/>
              </w:rPr>
              <w:t>Capacitação e treinamento em resiliência de sistemas de energia.</w:t>
            </w:r>
          </w:p>
        </w:tc>
        <w:tc>
          <w:tcPr>
            <w:tcW w:w="2700" w:type="dxa"/>
            <w:vMerge/>
            <w:shd w:val="clear" w:color="auto" w:fill="auto"/>
            <w:vAlign w:val="center"/>
            <w:hideMark/>
          </w:tcPr>
          <w:p w14:paraId="116DE97F" w14:textId="77777777" w:rsidR="007A4100" w:rsidRPr="00493A9B" w:rsidRDefault="007A4100" w:rsidP="00493A9B">
            <w:pPr>
              <w:rPr>
                <w:color w:val="000000" w:themeColor="text1"/>
                <w:sz w:val="22"/>
                <w:szCs w:val="22"/>
              </w:rPr>
            </w:pPr>
          </w:p>
        </w:tc>
      </w:tr>
      <w:tr w:rsidR="007A4100" w:rsidRPr="00493A9B" w14:paraId="37B9D29E" w14:textId="77777777" w:rsidTr="00A66C51">
        <w:trPr>
          <w:gridAfter w:val="1"/>
          <w:wAfter w:w="15" w:type="dxa"/>
          <w:trHeight w:val="555"/>
          <w:jc w:val="center"/>
        </w:trPr>
        <w:tc>
          <w:tcPr>
            <w:tcW w:w="3225" w:type="dxa"/>
            <w:vMerge/>
            <w:shd w:val="clear" w:color="auto" w:fill="auto"/>
            <w:vAlign w:val="center"/>
            <w:hideMark/>
          </w:tcPr>
          <w:p w14:paraId="55A1A582" w14:textId="77777777" w:rsidR="007A4100" w:rsidRPr="00493A9B" w:rsidRDefault="007A4100" w:rsidP="00493A9B">
            <w:pPr>
              <w:rPr>
                <w:color w:val="000000" w:themeColor="text1"/>
                <w:sz w:val="22"/>
                <w:szCs w:val="22"/>
              </w:rPr>
            </w:pPr>
          </w:p>
        </w:tc>
        <w:tc>
          <w:tcPr>
            <w:tcW w:w="4320" w:type="dxa"/>
            <w:gridSpan w:val="2"/>
            <w:vMerge/>
            <w:shd w:val="clear" w:color="auto" w:fill="auto"/>
            <w:vAlign w:val="center"/>
            <w:hideMark/>
          </w:tcPr>
          <w:p w14:paraId="35575DF8" w14:textId="77777777" w:rsidR="007A4100" w:rsidRPr="00493A9B" w:rsidRDefault="007A4100" w:rsidP="00493A9B">
            <w:pPr>
              <w:rPr>
                <w:color w:val="000000" w:themeColor="text1"/>
                <w:sz w:val="22"/>
                <w:szCs w:val="22"/>
              </w:rPr>
            </w:pPr>
          </w:p>
        </w:tc>
        <w:tc>
          <w:tcPr>
            <w:tcW w:w="3330" w:type="dxa"/>
            <w:shd w:val="clear" w:color="auto" w:fill="auto"/>
            <w:hideMark/>
          </w:tcPr>
          <w:p w14:paraId="73BCC297" w14:textId="77777777" w:rsidR="007A4100" w:rsidRPr="00493A9B" w:rsidRDefault="007A4100" w:rsidP="00493A9B">
            <w:pPr>
              <w:rPr>
                <w:color w:val="000000" w:themeColor="text1"/>
                <w:sz w:val="22"/>
                <w:szCs w:val="22"/>
              </w:rPr>
            </w:pPr>
            <w:r>
              <w:rPr>
                <w:color w:val="000000" w:themeColor="text1"/>
                <w:sz w:val="22"/>
              </w:rPr>
              <w:t>Fortalecimento das medições nacionais de qualidade do ar e emissões de gases do efeito estufa.</w:t>
            </w:r>
          </w:p>
        </w:tc>
        <w:tc>
          <w:tcPr>
            <w:tcW w:w="2700" w:type="dxa"/>
            <w:vMerge/>
            <w:shd w:val="clear" w:color="auto" w:fill="auto"/>
            <w:vAlign w:val="center"/>
            <w:hideMark/>
          </w:tcPr>
          <w:p w14:paraId="2B821058" w14:textId="77777777" w:rsidR="007A4100" w:rsidRPr="00493A9B" w:rsidRDefault="007A4100" w:rsidP="00493A9B">
            <w:pPr>
              <w:rPr>
                <w:color w:val="000000" w:themeColor="text1"/>
                <w:sz w:val="22"/>
                <w:szCs w:val="22"/>
              </w:rPr>
            </w:pPr>
          </w:p>
        </w:tc>
      </w:tr>
      <w:tr w:rsidR="007A4100" w:rsidRPr="00493A9B" w14:paraId="5200D062" w14:textId="77777777" w:rsidTr="00A66C51">
        <w:trPr>
          <w:gridAfter w:val="1"/>
          <w:wAfter w:w="15" w:type="dxa"/>
          <w:trHeight w:val="555"/>
          <w:jc w:val="center"/>
        </w:trPr>
        <w:tc>
          <w:tcPr>
            <w:tcW w:w="3225" w:type="dxa"/>
            <w:tcBorders>
              <w:bottom w:val="single" w:sz="6" w:space="0" w:color="000000"/>
            </w:tcBorders>
            <w:shd w:val="clear" w:color="auto" w:fill="auto"/>
            <w:hideMark/>
          </w:tcPr>
          <w:p w14:paraId="6ED1B849" w14:textId="77777777" w:rsidR="007A4100" w:rsidRPr="00493A9B" w:rsidRDefault="007A4100" w:rsidP="00493A9B">
            <w:pPr>
              <w:rPr>
                <w:color w:val="000000" w:themeColor="text1"/>
                <w:sz w:val="22"/>
                <w:szCs w:val="22"/>
              </w:rPr>
            </w:pPr>
            <w:r>
              <w:rPr>
                <w:color w:val="000000" w:themeColor="text1"/>
                <w:sz w:val="22"/>
              </w:rPr>
              <w:t xml:space="preserve">Auditorias na área energética. Segurança cibernética e energia.  </w:t>
            </w:r>
          </w:p>
        </w:tc>
        <w:tc>
          <w:tcPr>
            <w:tcW w:w="4320" w:type="dxa"/>
            <w:gridSpan w:val="2"/>
            <w:vMerge/>
            <w:tcBorders>
              <w:bottom w:val="single" w:sz="6" w:space="0" w:color="000000"/>
            </w:tcBorders>
            <w:shd w:val="clear" w:color="auto" w:fill="auto"/>
            <w:vAlign w:val="center"/>
            <w:hideMark/>
          </w:tcPr>
          <w:p w14:paraId="7E97ADE5" w14:textId="77777777" w:rsidR="007A4100" w:rsidRPr="00493A9B" w:rsidRDefault="007A4100" w:rsidP="00493A9B">
            <w:pPr>
              <w:rPr>
                <w:color w:val="000000" w:themeColor="text1"/>
                <w:sz w:val="22"/>
                <w:szCs w:val="22"/>
              </w:rPr>
            </w:pPr>
          </w:p>
        </w:tc>
        <w:tc>
          <w:tcPr>
            <w:tcW w:w="3330" w:type="dxa"/>
            <w:tcBorders>
              <w:bottom w:val="single" w:sz="6" w:space="0" w:color="000000"/>
            </w:tcBorders>
            <w:shd w:val="clear" w:color="auto" w:fill="auto"/>
            <w:hideMark/>
          </w:tcPr>
          <w:p w14:paraId="1BF72141" w14:textId="77777777" w:rsidR="007A4100" w:rsidRPr="00493A9B" w:rsidRDefault="007A4100" w:rsidP="00493A9B">
            <w:pPr>
              <w:rPr>
                <w:color w:val="000000" w:themeColor="text1"/>
                <w:sz w:val="22"/>
                <w:szCs w:val="22"/>
              </w:rPr>
            </w:pPr>
            <w:r>
              <w:rPr>
                <w:color w:val="000000" w:themeColor="text1"/>
                <w:sz w:val="22"/>
              </w:rPr>
              <w:t xml:space="preserve">Possível parceria </w:t>
            </w:r>
            <w:r w:rsidR="00E232B9">
              <w:rPr>
                <w:color w:val="000000" w:themeColor="text1"/>
                <w:sz w:val="22"/>
              </w:rPr>
              <w:t xml:space="preserve">entre </w:t>
            </w:r>
            <w:r>
              <w:rPr>
                <w:color w:val="000000" w:themeColor="text1"/>
                <w:sz w:val="22"/>
              </w:rPr>
              <w:t>secretarias com o CICTE.</w:t>
            </w:r>
          </w:p>
        </w:tc>
        <w:tc>
          <w:tcPr>
            <w:tcW w:w="2700" w:type="dxa"/>
            <w:vMerge/>
            <w:tcBorders>
              <w:bottom w:val="single" w:sz="6" w:space="0" w:color="000000"/>
            </w:tcBorders>
            <w:shd w:val="clear" w:color="auto" w:fill="auto"/>
            <w:vAlign w:val="center"/>
            <w:hideMark/>
          </w:tcPr>
          <w:p w14:paraId="72C38637" w14:textId="77777777" w:rsidR="007A4100" w:rsidRPr="00493A9B" w:rsidRDefault="007A4100" w:rsidP="00493A9B">
            <w:pPr>
              <w:rPr>
                <w:color w:val="000000" w:themeColor="text1"/>
                <w:sz w:val="22"/>
                <w:szCs w:val="22"/>
              </w:rPr>
            </w:pPr>
          </w:p>
        </w:tc>
      </w:tr>
      <w:tr w:rsidR="00A66C51" w:rsidRPr="00493A9B" w14:paraId="5C63EC2C" w14:textId="77777777" w:rsidTr="00A66C51">
        <w:trPr>
          <w:gridAfter w:val="1"/>
          <w:wAfter w:w="15" w:type="dxa"/>
          <w:trHeight w:val="555"/>
          <w:jc w:val="center"/>
        </w:trPr>
        <w:tc>
          <w:tcPr>
            <w:tcW w:w="3225" w:type="dxa"/>
            <w:tcBorders>
              <w:top w:val="single" w:sz="6" w:space="0" w:color="000000"/>
              <w:bottom w:val="single" w:sz="6" w:space="0" w:color="000000"/>
            </w:tcBorders>
            <w:shd w:val="clear" w:color="auto" w:fill="BFBFBF" w:themeFill="background1" w:themeFillShade="BF"/>
          </w:tcPr>
          <w:p w14:paraId="044728BB" w14:textId="77777777" w:rsidR="00A66C51" w:rsidRPr="00493A9B" w:rsidRDefault="00E232B9" w:rsidP="00493A9B">
            <w:pPr>
              <w:rPr>
                <w:rFonts w:eastAsia="Calibri"/>
                <w:b/>
                <w:bCs/>
                <w:color w:val="000000" w:themeColor="text1"/>
                <w:sz w:val="22"/>
                <w:szCs w:val="22"/>
              </w:rPr>
            </w:pPr>
            <w:r>
              <w:rPr>
                <w:b/>
                <w:color w:val="000000" w:themeColor="text1"/>
                <w:sz w:val="22"/>
              </w:rPr>
              <w:t xml:space="preserve">OBJETIVO </w:t>
            </w:r>
            <w:r w:rsidR="00A66C51">
              <w:rPr>
                <w:b/>
                <w:color w:val="000000" w:themeColor="text1"/>
                <w:sz w:val="22"/>
              </w:rPr>
              <w:t xml:space="preserve">ESTRATÉGICO </w:t>
            </w:r>
          </w:p>
          <w:p w14:paraId="38F23B57" w14:textId="77777777" w:rsidR="00A66C51" w:rsidRPr="00493A9B" w:rsidRDefault="00A66C51" w:rsidP="00493A9B">
            <w:pPr>
              <w:rPr>
                <w:b/>
                <w:bCs/>
                <w:color w:val="000000" w:themeColor="text1"/>
                <w:sz w:val="22"/>
                <w:szCs w:val="22"/>
              </w:rPr>
            </w:pPr>
          </w:p>
        </w:tc>
        <w:tc>
          <w:tcPr>
            <w:tcW w:w="10350" w:type="dxa"/>
            <w:gridSpan w:val="4"/>
            <w:tcBorders>
              <w:top w:val="single" w:sz="6" w:space="0" w:color="000000"/>
              <w:bottom w:val="single" w:sz="6" w:space="0" w:color="000000"/>
            </w:tcBorders>
            <w:shd w:val="clear" w:color="auto" w:fill="BFBFBF" w:themeFill="background1" w:themeFillShade="BF"/>
          </w:tcPr>
          <w:p w14:paraId="3FDB554B" w14:textId="77777777" w:rsidR="00A66C51" w:rsidRPr="00493A9B" w:rsidRDefault="00A66C51" w:rsidP="00493A9B">
            <w:pPr>
              <w:rPr>
                <w:b/>
                <w:bCs/>
                <w:color w:val="000000" w:themeColor="text1"/>
                <w:sz w:val="22"/>
                <w:szCs w:val="22"/>
              </w:rPr>
            </w:pPr>
            <w:r>
              <w:rPr>
                <w:b/>
                <w:color w:val="000000" w:themeColor="text1"/>
                <w:sz w:val="22"/>
              </w:rPr>
              <w:t>2.6. Fortalecer a capacidade dos Estados membros de desenvolver instituições eficientes, eficazes, responsáveis e inclusivas para o desenvolvimento sustentável, de acordo com os objetivos e bases de ação dispostos na Seção 3.6 do PIDS.</w:t>
            </w:r>
          </w:p>
        </w:tc>
      </w:tr>
      <w:tr w:rsidR="00A66C51" w:rsidRPr="00493A9B" w14:paraId="3728CF88" w14:textId="77777777" w:rsidTr="00A66C51">
        <w:trPr>
          <w:gridAfter w:val="1"/>
          <w:wAfter w:w="15" w:type="dxa"/>
          <w:trHeight w:val="288"/>
          <w:jc w:val="center"/>
        </w:trPr>
        <w:tc>
          <w:tcPr>
            <w:tcW w:w="13575" w:type="dxa"/>
            <w:gridSpan w:val="5"/>
            <w:tcBorders>
              <w:top w:val="single" w:sz="6" w:space="0" w:color="000000"/>
            </w:tcBorders>
            <w:shd w:val="clear" w:color="auto" w:fill="D9D9D9" w:themeFill="background1" w:themeFillShade="D9"/>
          </w:tcPr>
          <w:p w14:paraId="00682A3B" w14:textId="77777777" w:rsidR="00A66C51" w:rsidRPr="00493A9B" w:rsidRDefault="00A66C51" w:rsidP="00493A9B">
            <w:pPr>
              <w:rPr>
                <w:b/>
                <w:bCs/>
                <w:color w:val="000000" w:themeColor="text1"/>
                <w:sz w:val="22"/>
                <w:szCs w:val="22"/>
              </w:rPr>
            </w:pPr>
            <w:r>
              <w:rPr>
                <w:b/>
                <w:color w:val="000000" w:themeColor="text1"/>
                <w:sz w:val="22"/>
              </w:rPr>
              <w:t>Comércio e meio ambiente:</w:t>
            </w:r>
          </w:p>
        </w:tc>
      </w:tr>
      <w:tr w:rsidR="00F3315F" w:rsidRPr="00493A9B" w14:paraId="4CDBB5DD" w14:textId="77777777" w:rsidTr="00A66C51">
        <w:trPr>
          <w:gridAfter w:val="1"/>
          <w:wAfter w:w="15" w:type="dxa"/>
          <w:trHeight w:val="555"/>
          <w:jc w:val="center"/>
        </w:trPr>
        <w:tc>
          <w:tcPr>
            <w:tcW w:w="3225" w:type="dxa"/>
            <w:vMerge w:val="restart"/>
            <w:shd w:val="clear" w:color="auto" w:fill="auto"/>
          </w:tcPr>
          <w:p w14:paraId="33AE73CB" w14:textId="77777777" w:rsidR="00F3315F" w:rsidRPr="00AB03EE" w:rsidRDefault="00F3315F" w:rsidP="00493A9B">
            <w:pPr>
              <w:rPr>
                <w:b/>
                <w:bCs/>
                <w:color w:val="000000" w:themeColor="text1"/>
                <w:sz w:val="22"/>
                <w:szCs w:val="22"/>
              </w:rPr>
            </w:pPr>
          </w:p>
          <w:p w14:paraId="469CFD60" w14:textId="77777777" w:rsidR="00F3315F" w:rsidRPr="00AB03EE" w:rsidRDefault="00F3315F" w:rsidP="00493A9B">
            <w:pPr>
              <w:rPr>
                <w:b/>
                <w:bCs/>
                <w:color w:val="000000" w:themeColor="text1"/>
                <w:sz w:val="22"/>
                <w:szCs w:val="22"/>
              </w:rPr>
            </w:pPr>
          </w:p>
          <w:p w14:paraId="0FB1226C" w14:textId="77777777" w:rsidR="00F3315F" w:rsidRPr="00AB03EE" w:rsidRDefault="00F3315F" w:rsidP="00493A9B">
            <w:pPr>
              <w:rPr>
                <w:rFonts w:eastAsia="Calibri"/>
                <w:color w:val="000000" w:themeColor="text1"/>
                <w:sz w:val="22"/>
                <w:szCs w:val="22"/>
              </w:rPr>
            </w:pPr>
            <w:r w:rsidRPr="00AB03EE">
              <w:rPr>
                <w:b/>
                <w:color w:val="000000" w:themeColor="text1"/>
                <w:sz w:val="22"/>
              </w:rPr>
              <w:t>Acordo de Promoção Comercial EUA-Peru (APC)</w:t>
            </w:r>
          </w:p>
        </w:tc>
        <w:tc>
          <w:tcPr>
            <w:tcW w:w="4320" w:type="dxa"/>
            <w:gridSpan w:val="2"/>
            <w:shd w:val="clear" w:color="auto" w:fill="auto"/>
            <w:vAlign w:val="center"/>
          </w:tcPr>
          <w:p w14:paraId="198234D8" w14:textId="77777777" w:rsidR="00F3315F" w:rsidRPr="00493A9B" w:rsidRDefault="00F3315F" w:rsidP="00493A9B">
            <w:pPr>
              <w:rPr>
                <w:color w:val="000000" w:themeColor="text1"/>
                <w:sz w:val="22"/>
                <w:szCs w:val="22"/>
              </w:rPr>
            </w:pPr>
          </w:p>
        </w:tc>
        <w:tc>
          <w:tcPr>
            <w:tcW w:w="3330" w:type="dxa"/>
            <w:shd w:val="clear" w:color="auto" w:fill="auto"/>
          </w:tcPr>
          <w:p w14:paraId="3332115F" w14:textId="77777777" w:rsidR="00F3315F" w:rsidRPr="00493A9B" w:rsidRDefault="00F3315F" w:rsidP="00493A9B">
            <w:pPr>
              <w:rPr>
                <w:color w:val="000000" w:themeColor="text1"/>
                <w:sz w:val="22"/>
                <w:szCs w:val="22"/>
              </w:rPr>
            </w:pPr>
            <w:r>
              <w:rPr>
                <w:color w:val="000000" w:themeColor="text1"/>
                <w:sz w:val="22"/>
              </w:rPr>
              <w:t>Apoio às operações da Secretaria para Solicitações sobre Assuntos de Cumprimento da Legislação Ambiental no âmbito do APC</w:t>
            </w:r>
          </w:p>
        </w:tc>
        <w:tc>
          <w:tcPr>
            <w:tcW w:w="2700" w:type="dxa"/>
            <w:shd w:val="clear" w:color="auto" w:fill="auto"/>
            <w:vAlign w:val="center"/>
          </w:tcPr>
          <w:p w14:paraId="22D12741" w14:textId="77777777" w:rsidR="00F3315F" w:rsidRPr="00493A9B" w:rsidRDefault="00F3315F" w:rsidP="00493A9B">
            <w:pPr>
              <w:rPr>
                <w:color w:val="000000" w:themeColor="text1"/>
                <w:sz w:val="22"/>
                <w:szCs w:val="22"/>
              </w:rPr>
            </w:pPr>
          </w:p>
        </w:tc>
      </w:tr>
      <w:tr w:rsidR="00F3315F" w:rsidRPr="00493A9B" w14:paraId="0358421E" w14:textId="77777777" w:rsidTr="00A66C51">
        <w:trPr>
          <w:gridAfter w:val="1"/>
          <w:wAfter w:w="15" w:type="dxa"/>
          <w:trHeight w:val="555"/>
          <w:jc w:val="center"/>
        </w:trPr>
        <w:tc>
          <w:tcPr>
            <w:tcW w:w="3225" w:type="dxa"/>
            <w:vMerge/>
            <w:shd w:val="clear" w:color="auto" w:fill="auto"/>
          </w:tcPr>
          <w:p w14:paraId="23DCC38B" w14:textId="77777777" w:rsidR="00F3315F" w:rsidRPr="00493A9B" w:rsidRDefault="00F3315F" w:rsidP="00493A9B">
            <w:pPr>
              <w:rPr>
                <w:rFonts w:eastAsia="Calibri"/>
                <w:color w:val="000000" w:themeColor="text1"/>
                <w:sz w:val="22"/>
                <w:szCs w:val="22"/>
              </w:rPr>
            </w:pPr>
          </w:p>
        </w:tc>
        <w:tc>
          <w:tcPr>
            <w:tcW w:w="4320" w:type="dxa"/>
            <w:gridSpan w:val="2"/>
            <w:shd w:val="clear" w:color="auto" w:fill="auto"/>
            <w:vAlign w:val="center"/>
          </w:tcPr>
          <w:p w14:paraId="67466052" w14:textId="77777777" w:rsidR="00F3315F" w:rsidRPr="00493A9B" w:rsidRDefault="00F3315F" w:rsidP="00493A9B">
            <w:pPr>
              <w:rPr>
                <w:color w:val="000000" w:themeColor="text1"/>
                <w:sz w:val="22"/>
                <w:szCs w:val="22"/>
              </w:rPr>
            </w:pPr>
          </w:p>
        </w:tc>
        <w:tc>
          <w:tcPr>
            <w:tcW w:w="3330" w:type="dxa"/>
            <w:shd w:val="clear" w:color="auto" w:fill="auto"/>
          </w:tcPr>
          <w:p w14:paraId="11EA05CE" w14:textId="77777777" w:rsidR="00F3315F" w:rsidRPr="00493A9B" w:rsidRDefault="00F3315F" w:rsidP="00493A9B">
            <w:pPr>
              <w:rPr>
                <w:color w:val="000000" w:themeColor="text1"/>
                <w:sz w:val="22"/>
                <w:szCs w:val="22"/>
              </w:rPr>
            </w:pPr>
            <w:r>
              <w:rPr>
                <w:color w:val="000000" w:themeColor="text1"/>
                <w:sz w:val="22"/>
              </w:rPr>
              <w:t>Desenvolvimento do plano estratégico e atualização da estratégia de comunicação: Mais conhecimento entre as partes interessadas do Peru e dos EUA sobre a Secretaria e seu papel e funções, bem como do processo contínuo de encaminhamento de solicitações.</w:t>
            </w:r>
          </w:p>
        </w:tc>
        <w:tc>
          <w:tcPr>
            <w:tcW w:w="2700" w:type="dxa"/>
            <w:shd w:val="clear" w:color="auto" w:fill="auto"/>
            <w:vAlign w:val="center"/>
          </w:tcPr>
          <w:p w14:paraId="59ED6569" w14:textId="77777777" w:rsidR="00F3315F" w:rsidRPr="00493A9B" w:rsidRDefault="00F3315F" w:rsidP="00493A9B">
            <w:pPr>
              <w:rPr>
                <w:color w:val="000000" w:themeColor="text1"/>
                <w:sz w:val="22"/>
                <w:szCs w:val="22"/>
              </w:rPr>
            </w:pPr>
          </w:p>
        </w:tc>
      </w:tr>
      <w:tr w:rsidR="00F3315F" w:rsidRPr="00493A9B" w14:paraId="2387BF63" w14:textId="77777777" w:rsidTr="00A66C51">
        <w:trPr>
          <w:gridAfter w:val="1"/>
          <w:wAfter w:w="15" w:type="dxa"/>
          <w:trHeight w:val="555"/>
          <w:jc w:val="center"/>
        </w:trPr>
        <w:tc>
          <w:tcPr>
            <w:tcW w:w="3225" w:type="dxa"/>
            <w:vMerge/>
            <w:shd w:val="clear" w:color="auto" w:fill="auto"/>
          </w:tcPr>
          <w:p w14:paraId="6BED2B9F" w14:textId="77777777" w:rsidR="00F3315F" w:rsidRPr="00493A9B" w:rsidRDefault="00F3315F" w:rsidP="00493A9B">
            <w:pPr>
              <w:rPr>
                <w:rFonts w:eastAsia="Calibri"/>
                <w:color w:val="000000" w:themeColor="text1"/>
                <w:sz w:val="22"/>
                <w:szCs w:val="22"/>
              </w:rPr>
            </w:pPr>
          </w:p>
        </w:tc>
        <w:tc>
          <w:tcPr>
            <w:tcW w:w="4320" w:type="dxa"/>
            <w:gridSpan w:val="2"/>
            <w:shd w:val="clear" w:color="auto" w:fill="auto"/>
            <w:vAlign w:val="center"/>
          </w:tcPr>
          <w:p w14:paraId="04AF71D8" w14:textId="77777777" w:rsidR="00F3315F" w:rsidRPr="00493A9B" w:rsidRDefault="00F3315F" w:rsidP="00493A9B">
            <w:pPr>
              <w:rPr>
                <w:color w:val="000000" w:themeColor="text1"/>
                <w:sz w:val="22"/>
                <w:szCs w:val="22"/>
              </w:rPr>
            </w:pPr>
          </w:p>
        </w:tc>
        <w:tc>
          <w:tcPr>
            <w:tcW w:w="3330" w:type="dxa"/>
            <w:shd w:val="clear" w:color="auto" w:fill="auto"/>
          </w:tcPr>
          <w:p w14:paraId="59AF2157" w14:textId="77777777" w:rsidR="00F3315F" w:rsidRPr="00493A9B" w:rsidRDefault="00F3315F" w:rsidP="00493A9B">
            <w:pPr>
              <w:rPr>
                <w:color w:val="000000" w:themeColor="text1"/>
                <w:sz w:val="22"/>
                <w:szCs w:val="22"/>
              </w:rPr>
            </w:pPr>
            <w:r>
              <w:rPr>
                <w:color w:val="000000" w:themeColor="text1"/>
                <w:sz w:val="22"/>
              </w:rPr>
              <w:t>Recebimento e processamento das solicitações encaminhadas nos termos do artigo 18.8 e elaboração de registros factuais nos termos do artigo 18.9 do Acordo de Cooperação Ambiental EUA-Peru.</w:t>
            </w:r>
          </w:p>
        </w:tc>
        <w:tc>
          <w:tcPr>
            <w:tcW w:w="2700" w:type="dxa"/>
            <w:shd w:val="clear" w:color="auto" w:fill="auto"/>
            <w:vAlign w:val="center"/>
          </w:tcPr>
          <w:p w14:paraId="2E9EF773" w14:textId="77777777" w:rsidR="00F3315F" w:rsidRPr="00493A9B" w:rsidRDefault="00F3315F" w:rsidP="00493A9B">
            <w:pPr>
              <w:rPr>
                <w:color w:val="000000" w:themeColor="text1"/>
                <w:sz w:val="22"/>
                <w:szCs w:val="22"/>
              </w:rPr>
            </w:pPr>
          </w:p>
        </w:tc>
      </w:tr>
      <w:tr w:rsidR="00F3315F" w:rsidRPr="00493A9B" w14:paraId="5CD002CC" w14:textId="77777777" w:rsidTr="00A66C51">
        <w:trPr>
          <w:gridAfter w:val="1"/>
          <w:wAfter w:w="15" w:type="dxa"/>
          <w:trHeight w:val="555"/>
          <w:jc w:val="center"/>
        </w:trPr>
        <w:tc>
          <w:tcPr>
            <w:tcW w:w="3225" w:type="dxa"/>
            <w:vMerge/>
            <w:shd w:val="clear" w:color="auto" w:fill="auto"/>
          </w:tcPr>
          <w:p w14:paraId="29C5ECD1" w14:textId="77777777" w:rsidR="00F3315F" w:rsidRPr="00493A9B" w:rsidRDefault="00F3315F" w:rsidP="00493A9B">
            <w:pPr>
              <w:rPr>
                <w:rFonts w:eastAsia="Calibri"/>
                <w:color w:val="000000" w:themeColor="text1"/>
                <w:sz w:val="22"/>
                <w:szCs w:val="22"/>
              </w:rPr>
            </w:pPr>
          </w:p>
        </w:tc>
        <w:tc>
          <w:tcPr>
            <w:tcW w:w="4320" w:type="dxa"/>
            <w:gridSpan w:val="2"/>
            <w:shd w:val="clear" w:color="auto" w:fill="auto"/>
            <w:vAlign w:val="center"/>
          </w:tcPr>
          <w:p w14:paraId="291ADC14" w14:textId="77777777" w:rsidR="00F3315F" w:rsidRPr="00493A9B" w:rsidRDefault="00F3315F" w:rsidP="00493A9B">
            <w:pPr>
              <w:rPr>
                <w:color w:val="000000" w:themeColor="text1"/>
                <w:sz w:val="22"/>
                <w:szCs w:val="22"/>
              </w:rPr>
            </w:pPr>
          </w:p>
        </w:tc>
        <w:tc>
          <w:tcPr>
            <w:tcW w:w="3330" w:type="dxa"/>
            <w:shd w:val="clear" w:color="auto" w:fill="auto"/>
          </w:tcPr>
          <w:p w14:paraId="0679B00E" w14:textId="77777777" w:rsidR="00F3315F" w:rsidRPr="00493A9B" w:rsidRDefault="00F3315F" w:rsidP="00493A9B">
            <w:pPr>
              <w:rPr>
                <w:color w:val="000000" w:themeColor="text1"/>
                <w:sz w:val="22"/>
                <w:szCs w:val="22"/>
              </w:rPr>
            </w:pPr>
            <w:r>
              <w:rPr>
                <w:color w:val="000000" w:themeColor="text1"/>
                <w:sz w:val="22"/>
              </w:rPr>
              <w:t>Melhoria da governança ambiental e da prestação de contas no Peru e nos EUA em conformidade com o APC</w:t>
            </w:r>
          </w:p>
        </w:tc>
        <w:tc>
          <w:tcPr>
            <w:tcW w:w="2700" w:type="dxa"/>
            <w:shd w:val="clear" w:color="auto" w:fill="auto"/>
            <w:vAlign w:val="center"/>
          </w:tcPr>
          <w:p w14:paraId="0563B2D3" w14:textId="77777777" w:rsidR="00F3315F" w:rsidRPr="00493A9B" w:rsidRDefault="00F3315F" w:rsidP="00493A9B">
            <w:pPr>
              <w:rPr>
                <w:color w:val="000000" w:themeColor="text1"/>
                <w:sz w:val="22"/>
                <w:szCs w:val="22"/>
              </w:rPr>
            </w:pPr>
          </w:p>
        </w:tc>
      </w:tr>
    </w:tbl>
    <w:p w14:paraId="33082427" w14:textId="77777777" w:rsidR="001B2FA7" w:rsidRPr="00493A9B" w:rsidRDefault="001B2FA7" w:rsidP="00493A9B">
      <w:pPr>
        <w:rPr>
          <w:color w:val="000000" w:themeColor="text1"/>
          <w:sz w:val="22"/>
          <w:szCs w:val="22"/>
        </w:rPr>
      </w:pPr>
    </w:p>
    <w:p w14:paraId="5A5FB00D" w14:textId="77777777" w:rsidR="001B2FA7" w:rsidRPr="00493A9B" w:rsidRDefault="001B2FA7" w:rsidP="00493A9B">
      <w:pPr>
        <w:spacing w:after="160" w:line="259" w:lineRule="auto"/>
        <w:rPr>
          <w:sz w:val="22"/>
          <w:szCs w:val="22"/>
        </w:rPr>
      </w:pPr>
      <w:r>
        <w:br w:type="page"/>
      </w:r>
    </w:p>
    <w:p w14:paraId="23F1D24B" w14:textId="77777777" w:rsidR="00975D47" w:rsidRPr="00DA56F9" w:rsidRDefault="00975D47" w:rsidP="00493A9B">
      <w:pPr>
        <w:rPr>
          <w:b/>
          <w:color w:val="1F4E79" w:themeColor="accent1" w:themeShade="80"/>
          <w:sz w:val="22"/>
          <w:szCs w:val="22"/>
        </w:rPr>
      </w:pPr>
      <w:r w:rsidRPr="00DA56F9">
        <w:rPr>
          <w:b/>
          <w:color w:val="1F4E79" w:themeColor="accent1" w:themeShade="80"/>
          <w:sz w:val="22"/>
        </w:rPr>
        <w:lastRenderedPageBreak/>
        <w:t>DEPARTAMENTO/SEÇÃO:</w:t>
      </w:r>
      <w:r w:rsidRPr="00DA56F9">
        <w:rPr>
          <w:b/>
          <w:color w:val="1F4E79" w:themeColor="accent1" w:themeShade="80"/>
          <w:sz w:val="22"/>
        </w:rPr>
        <w:tab/>
        <w:t xml:space="preserve">DESENVOLVIMENTO HUMANO, EDUCAÇÃO E EMPREGO (DDHEE) </w:t>
      </w:r>
    </w:p>
    <w:p w14:paraId="0F1D4C7C" w14:textId="77777777" w:rsidR="00975D47" w:rsidRPr="00493A9B" w:rsidRDefault="00975D47" w:rsidP="00493A9B">
      <w:pPr>
        <w:rPr>
          <w:sz w:val="22"/>
          <w:szCs w:val="22"/>
        </w:rPr>
      </w:pPr>
    </w:p>
    <w:tbl>
      <w:tblPr>
        <w:tblStyle w:val="TableGrid"/>
        <w:tblW w:w="138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12"/>
        <w:gridCol w:w="4234"/>
        <w:gridCol w:w="3427"/>
        <w:gridCol w:w="2880"/>
      </w:tblGrid>
      <w:tr w:rsidR="002A4444" w:rsidRPr="00493A9B" w14:paraId="1881F2E2" w14:textId="77777777" w:rsidTr="002A4444">
        <w:trPr>
          <w:tblHeader/>
          <w:jc w:val="center"/>
        </w:trPr>
        <w:tc>
          <w:tcPr>
            <w:tcW w:w="3312" w:type="dxa"/>
            <w:tcBorders>
              <w:top w:val="single" w:sz="12" w:space="0" w:color="auto"/>
              <w:bottom w:val="single" w:sz="6" w:space="0" w:color="auto"/>
            </w:tcBorders>
            <w:shd w:val="clear" w:color="auto" w:fill="BDD6EE" w:themeFill="accent1" w:themeFillTint="66"/>
            <w:vAlign w:val="center"/>
          </w:tcPr>
          <w:p w14:paraId="720BDE3A" w14:textId="77777777" w:rsidR="002A4444" w:rsidRPr="00493A9B" w:rsidRDefault="002A4444" w:rsidP="00493A9B">
            <w:pPr>
              <w:rPr>
                <w:b/>
                <w:bCs/>
                <w:color w:val="000000" w:themeColor="text1"/>
                <w:sz w:val="22"/>
                <w:szCs w:val="22"/>
              </w:rPr>
            </w:pPr>
            <w:r>
              <w:rPr>
                <w:b/>
                <w:color w:val="000000" w:themeColor="text1"/>
                <w:sz w:val="22"/>
              </w:rPr>
              <w:t>INICIATIVAS / ATIVIDADES</w:t>
            </w:r>
          </w:p>
        </w:tc>
        <w:tc>
          <w:tcPr>
            <w:tcW w:w="4234" w:type="dxa"/>
            <w:tcBorders>
              <w:top w:val="single" w:sz="12" w:space="0" w:color="auto"/>
              <w:bottom w:val="single" w:sz="6" w:space="0" w:color="auto"/>
            </w:tcBorders>
            <w:shd w:val="clear" w:color="auto" w:fill="BDD6EE" w:themeFill="accent1" w:themeFillTint="66"/>
            <w:vAlign w:val="center"/>
          </w:tcPr>
          <w:p w14:paraId="4C594537" w14:textId="77777777" w:rsidR="002A4444" w:rsidRPr="00493A9B" w:rsidRDefault="002A4444" w:rsidP="00493A9B">
            <w:pPr>
              <w:rPr>
                <w:b/>
                <w:bCs/>
                <w:color w:val="000000" w:themeColor="text1"/>
                <w:sz w:val="22"/>
                <w:szCs w:val="22"/>
              </w:rPr>
            </w:pPr>
            <w:r>
              <w:rPr>
                <w:b/>
                <w:color w:val="000000" w:themeColor="text1"/>
                <w:sz w:val="22"/>
              </w:rPr>
              <w:t>CONTRIBUIÇÃO PARA A RESILIÊNCIA E A COMPETITIVIDADE</w:t>
            </w:r>
          </w:p>
        </w:tc>
        <w:tc>
          <w:tcPr>
            <w:tcW w:w="3427" w:type="dxa"/>
            <w:tcBorders>
              <w:top w:val="single" w:sz="12" w:space="0" w:color="auto"/>
              <w:bottom w:val="single" w:sz="6" w:space="0" w:color="auto"/>
            </w:tcBorders>
            <w:shd w:val="clear" w:color="auto" w:fill="BDD6EE" w:themeFill="accent1" w:themeFillTint="66"/>
            <w:vAlign w:val="center"/>
          </w:tcPr>
          <w:p w14:paraId="17C1296C" w14:textId="77777777" w:rsidR="002A4444" w:rsidRPr="00493A9B" w:rsidRDefault="002A4444" w:rsidP="00493A9B">
            <w:pPr>
              <w:rPr>
                <w:b/>
                <w:bCs/>
                <w:color w:val="000000" w:themeColor="text1"/>
                <w:sz w:val="22"/>
                <w:szCs w:val="22"/>
              </w:rPr>
            </w:pPr>
            <w:r>
              <w:rPr>
                <w:b/>
                <w:color w:val="000000" w:themeColor="text1"/>
                <w:sz w:val="22"/>
              </w:rPr>
              <w:t>RESULTADOS ESPERADOS</w:t>
            </w:r>
          </w:p>
        </w:tc>
        <w:tc>
          <w:tcPr>
            <w:tcW w:w="2880" w:type="dxa"/>
            <w:tcBorders>
              <w:top w:val="single" w:sz="12" w:space="0" w:color="auto"/>
              <w:bottom w:val="single" w:sz="6" w:space="0" w:color="auto"/>
            </w:tcBorders>
            <w:shd w:val="clear" w:color="auto" w:fill="BDD6EE" w:themeFill="accent1" w:themeFillTint="66"/>
            <w:vAlign w:val="center"/>
          </w:tcPr>
          <w:p w14:paraId="685ED0ED" w14:textId="77777777" w:rsidR="002A4444" w:rsidRPr="00493A9B" w:rsidRDefault="002A4444" w:rsidP="00493A9B">
            <w:pPr>
              <w:rPr>
                <w:b/>
                <w:bCs/>
                <w:color w:val="000000" w:themeColor="text1"/>
                <w:sz w:val="22"/>
                <w:szCs w:val="22"/>
              </w:rPr>
            </w:pPr>
            <w:r>
              <w:rPr>
                <w:b/>
                <w:color w:val="000000" w:themeColor="text1"/>
                <w:sz w:val="22"/>
              </w:rPr>
              <w:t>COOPERAÇÃO E PARCERIAS</w:t>
            </w:r>
          </w:p>
        </w:tc>
      </w:tr>
      <w:tr w:rsidR="002A4444" w:rsidRPr="00493A9B" w14:paraId="09170EAD" w14:textId="77777777" w:rsidTr="002A4444">
        <w:trPr>
          <w:jc w:val="center"/>
        </w:trPr>
        <w:tc>
          <w:tcPr>
            <w:tcW w:w="3312" w:type="dxa"/>
            <w:tcBorders>
              <w:top w:val="single" w:sz="6" w:space="0" w:color="auto"/>
              <w:bottom w:val="single" w:sz="6" w:space="0" w:color="auto"/>
            </w:tcBorders>
            <w:shd w:val="clear" w:color="auto" w:fill="BFBFBF" w:themeFill="background1" w:themeFillShade="BF"/>
            <w:vAlign w:val="center"/>
          </w:tcPr>
          <w:p w14:paraId="4C4F9953" w14:textId="77777777" w:rsidR="002A4444" w:rsidRPr="00493A9B" w:rsidRDefault="002A4444" w:rsidP="00493A9B">
            <w:pPr>
              <w:rPr>
                <w:b/>
                <w:bCs/>
                <w:color w:val="000000" w:themeColor="text1"/>
                <w:sz w:val="22"/>
                <w:szCs w:val="22"/>
              </w:rPr>
            </w:pPr>
            <w:r>
              <w:rPr>
                <w:b/>
                <w:color w:val="000000" w:themeColor="text1"/>
                <w:sz w:val="22"/>
              </w:rPr>
              <w:t>LINHA ESTRATÉGICA</w:t>
            </w:r>
          </w:p>
        </w:tc>
        <w:tc>
          <w:tcPr>
            <w:tcW w:w="10541" w:type="dxa"/>
            <w:gridSpan w:val="3"/>
            <w:tcBorders>
              <w:top w:val="single" w:sz="6" w:space="0" w:color="auto"/>
              <w:bottom w:val="single" w:sz="6" w:space="0" w:color="auto"/>
            </w:tcBorders>
            <w:shd w:val="clear" w:color="auto" w:fill="BFBFBF" w:themeFill="background1" w:themeFillShade="BF"/>
          </w:tcPr>
          <w:p w14:paraId="24B9DB19" w14:textId="77777777" w:rsidR="002A4444" w:rsidRPr="00493A9B" w:rsidRDefault="002A4444" w:rsidP="00493A9B">
            <w:pPr>
              <w:rPr>
                <w:b/>
                <w:sz w:val="22"/>
                <w:szCs w:val="22"/>
              </w:rPr>
            </w:pPr>
            <w:r>
              <w:rPr>
                <w:b/>
                <w:sz w:val="22"/>
              </w:rPr>
              <w:t>3.  Promover a educação e o desenvolvimento humano nas Américas</w:t>
            </w:r>
          </w:p>
        </w:tc>
      </w:tr>
      <w:tr w:rsidR="002A4444" w:rsidRPr="00493A9B" w14:paraId="3ADFCEE1" w14:textId="77777777" w:rsidTr="002A4444">
        <w:trPr>
          <w:jc w:val="center"/>
        </w:trPr>
        <w:tc>
          <w:tcPr>
            <w:tcW w:w="3312" w:type="dxa"/>
            <w:tcBorders>
              <w:top w:val="single" w:sz="6" w:space="0" w:color="auto"/>
              <w:bottom w:val="single" w:sz="6" w:space="0" w:color="auto"/>
            </w:tcBorders>
            <w:shd w:val="clear" w:color="auto" w:fill="BFBFBF" w:themeFill="background1" w:themeFillShade="BF"/>
            <w:vAlign w:val="center"/>
          </w:tcPr>
          <w:p w14:paraId="549AA5FD" w14:textId="77777777" w:rsidR="002A4444" w:rsidRPr="00493A9B" w:rsidRDefault="002A4444" w:rsidP="00493A9B">
            <w:pPr>
              <w:rPr>
                <w:b/>
                <w:bCs/>
                <w:color w:val="000000" w:themeColor="text1"/>
                <w:sz w:val="22"/>
                <w:szCs w:val="22"/>
              </w:rPr>
            </w:pPr>
            <w:r>
              <w:rPr>
                <w:b/>
                <w:color w:val="000000" w:themeColor="text1"/>
                <w:sz w:val="22"/>
              </w:rPr>
              <w:t>OBJETIVO ESTRATÉGICO</w:t>
            </w:r>
          </w:p>
        </w:tc>
        <w:tc>
          <w:tcPr>
            <w:tcW w:w="10541" w:type="dxa"/>
            <w:gridSpan w:val="3"/>
            <w:tcBorders>
              <w:top w:val="single" w:sz="6" w:space="0" w:color="auto"/>
              <w:bottom w:val="single" w:sz="6" w:space="0" w:color="auto"/>
            </w:tcBorders>
            <w:shd w:val="clear" w:color="auto" w:fill="BFBFBF" w:themeFill="background1" w:themeFillShade="BF"/>
          </w:tcPr>
          <w:p w14:paraId="4BDEBC04" w14:textId="77777777" w:rsidR="002A4444" w:rsidRPr="00493A9B" w:rsidRDefault="002A4444" w:rsidP="00493A9B">
            <w:pPr>
              <w:rPr>
                <w:b/>
                <w:sz w:val="22"/>
                <w:szCs w:val="22"/>
              </w:rPr>
            </w:pPr>
            <w:r>
              <w:rPr>
                <w:b/>
                <w:sz w:val="22"/>
              </w:rPr>
              <w:t>3.1.  Fortalecer a capacidade institucional dos Estados membros de oferecer educação de qualidade, inclusiva e com equidade</w:t>
            </w:r>
          </w:p>
        </w:tc>
      </w:tr>
      <w:tr w:rsidR="002A4444" w:rsidRPr="00493A9B" w14:paraId="08E72706" w14:textId="77777777" w:rsidTr="002A4444">
        <w:trPr>
          <w:jc w:val="center"/>
        </w:trPr>
        <w:tc>
          <w:tcPr>
            <w:tcW w:w="13853" w:type="dxa"/>
            <w:gridSpan w:val="4"/>
            <w:tcBorders>
              <w:top w:val="single" w:sz="6" w:space="0" w:color="auto"/>
            </w:tcBorders>
            <w:shd w:val="clear" w:color="auto" w:fill="D9D9D9" w:themeFill="background1" w:themeFillShade="D9"/>
            <w:vAlign w:val="center"/>
          </w:tcPr>
          <w:p w14:paraId="37105705" w14:textId="77777777" w:rsidR="002A4444" w:rsidRPr="00493A9B" w:rsidRDefault="002A4444" w:rsidP="00493A9B">
            <w:pPr>
              <w:rPr>
                <w:rFonts w:eastAsia="Calibri"/>
                <w:b/>
                <w:bCs/>
                <w:color w:val="000000" w:themeColor="text1"/>
                <w:sz w:val="22"/>
                <w:szCs w:val="22"/>
              </w:rPr>
            </w:pPr>
            <w:r>
              <w:rPr>
                <w:b/>
                <w:color w:val="000000" w:themeColor="text1"/>
                <w:sz w:val="22"/>
              </w:rPr>
              <w:t>Educação — Diálogo polític</w:t>
            </w:r>
            <w:r w:rsidR="00674438">
              <w:rPr>
                <w:b/>
                <w:color w:val="000000" w:themeColor="text1"/>
                <w:sz w:val="22"/>
              </w:rPr>
              <w:t>o</w:t>
            </w:r>
          </w:p>
        </w:tc>
      </w:tr>
      <w:tr w:rsidR="002A4444" w:rsidRPr="00493A9B" w14:paraId="77B2149F" w14:textId="77777777" w:rsidTr="00674DB4">
        <w:trPr>
          <w:jc w:val="center"/>
        </w:trPr>
        <w:tc>
          <w:tcPr>
            <w:tcW w:w="3312" w:type="dxa"/>
            <w:tcBorders>
              <w:top w:val="single" w:sz="6" w:space="0" w:color="auto"/>
            </w:tcBorders>
            <w:vAlign w:val="center"/>
          </w:tcPr>
          <w:p w14:paraId="26D0BA3E" w14:textId="77777777" w:rsidR="002A4444" w:rsidRPr="00493A9B" w:rsidRDefault="002A4444" w:rsidP="00493A9B">
            <w:pPr>
              <w:tabs>
                <w:tab w:val="left" w:pos="177"/>
              </w:tabs>
              <w:rPr>
                <w:sz w:val="22"/>
                <w:szCs w:val="22"/>
              </w:rPr>
            </w:pPr>
            <w:r>
              <w:rPr>
                <w:sz w:val="22"/>
              </w:rPr>
              <w:t>Processo Ministerial e Reuniões Interamericanas de Ministros da Educação</w:t>
            </w:r>
          </w:p>
          <w:p w14:paraId="3085A4AE" w14:textId="77777777" w:rsidR="002A4444" w:rsidRPr="00493A9B" w:rsidRDefault="002A4444" w:rsidP="00493A9B">
            <w:pPr>
              <w:tabs>
                <w:tab w:val="left" w:pos="177"/>
              </w:tabs>
              <w:ind w:left="720"/>
              <w:rPr>
                <w:sz w:val="22"/>
                <w:szCs w:val="22"/>
              </w:rPr>
            </w:pPr>
          </w:p>
          <w:p w14:paraId="120B7DFB" w14:textId="77777777" w:rsidR="002A4444" w:rsidRPr="00493A9B" w:rsidRDefault="002A4444" w:rsidP="00493A9B">
            <w:pPr>
              <w:rPr>
                <w:bCs/>
                <w:color w:val="000000" w:themeColor="text1"/>
                <w:sz w:val="22"/>
                <w:szCs w:val="22"/>
              </w:rPr>
            </w:pPr>
            <w:r>
              <w:rPr>
                <w:sz w:val="22"/>
              </w:rPr>
              <w:t>Nona Comissão Interamericana de Educação (CIE), outubro de 2021</w:t>
            </w:r>
          </w:p>
        </w:tc>
        <w:tc>
          <w:tcPr>
            <w:tcW w:w="4234" w:type="dxa"/>
            <w:tcBorders>
              <w:top w:val="single" w:sz="6" w:space="0" w:color="auto"/>
            </w:tcBorders>
          </w:tcPr>
          <w:p w14:paraId="5DECC6B2" w14:textId="77777777" w:rsidR="002A4444" w:rsidRPr="00493A9B" w:rsidRDefault="002A4444" w:rsidP="00493A9B">
            <w:pPr>
              <w:rPr>
                <w:b/>
                <w:bCs/>
                <w:color w:val="000000" w:themeColor="text1"/>
                <w:sz w:val="22"/>
                <w:szCs w:val="22"/>
              </w:rPr>
            </w:pPr>
          </w:p>
        </w:tc>
        <w:tc>
          <w:tcPr>
            <w:tcW w:w="3427" w:type="dxa"/>
            <w:tcBorders>
              <w:top w:val="single" w:sz="6" w:space="0" w:color="auto"/>
            </w:tcBorders>
          </w:tcPr>
          <w:p w14:paraId="5F8F8390" w14:textId="77777777" w:rsidR="00674DB4" w:rsidRPr="00493A9B" w:rsidRDefault="00674DB4" w:rsidP="00493A9B">
            <w:pPr>
              <w:rPr>
                <w:sz w:val="22"/>
                <w:szCs w:val="22"/>
              </w:rPr>
            </w:pPr>
          </w:p>
          <w:p w14:paraId="1FB7108B" w14:textId="77777777" w:rsidR="002A4444" w:rsidRPr="00493A9B" w:rsidRDefault="002A4444" w:rsidP="00493A9B">
            <w:pPr>
              <w:rPr>
                <w:sz w:val="22"/>
                <w:szCs w:val="22"/>
              </w:rPr>
            </w:pPr>
            <w:r>
              <w:rPr>
                <w:sz w:val="22"/>
              </w:rPr>
              <w:t xml:space="preserve">Relatório sobre os avanços na implementação dos mandatos ministeriais e das recomendações para ajustar o Plano de Trabalho, se necessário. Apoiar os ministérios e as instituições encarregadas de educação na região na implementação </w:t>
            </w:r>
            <w:r w:rsidR="00AB03EE">
              <w:rPr>
                <w:sz w:val="22"/>
              </w:rPr>
              <w:t xml:space="preserve">do </w:t>
            </w:r>
            <w:r>
              <w:rPr>
                <w:sz w:val="22"/>
              </w:rPr>
              <w:t>Plano de Ação Hemisférico para a Continuidade da Educação sob os efeitos da pandemia de coronavírus (PHACE). Iniciar o planejamento da segunda fase da Agenda Interamericana de Educação, propondo as diretrizes para o próximo quinquênio 2022–2027.</w:t>
            </w:r>
          </w:p>
          <w:p w14:paraId="4D02672F" w14:textId="77777777" w:rsidR="00674DB4" w:rsidRPr="00493A9B" w:rsidRDefault="00674DB4" w:rsidP="00493A9B">
            <w:pPr>
              <w:rPr>
                <w:b/>
                <w:bCs/>
                <w:color w:val="000000" w:themeColor="text1"/>
                <w:sz w:val="22"/>
                <w:szCs w:val="22"/>
              </w:rPr>
            </w:pPr>
          </w:p>
        </w:tc>
        <w:tc>
          <w:tcPr>
            <w:tcW w:w="2880" w:type="dxa"/>
            <w:tcBorders>
              <w:top w:val="single" w:sz="6" w:space="0" w:color="auto"/>
            </w:tcBorders>
          </w:tcPr>
          <w:p w14:paraId="703D42E0" w14:textId="77777777" w:rsidR="002A4444" w:rsidRPr="00493A9B" w:rsidRDefault="002A4444" w:rsidP="00493A9B">
            <w:pPr>
              <w:rPr>
                <w:b/>
                <w:bCs/>
                <w:color w:val="000000" w:themeColor="text1"/>
                <w:sz w:val="22"/>
                <w:szCs w:val="22"/>
              </w:rPr>
            </w:pPr>
            <w:r>
              <w:rPr>
                <w:b/>
                <w:color w:val="000000" w:themeColor="text1"/>
                <w:sz w:val="22"/>
              </w:rPr>
              <w:t>Externas:</w:t>
            </w:r>
          </w:p>
          <w:p w14:paraId="793B6C2E" w14:textId="77777777" w:rsidR="002A4444" w:rsidRPr="00493A9B" w:rsidRDefault="002A4444" w:rsidP="00493A9B">
            <w:pPr>
              <w:rPr>
                <w:b/>
                <w:bCs/>
                <w:color w:val="000000" w:themeColor="text1"/>
                <w:sz w:val="22"/>
                <w:szCs w:val="22"/>
              </w:rPr>
            </w:pPr>
            <w:r>
              <w:rPr>
                <w:sz w:val="22"/>
              </w:rPr>
              <w:t xml:space="preserve">UNESCO OREALC, OIT-Cinterfor, OPAS, OUI, UNESCO IESALC, UNICEF, Consórcio de Universidades, </w:t>
            </w:r>
            <w:r>
              <w:rPr>
                <w:i/>
                <w:iCs/>
                <w:sz w:val="22"/>
              </w:rPr>
              <w:t>think tanks</w:t>
            </w:r>
            <w:r>
              <w:rPr>
                <w:sz w:val="22"/>
              </w:rPr>
              <w:t xml:space="preserve"> e ONGs.</w:t>
            </w:r>
          </w:p>
        </w:tc>
      </w:tr>
      <w:tr w:rsidR="002A4444" w:rsidRPr="00493A9B" w14:paraId="70155593" w14:textId="77777777" w:rsidTr="00674DB4">
        <w:trPr>
          <w:jc w:val="center"/>
        </w:trPr>
        <w:tc>
          <w:tcPr>
            <w:tcW w:w="3312" w:type="dxa"/>
            <w:tcBorders>
              <w:bottom w:val="single" w:sz="6" w:space="0" w:color="auto"/>
            </w:tcBorders>
            <w:vAlign w:val="center"/>
          </w:tcPr>
          <w:p w14:paraId="05CE17F8" w14:textId="77777777" w:rsidR="002A4444" w:rsidRPr="00493A9B" w:rsidRDefault="002A4444" w:rsidP="00493A9B">
            <w:pPr>
              <w:rPr>
                <w:sz w:val="22"/>
                <w:szCs w:val="22"/>
              </w:rPr>
            </w:pPr>
            <w:r>
              <w:rPr>
                <w:sz w:val="22"/>
              </w:rPr>
              <w:t>Plano de Trabalho da CIE 2019–2022</w:t>
            </w:r>
          </w:p>
        </w:tc>
        <w:tc>
          <w:tcPr>
            <w:tcW w:w="4234" w:type="dxa"/>
            <w:tcBorders>
              <w:bottom w:val="single" w:sz="6" w:space="0" w:color="auto"/>
            </w:tcBorders>
          </w:tcPr>
          <w:p w14:paraId="4E7A307A" w14:textId="77777777" w:rsidR="002A4444" w:rsidRPr="00493A9B" w:rsidRDefault="002A4444" w:rsidP="00493A9B">
            <w:pPr>
              <w:rPr>
                <w:sz w:val="22"/>
                <w:szCs w:val="22"/>
              </w:rPr>
            </w:pPr>
          </w:p>
        </w:tc>
        <w:tc>
          <w:tcPr>
            <w:tcW w:w="3427" w:type="dxa"/>
            <w:tcBorders>
              <w:bottom w:val="single" w:sz="6" w:space="0" w:color="auto"/>
            </w:tcBorders>
          </w:tcPr>
          <w:p w14:paraId="40A298AE" w14:textId="77777777" w:rsidR="00674DB4" w:rsidRPr="00493A9B" w:rsidRDefault="00674DB4" w:rsidP="00493A9B">
            <w:pPr>
              <w:rPr>
                <w:sz w:val="22"/>
                <w:szCs w:val="22"/>
              </w:rPr>
            </w:pPr>
          </w:p>
          <w:p w14:paraId="38C81551" w14:textId="77777777" w:rsidR="002A4444" w:rsidRPr="00493A9B" w:rsidRDefault="002A4444" w:rsidP="00493A9B">
            <w:pPr>
              <w:rPr>
                <w:sz w:val="22"/>
                <w:szCs w:val="22"/>
              </w:rPr>
            </w:pPr>
            <w:r>
              <w:rPr>
                <w:sz w:val="22"/>
              </w:rPr>
              <w:t xml:space="preserve">Compartilhamento de iniciativas concretas para a implementação da Agenda Interamericana de Educação (AIE) e das solicitações formuladas pelos Estados membros sobre o Plano de Ação de Antígua e Barbuda (PAAB 2019); aprofundamento das sinergias entre as iniciativas educacionais globais, hemisféricas e sub-regionais; e promoção da cooperação intersetorial e da cooperação com outros atores sociais, a fim de </w:t>
            </w:r>
            <w:r>
              <w:rPr>
                <w:sz w:val="22"/>
              </w:rPr>
              <w:lastRenderedPageBreak/>
              <w:t>contribuir para alcançar as metas estabelecidas na Agenda para o Desenvolvimento Sustentável 2030 e contribuir para reduzir as desigualdades exacerbadas pela pandemia.</w:t>
            </w:r>
          </w:p>
          <w:p w14:paraId="6EE6908D" w14:textId="77777777" w:rsidR="00674DB4" w:rsidRPr="00493A9B" w:rsidRDefault="00674DB4" w:rsidP="00493A9B">
            <w:pPr>
              <w:rPr>
                <w:sz w:val="22"/>
                <w:szCs w:val="22"/>
              </w:rPr>
            </w:pPr>
          </w:p>
          <w:p w14:paraId="1E44600B" w14:textId="77777777" w:rsidR="00674DB4" w:rsidRPr="00493A9B" w:rsidRDefault="00674DB4" w:rsidP="00493A9B">
            <w:pPr>
              <w:rPr>
                <w:sz w:val="22"/>
                <w:szCs w:val="22"/>
              </w:rPr>
            </w:pPr>
          </w:p>
        </w:tc>
        <w:tc>
          <w:tcPr>
            <w:tcW w:w="2880" w:type="dxa"/>
            <w:tcBorders>
              <w:bottom w:val="single" w:sz="6" w:space="0" w:color="auto"/>
            </w:tcBorders>
          </w:tcPr>
          <w:p w14:paraId="40255259" w14:textId="77777777" w:rsidR="002A4444" w:rsidRPr="00493A9B" w:rsidRDefault="002A4444" w:rsidP="00493A9B">
            <w:pPr>
              <w:rPr>
                <w:sz w:val="22"/>
                <w:szCs w:val="22"/>
              </w:rPr>
            </w:pPr>
            <w:r>
              <w:rPr>
                <w:b/>
                <w:sz w:val="22"/>
              </w:rPr>
              <w:lastRenderedPageBreak/>
              <w:t>Externas:</w:t>
            </w:r>
          </w:p>
          <w:p w14:paraId="72D4FDB1" w14:textId="77777777" w:rsidR="002A4444" w:rsidRPr="00493A9B" w:rsidRDefault="002A4444" w:rsidP="00493A9B">
            <w:pPr>
              <w:rPr>
                <w:sz w:val="22"/>
                <w:szCs w:val="22"/>
              </w:rPr>
            </w:pPr>
            <w:r>
              <w:rPr>
                <w:sz w:val="22"/>
              </w:rPr>
              <w:t xml:space="preserve">UNESCO OREALC, OIT-Cinterfor, OPAS, OUI, UNESCO IESALC, UNICEF, Consórcio de Universidades, </w:t>
            </w:r>
            <w:r>
              <w:rPr>
                <w:i/>
                <w:iCs/>
                <w:sz w:val="22"/>
              </w:rPr>
              <w:t>think tanks</w:t>
            </w:r>
            <w:r>
              <w:rPr>
                <w:sz w:val="22"/>
              </w:rPr>
              <w:t xml:space="preserve"> e ONGs.</w:t>
            </w:r>
          </w:p>
        </w:tc>
      </w:tr>
      <w:tr w:rsidR="00674DB4" w:rsidRPr="00493A9B" w14:paraId="0683C24F" w14:textId="77777777" w:rsidTr="00674DB4">
        <w:trPr>
          <w:jc w:val="center"/>
        </w:trPr>
        <w:tc>
          <w:tcPr>
            <w:tcW w:w="3312" w:type="dxa"/>
            <w:tcBorders>
              <w:top w:val="single" w:sz="6" w:space="0" w:color="auto"/>
              <w:bottom w:val="single" w:sz="6" w:space="0" w:color="auto"/>
            </w:tcBorders>
            <w:shd w:val="clear" w:color="auto" w:fill="BFBFBF" w:themeFill="background1" w:themeFillShade="BF"/>
          </w:tcPr>
          <w:p w14:paraId="7D80E65A" w14:textId="77777777" w:rsidR="00674DB4" w:rsidRPr="00493A9B" w:rsidRDefault="00AB03EE" w:rsidP="00493A9B">
            <w:pPr>
              <w:rPr>
                <w:rFonts w:eastAsia="Calibri"/>
                <w:b/>
                <w:bCs/>
                <w:color w:val="000000" w:themeColor="text1"/>
                <w:sz w:val="22"/>
                <w:szCs w:val="22"/>
              </w:rPr>
            </w:pPr>
            <w:r>
              <w:rPr>
                <w:b/>
                <w:color w:val="000000" w:themeColor="text1"/>
                <w:sz w:val="22"/>
              </w:rPr>
              <w:t xml:space="preserve">OBJETIVO </w:t>
            </w:r>
            <w:r w:rsidR="00674DB4">
              <w:rPr>
                <w:b/>
                <w:color w:val="000000" w:themeColor="text1"/>
                <w:sz w:val="22"/>
              </w:rPr>
              <w:t xml:space="preserve">ESTRATÉGICO </w:t>
            </w:r>
          </w:p>
          <w:p w14:paraId="551217EF" w14:textId="77777777" w:rsidR="00674DB4" w:rsidRPr="00493A9B" w:rsidRDefault="00674DB4" w:rsidP="00493A9B">
            <w:pPr>
              <w:rPr>
                <w:b/>
                <w:sz w:val="22"/>
                <w:szCs w:val="22"/>
              </w:rPr>
            </w:pPr>
          </w:p>
        </w:tc>
        <w:tc>
          <w:tcPr>
            <w:tcW w:w="10541" w:type="dxa"/>
            <w:gridSpan w:val="3"/>
            <w:tcBorders>
              <w:top w:val="single" w:sz="6" w:space="0" w:color="auto"/>
              <w:bottom w:val="single" w:sz="6" w:space="0" w:color="auto"/>
            </w:tcBorders>
            <w:shd w:val="clear" w:color="auto" w:fill="BFBFBF" w:themeFill="background1" w:themeFillShade="BF"/>
            <w:vAlign w:val="center"/>
          </w:tcPr>
          <w:p w14:paraId="322D14CD" w14:textId="77777777" w:rsidR="00674DB4" w:rsidRPr="00493A9B" w:rsidRDefault="00674DB4" w:rsidP="00493A9B">
            <w:pPr>
              <w:rPr>
                <w:b/>
                <w:sz w:val="22"/>
                <w:szCs w:val="22"/>
              </w:rPr>
            </w:pPr>
            <w:r>
              <w:rPr>
                <w:b/>
                <w:sz w:val="22"/>
              </w:rPr>
              <w:t>3.2.   Fortalecer a profissão docente nos Estados membros, mediante a criação de mais oportunidades de formação.</w:t>
            </w:r>
          </w:p>
        </w:tc>
      </w:tr>
      <w:tr w:rsidR="00674DB4" w:rsidRPr="00493A9B" w14:paraId="69874506" w14:textId="77777777" w:rsidTr="00674DB4">
        <w:trPr>
          <w:jc w:val="center"/>
        </w:trPr>
        <w:tc>
          <w:tcPr>
            <w:tcW w:w="10973" w:type="dxa"/>
            <w:gridSpan w:val="3"/>
            <w:tcBorders>
              <w:top w:val="single" w:sz="6" w:space="0" w:color="auto"/>
            </w:tcBorders>
            <w:shd w:val="clear" w:color="auto" w:fill="D9D9D9" w:themeFill="background1" w:themeFillShade="D9"/>
          </w:tcPr>
          <w:p w14:paraId="07C20F45" w14:textId="77777777" w:rsidR="00674DB4" w:rsidRPr="00493A9B" w:rsidRDefault="00674DB4" w:rsidP="00493A9B">
            <w:pPr>
              <w:tabs>
                <w:tab w:val="left" w:pos="177"/>
              </w:tabs>
              <w:rPr>
                <w:b/>
                <w:sz w:val="22"/>
                <w:szCs w:val="22"/>
              </w:rPr>
            </w:pPr>
            <w:r>
              <w:rPr>
                <w:b/>
                <w:sz w:val="22"/>
              </w:rPr>
              <w:t>Educação — Professores</w:t>
            </w:r>
          </w:p>
        </w:tc>
        <w:tc>
          <w:tcPr>
            <w:tcW w:w="2880" w:type="dxa"/>
            <w:tcBorders>
              <w:top w:val="single" w:sz="6" w:space="0" w:color="auto"/>
            </w:tcBorders>
          </w:tcPr>
          <w:p w14:paraId="3AD070E1" w14:textId="77777777" w:rsidR="00674DB4" w:rsidRPr="00493A9B" w:rsidRDefault="00674DB4" w:rsidP="00493A9B">
            <w:pPr>
              <w:rPr>
                <w:b/>
                <w:sz w:val="22"/>
                <w:szCs w:val="22"/>
              </w:rPr>
            </w:pPr>
          </w:p>
        </w:tc>
      </w:tr>
      <w:tr w:rsidR="002A4444" w:rsidRPr="00493A9B" w14:paraId="33B38CF8" w14:textId="77777777" w:rsidTr="002A4444">
        <w:trPr>
          <w:jc w:val="center"/>
        </w:trPr>
        <w:tc>
          <w:tcPr>
            <w:tcW w:w="3312" w:type="dxa"/>
          </w:tcPr>
          <w:p w14:paraId="056FD67E" w14:textId="77777777" w:rsidR="002A4444" w:rsidRPr="00493A9B" w:rsidRDefault="002A4444" w:rsidP="00493A9B">
            <w:pPr>
              <w:tabs>
                <w:tab w:val="left" w:pos="177"/>
              </w:tabs>
              <w:rPr>
                <w:sz w:val="22"/>
                <w:szCs w:val="22"/>
              </w:rPr>
            </w:pPr>
            <w:r>
              <w:rPr>
                <w:sz w:val="22"/>
              </w:rPr>
              <w:t>Rede Interamericana de Educação Docente (RIED)</w:t>
            </w:r>
          </w:p>
          <w:p w14:paraId="2E84550D" w14:textId="77777777" w:rsidR="002A4444" w:rsidRPr="00493A9B" w:rsidRDefault="002A4444" w:rsidP="00493A9B">
            <w:pPr>
              <w:tabs>
                <w:tab w:val="left" w:pos="177"/>
              </w:tabs>
              <w:rPr>
                <w:sz w:val="22"/>
                <w:szCs w:val="22"/>
              </w:rPr>
            </w:pPr>
          </w:p>
          <w:p w14:paraId="25BF8CD2" w14:textId="77777777" w:rsidR="002A4444" w:rsidRPr="00493A9B" w:rsidRDefault="002A4444" w:rsidP="00493A9B">
            <w:pPr>
              <w:tabs>
                <w:tab w:val="left" w:pos="177"/>
              </w:tabs>
              <w:rPr>
                <w:sz w:val="22"/>
                <w:szCs w:val="22"/>
              </w:rPr>
            </w:pPr>
            <w:r>
              <w:rPr>
                <w:sz w:val="22"/>
              </w:rPr>
              <w:t>Equipes de projeto</w:t>
            </w:r>
          </w:p>
          <w:p w14:paraId="408A1780" w14:textId="77777777" w:rsidR="002A4444" w:rsidRPr="00493A9B" w:rsidRDefault="002A4444" w:rsidP="00493A9B">
            <w:pPr>
              <w:tabs>
                <w:tab w:val="left" w:pos="177"/>
              </w:tabs>
              <w:rPr>
                <w:sz w:val="22"/>
                <w:szCs w:val="22"/>
              </w:rPr>
            </w:pPr>
            <w:r>
              <w:rPr>
                <w:sz w:val="22"/>
              </w:rPr>
              <w:t>Bolsa de estudo para professores</w:t>
            </w:r>
          </w:p>
          <w:p w14:paraId="0CB460B8" w14:textId="77777777" w:rsidR="002A4444" w:rsidRPr="00493A9B" w:rsidRDefault="002A4444" w:rsidP="00493A9B">
            <w:pPr>
              <w:tabs>
                <w:tab w:val="left" w:pos="177"/>
              </w:tabs>
              <w:rPr>
                <w:sz w:val="22"/>
                <w:szCs w:val="22"/>
              </w:rPr>
            </w:pPr>
            <w:r>
              <w:rPr>
                <w:sz w:val="22"/>
              </w:rPr>
              <w:t>Seminário anual</w:t>
            </w:r>
          </w:p>
          <w:p w14:paraId="7EEF36CD" w14:textId="77777777" w:rsidR="002A4444" w:rsidRPr="00493A9B" w:rsidRDefault="002A4444" w:rsidP="00493A9B">
            <w:pPr>
              <w:tabs>
                <w:tab w:val="left" w:pos="177"/>
              </w:tabs>
              <w:rPr>
                <w:sz w:val="22"/>
                <w:szCs w:val="22"/>
              </w:rPr>
            </w:pPr>
            <w:r>
              <w:rPr>
                <w:sz w:val="22"/>
              </w:rPr>
              <w:t>Intercâmbio de cooperação</w:t>
            </w:r>
          </w:p>
          <w:p w14:paraId="3A164D03" w14:textId="77777777" w:rsidR="002A4444" w:rsidRPr="00493A9B" w:rsidRDefault="002A4444" w:rsidP="00493A9B">
            <w:pPr>
              <w:tabs>
                <w:tab w:val="left" w:pos="177"/>
              </w:tabs>
              <w:rPr>
                <w:sz w:val="22"/>
                <w:szCs w:val="22"/>
              </w:rPr>
            </w:pPr>
            <w:r>
              <w:rPr>
                <w:sz w:val="22"/>
              </w:rPr>
              <w:t>Subsídio-semente</w:t>
            </w:r>
          </w:p>
        </w:tc>
        <w:tc>
          <w:tcPr>
            <w:tcW w:w="4234" w:type="dxa"/>
          </w:tcPr>
          <w:p w14:paraId="04952D5B" w14:textId="77777777" w:rsidR="002A4444" w:rsidRPr="00493A9B" w:rsidRDefault="002A4444" w:rsidP="00493A9B">
            <w:pPr>
              <w:rPr>
                <w:sz w:val="22"/>
                <w:szCs w:val="22"/>
              </w:rPr>
            </w:pPr>
          </w:p>
        </w:tc>
        <w:tc>
          <w:tcPr>
            <w:tcW w:w="3427" w:type="dxa"/>
          </w:tcPr>
          <w:p w14:paraId="69F9B78D" w14:textId="77777777" w:rsidR="002A4444" w:rsidRPr="00493A9B" w:rsidRDefault="002A4444" w:rsidP="00493A9B">
            <w:pPr>
              <w:numPr>
                <w:ilvl w:val="0"/>
                <w:numId w:val="13"/>
              </w:numPr>
              <w:ind w:left="180" w:hanging="180"/>
              <w:rPr>
                <w:sz w:val="22"/>
                <w:szCs w:val="22"/>
              </w:rPr>
            </w:pPr>
            <w:r>
              <w:rPr>
                <w:sz w:val="22"/>
              </w:rPr>
              <w:t xml:space="preserve">Mais de 30.000 professores e outros líderes educacionais treinados em </w:t>
            </w:r>
            <w:r>
              <w:rPr>
                <w:i/>
                <w:iCs/>
                <w:sz w:val="22"/>
              </w:rPr>
              <w:t>workshops</w:t>
            </w:r>
            <w:r>
              <w:rPr>
                <w:sz w:val="22"/>
              </w:rPr>
              <w:t xml:space="preserve"> e programas presenciais e virtuais oferecidos pela RIED, suas equipes de projeto e suas mentorias para professores iniciantes, a fim de apoiar a educação STEM (e a formação de professores) de qualidade e equitativa em matéria de gênero, promovendo assim o pensamento crítico e inovador para responder a questões emergentes, como energia e resiliência climática global.</w:t>
            </w:r>
          </w:p>
          <w:p w14:paraId="2C037E9B" w14:textId="77777777" w:rsidR="002A4444" w:rsidRPr="00493A9B" w:rsidRDefault="002A4444" w:rsidP="00493A9B">
            <w:pPr>
              <w:numPr>
                <w:ilvl w:val="0"/>
                <w:numId w:val="13"/>
              </w:numPr>
              <w:ind w:left="180" w:hanging="180"/>
              <w:rPr>
                <w:sz w:val="22"/>
                <w:szCs w:val="22"/>
              </w:rPr>
            </w:pPr>
            <w:r>
              <w:rPr>
                <w:sz w:val="22"/>
              </w:rPr>
              <w:t xml:space="preserve">Mais de 35 ministérios de educação e outras instituições de formação de professores e seus professores de sala de aula conectados em rede por intermédio das equipes de projeto colaborativas. Registro de comprovação de aumento da capacidade de resposta a questões </w:t>
            </w:r>
            <w:r>
              <w:rPr>
                <w:sz w:val="22"/>
              </w:rPr>
              <w:lastRenderedPageBreak/>
              <w:t>emergentes na formação de professores.</w:t>
            </w:r>
          </w:p>
          <w:p w14:paraId="1D1CC6BE" w14:textId="77777777" w:rsidR="002A4444" w:rsidRPr="00493A9B" w:rsidRDefault="002A4444" w:rsidP="00493A9B">
            <w:pPr>
              <w:numPr>
                <w:ilvl w:val="0"/>
                <w:numId w:val="13"/>
              </w:numPr>
              <w:ind w:left="180" w:hanging="180"/>
              <w:rPr>
                <w:sz w:val="22"/>
                <w:szCs w:val="22"/>
              </w:rPr>
            </w:pPr>
            <w:r>
              <w:rPr>
                <w:sz w:val="22"/>
              </w:rPr>
              <w:t xml:space="preserve">Ampla divulgação de mais de 12 publicações (artigos, </w:t>
            </w:r>
            <w:r w:rsidR="00674438">
              <w:rPr>
                <w:sz w:val="22"/>
              </w:rPr>
              <w:t>relatórios etc.</w:t>
            </w:r>
            <w:r>
              <w:rPr>
                <w:sz w:val="22"/>
              </w:rPr>
              <w:t>) para fornecer estratégias para ajudar meninas e mulheres a superarem os obstáculos comuns ao êxito e às oportunidades na educação STEM.</w:t>
            </w:r>
          </w:p>
          <w:p w14:paraId="740136F8" w14:textId="77777777" w:rsidR="002A4444" w:rsidRPr="00493A9B" w:rsidRDefault="002A4444" w:rsidP="00493A9B">
            <w:pPr>
              <w:numPr>
                <w:ilvl w:val="0"/>
                <w:numId w:val="13"/>
              </w:numPr>
              <w:ind w:left="180" w:hanging="180"/>
              <w:rPr>
                <w:sz w:val="22"/>
                <w:szCs w:val="22"/>
              </w:rPr>
            </w:pPr>
            <w:r>
              <w:rPr>
                <w:sz w:val="22"/>
              </w:rPr>
              <w:t>Datas relevantes: Prazo de inscrição das equipes de projeto: 1</w:t>
            </w:r>
            <w:r>
              <w:rPr>
                <w:sz w:val="22"/>
                <w:vertAlign w:val="superscript"/>
              </w:rPr>
              <w:t>o</w:t>
            </w:r>
            <w:r>
              <w:rPr>
                <w:sz w:val="22"/>
              </w:rPr>
              <w:t xml:space="preserve"> de fevereiro; Equipes de projeto: 1</w:t>
            </w:r>
            <w:r>
              <w:rPr>
                <w:sz w:val="22"/>
                <w:vertAlign w:val="superscript"/>
              </w:rPr>
              <w:t>o</w:t>
            </w:r>
            <w:r>
              <w:rPr>
                <w:sz w:val="22"/>
              </w:rPr>
              <w:t xml:space="preserve"> de março – 31 de agosto; Pedidos de subsídios-semente: 1</w:t>
            </w:r>
            <w:r>
              <w:rPr>
                <w:sz w:val="22"/>
                <w:vertAlign w:val="superscript"/>
              </w:rPr>
              <w:t>o</w:t>
            </w:r>
            <w:r>
              <w:rPr>
                <w:sz w:val="22"/>
              </w:rPr>
              <w:t xml:space="preserve"> de março – 1</w:t>
            </w:r>
            <w:r>
              <w:rPr>
                <w:sz w:val="22"/>
                <w:vertAlign w:val="superscript"/>
              </w:rPr>
              <w:t>o</w:t>
            </w:r>
            <w:r>
              <w:rPr>
                <w:sz w:val="22"/>
              </w:rPr>
              <w:t xml:space="preserve"> de maio; Sessão virtual de cartazes: junho (a definir); Seminário virtual: agosto (a definir)</w:t>
            </w:r>
          </w:p>
        </w:tc>
        <w:tc>
          <w:tcPr>
            <w:tcW w:w="2880" w:type="dxa"/>
          </w:tcPr>
          <w:p w14:paraId="6DA6C107" w14:textId="77777777" w:rsidR="002A4444" w:rsidRPr="00493A9B" w:rsidRDefault="002A4444" w:rsidP="00493A9B">
            <w:pPr>
              <w:rPr>
                <w:sz w:val="22"/>
                <w:szCs w:val="22"/>
              </w:rPr>
            </w:pPr>
            <w:r>
              <w:rPr>
                <w:b/>
                <w:sz w:val="22"/>
              </w:rPr>
              <w:lastRenderedPageBreak/>
              <w:t>Externas:</w:t>
            </w:r>
          </w:p>
          <w:p w14:paraId="314809FA" w14:textId="77777777" w:rsidR="002A4444" w:rsidRPr="00493A9B" w:rsidRDefault="002A4444" w:rsidP="00493A9B">
            <w:pPr>
              <w:rPr>
                <w:sz w:val="22"/>
                <w:szCs w:val="22"/>
              </w:rPr>
            </w:pPr>
            <w:r>
              <w:rPr>
                <w:sz w:val="22"/>
              </w:rPr>
              <w:t xml:space="preserve">Fundação Siemens Stiftung, Centro Internacional de Física Teórica / UNESCO, Universidade do Colorado em Boulder / </w:t>
            </w:r>
            <w:r>
              <w:rPr>
                <w:i/>
                <w:iCs/>
                <w:sz w:val="22"/>
              </w:rPr>
              <w:t>Physics Education Technology Interactive Simulations</w:t>
            </w:r>
            <w:r>
              <w:rPr>
                <w:sz w:val="22"/>
              </w:rPr>
              <w:t xml:space="preserve">, </w:t>
            </w:r>
            <w:r>
              <w:rPr>
                <w:i/>
                <w:iCs/>
                <w:sz w:val="22"/>
              </w:rPr>
              <w:t>Dinámica</w:t>
            </w:r>
            <w:r>
              <w:rPr>
                <w:sz w:val="22"/>
              </w:rPr>
              <w:t xml:space="preserve"> (centro de formação de professores no Peru) / Associação Americana de Professores de Física –México</w:t>
            </w:r>
          </w:p>
        </w:tc>
      </w:tr>
      <w:tr w:rsidR="002A4444" w:rsidRPr="00493A9B" w14:paraId="1F416509" w14:textId="77777777" w:rsidTr="00565A1C">
        <w:trPr>
          <w:jc w:val="center"/>
        </w:trPr>
        <w:tc>
          <w:tcPr>
            <w:tcW w:w="3312" w:type="dxa"/>
            <w:tcBorders>
              <w:bottom w:val="single" w:sz="6" w:space="0" w:color="auto"/>
            </w:tcBorders>
          </w:tcPr>
          <w:p w14:paraId="0A33D512" w14:textId="77777777" w:rsidR="002A4444" w:rsidRPr="00493A9B" w:rsidRDefault="002A4444" w:rsidP="00493A9B">
            <w:pPr>
              <w:rPr>
                <w:sz w:val="22"/>
                <w:szCs w:val="22"/>
              </w:rPr>
            </w:pPr>
            <w:r>
              <w:rPr>
                <w:b/>
                <w:sz w:val="22"/>
              </w:rPr>
              <w:t>Portal de Educação das Américas:</w:t>
            </w:r>
            <w:r>
              <w:rPr>
                <w:sz w:val="22"/>
              </w:rPr>
              <w:t xml:space="preserve">  Formação </w:t>
            </w:r>
            <w:r>
              <w:rPr>
                <w:i/>
                <w:iCs/>
                <w:sz w:val="22"/>
              </w:rPr>
              <w:t>online</w:t>
            </w:r>
            <w:r>
              <w:rPr>
                <w:sz w:val="22"/>
              </w:rPr>
              <w:t xml:space="preserve"> para o desenvolvimento profissional de cidadãos dos Estados membros da OEA</w:t>
            </w:r>
          </w:p>
        </w:tc>
        <w:tc>
          <w:tcPr>
            <w:tcW w:w="4234" w:type="dxa"/>
            <w:tcBorders>
              <w:bottom w:val="single" w:sz="6" w:space="0" w:color="auto"/>
            </w:tcBorders>
          </w:tcPr>
          <w:p w14:paraId="0181D841" w14:textId="77777777" w:rsidR="002A4444" w:rsidRPr="00493A9B" w:rsidRDefault="002A4444" w:rsidP="00493A9B">
            <w:pPr>
              <w:rPr>
                <w:sz w:val="22"/>
                <w:szCs w:val="22"/>
              </w:rPr>
            </w:pPr>
          </w:p>
        </w:tc>
        <w:tc>
          <w:tcPr>
            <w:tcW w:w="3427" w:type="dxa"/>
            <w:tcBorders>
              <w:bottom w:val="single" w:sz="6" w:space="0" w:color="auto"/>
            </w:tcBorders>
          </w:tcPr>
          <w:p w14:paraId="6D51D861" w14:textId="77777777" w:rsidR="002A4444" w:rsidRPr="00493A9B" w:rsidRDefault="002A4444" w:rsidP="00493A9B">
            <w:pPr>
              <w:numPr>
                <w:ilvl w:val="0"/>
                <w:numId w:val="14"/>
              </w:numPr>
              <w:ind w:left="180" w:hanging="180"/>
              <w:rPr>
                <w:sz w:val="22"/>
                <w:szCs w:val="22"/>
              </w:rPr>
            </w:pPr>
            <w:r>
              <w:rPr>
                <w:sz w:val="22"/>
              </w:rPr>
              <w:t xml:space="preserve">Aproximadamente 350 cidadãos das Américas </w:t>
            </w:r>
            <w:r w:rsidR="00D976E6">
              <w:rPr>
                <w:sz w:val="22"/>
              </w:rPr>
              <w:t>tendo recebido</w:t>
            </w:r>
            <w:r>
              <w:rPr>
                <w:sz w:val="22"/>
              </w:rPr>
              <w:t xml:space="preserve"> isenções parciais das mensalidades de cursos </w:t>
            </w:r>
            <w:r>
              <w:rPr>
                <w:i/>
                <w:iCs/>
                <w:sz w:val="22"/>
              </w:rPr>
              <w:t>online</w:t>
            </w:r>
            <w:r>
              <w:rPr>
                <w:sz w:val="22"/>
              </w:rPr>
              <w:t xml:space="preserve"> de desenvolvimento profissional ministrados pelo Portal de Educação das Américas.</w:t>
            </w:r>
          </w:p>
          <w:p w14:paraId="77E6E5DD" w14:textId="77777777" w:rsidR="002A4444" w:rsidRPr="00493A9B" w:rsidRDefault="002A4444" w:rsidP="00493A9B">
            <w:pPr>
              <w:numPr>
                <w:ilvl w:val="0"/>
                <w:numId w:val="14"/>
              </w:numPr>
              <w:ind w:left="180" w:hanging="180"/>
              <w:rPr>
                <w:sz w:val="22"/>
                <w:szCs w:val="22"/>
              </w:rPr>
            </w:pPr>
            <w:r>
              <w:rPr>
                <w:sz w:val="22"/>
              </w:rPr>
              <w:t>Cerca de 1.000 pessoas treinadas por meio de MOOCs em temas relacionados com Educação, Gênero, Direitos Humanos e Desenvolvimento Sustentável.</w:t>
            </w:r>
          </w:p>
          <w:p w14:paraId="700D58ED" w14:textId="77777777" w:rsidR="002A4444" w:rsidRPr="00493A9B" w:rsidRDefault="002A4444" w:rsidP="00493A9B">
            <w:pPr>
              <w:numPr>
                <w:ilvl w:val="0"/>
                <w:numId w:val="14"/>
              </w:numPr>
              <w:ind w:left="180" w:hanging="180"/>
              <w:rPr>
                <w:sz w:val="22"/>
                <w:szCs w:val="22"/>
              </w:rPr>
            </w:pPr>
            <w:r>
              <w:rPr>
                <w:sz w:val="22"/>
              </w:rPr>
              <w:t xml:space="preserve">Cerca de 1.900 professores </w:t>
            </w:r>
            <w:r w:rsidR="00D976E6">
              <w:rPr>
                <w:sz w:val="22"/>
              </w:rPr>
              <w:t>treinados</w:t>
            </w:r>
            <w:r>
              <w:rPr>
                <w:sz w:val="22"/>
              </w:rPr>
              <w:t xml:space="preserve"> </w:t>
            </w:r>
            <w:r>
              <w:rPr>
                <w:i/>
                <w:iCs/>
                <w:sz w:val="22"/>
              </w:rPr>
              <w:t>online</w:t>
            </w:r>
            <w:r>
              <w:rPr>
                <w:sz w:val="22"/>
              </w:rPr>
              <w:t xml:space="preserve"> em Inovação e Integração de TICs na Educação por meio do Programa Educacional OEA-ProFuturo.</w:t>
            </w:r>
          </w:p>
          <w:p w14:paraId="4B196FDD" w14:textId="77777777" w:rsidR="002A4444" w:rsidRPr="00493A9B" w:rsidRDefault="002A4444" w:rsidP="00493A9B">
            <w:pPr>
              <w:numPr>
                <w:ilvl w:val="0"/>
                <w:numId w:val="14"/>
              </w:numPr>
              <w:ind w:left="180" w:hanging="180"/>
              <w:rPr>
                <w:sz w:val="22"/>
                <w:szCs w:val="22"/>
              </w:rPr>
            </w:pPr>
            <w:r>
              <w:rPr>
                <w:sz w:val="22"/>
              </w:rPr>
              <w:t xml:space="preserve">Apoiar o fortalecimento das capacidades dentro da OEA para </w:t>
            </w:r>
            <w:r>
              <w:rPr>
                <w:sz w:val="22"/>
              </w:rPr>
              <w:lastRenderedPageBreak/>
              <w:t>oferecer treinamento virtual a diversos públicos de interesse, por meio do desenvolvimento de soluções educacionais sob medida.</w:t>
            </w:r>
          </w:p>
        </w:tc>
        <w:tc>
          <w:tcPr>
            <w:tcW w:w="2880" w:type="dxa"/>
            <w:tcBorders>
              <w:bottom w:val="single" w:sz="6" w:space="0" w:color="auto"/>
            </w:tcBorders>
          </w:tcPr>
          <w:p w14:paraId="29E53D30" w14:textId="77777777" w:rsidR="002A4444" w:rsidRPr="00493A9B" w:rsidRDefault="002A4444" w:rsidP="00493A9B">
            <w:pPr>
              <w:rPr>
                <w:sz w:val="22"/>
                <w:szCs w:val="22"/>
              </w:rPr>
            </w:pPr>
            <w:r>
              <w:rPr>
                <w:b/>
                <w:sz w:val="22"/>
                <w:u w:val="single"/>
              </w:rPr>
              <w:lastRenderedPageBreak/>
              <w:t>Internas</w:t>
            </w:r>
            <w:r>
              <w:rPr>
                <w:b/>
                <w:sz w:val="22"/>
              </w:rPr>
              <w:t>:</w:t>
            </w:r>
          </w:p>
          <w:p w14:paraId="5A69345A" w14:textId="77777777" w:rsidR="002A4444" w:rsidRPr="00493A9B" w:rsidRDefault="002A4444" w:rsidP="00493A9B">
            <w:pPr>
              <w:rPr>
                <w:sz w:val="22"/>
                <w:szCs w:val="22"/>
              </w:rPr>
            </w:pPr>
            <w:r>
              <w:rPr>
                <w:sz w:val="22"/>
              </w:rPr>
              <w:t>RIAL, CIM, CIDH, CITEL, departamentos da SEDI, departamentos de outras secretarias</w:t>
            </w:r>
          </w:p>
          <w:p w14:paraId="110A3957" w14:textId="77777777" w:rsidR="002A4444" w:rsidRPr="00493A9B" w:rsidRDefault="002A4444" w:rsidP="00493A9B">
            <w:pPr>
              <w:rPr>
                <w:sz w:val="22"/>
                <w:szCs w:val="22"/>
              </w:rPr>
            </w:pPr>
          </w:p>
          <w:p w14:paraId="50466D83" w14:textId="77777777" w:rsidR="002A4444" w:rsidRPr="00493A9B" w:rsidRDefault="002A4444" w:rsidP="00493A9B">
            <w:pPr>
              <w:rPr>
                <w:sz w:val="22"/>
                <w:szCs w:val="22"/>
              </w:rPr>
            </w:pPr>
            <w:r>
              <w:rPr>
                <w:b/>
                <w:sz w:val="22"/>
              </w:rPr>
              <w:t>Externas:</w:t>
            </w:r>
          </w:p>
          <w:p w14:paraId="38E40931" w14:textId="77777777" w:rsidR="002A4444" w:rsidRPr="00493A9B" w:rsidRDefault="002A4444" w:rsidP="00493A9B">
            <w:pPr>
              <w:rPr>
                <w:sz w:val="22"/>
                <w:szCs w:val="22"/>
              </w:rPr>
            </w:pPr>
            <w:r>
              <w:rPr>
                <w:sz w:val="22"/>
              </w:rPr>
              <w:t>Fundação ProFuturo; Ministérios da Educação dos Estados Membros; Convênio Andres Bello (CAB); FLACSO Chile; Universidade Pontifícia Bolivariana (UPB).</w:t>
            </w:r>
          </w:p>
        </w:tc>
      </w:tr>
      <w:tr w:rsidR="00FC1B55" w:rsidRPr="00493A9B" w14:paraId="6C5C72DF" w14:textId="77777777" w:rsidTr="00565A1C">
        <w:trPr>
          <w:jc w:val="center"/>
        </w:trPr>
        <w:tc>
          <w:tcPr>
            <w:tcW w:w="3312" w:type="dxa"/>
            <w:tcBorders>
              <w:top w:val="single" w:sz="6" w:space="0" w:color="auto"/>
              <w:bottom w:val="single" w:sz="6" w:space="0" w:color="auto"/>
            </w:tcBorders>
            <w:shd w:val="clear" w:color="auto" w:fill="BFBFBF" w:themeFill="background1" w:themeFillShade="BF"/>
          </w:tcPr>
          <w:p w14:paraId="2ACDC1A5" w14:textId="77777777" w:rsidR="00FC1B55" w:rsidRPr="00493A9B" w:rsidRDefault="00D976E6" w:rsidP="00493A9B">
            <w:pPr>
              <w:rPr>
                <w:b/>
                <w:sz w:val="22"/>
                <w:szCs w:val="22"/>
              </w:rPr>
            </w:pPr>
            <w:r>
              <w:rPr>
                <w:b/>
                <w:sz w:val="22"/>
              </w:rPr>
              <w:t xml:space="preserve">OBJETIVO </w:t>
            </w:r>
            <w:r w:rsidR="00FC1B55">
              <w:rPr>
                <w:b/>
                <w:sz w:val="22"/>
              </w:rPr>
              <w:t>ESTRATÉGICO</w:t>
            </w:r>
          </w:p>
          <w:p w14:paraId="328A9356" w14:textId="77777777" w:rsidR="00FC1B55" w:rsidRPr="00493A9B" w:rsidRDefault="00FC1B55" w:rsidP="00493A9B">
            <w:pPr>
              <w:rPr>
                <w:b/>
                <w:sz w:val="22"/>
                <w:szCs w:val="22"/>
              </w:rPr>
            </w:pPr>
          </w:p>
        </w:tc>
        <w:tc>
          <w:tcPr>
            <w:tcW w:w="10541" w:type="dxa"/>
            <w:gridSpan w:val="3"/>
            <w:tcBorders>
              <w:top w:val="single" w:sz="6" w:space="0" w:color="auto"/>
              <w:bottom w:val="single" w:sz="6" w:space="0" w:color="auto"/>
            </w:tcBorders>
            <w:shd w:val="clear" w:color="auto" w:fill="BFBFBF" w:themeFill="background1" w:themeFillShade="BF"/>
            <w:vAlign w:val="center"/>
          </w:tcPr>
          <w:p w14:paraId="09430D28" w14:textId="77777777" w:rsidR="00FC1B55" w:rsidRPr="00493A9B" w:rsidRDefault="00FC1B55" w:rsidP="00493A9B">
            <w:pPr>
              <w:rPr>
                <w:b/>
                <w:sz w:val="22"/>
                <w:szCs w:val="22"/>
              </w:rPr>
            </w:pPr>
            <w:r>
              <w:rPr>
                <w:b/>
                <w:sz w:val="22"/>
              </w:rPr>
              <w:t>3.3.   Fortalecer a capacidade institucional dos Estados membros de oferecer atenção integral à primeira infância.</w:t>
            </w:r>
          </w:p>
        </w:tc>
      </w:tr>
      <w:tr w:rsidR="00FC1B55" w:rsidRPr="00493A9B" w14:paraId="40C47A0A" w14:textId="77777777" w:rsidTr="00565A1C">
        <w:trPr>
          <w:jc w:val="center"/>
        </w:trPr>
        <w:tc>
          <w:tcPr>
            <w:tcW w:w="13853" w:type="dxa"/>
            <w:gridSpan w:val="4"/>
            <w:tcBorders>
              <w:top w:val="single" w:sz="6" w:space="0" w:color="auto"/>
            </w:tcBorders>
            <w:shd w:val="clear" w:color="auto" w:fill="D9D9D9" w:themeFill="background1" w:themeFillShade="D9"/>
          </w:tcPr>
          <w:p w14:paraId="31AFCFD2" w14:textId="77777777" w:rsidR="00FC1B55" w:rsidRPr="00493A9B" w:rsidRDefault="00FC1B55" w:rsidP="00493A9B">
            <w:pPr>
              <w:rPr>
                <w:sz w:val="22"/>
                <w:szCs w:val="22"/>
              </w:rPr>
            </w:pPr>
            <w:r>
              <w:rPr>
                <w:b/>
                <w:bCs/>
                <w:sz w:val="22"/>
              </w:rPr>
              <w:t>Educação</w:t>
            </w:r>
            <w:r>
              <w:rPr>
                <w:sz w:val="22"/>
              </w:rPr>
              <w:t xml:space="preserve"> – Programa de Bolsas de Estudo e Treinamento da OEA</w:t>
            </w:r>
          </w:p>
        </w:tc>
      </w:tr>
      <w:tr w:rsidR="002A4444" w:rsidRPr="00493A9B" w14:paraId="79B76A0F" w14:textId="77777777" w:rsidTr="002A4444">
        <w:trPr>
          <w:jc w:val="center"/>
        </w:trPr>
        <w:tc>
          <w:tcPr>
            <w:tcW w:w="3312" w:type="dxa"/>
          </w:tcPr>
          <w:p w14:paraId="4C8AA7CD" w14:textId="77777777" w:rsidR="002A4444" w:rsidRPr="00493A9B" w:rsidRDefault="002A4444" w:rsidP="00493A9B">
            <w:pPr>
              <w:rPr>
                <w:sz w:val="22"/>
                <w:szCs w:val="22"/>
              </w:rPr>
            </w:pPr>
            <w:r>
              <w:rPr>
                <w:color w:val="000000" w:themeColor="text1"/>
                <w:sz w:val="22"/>
              </w:rPr>
              <w:t>Concede</w:t>
            </w:r>
            <w:r w:rsidR="00D976E6">
              <w:rPr>
                <w:color w:val="000000" w:themeColor="text1"/>
                <w:sz w:val="22"/>
              </w:rPr>
              <w:t>r</w:t>
            </w:r>
            <w:r>
              <w:rPr>
                <w:color w:val="000000" w:themeColor="text1"/>
                <w:sz w:val="22"/>
              </w:rPr>
              <w:t xml:space="preserve"> anualmente bolsas de mestrado, doutorado ou pesquisa de pós-graduação.</w:t>
            </w:r>
          </w:p>
        </w:tc>
        <w:tc>
          <w:tcPr>
            <w:tcW w:w="4234" w:type="dxa"/>
          </w:tcPr>
          <w:p w14:paraId="7E5438F6" w14:textId="77777777" w:rsidR="002A4444" w:rsidRPr="00493A9B" w:rsidRDefault="002A4444" w:rsidP="00493A9B">
            <w:pPr>
              <w:rPr>
                <w:sz w:val="22"/>
                <w:szCs w:val="22"/>
              </w:rPr>
            </w:pPr>
          </w:p>
        </w:tc>
        <w:tc>
          <w:tcPr>
            <w:tcW w:w="3427" w:type="dxa"/>
          </w:tcPr>
          <w:p w14:paraId="001A3F3D" w14:textId="77777777" w:rsidR="002A4444" w:rsidRPr="00493A9B" w:rsidRDefault="002A4444" w:rsidP="00493A9B">
            <w:pPr>
              <w:numPr>
                <w:ilvl w:val="0"/>
                <w:numId w:val="15"/>
              </w:numPr>
              <w:ind w:left="180" w:hanging="180"/>
              <w:rPr>
                <w:sz w:val="22"/>
                <w:szCs w:val="22"/>
              </w:rPr>
            </w:pPr>
            <w:r>
              <w:rPr>
                <w:sz w:val="22"/>
              </w:rPr>
              <w:t>47 bolsas acadêmicas de graduação, mestrado e doutorado em mais de 160 universidades dos Estados Membros, em uma variedade de cursos que contribuem para o desenvolvimento do capital humano e a consequente promoção da competitividade e do desenvolvimento nos países da região.</w:t>
            </w:r>
          </w:p>
          <w:p w14:paraId="09F8C308" w14:textId="77777777" w:rsidR="002A4444" w:rsidRPr="00493A9B" w:rsidRDefault="002A4444" w:rsidP="00493A9B">
            <w:pPr>
              <w:numPr>
                <w:ilvl w:val="0"/>
                <w:numId w:val="15"/>
              </w:numPr>
              <w:ind w:left="180" w:hanging="180"/>
              <w:rPr>
                <w:sz w:val="22"/>
                <w:szCs w:val="22"/>
              </w:rPr>
            </w:pPr>
            <w:r>
              <w:rPr>
                <w:sz w:val="22"/>
              </w:rPr>
              <w:t xml:space="preserve">11 cursos </w:t>
            </w:r>
            <w:r>
              <w:rPr>
                <w:i/>
                <w:iCs/>
                <w:sz w:val="22"/>
              </w:rPr>
              <w:t>online</w:t>
            </w:r>
            <w:r>
              <w:rPr>
                <w:sz w:val="22"/>
              </w:rPr>
              <w:t xml:space="preserve"> de desenvolvimento profissional de curto prazo para cidadãos e residentes permanentes dos Estados membros da OEA a fim de expandir e fortalecer o desenvolvimento profissional em áreas especializadas de trabalho.</w:t>
            </w:r>
          </w:p>
          <w:p w14:paraId="275EC268" w14:textId="77777777" w:rsidR="002A4444" w:rsidRPr="00493A9B" w:rsidRDefault="002A4444" w:rsidP="00493A9B">
            <w:pPr>
              <w:numPr>
                <w:ilvl w:val="0"/>
                <w:numId w:val="15"/>
              </w:numPr>
              <w:ind w:left="180" w:hanging="180"/>
              <w:rPr>
                <w:sz w:val="22"/>
                <w:szCs w:val="22"/>
              </w:rPr>
            </w:pPr>
            <w:r>
              <w:rPr>
                <w:sz w:val="22"/>
              </w:rPr>
              <w:t xml:space="preserve">Pelo menos 3.000 bolsas de estudo concedidas em parcerias com governos e universidades públicas e privadas dos Estados membros da OEA e seus Observadores Permanentes, bem como outras instituições educacionais, para cursos acadêmicos de mestrado e doutorado e para cursos de </w:t>
            </w:r>
            <w:r>
              <w:rPr>
                <w:sz w:val="22"/>
              </w:rPr>
              <w:lastRenderedPageBreak/>
              <w:t>desenvolvimento profissional, o que contribuirá para o desenvolvimento do capital humano e promoverá a resiliência, a competitividade e o desenvolvimento dos países da região.</w:t>
            </w:r>
          </w:p>
        </w:tc>
        <w:tc>
          <w:tcPr>
            <w:tcW w:w="2880" w:type="dxa"/>
          </w:tcPr>
          <w:p w14:paraId="7954CFFB" w14:textId="77777777" w:rsidR="002A4444" w:rsidRPr="00493A9B" w:rsidRDefault="002A4444" w:rsidP="00493A9B">
            <w:pPr>
              <w:rPr>
                <w:sz w:val="22"/>
                <w:szCs w:val="22"/>
              </w:rPr>
            </w:pPr>
            <w:r>
              <w:rPr>
                <w:b/>
                <w:sz w:val="22"/>
              </w:rPr>
              <w:lastRenderedPageBreak/>
              <w:t>Internas:</w:t>
            </w:r>
          </w:p>
          <w:p w14:paraId="45BBDAB0" w14:textId="77777777" w:rsidR="002A4444" w:rsidRPr="00493A9B" w:rsidRDefault="002A4444" w:rsidP="00493A9B">
            <w:pPr>
              <w:rPr>
                <w:sz w:val="22"/>
                <w:szCs w:val="22"/>
              </w:rPr>
            </w:pPr>
            <w:r>
              <w:rPr>
                <w:sz w:val="22"/>
              </w:rPr>
              <w:t>Escritório Executivo da SEDI, todos os departamentos da SEDI</w:t>
            </w:r>
          </w:p>
          <w:p w14:paraId="52C175F7" w14:textId="77777777" w:rsidR="002A4444" w:rsidRPr="00493A9B" w:rsidRDefault="002A4444" w:rsidP="00493A9B">
            <w:pPr>
              <w:rPr>
                <w:sz w:val="22"/>
                <w:szCs w:val="22"/>
              </w:rPr>
            </w:pPr>
          </w:p>
          <w:p w14:paraId="62D77160" w14:textId="77777777" w:rsidR="002A4444" w:rsidRPr="00493A9B" w:rsidRDefault="002A4444" w:rsidP="00493A9B">
            <w:pPr>
              <w:rPr>
                <w:sz w:val="22"/>
                <w:szCs w:val="22"/>
              </w:rPr>
            </w:pPr>
            <w:r>
              <w:rPr>
                <w:b/>
                <w:sz w:val="22"/>
              </w:rPr>
              <w:t>Externas:</w:t>
            </w:r>
          </w:p>
          <w:p w14:paraId="7E25583F" w14:textId="77777777" w:rsidR="002A4444" w:rsidRPr="00493A9B" w:rsidRDefault="002A4444" w:rsidP="00493A9B">
            <w:pPr>
              <w:rPr>
                <w:sz w:val="22"/>
                <w:szCs w:val="22"/>
              </w:rPr>
            </w:pPr>
            <w:r>
              <w:rPr>
                <w:sz w:val="22"/>
              </w:rPr>
              <w:t xml:space="preserve">Governos dos Estados membros, 160 universidades do Consórcio de Universidades da OEA nos Estados membros, </w:t>
            </w:r>
            <w:r w:rsidR="00D976E6">
              <w:rPr>
                <w:sz w:val="22"/>
              </w:rPr>
              <w:t>cinco</w:t>
            </w:r>
            <w:r>
              <w:rPr>
                <w:sz w:val="22"/>
              </w:rPr>
              <w:t xml:space="preserve"> instituições educacionais nos Observadores Permanentes, 88 universidades do Grupo de Cooperação Internacional de Universidades Brasileiras.</w:t>
            </w:r>
          </w:p>
        </w:tc>
      </w:tr>
      <w:tr w:rsidR="002A4444" w:rsidRPr="00493A9B" w14:paraId="538AF20A" w14:textId="77777777" w:rsidTr="00565A1C">
        <w:trPr>
          <w:jc w:val="center"/>
        </w:trPr>
        <w:tc>
          <w:tcPr>
            <w:tcW w:w="3312" w:type="dxa"/>
            <w:tcBorders>
              <w:bottom w:val="single" w:sz="6" w:space="0" w:color="auto"/>
            </w:tcBorders>
          </w:tcPr>
          <w:p w14:paraId="0C6CC759" w14:textId="77777777" w:rsidR="002A4444" w:rsidRPr="00493A9B" w:rsidRDefault="002A4444" w:rsidP="00493A9B">
            <w:pPr>
              <w:tabs>
                <w:tab w:val="left" w:pos="177"/>
              </w:tabs>
              <w:rPr>
                <w:b/>
                <w:sz w:val="22"/>
                <w:szCs w:val="22"/>
              </w:rPr>
            </w:pPr>
            <w:r>
              <w:rPr>
                <w:b/>
                <w:sz w:val="22"/>
              </w:rPr>
              <w:t>Fundo Rowe</w:t>
            </w:r>
          </w:p>
          <w:p w14:paraId="44286B96" w14:textId="77777777" w:rsidR="002A4444" w:rsidRPr="00493A9B" w:rsidRDefault="002A4444" w:rsidP="00493A9B">
            <w:pPr>
              <w:rPr>
                <w:sz w:val="22"/>
                <w:szCs w:val="22"/>
              </w:rPr>
            </w:pPr>
            <w:r>
              <w:rPr>
                <w:sz w:val="22"/>
              </w:rPr>
              <w:t>O Fundo Rowe é um programa de financiamento educacional da Organização dos Estados Americanos (OEA) que ajuda os cidadãos dos Estados membros da América Latina e do Caribe a financiarem seus estudos ou pesquisas em universidades credenciadas nos Estados Unidos, concedendo empréstimos sem juros de até US$ 15.000</w:t>
            </w:r>
          </w:p>
        </w:tc>
        <w:tc>
          <w:tcPr>
            <w:tcW w:w="4234" w:type="dxa"/>
            <w:tcBorders>
              <w:bottom w:val="single" w:sz="6" w:space="0" w:color="auto"/>
            </w:tcBorders>
          </w:tcPr>
          <w:p w14:paraId="5DB4338E" w14:textId="77777777" w:rsidR="002A4444" w:rsidRPr="00493A9B" w:rsidRDefault="002A4444" w:rsidP="00493A9B">
            <w:pPr>
              <w:rPr>
                <w:sz w:val="22"/>
                <w:szCs w:val="22"/>
              </w:rPr>
            </w:pPr>
          </w:p>
        </w:tc>
        <w:tc>
          <w:tcPr>
            <w:tcW w:w="3427" w:type="dxa"/>
            <w:tcBorders>
              <w:bottom w:val="single" w:sz="6" w:space="0" w:color="auto"/>
            </w:tcBorders>
          </w:tcPr>
          <w:p w14:paraId="652AB529" w14:textId="77777777" w:rsidR="002A4444" w:rsidRPr="00493A9B" w:rsidRDefault="002A4444" w:rsidP="00493A9B">
            <w:pPr>
              <w:numPr>
                <w:ilvl w:val="0"/>
                <w:numId w:val="16"/>
              </w:numPr>
              <w:ind w:left="180" w:hanging="180"/>
              <w:rPr>
                <w:sz w:val="22"/>
                <w:szCs w:val="22"/>
              </w:rPr>
            </w:pPr>
            <w:r>
              <w:rPr>
                <w:sz w:val="22"/>
              </w:rPr>
              <w:t>Mais de 90 auxílios financeiros concedidos para estudos nos EUA</w:t>
            </w:r>
          </w:p>
          <w:p w14:paraId="3274D949" w14:textId="77777777" w:rsidR="002A4444" w:rsidRPr="00493A9B" w:rsidRDefault="002A4444" w:rsidP="00493A9B">
            <w:pPr>
              <w:numPr>
                <w:ilvl w:val="0"/>
                <w:numId w:val="16"/>
              </w:numPr>
              <w:ind w:left="180" w:hanging="180"/>
              <w:rPr>
                <w:sz w:val="22"/>
                <w:szCs w:val="22"/>
              </w:rPr>
            </w:pPr>
            <w:r>
              <w:rPr>
                <w:sz w:val="22"/>
              </w:rPr>
              <w:t>Mais de 20 empréstimos educacionais/emergenciais concedidos a funcionários da SG/OEA</w:t>
            </w:r>
          </w:p>
          <w:p w14:paraId="47C094DE" w14:textId="77777777" w:rsidR="002A4444" w:rsidRPr="00493A9B" w:rsidRDefault="002A4444" w:rsidP="00493A9B">
            <w:pPr>
              <w:numPr>
                <w:ilvl w:val="0"/>
                <w:numId w:val="16"/>
              </w:numPr>
              <w:ind w:left="180" w:hanging="180"/>
              <w:rPr>
                <w:sz w:val="22"/>
                <w:szCs w:val="22"/>
              </w:rPr>
            </w:pPr>
            <w:r>
              <w:rPr>
                <w:sz w:val="22"/>
              </w:rPr>
              <w:t>Mais de 300 contas de empréstimo geridas pelo fundo rotativo</w:t>
            </w:r>
          </w:p>
          <w:p w14:paraId="421BF033" w14:textId="77777777" w:rsidR="002A4444" w:rsidRPr="00493A9B" w:rsidRDefault="002A4444" w:rsidP="00493A9B">
            <w:pPr>
              <w:numPr>
                <w:ilvl w:val="0"/>
                <w:numId w:val="16"/>
              </w:numPr>
              <w:ind w:left="180" w:hanging="180"/>
              <w:rPr>
                <w:sz w:val="22"/>
                <w:szCs w:val="22"/>
              </w:rPr>
            </w:pPr>
            <w:r>
              <w:rPr>
                <w:sz w:val="22"/>
              </w:rPr>
              <w:t>Carteira de investimentos gerida de forma moderadamente conservadora</w:t>
            </w:r>
          </w:p>
          <w:p w14:paraId="44DAAF6A" w14:textId="77777777" w:rsidR="002A4444" w:rsidRPr="00493A9B" w:rsidRDefault="002A4444" w:rsidP="00493A9B">
            <w:pPr>
              <w:rPr>
                <w:sz w:val="22"/>
                <w:szCs w:val="22"/>
              </w:rPr>
            </w:pPr>
            <w:r>
              <w:rPr>
                <w:sz w:val="22"/>
              </w:rPr>
              <w:t>Mais de uma bolsa de estudo a título de ajuda de emergência concedida a estudantes internacionais atualmente matriculados a fim de poderem concluir seus cursos nos EUA durante a pandemia de covid-19.</w:t>
            </w:r>
          </w:p>
        </w:tc>
        <w:tc>
          <w:tcPr>
            <w:tcW w:w="2880" w:type="dxa"/>
            <w:tcBorders>
              <w:bottom w:val="single" w:sz="6" w:space="0" w:color="auto"/>
            </w:tcBorders>
          </w:tcPr>
          <w:p w14:paraId="14885C03" w14:textId="77777777" w:rsidR="002A4444" w:rsidRPr="00493A9B" w:rsidRDefault="002A4444" w:rsidP="00493A9B">
            <w:pPr>
              <w:rPr>
                <w:sz w:val="22"/>
                <w:szCs w:val="22"/>
              </w:rPr>
            </w:pPr>
            <w:r>
              <w:rPr>
                <w:b/>
                <w:sz w:val="22"/>
              </w:rPr>
              <w:t>Internas:</w:t>
            </w:r>
          </w:p>
          <w:p w14:paraId="4E3EA526" w14:textId="77777777" w:rsidR="002A4444" w:rsidRPr="00493A9B" w:rsidRDefault="002A4444" w:rsidP="00493A9B">
            <w:pPr>
              <w:rPr>
                <w:sz w:val="22"/>
                <w:szCs w:val="22"/>
              </w:rPr>
            </w:pPr>
            <w:r>
              <w:rPr>
                <w:sz w:val="22"/>
              </w:rPr>
              <w:t>Inclui prestadores de serviços intern</w:t>
            </w:r>
            <w:r w:rsidR="0043293D">
              <w:rPr>
                <w:sz w:val="22"/>
              </w:rPr>
              <w:t>os</w:t>
            </w:r>
            <w:r>
              <w:rPr>
                <w:sz w:val="22"/>
              </w:rPr>
              <w:t xml:space="preserve"> (OEA)</w:t>
            </w:r>
          </w:p>
          <w:p w14:paraId="54527646" w14:textId="77777777" w:rsidR="002A4444" w:rsidRPr="00493A9B" w:rsidRDefault="002A4444" w:rsidP="00493A9B">
            <w:pPr>
              <w:rPr>
                <w:sz w:val="22"/>
                <w:szCs w:val="22"/>
              </w:rPr>
            </w:pPr>
          </w:p>
          <w:p w14:paraId="7A90429A" w14:textId="77777777" w:rsidR="002A4444" w:rsidRPr="00493A9B" w:rsidRDefault="002A4444" w:rsidP="00493A9B">
            <w:pPr>
              <w:rPr>
                <w:sz w:val="22"/>
                <w:szCs w:val="22"/>
              </w:rPr>
            </w:pPr>
            <w:r>
              <w:rPr>
                <w:b/>
                <w:sz w:val="22"/>
              </w:rPr>
              <w:t>Externas:</w:t>
            </w:r>
          </w:p>
          <w:p w14:paraId="0B5812B9" w14:textId="77777777" w:rsidR="002A4444" w:rsidRPr="00493A9B" w:rsidRDefault="002A4444" w:rsidP="00493A9B">
            <w:pPr>
              <w:rPr>
                <w:sz w:val="22"/>
                <w:szCs w:val="22"/>
              </w:rPr>
            </w:pPr>
            <w:r>
              <w:rPr>
                <w:sz w:val="22"/>
              </w:rPr>
              <w:t>OASFCU, assessor de investimentos, serviços de custódia e compra e venda de ações, auditoria externa, bem como instituições ou grupos informais na área de programas de intercâmbio de ensino superior e programas de bolsas de estudo/financiamento.</w:t>
            </w:r>
          </w:p>
          <w:p w14:paraId="4CD2F196" w14:textId="77777777" w:rsidR="002A4444" w:rsidRPr="00493A9B" w:rsidRDefault="002A4444" w:rsidP="00493A9B">
            <w:pPr>
              <w:rPr>
                <w:sz w:val="22"/>
                <w:szCs w:val="22"/>
              </w:rPr>
            </w:pPr>
          </w:p>
        </w:tc>
      </w:tr>
      <w:tr w:rsidR="00565A1C" w:rsidRPr="00493A9B" w14:paraId="0C76E77B" w14:textId="77777777" w:rsidTr="00565A1C">
        <w:trPr>
          <w:jc w:val="center"/>
        </w:trPr>
        <w:tc>
          <w:tcPr>
            <w:tcW w:w="3312" w:type="dxa"/>
            <w:tcBorders>
              <w:top w:val="single" w:sz="6" w:space="0" w:color="auto"/>
              <w:bottom w:val="single" w:sz="6" w:space="0" w:color="auto"/>
            </w:tcBorders>
            <w:shd w:val="clear" w:color="auto" w:fill="BFBFBF" w:themeFill="background1" w:themeFillShade="BF"/>
          </w:tcPr>
          <w:p w14:paraId="14744EB7" w14:textId="77777777" w:rsidR="00565A1C" w:rsidRPr="00493A9B" w:rsidRDefault="00565A1C" w:rsidP="00493A9B">
            <w:pPr>
              <w:rPr>
                <w:b/>
                <w:sz w:val="22"/>
                <w:szCs w:val="22"/>
              </w:rPr>
            </w:pPr>
            <w:r>
              <w:rPr>
                <w:b/>
                <w:sz w:val="22"/>
              </w:rPr>
              <w:t>LINHA ESTRATÉGICA:</w:t>
            </w:r>
          </w:p>
        </w:tc>
        <w:tc>
          <w:tcPr>
            <w:tcW w:w="10541" w:type="dxa"/>
            <w:gridSpan w:val="3"/>
            <w:tcBorders>
              <w:top w:val="single" w:sz="6" w:space="0" w:color="auto"/>
              <w:bottom w:val="single" w:sz="6" w:space="0" w:color="auto"/>
            </w:tcBorders>
            <w:shd w:val="clear" w:color="auto" w:fill="BFBFBF" w:themeFill="background1" w:themeFillShade="BF"/>
            <w:vAlign w:val="center"/>
          </w:tcPr>
          <w:p w14:paraId="4CFC773B" w14:textId="77777777" w:rsidR="00565A1C" w:rsidRPr="00493A9B" w:rsidRDefault="00565A1C" w:rsidP="00493A9B">
            <w:pPr>
              <w:rPr>
                <w:b/>
                <w:sz w:val="22"/>
                <w:szCs w:val="22"/>
              </w:rPr>
            </w:pPr>
            <w:r>
              <w:rPr>
                <w:b/>
                <w:sz w:val="22"/>
              </w:rPr>
              <w:t>4. Promover trabalho decente, digno e produtivo para todos</w:t>
            </w:r>
          </w:p>
        </w:tc>
      </w:tr>
      <w:tr w:rsidR="00565A1C" w:rsidRPr="00493A9B" w14:paraId="3A05863C" w14:textId="77777777" w:rsidTr="00565A1C">
        <w:trPr>
          <w:jc w:val="center"/>
        </w:trPr>
        <w:tc>
          <w:tcPr>
            <w:tcW w:w="3312" w:type="dxa"/>
            <w:tcBorders>
              <w:top w:val="single" w:sz="6" w:space="0" w:color="auto"/>
              <w:bottom w:val="single" w:sz="6" w:space="0" w:color="auto"/>
            </w:tcBorders>
            <w:shd w:val="clear" w:color="auto" w:fill="BFBFBF" w:themeFill="background1" w:themeFillShade="BF"/>
          </w:tcPr>
          <w:p w14:paraId="489B1361" w14:textId="77777777" w:rsidR="00565A1C" w:rsidRPr="00493A9B" w:rsidRDefault="0043293D" w:rsidP="00493A9B">
            <w:pPr>
              <w:rPr>
                <w:b/>
                <w:sz w:val="22"/>
                <w:szCs w:val="22"/>
              </w:rPr>
            </w:pPr>
            <w:r>
              <w:rPr>
                <w:b/>
                <w:sz w:val="22"/>
              </w:rPr>
              <w:t xml:space="preserve">OBJETIVO </w:t>
            </w:r>
            <w:r w:rsidR="00565A1C">
              <w:rPr>
                <w:b/>
                <w:sz w:val="22"/>
              </w:rPr>
              <w:t xml:space="preserve">ESTRATÉGICO </w:t>
            </w:r>
          </w:p>
          <w:p w14:paraId="004344D6" w14:textId="77777777" w:rsidR="00565A1C" w:rsidRPr="00493A9B" w:rsidRDefault="00565A1C" w:rsidP="00493A9B">
            <w:pPr>
              <w:rPr>
                <w:b/>
                <w:sz w:val="22"/>
                <w:szCs w:val="22"/>
              </w:rPr>
            </w:pPr>
          </w:p>
        </w:tc>
        <w:tc>
          <w:tcPr>
            <w:tcW w:w="10541" w:type="dxa"/>
            <w:gridSpan w:val="3"/>
            <w:tcBorders>
              <w:top w:val="single" w:sz="6" w:space="0" w:color="auto"/>
              <w:bottom w:val="single" w:sz="6" w:space="0" w:color="auto"/>
            </w:tcBorders>
            <w:shd w:val="clear" w:color="auto" w:fill="BFBFBF" w:themeFill="background1" w:themeFillShade="BF"/>
            <w:vAlign w:val="center"/>
          </w:tcPr>
          <w:p w14:paraId="2FB47BFE" w14:textId="77777777" w:rsidR="00565A1C" w:rsidRPr="00493A9B" w:rsidRDefault="00565A1C" w:rsidP="00493A9B">
            <w:pPr>
              <w:rPr>
                <w:b/>
                <w:sz w:val="22"/>
                <w:szCs w:val="22"/>
              </w:rPr>
            </w:pPr>
            <w:r>
              <w:rPr>
                <w:b/>
                <w:sz w:val="22"/>
              </w:rPr>
              <w:t>4.1.  Aperfeiçoar a capacidade dos Estados membros, com vistas ao fortalecimento de sistemas de educação e formação contínua</w:t>
            </w:r>
          </w:p>
        </w:tc>
      </w:tr>
      <w:tr w:rsidR="00565A1C" w:rsidRPr="00493A9B" w14:paraId="48BED85E" w14:textId="77777777" w:rsidTr="00565A1C">
        <w:trPr>
          <w:jc w:val="center"/>
        </w:trPr>
        <w:tc>
          <w:tcPr>
            <w:tcW w:w="13853" w:type="dxa"/>
            <w:gridSpan w:val="4"/>
            <w:tcBorders>
              <w:top w:val="single" w:sz="6" w:space="0" w:color="auto"/>
            </w:tcBorders>
            <w:shd w:val="clear" w:color="auto" w:fill="D9D9D9" w:themeFill="background1" w:themeFillShade="D9"/>
          </w:tcPr>
          <w:p w14:paraId="00FB6E30" w14:textId="77777777" w:rsidR="00565A1C" w:rsidRPr="00493A9B" w:rsidRDefault="00565A1C" w:rsidP="00493A9B">
            <w:pPr>
              <w:rPr>
                <w:b/>
                <w:sz w:val="22"/>
                <w:szCs w:val="22"/>
              </w:rPr>
            </w:pPr>
            <w:r>
              <w:rPr>
                <w:b/>
                <w:sz w:val="22"/>
              </w:rPr>
              <w:t>Trabalho:</w:t>
            </w:r>
          </w:p>
        </w:tc>
      </w:tr>
      <w:tr w:rsidR="002A4444" w:rsidRPr="00493A9B" w14:paraId="732F5DE6" w14:textId="77777777" w:rsidTr="002A4444">
        <w:trPr>
          <w:jc w:val="center"/>
        </w:trPr>
        <w:tc>
          <w:tcPr>
            <w:tcW w:w="3312" w:type="dxa"/>
          </w:tcPr>
          <w:p w14:paraId="5C7F5914" w14:textId="77777777" w:rsidR="002A4444" w:rsidRPr="00493A9B" w:rsidRDefault="002A4444" w:rsidP="00493A9B">
            <w:pPr>
              <w:rPr>
                <w:b/>
                <w:bCs/>
                <w:color w:val="000000" w:themeColor="text1"/>
                <w:sz w:val="22"/>
                <w:szCs w:val="22"/>
              </w:rPr>
            </w:pPr>
            <w:r>
              <w:rPr>
                <w:b/>
                <w:color w:val="000000" w:themeColor="text1"/>
                <w:sz w:val="22"/>
              </w:rPr>
              <w:t>Conferência Interamericana de Ministros do Trabalho (CIMT)</w:t>
            </w:r>
          </w:p>
        </w:tc>
        <w:tc>
          <w:tcPr>
            <w:tcW w:w="4234" w:type="dxa"/>
          </w:tcPr>
          <w:p w14:paraId="1C892BC9" w14:textId="77777777" w:rsidR="002A4444" w:rsidRPr="00493A9B" w:rsidRDefault="002A4444" w:rsidP="00493A9B">
            <w:pPr>
              <w:rPr>
                <w:sz w:val="22"/>
                <w:szCs w:val="22"/>
              </w:rPr>
            </w:pPr>
            <w:r>
              <w:rPr>
                <w:sz w:val="22"/>
              </w:rPr>
              <w:t>Atividades de cooperação bilateral e regional da Rede Interamericana para a Administração Trabalhista (RIAL)</w:t>
            </w:r>
          </w:p>
        </w:tc>
        <w:tc>
          <w:tcPr>
            <w:tcW w:w="3427" w:type="dxa"/>
          </w:tcPr>
          <w:p w14:paraId="5561777D" w14:textId="77777777" w:rsidR="002A4444" w:rsidRPr="00493A9B" w:rsidRDefault="002A4444" w:rsidP="00493A9B">
            <w:pPr>
              <w:numPr>
                <w:ilvl w:val="0"/>
                <w:numId w:val="18"/>
              </w:numPr>
              <w:ind w:left="180" w:hanging="180"/>
              <w:rPr>
                <w:sz w:val="22"/>
                <w:szCs w:val="22"/>
              </w:rPr>
            </w:pPr>
            <w:r>
              <w:rPr>
                <w:sz w:val="22"/>
              </w:rPr>
              <w:t xml:space="preserve">Projetar, reformar, executar e avaliar políticas e programas de trabalho e emprego, graças às atividades de cooperação bilateral e regional da RIAL, Portfólio de Respostas dos Ministérios do Trabalho à covid-19 e boletins </w:t>
            </w:r>
            <w:r>
              <w:rPr>
                <w:sz w:val="22"/>
              </w:rPr>
              <w:lastRenderedPageBreak/>
              <w:t>informativos, entre outros.  Ênfase especial nas medidas de promoção do trabalho decente e do emprego produtivo, englobando o emprego para jovens, o fortalecimento dos sistemas de proteção social e a promoção de um envelhecimento digno.</w:t>
            </w:r>
          </w:p>
          <w:p w14:paraId="1731DC77" w14:textId="77777777" w:rsidR="002A4444" w:rsidRPr="00493A9B" w:rsidRDefault="002A4444" w:rsidP="00493A9B">
            <w:pPr>
              <w:numPr>
                <w:ilvl w:val="0"/>
                <w:numId w:val="18"/>
              </w:numPr>
              <w:ind w:left="180" w:hanging="180"/>
              <w:rPr>
                <w:sz w:val="22"/>
                <w:szCs w:val="22"/>
              </w:rPr>
            </w:pPr>
            <w:r>
              <w:rPr>
                <w:sz w:val="22"/>
              </w:rPr>
              <w:t xml:space="preserve">Abordar a discrepância de competências, identificar e desenvolver competências para o futuro e preparar melhor a força de trabalho para que possa recuperar-se da crise de emprego gerada pela covid-19, e construir economias e sociedades mais resilientes e sustentáveis.  </w:t>
            </w:r>
          </w:p>
        </w:tc>
        <w:tc>
          <w:tcPr>
            <w:tcW w:w="2880" w:type="dxa"/>
          </w:tcPr>
          <w:p w14:paraId="6EE383D7" w14:textId="77777777" w:rsidR="002A4444" w:rsidRPr="00493A9B" w:rsidRDefault="002A4444" w:rsidP="00493A9B">
            <w:pPr>
              <w:rPr>
                <w:sz w:val="22"/>
                <w:szCs w:val="22"/>
              </w:rPr>
            </w:pPr>
            <w:r>
              <w:rPr>
                <w:b/>
                <w:sz w:val="22"/>
              </w:rPr>
              <w:lastRenderedPageBreak/>
              <w:t>Internas:</w:t>
            </w:r>
          </w:p>
          <w:p w14:paraId="2945BB4E" w14:textId="77777777" w:rsidR="002A4444" w:rsidRPr="00493A9B" w:rsidRDefault="002A4444" w:rsidP="00493A9B">
            <w:pPr>
              <w:rPr>
                <w:sz w:val="22"/>
                <w:szCs w:val="22"/>
              </w:rPr>
            </w:pPr>
            <w:r>
              <w:rPr>
                <w:sz w:val="22"/>
              </w:rPr>
              <w:t>Secretaria de Acesso a Direitos e Equidade</w:t>
            </w:r>
          </w:p>
        </w:tc>
      </w:tr>
      <w:tr w:rsidR="002A4444" w:rsidRPr="00493A9B" w14:paraId="186D2564" w14:textId="77777777" w:rsidTr="00A250FC">
        <w:trPr>
          <w:jc w:val="center"/>
        </w:trPr>
        <w:tc>
          <w:tcPr>
            <w:tcW w:w="3312" w:type="dxa"/>
            <w:tcBorders>
              <w:bottom w:val="single" w:sz="6" w:space="0" w:color="auto"/>
            </w:tcBorders>
          </w:tcPr>
          <w:p w14:paraId="7B323417" w14:textId="77777777" w:rsidR="002A4444" w:rsidRPr="00493A9B" w:rsidRDefault="002A4444" w:rsidP="00493A9B">
            <w:pPr>
              <w:rPr>
                <w:sz w:val="22"/>
                <w:szCs w:val="22"/>
              </w:rPr>
            </w:pPr>
          </w:p>
        </w:tc>
        <w:tc>
          <w:tcPr>
            <w:tcW w:w="4234" w:type="dxa"/>
            <w:tcBorders>
              <w:bottom w:val="single" w:sz="6" w:space="0" w:color="auto"/>
            </w:tcBorders>
          </w:tcPr>
          <w:p w14:paraId="50055A27" w14:textId="77777777" w:rsidR="002A4444" w:rsidRPr="00493A9B" w:rsidRDefault="002A4444" w:rsidP="00493A9B">
            <w:pPr>
              <w:rPr>
                <w:sz w:val="22"/>
                <w:szCs w:val="22"/>
              </w:rPr>
            </w:pPr>
            <w:r>
              <w:rPr>
                <w:sz w:val="22"/>
              </w:rPr>
              <w:t>Ações para melhorar a equidade de gênero no mercado de trabalho por meio da integração da perspectiva de gênero nos Ministérios do Trabalho</w:t>
            </w:r>
          </w:p>
        </w:tc>
        <w:tc>
          <w:tcPr>
            <w:tcW w:w="3427" w:type="dxa"/>
            <w:tcBorders>
              <w:bottom w:val="single" w:sz="6" w:space="0" w:color="auto"/>
            </w:tcBorders>
          </w:tcPr>
          <w:p w14:paraId="7860777C" w14:textId="77777777" w:rsidR="002A4444" w:rsidRPr="00493A9B" w:rsidRDefault="002A4444" w:rsidP="00493A9B">
            <w:pPr>
              <w:numPr>
                <w:ilvl w:val="0"/>
                <w:numId w:val="18"/>
              </w:numPr>
              <w:spacing w:line="216" w:lineRule="auto"/>
              <w:ind w:left="187" w:hanging="187"/>
              <w:rPr>
                <w:sz w:val="22"/>
                <w:szCs w:val="22"/>
              </w:rPr>
            </w:pPr>
            <w:r>
              <w:rPr>
                <w:sz w:val="22"/>
              </w:rPr>
              <w:t>Conclusão do estudo abrangente sobre a situação da integração da perspectiva de gênero nos Ministérios do Trabalho e de um conjunto de recomendações para fortalecer esse processo.  A integração da perspectiva de gênero é um meio para a equidade.</w:t>
            </w:r>
          </w:p>
          <w:p w14:paraId="27D4D0C7" w14:textId="77777777" w:rsidR="002A4444" w:rsidRPr="00DA56F9" w:rsidRDefault="002A4444" w:rsidP="00493A9B">
            <w:pPr>
              <w:numPr>
                <w:ilvl w:val="0"/>
                <w:numId w:val="18"/>
              </w:numPr>
              <w:spacing w:line="216" w:lineRule="auto"/>
              <w:ind w:left="187" w:hanging="187"/>
              <w:rPr>
                <w:sz w:val="22"/>
                <w:szCs w:val="22"/>
              </w:rPr>
            </w:pPr>
            <w:r>
              <w:rPr>
                <w:sz w:val="22"/>
              </w:rPr>
              <w:t>Em um curso virtual desenvolvido pela SEDI e pela Comissão Interamericana de Mulheres (CIM) no Portal de Educação das Américas, os governos aumentaram seus conhecimentos e capacidades sobre como identificar, prevenir, abordar e punir a violência de gênero no trabalho.</w:t>
            </w:r>
          </w:p>
          <w:p w14:paraId="2A5A182B" w14:textId="77777777" w:rsidR="00DA56F9" w:rsidRDefault="00DA56F9" w:rsidP="00DA56F9">
            <w:pPr>
              <w:spacing w:line="216" w:lineRule="auto"/>
              <w:ind w:left="187"/>
              <w:rPr>
                <w:sz w:val="22"/>
              </w:rPr>
            </w:pPr>
          </w:p>
          <w:p w14:paraId="5D5DF419" w14:textId="77777777" w:rsidR="00DA56F9" w:rsidRDefault="00DA56F9" w:rsidP="00DA56F9">
            <w:pPr>
              <w:spacing w:line="216" w:lineRule="auto"/>
              <w:ind w:left="187"/>
              <w:rPr>
                <w:sz w:val="22"/>
              </w:rPr>
            </w:pPr>
          </w:p>
          <w:p w14:paraId="786A520C" w14:textId="77777777" w:rsidR="00DA56F9" w:rsidRDefault="00DA56F9" w:rsidP="00DA56F9">
            <w:pPr>
              <w:spacing w:line="216" w:lineRule="auto"/>
              <w:ind w:left="187"/>
              <w:rPr>
                <w:sz w:val="22"/>
              </w:rPr>
            </w:pPr>
          </w:p>
          <w:p w14:paraId="21DA96F0" w14:textId="77777777" w:rsidR="00DA56F9" w:rsidRPr="00493A9B" w:rsidRDefault="00DA56F9" w:rsidP="00DA56F9">
            <w:pPr>
              <w:spacing w:line="216" w:lineRule="auto"/>
              <w:ind w:left="187"/>
              <w:rPr>
                <w:sz w:val="22"/>
                <w:szCs w:val="22"/>
              </w:rPr>
            </w:pPr>
          </w:p>
        </w:tc>
        <w:tc>
          <w:tcPr>
            <w:tcW w:w="2880" w:type="dxa"/>
            <w:tcBorders>
              <w:bottom w:val="single" w:sz="6" w:space="0" w:color="auto"/>
            </w:tcBorders>
          </w:tcPr>
          <w:p w14:paraId="59DD4356" w14:textId="77777777" w:rsidR="002A4444" w:rsidRPr="00493A9B" w:rsidRDefault="002A4444" w:rsidP="00493A9B">
            <w:pPr>
              <w:rPr>
                <w:sz w:val="22"/>
                <w:szCs w:val="22"/>
              </w:rPr>
            </w:pPr>
          </w:p>
        </w:tc>
      </w:tr>
      <w:tr w:rsidR="00A250FC" w:rsidRPr="00493A9B" w14:paraId="74B87D27" w14:textId="77777777" w:rsidTr="00A250FC">
        <w:trPr>
          <w:jc w:val="center"/>
        </w:trPr>
        <w:tc>
          <w:tcPr>
            <w:tcW w:w="3312" w:type="dxa"/>
            <w:tcBorders>
              <w:top w:val="single" w:sz="6" w:space="0" w:color="auto"/>
              <w:bottom w:val="single" w:sz="6" w:space="0" w:color="auto"/>
            </w:tcBorders>
            <w:shd w:val="clear" w:color="auto" w:fill="BFBFBF" w:themeFill="background1" w:themeFillShade="BF"/>
          </w:tcPr>
          <w:p w14:paraId="2E403D6E" w14:textId="77777777" w:rsidR="00A250FC" w:rsidRPr="00493A9B" w:rsidRDefault="00E321C2" w:rsidP="00493A9B">
            <w:pPr>
              <w:rPr>
                <w:b/>
                <w:sz w:val="22"/>
                <w:szCs w:val="22"/>
              </w:rPr>
            </w:pPr>
            <w:r>
              <w:rPr>
                <w:b/>
                <w:sz w:val="22"/>
              </w:rPr>
              <w:t xml:space="preserve">OBJETIVO </w:t>
            </w:r>
            <w:r w:rsidR="00A250FC">
              <w:rPr>
                <w:b/>
                <w:sz w:val="22"/>
              </w:rPr>
              <w:t>ESTRATÉGICO</w:t>
            </w:r>
          </w:p>
          <w:p w14:paraId="71815F1A" w14:textId="77777777" w:rsidR="00A250FC" w:rsidRPr="00493A9B" w:rsidRDefault="00A250FC" w:rsidP="00493A9B">
            <w:pPr>
              <w:rPr>
                <w:b/>
                <w:sz w:val="22"/>
                <w:szCs w:val="22"/>
              </w:rPr>
            </w:pPr>
          </w:p>
        </w:tc>
        <w:tc>
          <w:tcPr>
            <w:tcW w:w="10541" w:type="dxa"/>
            <w:gridSpan w:val="3"/>
            <w:tcBorders>
              <w:top w:val="single" w:sz="6" w:space="0" w:color="auto"/>
              <w:bottom w:val="single" w:sz="6" w:space="0" w:color="auto"/>
            </w:tcBorders>
            <w:shd w:val="clear" w:color="auto" w:fill="BFBFBF" w:themeFill="background1" w:themeFillShade="BF"/>
          </w:tcPr>
          <w:p w14:paraId="0B2A66DA" w14:textId="77777777" w:rsidR="00A250FC" w:rsidRPr="00493A9B" w:rsidRDefault="00A250FC" w:rsidP="00493A9B">
            <w:pPr>
              <w:rPr>
                <w:b/>
                <w:sz w:val="22"/>
                <w:szCs w:val="22"/>
              </w:rPr>
            </w:pPr>
            <w:r>
              <w:rPr>
                <w:b/>
                <w:sz w:val="22"/>
              </w:rPr>
              <w:t>4.2.   Fortalecer a capacidade institucional dos Estados membros com o objetivo de promover condições e oportunidades de trabalho equitativas e inclusivas para as populações em situação de vulnerabilidade e todos os grupos que enfrentam maiores desafios no mercado de trabalho.</w:t>
            </w:r>
          </w:p>
        </w:tc>
      </w:tr>
      <w:tr w:rsidR="00A250FC" w:rsidRPr="00493A9B" w14:paraId="352106F6" w14:textId="77777777" w:rsidTr="00A250FC">
        <w:trPr>
          <w:jc w:val="center"/>
        </w:trPr>
        <w:tc>
          <w:tcPr>
            <w:tcW w:w="3312" w:type="dxa"/>
            <w:tcBorders>
              <w:top w:val="single" w:sz="6" w:space="0" w:color="auto"/>
            </w:tcBorders>
          </w:tcPr>
          <w:p w14:paraId="64A637B4" w14:textId="77777777" w:rsidR="00A250FC" w:rsidRPr="00493A9B" w:rsidRDefault="00A250FC" w:rsidP="00493A9B">
            <w:pPr>
              <w:tabs>
                <w:tab w:val="left" w:pos="177"/>
              </w:tabs>
              <w:rPr>
                <w:sz w:val="22"/>
                <w:szCs w:val="22"/>
              </w:rPr>
            </w:pPr>
            <w:r>
              <w:rPr>
                <w:sz w:val="22"/>
              </w:rPr>
              <w:t xml:space="preserve">Diálogo sobre Políticas </w:t>
            </w:r>
            <w:r>
              <w:rPr>
                <w:b/>
                <w:sz w:val="22"/>
              </w:rPr>
              <w:t xml:space="preserve">Trabalhistas </w:t>
            </w:r>
          </w:p>
          <w:p w14:paraId="57B3DC04" w14:textId="77777777" w:rsidR="00A250FC" w:rsidRPr="00493A9B" w:rsidRDefault="00A250FC" w:rsidP="00493A9B">
            <w:pPr>
              <w:tabs>
                <w:tab w:val="left" w:pos="177"/>
              </w:tabs>
              <w:rPr>
                <w:sz w:val="22"/>
                <w:szCs w:val="22"/>
              </w:rPr>
            </w:pPr>
          </w:p>
          <w:p w14:paraId="2A0C6750" w14:textId="77777777" w:rsidR="00A250FC" w:rsidRPr="00493A9B" w:rsidRDefault="00A250FC" w:rsidP="00493A9B">
            <w:pPr>
              <w:numPr>
                <w:ilvl w:val="0"/>
                <w:numId w:val="20"/>
              </w:numPr>
              <w:tabs>
                <w:tab w:val="left" w:pos="177"/>
              </w:tabs>
              <w:ind w:left="180" w:hanging="180"/>
              <w:rPr>
                <w:sz w:val="22"/>
                <w:szCs w:val="22"/>
              </w:rPr>
            </w:pPr>
            <w:r>
              <w:rPr>
                <w:sz w:val="22"/>
              </w:rPr>
              <w:t xml:space="preserve">Vigésima Primeira Conferência Interamericana de Ministros do Trabalho (CIMT) </w:t>
            </w:r>
          </w:p>
          <w:p w14:paraId="38E42415" w14:textId="77777777" w:rsidR="00A250FC" w:rsidRPr="00493A9B" w:rsidRDefault="00A250FC" w:rsidP="00493A9B">
            <w:pPr>
              <w:numPr>
                <w:ilvl w:val="0"/>
                <w:numId w:val="19"/>
              </w:numPr>
              <w:ind w:left="180" w:hanging="180"/>
              <w:rPr>
                <w:sz w:val="22"/>
                <w:szCs w:val="22"/>
              </w:rPr>
            </w:pPr>
            <w:r>
              <w:rPr>
                <w:sz w:val="22"/>
              </w:rPr>
              <w:t>Reuniões de sindicatos (COSATE) e organizações de empregadores (CEATAL) – (Argentina, 22-24 de setembro de 2021)</w:t>
            </w:r>
          </w:p>
          <w:p w14:paraId="23490010" w14:textId="77777777" w:rsidR="00A250FC" w:rsidRPr="00493A9B" w:rsidRDefault="00A250FC" w:rsidP="00493A9B">
            <w:pPr>
              <w:rPr>
                <w:sz w:val="22"/>
                <w:szCs w:val="22"/>
              </w:rPr>
            </w:pPr>
          </w:p>
        </w:tc>
        <w:tc>
          <w:tcPr>
            <w:tcW w:w="4234" w:type="dxa"/>
            <w:tcBorders>
              <w:top w:val="single" w:sz="6" w:space="0" w:color="auto"/>
            </w:tcBorders>
          </w:tcPr>
          <w:p w14:paraId="429435C3" w14:textId="77777777" w:rsidR="00A250FC" w:rsidRPr="00493A9B" w:rsidRDefault="00A250FC" w:rsidP="00493A9B">
            <w:pPr>
              <w:rPr>
                <w:sz w:val="22"/>
                <w:szCs w:val="22"/>
              </w:rPr>
            </w:pPr>
          </w:p>
        </w:tc>
        <w:tc>
          <w:tcPr>
            <w:tcW w:w="3427" w:type="dxa"/>
            <w:tcBorders>
              <w:top w:val="single" w:sz="6" w:space="0" w:color="auto"/>
            </w:tcBorders>
          </w:tcPr>
          <w:p w14:paraId="4ADF4C69" w14:textId="77777777" w:rsidR="00A250FC" w:rsidRPr="00493A9B" w:rsidRDefault="00A250FC" w:rsidP="00493A9B">
            <w:pPr>
              <w:spacing w:line="216" w:lineRule="auto"/>
              <w:rPr>
                <w:sz w:val="22"/>
                <w:szCs w:val="22"/>
              </w:rPr>
            </w:pPr>
            <w:r>
              <w:rPr>
                <w:sz w:val="22"/>
              </w:rPr>
              <w:t>Os governos chegaram a um novo consenso hemisférico sobre prioridades e ações em matéria de trabalho e emprego, incluindo estratégias para recuperação da atividade econômica</w:t>
            </w:r>
            <w:r w:rsidR="00E321C2">
              <w:rPr>
                <w:sz w:val="22"/>
              </w:rPr>
              <w:t>;</w:t>
            </w:r>
            <w:r>
              <w:rPr>
                <w:sz w:val="22"/>
              </w:rPr>
              <w:t xml:space="preserve"> </w:t>
            </w:r>
            <w:r w:rsidR="00E321C2">
              <w:rPr>
                <w:sz w:val="22"/>
              </w:rPr>
              <w:t>promoção do</w:t>
            </w:r>
            <w:r>
              <w:rPr>
                <w:sz w:val="22"/>
              </w:rPr>
              <w:t xml:space="preserve"> trabalho decente e </w:t>
            </w:r>
            <w:r w:rsidR="00E321C2">
              <w:rPr>
                <w:sz w:val="22"/>
              </w:rPr>
              <w:t>d</w:t>
            </w:r>
            <w:r>
              <w:rPr>
                <w:sz w:val="22"/>
              </w:rPr>
              <w:t>o emprego produtivo, especialmente para os trabalhadores que perderam seus empregos como resultado da pandemia de covid-19</w:t>
            </w:r>
            <w:r w:rsidR="00E321C2">
              <w:rPr>
                <w:sz w:val="22"/>
              </w:rPr>
              <w:t>;</w:t>
            </w:r>
            <w:r>
              <w:rPr>
                <w:sz w:val="22"/>
              </w:rPr>
              <w:t xml:space="preserve"> fortalec</w:t>
            </w:r>
            <w:r w:rsidR="00E321C2">
              <w:rPr>
                <w:sz w:val="22"/>
              </w:rPr>
              <w:t>imento d</w:t>
            </w:r>
            <w:r>
              <w:rPr>
                <w:sz w:val="22"/>
              </w:rPr>
              <w:t>o diálogo social</w:t>
            </w:r>
            <w:r w:rsidR="00E321C2">
              <w:rPr>
                <w:sz w:val="22"/>
              </w:rPr>
              <w:t>;</w:t>
            </w:r>
            <w:r>
              <w:rPr>
                <w:sz w:val="22"/>
              </w:rPr>
              <w:t xml:space="preserve"> e </w:t>
            </w:r>
            <w:r w:rsidR="00E321C2">
              <w:rPr>
                <w:sz w:val="22"/>
              </w:rPr>
              <w:t>melhoria d</w:t>
            </w:r>
            <w:r>
              <w:rPr>
                <w:sz w:val="22"/>
              </w:rPr>
              <w:t xml:space="preserve">a coordenação entre educação e trabalho. </w:t>
            </w:r>
          </w:p>
          <w:p w14:paraId="7383386D" w14:textId="77777777" w:rsidR="00A250FC" w:rsidRPr="00493A9B" w:rsidRDefault="00A250FC" w:rsidP="00493A9B">
            <w:pPr>
              <w:spacing w:line="216" w:lineRule="auto"/>
              <w:rPr>
                <w:sz w:val="22"/>
                <w:szCs w:val="22"/>
              </w:rPr>
            </w:pPr>
          </w:p>
          <w:p w14:paraId="0C18971A" w14:textId="77777777" w:rsidR="00A250FC" w:rsidRPr="00493A9B" w:rsidRDefault="00A250FC" w:rsidP="00493A9B">
            <w:pPr>
              <w:spacing w:line="216" w:lineRule="auto"/>
              <w:rPr>
                <w:sz w:val="22"/>
                <w:szCs w:val="22"/>
              </w:rPr>
            </w:pPr>
            <w:r>
              <w:rPr>
                <w:sz w:val="22"/>
              </w:rPr>
              <w:t>Trabalhadores e empregadores chegaram a acordos em nível hemisférico sobre questões trabalhistas emergentes e prementes e sobre ações para abordá-las.</w:t>
            </w:r>
          </w:p>
        </w:tc>
        <w:tc>
          <w:tcPr>
            <w:tcW w:w="2880" w:type="dxa"/>
            <w:tcBorders>
              <w:top w:val="single" w:sz="6" w:space="0" w:color="auto"/>
            </w:tcBorders>
          </w:tcPr>
          <w:p w14:paraId="26696A55" w14:textId="77777777" w:rsidR="00A250FC" w:rsidRPr="00493A9B" w:rsidRDefault="00A250FC" w:rsidP="00493A9B">
            <w:pPr>
              <w:rPr>
                <w:sz w:val="22"/>
                <w:szCs w:val="22"/>
              </w:rPr>
            </w:pPr>
          </w:p>
        </w:tc>
      </w:tr>
    </w:tbl>
    <w:p w14:paraId="4F14DB2A" w14:textId="77777777" w:rsidR="00FA0697" w:rsidRPr="00DA56F9" w:rsidRDefault="00FA0697" w:rsidP="00493A9B">
      <w:pPr>
        <w:spacing w:after="160" w:line="259" w:lineRule="auto"/>
        <w:rPr>
          <w:color w:val="1F4E79" w:themeColor="accent1" w:themeShade="80"/>
          <w:sz w:val="22"/>
          <w:szCs w:val="22"/>
        </w:rPr>
      </w:pPr>
    </w:p>
    <w:p w14:paraId="6E28C541" w14:textId="77777777" w:rsidR="00367351" w:rsidRPr="00DA56F9" w:rsidRDefault="00FA0697" w:rsidP="00493A9B">
      <w:pPr>
        <w:rPr>
          <w:b/>
          <w:color w:val="1F4E79" w:themeColor="accent1" w:themeShade="80"/>
          <w:sz w:val="22"/>
          <w:szCs w:val="22"/>
        </w:rPr>
      </w:pPr>
      <w:r w:rsidRPr="00DA56F9">
        <w:rPr>
          <w:b/>
          <w:color w:val="1F4E79" w:themeColor="accent1" w:themeShade="80"/>
          <w:sz w:val="22"/>
        </w:rPr>
        <w:t>DEPARTAMENTO/SEÇÃO:</w:t>
      </w:r>
      <w:r w:rsidRPr="00DA56F9">
        <w:rPr>
          <w:b/>
          <w:color w:val="1F4E79" w:themeColor="accent1" w:themeShade="80"/>
          <w:sz w:val="22"/>
        </w:rPr>
        <w:tab/>
        <w:t>ESCRITÓRIO EXECUTIVO – SEÇÃO DE COOPERAÇÃO TÉCNICA (SEDI-EE-SCP)</w:t>
      </w:r>
    </w:p>
    <w:p w14:paraId="2D243724" w14:textId="77777777" w:rsidR="001B2A32" w:rsidRPr="00493A9B" w:rsidRDefault="001B2A32" w:rsidP="00493A9B">
      <w:pPr>
        <w:spacing w:after="160" w:line="259" w:lineRule="auto"/>
        <w:rPr>
          <w:sz w:val="22"/>
          <w:szCs w:val="22"/>
        </w:rPr>
      </w:pPr>
    </w:p>
    <w:tbl>
      <w:tblPr>
        <w:tblW w:w="1385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312"/>
        <w:gridCol w:w="4234"/>
        <w:gridCol w:w="3427"/>
        <w:gridCol w:w="2880"/>
      </w:tblGrid>
      <w:tr w:rsidR="00456B2B" w:rsidRPr="00493A9B" w14:paraId="1D4EA96E" w14:textId="77777777" w:rsidTr="00456B2B">
        <w:trPr>
          <w:trHeight w:val="810"/>
          <w:tblHeader/>
          <w:jc w:val="center"/>
        </w:trPr>
        <w:tc>
          <w:tcPr>
            <w:tcW w:w="3312" w:type="dxa"/>
            <w:tcBorders>
              <w:top w:val="single" w:sz="12" w:space="0" w:color="000000"/>
              <w:bottom w:val="single" w:sz="6" w:space="0" w:color="000000"/>
            </w:tcBorders>
            <w:shd w:val="clear" w:color="000000" w:fill="DBE5F1"/>
            <w:vAlign w:val="center"/>
            <w:hideMark/>
          </w:tcPr>
          <w:p w14:paraId="6164228A" w14:textId="77777777" w:rsidR="00456B2B" w:rsidRPr="00493A9B" w:rsidRDefault="00456B2B" w:rsidP="00493A9B">
            <w:pPr>
              <w:rPr>
                <w:b/>
                <w:bCs/>
                <w:color w:val="000000" w:themeColor="text1"/>
                <w:sz w:val="22"/>
                <w:szCs w:val="22"/>
              </w:rPr>
            </w:pPr>
            <w:r>
              <w:rPr>
                <w:b/>
                <w:color w:val="000000" w:themeColor="text1"/>
                <w:sz w:val="22"/>
              </w:rPr>
              <w:t>INICIATIVAS / ATIVIDADES:</w:t>
            </w:r>
          </w:p>
        </w:tc>
        <w:tc>
          <w:tcPr>
            <w:tcW w:w="4234" w:type="dxa"/>
            <w:tcBorders>
              <w:top w:val="single" w:sz="12" w:space="0" w:color="000000"/>
              <w:bottom w:val="single" w:sz="6" w:space="0" w:color="000000"/>
            </w:tcBorders>
            <w:shd w:val="clear" w:color="000000" w:fill="D9E2F3"/>
            <w:vAlign w:val="center"/>
            <w:hideMark/>
          </w:tcPr>
          <w:p w14:paraId="598DE664" w14:textId="77777777" w:rsidR="00456B2B" w:rsidRPr="00493A9B" w:rsidRDefault="00456B2B" w:rsidP="00493A9B">
            <w:pPr>
              <w:rPr>
                <w:b/>
                <w:bCs/>
                <w:color w:val="000000" w:themeColor="text1"/>
                <w:sz w:val="22"/>
                <w:szCs w:val="22"/>
              </w:rPr>
            </w:pPr>
            <w:r>
              <w:rPr>
                <w:b/>
                <w:color w:val="000000" w:themeColor="text1"/>
                <w:sz w:val="22"/>
              </w:rPr>
              <w:t>CONTRIBUIÇÃO PARA A RESILIÊNCIA E A COMPETITIVIDADE</w:t>
            </w:r>
          </w:p>
        </w:tc>
        <w:tc>
          <w:tcPr>
            <w:tcW w:w="3427" w:type="dxa"/>
            <w:tcBorders>
              <w:top w:val="single" w:sz="12" w:space="0" w:color="000000"/>
              <w:bottom w:val="single" w:sz="6" w:space="0" w:color="000000"/>
            </w:tcBorders>
            <w:shd w:val="clear" w:color="000000" w:fill="DBE5F1"/>
            <w:vAlign w:val="center"/>
            <w:hideMark/>
          </w:tcPr>
          <w:p w14:paraId="33CC7780" w14:textId="77777777" w:rsidR="00456B2B" w:rsidRPr="00493A9B" w:rsidRDefault="00456B2B" w:rsidP="00493A9B">
            <w:pPr>
              <w:rPr>
                <w:b/>
                <w:bCs/>
                <w:color w:val="000000" w:themeColor="text1"/>
                <w:sz w:val="22"/>
                <w:szCs w:val="22"/>
              </w:rPr>
            </w:pPr>
            <w:r>
              <w:rPr>
                <w:b/>
                <w:color w:val="000000" w:themeColor="text1"/>
                <w:sz w:val="22"/>
              </w:rPr>
              <w:t>RESULTADOS ESPERADOS</w:t>
            </w:r>
          </w:p>
        </w:tc>
        <w:tc>
          <w:tcPr>
            <w:tcW w:w="2880" w:type="dxa"/>
            <w:tcBorders>
              <w:top w:val="single" w:sz="12" w:space="0" w:color="000000"/>
              <w:bottom w:val="single" w:sz="6" w:space="0" w:color="000000"/>
            </w:tcBorders>
            <w:shd w:val="clear" w:color="000000" w:fill="DBE5F1"/>
            <w:vAlign w:val="center"/>
            <w:hideMark/>
          </w:tcPr>
          <w:p w14:paraId="461135ED" w14:textId="77777777" w:rsidR="00456B2B" w:rsidRPr="00493A9B" w:rsidRDefault="00456B2B" w:rsidP="00493A9B">
            <w:pPr>
              <w:rPr>
                <w:b/>
                <w:bCs/>
                <w:color w:val="000000" w:themeColor="text1"/>
                <w:sz w:val="22"/>
                <w:szCs w:val="22"/>
              </w:rPr>
            </w:pPr>
            <w:r>
              <w:rPr>
                <w:b/>
                <w:color w:val="000000" w:themeColor="text1"/>
                <w:sz w:val="22"/>
              </w:rPr>
              <w:t>COOPERAÇÃO E PARCERIAS</w:t>
            </w:r>
          </w:p>
        </w:tc>
      </w:tr>
      <w:tr w:rsidR="00456B2B" w:rsidRPr="00493A9B" w14:paraId="626DB2C0" w14:textId="77777777" w:rsidTr="00456B2B">
        <w:trPr>
          <w:trHeight w:val="368"/>
          <w:jc w:val="center"/>
        </w:trPr>
        <w:tc>
          <w:tcPr>
            <w:tcW w:w="3312" w:type="dxa"/>
            <w:tcBorders>
              <w:top w:val="single" w:sz="6" w:space="0" w:color="000000"/>
              <w:bottom w:val="single" w:sz="6" w:space="0" w:color="000000"/>
            </w:tcBorders>
            <w:shd w:val="clear" w:color="auto" w:fill="BFBFBF" w:themeFill="background1" w:themeFillShade="BF"/>
          </w:tcPr>
          <w:p w14:paraId="6DC69CC0" w14:textId="77777777" w:rsidR="00456B2B" w:rsidRPr="00493A9B" w:rsidRDefault="00456B2B" w:rsidP="00493A9B">
            <w:pPr>
              <w:rPr>
                <w:b/>
                <w:bCs/>
                <w:color w:val="000000" w:themeColor="text1"/>
                <w:sz w:val="22"/>
                <w:szCs w:val="22"/>
              </w:rPr>
            </w:pPr>
            <w:r>
              <w:rPr>
                <w:b/>
                <w:color w:val="000000" w:themeColor="text1"/>
                <w:sz w:val="22"/>
              </w:rPr>
              <w:t>LINHA ESTRATÉGICA</w:t>
            </w:r>
          </w:p>
        </w:tc>
        <w:tc>
          <w:tcPr>
            <w:tcW w:w="10541" w:type="dxa"/>
            <w:gridSpan w:val="3"/>
            <w:tcBorders>
              <w:top w:val="single" w:sz="6" w:space="0" w:color="000000"/>
              <w:bottom w:val="single" w:sz="6" w:space="0" w:color="000000"/>
            </w:tcBorders>
            <w:shd w:val="clear" w:color="auto" w:fill="BFBFBF" w:themeFill="background1" w:themeFillShade="BF"/>
            <w:vAlign w:val="center"/>
          </w:tcPr>
          <w:p w14:paraId="77787000" w14:textId="77777777" w:rsidR="00456B2B" w:rsidRPr="00493A9B" w:rsidRDefault="00456B2B" w:rsidP="00493A9B">
            <w:pPr>
              <w:rPr>
                <w:b/>
                <w:bCs/>
                <w:color w:val="000000" w:themeColor="text1"/>
                <w:sz w:val="22"/>
                <w:szCs w:val="22"/>
              </w:rPr>
            </w:pPr>
            <w:r>
              <w:rPr>
                <w:b/>
                <w:color w:val="000000" w:themeColor="text1"/>
                <w:sz w:val="22"/>
              </w:rPr>
              <w:t>6. Promover a cooperação para o desenvolvimento e a criação de parcerias</w:t>
            </w:r>
          </w:p>
        </w:tc>
      </w:tr>
      <w:tr w:rsidR="00456B2B" w:rsidRPr="00493A9B" w14:paraId="7D3F5D66" w14:textId="77777777" w:rsidTr="00456B2B">
        <w:trPr>
          <w:trHeight w:val="368"/>
          <w:jc w:val="center"/>
        </w:trPr>
        <w:tc>
          <w:tcPr>
            <w:tcW w:w="3312" w:type="dxa"/>
            <w:tcBorders>
              <w:top w:val="single" w:sz="6" w:space="0" w:color="000000"/>
              <w:bottom w:val="single" w:sz="6" w:space="0" w:color="000000"/>
            </w:tcBorders>
            <w:shd w:val="clear" w:color="auto" w:fill="BFBFBF" w:themeFill="background1" w:themeFillShade="BF"/>
          </w:tcPr>
          <w:p w14:paraId="256F483E" w14:textId="77777777" w:rsidR="00456B2B" w:rsidRPr="00493A9B" w:rsidRDefault="00456B2B" w:rsidP="00493A9B">
            <w:pPr>
              <w:rPr>
                <w:b/>
                <w:bCs/>
                <w:color w:val="000000" w:themeColor="text1"/>
                <w:sz w:val="22"/>
                <w:szCs w:val="22"/>
              </w:rPr>
            </w:pPr>
            <w:r>
              <w:rPr>
                <w:b/>
                <w:color w:val="000000" w:themeColor="text1"/>
                <w:sz w:val="22"/>
              </w:rPr>
              <w:t>OBJETIVO ESTRATÉGICO</w:t>
            </w:r>
          </w:p>
        </w:tc>
        <w:tc>
          <w:tcPr>
            <w:tcW w:w="10541" w:type="dxa"/>
            <w:gridSpan w:val="3"/>
            <w:tcBorders>
              <w:top w:val="single" w:sz="6" w:space="0" w:color="000000"/>
              <w:bottom w:val="single" w:sz="6" w:space="0" w:color="000000"/>
            </w:tcBorders>
            <w:shd w:val="clear" w:color="auto" w:fill="BFBFBF" w:themeFill="background1" w:themeFillShade="BF"/>
            <w:vAlign w:val="center"/>
          </w:tcPr>
          <w:p w14:paraId="393339DB" w14:textId="77777777" w:rsidR="00456B2B" w:rsidRPr="00493A9B" w:rsidRDefault="00456B2B" w:rsidP="00493A9B">
            <w:pPr>
              <w:rPr>
                <w:b/>
                <w:bCs/>
                <w:color w:val="000000" w:themeColor="text1"/>
                <w:sz w:val="22"/>
                <w:szCs w:val="22"/>
              </w:rPr>
            </w:pPr>
            <w:r>
              <w:rPr>
                <w:b/>
                <w:color w:val="000000" w:themeColor="text1"/>
                <w:sz w:val="22"/>
              </w:rPr>
              <w:t xml:space="preserve">6.1. Estimular a cooperação bilateral, </w:t>
            </w:r>
            <w:r w:rsidR="00E321C2">
              <w:rPr>
                <w:b/>
                <w:color w:val="000000" w:themeColor="text1"/>
                <w:sz w:val="22"/>
              </w:rPr>
              <w:t>Sul-Sul</w:t>
            </w:r>
            <w:r>
              <w:rPr>
                <w:b/>
                <w:color w:val="000000" w:themeColor="text1"/>
                <w:sz w:val="22"/>
              </w:rPr>
              <w:t>, triangular e internacional no Hemisfério</w:t>
            </w:r>
          </w:p>
        </w:tc>
      </w:tr>
      <w:tr w:rsidR="00456B2B" w:rsidRPr="00493A9B" w14:paraId="25DBFF7C" w14:textId="77777777" w:rsidTr="00456B2B">
        <w:trPr>
          <w:trHeight w:val="368"/>
          <w:jc w:val="center"/>
        </w:trPr>
        <w:tc>
          <w:tcPr>
            <w:tcW w:w="13853" w:type="dxa"/>
            <w:gridSpan w:val="4"/>
            <w:tcBorders>
              <w:top w:val="single" w:sz="6" w:space="0" w:color="000000"/>
            </w:tcBorders>
            <w:shd w:val="clear" w:color="auto" w:fill="D9D9D9" w:themeFill="background1" w:themeFillShade="D9"/>
            <w:vAlign w:val="center"/>
          </w:tcPr>
          <w:p w14:paraId="02EEFFE7" w14:textId="77777777" w:rsidR="00456B2B" w:rsidRPr="00493A9B" w:rsidRDefault="00456B2B" w:rsidP="00493A9B">
            <w:pPr>
              <w:rPr>
                <w:b/>
                <w:bCs/>
                <w:color w:val="000000" w:themeColor="text1"/>
                <w:sz w:val="22"/>
                <w:szCs w:val="22"/>
              </w:rPr>
            </w:pPr>
            <w:r>
              <w:rPr>
                <w:b/>
                <w:color w:val="000000" w:themeColor="text1"/>
                <w:sz w:val="22"/>
              </w:rPr>
              <w:t>Cooperação:</w:t>
            </w:r>
          </w:p>
        </w:tc>
      </w:tr>
      <w:tr w:rsidR="00456B2B" w:rsidRPr="00493A9B" w14:paraId="7420D9D4" w14:textId="77777777" w:rsidTr="00456B2B">
        <w:trPr>
          <w:trHeight w:val="368"/>
          <w:jc w:val="center"/>
        </w:trPr>
        <w:tc>
          <w:tcPr>
            <w:tcW w:w="3312" w:type="dxa"/>
            <w:vMerge w:val="restart"/>
            <w:shd w:val="clear" w:color="auto" w:fill="auto"/>
            <w:hideMark/>
          </w:tcPr>
          <w:p w14:paraId="03E5053B" w14:textId="77777777" w:rsidR="00456B2B" w:rsidRPr="00493A9B" w:rsidRDefault="00456B2B" w:rsidP="00493A9B">
            <w:pPr>
              <w:rPr>
                <w:color w:val="000000" w:themeColor="text1"/>
                <w:sz w:val="22"/>
                <w:szCs w:val="22"/>
              </w:rPr>
            </w:pPr>
          </w:p>
          <w:p w14:paraId="04065000" w14:textId="77777777" w:rsidR="00456B2B" w:rsidRPr="00493A9B" w:rsidRDefault="00456B2B" w:rsidP="00493A9B">
            <w:pPr>
              <w:rPr>
                <w:color w:val="000000" w:themeColor="text1"/>
                <w:sz w:val="22"/>
                <w:szCs w:val="22"/>
              </w:rPr>
            </w:pPr>
            <w:r>
              <w:rPr>
                <w:color w:val="000000" w:themeColor="text1"/>
                <w:sz w:val="22"/>
              </w:rPr>
              <w:t>Fundo de Cooperação para o Desenvolvimento (FCD)</w:t>
            </w:r>
          </w:p>
        </w:tc>
        <w:tc>
          <w:tcPr>
            <w:tcW w:w="4234" w:type="dxa"/>
            <w:vMerge w:val="restart"/>
            <w:shd w:val="clear" w:color="auto" w:fill="auto"/>
            <w:hideMark/>
          </w:tcPr>
          <w:p w14:paraId="0137BFE2" w14:textId="77777777" w:rsidR="00456B2B" w:rsidRPr="00493A9B" w:rsidRDefault="00456B2B" w:rsidP="00493A9B">
            <w:pPr>
              <w:rPr>
                <w:color w:val="000000" w:themeColor="text1"/>
                <w:sz w:val="22"/>
                <w:szCs w:val="22"/>
              </w:rPr>
            </w:pPr>
          </w:p>
          <w:p w14:paraId="52C8F733" w14:textId="77777777" w:rsidR="00456B2B" w:rsidRPr="00493A9B" w:rsidRDefault="00456B2B" w:rsidP="00493A9B">
            <w:pPr>
              <w:rPr>
                <w:rFonts w:eastAsia="Calibri"/>
                <w:iCs/>
                <w:sz w:val="22"/>
                <w:szCs w:val="22"/>
              </w:rPr>
            </w:pPr>
            <w:r>
              <w:rPr>
                <w:color w:val="000000" w:themeColor="text1"/>
                <w:sz w:val="22"/>
              </w:rPr>
              <w:t xml:space="preserve">O Ciclo de Programação do FCD para 2021–2024 terá por foco a </w:t>
            </w:r>
            <w:r>
              <w:rPr>
                <w:sz w:val="22"/>
              </w:rPr>
              <w:t xml:space="preserve">“Resiliência Inclusiva </w:t>
            </w:r>
            <w:r>
              <w:rPr>
                <w:sz w:val="22"/>
              </w:rPr>
              <w:lastRenderedPageBreak/>
              <w:t>para uma Recuperação Eficaz, com Foco em Ciência e Tecnologia</w:t>
            </w:r>
            <w:r>
              <w:rPr>
                <w:i/>
                <w:sz w:val="22"/>
              </w:rPr>
              <w:t xml:space="preserve">”, </w:t>
            </w:r>
            <w:r>
              <w:rPr>
                <w:sz w:val="22"/>
              </w:rPr>
              <w:t>com quatro linhas de ação:</w:t>
            </w:r>
          </w:p>
          <w:p w14:paraId="02C03EEB" w14:textId="77777777" w:rsidR="00456B2B" w:rsidRPr="00493A9B" w:rsidRDefault="00456B2B" w:rsidP="00493A9B">
            <w:pPr>
              <w:numPr>
                <w:ilvl w:val="0"/>
                <w:numId w:val="17"/>
              </w:numPr>
              <w:ind w:left="299" w:hanging="270"/>
              <w:rPr>
                <w:bCs/>
                <w:sz w:val="22"/>
                <w:szCs w:val="22"/>
              </w:rPr>
            </w:pPr>
            <w:r>
              <w:rPr>
                <w:color w:val="000000"/>
                <w:sz w:val="22"/>
              </w:rPr>
              <w:t>Renovação das ferramentas das MPMEs por meio da inovação e da tecnologia</w:t>
            </w:r>
          </w:p>
          <w:p w14:paraId="243A5EB7" w14:textId="77777777" w:rsidR="00456B2B" w:rsidRPr="00493A9B" w:rsidRDefault="00456B2B" w:rsidP="00493A9B">
            <w:pPr>
              <w:numPr>
                <w:ilvl w:val="0"/>
                <w:numId w:val="17"/>
              </w:numPr>
              <w:ind w:left="299" w:hanging="270"/>
              <w:rPr>
                <w:color w:val="000000"/>
                <w:sz w:val="22"/>
                <w:szCs w:val="22"/>
              </w:rPr>
            </w:pPr>
            <w:r>
              <w:rPr>
                <w:color w:val="000000"/>
                <w:sz w:val="22"/>
              </w:rPr>
              <w:t>Renovação inovadora de competências para a recuperação do setor de turismo e das economias regionais</w:t>
            </w:r>
          </w:p>
          <w:p w14:paraId="6E5065CD" w14:textId="77777777" w:rsidR="00456B2B" w:rsidRPr="00493A9B" w:rsidRDefault="00456B2B" w:rsidP="00493A9B">
            <w:pPr>
              <w:numPr>
                <w:ilvl w:val="0"/>
                <w:numId w:val="17"/>
              </w:numPr>
              <w:ind w:left="299" w:hanging="270"/>
              <w:rPr>
                <w:color w:val="000000"/>
                <w:sz w:val="22"/>
                <w:szCs w:val="22"/>
              </w:rPr>
            </w:pPr>
            <w:r>
              <w:rPr>
                <w:color w:val="000000"/>
                <w:sz w:val="22"/>
              </w:rPr>
              <w:t>Inovação científica e tecnológica para a construção de resiliência</w:t>
            </w:r>
          </w:p>
          <w:p w14:paraId="1D5E59B8" w14:textId="77777777" w:rsidR="00456B2B" w:rsidRPr="00493A9B" w:rsidRDefault="00456B2B" w:rsidP="00493A9B">
            <w:pPr>
              <w:numPr>
                <w:ilvl w:val="0"/>
                <w:numId w:val="17"/>
              </w:numPr>
              <w:ind w:left="299" w:hanging="270"/>
              <w:rPr>
                <w:color w:val="000000"/>
                <w:sz w:val="22"/>
                <w:szCs w:val="22"/>
              </w:rPr>
            </w:pPr>
            <w:r>
              <w:rPr>
                <w:color w:val="000000"/>
                <w:sz w:val="22"/>
              </w:rPr>
              <w:t xml:space="preserve">Ciência para a tomada de decisões no planejamento de risco de desastres </w:t>
            </w:r>
          </w:p>
          <w:p w14:paraId="47A49F37" w14:textId="77777777" w:rsidR="00456B2B" w:rsidRPr="00493A9B" w:rsidRDefault="00456B2B" w:rsidP="00493A9B">
            <w:pPr>
              <w:rPr>
                <w:color w:val="000000" w:themeColor="text1"/>
                <w:sz w:val="22"/>
                <w:szCs w:val="22"/>
              </w:rPr>
            </w:pPr>
          </w:p>
        </w:tc>
        <w:tc>
          <w:tcPr>
            <w:tcW w:w="3427" w:type="dxa"/>
            <w:shd w:val="clear" w:color="auto" w:fill="auto"/>
            <w:hideMark/>
          </w:tcPr>
          <w:p w14:paraId="117CE3BD" w14:textId="77777777" w:rsidR="00456B2B" w:rsidRPr="00493A9B" w:rsidRDefault="00456B2B" w:rsidP="00493A9B">
            <w:pPr>
              <w:rPr>
                <w:color w:val="000000" w:themeColor="text1"/>
                <w:sz w:val="22"/>
                <w:szCs w:val="22"/>
              </w:rPr>
            </w:pPr>
            <w:r>
              <w:rPr>
                <w:color w:val="000000" w:themeColor="text1"/>
                <w:sz w:val="22"/>
              </w:rPr>
              <w:lastRenderedPageBreak/>
              <w:t>Ciclo de Programação do FCD 2017–2021 concluído até o final de 2021.</w:t>
            </w:r>
          </w:p>
          <w:p w14:paraId="7F398C91" w14:textId="77777777" w:rsidR="00456B2B" w:rsidRPr="00493A9B" w:rsidRDefault="00456B2B" w:rsidP="00493A9B">
            <w:pPr>
              <w:rPr>
                <w:color w:val="000000" w:themeColor="text1"/>
                <w:sz w:val="22"/>
                <w:szCs w:val="22"/>
              </w:rPr>
            </w:pPr>
          </w:p>
        </w:tc>
        <w:tc>
          <w:tcPr>
            <w:tcW w:w="2880" w:type="dxa"/>
            <w:vMerge w:val="restart"/>
            <w:shd w:val="clear" w:color="auto" w:fill="auto"/>
            <w:hideMark/>
          </w:tcPr>
          <w:p w14:paraId="5DD29EBE" w14:textId="77777777" w:rsidR="00456B2B" w:rsidRPr="00493A9B" w:rsidRDefault="00456B2B" w:rsidP="00493A9B">
            <w:pPr>
              <w:rPr>
                <w:color w:val="000000" w:themeColor="text1"/>
                <w:sz w:val="22"/>
                <w:szCs w:val="22"/>
              </w:rPr>
            </w:pPr>
            <w:r>
              <w:rPr>
                <w:b/>
                <w:color w:val="000000" w:themeColor="text1"/>
                <w:sz w:val="22"/>
              </w:rPr>
              <w:t xml:space="preserve">Internas (OEA): </w:t>
            </w:r>
            <w:r>
              <w:rPr>
                <w:color w:val="000000" w:themeColor="text1"/>
                <w:sz w:val="22"/>
              </w:rPr>
              <w:t xml:space="preserve">Todos os departamentos da SEDI e DOITS. </w:t>
            </w:r>
            <w:r>
              <w:rPr>
                <w:color w:val="000000" w:themeColor="text1"/>
                <w:sz w:val="22"/>
              </w:rPr>
              <w:br/>
            </w:r>
            <w:r>
              <w:rPr>
                <w:color w:val="000000" w:themeColor="text1"/>
                <w:sz w:val="22"/>
              </w:rPr>
              <w:lastRenderedPageBreak/>
              <w:br/>
            </w:r>
            <w:r>
              <w:rPr>
                <w:b/>
                <w:color w:val="000000" w:themeColor="text1"/>
                <w:sz w:val="22"/>
              </w:rPr>
              <w:t xml:space="preserve">Externas: </w:t>
            </w:r>
            <w:r>
              <w:rPr>
                <w:color w:val="000000" w:themeColor="text1"/>
                <w:sz w:val="22"/>
              </w:rPr>
              <w:t>Agências de cooperação dos Estados membros, setor privado e acadêmico (a definir).</w:t>
            </w:r>
          </w:p>
        </w:tc>
      </w:tr>
      <w:tr w:rsidR="00456B2B" w:rsidRPr="00493A9B" w14:paraId="2100C496" w14:textId="77777777" w:rsidTr="00456B2B">
        <w:trPr>
          <w:trHeight w:val="1110"/>
          <w:jc w:val="center"/>
        </w:trPr>
        <w:tc>
          <w:tcPr>
            <w:tcW w:w="3312" w:type="dxa"/>
            <w:vMerge/>
            <w:hideMark/>
          </w:tcPr>
          <w:p w14:paraId="2B518F0E" w14:textId="77777777" w:rsidR="00456B2B" w:rsidRPr="00493A9B" w:rsidRDefault="00456B2B" w:rsidP="00493A9B">
            <w:pPr>
              <w:rPr>
                <w:color w:val="000000" w:themeColor="text1"/>
                <w:sz w:val="22"/>
                <w:szCs w:val="22"/>
              </w:rPr>
            </w:pPr>
          </w:p>
        </w:tc>
        <w:tc>
          <w:tcPr>
            <w:tcW w:w="4234" w:type="dxa"/>
            <w:vMerge/>
            <w:hideMark/>
          </w:tcPr>
          <w:p w14:paraId="72E9DB6F" w14:textId="77777777" w:rsidR="00456B2B" w:rsidRPr="00493A9B" w:rsidRDefault="00456B2B" w:rsidP="00493A9B">
            <w:pPr>
              <w:rPr>
                <w:color w:val="000000" w:themeColor="text1"/>
                <w:sz w:val="22"/>
                <w:szCs w:val="22"/>
              </w:rPr>
            </w:pPr>
          </w:p>
        </w:tc>
        <w:tc>
          <w:tcPr>
            <w:tcW w:w="3427" w:type="dxa"/>
            <w:shd w:val="clear" w:color="auto" w:fill="auto"/>
          </w:tcPr>
          <w:p w14:paraId="109418E1" w14:textId="77777777" w:rsidR="00456B2B" w:rsidRPr="00493A9B" w:rsidRDefault="00456B2B" w:rsidP="00493A9B">
            <w:pPr>
              <w:contextualSpacing/>
              <w:rPr>
                <w:color w:val="000000" w:themeColor="text1"/>
                <w:sz w:val="22"/>
                <w:szCs w:val="22"/>
              </w:rPr>
            </w:pPr>
            <w:r>
              <w:rPr>
                <w:color w:val="000000" w:themeColor="text1"/>
                <w:sz w:val="22"/>
              </w:rPr>
              <w:t>Estrutura do Ciclo de Programação do FCD/OEA 2021–2024 projetada e pronta para começar a implementação</w:t>
            </w:r>
          </w:p>
        </w:tc>
        <w:tc>
          <w:tcPr>
            <w:tcW w:w="2880" w:type="dxa"/>
            <w:vMerge/>
            <w:hideMark/>
          </w:tcPr>
          <w:p w14:paraId="1C8B246A" w14:textId="77777777" w:rsidR="00456B2B" w:rsidRPr="00493A9B" w:rsidRDefault="00456B2B" w:rsidP="00493A9B">
            <w:pPr>
              <w:rPr>
                <w:color w:val="000000" w:themeColor="text1"/>
                <w:sz w:val="22"/>
                <w:szCs w:val="22"/>
              </w:rPr>
            </w:pPr>
          </w:p>
        </w:tc>
      </w:tr>
      <w:tr w:rsidR="00456B2B" w:rsidRPr="00493A9B" w14:paraId="3CB8986E" w14:textId="77777777" w:rsidTr="00456B2B">
        <w:trPr>
          <w:trHeight w:val="1052"/>
          <w:jc w:val="center"/>
        </w:trPr>
        <w:tc>
          <w:tcPr>
            <w:tcW w:w="3312" w:type="dxa"/>
            <w:vMerge/>
            <w:hideMark/>
          </w:tcPr>
          <w:p w14:paraId="35826C4F" w14:textId="77777777" w:rsidR="00456B2B" w:rsidRPr="00493A9B" w:rsidRDefault="00456B2B" w:rsidP="00493A9B">
            <w:pPr>
              <w:rPr>
                <w:color w:val="000000" w:themeColor="text1"/>
                <w:sz w:val="22"/>
                <w:szCs w:val="22"/>
              </w:rPr>
            </w:pPr>
          </w:p>
        </w:tc>
        <w:tc>
          <w:tcPr>
            <w:tcW w:w="4234" w:type="dxa"/>
            <w:vMerge/>
            <w:hideMark/>
          </w:tcPr>
          <w:p w14:paraId="6781E6EB" w14:textId="77777777" w:rsidR="00456B2B" w:rsidRPr="00493A9B" w:rsidRDefault="00456B2B" w:rsidP="00493A9B">
            <w:pPr>
              <w:rPr>
                <w:color w:val="000000" w:themeColor="text1"/>
                <w:sz w:val="22"/>
                <w:szCs w:val="22"/>
              </w:rPr>
            </w:pPr>
          </w:p>
        </w:tc>
        <w:tc>
          <w:tcPr>
            <w:tcW w:w="3427" w:type="dxa"/>
            <w:shd w:val="clear" w:color="auto" w:fill="auto"/>
          </w:tcPr>
          <w:p w14:paraId="7D84A580" w14:textId="77777777" w:rsidR="00456B2B" w:rsidRPr="00493A9B" w:rsidRDefault="00456B2B" w:rsidP="00493A9B">
            <w:pPr>
              <w:rPr>
                <w:color w:val="000000" w:themeColor="text1"/>
                <w:sz w:val="22"/>
                <w:szCs w:val="22"/>
              </w:rPr>
            </w:pPr>
            <w:r>
              <w:rPr>
                <w:color w:val="000000" w:themeColor="text1"/>
                <w:sz w:val="22"/>
              </w:rPr>
              <w:t xml:space="preserve">Feitas as reuniões com potenciais parceiros para complementar o financiamento-semente do FCD em coordenação com os Estados membros </w:t>
            </w:r>
          </w:p>
          <w:p w14:paraId="64CE216C" w14:textId="77777777" w:rsidR="00456B2B" w:rsidRPr="00493A9B" w:rsidRDefault="00456B2B" w:rsidP="00493A9B">
            <w:pPr>
              <w:contextualSpacing/>
              <w:rPr>
                <w:color w:val="000000" w:themeColor="text1"/>
                <w:sz w:val="22"/>
                <w:szCs w:val="22"/>
              </w:rPr>
            </w:pPr>
          </w:p>
        </w:tc>
        <w:tc>
          <w:tcPr>
            <w:tcW w:w="2880" w:type="dxa"/>
            <w:vMerge/>
            <w:hideMark/>
          </w:tcPr>
          <w:p w14:paraId="52E52B3D" w14:textId="77777777" w:rsidR="00456B2B" w:rsidRPr="00493A9B" w:rsidRDefault="00456B2B" w:rsidP="00493A9B">
            <w:pPr>
              <w:rPr>
                <w:color w:val="000000" w:themeColor="text1"/>
                <w:sz w:val="22"/>
                <w:szCs w:val="22"/>
              </w:rPr>
            </w:pPr>
          </w:p>
        </w:tc>
      </w:tr>
      <w:tr w:rsidR="00456B2B" w:rsidRPr="00493A9B" w14:paraId="651B44D3" w14:textId="77777777" w:rsidTr="00456B2B">
        <w:trPr>
          <w:trHeight w:val="1340"/>
          <w:jc w:val="center"/>
        </w:trPr>
        <w:tc>
          <w:tcPr>
            <w:tcW w:w="3312" w:type="dxa"/>
            <w:vMerge w:val="restart"/>
            <w:shd w:val="clear" w:color="auto" w:fill="auto"/>
            <w:hideMark/>
          </w:tcPr>
          <w:p w14:paraId="10BC8290" w14:textId="77777777" w:rsidR="00456B2B" w:rsidRPr="00493A9B" w:rsidRDefault="00456B2B" w:rsidP="00493A9B">
            <w:pPr>
              <w:rPr>
                <w:rFonts w:eastAsia="Calibri"/>
                <w:color w:val="000000" w:themeColor="text1"/>
                <w:sz w:val="22"/>
                <w:szCs w:val="22"/>
              </w:rPr>
            </w:pPr>
          </w:p>
          <w:p w14:paraId="2AE9968C" w14:textId="77777777" w:rsidR="00456B2B" w:rsidRPr="00493A9B" w:rsidRDefault="00456B2B" w:rsidP="00493A9B">
            <w:pPr>
              <w:rPr>
                <w:color w:val="000000" w:themeColor="text1"/>
                <w:sz w:val="22"/>
                <w:szCs w:val="22"/>
              </w:rPr>
            </w:pPr>
            <w:r>
              <w:rPr>
                <w:color w:val="000000" w:themeColor="text1"/>
                <w:sz w:val="22"/>
              </w:rPr>
              <w:t xml:space="preserve">CooperaNet: o núcleo </w:t>
            </w:r>
            <w:r>
              <w:rPr>
                <w:i/>
                <w:iCs/>
                <w:color w:val="000000" w:themeColor="text1"/>
                <w:sz w:val="22"/>
              </w:rPr>
              <w:t>online</w:t>
            </w:r>
            <w:r>
              <w:rPr>
                <w:color w:val="000000" w:themeColor="text1"/>
                <w:sz w:val="22"/>
              </w:rPr>
              <w:t xml:space="preserve"> para parcerias estratégicas e cooperação.</w:t>
            </w:r>
          </w:p>
        </w:tc>
        <w:tc>
          <w:tcPr>
            <w:tcW w:w="4234" w:type="dxa"/>
            <w:shd w:val="clear" w:color="auto" w:fill="auto"/>
            <w:hideMark/>
          </w:tcPr>
          <w:p w14:paraId="5E41303B" w14:textId="77777777" w:rsidR="00456B2B" w:rsidRPr="00493A9B" w:rsidRDefault="00456B2B" w:rsidP="00493A9B">
            <w:pPr>
              <w:rPr>
                <w:rFonts w:eastAsia="Calibri"/>
                <w:color w:val="000000" w:themeColor="text1"/>
                <w:sz w:val="22"/>
                <w:szCs w:val="22"/>
              </w:rPr>
            </w:pPr>
          </w:p>
          <w:p w14:paraId="05E42A31" w14:textId="77777777" w:rsidR="00456B2B" w:rsidRPr="00493A9B" w:rsidRDefault="00456B2B" w:rsidP="00493A9B">
            <w:pPr>
              <w:rPr>
                <w:color w:val="000000" w:themeColor="text1"/>
                <w:sz w:val="22"/>
                <w:szCs w:val="22"/>
              </w:rPr>
            </w:pPr>
            <w:r>
              <w:rPr>
                <w:color w:val="000000" w:themeColor="text1"/>
                <w:sz w:val="22"/>
              </w:rPr>
              <w:t xml:space="preserve">“Intercâmbio de Cooperação”: continuar registrando ofertas e necessidades em colaboração com os pontos focais dos Estados membros. </w:t>
            </w:r>
          </w:p>
        </w:tc>
        <w:tc>
          <w:tcPr>
            <w:tcW w:w="3427" w:type="dxa"/>
            <w:shd w:val="clear" w:color="auto" w:fill="auto"/>
            <w:hideMark/>
          </w:tcPr>
          <w:p w14:paraId="1D335CB7" w14:textId="77777777" w:rsidR="00456B2B" w:rsidRPr="00493A9B" w:rsidRDefault="00456B2B" w:rsidP="00493A9B">
            <w:pPr>
              <w:rPr>
                <w:rFonts w:eastAsia="Calibri"/>
                <w:color w:val="000000" w:themeColor="text1"/>
                <w:sz w:val="22"/>
                <w:szCs w:val="22"/>
              </w:rPr>
            </w:pPr>
          </w:p>
          <w:p w14:paraId="567893D3" w14:textId="77777777" w:rsidR="00456B2B" w:rsidRPr="00493A9B" w:rsidRDefault="00456B2B" w:rsidP="00493A9B">
            <w:pPr>
              <w:rPr>
                <w:rFonts w:eastAsia="Calibri"/>
                <w:color w:val="000000" w:themeColor="text1"/>
                <w:sz w:val="22"/>
                <w:szCs w:val="22"/>
              </w:rPr>
            </w:pPr>
            <w:r>
              <w:rPr>
                <w:color w:val="000000" w:themeColor="text1"/>
                <w:sz w:val="22"/>
              </w:rPr>
              <w:t xml:space="preserve">Publicação de pelo menos 400 ofertas de cooperação e 20 necessidades de cooperação. Inclusão de todas as necessidades identificadas no novo ciclo de programação do FCD para 2021–2024. </w:t>
            </w:r>
          </w:p>
          <w:p w14:paraId="6ACBDA18" w14:textId="77777777" w:rsidR="00456B2B" w:rsidRPr="00493A9B" w:rsidRDefault="00456B2B" w:rsidP="00493A9B">
            <w:pPr>
              <w:rPr>
                <w:color w:val="000000" w:themeColor="text1"/>
                <w:sz w:val="22"/>
                <w:szCs w:val="22"/>
              </w:rPr>
            </w:pPr>
          </w:p>
        </w:tc>
        <w:tc>
          <w:tcPr>
            <w:tcW w:w="2880" w:type="dxa"/>
            <w:vMerge/>
            <w:hideMark/>
          </w:tcPr>
          <w:p w14:paraId="297ABFC2" w14:textId="77777777" w:rsidR="00456B2B" w:rsidRPr="00493A9B" w:rsidRDefault="00456B2B" w:rsidP="00493A9B">
            <w:pPr>
              <w:rPr>
                <w:color w:val="000000" w:themeColor="text1"/>
                <w:sz w:val="22"/>
                <w:szCs w:val="22"/>
              </w:rPr>
            </w:pPr>
          </w:p>
        </w:tc>
      </w:tr>
      <w:tr w:rsidR="00456B2B" w:rsidRPr="00493A9B" w14:paraId="1E7F52AC" w14:textId="77777777" w:rsidTr="00456B2B">
        <w:trPr>
          <w:trHeight w:val="1052"/>
          <w:jc w:val="center"/>
        </w:trPr>
        <w:tc>
          <w:tcPr>
            <w:tcW w:w="3312" w:type="dxa"/>
            <w:vMerge/>
            <w:hideMark/>
          </w:tcPr>
          <w:p w14:paraId="622C3A34" w14:textId="77777777" w:rsidR="00456B2B" w:rsidRPr="00493A9B" w:rsidRDefault="00456B2B" w:rsidP="00493A9B">
            <w:pPr>
              <w:rPr>
                <w:color w:val="000000" w:themeColor="text1"/>
                <w:sz w:val="22"/>
                <w:szCs w:val="22"/>
              </w:rPr>
            </w:pPr>
          </w:p>
        </w:tc>
        <w:tc>
          <w:tcPr>
            <w:tcW w:w="4234" w:type="dxa"/>
            <w:shd w:val="clear" w:color="auto" w:fill="auto"/>
            <w:hideMark/>
          </w:tcPr>
          <w:p w14:paraId="55C1B7C7" w14:textId="77777777" w:rsidR="00456B2B" w:rsidRPr="00493A9B" w:rsidRDefault="00456B2B" w:rsidP="00493A9B">
            <w:pPr>
              <w:rPr>
                <w:rFonts w:eastAsia="Calibri"/>
                <w:color w:val="000000" w:themeColor="text1"/>
                <w:sz w:val="22"/>
                <w:szCs w:val="22"/>
              </w:rPr>
            </w:pPr>
          </w:p>
          <w:p w14:paraId="03B433CD" w14:textId="77777777" w:rsidR="00456B2B" w:rsidRPr="00493A9B" w:rsidRDefault="00456B2B" w:rsidP="00493A9B">
            <w:pPr>
              <w:rPr>
                <w:color w:val="000000" w:themeColor="text1"/>
                <w:sz w:val="22"/>
                <w:szCs w:val="22"/>
              </w:rPr>
            </w:pPr>
            <w:r>
              <w:rPr>
                <w:color w:val="000000" w:themeColor="text1"/>
                <w:sz w:val="22"/>
              </w:rPr>
              <w:t xml:space="preserve">Reconhecer os “Parceiros de Desenvolvimento” da SEDI. </w:t>
            </w:r>
          </w:p>
        </w:tc>
        <w:tc>
          <w:tcPr>
            <w:tcW w:w="3427" w:type="dxa"/>
            <w:shd w:val="clear" w:color="auto" w:fill="auto"/>
            <w:hideMark/>
          </w:tcPr>
          <w:p w14:paraId="3333DF2B" w14:textId="77777777" w:rsidR="00456B2B" w:rsidRPr="00493A9B" w:rsidRDefault="00456B2B" w:rsidP="00493A9B">
            <w:pPr>
              <w:rPr>
                <w:rFonts w:eastAsia="Calibri"/>
                <w:color w:val="000000" w:themeColor="text1"/>
                <w:sz w:val="22"/>
                <w:szCs w:val="22"/>
              </w:rPr>
            </w:pPr>
          </w:p>
          <w:p w14:paraId="68054817" w14:textId="77777777" w:rsidR="00456B2B" w:rsidRPr="00493A9B" w:rsidRDefault="00456B2B" w:rsidP="00493A9B">
            <w:pPr>
              <w:rPr>
                <w:rFonts w:eastAsia="Calibri"/>
                <w:color w:val="000000" w:themeColor="text1"/>
                <w:sz w:val="22"/>
                <w:szCs w:val="22"/>
              </w:rPr>
            </w:pPr>
            <w:r>
              <w:rPr>
                <w:color w:val="000000" w:themeColor="text1"/>
                <w:sz w:val="22"/>
              </w:rPr>
              <w:t>Apresentar Parceiros de Desenvolvimento ativos que estão trabalhando em programas do FCD e com outras áreas técnicas da SEDI.</w:t>
            </w:r>
          </w:p>
          <w:p w14:paraId="2DAB8188" w14:textId="77777777" w:rsidR="00456B2B" w:rsidRPr="00493A9B" w:rsidRDefault="00456B2B" w:rsidP="00493A9B">
            <w:pPr>
              <w:rPr>
                <w:color w:val="000000" w:themeColor="text1"/>
                <w:sz w:val="22"/>
                <w:szCs w:val="22"/>
              </w:rPr>
            </w:pPr>
          </w:p>
        </w:tc>
        <w:tc>
          <w:tcPr>
            <w:tcW w:w="2880" w:type="dxa"/>
            <w:vMerge/>
            <w:hideMark/>
          </w:tcPr>
          <w:p w14:paraId="27951CD1" w14:textId="77777777" w:rsidR="00456B2B" w:rsidRPr="00493A9B" w:rsidRDefault="00456B2B" w:rsidP="00493A9B">
            <w:pPr>
              <w:rPr>
                <w:color w:val="000000" w:themeColor="text1"/>
                <w:sz w:val="22"/>
                <w:szCs w:val="22"/>
              </w:rPr>
            </w:pPr>
          </w:p>
        </w:tc>
      </w:tr>
      <w:tr w:rsidR="00456B2B" w:rsidRPr="00493A9B" w14:paraId="04E96DDD" w14:textId="77777777" w:rsidTr="00456B2B">
        <w:trPr>
          <w:trHeight w:val="59"/>
          <w:jc w:val="center"/>
        </w:trPr>
        <w:tc>
          <w:tcPr>
            <w:tcW w:w="3312" w:type="dxa"/>
            <w:vMerge/>
            <w:hideMark/>
          </w:tcPr>
          <w:p w14:paraId="159354AC" w14:textId="77777777" w:rsidR="00456B2B" w:rsidRPr="00493A9B" w:rsidRDefault="00456B2B" w:rsidP="00493A9B">
            <w:pPr>
              <w:rPr>
                <w:color w:val="000000" w:themeColor="text1"/>
                <w:sz w:val="22"/>
                <w:szCs w:val="22"/>
              </w:rPr>
            </w:pPr>
          </w:p>
        </w:tc>
        <w:tc>
          <w:tcPr>
            <w:tcW w:w="4234" w:type="dxa"/>
            <w:shd w:val="clear" w:color="auto" w:fill="auto"/>
            <w:hideMark/>
          </w:tcPr>
          <w:p w14:paraId="50240933" w14:textId="77777777" w:rsidR="00456B2B" w:rsidRPr="00493A9B" w:rsidRDefault="00456B2B" w:rsidP="00493A9B">
            <w:pPr>
              <w:rPr>
                <w:rFonts w:eastAsia="Calibri"/>
                <w:color w:val="000000" w:themeColor="text1"/>
                <w:sz w:val="22"/>
                <w:szCs w:val="22"/>
              </w:rPr>
            </w:pPr>
          </w:p>
          <w:p w14:paraId="1181C4A5" w14:textId="77777777" w:rsidR="00456B2B" w:rsidRPr="00493A9B" w:rsidRDefault="00456B2B" w:rsidP="00493A9B">
            <w:pPr>
              <w:rPr>
                <w:rFonts w:eastAsia="Calibri"/>
                <w:color w:val="000000" w:themeColor="text1"/>
                <w:sz w:val="22"/>
                <w:szCs w:val="22"/>
              </w:rPr>
            </w:pPr>
            <w:r>
              <w:rPr>
                <w:color w:val="000000" w:themeColor="text1"/>
                <w:sz w:val="22"/>
              </w:rPr>
              <w:t xml:space="preserve">“Consulte um especialista”. Aproveitar os recursos das redes existentes dentro da SEDI para preencher o cadastro de especialistas. </w:t>
            </w:r>
          </w:p>
          <w:p w14:paraId="3A619C9F" w14:textId="77777777" w:rsidR="00456B2B" w:rsidRDefault="00456B2B" w:rsidP="00493A9B">
            <w:pPr>
              <w:rPr>
                <w:color w:val="000000" w:themeColor="text1"/>
                <w:sz w:val="22"/>
                <w:szCs w:val="22"/>
              </w:rPr>
            </w:pPr>
          </w:p>
          <w:p w14:paraId="4DC25FD2" w14:textId="77777777" w:rsidR="00DA56F9" w:rsidRDefault="00DA56F9" w:rsidP="00493A9B">
            <w:pPr>
              <w:rPr>
                <w:color w:val="000000" w:themeColor="text1"/>
                <w:sz w:val="22"/>
                <w:szCs w:val="22"/>
              </w:rPr>
            </w:pPr>
          </w:p>
          <w:p w14:paraId="34E2CFE2" w14:textId="77777777" w:rsidR="00DA56F9" w:rsidRDefault="00DA56F9" w:rsidP="00493A9B">
            <w:pPr>
              <w:rPr>
                <w:color w:val="000000" w:themeColor="text1"/>
                <w:sz w:val="22"/>
                <w:szCs w:val="22"/>
              </w:rPr>
            </w:pPr>
          </w:p>
          <w:p w14:paraId="7C4DEDB6" w14:textId="77777777" w:rsidR="00DA56F9" w:rsidRDefault="00DA56F9" w:rsidP="00493A9B">
            <w:pPr>
              <w:rPr>
                <w:color w:val="000000" w:themeColor="text1"/>
                <w:sz w:val="22"/>
                <w:szCs w:val="22"/>
              </w:rPr>
            </w:pPr>
          </w:p>
          <w:p w14:paraId="54A54C70" w14:textId="77777777" w:rsidR="00DA56F9" w:rsidRPr="00493A9B" w:rsidRDefault="00DA56F9" w:rsidP="00493A9B">
            <w:pPr>
              <w:rPr>
                <w:color w:val="000000" w:themeColor="text1"/>
                <w:sz w:val="22"/>
                <w:szCs w:val="22"/>
              </w:rPr>
            </w:pPr>
          </w:p>
        </w:tc>
        <w:tc>
          <w:tcPr>
            <w:tcW w:w="3427" w:type="dxa"/>
            <w:shd w:val="clear" w:color="auto" w:fill="auto"/>
            <w:hideMark/>
          </w:tcPr>
          <w:p w14:paraId="64723F20" w14:textId="77777777" w:rsidR="00456B2B" w:rsidRPr="00493A9B" w:rsidRDefault="00456B2B" w:rsidP="00493A9B">
            <w:pPr>
              <w:rPr>
                <w:rFonts w:eastAsia="Calibri"/>
                <w:color w:val="000000" w:themeColor="text1"/>
                <w:sz w:val="22"/>
                <w:szCs w:val="22"/>
              </w:rPr>
            </w:pPr>
          </w:p>
          <w:p w14:paraId="0DEC91AF" w14:textId="77777777" w:rsidR="00456B2B" w:rsidRPr="00493A9B" w:rsidRDefault="00456B2B" w:rsidP="00493A9B">
            <w:pPr>
              <w:rPr>
                <w:color w:val="000000" w:themeColor="text1"/>
                <w:sz w:val="22"/>
                <w:szCs w:val="22"/>
              </w:rPr>
            </w:pPr>
            <w:r>
              <w:rPr>
                <w:color w:val="000000" w:themeColor="text1"/>
                <w:sz w:val="22"/>
              </w:rPr>
              <w:t xml:space="preserve">Internos e especialistas registrados. </w:t>
            </w:r>
          </w:p>
        </w:tc>
        <w:tc>
          <w:tcPr>
            <w:tcW w:w="2880" w:type="dxa"/>
            <w:vMerge/>
            <w:hideMark/>
          </w:tcPr>
          <w:p w14:paraId="479D9EFF" w14:textId="77777777" w:rsidR="00456B2B" w:rsidRPr="00493A9B" w:rsidRDefault="00456B2B" w:rsidP="00493A9B">
            <w:pPr>
              <w:rPr>
                <w:color w:val="000000" w:themeColor="text1"/>
                <w:sz w:val="22"/>
                <w:szCs w:val="22"/>
              </w:rPr>
            </w:pPr>
          </w:p>
        </w:tc>
      </w:tr>
      <w:tr w:rsidR="00456B2B" w:rsidRPr="00493A9B" w14:paraId="3691D4AA" w14:textId="77777777" w:rsidTr="00456B2B">
        <w:trPr>
          <w:trHeight w:val="435"/>
          <w:jc w:val="center"/>
        </w:trPr>
        <w:tc>
          <w:tcPr>
            <w:tcW w:w="3312" w:type="dxa"/>
            <w:tcBorders>
              <w:top w:val="single" w:sz="6" w:space="0" w:color="000000"/>
              <w:bottom w:val="single" w:sz="6" w:space="0" w:color="000000"/>
            </w:tcBorders>
            <w:shd w:val="clear" w:color="auto" w:fill="BFBFBF" w:themeFill="background1" w:themeFillShade="BF"/>
          </w:tcPr>
          <w:p w14:paraId="0A2866DE" w14:textId="77777777" w:rsidR="00456B2B" w:rsidRPr="00493A9B" w:rsidRDefault="00456B2B" w:rsidP="00493A9B">
            <w:pPr>
              <w:rPr>
                <w:b/>
                <w:bCs/>
                <w:color w:val="000000" w:themeColor="text1"/>
                <w:sz w:val="22"/>
                <w:szCs w:val="22"/>
              </w:rPr>
            </w:pPr>
            <w:r>
              <w:rPr>
                <w:b/>
                <w:color w:val="000000" w:themeColor="text1"/>
                <w:sz w:val="22"/>
              </w:rPr>
              <w:t>OBJETIVO ESTRATÉGICO</w:t>
            </w:r>
          </w:p>
        </w:tc>
        <w:tc>
          <w:tcPr>
            <w:tcW w:w="10541" w:type="dxa"/>
            <w:gridSpan w:val="3"/>
            <w:tcBorders>
              <w:top w:val="single" w:sz="6" w:space="0" w:color="000000"/>
              <w:bottom w:val="single" w:sz="6" w:space="0" w:color="000000"/>
            </w:tcBorders>
            <w:shd w:val="clear" w:color="auto" w:fill="BFBFBF" w:themeFill="background1" w:themeFillShade="BF"/>
          </w:tcPr>
          <w:p w14:paraId="4AFF133C" w14:textId="77777777" w:rsidR="00456B2B" w:rsidRPr="00493A9B" w:rsidRDefault="00456B2B" w:rsidP="00493A9B">
            <w:pPr>
              <w:rPr>
                <w:b/>
                <w:bCs/>
                <w:color w:val="000000" w:themeColor="text1"/>
                <w:sz w:val="22"/>
                <w:szCs w:val="22"/>
              </w:rPr>
            </w:pPr>
            <w:r>
              <w:rPr>
                <w:b/>
                <w:color w:val="000000" w:themeColor="text1"/>
                <w:sz w:val="22"/>
              </w:rPr>
              <w:t>6.2. Incentivar parcerias multissetoriais eficazes para apoiar os Estados membros no cumprimento dos Objetivos de Desenvolvimento Sustentável</w:t>
            </w:r>
          </w:p>
        </w:tc>
      </w:tr>
      <w:tr w:rsidR="00456B2B" w:rsidRPr="00493A9B" w14:paraId="577C2DB5" w14:textId="77777777" w:rsidTr="00456B2B">
        <w:trPr>
          <w:trHeight w:val="435"/>
          <w:jc w:val="center"/>
        </w:trPr>
        <w:tc>
          <w:tcPr>
            <w:tcW w:w="13853" w:type="dxa"/>
            <w:gridSpan w:val="4"/>
            <w:tcBorders>
              <w:top w:val="single" w:sz="6" w:space="0" w:color="000000"/>
            </w:tcBorders>
            <w:shd w:val="clear" w:color="auto" w:fill="D9D9D9" w:themeFill="background1" w:themeFillShade="D9"/>
            <w:vAlign w:val="center"/>
          </w:tcPr>
          <w:p w14:paraId="13985EDE" w14:textId="77777777" w:rsidR="00456B2B" w:rsidRPr="00493A9B" w:rsidRDefault="00456B2B" w:rsidP="00493A9B">
            <w:pPr>
              <w:rPr>
                <w:b/>
                <w:bCs/>
                <w:color w:val="000000" w:themeColor="text1"/>
                <w:sz w:val="22"/>
                <w:szCs w:val="22"/>
              </w:rPr>
            </w:pPr>
            <w:r>
              <w:rPr>
                <w:b/>
                <w:color w:val="000000" w:themeColor="text1"/>
                <w:sz w:val="22"/>
              </w:rPr>
              <w:t>Parcerias</w:t>
            </w:r>
          </w:p>
        </w:tc>
      </w:tr>
      <w:tr w:rsidR="00456B2B" w:rsidRPr="00493A9B" w14:paraId="51224C5E" w14:textId="77777777" w:rsidTr="00456B2B">
        <w:trPr>
          <w:trHeight w:val="2243"/>
          <w:jc w:val="center"/>
        </w:trPr>
        <w:tc>
          <w:tcPr>
            <w:tcW w:w="3312" w:type="dxa"/>
            <w:shd w:val="clear" w:color="auto" w:fill="auto"/>
            <w:hideMark/>
          </w:tcPr>
          <w:p w14:paraId="51F26865" w14:textId="77777777" w:rsidR="00456B2B" w:rsidRPr="00493A9B" w:rsidRDefault="00456B2B" w:rsidP="00493A9B">
            <w:pPr>
              <w:rPr>
                <w:color w:val="000000" w:themeColor="text1"/>
                <w:sz w:val="22"/>
                <w:szCs w:val="22"/>
              </w:rPr>
            </w:pPr>
            <w:r>
              <w:rPr>
                <w:color w:val="000000" w:themeColor="text1"/>
                <w:sz w:val="22"/>
              </w:rPr>
              <w:lastRenderedPageBreak/>
              <w:t>A estratégia de engajamento da SEDI com o setor privado e outros parceiros torna-se operacional.</w:t>
            </w:r>
          </w:p>
        </w:tc>
        <w:tc>
          <w:tcPr>
            <w:tcW w:w="4234" w:type="dxa"/>
            <w:shd w:val="clear" w:color="auto" w:fill="auto"/>
            <w:hideMark/>
          </w:tcPr>
          <w:p w14:paraId="5B9BDD41" w14:textId="77777777" w:rsidR="00456B2B" w:rsidRPr="00493A9B" w:rsidRDefault="00456B2B" w:rsidP="00493A9B">
            <w:pPr>
              <w:rPr>
                <w:color w:val="000000" w:themeColor="text1"/>
                <w:sz w:val="22"/>
                <w:szCs w:val="22"/>
              </w:rPr>
            </w:pPr>
            <w:r>
              <w:rPr>
                <w:color w:val="000000" w:themeColor="text1"/>
                <w:sz w:val="22"/>
              </w:rPr>
              <w:t>Incluir um foco específico em resiliência na lista de potenciais parceiros a fim de orientar os esforços de engajamento.</w:t>
            </w:r>
          </w:p>
        </w:tc>
        <w:tc>
          <w:tcPr>
            <w:tcW w:w="3427" w:type="dxa"/>
            <w:shd w:val="clear" w:color="auto" w:fill="auto"/>
            <w:hideMark/>
          </w:tcPr>
          <w:p w14:paraId="0583FC68" w14:textId="77777777" w:rsidR="00456B2B" w:rsidRPr="00493A9B" w:rsidRDefault="00456B2B" w:rsidP="00493A9B">
            <w:pPr>
              <w:rPr>
                <w:rFonts w:eastAsia="Calibri"/>
                <w:color w:val="000000" w:themeColor="text1"/>
                <w:sz w:val="22"/>
                <w:szCs w:val="22"/>
              </w:rPr>
            </w:pPr>
            <w:r>
              <w:rPr>
                <w:color w:val="000000" w:themeColor="text1"/>
                <w:sz w:val="22"/>
              </w:rPr>
              <w:t>Continuar buscando e formando parcerias baseadas em diretrizes estabelecidas (ação em curso em nível institucional).</w:t>
            </w:r>
          </w:p>
          <w:p w14:paraId="3376C393" w14:textId="77777777" w:rsidR="00456B2B" w:rsidRPr="00493A9B" w:rsidRDefault="00456B2B" w:rsidP="00493A9B">
            <w:pPr>
              <w:rPr>
                <w:rFonts w:eastAsia="Calibri"/>
                <w:color w:val="000000" w:themeColor="text1"/>
                <w:sz w:val="22"/>
                <w:szCs w:val="22"/>
              </w:rPr>
            </w:pPr>
          </w:p>
          <w:p w14:paraId="6E39B52B" w14:textId="77777777" w:rsidR="00456B2B" w:rsidRPr="00493A9B" w:rsidRDefault="00456B2B" w:rsidP="00493A9B">
            <w:pPr>
              <w:rPr>
                <w:rFonts w:eastAsia="Calibri"/>
                <w:iCs/>
                <w:sz w:val="22"/>
                <w:szCs w:val="22"/>
              </w:rPr>
            </w:pPr>
            <w:r>
              <w:rPr>
                <w:sz w:val="22"/>
              </w:rPr>
              <w:t>Desenvolver propostas de projetos focados na Área de Ação “Resiliência Inclusiva para uma Recuperação Efetiva, com Foco em Ciência e Tecnologia</w:t>
            </w:r>
            <w:r>
              <w:rPr>
                <w:i/>
                <w:sz w:val="22"/>
              </w:rPr>
              <w:t xml:space="preserve">” </w:t>
            </w:r>
            <w:r>
              <w:rPr>
                <w:sz w:val="22"/>
              </w:rPr>
              <w:t xml:space="preserve">para formar novas parcerias. </w:t>
            </w:r>
          </w:p>
          <w:p w14:paraId="36E81980" w14:textId="77777777" w:rsidR="00456B2B" w:rsidRPr="00493A9B" w:rsidRDefault="00456B2B" w:rsidP="00493A9B">
            <w:pPr>
              <w:rPr>
                <w:color w:val="000000" w:themeColor="text1"/>
                <w:sz w:val="22"/>
                <w:szCs w:val="22"/>
              </w:rPr>
            </w:pPr>
          </w:p>
        </w:tc>
        <w:tc>
          <w:tcPr>
            <w:tcW w:w="2880" w:type="dxa"/>
            <w:shd w:val="clear" w:color="auto" w:fill="auto"/>
            <w:hideMark/>
          </w:tcPr>
          <w:p w14:paraId="0127061E" w14:textId="77777777" w:rsidR="00456B2B" w:rsidRPr="00493A9B" w:rsidRDefault="00456B2B" w:rsidP="00493A9B">
            <w:pPr>
              <w:rPr>
                <w:color w:val="000000" w:themeColor="text1"/>
                <w:sz w:val="22"/>
                <w:szCs w:val="22"/>
              </w:rPr>
            </w:pPr>
            <w:r>
              <w:rPr>
                <w:b/>
                <w:color w:val="000000" w:themeColor="text1"/>
                <w:sz w:val="22"/>
              </w:rPr>
              <w:t xml:space="preserve">Internas (OEA): </w:t>
            </w:r>
            <w:r>
              <w:rPr>
                <w:color w:val="000000" w:themeColor="text1"/>
                <w:sz w:val="22"/>
              </w:rPr>
              <w:t xml:space="preserve">Todos os departamentos da SEDI. </w:t>
            </w:r>
            <w:r>
              <w:rPr>
                <w:color w:val="000000" w:themeColor="text1"/>
                <w:sz w:val="22"/>
              </w:rPr>
              <w:br/>
            </w:r>
            <w:r>
              <w:rPr>
                <w:color w:val="000000" w:themeColor="text1"/>
                <w:sz w:val="22"/>
              </w:rPr>
              <w:br/>
            </w:r>
            <w:r>
              <w:rPr>
                <w:b/>
                <w:color w:val="000000" w:themeColor="text1"/>
                <w:sz w:val="22"/>
              </w:rPr>
              <w:t>Externas:</w:t>
            </w:r>
            <w:r>
              <w:rPr>
                <w:color w:val="000000" w:themeColor="text1"/>
                <w:sz w:val="22"/>
              </w:rPr>
              <w:t xml:space="preserve"> Setor privado, outras organizações, bancos multilaterais e setor acadêmico (a definir).</w:t>
            </w:r>
          </w:p>
        </w:tc>
      </w:tr>
    </w:tbl>
    <w:p w14:paraId="2BD89714" w14:textId="77777777" w:rsidR="001B2A32" w:rsidRPr="00493A9B" w:rsidRDefault="001B2A32" w:rsidP="00493A9B">
      <w:pPr>
        <w:rPr>
          <w:color w:val="000000" w:themeColor="text1"/>
          <w:sz w:val="22"/>
          <w:szCs w:val="22"/>
        </w:rPr>
      </w:pPr>
    </w:p>
    <w:p w14:paraId="2F28B2E8" w14:textId="77777777" w:rsidR="003F607D" w:rsidRDefault="003F607D" w:rsidP="00493A9B">
      <w:pPr>
        <w:spacing w:after="160" w:line="259" w:lineRule="auto"/>
        <w:rPr>
          <w:sz w:val="22"/>
          <w:szCs w:val="22"/>
        </w:rPr>
      </w:pPr>
    </w:p>
    <w:p w14:paraId="4764438D" w14:textId="77777777" w:rsidR="003F607D" w:rsidRDefault="003F607D" w:rsidP="00493A9B">
      <w:pPr>
        <w:spacing w:after="160" w:line="259" w:lineRule="auto"/>
        <w:rPr>
          <w:sz w:val="22"/>
          <w:szCs w:val="22"/>
        </w:rPr>
      </w:pPr>
    </w:p>
    <w:p w14:paraId="6C8046D2" w14:textId="77777777" w:rsidR="003F607D" w:rsidRDefault="003F607D" w:rsidP="00493A9B">
      <w:pPr>
        <w:spacing w:after="160" w:line="259" w:lineRule="auto"/>
        <w:rPr>
          <w:sz w:val="22"/>
          <w:szCs w:val="22"/>
        </w:rPr>
      </w:pPr>
    </w:p>
    <w:p w14:paraId="1029D4E3" w14:textId="77777777" w:rsidR="003F607D" w:rsidRDefault="003F607D" w:rsidP="00493A9B">
      <w:pPr>
        <w:spacing w:after="160" w:line="259" w:lineRule="auto"/>
        <w:rPr>
          <w:sz w:val="22"/>
          <w:szCs w:val="22"/>
        </w:rPr>
      </w:pPr>
    </w:p>
    <w:p w14:paraId="2FD8BFD7" w14:textId="77777777" w:rsidR="003F607D" w:rsidRDefault="003F607D" w:rsidP="00493A9B">
      <w:pPr>
        <w:spacing w:after="160" w:line="259" w:lineRule="auto"/>
        <w:rPr>
          <w:sz w:val="22"/>
          <w:szCs w:val="22"/>
        </w:rPr>
      </w:pPr>
    </w:p>
    <w:p w14:paraId="29445780" w14:textId="77777777" w:rsidR="003F607D" w:rsidRDefault="003F607D" w:rsidP="00493A9B">
      <w:pPr>
        <w:spacing w:after="160" w:line="259" w:lineRule="auto"/>
        <w:rPr>
          <w:sz w:val="22"/>
          <w:szCs w:val="22"/>
        </w:rPr>
      </w:pPr>
    </w:p>
    <w:p w14:paraId="3DDD8C69" w14:textId="77777777" w:rsidR="00DA56F9" w:rsidRDefault="00DA56F9" w:rsidP="00493A9B">
      <w:pPr>
        <w:spacing w:after="160" w:line="259" w:lineRule="auto"/>
        <w:rPr>
          <w:sz w:val="22"/>
          <w:szCs w:val="22"/>
        </w:rPr>
      </w:pPr>
    </w:p>
    <w:p w14:paraId="776079D9" w14:textId="77777777" w:rsidR="00DA56F9" w:rsidRDefault="00DA56F9" w:rsidP="00493A9B">
      <w:pPr>
        <w:spacing w:after="160" w:line="259" w:lineRule="auto"/>
        <w:rPr>
          <w:sz w:val="22"/>
          <w:szCs w:val="22"/>
        </w:rPr>
      </w:pPr>
    </w:p>
    <w:p w14:paraId="4B2F74A4" w14:textId="77777777" w:rsidR="00DA56F9" w:rsidRDefault="00DA56F9" w:rsidP="00493A9B">
      <w:pPr>
        <w:spacing w:after="160" w:line="259" w:lineRule="auto"/>
        <w:rPr>
          <w:sz w:val="22"/>
          <w:szCs w:val="22"/>
        </w:rPr>
      </w:pPr>
    </w:p>
    <w:p w14:paraId="769A8653" w14:textId="7D2FB2DB" w:rsidR="001B2A32" w:rsidRPr="003F607D" w:rsidRDefault="003F607D" w:rsidP="00493A9B">
      <w:pPr>
        <w:spacing w:after="160" w:line="259" w:lineRule="auto"/>
        <w:rPr>
          <w:sz w:val="18"/>
          <w:szCs w:val="18"/>
        </w:rPr>
      </w:pPr>
      <w:r>
        <w:rPr>
          <w:noProof/>
          <w:sz w:val="18"/>
          <w:lang w:val="en-US"/>
        </w:rPr>
        <mc:AlternateContent>
          <mc:Choice Requires="wps">
            <w:drawing>
              <wp:anchor distT="0" distB="0" distL="114300" distR="114300" simplePos="0" relativeHeight="251662336" behindDoc="0" locked="1" layoutInCell="1" allowOverlap="1" wp14:anchorId="4BBAAD60" wp14:editId="539A26F2">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17281C2" w14:textId="77777777" w:rsidR="00AB03EE" w:rsidRPr="003F607D" w:rsidRDefault="00AB03EE">
                            <w:pPr>
                              <w:rPr>
                                <w:sz w:val="18"/>
                              </w:rPr>
                            </w:pPr>
                            <w:r>
                              <w:rPr>
                                <w:sz w:val="18"/>
                              </w:rPr>
                              <w:fldChar w:fldCharType="begin"/>
                            </w:r>
                            <w:r>
                              <w:rPr>
                                <w:sz w:val="18"/>
                              </w:rPr>
                              <w:instrText xml:space="preserve"> FILENAME  \* MERGEFORMAT </w:instrText>
                            </w:r>
                            <w:r>
                              <w:rPr>
                                <w:sz w:val="18"/>
                              </w:rPr>
                              <w:fldChar w:fldCharType="separate"/>
                            </w:r>
                            <w:r>
                              <w:rPr>
                                <w:noProof/>
                                <w:sz w:val="18"/>
                              </w:rPr>
                              <w:t>CIDRP03083P03</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BAAD60" id="Text Box 1" o:spid="_x0000_s1028" type="#_x0000_t202" style="position:absolute;margin-left:-7.2pt;margin-top:10in;width:266.4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" fillcolor="black" stroked="f">
                <v:stroke joinstyle="round"/>
                <v:path arrowok="t"/>
                <v:textbox>
                  <w:txbxContent>
                    <w:p w14:paraId="417281C2" w14:textId="77777777" w:rsidR="00AB03EE" w:rsidRPr="003F607D" w:rsidRDefault="00AB03EE">
                      <w:pPr>
                        <w:rPr>
                          <w:sz w:val="18"/>
                        </w:rPr>
                      </w:pPr>
                      <w:r>
                        <w:rPr>
                          <w:sz w:val="18"/>
                        </w:rPr>
                        <w:fldChar w:fldCharType="begin"/>
                      </w:r>
                      <w:r>
                        <w:rPr>
                          <w:sz w:val="18"/>
                        </w:rPr>
                        <w:instrText xml:space="preserve"> FILENAME  \* MERGEFORMAT </w:instrText>
                      </w:r>
                      <w:r>
                        <w:rPr>
                          <w:sz w:val="18"/>
                        </w:rPr>
                        <w:fldChar w:fldCharType="separate"/>
                      </w:r>
                      <w:r>
                        <w:rPr>
                          <w:noProof/>
                          <w:sz w:val="18"/>
                        </w:rPr>
                        <w:t>CIDRP03083P03</w:t>
                      </w:r>
                      <w:r>
                        <w:rPr>
                          <w:sz w:val="18"/>
                        </w:rPr>
                        <w:fldChar w:fldCharType="end"/>
                      </w:r>
                    </w:p>
                  </w:txbxContent>
                </v:textbox>
                <w10:wrap anchory="page"/>
                <w10:anchorlock/>
              </v:shape>
            </w:pict>
          </mc:Fallback>
        </mc:AlternateContent>
      </w:r>
      <w:r>
        <w:rPr>
          <w:sz w:val="18"/>
        </w:rPr>
        <w:t>CIDRP03</w:t>
      </w:r>
      <w:r w:rsidR="000C7BC2">
        <w:rPr>
          <w:sz w:val="18"/>
        </w:rPr>
        <w:t>109P</w:t>
      </w:r>
      <w:r>
        <w:rPr>
          <w:sz w:val="18"/>
        </w:rPr>
        <w:t>0</w:t>
      </w:r>
      <w:r w:rsidR="000C7BC2">
        <w:rPr>
          <w:sz w:val="18"/>
        </w:rPr>
        <w:t>1</w:t>
      </w:r>
    </w:p>
    <w:sectPr w:rsidR="001B2A32" w:rsidRPr="003F607D" w:rsidSect="00E82E10">
      <w:pgSz w:w="15840" w:h="12240" w:orient="landscape"/>
      <w:pgMar w:top="1080" w:right="504" w:bottom="504" w:left="5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68FE8" w14:textId="77777777" w:rsidR="001849FA" w:rsidRDefault="001849FA" w:rsidP="00E82E10">
      <w:r>
        <w:separator/>
      </w:r>
    </w:p>
  </w:endnote>
  <w:endnote w:type="continuationSeparator" w:id="0">
    <w:p w14:paraId="5CDCCABB" w14:textId="77777777" w:rsidR="001849FA" w:rsidRDefault="001849FA" w:rsidP="00E8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50168" w14:textId="77777777" w:rsidR="001849FA" w:rsidRDefault="001849FA" w:rsidP="00E82E10">
      <w:r>
        <w:separator/>
      </w:r>
    </w:p>
  </w:footnote>
  <w:footnote w:type="continuationSeparator" w:id="0">
    <w:p w14:paraId="498BAECF" w14:textId="77777777" w:rsidR="001849FA" w:rsidRDefault="001849FA" w:rsidP="00E82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0"/>
        <w:szCs w:val="20"/>
      </w:rPr>
      <w:id w:val="-2120909367"/>
      <w:docPartObj>
        <w:docPartGallery w:val="Page Numbers (Top of Page)"/>
        <w:docPartUnique/>
      </w:docPartObj>
    </w:sdtPr>
    <w:sdtEndPr>
      <w:rPr>
        <w:noProof/>
      </w:rPr>
    </w:sdtEndPr>
    <w:sdtContent>
      <w:p w14:paraId="2BD64C61" w14:textId="77777777" w:rsidR="00AB03EE" w:rsidRPr="00E82E10" w:rsidRDefault="00AB03EE">
        <w:pPr>
          <w:pStyle w:val="Header"/>
          <w:jc w:val="center"/>
          <w:rPr>
            <w:b/>
            <w:sz w:val="20"/>
            <w:szCs w:val="20"/>
          </w:rPr>
        </w:pPr>
        <w:r>
          <w:rPr>
            <w:b/>
            <w:sz w:val="20"/>
          </w:rPr>
          <w:t xml:space="preserve">- </w:t>
        </w:r>
        <w:r w:rsidRPr="00E82E10">
          <w:rPr>
            <w:b/>
            <w:sz w:val="20"/>
          </w:rPr>
          <w:fldChar w:fldCharType="begin"/>
        </w:r>
        <w:r w:rsidRPr="00E82E10">
          <w:rPr>
            <w:b/>
            <w:sz w:val="20"/>
          </w:rPr>
          <w:instrText xml:space="preserve"> PAGE   \* MERGEFORMAT </w:instrText>
        </w:r>
        <w:r w:rsidRPr="00E82E10">
          <w:rPr>
            <w:b/>
            <w:sz w:val="20"/>
          </w:rPr>
          <w:fldChar w:fldCharType="separate"/>
        </w:r>
        <w:r w:rsidR="00DA56F9">
          <w:rPr>
            <w:b/>
            <w:noProof/>
            <w:sz w:val="20"/>
          </w:rPr>
          <w:t>4</w:t>
        </w:r>
        <w:r w:rsidRPr="00E82E10">
          <w:rPr>
            <w:b/>
            <w:sz w:val="20"/>
          </w:rPr>
          <w:fldChar w:fldCharType="end"/>
        </w:r>
        <w:r>
          <w:rPr>
            <w:b/>
            <w:sz w:val="20"/>
          </w:rPr>
          <w:t xml:space="preserve"> -</w:t>
        </w:r>
      </w:p>
    </w:sdtContent>
  </w:sdt>
  <w:p w14:paraId="573CDF4E" w14:textId="77777777" w:rsidR="00AB03EE" w:rsidRDefault="00AB0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C3A"/>
    <w:multiLevelType w:val="hybridMultilevel"/>
    <w:tmpl w:val="1D1E7902"/>
    <w:lvl w:ilvl="0" w:tplc="5DE6BB68">
      <w:start w:val="1"/>
      <w:numFmt w:val="bullet"/>
      <w:lvlText w:val=""/>
      <w:lvlJc w:val="left"/>
      <w:pPr>
        <w:ind w:left="612" w:hanging="360"/>
      </w:pPr>
      <w:rPr>
        <w:rFonts w:ascii="Symbol" w:eastAsia="Times New Roman" w:hAnsi="Symbol" w:cs="Calibri"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 w15:restartNumberingAfterBreak="0">
    <w:nsid w:val="029D60FC"/>
    <w:multiLevelType w:val="hybridMultilevel"/>
    <w:tmpl w:val="FCA0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1674B"/>
    <w:multiLevelType w:val="hybridMultilevel"/>
    <w:tmpl w:val="F77E4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956EB"/>
    <w:multiLevelType w:val="hybridMultilevel"/>
    <w:tmpl w:val="768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F260D"/>
    <w:multiLevelType w:val="hybridMultilevel"/>
    <w:tmpl w:val="FCCE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63337"/>
    <w:multiLevelType w:val="hybridMultilevel"/>
    <w:tmpl w:val="EB4E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96C25"/>
    <w:multiLevelType w:val="hybridMultilevel"/>
    <w:tmpl w:val="25D6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5633A"/>
    <w:multiLevelType w:val="hybridMultilevel"/>
    <w:tmpl w:val="C200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A46E2"/>
    <w:multiLevelType w:val="hybridMultilevel"/>
    <w:tmpl w:val="AB76708E"/>
    <w:lvl w:ilvl="0" w:tplc="514C66D6">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3790B"/>
    <w:multiLevelType w:val="hybridMultilevel"/>
    <w:tmpl w:val="5C22D760"/>
    <w:lvl w:ilvl="0" w:tplc="3B14C60A">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B90922"/>
    <w:multiLevelType w:val="hybridMultilevel"/>
    <w:tmpl w:val="BC9AE2E4"/>
    <w:lvl w:ilvl="0" w:tplc="F1D2A89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6A24DC"/>
    <w:multiLevelType w:val="hybridMultilevel"/>
    <w:tmpl w:val="868C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655776"/>
    <w:multiLevelType w:val="hybridMultilevel"/>
    <w:tmpl w:val="2352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E84514"/>
    <w:multiLevelType w:val="hybridMultilevel"/>
    <w:tmpl w:val="8BCA5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823DEB"/>
    <w:multiLevelType w:val="hybridMultilevel"/>
    <w:tmpl w:val="2EBC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B4753A"/>
    <w:multiLevelType w:val="hybridMultilevel"/>
    <w:tmpl w:val="095C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36578F"/>
    <w:multiLevelType w:val="hybridMultilevel"/>
    <w:tmpl w:val="E7AC4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1131ED"/>
    <w:multiLevelType w:val="hybridMultilevel"/>
    <w:tmpl w:val="F8BE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0779FA"/>
    <w:multiLevelType w:val="hybridMultilevel"/>
    <w:tmpl w:val="802E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7B0504"/>
    <w:multiLevelType w:val="hybridMultilevel"/>
    <w:tmpl w:val="C030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9"/>
  </w:num>
  <w:num w:numId="4">
    <w:abstractNumId w:val="8"/>
  </w:num>
  <w:num w:numId="5">
    <w:abstractNumId w:val="14"/>
  </w:num>
  <w:num w:numId="6">
    <w:abstractNumId w:val="6"/>
  </w:num>
  <w:num w:numId="7">
    <w:abstractNumId w:val="0"/>
  </w:num>
  <w:num w:numId="8">
    <w:abstractNumId w:val="15"/>
  </w:num>
  <w:num w:numId="9">
    <w:abstractNumId w:val="1"/>
  </w:num>
  <w:num w:numId="10">
    <w:abstractNumId w:val="17"/>
  </w:num>
  <w:num w:numId="11">
    <w:abstractNumId w:val="19"/>
  </w:num>
  <w:num w:numId="12">
    <w:abstractNumId w:val="7"/>
  </w:num>
  <w:num w:numId="13">
    <w:abstractNumId w:val="16"/>
  </w:num>
  <w:num w:numId="14">
    <w:abstractNumId w:val="3"/>
  </w:num>
  <w:num w:numId="15">
    <w:abstractNumId w:val="5"/>
  </w:num>
  <w:num w:numId="16">
    <w:abstractNumId w:val="11"/>
  </w:num>
  <w:num w:numId="17">
    <w:abstractNumId w:val="2"/>
  </w:num>
  <w:num w:numId="18">
    <w:abstractNumId w:val="13"/>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10"/>
    <w:rsid w:val="00054179"/>
    <w:rsid w:val="0007406C"/>
    <w:rsid w:val="00075D25"/>
    <w:rsid w:val="000C0DF0"/>
    <w:rsid w:val="000C7BC2"/>
    <w:rsid w:val="000F02A8"/>
    <w:rsid w:val="00105D52"/>
    <w:rsid w:val="00155EC7"/>
    <w:rsid w:val="00162FD4"/>
    <w:rsid w:val="001849FA"/>
    <w:rsid w:val="00191653"/>
    <w:rsid w:val="001A3D28"/>
    <w:rsid w:val="001B038F"/>
    <w:rsid w:val="001B2A32"/>
    <w:rsid w:val="001B2FA7"/>
    <w:rsid w:val="001D25CE"/>
    <w:rsid w:val="001F36E2"/>
    <w:rsid w:val="001F3FEE"/>
    <w:rsid w:val="002007D6"/>
    <w:rsid w:val="002336CE"/>
    <w:rsid w:val="0025685F"/>
    <w:rsid w:val="0027504F"/>
    <w:rsid w:val="00285E77"/>
    <w:rsid w:val="0028632E"/>
    <w:rsid w:val="0029333F"/>
    <w:rsid w:val="002A4444"/>
    <w:rsid w:val="002B53B9"/>
    <w:rsid w:val="002B7E95"/>
    <w:rsid w:val="002D002A"/>
    <w:rsid w:val="002D082F"/>
    <w:rsid w:val="003030EE"/>
    <w:rsid w:val="003036E9"/>
    <w:rsid w:val="00314A32"/>
    <w:rsid w:val="0031735B"/>
    <w:rsid w:val="00336EAD"/>
    <w:rsid w:val="0034258E"/>
    <w:rsid w:val="00351175"/>
    <w:rsid w:val="00367351"/>
    <w:rsid w:val="0037371D"/>
    <w:rsid w:val="00390D1B"/>
    <w:rsid w:val="00397E4F"/>
    <w:rsid w:val="003E72BC"/>
    <w:rsid w:val="003F607D"/>
    <w:rsid w:val="00406C99"/>
    <w:rsid w:val="0043293D"/>
    <w:rsid w:val="00456B2B"/>
    <w:rsid w:val="0045730A"/>
    <w:rsid w:val="00466C18"/>
    <w:rsid w:val="00477D51"/>
    <w:rsid w:val="00493A9B"/>
    <w:rsid w:val="004B2E66"/>
    <w:rsid w:val="004C418D"/>
    <w:rsid w:val="004E2D0D"/>
    <w:rsid w:val="005057D9"/>
    <w:rsid w:val="005508D9"/>
    <w:rsid w:val="00551EB1"/>
    <w:rsid w:val="005532E4"/>
    <w:rsid w:val="00561711"/>
    <w:rsid w:val="005657C8"/>
    <w:rsid w:val="00565A1C"/>
    <w:rsid w:val="005677D2"/>
    <w:rsid w:val="00581411"/>
    <w:rsid w:val="00597BF0"/>
    <w:rsid w:val="005B7924"/>
    <w:rsid w:val="005C3F01"/>
    <w:rsid w:val="00606B42"/>
    <w:rsid w:val="00616822"/>
    <w:rsid w:val="00655D02"/>
    <w:rsid w:val="00655DAD"/>
    <w:rsid w:val="00663390"/>
    <w:rsid w:val="00674438"/>
    <w:rsid w:val="00674DB4"/>
    <w:rsid w:val="006761E5"/>
    <w:rsid w:val="00680E1D"/>
    <w:rsid w:val="00691C13"/>
    <w:rsid w:val="00697CE0"/>
    <w:rsid w:val="006B6C6F"/>
    <w:rsid w:val="006D77D6"/>
    <w:rsid w:val="00715A88"/>
    <w:rsid w:val="00773776"/>
    <w:rsid w:val="007A4100"/>
    <w:rsid w:val="007D0E1D"/>
    <w:rsid w:val="007D1DC3"/>
    <w:rsid w:val="007D43B5"/>
    <w:rsid w:val="007E113D"/>
    <w:rsid w:val="007E2E44"/>
    <w:rsid w:val="008452D2"/>
    <w:rsid w:val="008606A2"/>
    <w:rsid w:val="008A4CE7"/>
    <w:rsid w:val="008B3B30"/>
    <w:rsid w:val="008C0FE0"/>
    <w:rsid w:val="008C17DE"/>
    <w:rsid w:val="008C3207"/>
    <w:rsid w:val="008C5F0C"/>
    <w:rsid w:val="008D6D62"/>
    <w:rsid w:val="008E3DC7"/>
    <w:rsid w:val="008F6E66"/>
    <w:rsid w:val="0090691D"/>
    <w:rsid w:val="00942B50"/>
    <w:rsid w:val="00961521"/>
    <w:rsid w:val="00975D47"/>
    <w:rsid w:val="009875C4"/>
    <w:rsid w:val="00993440"/>
    <w:rsid w:val="0099649B"/>
    <w:rsid w:val="009B77B2"/>
    <w:rsid w:val="009C3E83"/>
    <w:rsid w:val="009F6795"/>
    <w:rsid w:val="00A250FC"/>
    <w:rsid w:val="00A42370"/>
    <w:rsid w:val="00A55B4B"/>
    <w:rsid w:val="00A60D0C"/>
    <w:rsid w:val="00A66C51"/>
    <w:rsid w:val="00A6724E"/>
    <w:rsid w:val="00A713A1"/>
    <w:rsid w:val="00AB03EE"/>
    <w:rsid w:val="00AB2896"/>
    <w:rsid w:val="00AC13A0"/>
    <w:rsid w:val="00AC76D0"/>
    <w:rsid w:val="00B175FB"/>
    <w:rsid w:val="00B720BA"/>
    <w:rsid w:val="00B745A0"/>
    <w:rsid w:val="00B84D75"/>
    <w:rsid w:val="00B85369"/>
    <w:rsid w:val="00BA3006"/>
    <w:rsid w:val="00BB7C3C"/>
    <w:rsid w:val="00BC43E9"/>
    <w:rsid w:val="00BE5CC3"/>
    <w:rsid w:val="00C128D4"/>
    <w:rsid w:val="00C237D9"/>
    <w:rsid w:val="00C43246"/>
    <w:rsid w:val="00C945C0"/>
    <w:rsid w:val="00CA4AFC"/>
    <w:rsid w:val="00CA527E"/>
    <w:rsid w:val="00CF0ACD"/>
    <w:rsid w:val="00D17632"/>
    <w:rsid w:val="00D224D4"/>
    <w:rsid w:val="00D26062"/>
    <w:rsid w:val="00D732FD"/>
    <w:rsid w:val="00D7707C"/>
    <w:rsid w:val="00D8144C"/>
    <w:rsid w:val="00D85CEE"/>
    <w:rsid w:val="00D976E6"/>
    <w:rsid w:val="00DA56F9"/>
    <w:rsid w:val="00DB4A0C"/>
    <w:rsid w:val="00E2107E"/>
    <w:rsid w:val="00E232B9"/>
    <w:rsid w:val="00E321C2"/>
    <w:rsid w:val="00E4279C"/>
    <w:rsid w:val="00E82E10"/>
    <w:rsid w:val="00E85454"/>
    <w:rsid w:val="00E917F1"/>
    <w:rsid w:val="00EA177C"/>
    <w:rsid w:val="00EB1976"/>
    <w:rsid w:val="00EC44EF"/>
    <w:rsid w:val="00F01EA4"/>
    <w:rsid w:val="00F10748"/>
    <w:rsid w:val="00F2279D"/>
    <w:rsid w:val="00F3315F"/>
    <w:rsid w:val="00F93B27"/>
    <w:rsid w:val="00FA0697"/>
    <w:rsid w:val="00FC1B55"/>
    <w:rsid w:val="00FC3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0DF131"/>
  <w15:docId w15:val="{720873DC-447E-4B24-B044-4FFD4F4B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E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E10"/>
    <w:pPr>
      <w:ind w:left="720"/>
    </w:pPr>
  </w:style>
  <w:style w:type="paragraph" w:styleId="Header">
    <w:name w:val="header"/>
    <w:basedOn w:val="Normal"/>
    <w:link w:val="HeaderChar"/>
    <w:rsid w:val="00E82E10"/>
    <w:pPr>
      <w:tabs>
        <w:tab w:val="center" w:pos="4680"/>
        <w:tab w:val="right" w:pos="9360"/>
      </w:tabs>
    </w:pPr>
  </w:style>
  <w:style w:type="character" w:customStyle="1" w:styleId="HeaderChar">
    <w:name w:val="Header Char"/>
    <w:basedOn w:val="DefaultParagraphFont"/>
    <w:link w:val="Header"/>
    <w:rsid w:val="00E82E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2E10"/>
    <w:pPr>
      <w:tabs>
        <w:tab w:val="center" w:pos="4680"/>
        <w:tab w:val="right" w:pos="9360"/>
      </w:tabs>
    </w:pPr>
  </w:style>
  <w:style w:type="character" w:customStyle="1" w:styleId="FooterChar">
    <w:name w:val="Footer Char"/>
    <w:basedOn w:val="DefaultParagraphFont"/>
    <w:link w:val="Footer"/>
    <w:uiPriority w:val="99"/>
    <w:rsid w:val="00E82E10"/>
    <w:rPr>
      <w:rFonts w:ascii="Times New Roman" w:eastAsia="Times New Roman" w:hAnsi="Times New Roman" w:cs="Times New Roman"/>
      <w:sz w:val="24"/>
      <w:szCs w:val="24"/>
    </w:rPr>
  </w:style>
  <w:style w:type="table" w:styleId="TableGrid">
    <w:name w:val="Table Grid"/>
    <w:basedOn w:val="TableNormal"/>
    <w:uiPriority w:val="39"/>
    <w:rsid w:val="007D1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6F9"/>
    <w:rPr>
      <w:rFonts w:ascii="Tahoma" w:hAnsi="Tahoma" w:cs="Tahoma"/>
      <w:sz w:val="16"/>
      <w:szCs w:val="16"/>
    </w:rPr>
  </w:style>
  <w:style w:type="character" w:customStyle="1" w:styleId="BalloonTextChar">
    <w:name w:val="Balloon Text Char"/>
    <w:basedOn w:val="DefaultParagraphFont"/>
    <w:link w:val="BalloonText"/>
    <w:uiPriority w:val="99"/>
    <w:semiHidden/>
    <w:rsid w:val="00DA56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8079</Words>
  <Characters>46053</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54024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Rudder, J'anne</dc:creator>
  <cp:lastModifiedBy>Diaz - Avalos,  Estela</cp:lastModifiedBy>
  <cp:revision>2</cp:revision>
  <dcterms:created xsi:type="dcterms:W3CDTF">2021-08-13T17:12:00Z</dcterms:created>
  <dcterms:modified xsi:type="dcterms:W3CDTF">2021-08-13T17:12:00Z</dcterms:modified>
</cp:coreProperties>
</file>