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0BCEC096" w:rsidR="002F239E" w:rsidRPr="00B01B98" w:rsidRDefault="002F239E" w:rsidP="00FC41D2">
      <w:pPr>
        <w:tabs>
          <w:tab w:val="left" w:pos="6840"/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>OEA/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caps/>
        </w:rPr>
        <w:t>. W</w:t>
      </w:r>
    </w:p>
    <w:p w14:paraId="22267350" w14:textId="00CDF466" w:rsidR="00FC41D2" w:rsidRPr="00FC41D2" w:rsidRDefault="002F239E" w:rsidP="00FC41D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 w:rsidR="00FC41D2">
        <w:rPr>
          <w:rFonts w:ascii="Times New Roman" w:hAnsi="Times New Roman"/>
          <w:caps/>
        </w:rPr>
        <w:tab/>
      </w:r>
      <w:r>
        <w:rPr>
          <w:rFonts w:ascii="Times New Roman" w:hAnsi="Times New Roman"/>
          <w:caps/>
        </w:rPr>
        <w:t>CIDI/</w:t>
      </w:r>
      <w:r>
        <w:rPr>
          <w:rFonts w:ascii="Times New Roman" w:hAnsi="Times New Roman"/>
        </w:rPr>
        <w:t>doc. 323</w:t>
      </w:r>
      <w:r>
        <w:rPr>
          <w:rFonts w:ascii="Times New Roman" w:hAnsi="Times New Roman"/>
          <w:caps/>
        </w:rPr>
        <w:t>/21</w:t>
      </w:r>
      <w:r w:rsidR="00FC41D2">
        <w:rPr>
          <w:rFonts w:ascii="Times New Roman" w:hAnsi="Times New Roman"/>
          <w:caps/>
        </w:rPr>
        <w:t xml:space="preserve"> </w:t>
      </w:r>
      <w:r w:rsidR="00FC41D2" w:rsidRPr="00FC41D2">
        <w:rPr>
          <w:rFonts w:ascii="Times New Roman" w:hAnsi="Times New Roman"/>
        </w:rPr>
        <w:t>r</w:t>
      </w:r>
      <w:r w:rsidR="00FC41D2">
        <w:rPr>
          <w:rFonts w:ascii="Times New Roman" w:hAnsi="Times New Roman"/>
        </w:rPr>
        <w:t>ev.1</w:t>
      </w:r>
    </w:p>
    <w:p w14:paraId="6B542627" w14:textId="5C0EEE7C" w:rsidR="002F239E" w:rsidRPr="00081F64" w:rsidRDefault="002F239E" w:rsidP="00024AF5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>
        <w:rPr>
          <w:rFonts w:ascii="Times New Roman" w:hAnsi="Times New Roman"/>
        </w:rPr>
        <w:tab/>
        <w:t>2</w:t>
      </w:r>
      <w:r w:rsidR="00FC41D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1E01DD" w:rsidRPr="001E01DD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2021</w:t>
      </w:r>
    </w:p>
    <w:p w14:paraId="78CAC2CB" w14:textId="782E6930" w:rsidR="00E90731" w:rsidRPr="00081F64" w:rsidRDefault="002F239E" w:rsidP="00024AF5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159FECEB" w14:textId="77777777" w:rsidR="00896522" w:rsidRPr="00024AF5" w:rsidRDefault="00896522" w:rsidP="00081F64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</w:p>
    <w:p w14:paraId="3350C0EC" w14:textId="27865811" w:rsidR="005F15BB" w:rsidRDefault="005F15BB" w:rsidP="00024AF5">
      <w:pPr>
        <w:spacing w:after="0" w:line="240" w:lineRule="auto"/>
        <w:jc w:val="center"/>
        <w:rPr>
          <w:rFonts w:ascii="Times New Roman" w:hAnsi="Times New Roman"/>
        </w:rPr>
      </w:pPr>
    </w:p>
    <w:p w14:paraId="67ED40F1" w14:textId="77777777" w:rsidR="00024AF5" w:rsidRPr="00024AF5" w:rsidRDefault="00024AF5" w:rsidP="00024AF5">
      <w:pPr>
        <w:spacing w:after="0" w:line="240" w:lineRule="auto"/>
        <w:jc w:val="center"/>
        <w:rPr>
          <w:rFonts w:ascii="Times New Roman" w:hAnsi="Times New Roman"/>
        </w:rPr>
      </w:pPr>
    </w:p>
    <w:p w14:paraId="3CC3AF2D" w14:textId="7EA7FEA5" w:rsidR="0090535F" w:rsidRPr="00081F64" w:rsidRDefault="0090535F" w:rsidP="009053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</w:t>
      </w:r>
      <w:r w:rsidR="00FC41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AGENDA</w:t>
      </w:r>
    </w:p>
    <w:p w14:paraId="3A243035" w14:textId="77777777" w:rsidR="0090535F" w:rsidRPr="00024AF5" w:rsidRDefault="0090535F" w:rsidP="0090535F">
      <w:pPr>
        <w:spacing w:after="0" w:line="240" w:lineRule="auto"/>
        <w:rPr>
          <w:rFonts w:ascii="Times New Roman" w:hAnsi="Times New Roman"/>
        </w:rPr>
      </w:pPr>
    </w:p>
    <w:p w14:paraId="195A3972" w14:textId="77777777" w:rsidR="0090535F" w:rsidRDefault="0090535F" w:rsidP="0090535F">
      <w:pPr>
        <w:spacing w:after="0" w:line="240" w:lineRule="auto"/>
        <w:jc w:val="center"/>
        <w:rPr>
          <w:rFonts w:ascii="Times New Roman" w:eastAsia="Times New Roman" w:hAnsi="Times New Roman"/>
          <w:bCs/>
          <w:caps/>
        </w:rPr>
      </w:pPr>
      <w:r>
        <w:rPr>
          <w:rFonts w:ascii="Times New Roman" w:hAnsi="Times New Roman"/>
          <w:caps/>
        </w:rPr>
        <w:t xml:space="preserve">Terceira REUNIÃO ESPECIALIZADA DO CIDI de </w:t>
      </w:r>
    </w:p>
    <w:p w14:paraId="355A9C3D" w14:textId="77777777" w:rsidR="0090535F" w:rsidRPr="00081F64" w:rsidRDefault="0090535F" w:rsidP="0090535F">
      <w:pPr>
        <w:spacing w:after="0" w:line="240" w:lineRule="auto"/>
        <w:jc w:val="center"/>
        <w:rPr>
          <w:rFonts w:ascii="Times New Roman" w:eastAsia="Times New Roman" w:hAnsi="Times New Roman"/>
          <w:bCs/>
          <w:caps/>
        </w:rPr>
      </w:pPr>
      <w:r>
        <w:rPr>
          <w:rFonts w:ascii="Times New Roman" w:hAnsi="Times New Roman"/>
          <w:caps/>
        </w:rPr>
        <w:t>ALTAS AUTORIDADES DE COOPERAÇÃO</w:t>
      </w:r>
    </w:p>
    <w:p w14:paraId="7028911F" w14:textId="77777777" w:rsidR="0090535F" w:rsidRPr="00024AF5" w:rsidRDefault="0090535F" w:rsidP="0090535F">
      <w:pPr>
        <w:spacing w:after="0" w:line="240" w:lineRule="auto"/>
        <w:rPr>
          <w:rFonts w:ascii="Times New Roman" w:hAnsi="Times New Roman"/>
          <w:bCs/>
        </w:rPr>
      </w:pPr>
    </w:p>
    <w:p w14:paraId="5F543E9B" w14:textId="0DE0F834" w:rsidR="0090535F" w:rsidRDefault="0090535F" w:rsidP="009053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e 3 de dezembro de 2021</w:t>
      </w:r>
    </w:p>
    <w:p w14:paraId="0A9EAAE6" w14:textId="3D209A0C" w:rsidR="00FC41D2" w:rsidRPr="00081F64" w:rsidRDefault="00FC41D2" w:rsidP="0090535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Virtual</w:t>
      </w:r>
    </w:p>
    <w:p w14:paraId="3DF2B353" w14:textId="77777777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D64A06" w14:textId="3C6603FB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  <w:r w:rsidRPr="00FC41D2">
        <w:rPr>
          <w:rFonts w:ascii="Times New Roman" w:hAnsi="Times New Roman"/>
          <w:bCs/>
        </w:rPr>
        <w:t>“A cooperação e as parcerias como motores para a recuperação socioeconômica</w:t>
      </w:r>
    </w:p>
    <w:p w14:paraId="11E29DFA" w14:textId="77777777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  <w:r w:rsidRPr="00FC41D2">
        <w:rPr>
          <w:rFonts w:ascii="Times New Roman" w:hAnsi="Times New Roman"/>
          <w:bCs/>
        </w:rPr>
        <w:t>pós-covid-19 na região”</w:t>
      </w:r>
    </w:p>
    <w:p w14:paraId="3DD33279" w14:textId="77777777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</w:rPr>
      </w:pPr>
    </w:p>
    <w:p w14:paraId="3B69C2F1" w14:textId="05167496" w:rsidR="00FC41D2" w:rsidRDefault="00FC41D2" w:rsidP="00FC41D2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B13E83">
        <w:rPr>
          <w:rFonts w:ascii="Times New Roman" w:eastAsia="Times New Roman" w:hAnsi="Times New Roman"/>
        </w:rPr>
        <w:t>(</w:t>
      </w:r>
      <w:r w:rsidRPr="00EE3A09">
        <w:rPr>
          <w:rFonts w:ascii="Times New Roman" w:eastAsia="Times New Roman" w:hAnsi="Times New Roman"/>
          <w:sz w:val="24"/>
          <w:szCs w:val="24"/>
        </w:rPr>
        <w:t>Aprovad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EE3A09">
        <w:rPr>
          <w:rFonts w:ascii="Times New Roman" w:eastAsia="Times New Roman" w:hAnsi="Times New Roman"/>
          <w:sz w:val="24"/>
          <w:szCs w:val="24"/>
        </w:rPr>
        <w:t xml:space="preserve"> na sessão ordinária de </w:t>
      </w:r>
      <w:r>
        <w:rPr>
          <w:rFonts w:ascii="Times New Roman" w:eastAsia="Times New Roman" w:hAnsi="Times New Roman"/>
          <w:sz w:val="24"/>
          <w:szCs w:val="24"/>
        </w:rPr>
        <w:t>26 de outubro</w:t>
      </w:r>
      <w:r w:rsidRPr="00CE08B6">
        <w:rPr>
          <w:rFonts w:ascii="Times New Roman" w:eastAsia="Times New Roman" w:hAnsi="Times New Roman"/>
          <w:sz w:val="24"/>
          <w:szCs w:val="24"/>
        </w:rPr>
        <w:t xml:space="preserve"> de 2021</w:t>
      </w:r>
      <w:r w:rsidRPr="00EE3A09">
        <w:rPr>
          <w:rFonts w:ascii="Times New Roman" w:eastAsia="Times New Roman" w:hAnsi="Times New Roman"/>
          <w:sz w:val="24"/>
        </w:rPr>
        <w:t>)</w:t>
      </w:r>
    </w:p>
    <w:p w14:paraId="4717D93E" w14:textId="78F5F696" w:rsidR="00FC41D2" w:rsidRDefault="00FC41D2" w:rsidP="0090535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/>
        </w:rPr>
      </w:pPr>
    </w:p>
    <w:p w14:paraId="0F01DB3F" w14:textId="77777777" w:rsidR="00FC41D2" w:rsidRPr="00FC41D2" w:rsidRDefault="00FC41D2" w:rsidP="0090535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/>
        <w:rPr>
          <w:rFonts w:ascii="Times New Roman" w:hAnsi="Times New Roman"/>
        </w:rPr>
      </w:pPr>
    </w:p>
    <w:p w14:paraId="523462BF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Consideração e formalização de acordos sobre os seguintes temas:</w:t>
      </w:r>
    </w:p>
    <w:p w14:paraId="3EBD29DB" w14:textId="77777777" w:rsidR="0090535F" w:rsidRPr="00081F64" w:rsidRDefault="0090535F" w:rsidP="0090535F">
      <w:pPr>
        <w:pStyle w:val="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right="15" w:hanging="990"/>
        <w:jc w:val="both"/>
        <w:textAlignment w:val="baseline"/>
        <w:rPr>
          <w:sz w:val="22"/>
          <w:szCs w:val="22"/>
        </w:rPr>
      </w:pPr>
    </w:p>
    <w:p w14:paraId="79FB82AF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</w:rPr>
        <w:t>Eleição do Presidente</w:t>
      </w:r>
    </w:p>
    <w:p w14:paraId="40D16265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 w:rsidRPr="00024AF5">
        <w:rPr>
          <w:rStyle w:val="normaltextrun"/>
          <w:sz w:val="22"/>
        </w:rPr>
        <w:t>Agenda final da reunião</w:t>
      </w:r>
    </w:p>
    <w:p w14:paraId="3BB8890B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 w:rsidRPr="00024AF5">
        <w:rPr>
          <w:rStyle w:val="normaltextrun"/>
          <w:sz w:val="22"/>
        </w:rPr>
        <w:t>Duração da reunião</w:t>
      </w:r>
    </w:p>
    <w:p w14:paraId="316E485C" w14:textId="77777777" w:rsidR="0090535F" w:rsidRPr="00081F64" w:rsidRDefault="0090535F" w:rsidP="0090535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260" w:hanging="990"/>
        <w:rPr>
          <w:rFonts w:ascii="Times New Roman" w:hAnsi="Times New Roman"/>
        </w:rPr>
      </w:pPr>
    </w:p>
    <w:p w14:paraId="6EDAB155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bookmarkStart w:id="0" w:name="_Hlk83035058"/>
      <w:r>
        <w:rPr>
          <w:sz w:val="22"/>
        </w:rPr>
        <w:t>Oportunidades de cooperação entre os Estados membros da OEA para a recuperação socioeconômica da região</w:t>
      </w:r>
    </w:p>
    <w:p w14:paraId="56D207C2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</w:p>
    <w:p w14:paraId="52807D4F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Oportunidades de cooperação com os Estados Observadores Permanentes da OEA</w:t>
      </w:r>
    </w:p>
    <w:p w14:paraId="265425C1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360" w:hanging="900"/>
        <w:jc w:val="both"/>
        <w:textAlignment w:val="baseline"/>
        <w:rPr>
          <w:sz w:val="22"/>
          <w:szCs w:val="22"/>
        </w:rPr>
      </w:pPr>
    </w:p>
    <w:p w14:paraId="05391FBA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A construção de alianças de múltiplos atores entre os Estados membros e o setor privado, fundações, o setor acadêmico e outros atores não governamentais e multilaterais relevantes para ajudar no processo de recuperação</w:t>
      </w:r>
    </w:p>
    <w:p w14:paraId="7B82E866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360" w:hanging="900"/>
        <w:jc w:val="both"/>
        <w:textAlignment w:val="baseline"/>
        <w:rPr>
          <w:sz w:val="22"/>
          <w:szCs w:val="22"/>
        </w:rPr>
      </w:pPr>
    </w:p>
    <w:p w14:paraId="681A9C58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Determinação do país-sede da Quarta Reunião Especializada do CIDI de Altas Autoridades de Cooperação</w:t>
      </w:r>
    </w:p>
    <w:p w14:paraId="5FECCF95" w14:textId="77777777" w:rsidR="0090535F" w:rsidRPr="00081F64" w:rsidRDefault="0090535F" w:rsidP="0090535F">
      <w:pPr>
        <w:pStyle w:val="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1350" w:hanging="990"/>
        <w:jc w:val="both"/>
        <w:textAlignment w:val="baseline"/>
        <w:rPr>
          <w:sz w:val="22"/>
          <w:szCs w:val="22"/>
        </w:rPr>
      </w:pPr>
    </w:p>
    <w:p w14:paraId="1AE46B63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Outros assuntos</w:t>
      </w:r>
    </w:p>
    <w:p w14:paraId="47F869CA" w14:textId="77777777" w:rsidR="0090535F" w:rsidRPr="00081F64" w:rsidRDefault="0090535F" w:rsidP="0090535F">
      <w:pPr>
        <w:pStyle w:val="paragraph"/>
        <w:tabs>
          <w:tab w:val="left" w:pos="21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1FFF4666" w14:textId="4EC3FF11" w:rsidR="0090535F" w:rsidRPr="00081F64" w:rsidRDefault="0090535F" w:rsidP="0090535F">
      <w:pPr>
        <w:spacing w:after="0" w:line="240" w:lineRule="auto"/>
        <w:ind w:left="360"/>
        <w:rPr>
          <w:rFonts w:ascii="Times New Roman" w:hAnsi="Times New Roman"/>
        </w:rPr>
      </w:pPr>
    </w:p>
    <w:p w14:paraId="4BF4B434" w14:textId="68F3E0F3" w:rsidR="00753755" w:rsidRPr="00024AF5" w:rsidRDefault="00150C05" w:rsidP="00081F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9B233" wp14:editId="6243E3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A65A58" w14:textId="28E5E5F3" w:rsidR="00150C05" w:rsidRPr="00150C05" w:rsidRDefault="00150C0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CIDRP03411P01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B2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5A65A58" w14:textId="28E5E5F3" w:rsidR="00150C05" w:rsidRPr="00150C05" w:rsidRDefault="00150C0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CIDRP03411P01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3755" w:rsidRPr="00024AF5" w:rsidSect="00D34378">
      <w:headerReference w:type="default" r:id="rId10"/>
      <w:headerReference w:type="first" r:id="rId11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36B" w14:textId="77777777" w:rsidR="00135BCC" w:rsidRDefault="00135BCC" w:rsidP="00032516">
      <w:pPr>
        <w:spacing w:after="0" w:line="240" w:lineRule="auto"/>
      </w:pPr>
      <w:r>
        <w:separator/>
      </w:r>
    </w:p>
  </w:endnote>
  <w:endnote w:type="continuationSeparator" w:id="0">
    <w:p w14:paraId="48CD1AD1" w14:textId="77777777" w:rsidR="00135BCC" w:rsidRDefault="00135BCC" w:rsidP="00032516">
      <w:pPr>
        <w:spacing w:after="0" w:line="240" w:lineRule="auto"/>
      </w:pPr>
      <w:r>
        <w:continuationSeparator/>
      </w:r>
    </w:p>
  </w:endnote>
  <w:endnote w:type="continuationNotice" w:id="1">
    <w:p w14:paraId="049F50B2" w14:textId="77777777" w:rsidR="00135BCC" w:rsidRDefault="00135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3E61" w14:textId="77777777" w:rsidR="00135BCC" w:rsidRDefault="00135BCC" w:rsidP="00032516">
      <w:pPr>
        <w:spacing w:after="0" w:line="240" w:lineRule="auto"/>
      </w:pPr>
      <w:r>
        <w:separator/>
      </w:r>
    </w:p>
  </w:footnote>
  <w:footnote w:type="continuationSeparator" w:id="0">
    <w:p w14:paraId="171D5F41" w14:textId="77777777" w:rsidR="00135BCC" w:rsidRDefault="00135BCC" w:rsidP="00032516">
      <w:pPr>
        <w:spacing w:after="0" w:line="240" w:lineRule="auto"/>
      </w:pPr>
      <w:r>
        <w:continuationSeparator/>
      </w:r>
    </w:p>
  </w:footnote>
  <w:footnote w:type="continuationNotice" w:id="1">
    <w:p w14:paraId="7EB3F691" w14:textId="77777777" w:rsidR="00135BCC" w:rsidRDefault="00135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</w:rPr>
      <w:t>- 5 -</w:t>
    </w:r>
    <w:r w:rsidRPr="00235C4A">
      <w:rPr>
        <w:rFonts w:ascii="Times New Roman" w:hAnsi="Times New Roman"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2517EF31" w:rsidR="00F570CF" w:rsidRDefault="0090535F" w:rsidP="002F239E">
    <w:pPr>
      <w:pStyle w:val="Header"/>
      <w:ind w:left="81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5E00FADC">
          <wp:simplePos x="0" y="0"/>
          <wp:positionH relativeFrom="column">
            <wp:posOffset>-219355</wp:posOffset>
          </wp:positionH>
          <wp:positionV relativeFrom="paragraph">
            <wp:posOffset>-17455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B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593A331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F2BF3"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entative="1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51FCB07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22"/>
  </w:num>
  <w:num w:numId="7">
    <w:abstractNumId w:val="32"/>
  </w:num>
  <w:num w:numId="8">
    <w:abstractNumId w:val="30"/>
  </w:num>
  <w:num w:numId="9">
    <w:abstractNumId w:val="34"/>
  </w:num>
  <w:num w:numId="10">
    <w:abstractNumId w:val="13"/>
  </w:num>
  <w:num w:numId="11">
    <w:abstractNumId w:val="19"/>
  </w:num>
  <w:num w:numId="12">
    <w:abstractNumId w:val="24"/>
  </w:num>
  <w:num w:numId="13">
    <w:abstractNumId w:val="16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27"/>
  </w:num>
  <w:num w:numId="27">
    <w:abstractNumId w:val="6"/>
  </w:num>
  <w:num w:numId="28">
    <w:abstractNumId w:val="17"/>
  </w:num>
  <w:num w:numId="29">
    <w:abstractNumId w:val="2"/>
  </w:num>
  <w:num w:numId="30">
    <w:abstractNumId w:val="29"/>
  </w:num>
  <w:num w:numId="31">
    <w:abstractNumId w:val="3"/>
  </w:num>
  <w:num w:numId="32">
    <w:abstractNumId w:val="33"/>
  </w:num>
  <w:num w:numId="33">
    <w:abstractNumId w:val="0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24AF5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E352B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CC"/>
    <w:rsid w:val="00140678"/>
    <w:rsid w:val="00150A80"/>
    <w:rsid w:val="00150C05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01DD"/>
    <w:rsid w:val="001E21FE"/>
    <w:rsid w:val="001E422E"/>
    <w:rsid w:val="001E75C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F12F8"/>
    <w:rsid w:val="00903742"/>
    <w:rsid w:val="0090535F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57FD6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C41D2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pt-B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2021-10-27T01:47:00Z</dcterms:created>
  <dcterms:modified xsi:type="dcterms:W3CDTF">2021-10-27T01:48:00Z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