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FF1D" w14:textId="36D3A4FB" w:rsidR="000D7422" w:rsidRPr="00723A55" w:rsidRDefault="005F21E5" w:rsidP="002628A8">
      <w:pPr>
        <w:tabs>
          <w:tab w:val="left" w:pos="6750"/>
        </w:tabs>
        <w:ind w:right="-1109"/>
        <w:rPr>
          <w:b/>
          <w:bCs/>
          <w:sz w:val="22"/>
          <w:lang w:val="pt-BR"/>
        </w:rPr>
      </w:pPr>
      <w:r w:rsidRPr="00A7396C">
        <w:rPr>
          <w:b/>
          <w:bCs/>
          <w:sz w:val="22"/>
          <w:lang w:val="pt-BR"/>
        </w:rPr>
        <w:tab/>
      </w:r>
      <w:r w:rsidRPr="00723A55">
        <w:rPr>
          <w:sz w:val="22"/>
          <w:lang w:val="pt-BR"/>
        </w:rPr>
        <w:t>OEA/Ser.</w:t>
      </w:r>
      <w:r w:rsidR="00A7396C" w:rsidRPr="00723A55">
        <w:rPr>
          <w:sz w:val="22"/>
          <w:lang w:val="pt-BR"/>
        </w:rPr>
        <w:t>W</w:t>
      </w:r>
    </w:p>
    <w:p w14:paraId="6ACF876A" w14:textId="1D1E4819" w:rsidR="00D75795" w:rsidRPr="00723A55" w:rsidRDefault="005F21E5" w:rsidP="002628A8">
      <w:pPr>
        <w:tabs>
          <w:tab w:val="left" w:pos="6750"/>
        </w:tabs>
        <w:ind w:right="-1559"/>
        <w:rPr>
          <w:sz w:val="22"/>
          <w:szCs w:val="22"/>
          <w:lang w:val="pt-BR"/>
        </w:rPr>
      </w:pPr>
      <w:r w:rsidRPr="00723A55">
        <w:rPr>
          <w:b/>
          <w:bCs/>
          <w:sz w:val="22"/>
          <w:lang w:val="pt-BR"/>
        </w:rPr>
        <w:tab/>
      </w:r>
      <w:r w:rsidRPr="00723A55">
        <w:rPr>
          <w:sz w:val="22"/>
          <w:lang w:val="pt-BR"/>
        </w:rPr>
        <w:t>CIDI/</w:t>
      </w:r>
      <w:r w:rsidR="00A7396C" w:rsidRPr="00723A55">
        <w:rPr>
          <w:sz w:val="22"/>
          <w:lang w:val="pt-BR"/>
        </w:rPr>
        <w:t>doc.</w:t>
      </w:r>
      <w:r w:rsidR="008F3E6E" w:rsidRPr="00723A55">
        <w:rPr>
          <w:sz w:val="22"/>
          <w:lang w:val="pt-BR"/>
        </w:rPr>
        <w:t xml:space="preserve"> </w:t>
      </w:r>
      <w:r w:rsidR="001C12B0" w:rsidRPr="00723A55">
        <w:rPr>
          <w:sz w:val="22"/>
          <w:lang w:val="pt-BR"/>
        </w:rPr>
        <w:t>326</w:t>
      </w:r>
      <w:r w:rsidRPr="00723A55">
        <w:rPr>
          <w:sz w:val="22"/>
          <w:lang w:val="pt-BR"/>
        </w:rPr>
        <w:t>/21</w:t>
      </w:r>
      <w:r w:rsidR="0019699D" w:rsidRPr="00723A55">
        <w:rPr>
          <w:sz w:val="22"/>
          <w:lang w:val="pt-BR"/>
        </w:rPr>
        <w:t xml:space="preserve"> </w:t>
      </w:r>
      <w:r w:rsidR="00E51739">
        <w:rPr>
          <w:sz w:val="22"/>
          <w:lang w:val="pt-BR"/>
        </w:rPr>
        <w:t>rev.1</w:t>
      </w:r>
      <w:r w:rsidR="00D75795" w:rsidRPr="00723A55">
        <w:rPr>
          <w:sz w:val="22"/>
          <w:lang w:val="pt-BR"/>
        </w:rPr>
        <w:tab/>
      </w:r>
    </w:p>
    <w:p w14:paraId="368AD5F5" w14:textId="73F4AEA4" w:rsidR="00D75795" w:rsidRPr="00A7396C" w:rsidRDefault="00A7396C" w:rsidP="002628A8">
      <w:pPr>
        <w:tabs>
          <w:tab w:val="left" w:pos="6750"/>
        </w:tabs>
        <w:ind w:right="-1019"/>
        <w:rPr>
          <w:sz w:val="22"/>
          <w:szCs w:val="22"/>
          <w:lang w:val="es-US"/>
        </w:rPr>
      </w:pPr>
      <w:r w:rsidRPr="00723A55">
        <w:rPr>
          <w:sz w:val="22"/>
          <w:szCs w:val="22"/>
          <w:lang w:val="pt-BR"/>
        </w:rPr>
        <w:tab/>
      </w:r>
      <w:r w:rsidR="004A4D9C" w:rsidRPr="0078731A">
        <w:rPr>
          <w:sz w:val="22"/>
          <w:szCs w:val="22"/>
          <w:lang w:val="es-US"/>
        </w:rPr>
        <w:t>2</w:t>
      </w:r>
      <w:r w:rsidR="00E51739">
        <w:rPr>
          <w:sz w:val="22"/>
          <w:szCs w:val="22"/>
          <w:lang w:val="es-US"/>
        </w:rPr>
        <w:t xml:space="preserve">6 octubre </w:t>
      </w:r>
      <w:r w:rsidR="00C81071">
        <w:rPr>
          <w:sz w:val="22"/>
          <w:szCs w:val="22"/>
          <w:lang w:val="es-US"/>
        </w:rPr>
        <w:t>2021</w:t>
      </w:r>
    </w:p>
    <w:p w14:paraId="16072F2D" w14:textId="1D35A07D" w:rsidR="00D75795" w:rsidRPr="00D75795" w:rsidRDefault="00E9611D" w:rsidP="002628A8">
      <w:pPr>
        <w:tabs>
          <w:tab w:val="left" w:pos="6750"/>
        </w:tabs>
        <w:rPr>
          <w:sz w:val="22"/>
          <w:szCs w:val="22"/>
        </w:rPr>
      </w:pPr>
      <w:r>
        <w:rPr>
          <w:sz w:val="22"/>
        </w:rPr>
        <w:tab/>
        <w:t xml:space="preserve">Original: </w:t>
      </w:r>
      <w:r w:rsidR="00CF5C80">
        <w:rPr>
          <w:sz w:val="22"/>
        </w:rPr>
        <w:t>español</w:t>
      </w:r>
      <w:r w:rsidR="00776B20">
        <w:rPr>
          <w:sz w:val="22"/>
        </w:rPr>
        <w:tab/>
      </w:r>
    </w:p>
    <w:p w14:paraId="00928AB9" w14:textId="039722B0" w:rsidR="00D75795" w:rsidRDefault="00D75795" w:rsidP="002628A8">
      <w:pPr>
        <w:pBdr>
          <w:bottom w:val="single" w:sz="12" w:space="1" w:color="auto"/>
        </w:pBdr>
        <w:tabs>
          <w:tab w:val="left" w:pos="6840"/>
        </w:tabs>
        <w:ind w:right="-29"/>
        <w:rPr>
          <w:sz w:val="22"/>
        </w:rPr>
      </w:pPr>
    </w:p>
    <w:p w14:paraId="6E7F3D9E" w14:textId="77777777" w:rsidR="00F44581" w:rsidRDefault="00F44581" w:rsidP="002628A8">
      <w:pPr>
        <w:jc w:val="center"/>
        <w:rPr>
          <w:sz w:val="22"/>
          <w:szCs w:val="22"/>
          <w:lang w:val="es-CR"/>
        </w:rPr>
      </w:pPr>
    </w:p>
    <w:p w14:paraId="2522047D" w14:textId="67BDE044" w:rsidR="001C12B0" w:rsidRPr="003D16FC" w:rsidRDefault="002628A8" w:rsidP="002628A8">
      <w:pPr>
        <w:jc w:val="center"/>
        <w:rPr>
          <w:sz w:val="22"/>
          <w:szCs w:val="22"/>
          <w:lang w:val="es-CR"/>
        </w:rPr>
      </w:pPr>
      <w:r>
        <w:rPr>
          <w:sz w:val="22"/>
          <w:szCs w:val="22"/>
          <w:lang w:val="es-CR"/>
        </w:rPr>
        <w:t xml:space="preserve">PROYECTO DE </w:t>
      </w:r>
      <w:r w:rsidR="00F44581" w:rsidRPr="003D16FC">
        <w:rPr>
          <w:sz w:val="22"/>
          <w:szCs w:val="22"/>
          <w:lang w:val="es-CR"/>
        </w:rPr>
        <w:t>TEMARIO ANOTADO</w:t>
      </w:r>
    </w:p>
    <w:p w14:paraId="0B9D02B4" w14:textId="77777777" w:rsidR="003D16FC" w:rsidRPr="003D16FC" w:rsidRDefault="003D16FC" w:rsidP="002628A8">
      <w:pPr>
        <w:jc w:val="center"/>
        <w:rPr>
          <w:color w:val="212121"/>
          <w:sz w:val="22"/>
          <w:szCs w:val="22"/>
          <w:shd w:val="clear" w:color="auto" w:fill="FFFFFF"/>
          <w:lang w:val="es-CO"/>
        </w:rPr>
      </w:pPr>
    </w:p>
    <w:p w14:paraId="7864FBAF" w14:textId="06B5E84A" w:rsidR="001C12B0" w:rsidRPr="003D16FC" w:rsidRDefault="004A4D9C" w:rsidP="002628A8">
      <w:pPr>
        <w:jc w:val="center"/>
        <w:rPr>
          <w:color w:val="212121"/>
          <w:sz w:val="22"/>
          <w:szCs w:val="22"/>
          <w:shd w:val="clear" w:color="auto" w:fill="FFFFFF"/>
          <w:lang w:val="es-CO"/>
        </w:rPr>
      </w:pPr>
      <w:r w:rsidRPr="003D16FC">
        <w:rPr>
          <w:color w:val="212121"/>
          <w:sz w:val="22"/>
          <w:szCs w:val="22"/>
          <w:shd w:val="clear" w:color="auto" w:fill="FFFFFF"/>
          <w:lang w:val="es-CO"/>
        </w:rPr>
        <w:t>NOVENA REUNIÓN ORDINARIA DE LA</w:t>
      </w:r>
    </w:p>
    <w:p w14:paraId="03A13129" w14:textId="03C4547A" w:rsidR="004A4D9C" w:rsidRPr="003D16FC" w:rsidRDefault="004A4D9C" w:rsidP="002628A8">
      <w:pPr>
        <w:jc w:val="center"/>
        <w:rPr>
          <w:color w:val="212121"/>
          <w:sz w:val="22"/>
          <w:szCs w:val="22"/>
          <w:shd w:val="clear" w:color="auto" w:fill="FFFFFF"/>
          <w:lang w:val="es-CO"/>
        </w:rPr>
      </w:pPr>
      <w:r w:rsidRPr="003D16FC">
        <w:rPr>
          <w:color w:val="212121"/>
          <w:sz w:val="22"/>
          <w:szCs w:val="22"/>
          <w:shd w:val="clear" w:color="auto" w:fill="FFFFFF"/>
          <w:lang w:val="es-CO"/>
        </w:rPr>
        <w:t xml:space="preserve">COMISIÓN INTERAMERICANA DE EDUCACIÓN </w:t>
      </w:r>
    </w:p>
    <w:p w14:paraId="59E7B661" w14:textId="67F36FCA" w:rsidR="004A4D9C" w:rsidRDefault="004A4D9C" w:rsidP="002628A8">
      <w:pPr>
        <w:jc w:val="center"/>
        <w:rPr>
          <w:color w:val="212121"/>
          <w:sz w:val="20"/>
          <w:szCs w:val="20"/>
          <w:shd w:val="clear" w:color="auto" w:fill="FFFFFF"/>
          <w:lang w:val="es-CO"/>
        </w:rPr>
      </w:pPr>
    </w:p>
    <w:p w14:paraId="13A00C26" w14:textId="77777777" w:rsidR="00F44581" w:rsidRPr="00F44581" w:rsidRDefault="00F44581" w:rsidP="002628A8">
      <w:pPr>
        <w:jc w:val="center"/>
        <w:rPr>
          <w:sz w:val="22"/>
          <w:szCs w:val="22"/>
          <w:lang w:val="es-US"/>
        </w:rPr>
      </w:pPr>
      <w:r w:rsidRPr="00F44581">
        <w:rPr>
          <w:sz w:val="22"/>
          <w:szCs w:val="22"/>
          <w:lang w:val="es-US"/>
        </w:rPr>
        <w:t>“Hacia la construcción de un nuevo Pacto Educativo Hemisférico en contextos de cambio”</w:t>
      </w:r>
    </w:p>
    <w:p w14:paraId="7DFEBFB4" w14:textId="77F4291A" w:rsidR="00F44581" w:rsidRDefault="00F44581" w:rsidP="002628A8">
      <w:pPr>
        <w:jc w:val="center"/>
        <w:rPr>
          <w:sz w:val="22"/>
          <w:szCs w:val="22"/>
          <w:lang w:val="es-US"/>
        </w:rPr>
      </w:pPr>
    </w:p>
    <w:p w14:paraId="6CD9C39A" w14:textId="261CC6DC" w:rsidR="00E51739" w:rsidRDefault="00E51739" w:rsidP="002628A8">
      <w:pPr>
        <w:jc w:val="center"/>
        <w:rPr>
          <w:sz w:val="22"/>
          <w:szCs w:val="22"/>
          <w:lang w:val="es-US"/>
        </w:rPr>
      </w:pPr>
      <w:r>
        <w:rPr>
          <w:sz w:val="22"/>
          <w:szCs w:val="22"/>
          <w:lang w:val="es-US"/>
        </w:rPr>
        <w:t>(Aprobado durante la reunión ordinaria celebrada el 26 de octubre de 2021</w:t>
      </w:r>
      <w:r w:rsidR="002628A8">
        <w:rPr>
          <w:sz w:val="22"/>
          <w:szCs w:val="22"/>
          <w:lang w:val="es-US"/>
        </w:rPr>
        <w:t>)</w:t>
      </w:r>
    </w:p>
    <w:p w14:paraId="72B0CE2E" w14:textId="051BC663" w:rsidR="001C12B0" w:rsidRDefault="001C12B0" w:rsidP="002628A8">
      <w:pPr>
        <w:jc w:val="center"/>
        <w:rPr>
          <w:sz w:val="22"/>
          <w:szCs w:val="22"/>
          <w:lang w:val="es-US"/>
        </w:rPr>
      </w:pPr>
    </w:p>
    <w:p w14:paraId="15966FF3" w14:textId="475188A8" w:rsidR="00E51739" w:rsidRDefault="00E51739" w:rsidP="002628A8">
      <w:pPr>
        <w:jc w:val="center"/>
        <w:rPr>
          <w:sz w:val="22"/>
          <w:szCs w:val="22"/>
          <w:lang w:val="es-US"/>
        </w:rPr>
      </w:pPr>
    </w:p>
    <w:p w14:paraId="1DF46488" w14:textId="77777777" w:rsidR="00E51739" w:rsidRPr="00E51739" w:rsidRDefault="00E51739" w:rsidP="002628A8">
      <w:pPr>
        <w:jc w:val="center"/>
        <w:rPr>
          <w:sz w:val="22"/>
          <w:szCs w:val="22"/>
          <w:lang w:val="es-US"/>
        </w:rPr>
      </w:pPr>
    </w:p>
    <w:p w14:paraId="310D5B8C" w14:textId="77777777" w:rsidR="00F44581" w:rsidRPr="00F44581" w:rsidRDefault="00F44581" w:rsidP="002628A8">
      <w:pPr>
        <w:numPr>
          <w:ilvl w:val="0"/>
          <w:numId w:val="25"/>
        </w:numPr>
        <w:ind w:hanging="720"/>
        <w:contextualSpacing/>
        <w:jc w:val="both"/>
        <w:rPr>
          <w:rFonts w:eastAsia="Malgun Gothic"/>
          <w:b/>
          <w:sz w:val="22"/>
          <w:szCs w:val="22"/>
          <w:lang w:val="es-CO"/>
        </w:rPr>
      </w:pPr>
      <w:r w:rsidRPr="00F44581">
        <w:rPr>
          <w:rFonts w:eastAsia="Malgun Gothic"/>
          <w:b/>
          <w:sz w:val="22"/>
          <w:szCs w:val="22"/>
          <w:lang w:val="es-CO"/>
        </w:rPr>
        <w:t>ANTECEDENTES</w:t>
      </w:r>
    </w:p>
    <w:p w14:paraId="687DC6C6" w14:textId="77777777" w:rsidR="00F44581" w:rsidRPr="00F44581" w:rsidRDefault="00F44581" w:rsidP="002628A8">
      <w:pPr>
        <w:tabs>
          <w:tab w:val="left" w:pos="1440"/>
          <w:tab w:val="left" w:pos="2160"/>
        </w:tabs>
        <w:ind w:firstLine="720"/>
        <w:contextualSpacing/>
        <w:jc w:val="both"/>
        <w:rPr>
          <w:rFonts w:eastAsia="Malgun Gothic"/>
          <w:b/>
          <w:sz w:val="22"/>
          <w:szCs w:val="22"/>
          <w:lang w:val="es-CO"/>
        </w:rPr>
      </w:pPr>
    </w:p>
    <w:p w14:paraId="3C3F8D9F" w14:textId="77777777" w:rsidR="00F44581" w:rsidRPr="00F44581" w:rsidRDefault="00F44581" w:rsidP="002628A8">
      <w:pPr>
        <w:tabs>
          <w:tab w:val="left" w:pos="1440"/>
          <w:tab w:val="left" w:pos="2160"/>
        </w:tabs>
        <w:ind w:firstLine="720"/>
        <w:jc w:val="both"/>
        <w:rPr>
          <w:sz w:val="22"/>
          <w:szCs w:val="22"/>
          <w:lang w:val="es-CO"/>
        </w:rPr>
      </w:pPr>
      <w:r w:rsidRPr="00F44581">
        <w:rPr>
          <w:sz w:val="22"/>
          <w:szCs w:val="22"/>
          <w:lang w:val="es-CO"/>
        </w:rPr>
        <w:t>En los diferentes diálogos sobre políticas públicas y acciones programáticas que se desarrollan en el marco de las Actividades del Plan de Trabajo 2019-2022 de la Comisión Interamericana de Educación (CIE) y en medio de un panorama de crisis sanitaria mundial que implicó el cierre masivo de centros educativos, las autoridades educativas han manifestado el compromiso de que la educación es un derecho y como tal un compromiso ineludible del Estado.</w:t>
      </w:r>
    </w:p>
    <w:p w14:paraId="6D28D19E" w14:textId="77777777" w:rsidR="00F44581" w:rsidRPr="00F44581" w:rsidRDefault="00F44581" w:rsidP="002628A8">
      <w:pPr>
        <w:tabs>
          <w:tab w:val="left" w:pos="1440"/>
          <w:tab w:val="left" w:pos="2160"/>
        </w:tabs>
        <w:ind w:firstLine="720"/>
        <w:jc w:val="both"/>
        <w:rPr>
          <w:sz w:val="22"/>
          <w:szCs w:val="22"/>
          <w:lang w:val="es-CO"/>
        </w:rPr>
      </w:pPr>
    </w:p>
    <w:p w14:paraId="51FE97D4" w14:textId="77777777" w:rsidR="00F44581" w:rsidRPr="00F44581" w:rsidRDefault="00F44581" w:rsidP="002628A8">
      <w:pPr>
        <w:tabs>
          <w:tab w:val="left" w:pos="1440"/>
          <w:tab w:val="left" w:pos="2160"/>
        </w:tabs>
        <w:ind w:firstLine="720"/>
        <w:jc w:val="both"/>
        <w:rPr>
          <w:sz w:val="22"/>
          <w:szCs w:val="22"/>
          <w:lang w:val="es-CO"/>
        </w:rPr>
      </w:pPr>
      <w:r w:rsidRPr="00F44581">
        <w:rPr>
          <w:sz w:val="22"/>
          <w:szCs w:val="22"/>
          <w:lang w:val="es-CO"/>
        </w:rPr>
        <w:t xml:space="preserve">En este sentido, a través de la CIE los Ministerios de Educación han enfocado su trabajo en generar un marco de acción que permita garantizar la continuidad de la educación en los diferentes niveles del sistema educativo, promoviendo la atención de aquellos más afectados </w:t>
      </w:r>
      <w:r w:rsidRPr="00F44581">
        <w:rPr>
          <w:color w:val="000000"/>
          <w:sz w:val="22"/>
          <w:szCs w:val="22"/>
          <w:shd w:val="clear" w:color="auto" w:fill="FFFFFF"/>
          <w:lang w:val="es-CO"/>
        </w:rPr>
        <w:t>por tales circunstancias, a partir de una estrategia basada en el análisis y realidad de las acciones tomadas por los Gobiernos de la región,</w:t>
      </w:r>
      <w:r w:rsidRPr="00F44581">
        <w:rPr>
          <w:sz w:val="22"/>
          <w:szCs w:val="22"/>
          <w:lang w:val="es-CO"/>
        </w:rPr>
        <w:t xml:space="preserve"> incorporando</w:t>
      </w:r>
      <w:r w:rsidRPr="00F44581">
        <w:rPr>
          <w:rFonts w:eastAsia="MS Mincho"/>
          <w:sz w:val="22"/>
          <w:szCs w:val="22"/>
          <w:lang w:val="es-US"/>
        </w:rPr>
        <w:t xml:space="preserve"> </w:t>
      </w:r>
      <w:r w:rsidRPr="00F44581">
        <w:rPr>
          <w:sz w:val="22"/>
          <w:szCs w:val="22"/>
          <w:lang w:val="es-CO"/>
        </w:rPr>
        <w:t xml:space="preserve">múltiples perspectivas para avanzar en la generación de consensos hemisféricos que impulsen la colaboración regional, hacia la construcción de un nuevo pacto educativo hemisférico en contextos de cambio que sea capaz de repensar y </w:t>
      </w:r>
      <w:proofErr w:type="spellStart"/>
      <w:r w:rsidRPr="00F44581">
        <w:rPr>
          <w:sz w:val="22"/>
          <w:szCs w:val="22"/>
          <w:lang w:val="es-CO"/>
        </w:rPr>
        <w:t>reimaginar</w:t>
      </w:r>
      <w:proofErr w:type="spellEnd"/>
      <w:r w:rsidRPr="00F44581">
        <w:rPr>
          <w:sz w:val="22"/>
          <w:szCs w:val="22"/>
          <w:lang w:val="es-CO"/>
        </w:rPr>
        <w:t xml:space="preserve"> el futuro de los sistemas educativos con el fin de garantizar su equidad y resiliencia.  </w:t>
      </w:r>
    </w:p>
    <w:p w14:paraId="2F137C8E" w14:textId="254DD439" w:rsidR="00F44581" w:rsidRDefault="00F44581" w:rsidP="002628A8">
      <w:pPr>
        <w:tabs>
          <w:tab w:val="left" w:pos="1440"/>
          <w:tab w:val="left" w:pos="2160"/>
        </w:tabs>
        <w:contextualSpacing/>
        <w:jc w:val="both"/>
        <w:rPr>
          <w:b/>
          <w:sz w:val="22"/>
          <w:szCs w:val="22"/>
          <w:lang w:val="es-CO"/>
        </w:rPr>
      </w:pPr>
    </w:p>
    <w:p w14:paraId="199E1394" w14:textId="77777777" w:rsidR="00F44581" w:rsidRPr="00F44581" w:rsidRDefault="00F44581" w:rsidP="002628A8">
      <w:pPr>
        <w:numPr>
          <w:ilvl w:val="0"/>
          <w:numId w:val="25"/>
        </w:numPr>
        <w:tabs>
          <w:tab w:val="left" w:pos="720"/>
          <w:tab w:val="left" w:pos="2160"/>
        </w:tabs>
        <w:ind w:hanging="720"/>
        <w:contextualSpacing/>
        <w:jc w:val="both"/>
        <w:rPr>
          <w:b/>
          <w:sz w:val="22"/>
          <w:szCs w:val="22"/>
          <w:lang w:val="es-CO"/>
        </w:rPr>
      </w:pPr>
      <w:r w:rsidRPr="00F44581">
        <w:rPr>
          <w:b/>
          <w:sz w:val="22"/>
          <w:szCs w:val="22"/>
          <w:lang w:val="es-CO"/>
        </w:rPr>
        <w:t>TEMAS PROPUESTOS</w:t>
      </w:r>
    </w:p>
    <w:p w14:paraId="6061CCE3" w14:textId="77777777" w:rsidR="00F44581" w:rsidRPr="00F44581" w:rsidRDefault="00F44581" w:rsidP="002628A8">
      <w:pPr>
        <w:tabs>
          <w:tab w:val="left" w:pos="1440"/>
          <w:tab w:val="left" w:pos="2160"/>
        </w:tabs>
        <w:ind w:left="720"/>
        <w:contextualSpacing/>
        <w:jc w:val="both"/>
        <w:rPr>
          <w:b/>
          <w:sz w:val="22"/>
          <w:szCs w:val="22"/>
          <w:lang w:val="es-CO"/>
        </w:rPr>
      </w:pPr>
    </w:p>
    <w:p w14:paraId="22FDFC2E" w14:textId="50C46126" w:rsidR="00F44581" w:rsidRPr="00F44581" w:rsidRDefault="00F44581" w:rsidP="002628A8">
      <w:pPr>
        <w:numPr>
          <w:ilvl w:val="0"/>
          <w:numId w:val="23"/>
        </w:numPr>
        <w:tabs>
          <w:tab w:val="left" w:pos="1440"/>
          <w:tab w:val="left" w:pos="2160"/>
        </w:tabs>
        <w:ind w:left="0" w:firstLine="720"/>
        <w:contextualSpacing/>
        <w:jc w:val="both"/>
        <w:rPr>
          <w:rFonts w:eastAsia="Malgun Gothic"/>
          <w:sz w:val="22"/>
          <w:szCs w:val="22"/>
          <w:lang w:eastAsia="ko-KR"/>
        </w:rPr>
      </w:pPr>
      <w:r w:rsidRPr="00F44581">
        <w:rPr>
          <w:rFonts w:eastAsia="Malgun Gothic"/>
          <w:b/>
          <w:bCs/>
          <w:sz w:val="22"/>
          <w:szCs w:val="22"/>
          <w:lang w:eastAsia="ko-KR"/>
        </w:rPr>
        <w:t>Aprobación del proyecto de temario de la reunión</w:t>
      </w:r>
      <w:r w:rsidRPr="00F44581">
        <w:rPr>
          <w:rFonts w:eastAsia="Malgun Gothic"/>
          <w:sz w:val="22"/>
          <w:szCs w:val="22"/>
          <w:lang w:eastAsia="ko-KR"/>
        </w:rPr>
        <w:t xml:space="preserve"> en concordancia con el artículo 24 del Reglamento de las Comisiones Interamericanas del Consejo Interamericano para el Desarrollo Integral.</w:t>
      </w:r>
    </w:p>
    <w:p w14:paraId="5545D184" w14:textId="77777777" w:rsidR="001C12B0" w:rsidRPr="00F44581" w:rsidRDefault="001C12B0" w:rsidP="002628A8">
      <w:pPr>
        <w:tabs>
          <w:tab w:val="left" w:pos="1440"/>
          <w:tab w:val="left" w:pos="2160"/>
        </w:tabs>
        <w:ind w:firstLine="720"/>
        <w:contextualSpacing/>
        <w:jc w:val="both"/>
        <w:rPr>
          <w:rFonts w:eastAsia="Malgun Gothic"/>
          <w:sz w:val="22"/>
          <w:szCs w:val="22"/>
          <w:lang w:eastAsia="ko-KR"/>
        </w:rPr>
      </w:pPr>
    </w:p>
    <w:p w14:paraId="5C1C0162" w14:textId="77777777" w:rsidR="00F44581" w:rsidRPr="00F44581" w:rsidRDefault="00F44581" w:rsidP="002628A8">
      <w:pPr>
        <w:numPr>
          <w:ilvl w:val="0"/>
          <w:numId w:val="23"/>
        </w:numPr>
        <w:tabs>
          <w:tab w:val="left" w:pos="1440"/>
          <w:tab w:val="left" w:pos="2160"/>
        </w:tabs>
        <w:ind w:left="0" w:firstLine="720"/>
        <w:contextualSpacing/>
        <w:jc w:val="both"/>
        <w:rPr>
          <w:rFonts w:eastAsia="Malgun Gothic"/>
          <w:sz w:val="22"/>
          <w:szCs w:val="22"/>
          <w:lang w:eastAsia="ko-KR"/>
        </w:rPr>
      </w:pPr>
      <w:r w:rsidRPr="00F44581">
        <w:rPr>
          <w:rFonts w:eastAsia="Malgun Gothic"/>
          <w:b/>
          <w:bCs/>
          <w:sz w:val="22"/>
          <w:szCs w:val="22"/>
          <w:lang w:eastAsia="ko-KR"/>
        </w:rPr>
        <w:t>Aprobación del proyecto de calendario</w:t>
      </w:r>
      <w:r w:rsidRPr="00F44581">
        <w:rPr>
          <w:rFonts w:eastAsia="Malgun Gothic"/>
          <w:sz w:val="22"/>
          <w:szCs w:val="22"/>
          <w:lang w:eastAsia="ko-KR"/>
        </w:rPr>
        <w:t xml:space="preserve">. </w:t>
      </w:r>
    </w:p>
    <w:p w14:paraId="396DE432" w14:textId="6D35CD2F" w:rsidR="00F44581" w:rsidRDefault="00F44581" w:rsidP="002628A8">
      <w:pPr>
        <w:tabs>
          <w:tab w:val="left" w:pos="1440"/>
          <w:tab w:val="left" w:pos="2160"/>
        </w:tabs>
        <w:ind w:firstLine="720"/>
        <w:contextualSpacing/>
        <w:rPr>
          <w:rFonts w:eastAsia="Malgun Gothic"/>
          <w:sz w:val="22"/>
          <w:szCs w:val="22"/>
          <w:lang w:eastAsia="ko-KR"/>
        </w:rPr>
      </w:pPr>
    </w:p>
    <w:p w14:paraId="474E7FE0" w14:textId="77777777" w:rsidR="00F44581" w:rsidRPr="00F44581" w:rsidRDefault="00F44581" w:rsidP="002628A8">
      <w:pPr>
        <w:numPr>
          <w:ilvl w:val="0"/>
          <w:numId w:val="23"/>
        </w:numPr>
        <w:tabs>
          <w:tab w:val="left" w:pos="1440"/>
          <w:tab w:val="left" w:pos="2160"/>
        </w:tabs>
        <w:ind w:left="1440" w:hanging="720"/>
        <w:contextualSpacing/>
        <w:jc w:val="both"/>
        <w:rPr>
          <w:rFonts w:eastAsia="Malgun Gothic"/>
          <w:b/>
          <w:sz w:val="22"/>
          <w:szCs w:val="22"/>
          <w:lang w:eastAsia="ko-KR"/>
        </w:rPr>
      </w:pPr>
      <w:r w:rsidRPr="00F44581">
        <w:rPr>
          <w:b/>
          <w:sz w:val="22"/>
          <w:szCs w:val="22"/>
          <w:lang w:val="es-CO"/>
        </w:rPr>
        <w:t xml:space="preserve">Reporte de progreso en la implementación de los mandatos de la X Reunión Interamericana de </w:t>
      </w:r>
      <w:proofErr w:type="gramStart"/>
      <w:r w:rsidRPr="00F44581">
        <w:rPr>
          <w:b/>
          <w:sz w:val="22"/>
          <w:szCs w:val="22"/>
          <w:lang w:val="es-CO"/>
        </w:rPr>
        <w:t>Ministros</w:t>
      </w:r>
      <w:proofErr w:type="gramEnd"/>
      <w:r w:rsidRPr="00F44581">
        <w:rPr>
          <w:b/>
          <w:sz w:val="22"/>
          <w:szCs w:val="22"/>
          <w:lang w:val="es-CO"/>
        </w:rPr>
        <w:t xml:space="preserve"> de Educación.</w:t>
      </w:r>
    </w:p>
    <w:p w14:paraId="298C9DBA" w14:textId="77777777" w:rsidR="00F44581" w:rsidRPr="00F44581" w:rsidRDefault="00F44581" w:rsidP="002628A8">
      <w:pPr>
        <w:tabs>
          <w:tab w:val="left" w:pos="1440"/>
          <w:tab w:val="left" w:pos="2160"/>
        </w:tabs>
        <w:ind w:left="720"/>
        <w:contextualSpacing/>
        <w:jc w:val="both"/>
        <w:rPr>
          <w:rFonts w:eastAsia="Malgun Gothic"/>
          <w:b/>
          <w:sz w:val="22"/>
          <w:szCs w:val="22"/>
          <w:lang w:eastAsia="ko-KR"/>
        </w:rPr>
      </w:pPr>
    </w:p>
    <w:p w14:paraId="128BAAE3" w14:textId="77777777" w:rsidR="00F44581" w:rsidRPr="00F44581" w:rsidRDefault="00F44581" w:rsidP="002628A8">
      <w:pPr>
        <w:tabs>
          <w:tab w:val="left" w:pos="1440"/>
          <w:tab w:val="left" w:pos="2160"/>
        </w:tabs>
        <w:ind w:firstLine="720"/>
        <w:contextualSpacing/>
        <w:jc w:val="both"/>
        <w:rPr>
          <w:rFonts w:eastAsia="Malgun Gothic"/>
          <w:sz w:val="22"/>
          <w:szCs w:val="22"/>
          <w:lang w:val="es-CO"/>
        </w:rPr>
      </w:pPr>
      <w:r w:rsidRPr="00F44581">
        <w:rPr>
          <w:rFonts w:eastAsia="Malgun Gothic"/>
          <w:sz w:val="22"/>
          <w:szCs w:val="22"/>
          <w:lang w:val="es-CO"/>
        </w:rPr>
        <w:lastRenderedPageBreak/>
        <w:t xml:space="preserve">De acuerdo con el artículo 9 del </w:t>
      </w:r>
      <w:r w:rsidRPr="00F44581">
        <w:rPr>
          <w:rFonts w:eastAsia="Malgun Gothic"/>
          <w:sz w:val="22"/>
          <w:szCs w:val="22"/>
          <w:lang w:eastAsia="ko-KR"/>
        </w:rPr>
        <w:t>Reglamento de las Comisiones Interamericanas del Consejo Interamericano para el Desarrollo Integral</w:t>
      </w:r>
      <w:r w:rsidRPr="00F44581">
        <w:rPr>
          <w:rFonts w:eastAsia="Malgun Gothic"/>
          <w:sz w:val="22"/>
          <w:szCs w:val="22"/>
          <w:lang w:val="es-CO"/>
        </w:rPr>
        <w:t xml:space="preserve">, la Secretaría General de la Organización de los Estados Americanos apoyará a las autoridades de las Comisiones en el ejercicio de sus funciones y prestará servicios de secretaría, de acuerdo con los recursos asignados en el programa-presupuesto de la Organización y otros recursos. </w:t>
      </w:r>
    </w:p>
    <w:p w14:paraId="1327706E" w14:textId="77777777" w:rsidR="00F44581" w:rsidRPr="00F44581" w:rsidRDefault="00F44581" w:rsidP="002628A8">
      <w:pPr>
        <w:tabs>
          <w:tab w:val="left" w:pos="1440"/>
          <w:tab w:val="left" w:pos="2160"/>
        </w:tabs>
        <w:ind w:firstLine="720"/>
        <w:contextualSpacing/>
        <w:jc w:val="both"/>
        <w:rPr>
          <w:rFonts w:eastAsia="Malgun Gothic"/>
          <w:sz w:val="22"/>
          <w:szCs w:val="22"/>
          <w:lang w:val="es-CO"/>
        </w:rPr>
      </w:pPr>
    </w:p>
    <w:p w14:paraId="6B10D4A5" w14:textId="30ECCA07" w:rsidR="00F44581" w:rsidRPr="00F44581" w:rsidRDefault="00F44581" w:rsidP="002628A8">
      <w:pPr>
        <w:tabs>
          <w:tab w:val="left" w:pos="1440"/>
          <w:tab w:val="left" w:pos="2160"/>
        </w:tabs>
        <w:ind w:firstLine="720"/>
        <w:contextualSpacing/>
        <w:jc w:val="both"/>
        <w:rPr>
          <w:rFonts w:eastAsia="Malgun Gothic"/>
          <w:sz w:val="22"/>
          <w:szCs w:val="22"/>
          <w:lang w:val="es-CO"/>
        </w:rPr>
      </w:pPr>
      <w:r w:rsidRPr="00F44581">
        <w:rPr>
          <w:rFonts w:eastAsia="Malgun Gothic"/>
          <w:sz w:val="22"/>
          <w:szCs w:val="22"/>
          <w:lang w:val="es-CO"/>
        </w:rPr>
        <w:t>En este sentido, la Secretaría Técnica de la CIE</w:t>
      </w:r>
      <w:r w:rsidRPr="00F44581" w:rsidDel="00C94746">
        <w:rPr>
          <w:rFonts w:eastAsia="Malgun Gothic"/>
          <w:sz w:val="22"/>
          <w:szCs w:val="22"/>
          <w:lang w:val="es-CO"/>
        </w:rPr>
        <w:t xml:space="preserve"> </w:t>
      </w:r>
      <w:r w:rsidRPr="00F44581">
        <w:rPr>
          <w:rFonts w:eastAsia="Malgun Gothic"/>
          <w:sz w:val="22"/>
          <w:szCs w:val="22"/>
          <w:lang w:val="es-CO"/>
        </w:rPr>
        <w:t>presentará un reporte del progreso en la implementación de los mandatos ministeriales</w:t>
      </w:r>
    </w:p>
    <w:p w14:paraId="7FBAAFFB" w14:textId="77777777" w:rsidR="00F44581" w:rsidRPr="00F44581" w:rsidRDefault="00F44581" w:rsidP="002628A8">
      <w:pPr>
        <w:tabs>
          <w:tab w:val="left" w:pos="1440"/>
          <w:tab w:val="left" w:pos="2160"/>
        </w:tabs>
        <w:ind w:firstLine="720"/>
        <w:rPr>
          <w:bCs/>
          <w:sz w:val="22"/>
          <w:szCs w:val="22"/>
          <w:lang w:val="es-CO"/>
        </w:rPr>
      </w:pPr>
    </w:p>
    <w:p w14:paraId="37FE1BB5" w14:textId="50FCE6C8" w:rsidR="00F44581" w:rsidRPr="00F44581" w:rsidRDefault="00387775" w:rsidP="002628A8">
      <w:pPr>
        <w:numPr>
          <w:ilvl w:val="0"/>
          <w:numId w:val="23"/>
        </w:numPr>
        <w:tabs>
          <w:tab w:val="left" w:pos="1440"/>
          <w:tab w:val="left" w:pos="2160"/>
        </w:tabs>
        <w:ind w:left="1440" w:hanging="720"/>
        <w:contextualSpacing/>
        <w:jc w:val="both"/>
        <w:rPr>
          <w:b/>
          <w:sz w:val="22"/>
          <w:szCs w:val="22"/>
          <w:lang w:val="es-CO"/>
        </w:rPr>
      </w:pPr>
      <w:r>
        <w:rPr>
          <w:b/>
          <w:sz w:val="22"/>
          <w:szCs w:val="22"/>
          <w:lang w:val="es-CO"/>
        </w:rPr>
        <w:t>Continuidad educativa en el contexto del COVID</w:t>
      </w:r>
      <w:r w:rsidR="00141684">
        <w:rPr>
          <w:b/>
          <w:sz w:val="22"/>
          <w:szCs w:val="22"/>
          <w:lang w:val="es-CO"/>
        </w:rPr>
        <w:t>-19</w:t>
      </w:r>
      <w:r w:rsidR="00F44581" w:rsidRPr="00F44581">
        <w:rPr>
          <w:b/>
          <w:sz w:val="22"/>
          <w:szCs w:val="22"/>
          <w:lang w:val="es-CO"/>
        </w:rPr>
        <w:t xml:space="preserve">: </w:t>
      </w:r>
      <w:r w:rsidR="00D658D2">
        <w:rPr>
          <w:b/>
          <w:sz w:val="22"/>
          <w:szCs w:val="22"/>
          <w:lang w:val="es-CO"/>
        </w:rPr>
        <w:t>el rol de</w:t>
      </w:r>
      <w:r w:rsidR="00F44581" w:rsidRPr="00F44581">
        <w:rPr>
          <w:b/>
          <w:sz w:val="22"/>
          <w:szCs w:val="22"/>
          <w:lang w:val="es-CO"/>
        </w:rPr>
        <w:t xml:space="preserve"> las </w:t>
      </w:r>
      <w:proofErr w:type="spellStart"/>
      <w:r w:rsidR="00F44581" w:rsidRPr="00F44581">
        <w:rPr>
          <w:b/>
          <w:sz w:val="22"/>
          <w:szCs w:val="22"/>
          <w:lang w:val="es-CO"/>
        </w:rPr>
        <w:t>TIC´s</w:t>
      </w:r>
      <w:proofErr w:type="spellEnd"/>
      <w:r w:rsidR="00F44581" w:rsidRPr="00F44581">
        <w:rPr>
          <w:b/>
          <w:sz w:val="22"/>
          <w:szCs w:val="22"/>
          <w:lang w:val="es-CO"/>
        </w:rPr>
        <w:t xml:space="preserve"> </w:t>
      </w:r>
      <w:r w:rsidR="00D658D2">
        <w:rPr>
          <w:b/>
          <w:sz w:val="22"/>
          <w:szCs w:val="22"/>
          <w:lang w:val="es-CO"/>
        </w:rPr>
        <w:t xml:space="preserve">y la conectividad </w:t>
      </w:r>
      <w:r w:rsidR="00F44581" w:rsidRPr="00F44581">
        <w:rPr>
          <w:b/>
          <w:sz w:val="22"/>
          <w:szCs w:val="22"/>
          <w:lang w:val="es-CO"/>
        </w:rPr>
        <w:t>como elementos esenciales para garantizar el derecho a la educación con especial atención en las poblaciones vulnerables de los países en desarrollo.</w:t>
      </w:r>
    </w:p>
    <w:p w14:paraId="2A79BB68" w14:textId="77777777" w:rsidR="00F44581" w:rsidRPr="00F44581" w:rsidRDefault="00F44581" w:rsidP="002628A8">
      <w:pPr>
        <w:tabs>
          <w:tab w:val="left" w:pos="1440"/>
          <w:tab w:val="left" w:pos="2160"/>
        </w:tabs>
        <w:ind w:left="720"/>
        <w:contextualSpacing/>
        <w:jc w:val="both"/>
        <w:rPr>
          <w:b/>
          <w:sz w:val="22"/>
          <w:szCs w:val="22"/>
          <w:lang w:val="es-CO"/>
        </w:rPr>
      </w:pPr>
    </w:p>
    <w:p w14:paraId="1B1757A8" w14:textId="77777777" w:rsidR="00F44581" w:rsidRPr="00F44581" w:rsidRDefault="00F44581" w:rsidP="002628A8">
      <w:pPr>
        <w:tabs>
          <w:tab w:val="left" w:pos="1440"/>
          <w:tab w:val="left" w:pos="2160"/>
        </w:tabs>
        <w:ind w:firstLine="720"/>
        <w:contextualSpacing/>
        <w:jc w:val="both"/>
        <w:rPr>
          <w:bCs/>
          <w:sz w:val="22"/>
          <w:szCs w:val="22"/>
          <w:lang w:val="es-CO"/>
        </w:rPr>
      </w:pPr>
      <w:r w:rsidRPr="00F44581">
        <w:rPr>
          <w:bCs/>
          <w:sz w:val="22"/>
          <w:szCs w:val="22"/>
          <w:lang w:val="es-CO"/>
        </w:rPr>
        <w:t xml:space="preserve">A través de la adopción de la Agenda Educativa Interamericana, e impulsada por el Plan de Acción de Antigua y Barbuda de 2019, los </w:t>
      </w:r>
      <w:proofErr w:type="gramStart"/>
      <w:r w:rsidRPr="00F44581">
        <w:rPr>
          <w:bCs/>
          <w:sz w:val="22"/>
          <w:szCs w:val="22"/>
          <w:lang w:val="es-CO"/>
        </w:rPr>
        <w:t>Ministros</w:t>
      </w:r>
      <w:proofErr w:type="gramEnd"/>
      <w:r w:rsidRPr="00F44581">
        <w:rPr>
          <w:bCs/>
          <w:sz w:val="22"/>
          <w:szCs w:val="22"/>
          <w:lang w:val="es-CO"/>
        </w:rPr>
        <w:t xml:space="preserve"> de Educación resolvieron fomentar los diálogos políticos y la cooperación entre los ministerios en áreas prioritarias de acción que guiarán la cooperación interamericana en materia educativa en función de tres pilares:  educación de calidad, inclusiva y con equidad; fortalecimiento de la profesión docente, y atención integral a la primera infancia. </w:t>
      </w:r>
    </w:p>
    <w:p w14:paraId="698A7775" w14:textId="77777777" w:rsidR="00F44581" w:rsidRPr="00F44581" w:rsidRDefault="00F44581" w:rsidP="002628A8">
      <w:pPr>
        <w:tabs>
          <w:tab w:val="left" w:pos="1440"/>
          <w:tab w:val="left" w:pos="2160"/>
        </w:tabs>
        <w:ind w:firstLine="720"/>
        <w:contextualSpacing/>
        <w:jc w:val="both"/>
        <w:rPr>
          <w:bCs/>
          <w:sz w:val="22"/>
          <w:szCs w:val="22"/>
          <w:lang w:val="es-CO"/>
        </w:rPr>
      </w:pPr>
    </w:p>
    <w:p w14:paraId="0015C2E3" w14:textId="65022069" w:rsidR="00F44581" w:rsidRPr="00F44581" w:rsidRDefault="00F44581" w:rsidP="002628A8">
      <w:pPr>
        <w:tabs>
          <w:tab w:val="left" w:pos="1440"/>
          <w:tab w:val="left" w:pos="2160"/>
        </w:tabs>
        <w:ind w:firstLine="720"/>
        <w:contextualSpacing/>
        <w:jc w:val="both"/>
        <w:rPr>
          <w:bCs/>
          <w:sz w:val="22"/>
          <w:szCs w:val="22"/>
          <w:lang w:val="es-CO"/>
        </w:rPr>
      </w:pPr>
      <w:r w:rsidRPr="00F44581">
        <w:rPr>
          <w:bCs/>
          <w:sz w:val="22"/>
          <w:szCs w:val="22"/>
          <w:lang w:val="es-CO"/>
        </w:rPr>
        <w:t>Considerando el contexto actual, la CIE propuso</w:t>
      </w:r>
      <w:r w:rsidR="004C29D6">
        <w:rPr>
          <w:bCs/>
          <w:sz w:val="22"/>
          <w:szCs w:val="22"/>
          <w:lang w:val="es-CO"/>
        </w:rPr>
        <w:t xml:space="preserve"> la</w:t>
      </w:r>
      <w:r w:rsidRPr="00F44581">
        <w:rPr>
          <w:bCs/>
          <w:sz w:val="22"/>
          <w:szCs w:val="22"/>
          <w:lang w:val="es-CO"/>
        </w:rPr>
        <w:t xml:space="preserve"> “</w:t>
      </w:r>
      <w:r w:rsidR="004C29D6">
        <w:rPr>
          <w:bCs/>
          <w:sz w:val="22"/>
          <w:szCs w:val="22"/>
          <w:lang w:val="es-CO"/>
        </w:rPr>
        <w:t>Continuidad educativa en el contexto del COVID-19</w:t>
      </w:r>
      <w:r w:rsidRPr="00F44581">
        <w:rPr>
          <w:bCs/>
          <w:sz w:val="22"/>
          <w:szCs w:val="22"/>
          <w:lang w:val="es-CO"/>
        </w:rPr>
        <w:t xml:space="preserve">: </w:t>
      </w:r>
      <w:r w:rsidR="003B671C">
        <w:rPr>
          <w:bCs/>
          <w:sz w:val="22"/>
          <w:szCs w:val="22"/>
          <w:lang w:val="es-CO"/>
        </w:rPr>
        <w:t>el rol de</w:t>
      </w:r>
      <w:r w:rsidRPr="00F44581">
        <w:rPr>
          <w:bCs/>
          <w:sz w:val="22"/>
          <w:szCs w:val="22"/>
          <w:lang w:val="es-CO"/>
        </w:rPr>
        <w:t xml:space="preserve"> las </w:t>
      </w:r>
      <w:proofErr w:type="spellStart"/>
      <w:r w:rsidRPr="00F44581">
        <w:rPr>
          <w:bCs/>
          <w:sz w:val="22"/>
          <w:szCs w:val="22"/>
          <w:lang w:val="es-CO"/>
        </w:rPr>
        <w:t>TIC´s</w:t>
      </w:r>
      <w:proofErr w:type="spellEnd"/>
      <w:r w:rsidRPr="00F44581">
        <w:rPr>
          <w:bCs/>
          <w:sz w:val="22"/>
          <w:szCs w:val="22"/>
          <w:lang w:val="es-CO"/>
        </w:rPr>
        <w:t xml:space="preserve"> </w:t>
      </w:r>
      <w:r w:rsidR="003B671C">
        <w:rPr>
          <w:bCs/>
          <w:sz w:val="22"/>
          <w:szCs w:val="22"/>
          <w:lang w:val="es-CO"/>
        </w:rPr>
        <w:t xml:space="preserve">y la conectividad </w:t>
      </w:r>
      <w:r w:rsidRPr="00F44581">
        <w:rPr>
          <w:bCs/>
          <w:sz w:val="22"/>
          <w:szCs w:val="22"/>
          <w:lang w:val="es-CO"/>
        </w:rPr>
        <w:t>como elementos esenciales para garantizar el derecho a la educación con especial atención en las poblaciones vulnerables de los países en desarrollo” como tema central para la discusión.</w:t>
      </w:r>
    </w:p>
    <w:p w14:paraId="5DE229D9" w14:textId="77777777" w:rsidR="00F44581" w:rsidRPr="00F44581" w:rsidRDefault="00F44581" w:rsidP="002628A8">
      <w:pPr>
        <w:tabs>
          <w:tab w:val="left" w:pos="1440"/>
          <w:tab w:val="left" w:pos="2160"/>
        </w:tabs>
        <w:ind w:firstLine="720"/>
        <w:contextualSpacing/>
        <w:jc w:val="both"/>
        <w:rPr>
          <w:sz w:val="22"/>
          <w:szCs w:val="22"/>
          <w:lang w:val="es-CO"/>
        </w:rPr>
      </w:pPr>
    </w:p>
    <w:p w14:paraId="486C4A31" w14:textId="77777777" w:rsidR="00F44581" w:rsidRPr="00F44581" w:rsidRDefault="00F44581" w:rsidP="002628A8">
      <w:pPr>
        <w:numPr>
          <w:ilvl w:val="0"/>
          <w:numId w:val="23"/>
        </w:numPr>
        <w:tabs>
          <w:tab w:val="left" w:pos="1440"/>
          <w:tab w:val="left" w:pos="2160"/>
        </w:tabs>
        <w:ind w:left="0" w:firstLine="720"/>
        <w:contextualSpacing/>
        <w:jc w:val="both"/>
        <w:rPr>
          <w:rFonts w:eastAsia="Malgun Gothic"/>
          <w:b/>
          <w:bCs/>
          <w:sz w:val="22"/>
          <w:szCs w:val="22"/>
          <w:lang w:eastAsia="ko-KR"/>
        </w:rPr>
      </w:pPr>
      <w:r w:rsidRPr="00F44581">
        <w:rPr>
          <w:b/>
          <w:bCs/>
          <w:sz w:val="22"/>
          <w:szCs w:val="22"/>
          <w:lang w:val="es-CO"/>
        </w:rPr>
        <w:t>Aportes para la construcción de la segunda fase de la Agenda Educativa Interamericana-AEI (2022-2027) y metodología para su definición.</w:t>
      </w:r>
    </w:p>
    <w:p w14:paraId="7D67118A" w14:textId="77777777" w:rsidR="00F44581" w:rsidRPr="00F44581" w:rsidRDefault="00F44581" w:rsidP="002628A8">
      <w:pPr>
        <w:tabs>
          <w:tab w:val="left" w:pos="1440"/>
          <w:tab w:val="left" w:pos="2160"/>
        </w:tabs>
        <w:ind w:left="720"/>
        <w:contextualSpacing/>
        <w:jc w:val="both"/>
        <w:rPr>
          <w:rFonts w:eastAsia="Malgun Gothic"/>
          <w:b/>
          <w:bCs/>
          <w:sz w:val="22"/>
          <w:szCs w:val="22"/>
          <w:lang w:eastAsia="ko-KR"/>
        </w:rPr>
      </w:pPr>
    </w:p>
    <w:p w14:paraId="7618CFDE" w14:textId="77777777" w:rsidR="00F44581" w:rsidRPr="00F44581" w:rsidRDefault="00F44581" w:rsidP="002628A8">
      <w:pPr>
        <w:tabs>
          <w:tab w:val="left" w:pos="1440"/>
          <w:tab w:val="left" w:pos="2160"/>
        </w:tabs>
        <w:ind w:firstLine="720"/>
        <w:contextualSpacing/>
        <w:jc w:val="both"/>
        <w:rPr>
          <w:rFonts w:eastAsia="Malgun Gothic"/>
          <w:sz w:val="22"/>
          <w:szCs w:val="22"/>
          <w:lang w:val="es-CO"/>
        </w:rPr>
      </w:pPr>
      <w:r w:rsidRPr="00F44581">
        <w:rPr>
          <w:sz w:val="22"/>
          <w:szCs w:val="22"/>
          <w:lang w:val="es-CO"/>
        </w:rPr>
        <w:t>La adopción de una Agenda Educativa Interamericana refleja un proceso histórico de construcción de consensos entre los Ministerios de Educación de los Estados Miembros de la OEA para abordar los más importantes desafíos que afectan el desarrollo educativo de la región e impactan en el derecho de los niños, adolescentes y adultos para acceder a una educación de calidad, inclusiva y con equidad a lo largo de toda su vida. Aún más, la Agenda Educativa Interamericana está convenida por los Estados Miembros de la OEA como una herramienta para dar seguimiento y lograr la implementación del</w:t>
      </w:r>
      <w:r w:rsidRPr="00F44581">
        <w:rPr>
          <w:rFonts w:eastAsia="Malgun Gothic"/>
          <w:sz w:val="22"/>
          <w:szCs w:val="22"/>
          <w:lang w:val="es-CO"/>
        </w:rPr>
        <w:t xml:space="preserve"> </w:t>
      </w:r>
      <w:hyperlink r:id="rId8" w:history="1">
        <w:r w:rsidRPr="00F44581">
          <w:rPr>
            <w:rFonts w:eastAsia="Malgun Gothic"/>
            <w:sz w:val="22"/>
            <w:szCs w:val="22"/>
            <w:lang w:val="es-CO"/>
          </w:rPr>
          <w:t>Objetivo 4</w:t>
        </w:r>
      </w:hyperlink>
      <w:r w:rsidRPr="00F44581">
        <w:rPr>
          <w:rFonts w:eastAsia="Malgun Gothic"/>
          <w:sz w:val="22"/>
          <w:szCs w:val="22"/>
          <w:lang w:val="es-CO"/>
        </w:rPr>
        <w:t xml:space="preserve"> de la </w:t>
      </w:r>
      <w:hyperlink r:id="rId9" w:history="1">
        <w:r w:rsidRPr="00F44581">
          <w:rPr>
            <w:rFonts w:eastAsia="Malgun Gothic"/>
            <w:sz w:val="22"/>
            <w:szCs w:val="22"/>
            <w:lang w:val="es-CO"/>
          </w:rPr>
          <w:t>Agenda 2030 de Desarrollo Sostenible.</w:t>
        </w:r>
      </w:hyperlink>
      <w:r w:rsidRPr="00F44581">
        <w:rPr>
          <w:rFonts w:eastAsia="Malgun Gothic"/>
          <w:sz w:val="22"/>
          <w:szCs w:val="22"/>
          <w:lang w:val="es-CO"/>
        </w:rPr>
        <w:t xml:space="preserve"> El proceso que culminó en la adopción de la Agenda Educativa Interamericana durante la IX</w:t>
      </w:r>
      <w:hyperlink r:id="rId10" w:history="1">
        <w:r w:rsidRPr="00F44581">
          <w:rPr>
            <w:rFonts w:eastAsia="Malgun Gothic"/>
            <w:sz w:val="22"/>
            <w:szCs w:val="22"/>
            <w:lang w:val="es-CO"/>
          </w:rPr>
          <w:t xml:space="preserve"> Reunión Interamericana de Ministros de Educación</w:t>
        </w:r>
      </w:hyperlink>
      <w:r w:rsidRPr="00F44581">
        <w:rPr>
          <w:rFonts w:eastAsia="Malgun Gothic"/>
          <w:sz w:val="22"/>
          <w:szCs w:val="22"/>
          <w:lang w:val="es-CO"/>
        </w:rPr>
        <w:t xml:space="preserve"> que se llevó a cabo en Las Bahamas en febrero de 2017, marcó el inicio de un proceso de construcción de consensos regionales que hasta hoy continúa a través de sus autoridades sectoriales.</w:t>
      </w:r>
    </w:p>
    <w:p w14:paraId="30EB77DA" w14:textId="77777777" w:rsidR="00F44581" w:rsidRPr="00F44581" w:rsidRDefault="00F44581" w:rsidP="002628A8">
      <w:pPr>
        <w:tabs>
          <w:tab w:val="left" w:pos="1440"/>
          <w:tab w:val="left" w:pos="2160"/>
        </w:tabs>
        <w:ind w:firstLine="720"/>
        <w:contextualSpacing/>
        <w:jc w:val="both"/>
        <w:rPr>
          <w:rFonts w:eastAsia="Malgun Gothic"/>
          <w:sz w:val="22"/>
          <w:szCs w:val="22"/>
          <w:lang w:val="es-CO"/>
        </w:rPr>
      </w:pPr>
    </w:p>
    <w:p w14:paraId="5461B7F1" w14:textId="77777777" w:rsidR="00F44581" w:rsidRPr="00F44581" w:rsidRDefault="00F44581" w:rsidP="002628A8">
      <w:pPr>
        <w:tabs>
          <w:tab w:val="left" w:pos="1440"/>
          <w:tab w:val="left" w:pos="2160"/>
        </w:tabs>
        <w:ind w:firstLine="720"/>
        <w:contextualSpacing/>
        <w:jc w:val="both"/>
        <w:rPr>
          <w:rFonts w:eastAsia="Malgun Gothic"/>
          <w:sz w:val="22"/>
          <w:szCs w:val="22"/>
          <w:lang w:val="es-CO"/>
        </w:rPr>
      </w:pPr>
      <w:r w:rsidRPr="00F44581">
        <w:rPr>
          <w:rFonts w:eastAsia="Malgun Gothic"/>
          <w:sz w:val="22"/>
          <w:szCs w:val="22"/>
          <w:lang w:val="es-CO"/>
        </w:rPr>
        <w:t>Esta segunda fase consta de 3 elementos básicos:</w:t>
      </w:r>
    </w:p>
    <w:p w14:paraId="43DA78E9" w14:textId="77777777" w:rsidR="00F44581" w:rsidRPr="00F44581" w:rsidRDefault="00F44581" w:rsidP="002628A8">
      <w:pPr>
        <w:tabs>
          <w:tab w:val="left" w:pos="1440"/>
          <w:tab w:val="left" w:pos="2160"/>
        </w:tabs>
        <w:ind w:left="1440" w:hanging="720"/>
        <w:contextualSpacing/>
        <w:jc w:val="both"/>
        <w:rPr>
          <w:rFonts w:eastAsia="Malgun Gothic"/>
          <w:sz w:val="22"/>
          <w:szCs w:val="22"/>
          <w:lang w:val="es-CO"/>
        </w:rPr>
      </w:pPr>
    </w:p>
    <w:p w14:paraId="2F5D4CC0" w14:textId="77777777" w:rsidR="00F44581" w:rsidRPr="00F44581" w:rsidRDefault="00F44581" w:rsidP="002628A8">
      <w:pPr>
        <w:numPr>
          <w:ilvl w:val="0"/>
          <w:numId w:val="24"/>
        </w:numPr>
        <w:tabs>
          <w:tab w:val="left" w:pos="1440"/>
          <w:tab w:val="left" w:pos="2160"/>
        </w:tabs>
        <w:ind w:hanging="720"/>
        <w:contextualSpacing/>
        <w:jc w:val="both"/>
        <w:rPr>
          <w:bCs/>
          <w:sz w:val="22"/>
          <w:szCs w:val="22"/>
          <w:lang w:val="es-CR"/>
        </w:rPr>
      </w:pPr>
      <w:r w:rsidRPr="00F44581">
        <w:rPr>
          <w:bCs/>
          <w:sz w:val="22"/>
          <w:szCs w:val="22"/>
          <w:lang w:val="es-CR"/>
        </w:rPr>
        <w:t>Presentación de las conclusiones, lecciones aprendidas y propuestas para la acción, emanadas de los diálogos sobre políticas públicas y actividades desarrolladas durante 2020 y 2021, que permitan la construcción de una propuesta hemisférica basada en las experiencias locales.</w:t>
      </w:r>
    </w:p>
    <w:p w14:paraId="29562DE1" w14:textId="77777777" w:rsidR="00F44581" w:rsidRPr="00F44581" w:rsidRDefault="00F44581" w:rsidP="002628A8">
      <w:pPr>
        <w:numPr>
          <w:ilvl w:val="0"/>
          <w:numId w:val="24"/>
        </w:numPr>
        <w:tabs>
          <w:tab w:val="left" w:pos="1440"/>
          <w:tab w:val="left" w:pos="2160"/>
        </w:tabs>
        <w:ind w:hanging="720"/>
        <w:contextualSpacing/>
        <w:jc w:val="both"/>
        <w:rPr>
          <w:bCs/>
          <w:sz w:val="22"/>
          <w:szCs w:val="22"/>
          <w:lang w:val="es-CR"/>
        </w:rPr>
      </w:pPr>
      <w:r w:rsidRPr="00F44581">
        <w:rPr>
          <w:bCs/>
          <w:sz w:val="22"/>
          <w:szCs w:val="22"/>
          <w:lang w:val="es-CR"/>
        </w:rPr>
        <w:t>Construcción de una propuesta hemisférica con enfoque multisectorial: Aportes desde los sectores de Trabajo y Salud.</w:t>
      </w:r>
    </w:p>
    <w:p w14:paraId="6A2AD931" w14:textId="1DA25202" w:rsidR="00F44581" w:rsidRPr="00F44581" w:rsidRDefault="00F44581" w:rsidP="002628A8">
      <w:pPr>
        <w:numPr>
          <w:ilvl w:val="0"/>
          <w:numId w:val="24"/>
        </w:numPr>
        <w:tabs>
          <w:tab w:val="left" w:pos="1440"/>
          <w:tab w:val="left" w:pos="2160"/>
        </w:tabs>
        <w:ind w:hanging="720"/>
        <w:contextualSpacing/>
        <w:jc w:val="both"/>
        <w:rPr>
          <w:bCs/>
          <w:sz w:val="22"/>
          <w:szCs w:val="22"/>
          <w:lang w:val="es-CR"/>
        </w:rPr>
      </w:pPr>
      <w:r w:rsidRPr="00F44581">
        <w:rPr>
          <w:bCs/>
          <w:sz w:val="22"/>
          <w:szCs w:val="22"/>
          <w:lang w:val="es-CR"/>
        </w:rPr>
        <w:lastRenderedPageBreak/>
        <w:t xml:space="preserve">Propuesta de una metodología para la </w:t>
      </w:r>
      <w:r w:rsidR="0071242B">
        <w:rPr>
          <w:bCs/>
          <w:sz w:val="22"/>
          <w:szCs w:val="22"/>
          <w:lang w:val="es-CR"/>
        </w:rPr>
        <w:t>definición</w:t>
      </w:r>
      <w:r w:rsidR="0071242B" w:rsidRPr="00F44581">
        <w:rPr>
          <w:bCs/>
          <w:sz w:val="22"/>
          <w:szCs w:val="22"/>
          <w:lang w:val="es-CR"/>
        </w:rPr>
        <w:t xml:space="preserve"> </w:t>
      </w:r>
      <w:r w:rsidRPr="00F44581">
        <w:rPr>
          <w:bCs/>
          <w:sz w:val="22"/>
          <w:szCs w:val="22"/>
          <w:lang w:val="es-CR"/>
        </w:rPr>
        <w:t>de la segunda fase de la AEI 2022-2027.</w:t>
      </w:r>
    </w:p>
    <w:p w14:paraId="08DB1F72" w14:textId="4D212833" w:rsidR="00F44581" w:rsidRDefault="00F44581" w:rsidP="002628A8">
      <w:pPr>
        <w:tabs>
          <w:tab w:val="left" w:pos="1440"/>
          <w:tab w:val="left" w:pos="2160"/>
        </w:tabs>
        <w:ind w:firstLine="720"/>
        <w:contextualSpacing/>
        <w:rPr>
          <w:bCs/>
          <w:sz w:val="22"/>
          <w:szCs w:val="22"/>
          <w:lang w:val="es-CR"/>
        </w:rPr>
      </w:pPr>
    </w:p>
    <w:p w14:paraId="0C1017D4" w14:textId="77777777" w:rsidR="00250575" w:rsidRPr="00F44581" w:rsidRDefault="00250575" w:rsidP="002628A8">
      <w:pPr>
        <w:tabs>
          <w:tab w:val="left" w:pos="1440"/>
          <w:tab w:val="left" w:pos="2160"/>
        </w:tabs>
        <w:ind w:firstLine="720"/>
        <w:contextualSpacing/>
        <w:rPr>
          <w:bCs/>
          <w:sz w:val="22"/>
          <w:szCs w:val="22"/>
          <w:lang w:val="es-CR"/>
        </w:rPr>
      </w:pPr>
    </w:p>
    <w:p w14:paraId="59520871" w14:textId="77777777" w:rsidR="00F44581" w:rsidRPr="00F44581" w:rsidRDefault="00F44581" w:rsidP="002628A8">
      <w:pPr>
        <w:numPr>
          <w:ilvl w:val="0"/>
          <w:numId w:val="23"/>
        </w:numPr>
        <w:tabs>
          <w:tab w:val="left" w:pos="1440"/>
          <w:tab w:val="left" w:pos="2160"/>
        </w:tabs>
        <w:ind w:left="0" w:firstLine="720"/>
        <w:contextualSpacing/>
        <w:jc w:val="both"/>
        <w:rPr>
          <w:rFonts w:eastAsia="Malgun Gothic"/>
          <w:b/>
          <w:sz w:val="22"/>
          <w:szCs w:val="22"/>
          <w:lang w:eastAsia="ko-KR"/>
        </w:rPr>
      </w:pPr>
      <w:r w:rsidRPr="00F44581">
        <w:rPr>
          <w:b/>
          <w:sz w:val="22"/>
          <w:szCs w:val="22"/>
          <w:lang w:val="es-CO"/>
        </w:rPr>
        <w:t>Elección de las autoridades de la CIE para el ciclo 2021-2024</w:t>
      </w:r>
    </w:p>
    <w:p w14:paraId="3B1AC173" w14:textId="77777777" w:rsidR="00F44581" w:rsidRPr="00F44581" w:rsidRDefault="00F44581" w:rsidP="002628A8">
      <w:pPr>
        <w:tabs>
          <w:tab w:val="left" w:pos="1440"/>
          <w:tab w:val="left" w:pos="2160"/>
        </w:tabs>
        <w:ind w:left="720"/>
        <w:contextualSpacing/>
        <w:jc w:val="both"/>
        <w:rPr>
          <w:rFonts w:eastAsia="Malgun Gothic"/>
          <w:b/>
          <w:sz w:val="22"/>
          <w:szCs w:val="22"/>
          <w:lang w:eastAsia="ko-KR"/>
        </w:rPr>
      </w:pPr>
    </w:p>
    <w:p w14:paraId="0C7C2FEC" w14:textId="77777777" w:rsidR="00F44581" w:rsidRPr="00F44581" w:rsidRDefault="00F44581" w:rsidP="002628A8">
      <w:pPr>
        <w:tabs>
          <w:tab w:val="left" w:pos="1440"/>
          <w:tab w:val="left" w:pos="2160"/>
        </w:tabs>
        <w:ind w:firstLine="720"/>
        <w:contextualSpacing/>
        <w:jc w:val="both"/>
        <w:rPr>
          <w:rFonts w:eastAsia="Malgun Gothic"/>
          <w:sz w:val="22"/>
          <w:szCs w:val="22"/>
          <w:lang w:val="es-CO"/>
        </w:rPr>
      </w:pPr>
      <w:r w:rsidRPr="00F44581">
        <w:rPr>
          <w:rFonts w:eastAsia="Malgun Gothic"/>
          <w:sz w:val="22"/>
          <w:szCs w:val="22"/>
          <w:lang w:val="es-CO"/>
        </w:rPr>
        <w:t xml:space="preserve">Según lo establecido en el artículo 4 del </w:t>
      </w:r>
      <w:hyperlink r:id="rId11" w:history="1">
        <w:r w:rsidRPr="00F44581">
          <w:rPr>
            <w:rFonts w:eastAsia="Malgun Gothic"/>
            <w:sz w:val="22"/>
            <w:szCs w:val="22"/>
            <w:lang w:eastAsia="ko-KR"/>
          </w:rPr>
          <w:t>Reglamento de las Comisiones interamericanas</w:t>
        </w:r>
      </w:hyperlink>
      <w:r w:rsidRPr="00F44581">
        <w:rPr>
          <w:rFonts w:eastAsia="Malgun Gothic"/>
          <w:sz w:val="22"/>
          <w:szCs w:val="22"/>
          <w:lang w:val="es-CO"/>
        </w:rPr>
        <w:t xml:space="preserve"> aprobado en mayo 2018, cada Comisión Interamericana del CIDI elegirá un presidente y dos vicepresidentes que ejercerán sus cargos por tres años o hasta la siguiente reunión ordinaria de la Comisión. Sus mandatos comenzarán en la fecha en que son elegidos y durarán hasta la elección de sus sucesores.</w:t>
      </w:r>
    </w:p>
    <w:p w14:paraId="13472DBB" w14:textId="77777777" w:rsidR="00F44581" w:rsidRPr="00F44581" w:rsidRDefault="00F44581" w:rsidP="002628A8">
      <w:pPr>
        <w:tabs>
          <w:tab w:val="left" w:pos="1440"/>
          <w:tab w:val="left" w:pos="2160"/>
        </w:tabs>
        <w:ind w:firstLine="720"/>
        <w:contextualSpacing/>
        <w:rPr>
          <w:bCs/>
          <w:sz w:val="22"/>
          <w:szCs w:val="22"/>
          <w:lang w:val="es-CO"/>
        </w:rPr>
      </w:pPr>
    </w:p>
    <w:p w14:paraId="2CB20CDE" w14:textId="77777777" w:rsidR="00F44581" w:rsidRPr="00F44581" w:rsidRDefault="00F44581" w:rsidP="002628A8">
      <w:pPr>
        <w:numPr>
          <w:ilvl w:val="0"/>
          <w:numId w:val="23"/>
        </w:numPr>
        <w:tabs>
          <w:tab w:val="left" w:pos="1440"/>
          <w:tab w:val="left" w:pos="2160"/>
        </w:tabs>
        <w:ind w:left="1440" w:hanging="720"/>
        <w:contextualSpacing/>
        <w:jc w:val="both"/>
        <w:rPr>
          <w:bCs/>
          <w:sz w:val="22"/>
          <w:szCs w:val="22"/>
          <w:lang w:val="es-CO"/>
        </w:rPr>
      </w:pPr>
      <w:r w:rsidRPr="00F44581">
        <w:rPr>
          <w:b/>
          <w:sz w:val="22"/>
          <w:szCs w:val="22"/>
          <w:lang w:val="es-CO"/>
        </w:rPr>
        <w:t xml:space="preserve">Recepción de ofrecimientos de sede y fecha para XI Reunión Interamericana de </w:t>
      </w:r>
      <w:proofErr w:type="gramStart"/>
      <w:r w:rsidRPr="00F44581">
        <w:rPr>
          <w:b/>
          <w:sz w:val="22"/>
          <w:szCs w:val="22"/>
          <w:lang w:val="es-CO"/>
        </w:rPr>
        <w:t>Ministros</w:t>
      </w:r>
      <w:proofErr w:type="gramEnd"/>
      <w:r w:rsidRPr="00F44581">
        <w:rPr>
          <w:b/>
          <w:sz w:val="22"/>
          <w:szCs w:val="22"/>
          <w:lang w:val="es-CO"/>
        </w:rPr>
        <w:t xml:space="preserve"> de Educación</w:t>
      </w:r>
      <w:r w:rsidRPr="00F44581">
        <w:rPr>
          <w:bCs/>
          <w:sz w:val="22"/>
          <w:szCs w:val="22"/>
          <w:lang w:val="es-CO"/>
        </w:rPr>
        <w:t xml:space="preserve"> </w:t>
      </w:r>
    </w:p>
    <w:p w14:paraId="45A46163" w14:textId="77777777" w:rsidR="00F44581" w:rsidRPr="00F44581" w:rsidRDefault="00F44581" w:rsidP="002628A8">
      <w:pPr>
        <w:tabs>
          <w:tab w:val="left" w:pos="1440"/>
          <w:tab w:val="left" w:pos="2160"/>
        </w:tabs>
        <w:ind w:left="720"/>
        <w:contextualSpacing/>
        <w:jc w:val="both"/>
        <w:rPr>
          <w:bCs/>
          <w:sz w:val="22"/>
          <w:szCs w:val="22"/>
          <w:lang w:val="es-CO"/>
        </w:rPr>
      </w:pPr>
    </w:p>
    <w:p w14:paraId="4E38EA68" w14:textId="29EEAED8" w:rsidR="00F44581" w:rsidRPr="00F44581" w:rsidRDefault="00F44581" w:rsidP="002628A8">
      <w:pPr>
        <w:tabs>
          <w:tab w:val="left" w:pos="1440"/>
          <w:tab w:val="left" w:pos="2160"/>
        </w:tabs>
        <w:ind w:firstLine="720"/>
        <w:contextualSpacing/>
        <w:jc w:val="both"/>
        <w:rPr>
          <w:rFonts w:eastAsia="Malgun Gothic"/>
          <w:sz w:val="22"/>
          <w:szCs w:val="22"/>
          <w:lang w:val="es-CO"/>
        </w:rPr>
      </w:pPr>
      <w:r w:rsidRPr="00F44581">
        <w:rPr>
          <w:rFonts w:eastAsia="Malgun Gothic"/>
          <w:sz w:val="22"/>
          <w:szCs w:val="22"/>
          <w:lang w:val="es-CO"/>
        </w:rPr>
        <w:t xml:space="preserve">Según el </w:t>
      </w:r>
      <w:r w:rsidR="0088311F">
        <w:rPr>
          <w:rFonts w:eastAsia="Malgun Gothic"/>
          <w:sz w:val="22"/>
          <w:szCs w:val="22"/>
          <w:lang w:val="es-CO"/>
        </w:rPr>
        <w:t>punto</w:t>
      </w:r>
      <w:r w:rsidR="0088311F" w:rsidRPr="00F44581">
        <w:rPr>
          <w:rFonts w:eastAsia="Malgun Gothic"/>
          <w:sz w:val="22"/>
          <w:szCs w:val="22"/>
          <w:lang w:val="es-CO"/>
        </w:rPr>
        <w:t xml:space="preserve"> </w:t>
      </w:r>
      <w:r w:rsidRPr="00F44581">
        <w:rPr>
          <w:rFonts w:eastAsia="Malgun Gothic"/>
          <w:sz w:val="22"/>
          <w:szCs w:val="22"/>
          <w:lang w:val="es-CO"/>
        </w:rPr>
        <w:t xml:space="preserve">8 </w:t>
      </w:r>
      <w:r w:rsidR="0088311F">
        <w:rPr>
          <w:rFonts w:eastAsia="Malgun Gothic"/>
          <w:sz w:val="22"/>
          <w:szCs w:val="22"/>
          <w:lang w:val="es-CO"/>
        </w:rPr>
        <w:t xml:space="preserve">del Anexo I </w:t>
      </w:r>
      <w:r w:rsidRPr="00F44581">
        <w:rPr>
          <w:rFonts w:eastAsia="Malgun Gothic"/>
          <w:sz w:val="22"/>
          <w:szCs w:val="22"/>
          <w:lang w:val="es-CO"/>
        </w:rPr>
        <w:t xml:space="preserve">de los </w:t>
      </w:r>
      <w:r w:rsidR="003A115E">
        <w:rPr>
          <w:rFonts w:eastAsia="Malgun Gothic"/>
          <w:sz w:val="22"/>
          <w:szCs w:val="22"/>
          <w:lang w:val="es-CO"/>
        </w:rPr>
        <w:t>L</w:t>
      </w:r>
      <w:r w:rsidRPr="00F44581">
        <w:rPr>
          <w:rFonts w:eastAsia="Malgun Gothic"/>
          <w:sz w:val="22"/>
          <w:szCs w:val="22"/>
          <w:lang w:val="es-CO"/>
        </w:rPr>
        <w:t xml:space="preserve">ineamientos generales para los procesos sectoriales en el ámbito del CIDI, una vez que la Comisión Interamericana respectiva defina el tema para la próxima reunión de Ministros, el Estado Miembro interesado en servir de sede debe manifestar su interés mediante una nota a la Secretaría General de la OEA, la cual debe ser remitida a través de la Misión Permanente del Estado Miembro respectivo e incluir el lugar y las fechas (días, mes y año) en que se espera realizar la reunión. La Secretaría General informará al </w:t>
      </w:r>
      <w:proofErr w:type="gramStart"/>
      <w:r w:rsidRPr="00F44581">
        <w:rPr>
          <w:rFonts w:eastAsia="Malgun Gothic"/>
          <w:sz w:val="22"/>
          <w:szCs w:val="22"/>
          <w:lang w:val="es-CO"/>
        </w:rPr>
        <w:t>Presidente</w:t>
      </w:r>
      <w:proofErr w:type="gramEnd"/>
      <w:r w:rsidRPr="00F44581">
        <w:rPr>
          <w:rFonts w:eastAsia="Malgun Gothic"/>
          <w:sz w:val="22"/>
          <w:szCs w:val="22"/>
          <w:lang w:val="es-CO"/>
        </w:rPr>
        <w:t xml:space="preserve"> del CIDI, de tal forma que el CIDI defina su convocatoria. Si no se recibe ningún anuncio formal, la Comisión podrá solicitar al CIDI que convoque la reunión Ministerial en la sede de la OEA. </w:t>
      </w:r>
    </w:p>
    <w:p w14:paraId="788570A5" w14:textId="77777777" w:rsidR="00F44581" w:rsidRPr="00F44581" w:rsidRDefault="00F44581" w:rsidP="002628A8">
      <w:pPr>
        <w:tabs>
          <w:tab w:val="left" w:pos="1440"/>
          <w:tab w:val="left" w:pos="2160"/>
        </w:tabs>
        <w:ind w:firstLine="720"/>
        <w:contextualSpacing/>
        <w:rPr>
          <w:bCs/>
          <w:sz w:val="22"/>
          <w:szCs w:val="22"/>
          <w:lang w:val="es-CO"/>
        </w:rPr>
      </w:pPr>
    </w:p>
    <w:p w14:paraId="1336BA46" w14:textId="55F0F37F" w:rsidR="00F44581" w:rsidRPr="00F44581" w:rsidRDefault="00F44581" w:rsidP="002628A8">
      <w:pPr>
        <w:tabs>
          <w:tab w:val="left" w:pos="1440"/>
          <w:tab w:val="left" w:pos="2160"/>
        </w:tabs>
        <w:ind w:firstLine="720"/>
        <w:jc w:val="both"/>
        <w:rPr>
          <w:bCs/>
          <w:sz w:val="22"/>
          <w:szCs w:val="22"/>
          <w:lang w:val="es-CO"/>
        </w:rPr>
      </w:pPr>
      <w:r w:rsidRPr="00F44581">
        <w:rPr>
          <w:bCs/>
          <w:sz w:val="22"/>
          <w:szCs w:val="22"/>
          <w:lang w:val="es-CO"/>
        </w:rPr>
        <w:t xml:space="preserve">Se espera </w:t>
      </w:r>
      <w:proofErr w:type="gramStart"/>
      <w:r w:rsidRPr="00F44581">
        <w:rPr>
          <w:bCs/>
          <w:sz w:val="22"/>
          <w:szCs w:val="22"/>
          <w:lang w:val="es-CO"/>
        </w:rPr>
        <w:t>que</w:t>
      </w:r>
      <w:proofErr w:type="gramEnd"/>
      <w:r w:rsidRPr="00F44581">
        <w:rPr>
          <w:bCs/>
          <w:sz w:val="22"/>
          <w:szCs w:val="22"/>
          <w:lang w:val="es-CO"/>
        </w:rPr>
        <w:t xml:space="preserve"> como resultado de esta sesión, los Estados Miembros acuerden los temas para la XI Reunión Interamericana de Ministros de Educación y den lineamentos a la Secretaría para la preparación del proyecto preliminar de temario anotado y de los proyectos de declaración y plan de acción. Estos lineamientos pueden reiterar o revisar/ajustar las prioridades establecidas en las pasadas reuniones ministeriales. </w:t>
      </w:r>
    </w:p>
    <w:p w14:paraId="428AC536" w14:textId="77777777" w:rsidR="00F44581" w:rsidRPr="00F44581" w:rsidRDefault="00F44581" w:rsidP="002628A8">
      <w:pPr>
        <w:tabs>
          <w:tab w:val="left" w:pos="1440"/>
          <w:tab w:val="left" w:pos="2160"/>
        </w:tabs>
        <w:ind w:firstLine="720"/>
        <w:contextualSpacing/>
        <w:rPr>
          <w:bCs/>
          <w:sz w:val="22"/>
          <w:szCs w:val="22"/>
          <w:lang w:val="es-CO"/>
        </w:rPr>
      </w:pPr>
    </w:p>
    <w:p w14:paraId="60BC78F0" w14:textId="77777777" w:rsidR="00F44581" w:rsidRPr="00F44581" w:rsidRDefault="00F44581" w:rsidP="002628A8">
      <w:pPr>
        <w:numPr>
          <w:ilvl w:val="0"/>
          <w:numId w:val="25"/>
        </w:numPr>
        <w:tabs>
          <w:tab w:val="left" w:pos="720"/>
          <w:tab w:val="left" w:pos="2160"/>
        </w:tabs>
        <w:ind w:left="0" w:firstLine="0"/>
        <w:contextualSpacing/>
        <w:rPr>
          <w:b/>
          <w:sz w:val="22"/>
          <w:szCs w:val="22"/>
          <w:lang w:val="es-CO"/>
        </w:rPr>
      </w:pPr>
      <w:r w:rsidRPr="00F44581">
        <w:rPr>
          <w:b/>
          <w:sz w:val="22"/>
          <w:szCs w:val="22"/>
          <w:lang w:val="es-CO"/>
        </w:rPr>
        <w:t>PROPOSITO DE ESTA REUNION</w:t>
      </w:r>
      <w:r w:rsidRPr="00F44581">
        <w:rPr>
          <w:b/>
          <w:sz w:val="22"/>
          <w:szCs w:val="22"/>
          <w:u w:val="single"/>
          <w:vertAlign w:val="superscript"/>
          <w:lang w:val="es-CO"/>
        </w:rPr>
        <w:footnoteReference w:id="2"/>
      </w:r>
      <w:r w:rsidRPr="00F44581">
        <w:rPr>
          <w:b/>
          <w:sz w:val="22"/>
          <w:szCs w:val="22"/>
          <w:vertAlign w:val="superscript"/>
          <w:lang w:val="es-CO"/>
        </w:rPr>
        <w:t>/</w:t>
      </w:r>
    </w:p>
    <w:p w14:paraId="3978849A" w14:textId="77777777" w:rsidR="00F44581" w:rsidRPr="00F44581" w:rsidRDefault="00F44581" w:rsidP="002628A8">
      <w:pPr>
        <w:tabs>
          <w:tab w:val="left" w:pos="1440"/>
          <w:tab w:val="left" w:pos="2160"/>
        </w:tabs>
        <w:ind w:firstLine="720"/>
        <w:jc w:val="both"/>
        <w:rPr>
          <w:sz w:val="22"/>
          <w:szCs w:val="22"/>
          <w:lang w:val="es-CO"/>
        </w:rPr>
      </w:pPr>
    </w:p>
    <w:p w14:paraId="5F83D39F" w14:textId="21121E85" w:rsidR="00F44581" w:rsidRDefault="00F44581" w:rsidP="002628A8">
      <w:pPr>
        <w:tabs>
          <w:tab w:val="left" w:pos="1440"/>
          <w:tab w:val="left" w:pos="2160"/>
        </w:tabs>
        <w:ind w:firstLine="720"/>
        <w:jc w:val="both"/>
        <w:rPr>
          <w:sz w:val="22"/>
          <w:szCs w:val="22"/>
          <w:lang w:val="es-CO"/>
        </w:rPr>
      </w:pPr>
      <w:r w:rsidRPr="00F44581">
        <w:rPr>
          <w:sz w:val="22"/>
          <w:szCs w:val="22"/>
          <w:lang w:val="es-CO"/>
        </w:rPr>
        <w:t>El propósito de la reunión según lo expresado en el documento de lineamientos para los procesos sectoriales es (i) analizar el progreso y la implementación de los mandatos ministeriales (implementación del Plan de Acción y Plan de Trabajo); (</w:t>
      </w:r>
      <w:proofErr w:type="spellStart"/>
      <w:r w:rsidRPr="00F44581">
        <w:rPr>
          <w:sz w:val="22"/>
          <w:szCs w:val="22"/>
          <w:lang w:val="es-CO"/>
        </w:rPr>
        <w:t>ii</w:t>
      </w:r>
      <w:proofErr w:type="spellEnd"/>
      <w:r w:rsidRPr="00F44581">
        <w:rPr>
          <w:sz w:val="22"/>
          <w:szCs w:val="22"/>
          <w:lang w:val="es-CO"/>
        </w:rPr>
        <w:t>) analizar tendencias regionales en la materia y la pertinencia del trabajo de la OEA en las áreas de prioridad;  (</w:t>
      </w:r>
      <w:proofErr w:type="spellStart"/>
      <w:r w:rsidRPr="00F44581">
        <w:rPr>
          <w:sz w:val="22"/>
          <w:szCs w:val="22"/>
          <w:lang w:val="es-CO"/>
        </w:rPr>
        <w:t>iii</w:t>
      </w:r>
      <w:proofErr w:type="spellEnd"/>
      <w:r w:rsidRPr="00F44581">
        <w:rPr>
          <w:sz w:val="22"/>
          <w:szCs w:val="22"/>
          <w:lang w:val="es-CO"/>
        </w:rPr>
        <w:t>) acordar el/los tema(s) de la próxima reunión ministerial y dar lineamientos a la Secretaría para la redacción del proyecto preliminar de temario anotado; (</w:t>
      </w:r>
      <w:proofErr w:type="spellStart"/>
      <w:r w:rsidRPr="00F44581">
        <w:rPr>
          <w:sz w:val="22"/>
          <w:szCs w:val="22"/>
          <w:lang w:val="es-CO"/>
        </w:rPr>
        <w:t>iv</w:t>
      </w:r>
      <w:proofErr w:type="spellEnd"/>
      <w:r w:rsidRPr="00F44581">
        <w:rPr>
          <w:sz w:val="22"/>
          <w:szCs w:val="22"/>
          <w:lang w:val="es-CO"/>
        </w:rPr>
        <w:t xml:space="preserve">) recibir anuncios formales para ser sede de la próxima reunión Ministerial y trasladarlos al CIDI para su aprobación y convocatoria formal. Si no se recibe ningún anuncio formal, la Comisión podrá solicitar al CIDI que convoque la reunión Ministerial en la sede de la OEA. </w:t>
      </w:r>
    </w:p>
    <w:p w14:paraId="4F29A5D6" w14:textId="0BCBF490" w:rsidR="00F44581" w:rsidRDefault="00F44581" w:rsidP="002628A8">
      <w:pPr>
        <w:tabs>
          <w:tab w:val="left" w:pos="1440"/>
          <w:tab w:val="left" w:pos="2160"/>
        </w:tabs>
        <w:ind w:firstLine="720"/>
        <w:jc w:val="both"/>
        <w:rPr>
          <w:sz w:val="22"/>
          <w:szCs w:val="22"/>
          <w:lang w:val="es-CO"/>
        </w:rPr>
      </w:pPr>
    </w:p>
    <w:p w14:paraId="2A0D0B5B" w14:textId="77777777" w:rsidR="00F44581" w:rsidRPr="00F44581" w:rsidRDefault="00F44581" w:rsidP="002628A8">
      <w:pPr>
        <w:numPr>
          <w:ilvl w:val="0"/>
          <w:numId w:val="25"/>
        </w:numPr>
        <w:tabs>
          <w:tab w:val="left" w:pos="720"/>
          <w:tab w:val="left" w:pos="1440"/>
          <w:tab w:val="left" w:pos="2160"/>
        </w:tabs>
        <w:ind w:left="0" w:firstLine="0"/>
        <w:contextualSpacing/>
        <w:rPr>
          <w:b/>
          <w:sz w:val="22"/>
          <w:szCs w:val="22"/>
          <w:lang w:val="es-CO"/>
        </w:rPr>
      </w:pPr>
      <w:r w:rsidRPr="00F44581">
        <w:rPr>
          <w:b/>
          <w:sz w:val="22"/>
          <w:szCs w:val="22"/>
          <w:lang w:val="es-CO"/>
        </w:rPr>
        <w:t>RESULTADOS ESPERADOS</w:t>
      </w:r>
      <w:r w:rsidRPr="00F44581">
        <w:rPr>
          <w:b/>
          <w:sz w:val="22"/>
          <w:szCs w:val="22"/>
          <w:u w:val="single"/>
          <w:vertAlign w:val="superscript"/>
          <w:lang w:val="es-CO"/>
        </w:rPr>
        <w:footnoteReference w:id="3"/>
      </w:r>
      <w:r w:rsidRPr="00F44581">
        <w:rPr>
          <w:b/>
          <w:sz w:val="22"/>
          <w:szCs w:val="22"/>
          <w:vertAlign w:val="superscript"/>
          <w:lang w:val="es-CO"/>
        </w:rPr>
        <w:t>/</w:t>
      </w:r>
    </w:p>
    <w:p w14:paraId="51797634" w14:textId="77777777" w:rsidR="00F44581" w:rsidRPr="00F44581" w:rsidRDefault="00F44581" w:rsidP="002628A8">
      <w:pPr>
        <w:tabs>
          <w:tab w:val="left" w:pos="720"/>
          <w:tab w:val="left" w:pos="1440"/>
          <w:tab w:val="left" w:pos="2160"/>
        </w:tabs>
        <w:contextualSpacing/>
        <w:rPr>
          <w:b/>
          <w:sz w:val="22"/>
          <w:szCs w:val="22"/>
          <w:lang w:val="es-CO"/>
        </w:rPr>
      </w:pPr>
    </w:p>
    <w:p w14:paraId="3BB8820E" w14:textId="77777777" w:rsidR="00F44581" w:rsidRPr="00F44581" w:rsidRDefault="00F44581" w:rsidP="002628A8">
      <w:pPr>
        <w:tabs>
          <w:tab w:val="left" w:pos="1440"/>
          <w:tab w:val="left" w:pos="2160"/>
        </w:tabs>
        <w:ind w:firstLine="720"/>
        <w:jc w:val="both"/>
        <w:rPr>
          <w:sz w:val="22"/>
          <w:szCs w:val="22"/>
          <w:lang w:val="es-CO"/>
        </w:rPr>
      </w:pPr>
      <w:r w:rsidRPr="00F44581">
        <w:rPr>
          <w:sz w:val="22"/>
          <w:szCs w:val="22"/>
          <w:lang w:val="es-CO"/>
        </w:rPr>
        <w:t xml:space="preserve">Temas aprobados para la próxima reunión ministerial y lineamentos a la Secretaría para la preparación del proyecto preliminar de temario anotado y de los proyectos de declaración y plan de </w:t>
      </w:r>
      <w:r w:rsidRPr="00F44581">
        <w:rPr>
          <w:sz w:val="22"/>
          <w:szCs w:val="22"/>
          <w:lang w:val="es-CO"/>
        </w:rPr>
        <w:lastRenderedPageBreak/>
        <w:t>acción. Estos lineamientos pueden reiterar o revisar/ajustar las prioridades establecidas en las pasadas Ministeriales; definición de la sede y fecha para la próxima reunión Ministerial; análisis de progreso en la implementación de mandatos ministeriales y recomendaciones para ajustar el Plan de Trabajo de ser necesario.</w:t>
      </w:r>
    </w:p>
    <w:p w14:paraId="306232C5" w14:textId="51C34061" w:rsidR="00F44581" w:rsidRPr="00F44581" w:rsidRDefault="00F44581" w:rsidP="002628A8">
      <w:pPr>
        <w:tabs>
          <w:tab w:val="left" w:pos="1440"/>
          <w:tab w:val="left" w:pos="2160"/>
        </w:tabs>
        <w:ind w:firstLine="720"/>
        <w:contextualSpacing/>
        <w:rPr>
          <w:bCs/>
          <w:sz w:val="22"/>
          <w:szCs w:val="22"/>
          <w:lang w:val="es-CO"/>
        </w:rPr>
      </w:pPr>
    </w:p>
    <w:p w14:paraId="424287AF" w14:textId="77777777" w:rsidR="00F44581" w:rsidRPr="00F44581" w:rsidRDefault="00F44581" w:rsidP="002628A8">
      <w:pPr>
        <w:numPr>
          <w:ilvl w:val="0"/>
          <w:numId w:val="25"/>
        </w:numPr>
        <w:tabs>
          <w:tab w:val="left" w:pos="720"/>
          <w:tab w:val="left" w:pos="2160"/>
        </w:tabs>
        <w:ind w:left="0" w:firstLine="0"/>
        <w:contextualSpacing/>
        <w:rPr>
          <w:b/>
          <w:sz w:val="22"/>
          <w:szCs w:val="22"/>
          <w:lang w:val="es-CO"/>
        </w:rPr>
      </w:pPr>
      <w:r w:rsidRPr="00F44581">
        <w:rPr>
          <w:b/>
          <w:sz w:val="22"/>
          <w:szCs w:val="22"/>
          <w:lang w:val="es-CO"/>
        </w:rPr>
        <w:t>ESTRUCTURA DE LA REUNIÓN</w:t>
      </w:r>
    </w:p>
    <w:p w14:paraId="0D5C0F6E" w14:textId="77777777" w:rsidR="00F44581" w:rsidRPr="00F44581" w:rsidRDefault="00F44581" w:rsidP="002628A8">
      <w:pPr>
        <w:tabs>
          <w:tab w:val="left" w:pos="1440"/>
          <w:tab w:val="left" w:pos="2160"/>
        </w:tabs>
        <w:ind w:left="720"/>
        <w:contextualSpacing/>
        <w:rPr>
          <w:b/>
          <w:sz w:val="22"/>
          <w:szCs w:val="22"/>
          <w:lang w:val="es-CO"/>
        </w:rPr>
      </w:pPr>
    </w:p>
    <w:p w14:paraId="1FC8B40C" w14:textId="77777777" w:rsidR="00F44581" w:rsidRPr="00F44581" w:rsidRDefault="00F44581" w:rsidP="002628A8">
      <w:pPr>
        <w:tabs>
          <w:tab w:val="left" w:pos="1440"/>
          <w:tab w:val="left" w:pos="2160"/>
        </w:tabs>
        <w:ind w:firstLine="720"/>
        <w:jc w:val="both"/>
        <w:rPr>
          <w:sz w:val="22"/>
          <w:szCs w:val="22"/>
          <w:lang w:val="es-CO"/>
        </w:rPr>
      </w:pPr>
      <w:r w:rsidRPr="00F44581">
        <w:rPr>
          <w:sz w:val="22"/>
          <w:szCs w:val="22"/>
          <w:lang w:val="es-CO"/>
        </w:rPr>
        <w:t xml:space="preserve">La reunión mantendrá la dinámica implementada durante el proceso del ciclo ministerial con las autoridades sectoriales y basará su discusión en los hallazgos, lecciones aprendidas, desafíos comunes y propuestas de acción que se han intercambiado desde la aprobación del Plan de Trabajo de la CIE en Julio 2020. </w:t>
      </w:r>
    </w:p>
    <w:p w14:paraId="71AFF5F7" w14:textId="77777777" w:rsidR="00F44581" w:rsidRPr="00F44581" w:rsidRDefault="00F44581" w:rsidP="002628A8">
      <w:pPr>
        <w:tabs>
          <w:tab w:val="left" w:pos="1440"/>
          <w:tab w:val="left" w:pos="2160"/>
        </w:tabs>
        <w:ind w:firstLine="720"/>
        <w:jc w:val="both"/>
        <w:rPr>
          <w:sz w:val="22"/>
          <w:szCs w:val="22"/>
          <w:lang w:val="es-CO"/>
        </w:rPr>
      </w:pPr>
    </w:p>
    <w:p w14:paraId="067BFB1F" w14:textId="77777777" w:rsidR="00F44581" w:rsidRPr="00F44581" w:rsidRDefault="00F44581" w:rsidP="002628A8">
      <w:pPr>
        <w:tabs>
          <w:tab w:val="left" w:pos="1440"/>
          <w:tab w:val="left" w:pos="2160"/>
        </w:tabs>
        <w:ind w:firstLine="720"/>
        <w:jc w:val="both"/>
        <w:rPr>
          <w:sz w:val="22"/>
          <w:szCs w:val="22"/>
          <w:lang w:val="es-US"/>
        </w:rPr>
      </w:pPr>
      <w:r w:rsidRPr="00F44581">
        <w:rPr>
          <w:sz w:val="22"/>
          <w:szCs w:val="22"/>
          <w:lang w:val="es-CO"/>
        </w:rPr>
        <w:t>En ese sentido aquellos países que han liderado estas acciones han puesto a consideración de las delegaciones los documentos de trabajo que sistematizan los temas discutidos en esos espacios de diálogo político sectorial durante los últimos 18 meses. La Secretaría distribuirá en breve estos documentos de trabajo para consideración de las delegaciones. Asimismo, la Secretaría Técnica ofrecerá un estado de situación de los avances en la implementación de los mandatos recibidos y en la ejecución del PTCIE 2019-2022 bajo el contexto de la pandemia y en el marco del Plan Hemisférico de Acción para la Continuidad Educativa (PHACE).</w:t>
      </w:r>
    </w:p>
    <w:p w14:paraId="3379C12D" w14:textId="3B4F4DB1" w:rsidR="004A4D9C" w:rsidRPr="00F44581" w:rsidRDefault="003D16FC" w:rsidP="002628A8">
      <w:pPr>
        <w:jc w:val="both"/>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6C644492" wp14:editId="467B740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C05A873" w14:textId="288F575D" w:rsidR="003D16FC" w:rsidRPr="003D16FC" w:rsidRDefault="003D16FC">
                            <w:pPr>
                              <w:rPr>
                                <w:sz w:val="18"/>
                              </w:rPr>
                            </w:pPr>
                            <w:r>
                              <w:rPr>
                                <w:sz w:val="18"/>
                              </w:rPr>
                              <w:fldChar w:fldCharType="begin"/>
                            </w:r>
                            <w:r>
                              <w:rPr>
                                <w:sz w:val="18"/>
                              </w:rPr>
                              <w:instrText xml:space="preserve"> FILENAME  \* MERGEFORMAT </w:instrText>
                            </w:r>
                            <w:r>
                              <w:rPr>
                                <w:sz w:val="18"/>
                              </w:rPr>
                              <w:fldChar w:fldCharType="separate"/>
                            </w:r>
                            <w:r>
                              <w:rPr>
                                <w:noProof/>
                                <w:sz w:val="18"/>
                              </w:rPr>
                              <w:t>CIDRP03416S01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44492"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C05A873" w14:textId="288F575D" w:rsidR="003D16FC" w:rsidRPr="003D16FC" w:rsidRDefault="003D16FC">
                      <w:pPr>
                        <w:rPr>
                          <w:sz w:val="18"/>
                        </w:rPr>
                      </w:pPr>
                      <w:r>
                        <w:rPr>
                          <w:sz w:val="18"/>
                        </w:rPr>
                        <w:fldChar w:fldCharType="begin"/>
                      </w:r>
                      <w:r>
                        <w:rPr>
                          <w:sz w:val="18"/>
                        </w:rPr>
                        <w:instrText xml:space="preserve"> FILENAME  \* MERGEFORMAT </w:instrText>
                      </w:r>
                      <w:r>
                        <w:rPr>
                          <w:sz w:val="18"/>
                        </w:rPr>
                        <w:fldChar w:fldCharType="separate"/>
                      </w:r>
                      <w:r>
                        <w:rPr>
                          <w:noProof/>
                          <w:sz w:val="18"/>
                        </w:rPr>
                        <w:t>CIDRP03416S01</w:t>
                      </w:r>
                      <w:r>
                        <w:rPr>
                          <w:sz w:val="18"/>
                        </w:rPr>
                        <w:fldChar w:fldCharType="end"/>
                      </w:r>
                    </w:p>
                  </w:txbxContent>
                </v:textbox>
                <w10:wrap anchory="page"/>
                <w10:anchorlock/>
              </v:shape>
            </w:pict>
          </mc:Fallback>
        </mc:AlternateContent>
      </w:r>
    </w:p>
    <w:sectPr w:rsidR="004A4D9C" w:rsidRPr="00F44581" w:rsidSect="00127202">
      <w:headerReference w:type="default" r:id="rId12"/>
      <w:headerReference w:type="first" r:id="rId13"/>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EB7A" w14:textId="77777777" w:rsidR="00B877C2" w:rsidRDefault="00B877C2">
      <w:r>
        <w:separator/>
      </w:r>
    </w:p>
  </w:endnote>
  <w:endnote w:type="continuationSeparator" w:id="0">
    <w:p w14:paraId="515588CB" w14:textId="77777777" w:rsidR="00B877C2" w:rsidRDefault="00B877C2">
      <w:r>
        <w:continuationSeparator/>
      </w:r>
    </w:p>
  </w:endnote>
  <w:endnote w:type="continuationNotice" w:id="1">
    <w:p w14:paraId="5E6453C7" w14:textId="77777777" w:rsidR="00B877C2" w:rsidRDefault="00B87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0E9A" w14:textId="77777777" w:rsidR="00B877C2" w:rsidRDefault="00B877C2">
      <w:r>
        <w:separator/>
      </w:r>
    </w:p>
  </w:footnote>
  <w:footnote w:type="continuationSeparator" w:id="0">
    <w:p w14:paraId="7665F5FD" w14:textId="77777777" w:rsidR="00B877C2" w:rsidRDefault="00B877C2">
      <w:r>
        <w:continuationSeparator/>
      </w:r>
    </w:p>
  </w:footnote>
  <w:footnote w:type="continuationNotice" w:id="1">
    <w:p w14:paraId="0F0A2E04" w14:textId="77777777" w:rsidR="00B877C2" w:rsidRDefault="00B877C2"/>
  </w:footnote>
  <w:footnote w:id="2">
    <w:p w14:paraId="6AA2497A" w14:textId="44B6556E" w:rsidR="00F44581" w:rsidRPr="001E50E4" w:rsidRDefault="00F44581" w:rsidP="00F44581">
      <w:pPr>
        <w:pStyle w:val="FootnoteText"/>
        <w:ind w:left="720" w:hanging="360"/>
        <w:rPr>
          <w:lang w:val="es-MX"/>
        </w:rPr>
      </w:pPr>
      <w:r w:rsidRPr="00F44581">
        <w:rPr>
          <w:rStyle w:val="FootnoteReference"/>
          <w:vertAlign w:val="baseline"/>
        </w:rPr>
        <w:footnoteRef/>
      </w:r>
      <w:r w:rsidRPr="00F44581">
        <w:rPr>
          <w:lang w:val="es-US"/>
        </w:rPr>
        <w:t>.</w:t>
      </w:r>
      <w:r w:rsidRPr="00F44581">
        <w:rPr>
          <w:lang w:val="es-US"/>
        </w:rPr>
        <w:tab/>
        <w:t>Plan</w:t>
      </w:r>
      <w:r w:rsidRPr="001E50E4">
        <w:rPr>
          <w:lang w:val="es-US"/>
        </w:rPr>
        <w:t xml:space="preserve"> de Trabajo de la Comisión Interamericana de Educación 2019-2022, documento CIDI/CIE/RPA/doc.9/20 rev.</w:t>
      </w:r>
      <w:r w:rsidR="00686AB8">
        <w:rPr>
          <w:lang w:val="es-US"/>
        </w:rPr>
        <w:t>3</w:t>
      </w:r>
    </w:p>
  </w:footnote>
  <w:footnote w:id="3">
    <w:p w14:paraId="6EE9CD85" w14:textId="21F8494F" w:rsidR="00F44581" w:rsidRPr="00CF71D0" w:rsidRDefault="00F44581" w:rsidP="00F44581">
      <w:pPr>
        <w:pStyle w:val="FootnoteText"/>
        <w:ind w:left="720" w:hanging="360"/>
        <w:rPr>
          <w:lang w:val="es-MX"/>
        </w:rPr>
      </w:pPr>
      <w:r w:rsidRPr="00F44581">
        <w:rPr>
          <w:rStyle w:val="FootnoteReference"/>
          <w:vertAlign w:val="baseline"/>
        </w:rPr>
        <w:footnoteRef/>
      </w:r>
      <w:r w:rsidRPr="00F44581">
        <w:rPr>
          <w:lang w:val="es-US"/>
        </w:rPr>
        <w:t>.</w:t>
      </w:r>
      <w:r w:rsidRPr="00F44581">
        <w:rPr>
          <w:lang w:val="es-US"/>
        </w:rPr>
        <w:tab/>
      </w:r>
      <w:r w:rsidRPr="001E50E4">
        <w:rPr>
          <w:lang w:val="es-US"/>
        </w:rPr>
        <w:t>Plan de Trabajo de la Comisión Interamericana de Educación 2019-2022, documento CIDI</w:t>
      </w:r>
      <w:r w:rsidRPr="00DC3E0A">
        <w:rPr>
          <w:lang w:val="es-US"/>
        </w:rPr>
        <w:t>/CIE/RPA/doc.9/20 rev.</w:t>
      </w:r>
      <w:r w:rsidR="00686AB8">
        <w:rPr>
          <w:lang w:val="es-US"/>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7D3A3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A38">
      <w:rPr>
        <w:rStyle w:val="PageNumber"/>
        <w:noProof/>
      </w:rPr>
      <w:t>1</w:t>
    </w:r>
    <w:r>
      <w:rPr>
        <w:rStyle w:val="PageNumber"/>
      </w:rPr>
      <w:fldChar w:fldCharType="end"/>
    </w:r>
  </w:p>
  <w:p w14:paraId="52425A48" w14:textId="336055A5" w:rsidR="00B6231F" w:rsidRDefault="002D0065" w:rsidP="00A55A3C">
    <w:pPr>
      <w:pStyle w:val="Header"/>
    </w:pPr>
    <w:r>
      <w:rPr>
        <w:noProof/>
        <w:lang w:val="en-US"/>
      </w:rPr>
      <w:drawing>
        <wp:anchor distT="0" distB="0" distL="114300" distR="114300" simplePos="0" relativeHeight="251657728" behindDoc="0" locked="0" layoutInCell="1" allowOverlap="1" wp14:anchorId="27B8B63F" wp14:editId="7517F6B4">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rPr>
      <mc:AlternateContent>
        <mc:Choice Requires="wps">
          <w:drawing>
            <wp:anchor distT="0" distB="0" distL="114300" distR="114300" simplePos="0" relativeHeight="251656704" behindDoc="0" locked="0" layoutInCell="1" allowOverlap="1" wp14:anchorId="74344C53" wp14:editId="3FDAC5F7">
              <wp:simplePos x="0" y="0"/>
              <wp:positionH relativeFrom="column">
                <wp:posOffset>476885</wp:posOffset>
              </wp:positionH>
              <wp:positionV relativeFrom="paragraph">
                <wp:posOffset>2540</wp:posOffset>
              </wp:positionV>
              <wp:extent cx="4663440" cy="6832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77777777" w:rsidR="00B6231F" w:rsidRPr="003C6A56" w:rsidRDefault="00B6231F" w:rsidP="00A55A3C">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0992BF3E" w14:textId="77777777" w:rsidR="00B6231F" w:rsidRPr="003C6A56"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Consejo Interamericano para el Desarrollo Integral</w:t>
                          </w:r>
                        </w:p>
                        <w:p w14:paraId="5DBF6BB6" w14:textId="77777777" w:rsidR="00B6231F"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Text Box 4" o:spid="_x0000_s1027" type="#_x0000_t202" style="position:absolute;margin-left:37.55pt;margin-top:.2pt;width:367.2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" stroked="f">
              <v:textbox>
                <w:txbxContent>
                  <w:p w14:paraId="2B1CC3DD" w14:textId="77777777" w:rsidR="00B6231F" w:rsidRPr="003C6A56" w:rsidRDefault="00B6231F" w:rsidP="00A55A3C">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0992BF3E" w14:textId="77777777" w:rsidR="00B6231F" w:rsidRPr="003C6A56"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Consejo Interamericano para el Desarrollo Integral</w:t>
                    </w:r>
                  </w:p>
                  <w:p w14:paraId="5DBF6BB6" w14:textId="77777777" w:rsidR="00B6231F"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(CIDI)</w:t>
                    </w:r>
                  </w:p>
                </w:txbxContent>
              </v:textbox>
            </v:shape>
          </w:pict>
        </mc:Fallback>
      </mc:AlternateContent>
    </w:r>
    <w:r>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77777777"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20279"/>
    <w:multiLevelType w:val="hybridMultilevel"/>
    <w:tmpl w:val="A1748DD8"/>
    <w:lvl w:ilvl="0" w:tplc="0C0A000F">
      <w:start w:val="1"/>
      <w:numFmt w:val="decimal"/>
      <w:lvlText w:val="%1."/>
      <w:lvlJc w:val="left"/>
      <w:pPr>
        <w:tabs>
          <w:tab w:val="num" w:pos="990"/>
        </w:tabs>
        <w:ind w:left="99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6" w15:restartNumberingAfterBreak="0">
    <w:nsid w:val="1DFF05F3"/>
    <w:multiLevelType w:val="hybridMultilevel"/>
    <w:tmpl w:val="C53637E2"/>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7"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2F4F1864"/>
    <w:multiLevelType w:val="hybridMultilevel"/>
    <w:tmpl w:val="4126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2180"/>
    <w:multiLevelType w:val="hybridMultilevel"/>
    <w:tmpl w:val="CD1C3788"/>
    <w:lvl w:ilvl="0" w:tplc="1700DC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3"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6"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80E04"/>
    <w:multiLevelType w:val="singleLevel"/>
    <w:tmpl w:val="7D06AD4E"/>
    <w:lvl w:ilvl="0">
      <w:start w:val="1"/>
      <w:numFmt w:val="decimal"/>
      <w:lvlText w:val="%1."/>
      <w:lvlJc w:val="left"/>
      <w:pPr>
        <w:tabs>
          <w:tab w:val="num" w:pos="1080"/>
        </w:tabs>
        <w:ind w:left="1080" w:hanging="360"/>
      </w:pPr>
      <w:rPr>
        <w:rFonts w:hint="default"/>
        <w:b w:val="0"/>
        <w:i w:val="0"/>
      </w:rPr>
    </w:lvl>
  </w:abstractNum>
  <w:abstractNum w:abstractNumId="18"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19"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6B271438"/>
    <w:multiLevelType w:val="hybridMultilevel"/>
    <w:tmpl w:val="A872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4"/>
  </w:num>
  <w:num w:numId="4">
    <w:abstractNumId w:val="23"/>
  </w:num>
  <w:num w:numId="5">
    <w:abstractNumId w:val="3"/>
  </w:num>
  <w:num w:numId="6">
    <w:abstractNumId w:val="11"/>
  </w:num>
  <w:num w:numId="7">
    <w:abstractNumId w:val="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5"/>
  </w:num>
  <w:num w:numId="18">
    <w:abstractNumId w:val="18"/>
  </w:num>
  <w:num w:numId="19">
    <w:abstractNumId w:val="15"/>
  </w:num>
  <w:num w:numId="20">
    <w:abstractNumId w:val="12"/>
  </w:num>
  <w:num w:numId="21">
    <w:abstractNumId w:val="8"/>
  </w:num>
  <w:num w:numId="22">
    <w:abstractNumId w:val="17"/>
  </w:num>
  <w:num w:numId="23">
    <w:abstractNumId w:val="19"/>
  </w:num>
  <w:num w:numId="24">
    <w:abstractNumId w:val="6"/>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US" w:vendorID="64" w:dllVersion="0" w:nlCheck="1" w:checkStyle="0"/>
  <w:activeWritingStyle w:appName="MSWord" w:lang="es-MX" w:vendorID="64" w:dllVersion="0" w:nlCheck="1" w:checkStyle="0"/>
  <w:activeWritingStyle w:appName="MSWord" w:lang="fr-CA" w:vendorID="64" w:dllVersion="0" w:nlCheck="1" w:checkStyle="0"/>
  <w:activeWritingStyle w:appName="MSWord" w:lang="es-MX" w:vendorID="64" w:dllVersion="6" w:nlCheck="1" w:checkStyle="1"/>
  <w:activeWritingStyle w:appName="MSWord" w:lang="es-US" w:vendorID="64" w:dllVersion="6" w:nlCheck="1" w:checkStyle="1"/>
  <w:activeWritingStyle w:appName="MSWord" w:lang="fr-CA"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PE" w:vendorID="64" w:dllVersion="0" w:nlCheck="1" w:checkStyle="0"/>
  <w:activeWritingStyle w:appName="MSWord" w:lang="es-C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6DC6"/>
    <w:rsid w:val="0003083B"/>
    <w:rsid w:val="000311E4"/>
    <w:rsid w:val="00031694"/>
    <w:rsid w:val="0003226B"/>
    <w:rsid w:val="00034B7D"/>
    <w:rsid w:val="000374DC"/>
    <w:rsid w:val="000401C0"/>
    <w:rsid w:val="00041109"/>
    <w:rsid w:val="000463EE"/>
    <w:rsid w:val="00047666"/>
    <w:rsid w:val="00047997"/>
    <w:rsid w:val="000512DC"/>
    <w:rsid w:val="00051E2C"/>
    <w:rsid w:val="000522D1"/>
    <w:rsid w:val="000551D2"/>
    <w:rsid w:val="00056095"/>
    <w:rsid w:val="0006060F"/>
    <w:rsid w:val="00060C49"/>
    <w:rsid w:val="00060F5A"/>
    <w:rsid w:val="00061CCA"/>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2197"/>
    <w:rsid w:val="00082836"/>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A0FF7"/>
    <w:rsid w:val="000A1F7D"/>
    <w:rsid w:val="000A258E"/>
    <w:rsid w:val="000A3FFC"/>
    <w:rsid w:val="000A575B"/>
    <w:rsid w:val="000A771D"/>
    <w:rsid w:val="000A78E4"/>
    <w:rsid w:val="000A7937"/>
    <w:rsid w:val="000A7E4C"/>
    <w:rsid w:val="000B0197"/>
    <w:rsid w:val="000B26B5"/>
    <w:rsid w:val="000B44A3"/>
    <w:rsid w:val="000B65FE"/>
    <w:rsid w:val="000B7F65"/>
    <w:rsid w:val="000C0B73"/>
    <w:rsid w:val="000C15BA"/>
    <w:rsid w:val="000C1F57"/>
    <w:rsid w:val="000C409C"/>
    <w:rsid w:val="000C447D"/>
    <w:rsid w:val="000C5BDB"/>
    <w:rsid w:val="000C6F60"/>
    <w:rsid w:val="000C73AA"/>
    <w:rsid w:val="000C7D9B"/>
    <w:rsid w:val="000D0404"/>
    <w:rsid w:val="000D1D7E"/>
    <w:rsid w:val="000D210A"/>
    <w:rsid w:val="000D3E4E"/>
    <w:rsid w:val="000D4335"/>
    <w:rsid w:val="000D482A"/>
    <w:rsid w:val="000D4A72"/>
    <w:rsid w:val="000D647B"/>
    <w:rsid w:val="000D7422"/>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CC8"/>
    <w:rsid w:val="001068EA"/>
    <w:rsid w:val="0011065F"/>
    <w:rsid w:val="00110A03"/>
    <w:rsid w:val="00112F1F"/>
    <w:rsid w:val="00115DE5"/>
    <w:rsid w:val="00116267"/>
    <w:rsid w:val="00121353"/>
    <w:rsid w:val="0012173D"/>
    <w:rsid w:val="001222D5"/>
    <w:rsid w:val="0012308B"/>
    <w:rsid w:val="00124391"/>
    <w:rsid w:val="001245C6"/>
    <w:rsid w:val="00125140"/>
    <w:rsid w:val="001257C2"/>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1684"/>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D3F"/>
    <w:rsid w:val="001715BB"/>
    <w:rsid w:val="00172455"/>
    <w:rsid w:val="00176BCD"/>
    <w:rsid w:val="00176CCB"/>
    <w:rsid w:val="001774D6"/>
    <w:rsid w:val="00177E1C"/>
    <w:rsid w:val="00182384"/>
    <w:rsid w:val="001826D1"/>
    <w:rsid w:val="00182B70"/>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99D"/>
    <w:rsid w:val="00196FB9"/>
    <w:rsid w:val="00197232"/>
    <w:rsid w:val="001972E8"/>
    <w:rsid w:val="001A261D"/>
    <w:rsid w:val="001A2636"/>
    <w:rsid w:val="001A2CF8"/>
    <w:rsid w:val="001A2FAE"/>
    <w:rsid w:val="001A319A"/>
    <w:rsid w:val="001A391A"/>
    <w:rsid w:val="001A4243"/>
    <w:rsid w:val="001B022E"/>
    <w:rsid w:val="001B11CA"/>
    <w:rsid w:val="001B2CB5"/>
    <w:rsid w:val="001B2E47"/>
    <w:rsid w:val="001B41A0"/>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2B0"/>
    <w:rsid w:val="001C1868"/>
    <w:rsid w:val="001C1C6C"/>
    <w:rsid w:val="001C316D"/>
    <w:rsid w:val="001C3652"/>
    <w:rsid w:val="001C4349"/>
    <w:rsid w:val="001C460A"/>
    <w:rsid w:val="001C4942"/>
    <w:rsid w:val="001C5286"/>
    <w:rsid w:val="001C5354"/>
    <w:rsid w:val="001C68FD"/>
    <w:rsid w:val="001C6CB2"/>
    <w:rsid w:val="001C7090"/>
    <w:rsid w:val="001C7B63"/>
    <w:rsid w:val="001C7C0E"/>
    <w:rsid w:val="001D155B"/>
    <w:rsid w:val="001D3FE2"/>
    <w:rsid w:val="001D43A0"/>
    <w:rsid w:val="001D45BE"/>
    <w:rsid w:val="001D4D19"/>
    <w:rsid w:val="001D5187"/>
    <w:rsid w:val="001D5D59"/>
    <w:rsid w:val="001D5E4C"/>
    <w:rsid w:val="001D5E92"/>
    <w:rsid w:val="001D6EEE"/>
    <w:rsid w:val="001E0E5D"/>
    <w:rsid w:val="001E1F0E"/>
    <w:rsid w:val="001E3E44"/>
    <w:rsid w:val="001E46D6"/>
    <w:rsid w:val="001E4BB0"/>
    <w:rsid w:val="001E4CC0"/>
    <w:rsid w:val="001E5394"/>
    <w:rsid w:val="001E6881"/>
    <w:rsid w:val="001E692E"/>
    <w:rsid w:val="001E6993"/>
    <w:rsid w:val="001E6AA7"/>
    <w:rsid w:val="001E6CE2"/>
    <w:rsid w:val="001E7F15"/>
    <w:rsid w:val="001F038A"/>
    <w:rsid w:val="001F0BEB"/>
    <w:rsid w:val="001F0E3D"/>
    <w:rsid w:val="001F149A"/>
    <w:rsid w:val="001F2106"/>
    <w:rsid w:val="001F2B89"/>
    <w:rsid w:val="001F455F"/>
    <w:rsid w:val="001F68A4"/>
    <w:rsid w:val="002004C9"/>
    <w:rsid w:val="0020179C"/>
    <w:rsid w:val="002037BA"/>
    <w:rsid w:val="002037EA"/>
    <w:rsid w:val="00203C81"/>
    <w:rsid w:val="00205C77"/>
    <w:rsid w:val="00206EC0"/>
    <w:rsid w:val="0021048E"/>
    <w:rsid w:val="002109B4"/>
    <w:rsid w:val="00212C81"/>
    <w:rsid w:val="00212EBA"/>
    <w:rsid w:val="00213000"/>
    <w:rsid w:val="0021344B"/>
    <w:rsid w:val="00215017"/>
    <w:rsid w:val="00215DD7"/>
    <w:rsid w:val="00216A79"/>
    <w:rsid w:val="002171CC"/>
    <w:rsid w:val="002179E8"/>
    <w:rsid w:val="00217B64"/>
    <w:rsid w:val="002205AB"/>
    <w:rsid w:val="002206D2"/>
    <w:rsid w:val="00220CC6"/>
    <w:rsid w:val="00220E2F"/>
    <w:rsid w:val="002219E0"/>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0575"/>
    <w:rsid w:val="00251B6B"/>
    <w:rsid w:val="002524F8"/>
    <w:rsid w:val="002533D1"/>
    <w:rsid w:val="00253A72"/>
    <w:rsid w:val="002541D9"/>
    <w:rsid w:val="0025471D"/>
    <w:rsid w:val="00254851"/>
    <w:rsid w:val="00254EE6"/>
    <w:rsid w:val="00256FEB"/>
    <w:rsid w:val="00257AF6"/>
    <w:rsid w:val="00257ED8"/>
    <w:rsid w:val="00260D8E"/>
    <w:rsid w:val="00261DC1"/>
    <w:rsid w:val="002628A8"/>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D13"/>
    <w:rsid w:val="00292D1F"/>
    <w:rsid w:val="0029399F"/>
    <w:rsid w:val="00296023"/>
    <w:rsid w:val="00297636"/>
    <w:rsid w:val="00297793"/>
    <w:rsid w:val="00297B8D"/>
    <w:rsid w:val="00297DBE"/>
    <w:rsid w:val="002A0F1E"/>
    <w:rsid w:val="002A1943"/>
    <w:rsid w:val="002A1B12"/>
    <w:rsid w:val="002A1C33"/>
    <w:rsid w:val="002A204E"/>
    <w:rsid w:val="002A2174"/>
    <w:rsid w:val="002A232C"/>
    <w:rsid w:val="002A2CB5"/>
    <w:rsid w:val="002A37DD"/>
    <w:rsid w:val="002A44DC"/>
    <w:rsid w:val="002B04FB"/>
    <w:rsid w:val="002B07CE"/>
    <w:rsid w:val="002B1AC0"/>
    <w:rsid w:val="002B1D43"/>
    <w:rsid w:val="002B26A0"/>
    <w:rsid w:val="002B4388"/>
    <w:rsid w:val="002B4572"/>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10C"/>
    <w:rsid w:val="002E640C"/>
    <w:rsid w:val="002E6474"/>
    <w:rsid w:val="002E6EDE"/>
    <w:rsid w:val="002E727E"/>
    <w:rsid w:val="002E7DAE"/>
    <w:rsid w:val="002F05A1"/>
    <w:rsid w:val="002F0D11"/>
    <w:rsid w:val="002F2686"/>
    <w:rsid w:val="002F33CB"/>
    <w:rsid w:val="002F3479"/>
    <w:rsid w:val="002F4F34"/>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AA3"/>
    <w:rsid w:val="00342CC7"/>
    <w:rsid w:val="00344C1F"/>
    <w:rsid w:val="0034559B"/>
    <w:rsid w:val="003462D6"/>
    <w:rsid w:val="00346C1C"/>
    <w:rsid w:val="00346EC2"/>
    <w:rsid w:val="00346F57"/>
    <w:rsid w:val="00347270"/>
    <w:rsid w:val="003474E6"/>
    <w:rsid w:val="00350278"/>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6A56"/>
    <w:rsid w:val="003678C6"/>
    <w:rsid w:val="00370371"/>
    <w:rsid w:val="0037272F"/>
    <w:rsid w:val="00373C73"/>
    <w:rsid w:val="00374557"/>
    <w:rsid w:val="003765E5"/>
    <w:rsid w:val="00380F7D"/>
    <w:rsid w:val="003811CE"/>
    <w:rsid w:val="00381B2A"/>
    <w:rsid w:val="00383556"/>
    <w:rsid w:val="00383589"/>
    <w:rsid w:val="00383E86"/>
    <w:rsid w:val="00385544"/>
    <w:rsid w:val="00386013"/>
    <w:rsid w:val="00386A2D"/>
    <w:rsid w:val="00387369"/>
    <w:rsid w:val="00387775"/>
    <w:rsid w:val="00387A64"/>
    <w:rsid w:val="00390E0D"/>
    <w:rsid w:val="00392C05"/>
    <w:rsid w:val="00393101"/>
    <w:rsid w:val="00397131"/>
    <w:rsid w:val="00397BFC"/>
    <w:rsid w:val="00397DCD"/>
    <w:rsid w:val="003A0607"/>
    <w:rsid w:val="003A115E"/>
    <w:rsid w:val="003A2B37"/>
    <w:rsid w:val="003A38B9"/>
    <w:rsid w:val="003A3FDA"/>
    <w:rsid w:val="003A44BC"/>
    <w:rsid w:val="003A464E"/>
    <w:rsid w:val="003A56AB"/>
    <w:rsid w:val="003A5BC4"/>
    <w:rsid w:val="003A5E04"/>
    <w:rsid w:val="003A6068"/>
    <w:rsid w:val="003A620E"/>
    <w:rsid w:val="003A6A52"/>
    <w:rsid w:val="003A70C0"/>
    <w:rsid w:val="003A7DB3"/>
    <w:rsid w:val="003B0829"/>
    <w:rsid w:val="003B151E"/>
    <w:rsid w:val="003B169F"/>
    <w:rsid w:val="003B30EE"/>
    <w:rsid w:val="003B51A3"/>
    <w:rsid w:val="003B58CE"/>
    <w:rsid w:val="003B671C"/>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16FC"/>
    <w:rsid w:val="003D2CD4"/>
    <w:rsid w:val="003D3374"/>
    <w:rsid w:val="003D40D0"/>
    <w:rsid w:val="003D51D7"/>
    <w:rsid w:val="003D6803"/>
    <w:rsid w:val="003D6B5D"/>
    <w:rsid w:val="003D7939"/>
    <w:rsid w:val="003E160F"/>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9FC"/>
    <w:rsid w:val="0047504C"/>
    <w:rsid w:val="00475409"/>
    <w:rsid w:val="00475958"/>
    <w:rsid w:val="00477164"/>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4D9C"/>
    <w:rsid w:val="004A5E87"/>
    <w:rsid w:val="004A678A"/>
    <w:rsid w:val="004B06EF"/>
    <w:rsid w:val="004B0770"/>
    <w:rsid w:val="004B5DEE"/>
    <w:rsid w:val="004C0E07"/>
    <w:rsid w:val="004C13C7"/>
    <w:rsid w:val="004C289E"/>
    <w:rsid w:val="004C29D6"/>
    <w:rsid w:val="004C5181"/>
    <w:rsid w:val="004C584B"/>
    <w:rsid w:val="004C60FF"/>
    <w:rsid w:val="004C7CAD"/>
    <w:rsid w:val="004D022F"/>
    <w:rsid w:val="004D1BBC"/>
    <w:rsid w:val="004D306C"/>
    <w:rsid w:val="004D4207"/>
    <w:rsid w:val="004D4D4B"/>
    <w:rsid w:val="004D5F8C"/>
    <w:rsid w:val="004E147D"/>
    <w:rsid w:val="004E1FEF"/>
    <w:rsid w:val="004E2AD2"/>
    <w:rsid w:val="004E2F1B"/>
    <w:rsid w:val="004E36E7"/>
    <w:rsid w:val="004E5128"/>
    <w:rsid w:val="004E5501"/>
    <w:rsid w:val="004E5F1B"/>
    <w:rsid w:val="004F01AE"/>
    <w:rsid w:val="004F069F"/>
    <w:rsid w:val="004F0F18"/>
    <w:rsid w:val="004F4368"/>
    <w:rsid w:val="004F43F7"/>
    <w:rsid w:val="004F5D66"/>
    <w:rsid w:val="004F675C"/>
    <w:rsid w:val="004F7237"/>
    <w:rsid w:val="004F7B9A"/>
    <w:rsid w:val="004F7F7D"/>
    <w:rsid w:val="005002BA"/>
    <w:rsid w:val="00500F21"/>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A96"/>
    <w:rsid w:val="00525EEF"/>
    <w:rsid w:val="005279E5"/>
    <w:rsid w:val="00530076"/>
    <w:rsid w:val="00530DB0"/>
    <w:rsid w:val="005326F6"/>
    <w:rsid w:val="00533BBB"/>
    <w:rsid w:val="00533F3C"/>
    <w:rsid w:val="005349B8"/>
    <w:rsid w:val="00534BDF"/>
    <w:rsid w:val="00535A5B"/>
    <w:rsid w:val="00535AB0"/>
    <w:rsid w:val="00535E49"/>
    <w:rsid w:val="00536D4A"/>
    <w:rsid w:val="00536F95"/>
    <w:rsid w:val="0053718A"/>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024"/>
    <w:rsid w:val="00566992"/>
    <w:rsid w:val="00566D49"/>
    <w:rsid w:val="00566ECF"/>
    <w:rsid w:val="00567F5A"/>
    <w:rsid w:val="00571A83"/>
    <w:rsid w:val="00571AB5"/>
    <w:rsid w:val="005753C4"/>
    <w:rsid w:val="00575815"/>
    <w:rsid w:val="00577CE5"/>
    <w:rsid w:val="00577F2A"/>
    <w:rsid w:val="00580461"/>
    <w:rsid w:val="005804D7"/>
    <w:rsid w:val="0058178A"/>
    <w:rsid w:val="00582FE5"/>
    <w:rsid w:val="005840A9"/>
    <w:rsid w:val="005853F1"/>
    <w:rsid w:val="00586AC2"/>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A79CE"/>
    <w:rsid w:val="005B1180"/>
    <w:rsid w:val="005B1DB0"/>
    <w:rsid w:val="005B240C"/>
    <w:rsid w:val="005B43A6"/>
    <w:rsid w:val="005B50DB"/>
    <w:rsid w:val="005B544A"/>
    <w:rsid w:val="005B5BB0"/>
    <w:rsid w:val="005B63E3"/>
    <w:rsid w:val="005B6504"/>
    <w:rsid w:val="005B6B1E"/>
    <w:rsid w:val="005C0103"/>
    <w:rsid w:val="005C087C"/>
    <w:rsid w:val="005C3416"/>
    <w:rsid w:val="005C3BBF"/>
    <w:rsid w:val="005C4BE2"/>
    <w:rsid w:val="005C6189"/>
    <w:rsid w:val="005C6FD7"/>
    <w:rsid w:val="005C7570"/>
    <w:rsid w:val="005C7621"/>
    <w:rsid w:val="005D0973"/>
    <w:rsid w:val="005D1C38"/>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F0071"/>
    <w:rsid w:val="005F10F5"/>
    <w:rsid w:val="005F201A"/>
    <w:rsid w:val="005F21E5"/>
    <w:rsid w:val="005F2804"/>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362C"/>
    <w:rsid w:val="00644443"/>
    <w:rsid w:val="00644692"/>
    <w:rsid w:val="00644D53"/>
    <w:rsid w:val="006469E2"/>
    <w:rsid w:val="006479FF"/>
    <w:rsid w:val="00650AC7"/>
    <w:rsid w:val="00651469"/>
    <w:rsid w:val="00651526"/>
    <w:rsid w:val="00651C15"/>
    <w:rsid w:val="0065378C"/>
    <w:rsid w:val="0065448D"/>
    <w:rsid w:val="006556E2"/>
    <w:rsid w:val="00655743"/>
    <w:rsid w:val="00656E2F"/>
    <w:rsid w:val="006579E0"/>
    <w:rsid w:val="00657B89"/>
    <w:rsid w:val="00660371"/>
    <w:rsid w:val="006608C2"/>
    <w:rsid w:val="00661C07"/>
    <w:rsid w:val="006622FD"/>
    <w:rsid w:val="00663EA3"/>
    <w:rsid w:val="00664A77"/>
    <w:rsid w:val="00666CAD"/>
    <w:rsid w:val="00670411"/>
    <w:rsid w:val="006728F9"/>
    <w:rsid w:val="00672B55"/>
    <w:rsid w:val="00680969"/>
    <w:rsid w:val="00680B6D"/>
    <w:rsid w:val="006814C6"/>
    <w:rsid w:val="0068240B"/>
    <w:rsid w:val="006825E3"/>
    <w:rsid w:val="0068289B"/>
    <w:rsid w:val="00682C90"/>
    <w:rsid w:val="00683E84"/>
    <w:rsid w:val="00684077"/>
    <w:rsid w:val="00684C05"/>
    <w:rsid w:val="00685096"/>
    <w:rsid w:val="00686487"/>
    <w:rsid w:val="00686AB8"/>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BAB"/>
    <w:rsid w:val="006D63F1"/>
    <w:rsid w:val="006D7E15"/>
    <w:rsid w:val="006E01A8"/>
    <w:rsid w:val="006E084B"/>
    <w:rsid w:val="006E0A5D"/>
    <w:rsid w:val="006E11AC"/>
    <w:rsid w:val="006E1A90"/>
    <w:rsid w:val="006E1F75"/>
    <w:rsid w:val="006E4902"/>
    <w:rsid w:val="006E52FB"/>
    <w:rsid w:val="006E5DF2"/>
    <w:rsid w:val="006E6D24"/>
    <w:rsid w:val="006E7A11"/>
    <w:rsid w:val="006F04E5"/>
    <w:rsid w:val="006F097D"/>
    <w:rsid w:val="006F17F7"/>
    <w:rsid w:val="006F1B5B"/>
    <w:rsid w:val="006F1C61"/>
    <w:rsid w:val="006F2237"/>
    <w:rsid w:val="006F2FD8"/>
    <w:rsid w:val="006F32DE"/>
    <w:rsid w:val="006F367C"/>
    <w:rsid w:val="006F427C"/>
    <w:rsid w:val="006F431C"/>
    <w:rsid w:val="006F7181"/>
    <w:rsid w:val="006F7D19"/>
    <w:rsid w:val="00700F0F"/>
    <w:rsid w:val="00701396"/>
    <w:rsid w:val="007017B4"/>
    <w:rsid w:val="00702052"/>
    <w:rsid w:val="00702FCC"/>
    <w:rsid w:val="00703297"/>
    <w:rsid w:val="0070375E"/>
    <w:rsid w:val="00704611"/>
    <w:rsid w:val="00705AB3"/>
    <w:rsid w:val="00705D4F"/>
    <w:rsid w:val="00706C68"/>
    <w:rsid w:val="00706DE3"/>
    <w:rsid w:val="007070A1"/>
    <w:rsid w:val="0071074B"/>
    <w:rsid w:val="00711582"/>
    <w:rsid w:val="00711D32"/>
    <w:rsid w:val="0071242B"/>
    <w:rsid w:val="0071301C"/>
    <w:rsid w:val="00713B21"/>
    <w:rsid w:val="0071480D"/>
    <w:rsid w:val="0071500F"/>
    <w:rsid w:val="0071547C"/>
    <w:rsid w:val="00715ECB"/>
    <w:rsid w:val="007162B6"/>
    <w:rsid w:val="007166F2"/>
    <w:rsid w:val="00720174"/>
    <w:rsid w:val="00720219"/>
    <w:rsid w:val="0072030F"/>
    <w:rsid w:val="00720FD5"/>
    <w:rsid w:val="007224D4"/>
    <w:rsid w:val="0072266D"/>
    <w:rsid w:val="00722E72"/>
    <w:rsid w:val="007235B2"/>
    <w:rsid w:val="00723670"/>
    <w:rsid w:val="00723A55"/>
    <w:rsid w:val="00724BB2"/>
    <w:rsid w:val="00724C2B"/>
    <w:rsid w:val="00725F8D"/>
    <w:rsid w:val="00726CF2"/>
    <w:rsid w:val="00727AC8"/>
    <w:rsid w:val="007308CD"/>
    <w:rsid w:val="00730CCE"/>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430"/>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31A"/>
    <w:rsid w:val="007879B5"/>
    <w:rsid w:val="00787C91"/>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20AF"/>
    <w:rsid w:val="007D2287"/>
    <w:rsid w:val="007D3730"/>
    <w:rsid w:val="007D3A38"/>
    <w:rsid w:val="007D3FF1"/>
    <w:rsid w:val="007D56CC"/>
    <w:rsid w:val="007D7177"/>
    <w:rsid w:val="007D7C11"/>
    <w:rsid w:val="007E0123"/>
    <w:rsid w:val="007E2C4E"/>
    <w:rsid w:val="007E3204"/>
    <w:rsid w:val="007E4173"/>
    <w:rsid w:val="007E541F"/>
    <w:rsid w:val="007E6FD7"/>
    <w:rsid w:val="007F04F7"/>
    <w:rsid w:val="007F07AF"/>
    <w:rsid w:val="007F0CEF"/>
    <w:rsid w:val="007F164C"/>
    <w:rsid w:val="007F1780"/>
    <w:rsid w:val="007F1F98"/>
    <w:rsid w:val="007F2505"/>
    <w:rsid w:val="007F2E40"/>
    <w:rsid w:val="007F47E8"/>
    <w:rsid w:val="007F5111"/>
    <w:rsid w:val="007F519C"/>
    <w:rsid w:val="007F69B4"/>
    <w:rsid w:val="007F710D"/>
    <w:rsid w:val="007F7FF2"/>
    <w:rsid w:val="00801C6D"/>
    <w:rsid w:val="008045C0"/>
    <w:rsid w:val="008047A2"/>
    <w:rsid w:val="00804D52"/>
    <w:rsid w:val="008051A7"/>
    <w:rsid w:val="008066F8"/>
    <w:rsid w:val="00807416"/>
    <w:rsid w:val="008101F4"/>
    <w:rsid w:val="00810CE3"/>
    <w:rsid w:val="00813798"/>
    <w:rsid w:val="00813F3F"/>
    <w:rsid w:val="00816151"/>
    <w:rsid w:val="00816CFB"/>
    <w:rsid w:val="00817762"/>
    <w:rsid w:val="008205AB"/>
    <w:rsid w:val="00820CE5"/>
    <w:rsid w:val="00823313"/>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C55"/>
    <w:rsid w:val="00833D50"/>
    <w:rsid w:val="0083591B"/>
    <w:rsid w:val="008374B1"/>
    <w:rsid w:val="00837660"/>
    <w:rsid w:val="00837DB3"/>
    <w:rsid w:val="00837FEC"/>
    <w:rsid w:val="00840372"/>
    <w:rsid w:val="00841C90"/>
    <w:rsid w:val="0084265E"/>
    <w:rsid w:val="008434BF"/>
    <w:rsid w:val="0084373B"/>
    <w:rsid w:val="008443DD"/>
    <w:rsid w:val="00844844"/>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60301"/>
    <w:rsid w:val="008603A6"/>
    <w:rsid w:val="008603C8"/>
    <w:rsid w:val="00860965"/>
    <w:rsid w:val="008618EB"/>
    <w:rsid w:val="00861FC0"/>
    <w:rsid w:val="008652EC"/>
    <w:rsid w:val="0086544E"/>
    <w:rsid w:val="008656C9"/>
    <w:rsid w:val="00866241"/>
    <w:rsid w:val="00866FE6"/>
    <w:rsid w:val="00867A7B"/>
    <w:rsid w:val="00867CBE"/>
    <w:rsid w:val="00867D55"/>
    <w:rsid w:val="00870BF2"/>
    <w:rsid w:val="008739CB"/>
    <w:rsid w:val="008745DC"/>
    <w:rsid w:val="0087651D"/>
    <w:rsid w:val="00876B25"/>
    <w:rsid w:val="00877E97"/>
    <w:rsid w:val="00880453"/>
    <w:rsid w:val="00881BDE"/>
    <w:rsid w:val="00881BF3"/>
    <w:rsid w:val="0088311F"/>
    <w:rsid w:val="00883B42"/>
    <w:rsid w:val="008864C7"/>
    <w:rsid w:val="00887E1F"/>
    <w:rsid w:val="00890117"/>
    <w:rsid w:val="00891924"/>
    <w:rsid w:val="00892001"/>
    <w:rsid w:val="00893882"/>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C2F0D"/>
    <w:rsid w:val="008C3C5D"/>
    <w:rsid w:val="008C4663"/>
    <w:rsid w:val="008C5542"/>
    <w:rsid w:val="008C5DA6"/>
    <w:rsid w:val="008C5F52"/>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70B8"/>
    <w:rsid w:val="008E718B"/>
    <w:rsid w:val="008F057E"/>
    <w:rsid w:val="008F09D8"/>
    <w:rsid w:val="008F1FD1"/>
    <w:rsid w:val="008F3071"/>
    <w:rsid w:val="008F35EC"/>
    <w:rsid w:val="008F3E6E"/>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F6F"/>
    <w:rsid w:val="00957344"/>
    <w:rsid w:val="0095737F"/>
    <w:rsid w:val="00957A0B"/>
    <w:rsid w:val="00960B5E"/>
    <w:rsid w:val="0096208B"/>
    <w:rsid w:val="00962C0D"/>
    <w:rsid w:val="00963779"/>
    <w:rsid w:val="0096381F"/>
    <w:rsid w:val="0096444B"/>
    <w:rsid w:val="00965292"/>
    <w:rsid w:val="00967DD7"/>
    <w:rsid w:val="009702CA"/>
    <w:rsid w:val="00971303"/>
    <w:rsid w:val="0097194A"/>
    <w:rsid w:val="00971CE9"/>
    <w:rsid w:val="009720AD"/>
    <w:rsid w:val="009747B2"/>
    <w:rsid w:val="00975BD5"/>
    <w:rsid w:val="00976477"/>
    <w:rsid w:val="0097771B"/>
    <w:rsid w:val="00980E1E"/>
    <w:rsid w:val="009815AE"/>
    <w:rsid w:val="0098278E"/>
    <w:rsid w:val="0098332C"/>
    <w:rsid w:val="0098369B"/>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15FA"/>
    <w:rsid w:val="009B44E6"/>
    <w:rsid w:val="009B45FE"/>
    <w:rsid w:val="009B4683"/>
    <w:rsid w:val="009B5309"/>
    <w:rsid w:val="009B6CCC"/>
    <w:rsid w:val="009B7883"/>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48CF"/>
    <w:rsid w:val="00A15627"/>
    <w:rsid w:val="00A17612"/>
    <w:rsid w:val="00A176B3"/>
    <w:rsid w:val="00A212FD"/>
    <w:rsid w:val="00A23122"/>
    <w:rsid w:val="00A23494"/>
    <w:rsid w:val="00A24F3E"/>
    <w:rsid w:val="00A24F74"/>
    <w:rsid w:val="00A260BC"/>
    <w:rsid w:val="00A27F13"/>
    <w:rsid w:val="00A30EF0"/>
    <w:rsid w:val="00A31C8D"/>
    <w:rsid w:val="00A331B4"/>
    <w:rsid w:val="00A345DF"/>
    <w:rsid w:val="00A34CCF"/>
    <w:rsid w:val="00A3579F"/>
    <w:rsid w:val="00A3686D"/>
    <w:rsid w:val="00A377D1"/>
    <w:rsid w:val="00A37AB4"/>
    <w:rsid w:val="00A43511"/>
    <w:rsid w:val="00A4390E"/>
    <w:rsid w:val="00A45F91"/>
    <w:rsid w:val="00A47863"/>
    <w:rsid w:val="00A511EF"/>
    <w:rsid w:val="00A5514D"/>
    <w:rsid w:val="00A55218"/>
    <w:rsid w:val="00A555E3"/>
    <w:rsid w:val="00A55A3C"/>
    <w:rsid w:val="00A5708C"/>
    <w:rsid w:val="00A578AF"/>
    <w:rsid w:val="00A57DE2"/>
    <w:rsid w:val="00A60AA7"/>
    <w:rsid w:val="00A61AAC"/>
    <w:rsid w:val="00A64577"/>
    <w:rsid w:val="00A711A0"/>
    <w:rsid w:val="00A71A33"/>
    <w:rsid w:val="00A71FB8"/>
    <w:rsid w:val="00A72A6B"/>
    <w:rsid w:val="00A72B51"/>
    <w:rsid w:val="00A73810"/>
    <w:rsid w:val="00A7396C"/>
    <w:rsid w:val="00A75935"/>
    <w:rsid w:val="00A7618E"/>
    <w:rsid w:val="00A80E1B"/>
    <w:rsid w:val="00A814E1"/>
    <w:rsid w:val="00A82E75"/>
    <w:rsid w:val="00A8489F"/>
    <w:rsid w:val="00A85028"/>
    <w:rsid w:val="00A85DD9"/>
    <w:rsid w:val="00A87C5F"/>
    <w:rsid w:val="00A90180"/>
    <w:rsid w:val="00A9080F"/>
    <w:rsid w:val="00A9093E"/>
    <w:rsid w:val="00A90FF3"/>
    <w:rsid w:val="00A91325"/>
    <w:rsid w:val="00A94F54"/>
    <w:rsid w:val="00A95F28"/>
    <w:rsid w:val="00A97C14"/>
    <w:rsid w:val="00AA1245"/>
    <w:rsid w:val="00AA1F53"/>
    <w:rsid w:val="00AA210B"/>
    <w:rsid w:val="00AA2277"/>
    <w:rsid w:val="00AA27BF"/>
    <w:rsid w:val="00AA2CA4"/>
    <w:rsid w:val="00AA4F38"/>
    <w:rsid w:val="00AA5728"/>
    <w:rsid w:val="00AA7139"/>
    <w:rsid w:val="00AA71A9"/>
    <w:rsid w:val="00AA7378"/>
    <w:rsid w:val="00AA7A1A"/>
    <w:rsid w:val="00AA7F26"/>
    <w:rsid w:val="00AB0580"/>
    <w:rsid w:val="00AB1262"/>
    <w:rsid w:val="00AB42BC"/>
    <w:rsid w:val="00AB61BA"/>
    <w:rsid w:val="00AB6231"/>
    <w:rsid w:val="00AC0060"/>
    <w:rsid w:val="00AC02D5"/>
    <w:rsid w:val="00AC1FDE"/>
    <w:rsid w:val="00AC4A2F"/>
    <w:rsid w:val="00AC51D9"/>
    <w:rsid w:val="00AC66C5"/>
    <w:rsid w:val="00AC7EB2"/>
    <w:rsid w:val="00AD0723"/>
    <w:rsid w:val="00AD0816"/>
    <w:rsid w:val="00AD09DA"/>
    <w:rsid w:val="00AD0B2B"/>
    <w:rsid w:val="00AD125F"/>
    <w:rsid w:val="00AD3A4A"/>
    <w:rsid w:val="00AD3F26"/>
    <w:rsid w:val="00AD54E6"/>
    <w:rsid w:val="00AD5CD5"/>
    <w:rsid w:val="00AD634D"/>
    <w:rsid w:val="00AD6C94"/>
    <w:rsid w:val="00AE0D57"/>
    <w:rsid w:val="00AE160B"/>
    <w:rsid w:val="00AE2080"/>
    <w:rsid w:val="00AE2982"/>
    <w:rsid w:val="00AE2AAA"/>
    <w:rsid w:val="00AE2CBA"/>
    <w:rsid w:val="00AE3514"/>
    <w:rsid w:val="00AE428A"/>
    <w:rsid w:val="00AE5435"/>
    <w:rsid w:val="00AE5B22"/>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4558"/>
    <w:rsid w:val="00B4535F"/>
    <w:rsid w:val="00B47DFD"/>
    <w:rsid w:val="00B515DA"/>
    <w:rsid w:val="00B51770"/>
    <w:rsid w:val="00B53619"/>
    <w:rsid w:val="00B53934"/>
    <w:rsid w:val="00B53B66"/>
    <w:rsid w:val="00B5400A"/>
    <w:rsid w:val="00B54ACC"/>
    <w:rsid w:val="00B54BE3"/>
    <w:rsid w:val="00B56003"/>
    <w:rsid w:val="00B56392"/>
    <w:rsid w:val="00B565DB"/>
    <w:rsid w:val="00B56BBE"/>
    <w:rsid w:val="00B607BC"/>
    <w:rsid w:val="00B607C6"/>
    <w:rsid w:val="00B6231F"/>
    <w:rsid w:val="00B6322F"/>
    <w:rsid w:val="00B6511D"/>
    <w:rsid w:val="00B66422"/>
    <w:rsid w:val="00B679D7"/>
    <w:rsid w:val="00B67AA4"/>
    <w:rsid w:val="00B71447"/>
    <w:rsid w:val="00B75203"/>
    <w:rsid w:val="00B75CFE"/>
    <w:rsid w:val="00B76946"/>
    <w:rsid w:val="00B770AF"/>
    <w:rsid w:val="00B80173"/>
    <w:rsid w:val="00B8018C"/>
    <w:rsid w:val="00B80554"/>
    <w:rsid w:val="00B80DDC"/>
    <w:rsid w:val="00B818A5"/>
    <w:rsid w:val="00B82DA0"/>
    <w:rsid w:val="00B833B7"/>
    <w:rsid w:val="00B83D3E"/>
    <w:rsid w:val="00B849D3"/>
    <w:rsid w:val="00B85FFD"/>
    <w:rsid w:val="00B874EC"/>
    <w:rsid w:val="00B877C2"/>
    <w:rsid w:val="00B877D6"/>
    <w:rsid w:val="00B906D4"/>
    <w:rsid w:val="00B92A87"/>
    <w:rsid w:val="00B9462A"/>
    <w:rsid w:val="00B96586"/>
    <w:rsid w:val="00BA20EB"/>
    <w:rsid w:val="00BA3590"/>
    <w:rsid w:val="00BA4E90"/>
    <w:rsid w:val="00BA5DCE"/>
    <w:rsid w:val="00BA6593"/>
    <w:rsid w:val="00BA6BBE"/>
    <w:rsid w:val="00BA6CCA"/>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0A2C"/>
    <w:rsid w:val="00BD1DB0"/>
    <w:rsid w:val="00BD29FF"/>
    <w:rsid w:val="00BD2E98"/>
    <w:rsid w:val="00BD3D3E"/>
    <w:rsid w:val="00BD635D"/>
    <w:rsid w:val="00BD684D"/>
    <w:rsid w:val="00BD769A"/>
    <w:rsid w:val="00BD7E01"/>
    <w:rsid w:val="00BE279B"/>
    <w:rsid w:val="00BE32A1"/>
    <w:rsid w:val="00BE34FB"/>
    <w:rsid w:val="00BE5F82"/>
    <w:rsid w:val="00BE68A5"/>
    <w:rsid w:val="00BF2C2C"/>
    <w:rsid w:val="00BF30CC"/>
    <w:rsid w:val="00BF3A96"/>
    <w:rsid w:val="00BF438D"/>
    <w:rsid w:val="00BF5910"/>
    <w:rsid w:val="00BF6799"/>
    <w:rsid w:val="00BF6952"/>
    <w:rsid w:val="00BF6BCC"/>
    <w:rsid w:val="00BF6EA3"/>
    <w:rsid w:val="00BF7299"/>
    <w:rsid w:val="00C0038F"/>
    <w:rsid w:val="00C01259"/>
    <w:rsid w:val="00C01682"/>
    <w:rsid w:val="00C0681B"/>
    <w:rsid w:val="00C0685D"/>
    <w:rsid w:val="00C06CD5"/>
    <w:rsid w:val="00C072F9"/>
    <w:rsid w:val="00C1013A"/>
    <w:rsid w:val="00C119AF"/>
    <w:rsid w:val="00C12290"/>
    <w:rsid w:val="00C1289C"/>
    <w:rsid w:val="00C12FE1"/>
    <w:rsid w:val="00C13A1F"/>
    <w:rsid w:val="00C1445E"/>
    <w:rsid w:val="00C16206"/>
    <w:rsid w:val="00C16DE6"/>
    <w:rsid w:val="00C2070F"/>
    <w:rsid w:val="00C2247B"/>
    <w:rsid w:val="00C2249A"/>
    <w:rsid w:val="00C23947"/>
    <w:rsid w:val="00C240AF"/>
    <w:rsid w:val="00C241C9"/>
    <w:rsid w:val="00C24BE1"/>
    <w:rsid w:val="00C24FC3"/>
    <w:rsid w:val="00C24FE6"/>
    <w:rsid w:val="00C25349"/>
    <w:rsid w:val="00C25F1D"/>
    <w:rsid w:val="00C26DA3"/>
    <w:rsid w:val="00C3071F"/>
    <w:rsid w:val="00C30C37"/>
    <w:rsid w:val="00C30EAA"/>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2076"/>
    <w:rsid w:val="00C43D7E"/>
    <w:rsid w:val="00C43F46"/>
    <w:rsid w:val="00C446BE"/>
    <w:rsid w:val="00C44B93"/>
    <w:rsid w:val="00C460DD"/>
    <w:rsid w:val="00C478D3"/>
    <w:rsid w:val="00C504CE"/>
    <w:rsid w:val="00C5065E"/>
    <w:rsid w:val="00C51AC1"/>
    <w:rsid w:val="00C5282D"/>
    <w:rsid w:val="00C528CC"/>
    <w:rsid w:val="00C52C6A"/>
    <w:rsid w:val="00C52F77"/>
    <w:rsid w:val="00C563D9"/>
    <w:rsid w:val="00C56A89"/>
    <w:rsid w:val="00C57022"/>
    <w:rsid w:val="00C604A2"/>
    <w:rsid w:val="00C61061"/>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1071"/>
    <w:rsid w:val="00C84E62"/>
    <w:rsid w:val="00C85223"/>
    <w:rsid w:val="00C85468"/>
    <w:rsid w:val="00C85DF6"/>
    <w:rsid w:val="00C85FC0"/>
    <w:rsid w:val="00C87106"/>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B4D"/>
    <w:rsid w:val="00CD5098"/>
    <w:rsid w:val="00CD5B00"/>
    <w:rsid w:val="00CD696A"/>
    <w:rsid w:val="00CD6AA0"/>
    <w:rsid w:val="00CE3472"/>
    <w:rsid w:val="00CE5AC2"/>
    <w:rsid w:val="00CE752C"/>
    <w:rsid w:val="00CE7BA4"/>
    <w:rsid w:val="00CF0050"/>
    <w:rsid w:val="00CF0EFB"/>
    <w:rsid w:val="00CF1D0D"/>
    <w:rsid w:val="00CF453D"/>
    <w:rsid w:val="00CF4731"/>
    <w:rsid w:val="00CF5388"/>
    <w:rsid w:val="00CF5C80"/>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216D"/>
    <w:rsid w:val="00D128DB"/>
    <w:rsid w:val="00D139D5"/>
    <w:rsid w:val="00D14748"/>
    <w:rsid w:val="00D15D0B"/>
    <w:rsid w:val="00D1628C"/>
    <w:rsid w:val="00D162C0"/>
    <w:rsid w:val="00D165EC"/>
    <w:rsid w:val="00D16CBE"/>
    <w:rsid w:val="00D16E88"/>
    <w:rsid w:val="00D220D5"/>
    <w:rsid w:val="00D2227A"/>
    <w:rsid w:val="00D22E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119D"/>
    <w:rsid w:val="00D52279"/>
    <w:rsid w:val="00D53439"/>
    <w:rsid w:val="00D543FE"/>
    <w:rsid w:val="00D6185A"/>
    <w:rsid w:val="00D61B7A"/>
    <w:rsid w:val="00D61FA5"/>
    <w:rsid w:val="00D62B38"/>
    <w:rsid w:val="00D6454B"/>
    <w:rsid w:val="00D658D2"/>
    <w:rsid w:val="00D66AE1"/>
    <w:rsid w:val="00D67610"/>
    <w:rsid w:val="00D6792D"/>
    <w:rsid w:val="00D67F97"/>
    <w:rsid w:val="00D71F20"/>
    <w:rsid w:val="00D73057"/>
    <w:rsid w:val="00D730B3"/>
    <w:rsid w:val="00D738AD"/>
    <w:rsid w:val="00D74A21"/>
    <w:rsid w:val="00D75795"/>
    <w:rsid w:val="00D825E7"/>
    <w:rsid w:val="00D84A0D"/>
    <w:rsid w:val="00D85412"/>
    <w:rsid w:val="00D86EDE"/>
    <w:rsid w:val="00D87390"/>
    <w:rsid w:val="00D87495"/>
    <w:rsid w:val="00D90477"/>
    <w:rsid w:val="00D91D30"/>
    <w:rsid w:val="00D933F3"/>
    <w:rsid w:val="00D96830"/>
    <w:rsid w:val="00D96987"/>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EE6"/>
    <w:rsid w:val="00DC4F48"/>
    <w:rsid w:val="00DC52EE"/>
    <w:rsid w:val="00DC548C"/>
    <w:rsid w:val="00DC7F42"/>
    <w:rsid w:val="00DD0A3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C87"/>
    <w:rsid w:val="00DE663E"/>
    <w:rsid w:val="00DE7EB6"/>
    <w:rsid w:val="00DF09CD"/>
    <w:rsid w:val="00DF3651"/>
    <w:rsid w:val="00DF416B"/>
    <w:rsid w:val="00DF4D34"/>
    <w:rsid w:val="00DF4F01"/>
    <w:rsid w:val="00DF529A"/>
    <w:rsid w:val="00DF5E59"/>
    <w:rsid w:val="00DF653B"/>
    <w:rsid w:val="00DF6595"/>
    <w:rsid w:val="00E0016B"/>
    <w:rsid w:val="00E00B83"/>
    <w:rsid w:val="00E01370"/>
    <w:rsid w:val="00E02C74"/>
    <w:rsid w:val="00E078F4"/>
    <w:rsid w:val="00E07EAA"/>
    <w:rsid w:val="00E11124"/>
    <w:rsid w:val="00E12640"/>
    <w:rsid w:val="00E153C3"/>
    <w:rsid w:val="00E15B43"/>
    <w:rsid w:val="00E15FC3"/>
    <w:rsid w:val="00E1678E"/>
    <w:rsid w:val="00E16A42"/>
    <w:rsid w:val="00E206BE"/>
    <w:rsid w:val="00E2349C"/>
    <w:rsid w:val="00E243C9"/>
    <w:rsid w:val="00E30380"/>
    <w:rsid w:val="00E30729"/>
    <w:rsid w:val="00E318D9"/>
    <w:rsid w:val="00E31F8C"/>
    <w:rsid w:val="00E3297A"/>
    <w:rsid w:val="00E33E48"/>
    <w:rsid w:val="00E342F1"/>
    <w:rsid w:val="00E35DB2"/>
    <w:rsid w:val="00E36888"/>
    <w:rsid w:val="00E3689C"/>
    <w:rsid w:val="00E40612"/>
    <w:rsid w:val="00E44937"/>
    <w:rsid w:val="00E453AE"/>
    <w:rsid w:val="00E458F5"/>
    <w:rsid w:val="00E45ACF"/>
    <w:rsid w:val="00E46270"/>
    <w:rsid w:val="00E5148F"/>
    <w:rsid w:val="00E51739"/>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E34"/>
    <w:rsid w:val="00E9611D"/>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A85"/>
    <w:rsid w:val="00EB7B0B"/>
    <w:rsid w:val="00EB7D75"/>
    <w:rsid w:val="00EC0A59"/>
    <w:rsid w:val="00EC201A"/>
    <w:rsid w:val="00EC52FF"/>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3DDF"/>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49F"/>
    <w:rsid w:val="00F42ED6"/>
    <w:rsid w:val="00F44340"/>
    <w:rsid w:val="00F44581"/>
    <w:rsid w:val="00F47A60"/>
    <w:rsid w:val="00F47D3B"/>
    <w:rsid w:val="00F5073A"/>
    <w:rsid w:val="00F50C97"/>
    <w:rsid w:val="00F50DC4"/>
    <w:rsid w:val="00F51379"/>
    <w:rsid w:val="00F517F3"/>
    <w:rsid w:val="00F547C4"/>
    <w:rsid w:val="00F54C36"/>
    <w:rsid w:val="00F576CD"/>
    <w:rsid w:val="00F607D0"/>
    <w:rsid w:val="00F60EFA"/>
    <w:rsid w:val="00F61437"/>
    <w:rsid w:val="00F628D0"/>
    <w:rsid w:val="00F63D95"/>
    <w:rsid w:val="00F63E76"/>
    <w:rsid w:val="00F64A4A"/>
    <w:rsid w:val="00F654B3"/>
    <w:rsid w:val="00F65622"/>
    <w:rsid w:val="00F66B80"/>
    <w:rsid w:val="00F67062"/>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5C0D"/>
    <w:rsid w:val="00FD6A0B"/>
    <w:rsid w:val="00FE140E"/>
    <w:rsid w:val="00FE16E8"/>
    <w:rsid w:val="00FE20F7"/>
    <w:rsid w:val="00FE3810"/>
    <w:rsid w:val="00FE450F"/>
    <w:rsid w:val="00FE4872"/>
    <w:rsid w:val="00FE5353"/>
    <w:rsid w:val="00FE6E32"/>
    <w:rsid w:val="00FF225F"/>
    <w:rsid w:val="00FF265E"/>
    <w:rsid w:val="00FF26D1"/>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19699D"/>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uiPriority w:val="99"/>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semiHidden/>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uiPriority w:val="99"/>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1"/>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19699D"/>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es/educ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259&amp;la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sedi/dhdee/ministerial_meeting_VIII.asp" TargetMode="External"/><Relationship Id="rId4" Type="http://schemas.openxmlformats.org/officeDocument/2006/relationships/settings" Target="settings.xml"/><Relationship Id="rId9" Type="http://schemas.openxmlformats.org/officeDocument/2006/relationships/hyperlink" Target="http://www.un.org/sustainabledevelopment/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9C56-454B-4B6C-8223-24F4B3E4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2021-10-27T03:57:00Z</dcterms:created>
  <dcterms:modified xsi:type="dcterms:W3CDTF">2021-10-27T04:11:00Z</dcterms:modified>
</cp:coreProperties>
</file>