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001" w14:textId="77777777" w:rsidR="001373CB" w:rsidRPr="00E13978" w:rsidRDefault="001373CB" w:rsidP="00B31F11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bookmarkStart w:id="0" w:name="_top"/>
      <w:bookmarkEnd w:id="0"/>
      <w:r w:rsidRPr="00E13978">
        <w:rPr>
          <w:color w:val="000000" w:themeColor="text1"/>
          <w:sz w:val="22"/>
          <w:szCs w:val="22"/>
          <w:lang w:val="pt-BR"/>
        </w:rPr>
        <w:tab/>
        <w:t>OEA/Ser.W</w:t>
      </w:r>
    </w:p>
    <w:p w14:paraId="31B24E7A" w14:textId="761FE79B" w:rsidR="001373CB" w:rsidRPr="00E13978" w:rsidRDefault="001373CB" w:rsidP="00B31F11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ab/>
        <w:t>CIDI/doc.</w:t>
      </w:r>
      <w:r w:rsidR="0064235B">
        <w:rPr>
          <w:color w:val="000000" w:themeColor="text1"/>
          <w:sz w:val="22"/>
          <w:szCs w:val="22"/>
          <w:lang w:val="pt-BR"/>
        </w:rPr>
        <w:t xml:space="preserve"> 341</w:t>
      </w:r>
      <w:r w:rsidRPr="00E13978">
        <w:rPr>
          <w:color w:val="000000" w:themeColor="text1"/>
          <w:sz w:val="22"/>
          <w:szCs w:val="22"/>
          <w:lang w:val="pt-BR"/>
        </w:rPr>
        <w:t>/22</w:t>
      </w:r>
      <w:r w:rsidR="00DA4284">
        <w:rPr>
          <w:color w:val="000000" w:themeColor="text1"/>
          <w:sz w:val="22"/>
          <w:szCs w:val="22"/>
          <w:lang w:val="pt-BR"/>
        </w:rPr>
        <w:t xml:space="preserve"> rev.1</w:t>
      </w:r>
    </w:p>
    <w:p w14:paraId="207963EE" w14:textId="17198B0A" w:rsidR="001373CB" w:rsidRPr="00E13978" w:rsidRDefault="001373CB" w:rsidP="00B31F11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ab/>
      </w:r>
      <w:r w:rsidR="00DA4284">
        <w:rPr>
          <w:color w:val="000000" w:themeColor="text1"/>
          <w:sz w:val="22"/>
          <w:szCs w:val="22"/>
          <w:lang w:val="pt-BR"/>
        </w:rPr>
        <w:t>22 mar</w:t>
      </w:r>
      <w:r w:rsidR="00DA4284" w:rsidRPr="00E13978">
        <w:rPr>
          <w:color w:val="000000" w:themeColor="text1"/>
          <w:sz w:val="22"/>
          <w:szCs w:val="22"/>
          <w:lang w:val="pt-BR"/>
        </w:rPr>
        <w:t>ç</w:t>
      </w:r>
      <w:r w:rsidR="00DA4284">
        <w:rPr>
          <w:color w:val="000000" w:themeColor="text1"/>
          <w:sz w:val="22"/>
          <w:szCs w:val="22"/>
          <w:lang w:val="pt-BR"/>
        </w:rPr>
        <w:t>o</w:t>
      </w:r>
      <w:r w:rsidRPr="00E13978">
        <w:rPr>
          <w:color w:val="000000" w:themeColor="text1"/>
          <w:sz w:val="22"/>
          <w:szCs w:val="22"/>
          <w:lang w:val="pt-BR"/>
        </w:rPr>
        <w:t xml:space="preserve"> 2022</w:t>
      </w:r>
    </w:p>
    <w:p w14:paraId="6BFB717B" w14:textId="38F0E470" w:rsidR="001373CB" w:rsidRPr="00E13978" w:rsidRDefault="001373CB" w:rsidP="00B31F11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ab/>
        <w:t xml:space="preserve">Original: </w:t>
      </w:r>
      <w:r w:rsidR="003723DF" w:rsidRPr="00E13978">
        <w:rPr>
          <w:color w:val="000000" w:themeColor="text1"/>
          <w:sz w:val="22"/>
          <w:szCs w:val="22"/>
          <w:lang w:val="pt-BR"/>
        </w:rPr>
        <w:t>inglês</w:t>
      </w:r>
    </w:p>
    <w:p w14:paraId="283D7B97" w14:textId="77777777" w:rsidR="001373CB" w:rsidRPr="00E13978" w:rsidRDefault="001373CB" w:rsidP="00B31F11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color w:val="000000" w:themeColor="text1"/>
          <w:sz w:val="22"/>
          <w:szCs w:val="22"/>
          <w:lang w:val="pt-BR"/>
        </w:rPr>
      </w:pPr>
    </w:p>
    <w:p w14:paraId="59BB05BA" w14:textId="77777777" w:rsidR="001373CB" w:rsidRPr="00E13978" w:rsidRDefault="001373CB" w:rsidP="00E13978">
      <w:pPr>
        <w:suppressAutoHyphens/>
        <w:ind w:right="-1080"/>
        <w:jc w:val="both"/>
        <w:rPr>
          <w:color w:val="000000" w:themeColor="text1"/>
          <w:sz w:val="22"/>
          <w:szCs w:val="22"/>
          <w:lang w:val="pt-BR"/>
        </w:rPr>
      </w:pPr>
    </w:p>
    <w:p w14:paraId="76D7A169" w14:textId="77777777" w:rsidR="001373CB" w:rsidRPr="00E13978" w:rsidRDefault="001373CB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4958281D" w14:textId="77777777" w:rsidR="001373CB" w:rsidRPr="00E13978" w:rsidRDefault="001373CB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5607BAD3" w14:textId="77777777" w:rsidR="001373CB" w:rsidRPr="00E13978" w:rsidRDefault="001373CB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019705C6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9C53D98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ED8C0B1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C652ECA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0C0CD80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F98AAB3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ED970F8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6CF88B3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2BC141F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45C9B9E" w14:textId="77777777" w:rsidR="001373CB" w:rsidRPr="00E13978" w:rsidRDefault="001373CB" w:rsidP="00E13978">
      <w:pPr>
        <w:suppressAutoHyphens/>
        <w:rPr>
          <w:color w:val="000000" w:themeColor="text1"/>
          <w:sz w:val="22"/>
          <w:szCs w:val="22"/>
          <w:lang w:val="pt-BR"/>
        </w:rPr>
      </w:pPr>
    </w:p>
    <w:p w14:paraId="0FCAB246" w14:textId="0EFD5A17" w:rsidR="001373CB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RELATÓRIO ANUAL DA </w:t>
      </w:r>
    </w:p>
    <w:p w14:paraId="6E25F1E8" w14:textId="49F2DACD" w:rsidR="001373CB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SECRETARIA </w:t>
      </w:r>
      <w:r w:rsidR="001373CB" w:rsidRPr="00E13978">
        <w:rPr>
          <w:color w:val="000000" w:themeColor="text1"/>
          <w:sz w:val="22"/>
          <w:szCs w:val="22"/>
          <w:lang w:val="pt-BR"/>
        </w:rPr>
        <w:t>EXECUTIV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DESENVOLVIMENTO </w:t>
      </w:r>
      <w:r w:rsidR="001373CB" w:rsidRPr="00E13978">
        <w:rPr>
          <w:color w:val="000000" w:themeColor="text1"/>
          <w:sz w:val="22"/>
          <w:szCs w:val="22"/>
          <w:lang w:val="pt-BR"/>
        </w:rPr>
        <w:t>INTEGRAL (SEDI)</w:t>
      </w:r>
    </w:p>
    <w:p w14:paraId="40BE4040" w14:textId="4F4D2C69" w:rsidR="001373CB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AO CONSELHO </w:t>
      </w:r>
      <w:r w:rsidR="001373CB" w:rsidRPr="00E13978">
        <w:rPr>
          <w:color w:val="000000" w:themeColor="text1"/>
          <w:sz w:val="22"/>
          <w:szCs w:val="22"/>
          <w:lang w:val="pt-BR"/>
        </w:rPr>
        <w:t>INTERAMERICAN</w:t>
      </w:r>
      <w:r w:rsidRPr="00E13978">
        <w:rPr>
          <w:color w:val="000000" w:themeColor="text1"/>
          <w:sz w:val="22"/>
          <w:szCs w:val="22"/>
          <w:lang w:val="pt-BR"/>
        </w:rPr>
        <w:t>O DE DESENVOLVIMENTO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INTEGRAL (CIDI)</w:t>
      </w:r>
    </w:p>
    <w:p w14:paraId="5DB3B189" w14:textId="77777777" w:rsidR="001373CB" w:rsidRPr="00E13978" w:rsidRDefault="001373CB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</w:p>
    <w:p w14:paraId="51AED040" w14:textId="2875D2F6" w:rsidR="001373CB" w:rsidRDefault="001373CB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(Jan</w:t>
      </w:r>
      <w:r w:rsidR="003723DF" w:rsidRPr="00E13978">
        <w:rPr>
          <w:color w:val="000000" w:themeColor="text1"/>
          <w:sz w:val="22"/>
          <w:szCs w:val="22"/>
          <w:lang w:val="pt-BR"/>
        </w:rPr>
        <w:t>eiro –</w:t>
      </w:r>
      <w:r w:rsidR="00430810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</w:t>
      </w:r>
      <w:r w:rsidR="003723DF" w:rsidRPr="00E13978">
        <w:rPr>
          <w:color w:val="000000" w:themeColor="text1"/>
          <w:sz w:val="22"/>
          <w:szCs w:val="22"/>
          <w:lang w:val="pt-BR"/>
        </w:rPr>
        <w:t xml:space="preserve">zembro </w:t>
      </w:r>
      <w:r w:rsidRPr="00E13978">
        <w:rPr>
          <w:color w:val="000000" w:themeColor="text1"/>
          <w:sz w:val="22"/>
          <w:szCs w:val="22"/>
          <w:lang w:val="pt-BR"/>
        </w:rPr>
        <w:t>2021)</w:t>
      </w:r>
    </w:p>
    <w:p w14:paraId="4B2B0075" w14:textId="4BBD6138" w:rsidR="00DA4284" w:rsidRDefault="00DA4284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</w:p>
    <w:p w14:paraId="765F2B5B" w14:textId="06C94508" w:rsidR="00DA4284" w:rsidRPr="00F953F3" w:rsidRDefault="00DA4284" w:rsidP="00DA4284">
      <w:pPr>
        <w:jc w:val="center"/>
        <w:rPr>
          <w:sz w:val="22"/>
          <w:szCs w:val="22"/>
          <w:lang w:val="pt-BR"/>
        </w:rPr>
      </w:pPr>
      <w:r w:rsidRPr="00F953F3">
        <w:rPr>
          <w:sz w:val="22"/>
          <w:szCs w:val="22"/>
          <w:lang w:val="pt-BR"/>
        </w:rPr>
        <w:t>(</w:t>
      </w:r>
      <w:r w:rsidRPr="00324C25">
        <w:rPr>
          <w:lang w:val="pt-BR"/>
        </w:rPr>
        <w:t xml:space="preserve">Aprovada na </w:t>
      </w:r>
      <w:r>
        <w:rPr>
          <w:sz w:val="22"/>
          <w:szCs w:val="22"/>
          <w:lang w:val="pt-BR"/>
        </w:rPr>
        <w:t>r</w:t>
      </w:r>
      <w:r w:rsidRPr="00F953F3">
        <w:rPr>
          <w:sz w:val="22"/>
          <w:szCs w:val="22"/>
          <w:lang w:val="pt-BR"/>
        </w:rPr>
        <w:t>euni</w:t>
      </w:r>
      <w:r>
        <w:rPr>
          <w:sz w:val="22"/>
          <w:szCs w:val="22"/>
          <w:lang w:val="pt-BR"/>
        </w:rPr>
        <w:t>ão</w:t>
      </w:r>
      <w:r w:rsidRPr="00324C25">
        <w:rPr>
          <w:lang w:val="pt-BR"/>
        </w:rPr>
        <w:t xml:space="preserve"> ordinária de </w:t>
      </w:r>
      <w:r>
        <w:rPr>
          <w:lang w:val="pt-BR"/>
        </w:rPr>
        <w:t xml:space="preserve">22 de </w:t>
      </w:r>
      <w:r>
        <w:rPr>
          <w:color w:val="000000" w:themeColor="text1"/>
          <w:sz w:val="22"/>
          <w:szCs w:val="22"/>
          <w:lang w:val="pt-BR"/>
        </w:rPr>
        <w:t>mar</w:t>
      </w:r>
      <w:r w:rsidRPr="00E13978">
        <w:rPr>
          <w:color w:val="000000" w:themeColor="text1"/>
          <w:sz w:val="22"/>
          <w:szCs w:val="22"/>
          <w:lang w:val="pt-BR"/>
        </w:rPr>
        <w:t>ç</w:t>
      </w:r>
      <w:r>
        <w:rPr>
          <w:color w:val="000000" w:themeColor="text1"/>
          <w:sz w:val="22"/>
          <w:szCs w:val="22"/>
          <w:lang w:val="pt-BR"/>
        </w:rPr>
        <w:t>o</w:t>
      </w:r>
      <w:r>
        <w:rPr>
          <w:lang w:val="pt-BR"/>
        </w:rPr>
        <w:t xml:space="preserve"> </w:t>
      </w:r>
      <w:r w:rsidRPr="00324C25">
        <w:rPr>
          <w:lang w:val="pt-BR"/>
        </w:rPr>
        <w:t>de 202</w:t>
      </w:r>
      <w:r>
        <w:rPr>
          <w:lang w:val="pt-BR"/>
        </w:rPr>
        <w:t>2</w:t>
      </w:r>
      <w:r w:rsidRPr="00F953F3">
        <w:rPr>
          <w:sz w:val="22"/>
          <w:szCs w:val="22"/>
          <w:lang w:val="pt-BR"/>
        </w:rPr>
        <w:t>)</w:t>
      </w:r>
    </w:p>
    <w:p w14:paraId="3B477D95" w14:textId="77777777" w:rsidR="00DA4284" w:rsidRPr="00E13978" w:rsidRDefault="00DA4284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</w:p>
    <w:p w14:paraId="3A780E47" w14:textId="77777777" w:rsidR="001373CB" w:rsidRPr="00E13978" w:rsidRDefault="001373CB" w:rsidP="00E13978">
      <w:pPr>
        <w:suppressAutoHyphens/>
        <w:rPr>
          <w:color w:val="000000" w:themeColor="text1"/>
          <w:sz w:val="22"/>
          <w:szCs w:val="22"/>
          <w:lang w:val="pt-BR"/>
        </w:rPr>
      </w:pPr>
    </w:p>
    <w:p w14:paraId="7DA8843C" w14:textId="77777777" w:rsidR="00E13978" w:rsidRPr="00E13978" w:rsidRDefault="00E13978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  <w:sectPr w:rsidR="00E13978" w:rsidRPr="00E13978" w:rsidSect="00E13978">
          <w:headerReference w:type="default" r:id="rId7"/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  <w:bookmarkStart w:id="1" w:name="_Toc323638053"/>
      <w:bookmarkStart w:id="2" w:name="_Toc356042048"/>
    </w:p>
    <w:p w14:paraId="4360EA76" w14:textId="5B9951EE" w:rsidR="003723DF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RELATÓRIO ANUAL DA </w:t>
      </w:r>
    </w:p>
    <w:p w14:paraId="780F7653" w14:textId="77777777" w:rsidR="003723DF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SECRETARIA EXECUTIVA DE DESENVOLVIMENTO INTEGRAL (SEDI)</w:t>
      </w:r>
    </w:p>
    <w:p w14:paraId="043B369B" w14:textId="77777777" w:rsidR="003723DF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AO CONSELHO INTERAMERICANO DE DESENVOLVIMENTO INTEGRAL (CIDI)</w:t>
      </w:r>
    </w:p>
    <w:p w14:paraId="6EAA93E0" w14:textId="77777777" w:rsidR="003723DF" w:rsidRPr="00E13978" w:rsidRDefault="003723DF" w:rsidP="006B7015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24DE307" w14:textId="20F7E1BA" w:rsidR="00D272A0" w:rsidRPr="00E13978" w:rsidRDefault="003723DF" w:rsidP="00E13978">
      <w:pPr>
        <w:suppressAutoHyphens/>
        <w:jc w:val="center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(Janeiro – Dezembro 2021</w:t>
      </w:r>
      <w:r w:rsidR="00D272A0" w:rsidRPr="00E13978">
        <w:rPr>
          <w:color w:val="000000" w:themeColor="text1"/>
          <w:sz w:val="22"/>
          <w:szCs w:val="22"/>
          <w:lang w:val="pt-BR"/>
        </w:rPr>
        <w:t>)</w:t>
      </w:r>
    </w:p>
    <w:p w14:paraId="110B6B52" w14:textId="77777777" w:rsidR="00D272A0" w:rsidRPr="00E13978" w:rsidRDefault="00D272A0" w:rsidP="00E13978">
      <w:pPr>
        <w:suppressAutoHyphens/>
        <w:rPr>
          <w:color w:val="000000" w:themeColor="text1"/>
          <w:sz w:val="22"/>
          <w:szCs w:val="22"/>
          <w:lang w:val="pt-BR"/>
        </w:rPr>
      </w:pPr>
    </w:p>
    <w:bookmarkEnd w:id="1"/>
    <w:bookmarkEnd w:id="2"/>
    <w:p w14:paraId="09B1846C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A31DAE7" w14:textId="517DBE4B" w:rsidR="001373CB" w:rsidRPr="00E13978" w:rsidRDefault="001373CB" w:rsidP="00E13978">
      <w:pPr>
        <w:suppressAutoHyphens/>
        <w:rPr>
          <w:color w:val="000000" w:themeColor="text1"/>
          <w:sz w:val="22"/>
          <w:szCs w:val="22"/>
          <w:lang w:val="pt-BR"/>
        </w:rPr>
      </w:pPr>
      <w:bookmarkStart w:id="3" w:name="_Toc353953881"/>
      <w:r w:rsidRPr="00E13978">
        <w:rPr>
          <w:color w:val="000000" w:themeColor="text1"/>
          <w:sz w:val="22"/>
          <w:szCs w:val="22"/>
          <w:lang w:val="pt-BR"/>
        </w:rPr>
        <w:t>INTRODU</w:t>
      </w:r>
      <w:r w:rsidR="003723DF" w:rsidRPr="00E13978">
        <w:rPr>
          <w:color w:val="000000" w:themeColor="text1"/>
          <w:sz w:val="22"/>
          <w:szCs w:val="22"/>
          <w:lang w:val="pt-BR"/>
        </w:rPr>
        <w:t xml:space="preserve">ÇÃO </w:t>
      </w:r>
      <w:bookmarkEnd w:id="3"/>
    </w:p>
    <w:p w14:paraId="65A7CE8B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1ABA9CC" w14:textId="1A3C4F0F" w:rsidR="001373CB" w:rsidRPr="00E13978" w:rsidRDefault="003723DF" w:rsidP="00E13978">
      <w:pPr>
        <w:pStyle w:val="PlainText"/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trabalho da Secretaria Executiva de Desenvolvimento Integral da Organização dos Estados Americanos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(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OEA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/SEDI)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é orientado pelos princípios centrais articulados na Carta da OEA e na Carta Social das Américas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Os mandatos da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SEDI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decorrem da Cúpula das Américas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da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Assembleia Geral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da OEA e das várias reuniões setoriais em âmbito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ministerial.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 diálogo político e a cooperação técnica entre os Estados membros são fundamentais ao trabalho da OEA/SEDI em prol do desenvolvimento socioeconômico da região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Mediante o diálogo pol</w:t>
      </w:r>
      <w:r w:rsidR="00E87A1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í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tico de alto nível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trabalha com os Estados membros para definir a política e as prioridades que considerem essenciais para a redução da pobreza e a eliminação da desigualdade no Hemisfério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Os imperativos de política são traduzidos em programas, projetos e atividades que são implementados por meio da cooperação e em parceria com outras instituições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regiona</w:t>
      </w:r>
      <w:r w:rsidR="00A33D63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internacionais, públicas e privadas, e organizações da sociedade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civil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com objetivos comuns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Plano Estratégico Integral da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aprovado em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2016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confiou à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ED3664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alguns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objetivos específicos nas seguintes áreas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: educa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ção, competitividade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pequenas e médias empresas, trabalho, cultura, ciência e tecnologia, gestão de recursos, energia renovável e eficiência energética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t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urismo e desenvolvimento sustentável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 A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 atividades nessas áreas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centrais são basicamente dirigidas à capacitação humana e ao fortalecimento institucional, com vistas a promover um ecossistema socioeconômico que possibilite a ampliação da governança democrática em cada Estado membro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 A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lém disso, a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promove o desenvolvimento portuário competitivo, seguro, sustentável e inclusivo nos </w:t>
      </w:r>
      <w:r w:rsidR="001F3B8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Estados membros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da 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</w:p>
    <w:p w14:paraId="619DE840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1E3C3E2" w14:textId="7577D83B" w:rsidR="001373CB" w:rsidRPr="00E13978" w:rsidRDefault="0045226C" w:rsidP="00E13978">
      <w:pPr>
        <w:pStyle w:val="PlainText"/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estrutura organizacional da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inclui o Gabinete do Secretário Executivo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(OES)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t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rês departamentos,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(i)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 Departamento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 Desenvolvimento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Human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Educa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ção e Emprego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(DHDEE); (ii)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 Departamento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 Desenvolvimento Econômico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(DED);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(iii)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 Departamento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 Desenvolvimento Sustentável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(DSD),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além da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Secretaria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da Comissão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Inter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merican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 de Portos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(CIP).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também trabalha estreitamente com outras secretarias da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bem como </w:t>
      </w:r>
      <w:r w:rsidR="00016B1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com 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organizações vinculadas à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como a Fundação para as Américas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 Fundo para Jovens Empresários das Américas</w:t>
      </w:r>
      <w:r w:rsidR="004D733A" w:rsidRPr="00E1397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(YABT)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 Fundação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Pan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-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American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 de Desenvolvimento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(PADF). A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lém disso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SEDI 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estabeleceu parcerias com outras organizações internacionais, organizações da sociedade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civil</w:t>
      </w:r>
      <w:r w:rsidR="004D733A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a comunidade acadêmica e o setor privado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</w:p>
    <w:p w14:paraId="19DE6668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40B6B32" w14:textId="5E797177" w:rsidR="001373CB" w:rsidRPr="00E13978" w:rsidRDefault="004D733A" w:rsidP="00E13978">
      <w:pPr>
        <w:pStyle w:val="PlainText"/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Além de ser a Secretaria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do Conselho Interamericano de Desenvolvimento Integral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(CIDI)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o principal foro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multilateral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 diálogo sobre os desafios de desenvolvimento que a região enfrenta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/SEDI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presta serviços de assessoramento e assistência técnica direta aos </w:t>
      </w:r>
      <w:r w:rsidR="001F3B8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em questões específicas, e financia, implementa ou coordena projetos de desenvolvimento</w:t>
      </w:r>
      <w:r w:rsidR="00016B1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específicos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com recursos do Fundo de Cooperação para o Desenvolvimento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(</w:t>
      </w:r>
      <w:r w:rsidR="00016B1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FCD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/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)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recursos externos dos </w:t>
      </w:r>
      <w:r w:rsidR="002D410E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Estado membros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dos Estados Observadores, de bancos de desenvolvimento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do setor privado, do setor acadêmico e de outros parceiros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principal missão da 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SEDI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disposta na Carta da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continua a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ser </w:t>
      </w:r>
      <w:r w:rsidR="00016B1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de constituir 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um canal para a cooperação </w:t>
      </w:r>
      <w:r w:rsidR="00A33D63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t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riangular, </w:t>
      </w:r>
      <w:r w:rsidR="00A33D63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ul-</w:t>
      </w:r>
      <w:r w:rsidR="00A33D63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ul e </w:t>
      </w:r>
      <w:r w:rsidR="00A33D63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h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orizontal. 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Por meio de suas muitas redes, programas e projetos, a </w:t>
      </w:r>
      <w:r w:rsidR="003723DF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promove a transferência de conhecimento, lições aprendidas </w:t>
      </w:r>
      <w:r w:rsidR="00883E86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lastRenderedPageBreak/>
        <w:t>e boas práticas entre os Estados membros, à medida que conduzem e administram seu próprio desenvolvimento socioeconômico</w:t>
      </w:r>
      <w:r w:rsidR="001373CB" w:rsidRPr="00E1397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</w:p>
    <w:p w14:paraId="4E575565" w14:textId="77777777" w:rsidR="00883E86" w:rsidRPr="00E13978" w:rsidRDefault="00883E8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053ABEA" w14:textId="28298DE3" w:rsidR="00025161" w:rsidRPr="00E13978" w:rsidRDefault="00A74AE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ab/>
      </w:r>
      <w:r w:rsidR="00883E86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883E86" w:rsidRPr="00E13978">
        <w:rPr>
          <w:color w:val="000000" w:themeColor="text1"/>
          <w:sz w:val="22"/>
          <w:szCs w:val="22"/>
          <w:lang w:val="pt-BR"/>
        </w:rPr>
        <w:t>tem profunda consciência dos desafios prementes que nossa região depara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883E86" w:rsidRPr="00E13978">
        <w:rPr>
          <w:color w:val="000000" w:themeColor="text1"/>
          <w:sz w:val="22"/>
          <w:szCs w:val="22"/>
          <w:lang w:val="pt-BR"/>
        </w:rPr>
        <w:t xml:space="preserve">Informações dão conta de que, em 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2020, </w:t>
      </w:r>
      <w:r w:rsidR="00883E86" w:rsidRPr="00E13978">
        <w:rPr>
          <w:color w:val="000000" w:themeColor="text1"/>
          <w:sz w:val="22"/>
          <w:szCs w:val="22"/>
          <w:lang w:val="pt-BR"/>
        </w:rPr>
        <w:t xml:space="preserve">a América Latina e o 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Caribe </w:t>
      </w:r>
      <w:r w:rsidR="00883E86" w:rsidRPr="00E13978">
        <w:rPr>
          <w:color w:val="000000" w:themeColor="text1"/>
          <w:sz w:val="22"/>
          <w:szCs w:val="22"/>
          <w:lang w:val="pt-BR"/>
        </w:rPr>
        <w:t>experimentaram a pior crise já registrada em sua história, a mais profunda contração econômica do mundo em desenvolvimento</w:t>
      </w:r>
      <w:r w:rsidR="00025161" w:rsidRPr="00E13978">
        <w:rPr>
          <w:color w:val="000000" w:themeColor="text1"/>
          <w:sz w:val="22"/>
          <w:szCs w:val="22"/>
          <w:lang w:val="pt-BR"/>
        </w:rPr>
        <w:t>. Da</w:t>
      </w:r>
      <w:r w:rsidR="00883E86" w:rsidRPr="00E13978">
        <w:rPr>
          <w:color w:val="000000" w:themeColor="text1"/>
          <w:sz w:val="22"/>
          <w:szCs w:val="22"/>
          <w:lang w:val="pt-BR"/>
        </w:rPr>
        <w:t xml:space="preserve">dos mostram que a contração de investimentos relativos ao PIB foi maior na América </w:t>
      </w:r>
      <w:r w:rsidR="00025161" w:rsidRPr="00E13978">
        <w:rPr>
          <w:color w:val="000000" w:themeColor="text1"/>
          <w:sz w:val="22"/>
          <w:szCs w:val="22"/>
          <w:lang w:val="pt-BR"/>
        </w:rPr>
        <w:t>Latin</w:t>
      </w:r>
      <w:r w:rsidR="00883E86" w:rsidRPr="00E13978">
        <w:rPr>
          <w:color w:val="000000" w:themeColor="text1"/>
          <w:sz w:val="22"/>
          <w:szCs w:val="22"/>
          <w:lang w:val="pt-BR"/>
        </w:rPr>
        <w:t>a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883E86" w:rsidRPr="00E13978">
        <w:rPr>
          <w:color w:val="000000" w:themeColor="text1"/>
          <w:sz w:val="22"/>
          <w:szCs w:val="22"/>
          <w:lang w:val="pt-BR"/>
        </w:rPr>
        <w:t>e no Caribe do que em qualquer outra região em desenvolvimento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883E86" w:rsidRPr="00E13978">
        <w:rPr>
          <w:color w:val="000000" w:themeColor="text1"/>
          <w:sz w:val="22"/>
          <w:szCs w:val="22"/>
          <w:lang w:val="pt-BR"/>
        </w:rPr>
        <w:t xml:space="preserve">No decorrer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="00883E86" w:rsidRPr="00E13978">
        <w:rPr>
          <w:color w:val="000000" w:themeColor="text1"/>
          <w:sz w:val="22"/>
          <w:szCs w:val="22"/>
          <w:lang w:val="pt-BR"/>
        </w:rPr>
        <w:t>como desde o início da pandemia de 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-19,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face aos desafios sem precedentes enfrentados pelos </w:t>
      </w:r>
      <w:r w:rsidR="001F3B81" w:rsidRPr="00E13978">
        <w:rPr>
          <w:color w:val="000000" w:themeColor="text1"/>
          <w:sz w:val="22"/>
          <w:szCs w:val="22"/>
          <w:lang w:val="pt-BR"/>
        </w:rPr>
        <w:t xml:space="preserve">Estados membros </w:t>
      </w:r>
      <w:r w:rsidR="00CF21A2" w:rsidRPr="00E13978">
        <w:rPr>
          <w:color w:val="000000" w:themeColor="text1"/>
          <w:sz w:val="22"/>
          <w:szCs w:val="22"/>
          <w:lang w:val="pt-BR"/>
        </w:rPr>
        <w:t>da OEA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se concentrou em reorientar os programas e iniciativas em andamento para atender às novas necessidades dos </w:t>
      </w:r>
      <w:r w:rsidR="002D410E" w:rsidRPr="00E13978">
        <w:rPr>
          <w:color w:val="000000" w:themeColor="text1"/>
          <w:sz w:val="22"/>
          <w:szCs w:val="22"/>
          <w:lang w:val="pt-BR"/>
        </w:rPr>
        <w:t>Estado membros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CF21A2" w:rsidRPr="00E13978">
        <w:rPr>
          <w:color w:val="000000" w:themeColor="text1"/>
          <w:sz w:val="22"/>
          <w:szCs w:val="22"/>
          <w:lang w:val="pt-BR"/>
        </w:rPr>
        <w:t>Desse modo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os programas da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ofereceram às autoridades e às instituições de apoio oportunidades de capacitação e ferramentas simples, confiáveis e seguras para a participação dos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CF21A2" w:rsidRPr="00E13978">
        <w:rPr>
          <w:color w:val="000000" w:themeColor="text1"/>
          <w:sz w:val="22"/>
          <w:szCs w:val="22"/>
          <w:lang w:val="pt-BR"/>
        </w:rPr>
        <w:t>em alguns dos mais urgentes problemas de desenvolvimento que nossa região confronta neste momento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="00CF21A2" w:rsidRPr="00E13978">
        <w:rPr>
          <w:color w:val="000000" w:themeColor="text1"/>
          <w:sz w:val="22"/>
          <w:szCs w:val="22"/>
          <w:lang w:val="pt-BR"/>
        </w:rPr>
        <w:t>financiamento para o clima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CF21A2" w:rsidRPr="00E13978">
        <w:rPr>
          <w:color w:val="000000" w:themeColor="text1"/>
          <w:sz w:val="22"/>
          <w:szCs w:val="22"/>
          <w:lang w:val="pt-BR"/>
        </w:rPr>
        <w:t>segurança alimentar e nutrição, educação e desenvolvimento humano, transição energética nacional como motor d</w:t>
      </w:r>
      <w:r w:rsidR="00A33D63" w:rsidRPr="00E13978">
        <w:rPr>
          <w:color w:val="000000" w:themeColor="text1"/>
          <w:sz w:val="22"/>
          <w:szCs w:val="22"/>
          <w:lang w:val="pt-BR"/>
        </w:rPr>
        <w:t>e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 recuperação</w:t>
      </w:r>
      <w:r w:rsidR="00025161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CF21A2" w:rsidRPr="00E13978">
        <w:rPr>
          <w:color w:val="000000" w:themeColor="text1"/>
          <w:sz w:val="22"/>
          <w:szCs w:val="22"/>
          <w:lang w:val="pt-BR"/>
        </w:rPr>
        <w:t>aperfeiçoamento de novas competências para a revolução industrial, e ciência para a tomada de decisão</w:t>
      </w:r>
      <w:r w:rsidR="00025161" w:rsidRPr="00E13978">
        <w:rPr>
          <w:color w:val="000000" w:themeColor="text1"/>
          <w:sz w:val="22"/>
          <w:szCs w:val="22"/>
          <w:lang w:val="pt-BR"/>
        </w:rPr>
        <w:t>,</w:t>
      </w:r>
      <w:r w:rsidR="00642F0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CF21A2" w:rsidRPr="00E13978">
        <w:rPr>
          <w:color w:val="000000" w:themeColor="text1"/>
          <w:sz w:val="22"/>
          <w:szCs w:val="22"/>
          <w:lang w:val="pt-BR"/>
        </w:rPr>
        <w:t xml:space="preserve">lacuna de competências dos jovens e </w:t>
      </w:r>
      <w:r w:rsidR="00FE18A4" w:rsidRPr="00E13978">
        <w:rPr>
          <w:color w:val="000000" w:themeColor="text1"/>
          <w:sz w:val="22"/>
          <w:szCs w:val="22"/>
          <w:lang w:val="pt-BR"/>
        </w:rPr>
        <w:t>preparação para a indústria 4.0</w:t>
      </w:r>
      <w:r w:rsidR="00642F0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FE18A4" w:rsidRPr="00E13978">
        <w:rPr>
          <w:color w:val="000000" w:themeColor="text1"/>
          <w:sz w:val="22"/>
          <w:szCs w:val="22"/>
          <w:lang w:val="pt-BR"/>
        </w:rPr>
        <w:t>promoção da inclusão da mulher</w:t>
      </w:r>
      <w:r w:rsidR="00642F0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FE18A4" w:rsidRPr="00E13978">
        <w:rPr>
          <w:color w:val="000000" w:themeColor="text1"/>
          <w:sz w:val="22"/>
          <w:szCs w:val="22"/>
          <w:lang w:val="pt-BR"/>
        </w:rPr>
        <w:t xml:space="preserve">das comunidades rurais e indígenas e </w:t>
      </w:r>
      <w:r w:rsidR="00016B1F"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="00FE18A4" w:rsidRPr="00E13978">
        <w:rPr>
          <w:color w:val="000000" w:themeColor="text1"/>
          <w:sz w:val="22"/>
          <w:szCs w:val="22"/>
          <w:lang w:val="pt-BR"/>
        </w:rPr>
        <w:t>outras populações vulneráveis em CTI</w:t>
      </w:r>
      <w:r w:rsidR="00642F0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FE18A4" w:rsidRPr="00E13978">
        <w:rPr>
          <w:color w:val="000000" w:themeColor="text1"/>
          <w:sz w:val="22"/>
          <w:szCs w:val="22"/>
          <w:lang w:val="pt-BR"/>
        </w:rPr>
        <w:t xml:space="preserve">colaboração público-privada-setor acadêmico para o melhoramento da qualidade de vida e apoio às micro, pequenas e médias empresas </w:t>
      </w:r>
      <w:r w:rsidR="00642F0B" w:rsidRPr="00E13978">
        <w:rPr>
          <w:color w:val="000000" w:themeColor="text1"/>
          <w:sz w:val="22"/>
          <w:szCs w:val="22"/>
          <w:lang w:val="pt-BR"/>
        </w:rPr>
        <w:t>(</w:t>
      </w:r>
      <w:r w:rsidR="00FE18A4" w:rsidRPr="00E13978">
        <w:rPr>
          <w:color w:val="000000" w:themeColor="text1"/>
          <w:sz w:val="22"/>
          <w:szCs w:val="22"/>
          <w:lang w:val="pt-BR"/>
        </w:rPr>
        <w:t>MPMEs</w:t>
      </w:r>
      <w:r w:rsidR="00642F0B" w:rsidRPr="00E13978">
        <w:rPr>
          <w:color w:val="000000" w:themeColor="text1"/>
          <w:sz w:val="22"/>
          <w:szCs w:val="22"/>
          <w:lang w:val="pt-BR"/>
        </w:rPr>
        <w:t xml:space="preserve">), </w:t>
      </w:r>
      <w:r w:rsidR="00FE18A4" w:rsidRPr="00E13978">
        <w:rPr>
          <w:color w:val="000000" w:themeColor="text1"/>
          <w:sz w:val="22"/>
          <w:szCs w:val="22"/>
          <w:lang w:val="pt-BR"/>
        </w:rPr>
        <w:t>entre outros</w:t>
      </w:r>
      <w:r w:rsidR="00025161" w:rsidRPr="00E13978">
        <w:rPr>
          <w:color w:val="000000" w:themeColor="text1"/>
          <w:sz w:val="22"/>
          <w:szCs w:val="22"/>
          <w:lang w:val="pt-BR"/>
        </w:rPr>
        <w:t>.</w:t>
      </w:r>
    </w:p>
    <w:p w14:paraId="52787EA8" w14:textId="739FD46F" w:rsidR="00025161" w:rsidRPr="00E13978" w:rsidRDefault="00025161" w:rsidP="00E13978">
      <w:pPr>
        <w:suppressAutoHyphens/>
        <w:ind w:right="-540"/>
        <w:jc w:val="both"/>
        <w:rPr>
          <w:rFonts w:eastAsia="MS Mincho"/>
          <w:color w:val="000000" w:themeColor="text1"/>
          <w:sz w:val="22"/>
          <w:szCs w:val="22"/>
          <w:lang w:val="pt-BR"/>
        </w:rPr>
      </w:pPr>
    </w:p>
    <w:p w14:paraId="6B50130D" w14:textId="535C9B9A" w:rsidR="001373CB" w:rsidRPr="00E13978" w:rsidRDefault="00FE18A4" w:rsidP="00E13978">
      <w:pPr>
        <w:suppressAutoHyphens/>
        <w:ind w:firstLine="720"/>
        <w:jc w:val="both"/>
        <w:rPr>
          <w:rFonts w:eastAsia="Calibri"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rFonts w:eastAsia="Calibri"/>
          <w:color w:val="000000" w:themeColor="text1"/>
          <w:sz w:val="22"/>
          <w:szCs w:val="22"/>
          <w:lang w:val="pt-BR"/>
        </w:rPr>
        <w:t>Como bem se sabe</w:t>
      </w:r>
      <w:r w:rsidR="001373CB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>os setores de viage</w:t>
      </w:r>
      <w:r w:rsidR="00016B1F" w:rsidRPr="00E13978">
        <w:rPr>
          <w:rFonts w:eastAsia="Calibri"/>
          <w:color w:val="000000" w:themeColor="text1"/>
          <w:sz w:val="22"/>
          <w:szCs w:val="22"/>
          <w:lang w:val="pt-BR"/>
        </w:rPr>
        <w:t>m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 e turismo estiveram entre os mais afetados pela pandemia de </w:t>
      </w:r>
      <w:r w:rsidR="00883E86" w:rsidRPr="00E13978">
        <w:rPr>
          <w:rFonts w:eastAsia="Calibri"/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-19.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As chegadas de turistas internacionais em todo o mundo diminuíram, em meio às restrições </w:t>
      </w:r>
      <w:r w:rsidR="00016B1F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impostas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às viagens globais e outras restrições adotadas para conter a pandemia de </w:t>
      </w:r>
      <w:r w:rsidR="00883E86" w:rsidRPr="00E13978">
        <w:rPr>
          <w:rFonts w:eastAsia="Calibri"/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-19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>em andamento</w:t>
      </w:r>
      <w:r w:rsidR="001373CB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. 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D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evido ao impacto esmagador da pandemia de </w:t>
      </w:r>
      <w:r w:rsidR="00883E86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-19 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no setor de turismo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atividades específicas foram conduzidas pela 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SEDI 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em apoio à resposta dos </w:t>
      </w:r>
      <w:r w:rsidR="002D410E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Estado membros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Grande parte dessas atividades envolve</w:t>
      </w:r>
      <w:r w:rsidR="00016B1F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u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 capacitação e webinars comuns</w:t>
      </w:r>
      <w:r w:rsidR="00A33D63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,</w:t>
      </w:r>
      <w:r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ou a adaptação das ações existentes para abordar a nova realidade</w:t>
      </w:r>
      <w:r w:rsidR="00A33D63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,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 e abrange</w:t>
      </w:r>
      <w:r w:rsidR="00016B1F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u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 as seguintes </w:t>
      </w:r>
      <w:r w:rsidR="002D410E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áreas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prioritárias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: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Segurança e Proteção do Turismo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; Infra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strutur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; Sust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entabilidade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;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Qualidade dos Produtos e Serviços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: Marketing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e Promoção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;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Viagens e Facilitação de Vistos</w:t>
      </w:r>
      <w:r w:rsidR="001373CB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 xml:space="preserve">. </w:t>
      </w:r>
      <w:r w:rsidR="009C7177" w:rsidRPr="00E13978">
        <w:rPr>
          <w:rFonts w:eastAsia="Calibri"/>
          <w:bCs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 </w:t>
      </w:r>
      <w:r w:rsidR="004D733A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>Secretaria</w:t>
      </w:r>
      <w:r w:rsidR="009C7177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-Geral da OEA, por intermédio da </w:t>
      </w:r>
      <w:r w:rsidR="001373CB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>SEDI</w:t>
      </w:r>
      <w:r w:rsidR="009C7177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, também apoiou os esforços dos países por reabrir </w:t>
      </w:r>
      <w:r w:rsidR="00016B1F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os destinos, </w:t>
      </w:r>
      <w:r w:rsidR="009C7177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>de maneira segura</w:t>
      </w:r>
      <w:r w:rsidR="00016B1F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>,</w:t>
      </w:r>
      <w:r w:rsidR="009C7177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 aos visitantes internacionais</w:t>
      </w:r>
      <w:r w:rsidR="001373CB" w:rsidRPr="00E13978">
        <w:rPr>
          <w:rFonts w:eastAsia="Calibri"/>
          <w:bCs/>
          <w:iCs/>
          <w:color w:val="000000" w:themeColor="text1"/>
          <w:sz w:val="22"/>
          <w:szCs w:val="22"/>
          <w:lang w:val="pt-BR"/>
        </w:rPr>
        <w:t xml:space="preserve">. </w:t>
      </w:r>
    </w:p>
    <w:p w14:paraId="4E0BD6E6" w14:textId="77777777" w:rsidR="00642F0B" w:rsidRPr="00E13978" w:rsidRDefault="00642F0B" w:rsidP="00E13978">
      <w:pPr>
        <w:suppressAutoHyphens/>
        <w:jc w:val="both"/>
        <w:rPr>
          <w:rFonts w:eastAsiaTheme="minorHAnsi"/>
          <w:color w:val="000000" w:themeColor="text1"/>
          <w:sz w:val="22"/>
          <w:szCs w:val="22"/>
          <w:highlight w:val="yellow"/>
          <w:lang w:val="pt-BR"/>
        </w:rPr>
      </w:pPr>
    </w:p>
    <w:p w14:paraId="55552890" w14:textId="36A8956E" w:rsidR="00642F0B" w:rsidRPr="00E13978" w:rsidRDefault="009C7177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Theme="minorHAnsi"/>
          <w:color w:val="000000" w:themeColor="text1"/>
          <w:sz w:val="22"/>
          <w:szCs w:val="22"/>
          <w:lang w:val="pt-BR"/>
        </w:rPr>
        <w:t xml:space="preserve">Embora o período pré-pandemia já fosse caracterizado por grandes desigualdades em nossa região, a pós-pandemia </w:t>
      </w:r>
      <w:r w:rsidR="000E0FAF" w:rsidRPr="00E13978">
        <w:rPr>
          <w:rFonts w:eastAsiaTheme="minorHAnsi"/>
          <w:color w:val="000000" w:themeColor="text1"/>
          <w:sz w:val="22"/>
          <w:szCs w:val="22"/>
          <w:lang w:val="pt-BR"/>
        </w:rPr>
        <w:t>acentua o foco na rapidez com que teremos de agir para confrontar a dura realidade que enfrentamos hoje, no que se refere à educação em nossa região</w:t>
      </w:r>
      <w:r w:rsidR="00A74AE2" w:rsidRPr="00E13978">
        <w:rPr>
          <w:rFonts w:eastAsiaTheme="minorHAnsi"/>
          <w:color w:val="000000" w:themeColor="text1"/>
          <w:sz w:val="22"/>
          <w:szCs w:val="22"/>
          <w:lang w:val="pt-BR"/>
        </w:rPr>
        <w:t xml:space="preserve">. </w:t>
      </w:r>
      <w:r w:rsidR="000E0FAF" w:rsidRPr="00E13978">
        <w:rPr>
          <w:rFonts w:eastAsiaTheme="minorHAnsi"/>
          <w:color w:val="000000" w:themeColor="text1"/>
          <w:sz w:val="22"/>
          <w:szCs w:val="22"/>
          <w:lang w:val="pt-BR"/>
        </w:rPr>
        <w:t xml:space="preserve">As atividades da </w:t>
      </w:r>
      <w:r w:rsidR="00C3554C" w:rsidRPr="00E13978">
        <w:rPr>
          <w:rFonts w:eastAsiaTheme="minorHAnsi"/>
          <w:color w:val="000000" w:themeColor="text1"/>
          <w:sz w:val="22"/>
          <w:szCs w:val="22"/>
          <w:lang w:val="pt-BR"/>
        </w:rPr>
        <w:t xml:space="preserve">SEDI </w:t>
      </w:r>
      <w:r w:rsidR="000E0FAF" w:rsidRPr="00E13978">
        <w:rPr>
          <w:rFonts w:eastAsiaTheme="minorHAnsi"/>
          <w:color w:val="000000" w:themeColor="text1"/>
          <w:sz w:val="22"/>
          <w:szCs w:val="22"/>
          <w:lang w:val="pt-BR"/>
        </w:rPr>
        <w:t>com as autoridades setoriais</w:t>
      </w:r>
      <w:r w:rsidR="00C3554C" w:rsidRPr="00E13978">
        <w:rPr>
          <w:rFonts w:eastAsiaTheme="minorHAnsi"/>
          <w:color w:val="000000" w:themeColor="text1"/>
          <w:sz w:val="22"/>
          <w:szCs w:val="22"/>
          <w:lang w:val="pt-BR"/>
        </w:rPr>
        <w:t xml:space="preserve"> </w:t>
      </w:r>
      <w:r w:rsidR="000E0FAF" w:rsidRPr="00E13978">
        <w:rPr>
          <w:rFonts w:eastAsiaTheme="minorHAnsi"/>
          <w:color w:val="000000" w:themeColor="text1"/>
          <w:sz w:val="22"/>
          <w:szCs w:val="22"/>
          <w:lang w:val="pt-BR"/>
        </w:rPr>
        <w:t>abordaram as questões de inclusão e igualdade na educação, com o objetivo de compartilhar políticas, regulament</w:t>
      </w:r>
      <w:r w:rsidR="002E5C35" w:rsidRPr="00E13978">
        <w:rPr>
          <w:rFonts w:eastAsiaTheme="minorHAnsi"/>
          <w:color w:val="000000" w:themeColor="text1"/>
          <w:sz w:val="22"/>
          <w:szCs w:val="22"/>
          <w:lang w:val="pt-BR"/>
        </w:rPr>
        <w:t>os</w:t>
      </w:r>
      <w:r w:rsidR="000E0FAF" w:rsidRPr="00E13978">
        <w:rPr>
          <w:rFonts w:eastAsiaTheme="minorHAnsi"/>
          <w:color w:val="000000" w:themeColor="text1"/>
          <w:sz w:val="22"/>
          <w:szCs w:val="22"/>
          <w:lang w:val="pt-BR"/>
        </w:rPr>
        <w:t>, ferramentas e experiências educacionais dos países da região para a promoção de uma educação de qualidade, inclusiva e equitativa em contextos de mudança</w:t>
      </w:r>
      <w:r w:rsidR="00642F0B" w:rsidRPr="00E13978">
        <w:rPr>
          <w:color w:val="000000" w:themeColor="text1"/>
          <w:sz w:val="22"/>
          <w:szCs w:val="22"/>
          <w:lang w:val="pt-BR"/>
        </w:rPr>
        <w:t>.</w:t>
      </w:r>
    </w:p>
    <w:p w14:paraId="53A4A653" w14:textId="6E8D9238" w:rsidR="0000699C" w:rsidRPr="00E13978" w:rsidRDefault="0000699C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F244711" w14:textId="55129688" w:rsidR="0000699C" w:rsidRPr="00E13978" w:rsidRDefault="000E0FAF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Style w:val="ts-alignment-element"/>
          <w:sz w:val="22"/>
          <w:szCs w:val="22"/>
          <w:lang w:val="pt-BR"/>
        </w:rPr>
        <w:t xml:space="preserve">Reconhecendo que a pandemia acelerou a economia </w:t>
      </w:r>
      <w:r w:rsidR="0000699C" w:rsidRPr="00E13978">
        <w:rPr>
          <w:rStyle w:val="ts-alignment-element"/>
          <w:sz w:val="22"/>
          <w:szCs w:val="22"/>
          <w:lang w:val="pt-BR"/>
        </w:rPr>
        <w:t>digital,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>e que o comércio eletrônico reforçou a necessidade do desenvolvimento de competências e treinamento em setores e tecnologias voltadas para a inovação</w:t>
      </w:r>
      <w:r w:rsidR="0000699C" w:rsidRPr="00E13978">
        <w:rPr>
          <w:rStyle w:val="ts-alignment-element"/>
          <w:sz w:val="22"/>
          <w:szCs w:val="22"/>
          <w:lang w:val="pt-BR"/>
        </w:rPr>
        <w:t>,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 xml:space="preserve">a </w:t>
      </w:r>
      <w:r w:rsidR="0000699C" w:rsidRPr="00E13978">
        <w:rPr>
          <w:rStyle w:val="ts-alignment-element"/>
          <w:sz w:val="22"/>
          <w:szCs w:val="22"/>
          <w:lang w:val="pt-BR"/>
        </w:rPr>
        <w:t>SEDI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 xml:space="preserve">apoiou a formulação de políticas e programas destinados ao melhoramento do acesso à ciência, à inovação e à tecnologia, a fim de respaldar a transformação digital nos </w:t>
      </w:r>
      <w:r w:rsidR="002D410E" w:rsidRPr="00E13978">
        <w:rPr>
          <w:rStyle w:val="ts-alignment-element"/>
          <w:sz w:val="22"/>
          <w:szCs w:val="22"/>
          <w:lang w:val="pt-BR"/>
        </w:rPr>
        <w:t>Estado</w:t>
      </w:r>
      <w:r w:rsidRPr="00E13978">
        <w:rPr>
          <w:rStyle w:val="ts-alignment-element"/>
          <w:sz w:val="22"/>
          <w:szCs w:val="22"/>
          <w:lang w:val="pt-BR"/>
        </w:rPr>
        <w:t>s</w:t>
      </w:r>
      <w:r w:rsidR="002D410E" w:rsidRPr="00E13978">
        <w:rPr>
          <w:rStyle w:val="ts-alignment-element"/>
          <w:sz w:val="22"/>
          <w:szCs w:val="22"/>
          <w:lang w:val="pt-BR"/>
        </w:rPr>
        <w:t xml:space="preserve"> membros</w:t>
      </w:r>
      <w:r w:rsidR="0000699C" w:rsidRPr="00E13978">
        <w:rPr>
          <w:rStyle w:val="ts-alignment-element"/>
          <w:sz w:val="22"/>
          <w:szCs w:val="22"/>
          <w:lang w:val="pt-BR"/>
        </w:rPr>
        <w:t>,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>eliminando as lacunas digitais e de oportunidades</w:t>
      </w:r>
      <w:r w:rsidR="0000699C" w:rsidRPr="00E13978">
        <w:rPr>
          <w:rStyle w:val="ts-alignment-element"/>
          <w:sz w:val="22"/>
          <w:szCs w:val="22"/>
          <w:lang w:val="pt-BR"/>
        </w:rPr>
        <w:t>;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>e melhora</w:t>
      </w:r>
      <w:r w:rsidR="002E5C35" w:rsidRPr="00E13978">
        <w:rPr>
          <w:sz w:val="22"/>
          <w:szCs w:val="22"/>
          <w:lang w:val="pt-BR"/>
        </w:rPr>
        <w:t xml:space="preserve">ndo </w:t>
      </w:r>
      <w:r w:rsidRPr="00E13978">
        <w:rPr>
          <w:sz w:val="22"/>
          <w:szCs w:val="22"/>
          <w:lang w:val="pt-BR"/>
        </w:rPr>
        <w:t>a situação econômica e social da juventude, da mulher e da população vulnerável</w:t>
      </w:r>
      <w:r w:rsidR="0000699C" w:rsidRPr="00E13978">
        <w:rPr>
          <w:rStyle w:val="ts-alignment-element"/>
          <w:sz w:val="22"/>
          <w:szCs w:val="22"/>
          <w:lang w:val="pt-BR"/>
        </w:rPr>
        <w:t>.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rStyle w:val="ts-alignment-element"/>
          <w:sz w:val="22"/>
          <w:szCs w:val="22"/>
          <w:lang w:val="pt-BR"/>
        </w:rPr>
        <w:t>A esse respeito</w:t>
      </w:r>
      <w:r w:rsidR="0000699C" w:rsidRPr="00E13978">
        <w:rPr>
          <w:rStyle w:val="ts-alignment-element"/>
          <w:sz w:val="22"/>
          <w:szCs w:val="22"/>
          <w:lang w:val="pt-BR"/>
        </w:rPr>
        <w:t>,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rStyle w:val="ts-alignment-element"/>
          <w:sz w:val="22"/>
          <w:szCs w:val="22"/>
          <w:lang w:val="pt-BR"/>
        </w:rPr>
        <w:t>outra conquista</w:t>
      </w:r>
      <w:r w:rsidR="002E5C35" w:rsidRPr="00E13978">
        <w:rPr>
          <w:rStyle w:val="ts-alignment-element"/>
          <w:sz w:val="22"/>
          <w:szCs w:val="22"/>
          <w:lang w:val="pt-BR"/>
        </w:rPr>
        <w:t>, em 2021,</w:t>
      </w:r>
      <w:r w:rsidRPr="00E13978">
        <w:rPr>
          <w:rStyle w:val="ts-alignment-element"/>
          <w:sz w:val="22"/>
          <w:szCs w:val="22"/>
          <w:lang w:val="pt-BR"/>
        </w:rPr>
        <w:t xml:space="preserve"> que a </w:t>
      </w:r>
      <w:r w:rsidR="0000699C" w:rsidRPr="00E13978">
        <w:rPr>
          <w:rStyle w:val="ts-alignment-element"/>
          <w:sz w:val="22"/>
          <w:szCs w:val="22"/>
          <w:lang w:val="pt-BR"/>
        </w:rPr>
        <w:t>SEDI</w:t>
      </w:r>
      <w:r w:rsidR="0000699C" w:rsidRPr="00E13978">
        <w:rPr>
          <w:sz w:val="22"/>
          <w:szCs w:val="22"/>
          <w:lang w:val="pt-BR"/>
        </w:rPr>
        <w:t xml:space="preserve"> </w:t>
      </w:r>
      <w:r w:rsidRPr="00E13978">
        <w:rPr>
          <w:sz w:val="22"/>
          <w:szCs w:val="22"/>
          <w:lang w:val="pt-BR"/>
        </w:rPr>
        <w:t xml:space="preserve">tem a satisfação de salientar é o lançamento da primeira </w:t>
      </w:r>
      <w:r w:rsidR="00B156EF" w:rsidRPr="00E13978">
        <w:rPr>
          <w:sz w:val="22"/>
          <w:szCs w:val="22"/>
          <w:lang w:val="pt-BR"/>
        </w:rPr>
        <w:t xml:space="preserve">Academia em Tecnologias Transformadoras para Jovens nas </w:t>
      </w:r>
      <w:r w:rsidR="004D733A" w:rsidRPr="00E13978">
        <w:rPr>
          <w:rStyle w:val="ts-alignment-element"/>
          <w:sz w:val="22"/>
          <w:szCs w:val="22"/>
          <w:lang w:val="pt-BR"/>
        </w:rPr>
        <w:t>Américas</w:t>
      </w:r>
      <w:r w:rsidR="0000699C" w:rsidRPr="00E13978">
        <w:rPr>
          <w:rStyle w:val="ts-alignment-element"/>
          <w:sz w:val="22"/>
          <w:szCs w:val="22"/>
          <w:lang w:val="pt-BR"/>
        </w:rPr>
        <w:t>.</w:t>
      </w:r>
    </w:p>
    <w:p w14:paraId="51DD8817" w14:textId="3ABABC36" w:rsidR="0000699C" w:rsidRPr="00E13978" w:rsidRDefault="0000699C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11620DB" w14:textId="6B96159E" w:rsidR="00C3554C" w:rsidRPr="00E13978" w:rsidRDefault="00B4448E" w:rsidP="00E13978">
      <w:pPr>
        <w:suppressAutoHyphens/>
        <w:ind w:firstLine="709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Em um cenário de recursos restritos, grande parte do trabalho da </w:t>
      </w:r>
      <w:r w:rsidR="00D272A0" w:rsidRPr="00E13978">
        <w:rPr>
          <w:rFonts w:eastAsia="Calibri"/>
          <w:color w:val="000000" w:themeColor="text1"/>
          <w:sz w:val="22"/>
          <w:szCs w:val="22"/>
          <w:lang w:val="pt-BR"/>
        </w:rPr>
        <w:t>SEDI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 é financiado por contribuições voluntárias dos </w:t>
      </w:r>
      <w:r w:rsidR="002D410E" w:rsidRPr="00E13978">
        <w:rPr>
          <w:rFonts w:eastAsia="Calibri"/>
          <w:color w:val="000000" w:themeColor="text1"/>
          <w:sz w:val="22"/>
          <w:szCs w:val="22"/>
          <w:lang w:val="pt-BR"/>
        </w:rPr>
        <w:t>Estado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>s</w:t>
      </w:r>
      <w:r w:rsidR="002D410E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 membros</w:t>
      </w:r>
      <w:r w:rsidR="00586E61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>e outros doadores</w:t>
      </w:r>
      <w:r w:rsidR="00287000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A recente redução dos recursos de desenvolvimento para a região da América Latina e do </w:t>
      </w:r>
      <w:r w:rsidR="00D272A0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Caribe,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entre os principais doadores, apresentou à </w:t>
      </w:r>
      <w:r w:rsidR="004D733A" w:rsidRPr="00E13978">
        <w:rPr>
          <w:rFonts w:eastAsia="Calibri"/>
          <w:color w:val="000000" w:themeColor="text1"/>
          <w:sz w:val="22"/>
          <w:szCs w:val="22"/>
          <w:lang w:val="pt-BR"/>
        </w:rPr>
        <w:t>Secretaria</w:t>
      </w:r>
      <w:r w:rsidR="00586E61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o desafio de recursos inadequados, o que impactou de maneira negativa sua capacidade de responder integralmente </w:t>
      </w:r>
      <w:r w:rsidR="001F3B81" w:rsidRPr="00E13978">
        <w:rPr>
          <w:rFonts w:eastAsia="Calibri"/>
          <w:color w:val="000000" w:themeColor="text1"/>
          <w:sz w:val="22"/>
          <w:szCs w:val="22"/>
          <w:lang w:val="pt-BR"/>
        </w:rPr>
        <w:t>às novas necessidades dos Estados membros</w:t>
      </w:r>
      <w:r w:rsidR="00D272A0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. </w:t>
      </w:r>
      <w:r w:rsidR="001F3B81" w:rsidRPr="00E13978">
        <w:rPr>
          <w:rFonts w:eastAsia="Calibri"/>
          <w:color w:val="000000" w:themeColor="text1"/>
          <w:sz w:val="22"/>
          <w:szCs w:val="22"/>
          <w:lang w:val="pt-BR"/>
        </w:rPr>
        <w:t>P</w:t>
      </w:r>
      <w:r w:rsidR="00D272A0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or </w:t>
      </w:r>
      <w:r w:rsidR="001F3B81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essa razão, a mobilização de recursos continua sendo um componente fundamental do trabalho da </w:t>
      </w:r>
      <w:r w:rsidR="00D272A0" w:rsidRPr="00E13978">
        <w:rPr>
          <w:rFonts w:eastAsia="Calibri"/>
          <w:color w:val="000000" w:themeColor="text1"/>
          <w:sz w:val="22"/>
          <w:szCs w:val="22"/>
          <w:lang w:val="pt-BR"/>
        </w:rPr>
        <w:t>SEDI</w:t>
      </w:r>
      <w:r w:rsidR="001F3B81" w:rsidRPr="00E13978">
        <w:rPr>
          <w:rFonts w:eastAsia="Calibri"/>
          <w:color w:val="000000" w:themeColor="text1"/>
          <w:sz w:val="22"/>
          <w:szCs w:val="22"/>
          <w:lang w:val="pt-BR"/>
        </w:rPr>
        <w:t xml:space="preserve">, que, desse modo, buscou parcerias com os principais atores internacionais e regionais, como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IBM, Amazon, Facebook, </w:t>
      </w:r>
      <w:r w:rsidR="001F3B81" w:rsidRPr="00E13978">
        <w:rPr>
          <w:color w:val="000000" w:themeColor="text1"/>
          <w:sz w:val="22"/>
          <w:szCs w:val="22"/>
          <w:lang w:val="pt-BR"/>
        </w:rPr>
        <w:t>BID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GDF, </w:t>
      </w:r>
      <w:r w:rsidR="00B05A72" w:rsidRPr="00E13978">
        <w:rPr>
          <w:color w:val="000000" w:themeColor="text1"/>
          <w:sz w:val="22"/>
          <w:szCs w:val="22"/>
          <w:lang w:val="pt-BR"/>
        </w:rPr>
        <w:t>Agência Suíça para o Desenvolvimento e a Cooperação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sociedades </w:t>
      </w:r>
      <w:r w:rsidR="002E5C35" w:rsidRPr="00E13978">
        <w:rPr>
          <w:color w:val="000000" w:themeColor="text1"/>
          <w:sz w:val="22"/>
          <w:szCs w:val="22"/>
          <w:lang w:val="pt-BR"/>
        </w:rPr>
        <w:t>de Internet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Space Foundation, </w:t>
      </w:r>
      <w:r w:rsidR="0045226C" w:rsidRPr="00E13978">
        <w:rPr>
          <w:color w:val="000000" w:themeColor="text1"/>
          <w:sz w:val="22"/>
          <w:szCs w:val="22"/>
          <w:lang w:val="pt-BR"/>
        </w:rPr>
        <w:t>Departamento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B05A72" w:rsidRPr="00E13978">
        <w:rPr>
          <w:color w:val="000000" w:themeColor="text1"/>
          <w:sz w:val="22"/>
          <w:szCs w:val="22"/>
          <w:lang w:val="pt-BR"/>
        </w:rPr>
        <w:t>de Comércio dos Estados Unidos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e instituições acadêmicas de destaque, como Universidade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Texas </w:t>
      </w:r>
      <w:r w:rsidR="00C10611" w:rsidRPr="00E13978">
        <w:rPr>
          <w:color w:val="000000" w:themeColor="text1"/>
          <w:sz w:val="22"/>
          <w:szCs w:val="22"/>
          <w:lang w:val="pt-BR"/>
        </w:rPr>
        <w:t>A&amp;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M,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Universidade da Califórnia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Riverside,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Universidade de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Chicago,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Universidade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Duke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e muitas outras, com programas em empoderamento econômico da mulher, transformação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digital,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capacitação de professores em 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STEM, </w:t>
      </w:r>
      <w:r w:rsidR="00B05A72" w:rsidRPr="00E13978">
        <w:rPr>
          <w:color w:val="000000" w:themeColor="text1"/>
          <w:sz w:val="22"/>
          <w:szCs w:val="22"/>
          <w:lang w:val="pt-BR"/>
        </w:rPr>
        <w:t>saneamento de água</w:t>
      </w:r>
      <w:r w:rsidR="00C3554C" w:rsidRPr="00E13978">
        <w:rPr>
          <w:color w:val="000000" w:themeColor="text1"/>
          <w:sz w:val="22"/>
          <w:szCs w:val="22"/>
          <w:lang w:val="pt-BR"/>
        </w:rPr>
        <w:t>, co</w:t>
      </w:r>
      <w:r w:rsidR="00B05A72" w:rsidRPr="00E13978">
        <w:rPr>
          <w:color w:val="000000" w:themeColor="text1"/>
          <w:sz w:val="22"/>
          <w:szCs w:val="22"/>
          <w:lang w:val="pt-BR"/>
        </w:rPr>
        <w:t>mercialização e transferência de tecnologia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B05A72" w:rsidRPr="00E13978">
        <w:rPr>
          <w:color w:val="000000" w:themeColor="text1"/>
          <w:sz w:val="22"/>
          <w:szCs w:val="22"/>
          <w:lang w:val="pt-BR"/>
        </w:rPr>
        <w:t>digitalização de pequenas empresas</w:t>
      </w:r>
      <w:r w:rsidR="00C3554C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B05A72" w:rsidRPr="00E13978">
        <w:rPr>
          <w:color w:val="000000" w:themeColor="text1"/>
          <w:sz w:val="22"/>
          <w:szCs w:val="22"/>
          <w:lang w:val="pt-BR"/>
        </w:rPr>
        <w:t xml:space="preserve">transição energética e lançamento da primeira </w:t>
      </w:r>
      <w:r w:rsidR="00B05A72" w:rsidRPr="00E13978">
        <w:rPr>
          <w:sz w:val="22"/>
          <w:szCs w:val="22"/>
          <w:lang w:val="pt-BR"/>
        </w:rPr>
        <w:t>Academia em Tecnologias Transformadoras para Jovens</w:t>
      </w:r>
      <w:r w:rsidR="00C3554C" w:rsidRPr="00E13978">
        <w:rPr>
          <w:color w:val="000000" w:themeColor="text1"/>
          <w:sz w:val="22"/>
          <w:szCs w:val="22"/>
          <w:lang w:val="pt-BR"/>
        </w:rPr>
        <w:t>.</w:t>
      </w:r>
    </w:p>
    <w:p w14:paraId="6F786258" w14:textId="04248591" w:rsidR="004F3F7C" w:rsidRPr="00E13978" w:rsidRDefault="004F3F7C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122067A" w14:textId="20E5BFE3" w:rsidR="001373CB" w:rsidRPr="00E13978" w:rsidRDefault="00B05A72" w:rsidP="00E13978">
      <w:pPr>
        <w:suppressAutoHyphens/>
        <w:ind w:firstLine="709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Este relatório, referente às atividades do ano de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>2021</w:t>
      </w:r>
      <w:r w:rsidRPr="00E13978">
        <w:rPr>
          <w:color w:val="000000" w:themeColor="text1"/>
          <w:sz w:val="22"/>
          <w:szCs w:val="22"/>
          <w:lang w:val="pt-BR"/>
        </w:rPr>
        <w:t xml:space="preserve">, inclui os resultados obtidos pela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Pr="00E13978">
        <w:rPr>
          <w:color w:val="000000" w:themeColor="text1"/>
          <w:sz w:val="22"/>
          <w:szCs w:val="22"/>
          <w:lang w:val="pt-BR"/>
        </w:rPr>
        <w:t xml:space="preserve">em cada uma das linhas estratégicas e objetivos do pilar de desenvolvimento do Plano Estratégico Integral da </w:t>
      </w:r>
      <w:r w:rsidR="001373CB" w:rsidRPr="00E13978">
        <w:rPr>
          <w:color w:val="000000" w:themeColor="text1"/>
          <w:sz w:val="22"/>
          <w:szCs w:val="22"/>
          <w:lang w:val="pt-BR"/>
        </w:rPr>
        <w:t>Organiza</w:t>
      </w:r>
      <w:r w:rsidRPr="00E13978">
        <w:rPr>
          <w:color w:val="000000" w:themeColor="text1"/>
          <w:sz w:val="22"/>
          <w:szCs w:val="22"/>
          <w:lang w:val="pt-BR"/>
        </w:rPr>
        <w:t>ção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[AG/RES. 1 (LI-E/16)] </w:t>
      </w:r>
    </w:p>
    <w:p w14:paraId="26E3B7C8" w14:textId="0648CFAE" w:rsidR="004F3F7C" w:rsidRPr="00E13978" w:rsidRDefault="004F3F7C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2540620" w14:textId="77777777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F4E352E" w14:textId="4CDF6914" w:rsidR="001373CB" w:rsidRPr="00E13978" w:rsidRDefault="00B17295" w:rsidP="00E13978">
      <w:pPr>
        <w:suppressAutoHyphens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LINHA ESTRATÉGICA</w:t>
      </w:r>
      <w:r w:rsidR="002E5C35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1: PROMO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VER ECONOMIAS INCLUSIVAS E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COMPETITIV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AS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665B046B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CC56D7D" w14:textId="23F106C8" w:rsidR="001373CB" w:rsidRPr="00E13978" w:rsidRDefault="00B17295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pandemia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acelerou a adoção de novas tecnologias e exacerbou a lacuna digital das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micro, </w:t>
      </w:r>
      <w:r w:rsidRPr="00E13978">
        <w:rPr>
          <w:color w:val="000000" w:themeColor="text1"/>
          <w:sz w:val="22"/>
          <w:szCs w:val="22"/>
          <w:lang w:val="pt-BR"/>
        </w:rPr>
        <w:t xml:space="preserve">pequenas e médias empresas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="00FE18A4" w:rsidRPr="00E13978">
        <w:rPr>
          <w:color w:val="000000" w:themeColor="text1"/>
          <w:sz w:val="22"/>
          <w:szCs w:val="22"/>
          <w:lang w:val="pt-BR"/>
        </w:rPr>
        <w:t>MPMEs</w:t>
      </w:r>
      <w:r w:rsidR="001373CB" w:rsidRPr="00E13978">
        <w:rPr>
          <w:color w:val="000000" w:themeColor="text1"/>
          <w:sz w:val="22"/>
          <w:szCs w:val="22"/>
          <w:lang w:val="pt-BR"/>
        </w:rPr>
        <w:t>).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Milhões delas tiveram de ser fechadas, na medida em que foram incapazes de acessar plataformas digitais para impulsionar novas oportunidades econômicas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Parceria Comercial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/WhatsApp </w:t>
      </w:r>
      <w:r w:rsidRPr="00E13978">
        <w:rPr>
          <w:color w:val="000000" w:themeColor="text1"/>
          <w:sz w:val="22"/>
          <w:szCs w:val="22"/>
          <w:lang w:val="pt-BR"/>
        </w:rPr>
        <w:t xml:space="preserve">para as </w:t>
      </w:r>
      <w:r w:rsidR="00FE18A4" w:rsidRPr="00E13978">
        <w:rPr>
          <w:color w:val="000000" w:themeColor="text1"/>
          <w:sz w:val="22"/>
          <w:szCs w:val="22"/>
          <w:lang w:val="pt-BR"/>
        </w:rPr>
        <w:t xml:space="preserve">MPMEs </w:t>
      </w:r>
      <w:r w:rsidRPr="00E13978">
        <w:rPr>
          <w:color w:val="000000" w:themeColor="text1"/>
          <w:sz w:val="22"/>
          <w:szCs w:val="22"/>
          <w:lang w:val="pt-BR"/>
        </w:rPr>
        <w:t xml:space="preserve">e o Programa de Centros de Desenvolvimento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de Pequenas Empresas do Caribe proporcionaram às autoridades e instituições de apoio em </w:t>
      </w:r>
      <w:r w:rsidR="001373CB" w:rsidRPr="00E13978">
        <w:rPr>
          <w:color w:val="000000" w:themeColor="text1"/>
          <w:sz w:val="22"/>
          <w:szCs w:val="22"/>
          <w:lang w:val="pt-BR"/>
        </w:rPr>
        <w:t>M</w:t>
      </w:r>
      <w:r w:rsidR="009E77C3" w:rsidRPr="00E13978">
        <w:rPr>
          <w:color w:val="000000" w:themeColor="text1"/>
          <w:sz w:val="22"/>
          <w:szCs w:val="22"/>
          <w:lang w:val="pt-BR"/>
        </w:rPr>
        <w:t>P</w:t>
      </w:r>
      <w:r w:rsidR="001373CB" w:rsidRPr="00E13978">
        <w:rPr>
          <w:color w:val="000000" w:themeColor="text1"/>
          <w:sz w:val="22"/>
          <w:szCs w:val="22"/>
          <w:lang w:val="pt-BR"/>
        </w:rPr>
        <w:t>ME</w:t>
      </w:r>
      <w:r w:rsidR="009E77C3" w:rsidRPr="00E13978">
        <w:rPr>
          <w:color w:val="000000" w:themeColor="text1"/>
          <w:sz w:val="22"/>
          <w:szCs w:val="22"/>
          <w:lang w:val="pt-BR"/>
        </w:rPr>
        <w:t>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oportunidades de capacitação e ferramentas simples, confiáveis e seguras para oferecer às </w:t>
      </w:r>
      <w:r w:rsidR="00FE18A4" w:rsidRPr="00E13978">
        <w:rPr>
          <w:color w:val="000000" w:themeColor="text1"/>
          <w:sz w:val="22"/>
          <w:szCs w:val="22"/>
          <w:lang w:val="pt-BR"/>
        </w:rPr>
        <w:t>MPMEs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9E77C3" w:rsidRPr="00E13978">
        <w:rPr>
          <w:color w:val="000000" w:themeColor="text1"/>
          <w:sz w:val="22"/>
          <w:szCs w:val="22"/>
          <w:lang w:val="pt-BR"/>
        </w:rPr>
        <w:t>uma porta de entrada para a digitalização, a fim de se conectar com seus clientes e alcançar novos mercados</w:t>
      </w:r>
      <w:r w:rsidR="001373CB" w:rsidRPr="00E13978">
        <w:rPr>
          <w:color w:val="000000" w:themeColor="text1"/>
          <w:sz w:val="22"/>
          <w:szCs w:val="22"/>
          <w:lang w:val="pt-BR"/>
        </w:rPr>
        <w:t>. A</w:t>
      </w:r>
      <w:r w:rsidR="009E77C3" w:rsidRPr="00E13978">
        <w:rPr>
          <w:color w:val="000000" w:themeColor="text1"/>
          <w:sz w:val="22"/>
          <w:szCs w:val="22"/>
          <w:lang w:val="pt-BR"/>
        </w:rPr>
        <w:t>lém disso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lançou o projeto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“</w:t>
      </w:r>
      <w:r w:rsidR="009E77C3" w:rsidRPr="00E13978">
        <w:rPr>
          <w:color w:val="000000" w:themeColor="text1"/>
          <w:sz w:val="22"/>
          <w:szCs w:val="22"/>
          <w:lang w:val="pt-BR"/>
        </w:rPr>
        <w:t>Mulheres economicamente empoderadas para sociedades equitativas e resilientes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”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 xml:space="preserve">e o </w:t>
      </w:r>
      <w:r w:rsidR="006610E4" w:rsidRPr="00E13978">
        <w:rPr>
          <w:iCs/>
          <w:color w:val="000000" w:themeColor="text1"/>
          <w:sz w:val="22"/>
          <w:szCs w:val="22"/>
          <w:lang w:val="pt-BR"/>
        </w:rPr>
        <w:t>projeto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#SheMeans Business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 xml:space="preserve">, para aumentar a participação da mulher na economia </w:t>
      </w:r>
      <w:r w:rsidR="001373CB" w:rsidRPr="00E13978">
        <w:rPr>
          <w:color w:val="000000" w:themeColor="text1"/>
          <w:sz w:val="22"/>
          <w:szCs w:val="22"/>
          <w:lang w:val="pt-BR"/>
        </w:rPr>
        <w:t>digital. O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utras iniciativas apoiaram o intercâmbio de conhecimento em medidas adotadas pelos </w:t>
      </w:r>
      <w:r w:rsidR="001F3B81" w:rsidRPr="00E13978">
        <w:rPr>
          <w:color w:val="000000" w:themeColor="text1"/>
          <w:sz w:val="22"/>
          <w:szCs w:val="22"/>
          <w:lang w:val="pt-BR"/>
        </w:rPr>
        <w:t xml:space="preserve">Estados membros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para reduzir o impacto econômico da pandemia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Centro de Informação sobre </w:t>
      </w:r>
      <w:r w:rsidR="001373CB" w:rsidRPr="00E13978">
        <w:rPr>
          <w:color w:val="000000" w:themeColor="text1"/>
          <w:sz w:val="22"/>
          <w:szCs w:val="22"/>
          <w:lang w:val="pt-BR"/>
        </w:rPr>
        <w:t>M</w:t>
      </w:r>
      <w:r w:rsidR="009E77C3" w:rsidRPr="00E13978">
        <w:rPr>
          <w:color w:val="000000" w:themeColor="text1"/>
          <w:sz w:val="22"/>
          <w:szCs w:val="22"/>
          <w:lang w:val="pt-BR"/>
        </w:rPr>
        <w:t>P</w:t>
      </w:r>
      <w:r w:rsidR="001373CB" w:rsidRPr="00E13978">
        <w:rPr>
          <w:color w:val="000000" w:themeColor="text1"/>
          <w:sz w:val="22"/>
          <w:szCs w:val="22"/>
          <w:lang w:val="pt-BR"/>
        </w:rPr>
        <w:t>ME</w:t>
      </w:r>
      <w:r w:rsidR="009E77C3" w:rsidRPr="00E13978">
        <w:rPr>
          <w:color w:val="000000" w:themeColor="text1"/>
          <w:sz w:val="22"/>
          <w:szCs w:val="22"/>
          <w:lang w:val="pt-BR"/>
        </w:rPr>
        <w:t>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e Boletim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color w:val="000000" w:themeColor="text1"/>
          <w:sz w:val="22"/>
          <w:szCs w:val="22"/>
          <w:lang w:val="pt-BR"/>
        </w:rPr>
        <w:t>/M</w:t>
      </w:r>
      <w:r w:rsidR="009E77C3" w:rsidRPr="00E13978">
        <w:rPr>
          <w:color w:val="000000" w:themeColor="text1"/>
          <w:sz w:val="22"/>
          <w:szCs w:val="22"/>
          <w:lang w:val="pt-BR"/>
        </w:rPr>
        <w:t>P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ME), </w:t>
      </w:r>
      <w:r w:rsidR="009E77C3" w:rsidRPr="00E13978">
        <w:rPr>
          <w:color w:val="000000" w:themeColor="text1"/>
          <w:sz w:val="22"/>
          <w:szCs w:val="22"/>
          <w:lang w:val="pt-BR"/>
        </w:rPr>
        <w:t>contribuíram para a identificação de ferramentas e novas políticas para fortalecer o ecossistema MPME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9E77C3" w:rsidRPr="00E13978">
        <w:rPr>
          <w:color w:val="000000" w:themeColor="text1"/>
          <w:sz w:val="22"/>
          <w:szCs w:val="22"/>
          <w:lang w:val="pt-BR"/>
        </w:rPr>
        <w:t xml:space="preserve">nos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Acelerador de Ideias da </w:t>
      </w:r>
      <w:r w:rsidR="00883E86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-19 </w:t>
      </w:r>
      <w:r w:rsidR="00F2457C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>da RIAC</w:t>
      </w:r>
      <w:r w:rsidR="001373CB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), </w:t>
      </w:r>
      <w:r w:rsidR="00F2457C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>inspira</w:t>
      </w:r>
      <w:r w:rsidR="006610E4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ram </w:t>
      </w:r>
      <w:r w:rsidR="00F2457C" w:rsidRPr="00E13978">
        <w:rPr>
          <w:color w:val="000000" w:themeColor="text1"/>
          <w:sz w:val="22"/>
          <w:szCs w:val="22"/>
          <w:shd w:val="clear" w:color="auto" w:fill="FFFFFF"/>
          <w:lang w:val="pt-BR"/>
        </w:rPr>
        <w:t xml:space="preserve">o desenvolvimento e a implementação de projetos colaborativos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(</w:t>
      </w:r>
      <w:r w:rsidR="00F2457C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Programa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ACE, Prospecta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e ofereceram apoio a profissionais e empreendedores, por meio de sessões de mentoria com peritos e líderes, com vistas a ajudar a acelerar suas soluções, tecnologias, produtos e serviços inovadores </w:t>
      </w:r>
      <w:r w:rsidR="001373CB" w:rsidRPr="00E13978">
        <w:rPr>
          <w:color w:val="000000" w:themeColor="text1"/>
          <w:sz w:val="22"/>
          <w:szCs w:val="22"/>
          <w:lang w:val="pt-BR"/>
        </w:rPr>
        <w:t>“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da ideia ao mercado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="00F2457C" w:rsidRPr="00E13978">
        <w:rPr>
          <w:color w:val="000000" w:themeColor="text1"/>
          <w:sz w:val="22"/>
          <w:szCs w:val="22"/>
          <w:lang w:val="pt-BR"/>
        </w:rPr>
        <w:t>duas plataformas virtuais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“COMCYT Central” </w:t>
      </w:r>
      <w:r w:rsidR="00F2457C"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“COMUNITT”).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também lançou o </w:t>
      </w:r>
      <w:r w:rsidR="003A0338" w:rsidRPr="00E13978">
        <w:rPr>
          <w:color w:val="000000" w:themeColor="text1"/>
          <w:sz w:val="22"/>
          <w:szCs w:val="22"/>
          <w:lang w:val="pt-BR"/>
        </w:rPr>
        <w:t xml:space="preserve">Colaborativo de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Turismo Indígena das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uma rede de líderes indígenas e organizações da indústria do turismo em toda a </w:t>
      </w:r>
      <w:r w:rsidR="004D733A" w:rsidRPr="00E13978">
        <w:rPr>
          <w:color w:val="000000" w:themeColor="text1"/>
          <w:sz w:val="22"/>
          <w:szCs w:val="22"/>
          <w:lang w:val="pt-BR"/>
        </w:rPr>
        <w:t>América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F2457C" w:rsidRPr="00E13978">
        <w:rPr>
          <w:color w:val="000000" w:themeColor="text1"/>
          <w:sz w:val="22"/>
          <w:szCs w:val="22"/>
          <w:lang w:val="pt-BR"/>
        </w:rPr>
        <w:t xml:space="preserve">para ajudar a conduzir ações de colaboração em apoio ao desenvolvimento sustentável e ao crescimento em comunidades indígenas de todas 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4D062E79" w14:textId="77777777" w:rsidR="001373CB" w:rsidRPr="00A31AF6" w:rsidRDefault="001373CB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0131BE8A" w14:textId="0A37835F" w:rsidR="001373CB" w:rsidRPr="00E13978" w:rsidRDefault="001373CB" w:rsidP="00E13978">
      <w:pPr>
        <w:keepLines/>
        <w:suppressAutoHyphens/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lastRenderedPageBreak/>
        <w:t>OBJETIV</w:t>
      </w:r>
      <w:r w:rsidR="00F2457C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O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1.1</w:t>
      </w:r>
      <w:r w:rsidR="0039425D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2457C" w:rsidRPr="00E13978">
        <w:rPr>
          <w:b/>
          <w:bCs/>
          <w:sz w:val="22"/>
          <w:szCs w:val="22"/>
          <w:lang w:val="pt-BR"/>
        </w:rPr>
        <w:t>Aumentar a capacidade das instituições dos Estados membros que apoiem a implementação de políticas e programas que promovam a produtividade, o empreendedorismo, a inovação e a internacionalização das micro, pequenas e médias empresas (MPMEs) bem como das cooperativas e outras unidades de produção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. </w:t>
      </w:r>
    </w:p>
    <w:p w14:paraId="34FF99DF" w14:textId="77777777" w:rsidR="00E41652" w:rsidRPr="00E13978" w:rsidRDefault="00E41652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54131375" w14:textId="3482A9E6" w:rsidR="001373CB" w:rsidRPr="00E13978" w:rsidRDefault="001373CB" w:rsidP="00E13978">
      <w:pPr>
        <w:suppressAutoHyphens/>
        <w:ind w:firstLine="720"/>
        <w:jc w:val="both"/>
        <w:rPr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>S</w:t>
      </w:r>
      <w:r w:rsidR="00B07764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étimo Diálogo </w:t>
      </w: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>Inter</w:t>
      </w:r>
      <w:r w:rsidR="00B07764" w:rsidRPr="00E13978">
        <w:rPr>
          <w:b/>
          <w:bCs/>
          <w:iCs/>
          <w:color w:val="000000" w:themeColor="text1"/>
          <w:sz w:val="22"/>
          <w:szCs w:val="22"/>
          <w:lang w:val="pt-BR"/>
        </w:rPr>
        <w:t>a</w:t>
      </w: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>merican</w:t>
      </w:r>
      <w:r w:rsidR="00B07764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o de Altas Autoridades de </w:t>
      </w:r>
      <w:r w:rsidR="009E77C3" w:rsidRPr="00E13978">
        <w:rPr>
          <w:b/>
          <w:bCs/>
          <w:iCs/>
          <w:color w:val="000000" w:themeColor="text1"/>
          <w:sz w:val="22"/>
          <w:szCs w:val="22"/>
          <w:lang w:val="pt-BR"/>
        </w:rPr>
        <w:t>MPME</w:t>
      </w:r>
      <w:r w:rsidR="00586E61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</w:p>
    <w:p w14:paraId="7ADE62AA" w14:textId="5FCDB17E" w:rsidR="001373CB" w:rsidRPr="00E13978" w:rsidRDefault="001373CB" w:rsidP="00E13978">
      <w:pPr>
        <w:pStyle w:val="ListParagraph"/>
        <w:numPr>
          <w:ilvl w:val="0"/>
          <w:numId w:val="7"/>
        </w:numPr>
        <w:suppressAutoHyphens/>
        <w:ind w:left="1440" w:hanging="720"/>
        <w:contextualSpacing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>Conv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 xml:space="preserve">ocou o Sétimo Diálogo Interamericano de Altas Autoridades de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 xml:space="preserve">realizado virtualmente em 9 e 10 de setembro de </w:t>
      </w:r>
      <w:r w:rsidRPr="00E13978">
        <w:rPr>
          <w:iCs/>
          <w:color w:val="000000" w:themeColor="text1"/>
          <w:sz w:val="22"/>
          <w:szCs w:val="22"/>
          <w:lang w:val="pt-BR"/>
        </w:rPr>
        <w:t>2021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 xml:space="preserve">, com a liderança do Governo do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Chile 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 xml:space="preserve">e a participação de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30 </w:t>
      </w:r>
      <w:r w:rsidR="001F3B81" w:rsidRPr="00E13978">
        <w:rPr>
          <w:iCs/>
          <w:color w:val="000000" w:themeColor="text1"/>
          <w:sz w:val="22"/>
          <w:szCs w:val="22"/>
          <w:lang w:val="pt-BR"/>
        </w:rPr>
        <w:t>Estados membros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>para focalizar políticas públicas</w:t>
      </w:r>
      <w:r w:rsidRPr="00E13978">
        <w:rPr>
          <w:iCs/>
          <w:color w:val="000000" w:themeColor="text1"/>
          <w:sz w:val="22"/>
          <w:szCs w:val="22"/>
          <w:lang w:val="pt-BR"/>
        </w:rPr>
        <w:t>, program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>a</w:t>
      </w:r>
      <w:r w:rsidRPr="00E13978">
        <w:rPr>
          <w:iCs/>
          <w:color w:val="000000" w:themeColor="text1"/>
          <w:sz w:val="22"/>
          <w:szCs w:val="22"/>
          <w:lang w:val="pt-BR"/>
        </w:rPr>
        <w:t>s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 xml:space="preserve"> e soluções para a recuperação econômica pós-covid das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="00B07764" w:rsidRPr="00E13978">
        <w:rPr>
          <w:iCs/>
          <w:color w:val="000000" w:themeColor="text1"/>
          <w:sz w:val="22"/>
          <w:szCs w:val="22"/>
          <w:lang w:val="pt-BR"/>
        </w:rPr>
        <w:t>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. </w:t>
      </w:r>
      <w:r w:rsidR="005305B4" w:rsidRPr="00E13978">
        <w:rPr>
          <w:iCs/>
          <w:color w:val="000000" w:themeColor="text1"/>
          <w:sz w:val="22"/>
          <w:szCs w:val="22"/>
          <w:lang w:val="pt-BR"/>
        </w:rPr>
        <w:t>Áreas prioritárias de ação identificadas pelos Estados membros para apoiar a recuperação das MPMEs por meio do intercâmbio de boas práticas e experiências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: 1) </w:t>
      </w:r>
      <w:r w:rsidR="005305B4" w:rsidRPr="00E13978">
        <w:rPr>
          <w:iCs/>
          <w:color w:val="000000" w:themeColor="text1"/>
          <w:sz w:val="22"/>
          <w:szCs w:val="22"/>
          <w:lang w:val="pt-BR"/>
        </w:rPr>
        <w:t>soluções financeiras, inclusive uma perspectiva de gênero</w:t>
      </w:r>
      <w:r w:rsidRPr="00E13978">
        <w:rPr>
          <w:iCs/>
          <w:color w:val="000000" w:themeColor="text1"/>
          <w:sz w:val="22"/>
          <w:szCs w:val="22"/>
          <w:lang w:val="pt-BR"/>
        </w:rPr>
        <w:t>; 2) digit</w:t>
      </w:r>
      <w:r w:rsidR="005305B4" w:rsidRPr="00E13978">
        <w:rPr>
          <w:iCs/>
          <w:color w:val="000000" w:themeColor="text1"/>
          <w:sz w:val="22"/>
          <w:szCs w:val="22"/>
          <w:lang w:val="pt-BR"/>
        </w:rPr>
        <w:t>alização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5305B4" w:rsidRPr="00E13978">
        <w:rPr>
          <w:iCs/>
          <w:color w:val="000000" w:themeColor="text1"/>
          <w:sz w:val="22"/>
          <w:szCs w:val="22"/>
          <w:lang w:val="pt-BR"/>
        </w:rPr>
        <w:t>comércio eletrônico e outras soluções tecnológicas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; 3) </w:t>
      </w:r>
      <w:r w:rsidR="005305B4" w:rsidRPr="00E13978">
        <w:rPr>
          <w:iCs/>
          <w:color w:val="000000" w:themeColor="text1"/>
          <w:sz w:val="22"/>
          <w:szCs w:val="22"/>
          <w:lang w:val="pt-BR"/>
        </w:rPr>
        <w:t xml:space="preserve">serviços de </w:t>
      </w:r>
      <w:r w:rsidR="005305B4" w:rsidRPr="00E13978">
        <w:rPr>
          <w:i/>
          <w:color w:val="000000" w:themeColor="text1"/>
          <w:sz w:val="22"/>
          <w:szCs w:val="22"/>
          <w:lang w:val="pt-BR"/>
        </w:rPr>
        <w:t xml:space="preserve">courier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e remessas internacionais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;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e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 4)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empoderamento econômico da mulher</w:t>
      </w:r>
      <w:r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407C1AEE" w14:textId="77777777" w:rsidR="001373CB" w:rsidRPr="00E13978" w:rsidRDefault="001373CB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7421EA02" w14:textId="10182633" w:rsidR="001373CB" w:rsidRPr="00E13978" w:rsidRDefault="00C44FF4" w:rsidP="00E13978">
      <w:pPr>
        <w:suppressAutoHyphens/>
        <w:ind w:firstLine="720"/>
        <w:jc w:val="both"/>
        <w:rPr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Programa da OEA para a Digitalização das </w:t>
      </w:r>
      <w:r w:rsidR="009E77C3" w:rsidRPr="00E13978">
        <w:rPr>
          <w:b/>
          <w:bCs/>
          <w:iCs/>
          <w:color w:val="000000" w:themeColor="text1"/>
          <w:sz w:val="22"/>
          <w:szCs w:val="22"/>
          <w:lang w:val="pt-BR"/>
        </w:rPr>
        <w:t>MPME</w:t>
      </w: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>s</w:t>
      </w:r>
      <w:r w:rsidR="009E77C3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</w:p>
    <w:p w14:paraId="541B4EDA" w14:textId="5D8BE332" w:rsidR="001373CB" w:rsidRPr="00E13978" w:rsidRDefault="001373CB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>La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nçado com o </w:t>
      </w:r>
      <w:r w:rsidRPr="00E13978">
        <w:rPr>
          <w:iCs/>
          <w:color w:val="000000" w:themeColor="text1"/>
          <w:sz w:val="22"/>
          <w:szCs w:val="22"/>
          <w:lang w:val="pt-BR"/>
        </w:rPr>
        <w:t>Facebook (Meta)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 o programa </w:t>
      </w:r>
      <w:hyperlink r:id="rId9" w:history="1">
        <w:r w:rsidRPr="00E13978">
          <w:rPr>
            <w:rStyle w:val="Hyperlink"/>
            <w:iCs/>
            <w:color w:val="000000" w:themeColor="text1"/>
            <w:sz w:val="22"/>
            <w:szCs w:val="22"/>
            <w:lang w:val="pt-BR"/>
          </w:rPr>
          <w:t>#SheMeansBusiness</w:t>
        </w:r>
      </w:hyperlink>
      <w:r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para liberar o potencial da mulher empreendedora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.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A </w:t>
      </w:r>
      <w:r w:rsidR="006610E4" w:rsidRPr="00E13978">
        <w:rPr>
          <w:iCs/>
          <w:color w:val="000000" w:themeColor="text1"/>
          <w:sz w:val="22"/>
          <w:szCs w:val="22"/>
          <w:lang w:val="pt-BR"/>
        </w:rPr>
        <w:t>p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lataforma oferece um espaço de aprendizagem </w:t>
      </w:r>
      <w:r w:rsidR="006610E4" w:rsidRPr="00E13978">
        <w:rPr>
          <w:iCs/>
          <w:color w:val="000000" w:themeColor="text1"/>
          <w:sz w:val="22"/>
          <w:szCs w:val="22"/>
          <w:lang w:val="pt-BR"/>
        </w:rPr>
        <w:t>d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e crescimento e incentiv</w:t>
      </w:r>
      <w:r w:rsidR="006610E4" w:rsidRPr="00E13978">
        <w:rPr>
          <w:iCs/>
          <w:color w:val="000000" w:themeColor="text1"/>
          <w:sz w:val="22"/>
          <w:szCs w:val="22"/>
          <w:lang w:val="pt-BR"/>
        </w:rPr>
        <w:t>o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, possibilita</w:t>
      </w:r>
      <w:r w:rsidR="006610E4" w:rsidRPr="00E13978">
        <w:rPr>
          <w:iCs/>
          <w:color w:val="000000" w:themeColor="text1"/>
          <w:sz w:val="22"/>
          <w:szCs w:val="22"/>
          <w:lang w:val="pt-BR"/>
        </w:rPr>
        <w:t>ndo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 o acesso da mulher a recursos gratuitos de aprendizagem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concebidos especificamente para </w:t>
      </w:r>
      <w:r w:rsidR="00FE18A4" w:rsidRPr="00E13978">
        <w:rPr>
          <w:iCs/>
          <w:color w:val="000000" w:themeColor="text1"/>
          <w:sz w:val="22"/>
          <w:szCs w:val="22"/>
          <w:lang w:val="pt-BR"/>
        </w:rPr>
        <w:t xml:space="preserve">MPMEs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dirigidas por mulheres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.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>Inclui ferramentas de resiliência comercial e gestão financeira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competências digitais </w:t>
      </w:r>
      <w:r w:rsidR="00D34D2A" w:rsidRPr="00E13978">
        <w:rPr>
          <w:iCs/>
          <w:color w:val="000000" w:themeColor="text1"/>
          <w:sz w:val="22"/>
          <w:szCs w:val="22"/>
          <w:lang w:val="pt-BR"/>
        </w:rPr>
        <w:t xml:space="preserve">e </w:t>
      </w:r>
      <w:r w:rsidR="00C44FF4" w:rsidRPr="00E13978">
        <w:rPr>
          <w:iCs/>
          <w:color w:val="000000" w:themeColor="text1"/>
          <w:sz w:val="22"/>
          <w:szCs w:val="22"/>
          <w:lang w:val="pt-BR"/>
        </w:rPr>
        <w:t xml:space="preserve">melhores práticas do </w:t>
      </w:r>
      <w:r w:rsidRPr="00E13978">
        <w:rPr>
          <w:iCs/>
          <w:color w:val="000000" w:themeColor="text1"/>
          <w:sz w:val="22"/>
          <w:szCs w:val="22"/>
          <w:lang w:val="pt-BR"/>
        </w:rPr>
        <w:t>WhatsApp for Business.</w:t>
      </w:r>
    </w:p>
    <w:p w14:paraId="36ACF26A" w14:textId="77777777" w:rsidR="001373CB" w:rsidRPr="00E13978" w:rsidRDefault="001373CB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23DC9198" w14:textId="5F551A6A" w:rsidR="001373CB" w:rsidRPr="00E13978" w:rsidRDefault="00C44FF4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 xml:space="preserve">Ministrou seis programas personalizados de treinamento </w:t>
      </w:r>
      <w:r w:rsidR="00D34D2A" w:rsidRPr="00E13978">
        <w:rPr>
          <w:iCs/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dirigidos a </w:t>
      </w:r>
      <w:r w:rsidR="00FE18A4" w:rsidRPr="00E13978">
        <w:rPr>
          <w:iCs/>
          <w:color w:val="000000" w:themeColor="text1"/>
          <w:sz w:val="22"/>
          <w:szCs w:val="22"/>
          <w:lang w:val="pt-BR"/>
        </w:rPr>
        <w:t>MPMEs</w:t>
      </w:r>
      <w:r w:rsidR="00586E61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e um programa de formação de agentes para mais de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500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autoridades </w:t>
      </w:r>
      <w:r w:rsidR="00D34D2A" w:rsidRPr="00E13978">
        <w:rPr>
          <w:iCs/>
          <w:color w:val="000000" w:themeColor="text1"/>
          <w:sz w:val="22"/>
          <w:szCs w:val="22"/>
          <w:lang w:val="pt-BR"/>
        </w:rPr>
        <w:t xml:space="preserve">e instituições de apoio em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por intermédio da Parceria </w:t>
      </w:r>
      <w:r w:rsidR="002A10E1" w:rsidRPr="00E13978">
        <w:rPr>
          <w:iCs/>
          <w:color w:val="000000" w:themeColor="text1"/>
          <w:sz w:val="22"/>
          <w:szCs w:val="22"/>
          <w:lang w:val="pt-BR"/>
        </w:rPr>
        <w:t xml:space="preserve">Comercial </w:t>
      </w:r>
      <w:r w:rsidR="003723DF" w:rsidRPr="00E13978">
        <w:rPr>
          <w:iCs/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-WhatsApp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para </w:t>
      </w:r>
      <w:r w:rsidR="00FE18A4" w:rsidRPr="00E13978">
        <w:rPr>
          <w:iCs/>
          <w:color w:val="000000" w:themeColor="text1"/>
          <w:sz w:val="22"/>
          <w:szCs w:val="22"/>
          <w:lang w:val="pt-BR"/>
        </w:rPr>
        <w:t>MPMEs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a fim de fortalecer a resiliência das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Pr="00E13978">
        <w:rPr>
          <w:iCs/>
          <w:color w:val="000000" w:themeColor="text1"/>
          <w:sz w:val="22"/>
          <w:szCs w:val="22"/>
          <w:lang w:val="pt-BR"/>
        </w:rPr>
        <w:t>s</w:t>
      </w:r>
      <w:r w:rsidR="00586E61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="00D34D2A" w:rsidRPr="00E13978">
        <w:rPr>
          <w:iCs/>
          <w:color w:val="000000" w:themeColor="text1"/>
          <w:sz w:val="22"/>
          <w:szCs w:val="22"/>
          <w:lang w:val="pt-BR"/>
        </w:rPr>
        <w:t xml:space="preserve">e sua recuperação </w:t>
      </w:r>
      <w:r w:rsidRPr="00E13978">
        <w:rPr>
          <w:iCs/>
          <w:color w:val="000000" w:themeColor="text1"/>
          <w:sz w:val="22"/>
          <w:szCs w:val="22"/>
          <w:lang w:val="pt-BR"/>
        </w:rPr>
        <w:t>da pandemia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5FCA39D3" w14:textId="77777777" w:rsidR="001373CB" w:rsidRPr="00E13978" w:rsidRDefault="001373CB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6C194A09" w14:textId="6B679D37" w:rsidR="001373CB" w:rsidRPr="00E13978" w:rsidRDefault="00C44FF4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 xml:space="preserve">Em parceria com o organismo do Governo do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Chile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 que presta assistência às micro e pequenas empresas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(SERCOTEC),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compartilhou as melhores práticas do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Chile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 em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“Interna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>c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ionaliza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ção de </w:t>
      </w:r>
      <w:r w:rsidR="00FE18A4" w:rsidRPr="00E13978">
        <w:rPr>
          <w:iCs/>
          <w:color w:val="000000" w:themeColor="text1"/>
          <w:sz w:val="22"/>
          <w:szCs w:val="22"/>
          <w:lang w:val="pt-BR"/>
        </w:rPr>
        <w:t>MPMEs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: </w:t>
      </w:r>
      <w:r w:rsidRPr="00E13978">
        <w:rPr>
          <w:iCs/>
          <w:color w:val="000000" w:themeColor="text1"/>
          <w:sz w:val="22"/>
          <w:szCs w:val="22"/>
          <w:lang w:val="pt-BR"/>
        </w:rPr>
        <w:t>Como abrir espaços em mercados novos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”</w:t>
      </w:r>
      <w:r w:rsidRPr="00E13978">
        <w:rPr>
          <w:iCs/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 “</w:t>
      </w:r>
      <w:r w:rsidRPr="00E13978">
        <w:rPr>
          <w:iCs/>
          <w:color w:val="000000" w:themeColor="text1"/>
          <w:sz w:val="22"/>
          <w:szCs w:val="22"/>
          <w:lang w:val="pt-BR"/>
        </w:rPr>
        <w:t>Processos Digitais –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>Negócios Inteligentes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"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e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“Sust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entabilidade e Economia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Circular”</w:t>
      </w:r>
      <w:r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213A3B2D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1FCE338" w14:textId="553ACBB7" w:rsidR="001373CB" w:rsidRPr="00E13978" w:rsidRDefault="004D2512" w:rsidP="00E13978">
      <w:pPr>
        <w:suppressAutoHyphens/>
        <w:ind w:firstLine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Empoderamento Econômico da Mulher</w:t>
      </w:r>
    </w:p>
    <w:p w14:paraId="6DA5CC2F" w14:textId="761DD13D" w:rsidR="001373CB" w:rsidRPr="00E13978" w:rsidRDefault="001373CB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>La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 xml:space="preserve">nçou o projeto </w:t>
      </w:r>
      <w:r w:rsidRPr="00E13978">
        <w:rPr>
          <w:iCs/>
          <w:color w:val="000000" w:themeColor="text1"/>
          <w:sz w:val="22"/>
          <w:szCs w:val="22"/>
          <w:lang w:val="pt-BR"/>
        </w:rPr>
        <w:t>“</w:t>
      </w:r>
      <w:r w:rsidR="004D2512" w:rsidRPr="00E13978">
        <w:rPr>
          <w:color w:val="000000" w:themeColor="text1"/>
          <w:sz w:val="22"/>
          <w:szCs w:val="22"/>
          <w:lang w:val="pt-BR"/>
        </w:rPr>
        <w:t>Mulheres economicamente empoderadas para sociedades equitativas e resilientes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”, 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>com financiamento da Missão Permanente dos Estados Unidos junto à OEA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 xml:space="preserve">com vistas a aumentar a capacidade da mulher de efetivamente </w:t>
      </w:r>
      <w:r w:rsidR="00584956" w:rsidRPr="00E13978">
        <w:rPr>
          <w:iCs/>
          <w:color w:val="000000" w:themeColor="text1"/>
          <w:sz w:val="22"/>
          <w:szCs w:val="22"/>
          <w:lang w:val="pt-BR"/>
        </w:rPr>
        <w:t>envolver-se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="00584956" w:rsidRPr="00E13978">
        <w:rPr>
          <w:iCs/>
          <w:color w:val="000000" w:themeColor="text1"/>
          <w:sz w:val="22"/>
          <w:szCs w:val="22"/>
          <w:lang w:val="pt-BR"/>
        </w:rPr>
        <w:t>n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>a economia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, </w:t>
      </w:r>
      <w:r w:rsidR="004D2512" w:rsidRPr="00E13978">
        <w:rPr>
          <w:iCs/>
          <w:color w:val="000000" w:themeColor="text1"/>
          <w:sz w:val="22"/>
          <w:szCs w:val="22"/>
          <w:lang w:val="pt-BR"/>
        </w:rPr>
        <w:t>construir meios de vida sustentáveis e aumentar sua participação na formulação de políticas e na liderança na sociedade</w:t>
      </w:r>
      <w:r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0C97160C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B357E4A" w14:textId="71AEA90E" w:rsidR="001373CB" w:rsidRPr="00E13978" w:rsidRDefault="004464C8" w:rsidP="00E13978">
      <w:pPr>
        <w:suppressAutoHyphens/>
        <w:ind w:firstLine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bookmarkStart w:id="4" w:name="_Hlk87013042"/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Programa de Centros de Desenvolvimento de Pequenas Empresas do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Caribe (SBDC) </w:t>
      </w:r>
    </w:p>
    <w:p w14:paraId="6E3A8BA3" w14:textId="79A08BAC" w:rsidR="001373CB" w:rsidRPr="00E13978" w:rsidRDefault="004464C8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Em parceria com </w:t>
      </w:r>
      <w:r w:rsidR="00584956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Ten Habitat, </w:t>
      </w:r>
      <w:r w:rsidRPr="00E13978">
        <w:rPr>
          <w:color w:val="000000" w:themeColor="text1"/>
          <w:sz w:val="22"/>
          <w:szCs w:val="22"/>
          <w:lang w:val="pt-BR"/>
        </w:rPr>
        <w:t xml:space="preserve">organização sem fins lucrativos, hospedou uma série de programas aceleradores </w:t>
      </w:r>
      <w:r w:rsidR="00584956" w:rsidRPr="00E13978">
        <w:rPr>
          <w:i/>
          <w:iCs/>
          <w:color w:val="000000" w:themeColor="text1"/>
          <w:sz w:val="22"/>
          <w:szCs w:val="22"/>
          <w:lang w:val="pt-BR"/>
        </w:rPr>
        <w:t>online</w:t>
      </w:r>
      <w:r w:rsidR="00584956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 14 dias</w:t>
      </w:r>
      <w:r w:rsidR="00584956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concebidos como resposta direta da queda experimentada pelos proprietários de pequenas empresas e empreendedores impactados pela pandemia de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>-19</w:t>
      </w:r>
      <w:r w:rsidRPr="00E13978">
        <w:rPr>
          <w:color w:val="000000" w:themeColor="text1"/>
          <w:sz w:val="22"/>
          <w:szCs w:val="22"/>
          <w:lang w:val="pt-BR"/>
        </w:rPr>
        <w:t>,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a fim de oferecer às </w:t>
      </w:r>
      <w:r w:rsidR="00FE18A4" w:rsidRPr="00E13978">
        <w:rPr>
          <w:color w:val="000000" w:themeColor="text1"/>
          <w:sz w:val="22"/>
          <w:szCs w:val="22"/>
          <w:lang w:val="pt-BR"/>
        </w:rPr>
        <w:t>MPMEs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apoio intenso por meio de várias abordagens de </w:t>
      </w:r>
      <w:r w:rsidR="001373CB" w:rsidRPr="00E13978">
        <w:rPr>
          <w:i/>
          <w:iCs/>
          <w:color w:val="000000" w:themeColor="text1"/>
          <w:sz w:val="22"/>
          <w:szCs w:val="22"/>
          <w:lang w:val="pt-BR"/>
        </w:rPr>
        <w:t>coaching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584956" w:rsidRPr="00E13978">
        <w:rPr>
          <w:color w:val="000000" w:themeColor="text1"/>
          <w:sz w:val="22"/>
          <w:szCs w:val="22"/>
          <w:lang w:val="pt-BR"/>
        </w:rPr>
        <w:t>mentoria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Os aceleradores 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foram orientados </w:t>
      </w:r>
      <w:r w:rsidR="0073448C" w:rsidRPr="00E13978">
        <w:rPr>
          <w:color w:val="000000" w:themeColor="text1"/>
          <w:sz w:val="22"/>
          <w:szCs w:val="22"/>
          <w:lang w:val="pt-BR"/>
        </w:rPr>
        <w:lastRenderedPageBreak/>
        <w:t>principalmente para as empresas de turismo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as indústrias criativas e do agronegócio ou indústrias </w:t>
      </w:r>
      <w:r w:rsidR="001373CB" w:rsidRPr="00E13978">
        <w:rPr>
          <w:color w:val="000000" w:themeColor="text1"/>
          <w:sz w:val="22"/>
          <w:szCs w:val="22"/>
          <w:lang w:val="pt-BR"/>
        </w:rPr>
        <w:t>agroprocess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adoras, dado o excessivo impacto </w:t>
      </w:r>
      <w:r w:rsidR="00584956" w:rsidRPr="00E13978">
        <w:rPr>
          <w:color w:val="000000" w:themeColor="text1"/>
          <w:sz w:val="22"/>
          <w:szCs w:val="22"/>
          <w:lang w:val="pt-BR"/>
        </w:rPr>
        <w:t xml:space="preserve">que a 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pandemia </w:t>
      </w:r>
      <w:r w:rsidR="00584956" w:rsidRPr="00E13978">
        <w:rPr>
          <w:color w:val="000000" w:themeColor="text1"/>
          <w:sz w:val="22"/>
          <w:szCs w:val="22"/>
          <w:lang w:val="pt-BR"/>
        </w:rPr>
        <w:t xml:space="preserve">causou 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nesses setores na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 do Caribe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Um total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90 </w:t>
      </w:r>
      <w:r w:rsidR="00FE18A4" w:rsidRPr="00E13978">
        <w:rPr>
          <w:color w:val="000000" w:themeColor="text1"/>
          <w:sz w:val="22"/>
          <w:szCs w:val="22"/>
          <w:lang w:val="pt-BR"/>
        </w:rPr>
        <w:t xml:space="preserve">MPMEs </w:t>
      </w:r>
      <w:r w:rsidRPr="00E13978">
        <w:rPr>
          <w:color w:val="000000" w:themeColor="text1"/>
          <w:sz w:val="22"/>
          <w:szCs w:val="22"/>
          <w:lang w:val="pt-BR"/>
        </w:rPr>
        <w:t>participaram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73448C" w:rsidRPr="00E13978">
        <w:rPr>
          <w:color w:val="000000" w:themeColor="text1"/>
          <w:sz w:val="22"/>
          <w:szCs w:val="22"/>
          <w:lang w:val="pt-BR"/>
        </w:rPr>
        <w:t>das três iterações intensivas dos aceleradores e as concluíram com êxito</w:t>
      </w:r>
      <w:r w:rsidR="001373CB" w:rsidRPr="00E13978">
        <w:rPr>
          <w:color w:val="000000" w:themeColor="text1"/>
          <w:sz w:val="22"/>
          <w:szCs w:val="22"/>
          <w:lang w:val="pt-BR"/>
        </w:rPr>
        <w:t>. M</w:t>
      </w:r>
      <w:r w:rsidR="0073448C" w:rsidRPr="00E13978">
        <w:rPr>
          <w:color w:val="000000" w:themeColor="text1"/>
          <w:sz w:val="22"/>
          <w:szCs w:val="22"/>
          <w:lang w:val="pt-BR"/>
        </w:rPr>
        <w:t xml:space="preserve">ais da metade,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55 </w:t>
      </w:r>
      <w:r w:rsidR="0073448C" w:rsidRPr="00E13978">
        <w:rPr>
          <w:color w:val="000000" w:themeColor="text1"/>
          <w:sz w:val="22"/>
          <w:szCs w:val="22"/>
          <w:lang w:val="pt-BR"/>
        </w:rPr>
        <w:t>empresas eram pertencentes a mulheres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570BD33D" w14:textId="77777777" w:rsidR="001373CB" w:rsidRPr="00E13978" w:rsidRDefault="001373CB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7BB3C211" w14:textId="66341F7B" w:rsidR="001373CB" w:rsidRPr="00E13978" w:rsidRDefault="0073448C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Ministrou, em conjunto com a Universidade do </w:t>
      </w:r>
      <w:r w:rsidR="001373CB" w:rsidRPr="00E13978">
        <w:rPr>
          <w:color w:val="000000" w:themeColor="text1"/>
          <w:sz w:val="22"/>
          <w:szCs w:val="22"/>
          <w:lang w:val="pt-BR"/>
        </w:rPr>
        <w:t>Texas</w:t>
      </w:r>
      <w:r w:rsidRPr="00E13978">
        <w:rPr>
          <w:color w:val="000000" w:themeColor="text1"/>
          <w:sz w:val="22"/>
          <w:szCs w:val="22"/>
          <w:lang w:val="pt-BR"/>
        </w:rPr>
        <w:t xml:space="preserve">, em </w:t>
      </w:r>
      <w:r w:rsidR="001373CB" w:rsidRPr="00E13978">
        <w:rPr>
          <w:color w:val="000000" w:themeColor="text1"/>
          <w:sz w:val="22"/>
          <w:szCs w:val="22"/>
          <w:lang w:val="pt-BR"/>
        </w:rPr>
        <w:t>San Antonio (UTSA), program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treinamento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 xml:space="preserve">online </w:t>
      </w:r>
      <w:r w:rsidRPr="00E13978">
        <w:rPr>
          <w:color w:val="000000" w:themeColor="text1"/>
          <w:sz w:val="22"/>
          <w:szCs w:val="22"/>
          <w:lang w:val="pt-BR"/>
        </w:rPr>
        <w:t xml:space="preserve">destinado a assistir </w:t>
      </w:r>
      <w:r w:rsidR="001373CB" w:rsidRPr="00E13978">
        <w:rPr>
          <w:color w:val="000000" w:themeColor="text1"/>
          <w:sz w:val="22"/>
          <w:szCs w:val="22"/>
          <w:lang w:val="pt-BR"/>
        </w:rPr>
        <w:t>103 diretor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 </w:t>
      </w:r>
      <w:r w:rsidRPr="00E13978">
        <w:rPr>
          <w:color w:val="000000" w:themeColor="text1"/>
          <w:sz w:val="22"/>
          <w:szCs w:val="22"/>
          <w:lang w:val="pt-BR"/>
        </w:rPr>
        <w:t xml:space="preserve">e assessores 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de pequenas empresas em funcionamento no </w:t>
      </w:r>
      <w:r w:rsidR="001373CB" w:rsidRPr="00E13978">
        <w:rPr>
          <w:color w:val="000000" w:themeColor="text1"/>
          <w:sz w:val="22"/>
          <w:szCs w:val="22"/>
          <w:lang w:val="pt-BR"/>
        </w:rPr>
        <w:t>Caribe</w:t>
      </w:r>
      <w:r w:rsidR="00584956" w:rsidRPr="00E13978">
        <w:rPr>
          <w:color w:val="000000" w:themeColor="text1"/>
          <w:sz w:val="22"/>
          <w:szCs w:val="22"/>
          <w:lang w:val="pt-BR"/>
        </w:rPr>
        <w:t>,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 na orientação dos clientes</w:t>
      </w:r>
      <w:r w:rsidR="00EF228F" w:rsidRPr="00E13978">
        <w:rPr>
          <w:color w:val="000000" w:themeColor="text1"/>
          <w:sz w:val="22"/>
          <w:szCs w:val="22"/>
          <w:lang w:val="pt-BR"/>
        </w:rPr>
        <w:t>,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 por meio do processo de sobrevivência e recuperação, em resposta à pandemia de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-19. 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A série de treinamento incluiu sessões de workshop </w:t>
      </w:r>
      <w:r w:rsidR="004A6C24" w:rsidRPr="00E13978">
        <w:rPr>
          <w:i/>
          <w:iCs/>
          <w:color w:val="000000" w:themeColor="text1"/>
          <w:sz w:val="22"/>
          <w:szCs w:val="22"/>
          <w:lang w:val="pt-BR"/>
        </w:rPr>
        <w:t xml:space="preserve">online 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de duas horas, </w:t>
      </w:r>
      <w:r w:rsidR="00584956" w:rsidRPr="00E13978">
        <w:rPr>
          <w:color w:val="000000" w:themeColor="text1"/>
          <w:sz w:val="22"/>
          <w:szCs w:val="22"/>
          <w:lang w:val="pt-BR"/>
        </w:rPr>
        <w:t xml:space="preserve">para abordar </w:t>
      </w:r>
      <w:r w:rsidR="004A6C24" w:rsidRPr="00E13978">
        <w:rPr>
          <w:color w:val="000000" w:themeColor="text1"/>
          <w:sz w:val="22"/>
          <w:szCs w:val="22"/>
          <w:lang w:val="pt-BR"/>
        </w:rPr>
        <w:t xml:space="preserve">as seguintes </w:t>
      </w:r>
      <w:r w:rsidR="002D410E" w:rsidRPr="00E13978">
        <w:rPr>
          <w:color w:val="000000" w:themeColor="text1"/>
          <w:sz w:val="22"/>
          <w:szCs w:val="22"/>
          <w:lang w:val="pt-BR"/>
        </w:rPr>
        <w:t xml:space="preserve">áreas </w:t>
      </w:r>
      <w:r w:rsidR="004A6C24" w:rsidRPr="00E13978">
        <w:rPr>
          <w:color w:val="000000" w:themeColor="text1"/>
          <w:sz w:val="22"/>
          <w:szCs w:val="22"/>
          <w:lang w:val="pt-BR"/>
        </w:rPr>
        <w:t>temáticas</w:t>
      </w:r>
      <w:r w:rsidR="001373CB" w:rsidRPr="00E13978">
        <w:rPr>
          <w:color w:val="000000" w:themeColor="text1"/>
          <w:sz w:val="22"/>
          <w:szCs w:val="22"/>
          <w:lang w:val="pt-BR"/>
        </w:rPr>
        <w:t>:</w:t>
      </w:r>
    </w:p>
    <w:p w14:paraId="3A29107E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46A979A" w14:textId="17BD6167" w:rsidR="001373CB" w:rsidRPr="00E13978" w:rsidRDefault="004A6C24" w:rsidP="00E13978">
      <w:pPr>
        <w:pStyle w:val="ListParagraph"/>
        <w:numPr>
          <w:ilvl w:val="0"/>
          <w:numId w:val="8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adaptação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processos internos das </w:t>
      </w:r>
      <w:r w:rsidR="001373CB" w:rsidRPr="00E13978">
        <w:rPr>
          <w:color w:val="000000" w:themeColor="text1"/>
          <w:sz w:val="22"/>
          <w:szCs w:val="22"/>
          <w:lang w:val="pt-BR"/>
        </w:rPr>
        <w:t>SBDC (</w:t>
      </w:r>
      <w:r w:rsidRPr="00E13978">
        <w:rPr>
          <w:color w:val="000000" w:themeColor="text1"/>
          <w:sz w:val="22"/>
          <w:szCs w:val="22"/>
          <w:lang w:val="pt-BR"/>
        </w:rPr>
        <w:t>duas sessões</w:t>
      </w:r>
      <w:r w:rsidR="001373CB" w:rsidRPr="00E13978">
        <w:rPr>
          <w:color w:val="000000" w:themeColor="text1"/>
          <w:sz w:val="22"/>
          <w:szCs w:val="22"/>
          <w:lang w:val="pt-BR"/>
        </w:rPr>
        <w:t>);</w:t>
      </w:r>
    </w:p>
    <w:p w14:paraId="1846C305" w14:textId="29667046" w:rsidR="001373CB" w:rsidRPr="00E13978" w:rsidRDefault="004A6C24" w:rsidP="00E13978">
      <w:pPr>
        <w:pStyle w:val="ListParagraph"/>
        <w:numPr>
          <w:ilvl w:val="0"/>
          <w:numId w:val="8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melhores práticas de serviço </w:t>
      </w:r>
      <w:r w:rsidR="00584956" w:rsidRPr="00E13978">
        <w:rPr>
          <w:color w:val="000000" w:themeColor="text1"/>
          <w:sz w:val="22"/>
          <w:szCs w:val="22"/>
          <w:lang w:val="pt-BR"/>
        </w:rPr>
        <w:t>ao cliente para</w:t>
      </w:r>
      <w:r w:rsidRPr="00E13978">
        <w:rPr>
          <w:color w:val="000000" w:themeColor="text1"/>
          <w:sz w:val="22"/>
          <w:szCs w:val="22"/>
          <w:lang w:val="pt-BR"/>
        </w:rPr>
        <w:t xml:space="preserve"> clientes </w:t>
      </w:r>
      <w:r w:rsidR="00584956" w:rsidRPr="00E13978">
        <w:rPr>
          <w:color w:val="000000" w:themeColor="text1"/>
          <w:sz w:val="22"/>
          <w:szCs w:val="22"/>
          <w:lang w:val="pt-BR"/>
        </w:rPr>
        <w:t>de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i/>
          <w:iCs/>
          <w:color w:val="000000" w:themeColor="text1"/>
          <w:sz w:val="22"/>
          <w:szCs w:val="22"/>
          <w:lang w:val="pt-BR"/>
        </w:rPr>
        <w:t>start-up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s</w:t>
      </w:r>
      <w:r w:rsidR="001373CB" w:rsidRPr="00E13978">
        <w:rPr>
          <w:color w:val="000000" w:themeColor="text1"/>
          <w:sz w:val="22"/>
          <w:szCs w:val="22"/>
          <w:lang w:val="pt-BR"/>
        </w:rPr>
        <w:t>;</w:t>
      </w:r>
    </w:p>
    <w:p w14:paraId="6DB442A6" w14:textId="043933E9" w:rsidR="001373CB" w:rsidRPr="00E13978" w:rsidRDefault="004A6C24" w:rsidP="00E13978">
      <w:pPr>
        <w:pStyle w:val="ListParagraph"/>
        <w:numPr>
          <w:ilvl w:val="0"/>
          <w:numId w:val="8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oferta de serviços de alto valor para clientes comerciais estabelecidos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</w:p>
    <w:p w14:paraId="376DBE1C" w14:textId="6925981D" w:rsidR="001373CB" w:rsidRPr="00E13978" w:rsidRDefault="004A6C24" w:rsidP="00E13978">
      <w:pPr>
        <w:pStyle w:val="ListParagraph"/>
        <w:numPr>
          <w:ilvl w:val="0"/>
          <w:numId w:val="8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gestão de relações das partes interessadas</w:t>
      </w:r>
      <w:r w:rsidR="001373CB" w:rsidRPr="00E13978">
        <w:rPr>
          <w:color w:val="000000" w:themeColor="text1"/>
          <w:sz w:val="22"/>
          <w:szCs w:val="22"/>
          <w:lang w:val="pt-BR"/>
        </w:rPr>
        <w:t>;</w:t>
      </w:r>
    </w:p>
    <w:p w14:paraId="08230FEB" w14:textId="4B6DEBC0" w:rsidR="001373CB" w:rsidRPr="00E13978" w:rsidRDefault="004A6C24" w:rsidP="00E13978">
      <w:pPr>
        <w:pStyle w:val="ListParagraph"/>
        <w:numPr>
          <w:ilvl w:val="0"/>
          <w:numId w:val="8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gestão de recursos humanos das </w:t>
      </w:r>
      <w:r w:rsidR="001373CB" w:rsidRPr="00E13978">
        <w:rPr>
          <w:color w:val="000000" w:themeColor="text1"/>
          <w:sz w:val="22"/>
          <w:szCs w:val="22"/>
          <w:lang w:val="pt-BR"/>
        </w:rPr>
        <w:t>SBDC.</w:t>
      </w:r>
    </w:p>
    <w:p w14:paraId="44265262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D33534B" w14:textId="0D1EE39C" w:rsidR="001373CB" w:rsidRPr="00E13978" w:rsidRDefault="004A6C24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Impacto econômico</w:t>
      </w:r>
      <w:r w:rsidR="001373CB" w:rsidRPr="00E13978">
        <w:rPr>
          <w:color w:val="000000" w:themeColor="text1"/>
          <w:sz w:val="22"/>
          <w:szCs w:val="22"/>
          <w:lang w:val="pt-BR"/>
        </w:rPr>
        <w:t>: 1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223 </w:t>
      </w:r>
      <w:r w:rsidRPr="00E13978">
        <w:rPr>
          <w:color w:val="000000" w:themeColor="text1"/>
          <w:sz w:val="22"/>
          <w:szCs w:val="22"/>
          <w:lang w:val="pt-BR"/>
        </w:rPr>
        <w:t>novas empresas constituídas</w:t>
      </w:r>
      <w:r w:rsidR="001373CB" w:rsidRPr="00E13978">
        <w:rPr>
          <w:color w:val="000000" w:themeColor="text1"/>
          <w:sz w:val="22"/>
          <w:szCs w:val="22"/>
          <w:lang w:val="pt-BR"/>
        </w:rPr>
        <w:t>; 1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061 </w:t>
      </w:r>
      <w:r w:rsidRPr="00E13978">
        <w:rPr>
          <w:color w:val="000000" w:themeColor="text1"/>
          <w:sz w:val="22"/>
          <w:szCs w:val="22"/>
          <w:lang w:val="pt-BR"/>
        </w:rPr>
        <w:t xml:space="preserve">empregos criados e </w:t>
      </w:r>
      <w:r w:rsidR="001373CB" w:rsidRPr="00E13978">
        <w:rPr>
          <w:color w:val="000000" w:themeColor="text1"/>
          <w:sz w:val="22"/>
          <w:szCs w:val="22"/>
          <w:lang w:val="pt-BR"/>
        </w:rPr>
        <w:t>11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996 </w:t>
      </w:r>
      <w:r w:rsidRPr="00E13978">
        <w:rPr>
          <w:color w:val="000000" w:themeColor="text1"/>
          <w:sz w:val="22"/>
          <w:szCs w:val="22"/>
          <w:lang w:val="pt-BR"/>
        </w:rPr>
        <w:t>empregos apoiados mediante intervenções d</w:t>
      </w:r>
      <w:r w:rsidR="00276997" w:rsidRPr="00E13978">
        <w:rPr>
          <w:color w:val="000000" w:themeColor="text1"/>
          <w:sz w:val="22"/>
          <w:szCs w:val="22"/>
          <w:lang w:val="pt-BR"/>
        </w:rPr>
        <w:t>o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>SBDC; $55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947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708</w:t>
      </w:r>
      <w:r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59 </w:t>
      </w:r>
      <w:r w:rsidRPr="00E13978">
        <w:rPr>
          <w:color w:val="000000" w:themeColor="text1"/>
          <w:sz w:val="22"/>
          <w:szCs w:val="22"/>
          <w:lang w:val="pt-BR"/>
        </w:rPr>
        <w:t xml:space="preserve">em receita de vendas e </w:t>
      </w:r>
      <w:r w:rsidR="001373CB" w:rsidRPr="00E13978">
        <w:rPr>
          <w:color w:val="000000" w:themeColor="text1"/>
          <w:sz w:val="22"/>
          <w:szCs w:val="22"/>
          <w:lang w:val="pt-BR"/>
        </w:rPr>
        <w:t>$5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364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041</w:t>
      </w:r>
      <w:r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91 </w:t>
      </w:r>
      <w:r w:rsidRPr="00E13978">
        <w:rPr>
          <w:color w:val="000000" w:themeColor="text1"/>
          <w:sz w:val="22"/>
          <w:szCs w:val="22"/>
          <w:lang w:val="pt-BR"/>
        </w:rPr>
        <w:t>em lucros gerados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12 </w:t>
      </w:r>
      <w:r w:rsidRPr="00E13978">
        <w:rPr>
          <w:color w:val="000000" w:themeColor="text1"/>
          <w:sz w:val="22"/>
          <w:szCs w:val="22"/>
          <w:lang w:val="pt-BR"/>
        </w:rPr>
        <w:t>expansões empresariais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$1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068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>956</w:t>
      </w:r>
      <w:r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83 </w:t>
      </w:r>
      <w:r w:rsidRPr="00E13978">
        <w:rPr>
          <w:color w:val="000000" w:themeColor="text1"/>
          <w:sz w:val="22"/>
          <w:szCs w:val="22"/>
          <w:lang w:val="pt-BR"/>
        </w:rPr>
        <w:t xml:space="preserve">em infusão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capital </w:t>
      </w:r>
      <w:r w:rsidRPr="00E13978">
        <w:rPr>
          <w:color w:val="000000" w:themeColor="text1"/>
          <w:sz w:val="22"/>
          <w:szCs w:val="22"/>
          <w:lang w:val="pt-BR"/>
        </w:rPr>
        <w:t xml:space="preserve">alavancado mediante empréstimos e capital próprio em seis </w:t>
      </w:r>
      <w:r w:rsidR="001F3B81" w:rsidRPr="00E13978">
        <w:rPr>
          <w:color w:val="000000" w:themeColor="text1"/>
          <w:sz w:val="22"/>
          <w:szCs w:val="22"/>
          <w:lang w:val="pt-BR"/>
        </w:rPr>
        <w:t xml:space="preserve">Estados membros </w:t>
      </w:r>
      <w:r w:rsidRPr="00E13978">
        <w:rPr>
          <w:color w:val="000000" w:themeColor="text1"/>
          <w:sz w:val="22"/>
          <w:szCs w:val="22"/>
          <w:lang w:val="pt-BR"/>
        </w:rPr>
        <w:t>do Caribe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050F27FC" w14:textId="77777777" w:rsidR="001373CB" w:rsidRPr="00E13978" w:rsidRDefault="001373CB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317DA9D1" w14:textId="0A609F76" w:rsidR="001373CB" w:rsidRPr="00E13978" w:rsidRDefault="004E66BD" w:rsidP="00E13978">
      <w:pPr>
        <w:pStyle w:val="ListParagraph"/>
        <w:numPr>
          <w:ilvl w:val="0"/>
          <w:numId w:val="6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Conduziu consultas no contexto da Fase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IV </w:t>
      </w:r>
      <w:r w:rsidRPr="00E13978">
        <w:rPr>
          <w:color w:val="000000" w:themeColor="text1"/>
          <w:sz w:val="22"/>
          <w:szCs w:val="22"/>
          <w:lang w:val="pt-BR"/>
        </w:rPr>
        <w:t xml:space="preserve">do programa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SBDC </w:t>
      </w:r>
      <w:r w:rsidRPr="00E13978">
        <w:rPr>
          <w:color w:val="000000" w:themeColor="text1"/>
          <w:sz w:val="22"/>
          <w:szCs w:val="22"/>
          <w:lang w:val="pt-BR"/>
        </w:rPr>
        <w:t xml:space="preserve">com as Missões Permanentes e as principais instituições parceiras que contribuiriam para a coordenação e execução do </w:t>
      </w:r>
      <w:r w:rsidR="001373CB" w:rsidRPr="00E13978">
        <w:rPr>
          <w:color w:val="000000" w:themeColor="text1"/>
          <w:sz w:val="22"/>
          <w:szCs w:val="22"/>
          <w:lang w:val="pt-BR"/>
        </w:rPr>
        <w:t>program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em novos países beneficiários, </w:t>
      </w:r>
      <w:r w:rsidR="001373CB" w:rsidRPr="00E13978">
        <w:rPr>
          <w:color w:val="000000" w:themeColor="text1"/>
          <w:sz w:val="22"/>
          <w:szCs w:val="22"/>
          <w:lang w:val="pt-BR"/>
        </w:rPr>
        <w:t>Bra</w:t>
      </w:r>
      <w:r w:rsidRPr="00E13978">
        <w:rPr>
          <w:color w:val="000000" w:themeColor="text1"/>
          <w:sz w:val="22"/>
          <w:szCs w:val="22"/>
          <w:lang w:val="pt-BR"/>
        </w:rPr>
        <w:t>s</w:t>
      </w:r>
      <w:r w:rsidR="001373CB" w:rsidRPr="00E13978">
        <w:rPr>
          <w:color w:val="000000" w:themeColor="text1"/>
          <w:sz w:val="22"/>
          <w:szCs w:val="22"/>
          <w:lang w:val="pt-BR"/>
        </w:rPr>
        <w:t>il, E</w:t>
      </w:r>
      <w:r w:rsidRPr="00E13978">
        <w:rPr>
          <w:color w:val="000000" w:themeColor="text1"/>
          <w:sz w:val="22"/>
          <w:szCs w:val="22"/>
          <w:lang w:val="pt-BR"/>
        </w:rPr>
        <w:t>q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uador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Urugua</w:t>
      </w:r>
      <w:r w:rsidRPr="00E13978">
        <w:rPr>
          <w:color w:val="000000" w:themeColor="text1"/>
          <w:sz w:val="22"/>
          <w:szCs w:val="22"/>
          <w:lang w:val="pt-BR"/>
        </w:rPr>
        <w:t>i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3CE88467" w14:textId="77777777" w:rsidR="001373CB" w:rsidRPr="00E13978" w:rsidRDefault="001373CB" w:rsidP="00E13978">
      <w:pPr>
        <w:suppressAutoHyphens/>
        <w:rPr>
          <w:color w:val="000000" w:themeColor="text1"/>
          <w:sz w:val="22"/>
          <w:szCs w:val="22"/>
          <w:lang w:val="pt-BR"/>
        </w:rPr>
      </w:pPr>
    </w:p>
    <w:bookmarkEnd w:id="4"/>
    <w:p w14:paraId="3F2C3637" w14:textId="47CAE353" w:rsidR="001373CB" w:rsidRPr="00E13978" w:rsidRDefault="004E66BD" w:rsidP="00E13978">
      <w:pPr>
        <w:suppressAutoHyphens/>
        <w:ind w:firstLine="720"/>
        <w:jc w:val="both"/>
        <w:rPr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Sistema de Informação sobre Comércio Exterior </w:t>
      </w:r>
      <w:r w:rsidR="001373CB" w:rsidRPr="00E13978">
        <w:rPr>
          <w:b/>
          <w:bCs/>
          <w:iCs/>
          <w:color w:val="000000" w:themeColor="text1"/>
          <w:sz w:val="22"/>
          <w:szCs w:val="22"/>
          <w:lang w:val="pt-BR"/>
        </w:rPr>
        <w:t>(SICE)</w:t>
      </w:r>
    </w:p>
    <w:p w14:paraId="1E28AACF" w14:textId="39C61C49" w:rsidR="001373CB" w:rsidRPr="00E13978" w:rsidRDefault="004E66BD" w:rsidP="00E13978">
      <w:pPr>
        <w:numPr>
          <w:ilvl w:val="0"/>
          <w:numId w:val="4"/>
        </w:numPr>
        <w:suppressAutoHyphens/>
        <w:ind w:left="1440" w:hanging="720"/>
        <w:jc w:val="both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 xml:space="preserve">Atualizou o Centro de Informação </w:t>
      </w:r>
      <w:r w:rsidRPr="00E13978">
        <w:rPr>
          <w:i/>
          <w:color w:val="000000" w:themeColor="text1"/>
          <w:sz w:val="22"/>
          <w:szCs w:val="22"/>
          <w:lang w:val="pt-BR"/>
        </w:rPr>
        <w:t xml:space="preserve">Online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sobre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="00586E61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e produziu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11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edições especiais do Boletim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="00586E61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>da OEA, a fim de aperfeiçoar o compartilhamento de boas práticas, iniciativas</w:t>
      </w:r>
      <w:r w:rsidR="00276997" w:rsidRPr="00E13978">
        <w:rPr>
          <w:iCs/>
          <w:color w:val="000000" w:themeColor="text1"/>
          <w:sz w:val="22"/>
          <w:szCs w:val="22"/>
          <w:lang w:val="pt-BR"/>
        </w:rPr>
        <w:t xml:space="preserve"> de cooperação horizontal</w:t>
      </w:r>
      <w:r w:rsidRPr="00E13978">
        <w:rPr>
          <w:iCs/>
          <w:color w:val="000000" w:themeColor="text1"/>
          <w:sz w:val="22"/>
          <w:szCs w:val="22"/>
          <w:lang w:val="pt-BR"/>
        </w:rPr>
        <w:t>, políticas, programas e projetos de cooperação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que prestam apoio ao setor de </w:t>
      </w:r>
      <w:r w:rsidR="009E77C3" w:rsidRPr="00E13978">
        <w:rPr>
          <w:iCs/>
          <w:color w:val="000000" w:themeColor="text1"/>
          <w:sz w:val="22"/>
          <w:szCs w:val="22"/>
          <w:lang w:val="pt-BR"/>
        </w:rPr>
        <w:t>MPME</w:t>
      </w:r>
      <w:r w:rsidR="00586E61" w:rsidRPr="00E13978">
        <w:rPr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nos </w:t>
      </w:r>
      <w:r w:rsidR="001F3B81" w:rsidRPr="00E13978">
        <w:rPr>
          <w:iCs/>
          <w:color w:val="000000" w:themeColor="text1"/>
          <w:sz w:val="22"/>
          <w:szCs w:val="22"/>
          <w:lang w:val="pt-BR"/>
        </w:rPr>
        <w:t xml:space="preserve">Estados membros </w:t>
      </w:r>
      <w:r w:rsidRPr="00E13978">
        <w:rPr>
          <w:iCs/>
          <w:color w:val="000000" w:themeColor="text1"/>
          <w:sz w:val="22"/>
          <w:szCs w:val="22"/>
          <w:lang w:val="pt-BR"/>
        </w:rPr>
        <w:t>da OEA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192D7DF9" w14:textId="77777777" w:rsidR="001373CB" w:rsidRPr="00E13978" w:rsidRDefault="001373CB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01468AD5" w14:textId="0B778B71" w:rsidR="001373CB" w:rsidRPr="00E13978" w:rsidRDefault="004E66BD" w:rsidP="00E13978">
      <w:pPr>
        <w:numPr>
          <w:ilvl w:val="0"/>
          <w:numId w:val="4"/>
        </w:numPr>
        <w:suppressAutoHyphens/>
        <w:ind w:left="1440" w:hanging="720"/>
        <w:rPr>
          <w:iCs/>
          <w:color w:val="000000" w:themeColor="text1"/>
          <w:sz w:val="22"/>
          <w:szCs w:val="22"/>
          <w:lang w:val="pt-BR"/>
        </w:rPr>
      </w:pPr>
      <w:r w:rsidRPr="00E13978">
        <w:rPr>
          <w:iCs/>
          <w:color w:val="000000" w:themeColor="text1"/>
          <w:sz w:val="22"/>
          <w:szCs w:val="22"/>
          <w:lang w:val="pt-BR"/>
        </w:rPr>
        <w:t xml:space="preserve">Melhoramento do Portal </w:t>
      </w:r>
      <w:r w:rsidRPr="00E13978">
        <w:rPr>
          <w:i/>
          <w:color w:val="000000" w:themeColor="text1"/>
          <w:sz w:val="22"/>
          <w:szCs w:val="22"/>
          <w:lang w:val="pt-BR"/>
        </w:rPr>
        <w:t xml:space="preserve">Online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de Política de Comércio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(SICE):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mais de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37</w:t>
      </w:r>
      <w:r w:rsidRPr="00E13978">
        <w:rPr>
          <w:iCs/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000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documentos oficiais e 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 xml:space="preserve">37 </w:t>
      </w:r>
      <w:r w:rsidRPr="00E13978">
        <w:rPr>
          <w:iCs/>
          <w:color w:val="000000" w:themeColor="text1"/>
          <w:sz w:val="22"/>
          <w:szCs w:val="22"/>
          <w:lang w:val="pt-BR"/>
        </w:rPr>
        <w:t>milhões de visualizações</w:t>
      </w:r>
      <w:r w:rsidR="001373CB" w:rsidRPr="00E13978">
        <w:rPr>
          <w:iCs/>
          <w:color w:val="000000" w:themeColor="text1"/>
          <w:sz w:val="22"/>
          <w:szCs w:val="22"/>
          <w:lang w:val="pt-BR"/>
        </w:rPr>
        <w:t>.</w:t>
      </w:r>
    </w:p>
    <w:p w14:paraId="0A48CAE6" w14:textId="77777777" w:rsidR="001373CB" w:rsidRPr="00E13978" w:rsidRDefault="001373CB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259C91E7" w14:textId="2A309F81" w:rsidR="001373CB" w:rsidRPr="00E13978" w:rsidRDefault="001373CB" w:rsidP="00E13978">
      <w:pPr>
        <w:suppressAutoHyphens/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OBJETIV</w:t>
      </w:r>
      <w:r w:rsidR="0023609E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I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1.2</w:t>
      </w:r>
      <w:r w:rsidR="004F3F7C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E66BD" w:rsidRPr="00E13978">
        <w:rPr>
          <w:b/>
          <w:bCs/>
          <w:sz w:val="22"/>
          <w:szCs w:val="22"/>
          <w:lang w:val="pt-BR"/>
        </w:rPr>
        <w:t>Aumentar a cooperação regional, o intercâmbio de conhecimentos e a transferência de tecnologia, em termos e condições mutuamente acordados, além da colaboração intersetorial nos Estados membros e entre eles, em matéria de competitividade, produtividade e inovação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.</w:t>
      </w:r>
    </w:p>
    <w:p w14:paraId="49905AE2" w14:textId="77777777" w:rsidR="00E41652" w:rsidRPr="00E13978" w:rsidRDefault="00E41652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54704F32" w14:textId="607EF79E" w:rsidR="001373CB" w:rsidRPr="00E13978" w:rsidRDefault="0023609E" w:rsidP="00E13978">
      <w:pPr>
        <w:suppressAutoHyphens/>
        <w:ind w:left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Fórum de Competitividade das </w:t>
      </w:r>
      <w:r w:rsidR="004D733A" w:rsidRPr="00E13978">
        <w:rPr>
          <w:b/>
          <w:bCs/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(ACF) 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e Rede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Inter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merican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de Competitividade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(RIAC)</w:t>
      </w:r>
    </w:p>
    <w:p w14:paraId="739B1827" w14:textId="029BED71" w:rsidR="001373CB" w:rsidRPr="00E13978" w:rsidRDefault="0023609E" w:rsidP="00E13978">
      <w:pPr>
        <w:pStyle w:val="ListParagraph"/>
        <w:numPr>
          <w:ilvl w:val="0"/>
          <w:numId w:val="9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O Décimo Primeiro Fórum de Competitividade das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(ACF) </w:t>
      </w:r>
      <w:r w:rsidRPr="00E13978">
        <w:rPr>
          <w:color w:val="000000" w:themeColor="text1"/>
          <w:sz w:val="22"/>
          <w:szCs w:val="22"/>
          <w:lang w:val="pt-BR"/>
        </w:rPr>
        <w:t>e a Reunião de Ministros e Altas Autoridades de Competitividade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realizados virtualmente em </w:t>
      </w:r>
      <w:r w:rsidR="001373CB" w:rsidRPr="00E13978">
        <w:rPr>
          <w:color w:val="000000" w:themeColor="text1"/>
          <w:sz w:val="22"/>
          <w:szCs w:val="22"/>
          <w:lang w:val="pt-BR"/>
        </w:rPr>
        <w:t>25</w:t>
      </w:r>
      <w:r w:rsidRPr="00E13978">
        <w:rPr>
          <w:color w:val="000000" w:themeColor="text1"/>
          <w:sz w:val="22"/>
          <w:szCs w:val="22"/>
          <w:lang w:val="pt-BR"/>
        </w:rPr>
        <w:t xml:space="preserve"> e </w:t>
      </w:r>
      <w:r w:rsidR="00EF228F" w:rsidRPr="00E13978">
        <w:rPr>
          <w:color w:val="000000" w:themeColor="text1"/>
          <w:sz w:val="22"/>
          <w:szCs w:val="22"/>
          <w:lang w:val="pt-BR"/>
        </w:rPr>
        <w:t xml:space="preserve">26 </w:t>
      </w: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de fevereiro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Pr="00E13978">
        <w:rPr>
          <w:color w:val="000000" w:themeColor="text1"/>
          <w:sz w:val="22"/>
          <w:szCs w:val="22"/>
          <w:lang w:val="pt-BR"/>
        </w:rPr>
        <w:t>focaliz</w:t>
      </w:r>
      <w:r w:rsidR="00276997" w:rsidRPr="00E13978">
        <w:rPr>
          <w:color w:val="000000" w:themeColor="text1"/>
          <w:sz w:val="22"/>
          <w:szCs w:val="22"/>
          <w:lang w:val="pt-BR"/>
        </w:rPr>
        <w:t>aram</w:t>
      </w:r>
      <w:r w:rsidRPr="00E13978">
        <w:rPr>
          <w:color w:val="000000" w:themeColor="text1"/>
          <w:sz w:val="22"/>
          <w:szCs w:val="22"/>
          <w:lang w:val="pt-BR"/>
        </w:rPr>
        <w:t xml:space="preserve"> as prioridades da recuperação pós</w:t>
      </w:r>
      <w:r w:rsidR="001373CB" w:rsidRPr="00E13978">
        <w:rPr>
          <w:color w:val="000000" w:themeColor="text1"/>
          <w:sz w:val="22"/>
          <w:szCs w:val="22"/>
          <w:lang w:val="pt-BR"/>
        </w:rPr>
        <w:t>-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ACF </w:t>
      </w:r>
      <w:r w:rsidRPr="00E13978">
        <w:rPr>
          <w:color w:val="000000" w:themeColor="text1"/>
          <w:sz w:val="22"/>
          <w:szCs w:val="22"/>
          <w:lang w:val="pt-BR"/>
        </w:rPr>
        <w:t xml:space="preserve">convocou </w:t>
      </w:r>
      <w:r w:rsidR="001373CB" w:rsidRPr="00E13978">
        <w:rPr>
          <w:color w:val="000000" w:themeColor="text1"/>
          <w:sz w:val="22"/>
          <w:szCs w:val="22"/>
          <w:lang w:val="pt-BR"/>
        </w:rPr>
        <w:t>600 participant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s, </w:t>
      </w:r>
      <w:r w:rsidRPr="00E13978">
        <w:rPr>
          <w:color w:val="000000" w:themeColor="text1"/>
          <w:sz w:val="22"/>
          <w:szCs w:val="22"/>
          <w:lang w:val="pt-BR"/>
        </w:rPr>
        <w:t xml:space="preserve">inclusive ministros e altas autoridades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32 </w:t>
      </w:r>
      <w:r w:rsidR="001F3B81" w:rsidRPr="00E13978">
        <w:rPr>
          <w:color w:val="000000" w:themeColor="text1"/>
          <w:sz w:val="22"/>
          <w:szCs w:val="22"/>
          <w:lang w:val="pt-BR"/>
        </w:rPr>
        <w:t xml:space="preserve">Estados membros </w:t>
      </w:r>
      <w:r w:rsidRPr="00E13978">
        <w:rPr>
          <w:color w:val="000000" w:themeColor="text1"/>
          <w:sz w:val="22"/>
          <w:szCs w:val="22"/>
          <w:lang w:val="pt-BR"/>
        </w:rPr>
        <w:t>da OEA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executivos seniores do setor privado e peritos regionais dos setores público, privado e acadêmico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Os Estados membros compartilharam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15 </w:t>
      </w:r>
      <w:r w:rsidRPr="00E13978">
        <w:rPr>
          <w:color w:val="000000" w:themeColor="text1"/>
          <w:sz w:val="22"/>
          <w:szCs w:val="22"/>
          <w:lang w:val="pt-BR"/>
        </w:rPr>
        <w:t xml:space="preserve">boas práticas e identificaram prioridades para a recuperação </w:t>
      </w:r>
      <w:r w:rsidR="001373CB" w:rsidRPr="00E13978">
        <w:rPr>
          <w:color w:val="000000" w:themeColor="text1"/>
          <w:sz w:val="22"/>
          <w:szCs w:val="22"/>
          <w:lang w:val="pt-BR"/>
        </w:rPr>
        <w:t>p</w:t>
      </w:r>
      <w:r w:rsidRPr="00E13978">
        <w:rPr>
          <w:color w:val="000000" w:themeColor="text1"/>
          <w:sz w:val="22"/>
          <w:szCs w:val="22"/>
          <w:lang w:val="pt-BR"/>
        </w:rPr>
        <w:t>ó</w:t>
      </w:r>
      <w:r w:rsidR="001373CB" w:rsidRPr="00E13978">
        <w:rPr>
          <w:color w:val="000000" w:themeColor="text1"/>
          <w:sz w:val="22"/>
          <w:szCs w:val="22"/>
          <w:lang w:val="pt-BR"/>
        </w:rPr>
        <w:t>s-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>, a fim de reduzir a vulnerabilidade e construir resiliência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 curto e longo prazo, com ações em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i) </w:t>
      </w:r>
      <w:r w:rsidRPr="00E13978">
        <w:rPr>
          <w:color w:val="000000" w:themeColor="text1"/>
          <w:sz w:val="22"/>
          <w:szCs w:val="22"/>
          <w:lang w:val="pt-BR"/>
        </w:rPr>
        <w:t xml:space="preserve">transformação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digital, </w:t>
      </w:r>
      <w:r w:rsidR="00FE18A4" w:rsidRPr="00E13978">
        <w:rPr>
          <w:color w:val="000000" w:themeColor="text1"/>
          <w:sz w:val="22"/>
          <w:szCs w:val="22"/>
          <w:lang w:val="pt-BR"/>
        </w:rPr>
        <w:t>MPMEs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e preparação da cidadania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ii) </w:t>
      </w:r>
      <w:r w:rsidRPr="00E13978">
        <w:rPr>
          <w:color w:val="000000" w:themeColor="text1"/>
          <w:sz w:val="22"/>
          <w:szCs w:val="22"/>
          <w:lang w:val="pt-BR"/>
        </w:rPr>
        <w:t>desenvolvimento de empresas voltadas para a inovação e empoderamento de empreendedores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iii) </w:t>
      </w:r>
      <w:r w:rsidRPr="00E13978">
        <w:rPr>
          <w:color w:val="000000" w:themeColor="text1"/>
          <w:sz w:val="22"/>
          <w:szCs w:val="22"/>
          <w:lang w:val="pt-BR"/>
        </w:rPr>
        <w:t>melhoramento do ambiente regulatório, facilitação do comércio e cadeias de valor regionais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iv) </w:t>
      </w:r>
      <w:r w:rsidRPr="00E13978">
        <w:rPr>
          <w:color w:val="000000" w:themeColor="text1"/>
          <w:sz w:val="22"/>
          <w:szCs w:val="22"/>
          <w:lang w:val="pt-BR"/>
        </w:rPr>
        <w:t xml:space="preserve">adaptação climática e </w:t>
      </w:r>
      <w:r w:rsidR="001373CB" w:rsidRPr="00E13978">
        <w:rPr>
          <w:color w:val="000000" w:themeColor="text1"/>
          <w:sz w:val="22"/>
          <w:szCs w:val="22"/>
          <w:lang w:val="pt-BR"/>
        </w:rPr>
        <w:t>p</w:t>
      </w:r>
      <w:r w:rsidRPr="00E13978">
        <w:rPr>
          <w:color w:val="000000" w:themeColor="text1"/>
          <w:sz w:val="22"/>
          <w:szCs w:val="22"/>
          <w:lang w:val="pt-BR"/>
        </w:rPr>
        <w:t>ó</w:t>
      </w:r>
      <w:r w:rsidR="001373CB" w:rsidRPr="00E13978">
        <w:rPr>
          <w:color w:val="000000" w:themeColor="text1"/>
          <w:sz w:val="22"/>
          <w:szCs w:val="22"/>
          <w:lang w:val="pt-BR"/>
        </w:rPr>
        <w:t>s-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1FFA874E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9258DFB" w14:textId="3939B85E" w:rsidR="001373CB" w:rsidRPr="00E13978" w:rsidRDefault="008D001A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Intercâmbio para a Competitividade das </w:t>
      </w:r>
      <w:r w:rsidR="004D733A" w:rsidRPr="00E13978">
        <w:rPr>
          <w:b/>
          <w:bCs/>
          <w:iCs/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iCs/>
          <w:color w:val="000000" w:themeColor="text1"/>
          <w:sz w:val="22"/>
          <w:szCs w:val="22"/>
          <w:lang w:val="pt-BR"/>
        </w:rPr>
        <w:t>(ACE)</w:t>
      </w:r>
    </w:p>
    <w:p w14:paraId="60C4BD6F" w14:textId="3E5BE034" w:rsidR="001373CB" w:rsidRPr="00E13978" w:rsidRDefault="008D001A" w:rsidP="00E13978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bookmarkStart w:id="5" w:name="_Hlk85391684"/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Compartilhou mais de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70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boas práticas relacionadas à recuperação econômica da </w:t>
      </w:r>
      <w:r w:rsidR="00883E86" w:rsidRPr="00E13978">
        <w:rPr>
          <w:color w:val="000000" w:themeColor="text1"/>
          <w:sz w:val="22"/>
          <w:szCs w:val="22"/>
          <w:bdr w:val="none" w:sz="0" w:space="0" w:color="auto" w:frame="1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lang w:val="pt-BR"/>
        </w:rPr>
        <w:t>-19</w:t>
      </w:r>
      <w:r w:rsidRPr="00E13978">
        <w:rPr>
          <w:color w:val="000000" w:themeColor="text1"/>
          <w:sz w:val="22"/>
          <w:szCs w:val="22"/>
          <w:bdr w:val="none" w:sz="0" w:space="0" w:color="auto" w:frame="1"/>
          <w:lang w:val="pt-BR"/>
        </w:rPr>
        <w:t xml:space="preserve">, por meio de polos de inovação, centros de pesquisa e grupos industriais em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Denver, El Paso County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Jefferson County, Colorado,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Estados Unidos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no Décimo Terceiro Intercâmbio para a Competitividade das Américas </w:t>
      </w:r>
      <w:r w:rsidR="001373CB" w:rsidRPr="00E13978">
        <w:rPr>
          <w:color w:val="000000" w:themeColor="text1"/>
          <w:sz w:val="22"/>
          <w:szCs w:val="22"/>
          <w:lang w:val="pt-BR"/>
        </w:rPr>
        <w:t>(ACE)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resultando em mais de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30 </w:t>
      </w:r>
      <w:r w:rsidR="000819C1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modelos concretos de colaboração entre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37 </w:t>
      </w:r>
      <w:r w:rsidR="000819C1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líderes dos setores privado, público e acadêmico dos Estados membros da </w:t>
      </w:r>
      <w:r w:rsidR="003723DF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OEA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.</w:t>
      </w:r>
    </w:p>
    <w:p w14:paraId="76A430B3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13ED3A04" w14:textId="620EDD74" w:rsidR="001373CB" w:rsidRPr="00E13978" w:rsidRDefault="007D4F31" w:rsidP="00E13978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O programa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ACE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inspirou o desenvolvimento e a implementação de cinco projetos de colaboração, por intermédio da Rede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ACE:</w:t>
      </w:r>
    </w:p>
    <w:p w14:paraId="0ED77004" w14:textId="4E76F346" w:rsidR="001373CB" w:rsidRPr="00E13978" w:rsidRDefault="007D4F31" w:rsidP="00E13978">
      <w:pPr>
        <w:pStyle w:val="ListParagraph"/>
        <w:numPr>
          <w:ilvl w:val="1"/>
          <w:numId w:val="9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O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Imagine Lab Chile </w:t>
      </w:r>
      <w:r w:rsidR="0027699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estendeu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seu programa de mentoria empresarial</w:t>
      </w:r>
      <w:r w:rsidR="00586E61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a toda a América Latina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O programa atualmente orienta P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MEs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no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Chile, Argentina, Bol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í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via, Peru, E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q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uador, Col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ô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mbia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e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Panamá.</w:t>
      </w:r>
    </w:p>
    <w:p w14:paraId="13D5A3E2" w14:textId="77777777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79F104A5" w14:textId="0EDA9B47" w:rsidR="001373CB" w:rsidRPr="00E13978" w:rsidRDefault="007D4F31" w:rsidP="00E13978">
      <w:pPr>
        <w:pStyle w:val="ListParagraph"/>
        <w:numPr>
          <w:ilvl w:val="1"/>
          <w:numId w:val="9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Uma </w:t>
      </w:r>
      <w:r w:rsidR="001373CB"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start-up</w:t>
      </w:r>
      <w:r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de telecomunicações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Vozy,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da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Co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lô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mbia</w:t>
      </w:r>
      <w:r w:rsidR="0027699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teve </w:t>
      </w:r>
      <w:r w:rsidR="00FA449E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o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início </w:t>
      </w:r>
      <w:r w:rsidR="00FA449E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de suas operações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antecipado em Porto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Rico,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Estados Unidos, e </w:t>
      </w:r>
      <w:r w:rsidR="005C39B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foi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incorporada como empresa nos Estados Unidos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.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Criou subsidiárias no México e na Colômbia e conta, atualmente, com mais de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100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agentes comerciais em Porto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Puerto Rico,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Estados Unidos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Espanha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, Chile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e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Argentina,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 em outros países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.</w:t>
      </w:r>
    </w:p>
    <w:p w14:paraId="5EAAFD24" w14:textId="77777777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2E4C1AD0" w14:textId="79A93931" w:rsidR="001373CB" w:rsidRPr="00E13978" w:rsidRDefault="001373CB" w:rsidP="00E13978">
      <w:pPr>
        <w:pStyle w:val="ListParagraph"/>
        <w:numPr>
          <w:ilvl w:val="1"/>
          <w:numId w:val="9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BRAVA,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um laboratório de soluções de igualdade de gênero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foi criado e iniciou suas operações em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Montevid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éu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, Urugua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i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.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Mais de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600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pessoas e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30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empresas receberam treinamento em desenvolvimento </w:t>
      </w:r>
      <w:r w:rsidR="005C39B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econômico inclusivo </w:t>
      </w:r>
      <w:r w:rsidR="00FC0CB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 estratégias e mecanismos de igualdade de gênero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64C15566" w14:textId="77777777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38AD748E" w14:textId="563A9408" w:rsidR="001373CB" w:rsidRPr="00E13978" w:rsidRDefault="00FC0CBB" w:rsidP="00E13978">
      <w:pPr>
        <w:pStyle w:val="ListParagraph"/>
        <w:numPr>
          <w:ilvl w:val="1"/>
          <w:numId w:val="9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A Agência Nacional de Pesquisa e Inovação do Uruguai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(ANII)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lançou o </w:t>
      </w:r>
      <w:r w:rsidR="001373CB"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Proyecta Uruguay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para oferecer sessões de mentoria, acesso a investidores e acesso a capital semente para empresas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O programa atraiu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12 </w:t>
      </w:r>
      <w:r w:rsidR="001373CB"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start</w:t>
      </w:r>
      <w:r w:rsidR="00EF228F"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-</w:t>
      </w:r>
      <w:r w:rsidR="001373CB" w:rsidRPr="00E13978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ups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de tecnologia para o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Urugua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i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.</w:t>
      </w:r>
    </w:p>
    <w:p w14:paraId="2EA5567A" w14:textId="77777777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p w14:paraId="715D4100" w14:textId="72C14DB1" w:rsidR="001373CB" w:rsidRPr="00E13978" w:rsidRDefault="00FC0CBB" w:rsidP="00E13978">
      <w:pPr>
        <w:pStyle w:val="ListParagraph"/>
        <w:numPr>
          <w:ilvl w:val="1"/>
          <w:numId w:val="9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O projeto </w:t>
      </w:r>
      <w:r w:rsidRPr="00E13978">
        <w:rPr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Iniciativas Remanescentes para o Empoderamento Sustentáve</w:t>
      </w:r>
      <w:r w:rsidR="00BC0196" w:rsidRPr="00E13978">
        <w:rPr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l</w:t>
      </w:r>
      <w:r w:rsidRPr="00E13978">
        <w:rPr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(RISE)</w:t>
      </w:r>
      <w:r w:rsidR="005C39B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executado em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Trinidad </w:t>
      </w:r>
      <w:r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Tobago </w:t>
      </w:r>
      <w:r w:rsidR="00BC0196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com foco no empoderamento das empresas dirigidas por mulheres</w:t>
      </w:r>
      <w:r w:rsidR="005C39B7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,</w:t>
      </w:r>
      <w:r w:rsidR="00BC0196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levou ao lançamento da Academia para Mulheres Empreendedoras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(</w:t>
      </w:r>
      <w:r w:rsidR="00BC0196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Academia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AWE)</w:t>
      </w:r>
      <w:r w:rsidR="00BC0196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, em colaboração com a Embaixada dos Estados Unidos em 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Trinidad </w:t>
      </w:r>
      <w:r w:rsidR="00BC0196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Tobago.</w:t>
      </w:r>
    </w:p>
    <w:p w14:paraId="21939FE7" w14:textId="77777777" w:rsidR="001373CB" w:rsidRPr="00E13978" w:rsidRDefault="001373CB" w:rsidP="00E13978">
      <w:pPr>
        <w:suppressAutoHyphens/>
        <w:contextualSpacing/>
        <w:jc w:val="both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</w:pPr>
    </w:p>
    <w:bookmarkEnd w:id="5"/>
    <w:p w14:paraId="376A20FC" w14:textId="3065813B" w:rsidR="001373CB" w:rsidRPr="00E13978" w:rsidRDefault="00BC0196" w:rsidP="00E13978">
      <w:pPr>
        <w:pStyle w:val="ListParagraph"/>
        <w:numPr>
          <w:ilvl w:val="0"/>
          <w:numId w:val="9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Compartilhou mais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260 </w:t>
      </w:r>
      <w:r w:rsidRPr="00E13978">
        <w:rPr>
          <w:color w:val="000000" w:themeColor="text1"/>
          <w:sz w:val="22"/>
          <w:szCs w:val="22"/>
          <w:lang w:val="pt-BR"/>
        </w:rPr>
        <w:t xml:space="preserve">iniciativas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26 </w:t>
      </w:r>
      <w:r w:rsidR="00D92747" w:rsidRPr="00E13978">
        <w:rPr>
          <w:color w:val="000000" w:themeColor="text1"/>
          <w:sz w:val="22"/>
          <w:szCs w:val="22"/>
          <w:lang w:val="pt-BR"/>
        </w:rPr>
        <w:t>países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no Acelerador de Ideias da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 </w:t>
      </w:r>
      <w:r w:rsidR="005C39B7" w:rsidRPr="00E13978">
        <w:rPr>
          <w:color w:val="000000" w:themeColor="text1"/>
          <w:sz w:val="22"/>
          <w:szCs w:val="22"/>
          <w:lang w:val="pt-BR"/>
        </w:rPr>
        <w:t>d</w:t>
      </w:r>
      <w:r w:rsidRPr="00E13978">
        <w:rPr>
          <w:color w:val="000000" w:themeColor="text1"/>
          <w:sz w:val="22"/>
          <w:szCs w:val="22"/>
          <w:lang w:val="pt-BR"/>
        </w:rPr>
        <w:t xml:space="preserve">a RIAC sobre ferramentas tecnológicas, soluções de saúde, iniciativas de apoio a empresas e resposta econômica e planos de recuperação implementados pelos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em resposta à </w:t>
      </w:r>
      <w:r w:rsidR="00B17295" w:rsidRPr="00E13978">
        <w:rPr>
          <w:color w:val="000000" w:themeColor="text1"/>
          <w:sz w:val="22"/>
          <w:szCs w:val="22"/>
          <w:lang w:val="pt-BR"/>
        </w:rPr>
        <w:t>pandemia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7D8022A2" w14:textId="77777777" w:rsidR="001373CB" w:rsidRPr="00E13978" w:rsidRDefault="001373CB" w:rsidP="00E13978">
      <w:pPr>
        <w:suppressAutoHyphens/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</w:p>
    <w:p w14:paraId="37BD9ECF" w14:textId="604B86FB" w:rsidR="001373CB" w:rsidRPr="00E13978" w:rsidRDefault="001373CB" w:rsidP="00E13978">
      <w:pPr>
        <w:suppressAutoHyphens/>
        <w:ind w:firstLine="720"/>
        <w:contextualSpacing/>
        <w:jc w:val="both"/>
        <w:rPr>
          <w:rFonts w:eastAsia="Cambria"/>
          <w:b/>
          <w:color w:val="000000" w:themeColor="text1"/>
          <w:sz w:val="22"/>
          <w:szCs w:val="22"/>
          <w:lang w:val="pt-BR"/>
        </w:rPr>
      </w:pPr>
      <w:bookmarkStart w:id="6" w:name="_Hlk87264737"/>
      <w:r w:rsidRPr="00E13978"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  <w:t>Grup</w:t>
      </w:r>
      <w:r w:rsidR="00BC0196" w:rsidRPr="00E13978"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  <w:t xml:space="preserve">o de Peritos de Competitividade </w:t>
      </w:r>
      <w:r w:rsidRPr="00E13978"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  <w:t>Subna</w:t>
      </w:r>
      <w:r w:rsidR="00BC0196" w:rsidRPr="00E13978"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  <w:t>c</w:t>
      </w:r>
      <w:r w:rsidRPr="00E13978"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  <w:t>ional (GTECS)</w:t>
      </w:r>
    </w:p>
    <w:p w14:paraId="00822BB7" w14:textId="352391DE" w:rsidR="001373CB" w:rsidRPr="00E13978" w:rsidRDefault="00BC0196" w:rsidP="00E13978">
      <w:pPr>
        <w:pStyle w:val="ListParagraph"/>
        <w:numPr>
          <w:ilvl w:val="0"/>
          <w:numId w:val="11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Compartilhou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30 </w:t>
      </w:r>
      <w:r w:rsidRPr="00E13978">
        <w:rPr>
          <w:color w:val="000000" w:themeColor="text1"/>
          <w:sz w:val="22"/>
          <w:szCs w:val="22"/>
          <w:lang w:val="pt-BR"/>
        </w:rPr>
        <w:t>boas práticas por meio do Grupo de Trabalho sobre Indicadores e o Grupo de Trabalho sobre Licenças de Construção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1CD3CE05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49354B0" w14:textId="15D96DD3" w:rsidR="001373CB" w:rsidRPr="00E13978" w:rsidRDefault="00BC0196" w:rsidP="00E13978">
      <w:pPr>
        <w:pStyle w:val="ListParagraph"/>
        <w:numPr>
          <w:ilvl w:val="0"/>
          <w:numId w:val="11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Em colaboração com líderes do setor privado</w:t>
      </w:r>
      <w:r w:rsidR="005C39B7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preparou e apresentou no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ACF 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o documento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“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Transformação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Digital, 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Reativação Econômica e Emprego na América Latina e no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Caribe 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>pós-</w:t>
      </w:r>
      <w:r w:rsidR="00883E86" w:rsidRPr="00E13978">
        <w:rPr>
          <w:rFonts w:eastAsia="Cambria"/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-19”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, como guia sobre políticas públicas de transformação digital para os </w:t>
      </w:r>
      <w:r w:rsidR="001F3B8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Estados membros </w:t>
      </w:r>
      <w:r w:rsidR="0023609E" w:rsidRPr="00E13978">
        <w:rPr>
          <w:rFonts w:eastAsia="Cambria"/>
          <w:color w:val="000000" w:themeColor="text1"/>
          <w:sz w:val="22"/>
          <w:szCs w:val="22"/>
          <w:lang w:val="pt-BR"/>
        </w:rPr>
        <w:t>da OEA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bookmarkEnd w:id="6"/>
    <w:p w14:paraId="23248BC4" w14:textId="77777777" w:rsidR="001373CB" w:rsidRPr="007A6768" w:rsidRDefault="001373CB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C12934A" w14:textId="2DBCFBAF" w:rsidR="001373CB" w:rsidRPr="00E13978" w:rsidRDefault="001373CB" w:rsidP="00E13978">
      <w:pPr>
        <w:suppressAutoHyphens/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OBJETIV</w:t>
      </w:r>
      <w:r w:rsidR="0023609E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O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1.3</w:t>
      </w:r>
      <w:r w:rsidR="004F3F7C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E5D2F" w:rsidRPr="00E13978">
        <w:rPr>
          <w:b/>
          <w:bCs/>
          <w:sz w:val="22"/>
          <w:szCs w:val="22"/>
          <w:lang w:val="pt-BR"/>
        </w:rPr>
        <w:t>Aumentar a cooperação para fortalecer a capacidade institucional dos Estados membros de incorporar inovação e tecnologia transformadoras, que gerem valor agregado e diversificação de suas economias, de maneira sustentável e inclusiva</w:t>
      </w: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.</w:t>
      </w:r>
    </w:p>
    <w:p w14:paraId="7FA95F19" w14:textId="2F6B91FF" w:rsidR="001373CB" w:rsidRPr="00E13978" w:rsidRDefault="001373CB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1FB2491B" w14:textId="79A7911B" w:rsidR="001373CB" w:rsidRPr="00E13978" w:rsidRDefault="005C4243" w:rsidP="00E13978">
      <w:pPr>
        <w:suppressAutoHyphens/>
        <w:ind w:firstLine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Ciência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, Tecnolog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ia e Inovação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(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C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TI)</w:t>
      </w:r>
    </w:p>
    <w:p w14:paraId="15AB5093" w14:textId="743D894D" w:rsidR="001373CB" w:rsidRPr="00E13978" w:rsidRDefault="006D677E" w:rsidP="00E13978">
      <w:pPr>
        <w:numPr>
          <w:ilvl w:val="0"/>
          <w:numId w:val="4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Organi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zou a Sexta Reunião de Ministros e Altas Autoridades de Ciência e Tecnologia, realizada virtualmente em </w:t>
      </w:r>
      <w:r w:rsidR="001373CB" w:rsidRPr="00E13978">
        <w:rPr>
          <w:color w:val="000000" w:themeColor="text1"/>
          <w:sz w:val="22"/>
          <w:szCs w:val="22"/>
          <w:lang w:val="pt-BR"/>
        </w:rPr>
        <w:t>7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 e </w:t>
      </w:r>
      <w:r w:rsidR="001373CB" w:rsidRPr="00E13978">
        <w:rPr>
          <w:color w:val="000000" w:themeColor="text1"/>
          <w:sz w:val="22"/>
          <w:szCs w:val="22"/>
          <w:lang w:val="pt-BR"/>
        </w:rPr>
        <w:t>8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 de dezembro 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2021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, ocasião em que foi aprovada a Declaração da </w:t>
      </w:r>
      <w:r w:rsidR="001373CB" w:rsidRPr="00E13978">
        <w:rPr>
          <w:color w:val="000000" w:themeColor="text1"/>
          <w:sz w:val="22"/>
          <w:szCs w:val="22"/>
          <w:lang w:val="pt-BR"/>
        </w:rPr>
        <w:t>Jamaica</w:t>
      </w:r>
      <w:r w:rsidR="005C4243"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“</w:t>
      </w:r>
      <w:r w:rsidR="005C4243" w:rsidRPr="00E13978">
        <w:rPr>
          <w:color w:val="000000" w:themeColor="text1"/>
          <w:sz w:val="22"/>
          <w:szCs w:val="22"/>
          <w:lang w:val="pt-BR"/>
        </w:rPr>
        <w:t>Canalizando o poder da ciência e das tecnologias transformadoras para impulsionar nossas comunidades</w:t>
      </w:r>
      <w:r w:rsidR="001373CB" w:rsidRPr="00E13978">
        <w:rPr>
          <w:color w:val="000000" w:themeColor="text1"/>
          <w:sz w:val="22"/>
          <w:szCs w:val="22"/>
          <w:lang w:val="pt-BR"/>
        </w:rPr>
        <w:t>”</w:t>
      </w:r>
      <w:r w:rsidR="005C4243" w:rsidRPr="00E13978">
        <w:rPr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Os temas da Reunião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Ministerial </w:t>
      </w:r>
      <w:r w:rsidR="005C4243" w:rsidRPr="00E13978">
        <w:rPr>
          <w:color w:val="000000" w:themeColor="text1"/>
          <w:sz w:val="22"/>
          <w:szCs w:val="22"/>
          <w:lang w:val="pt-BR"/>
        </w:rPr>
        <w:t>incluíram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cooperação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regional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em ciência e tecnologia para acelerar a recuperação da pandemia de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-19,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abordagem da lacuna de competências da juventude e preparação para a indústria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4.0,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promoção da inclusão da mulher, das comunidades rurais e indígenas e de outras populações em situação vulnerável </w:t>
      </w:r>
      <w:r w:rsidR="005C39B7" w:rsidRPr="00E13978">
        <w:rPr>
          <w:color w:val="000000" w:themeColor="text1"/>
          <w:sz w:val="22"/>
          <w:szCs w:val="22"/>
          <w:lang w:val="pt-BR"/>
        </w:rPr>
        <w:t>nas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5C4243" w:rsidRPr="00E13978">
        <w:rPr>
          <w:color w:val="000000" w:themeColor="text1"/>
          <w:sz w:val="22"/>
          <w:szCs w:val="22"/>
          <w:lang w:val="pt-BR"/>
        </w:rPr>
        <w:t>CT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I, </w:t>
      </w:r>
      <w:r w:rsidR="005C4243" w:rsidRPr="00E13978">
        <w:rPr>
          <w:color w:val="000000" w:themeColor="text1"/>
          <w:sz w:val="22"/>
          <w:szCs w:val="22"/>
          <w:lang w:val="pt-BR"/>
        </w:rPr>
        <w:t>prospecção tecnológica como contribuição para as decisões de política pública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5C4243" w:rsidRPr="00E13978">
        <w:rPr>
          <w:color w:val="000000" w:themeColor="text1"/>
          <w:sz w:val="22"/>
          <w:szCs w:val="22"/>
          <w:lang w:val="pt-BR"/>
        </w:rPr>
        <w:t xml:space="preserve">e colaboração efetiva público-privada-acadêmica para melhorar a qualidade de vida e prestar </w:t>
      </w:r>
      <w:r w:rsidR="00D92747" w:rsidRPr="00E13978">
        <w:rPr>
          <w:color w:val="000000" w:themeColor="text1"/>
          <w:sz w:val="22"/>
          <w:szCs w:val="22"/>
          <w:lang w:val="pt-BR"/>
        </w:rPr>
        <w:t xml:space="preserve">apoio </w:t>
      </w:r>
      <w:r w:rsidR="005C4243" w:rsidRPr="00E13978">
        <w:rPr>
          <w:color w:val="000000" w:themeColor="text1"/>
          <w:sz w:val="22"/>
          <w:szCs w:val="22"/>
          <w:lang w:val="pt-BR"/>
        </w:rPr>
        <w:t>às</w:t>
      </w:r>
      <w:r w:rsidR="004E0017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micro, </w:t>
      </w:r>
      <w:r w:rsidR="004E0017" w:rsidRPr="00E13978">
        <w:rPr>
          <w:color w:val="000000" w:themeColor="text1"/>
          <w:sz w:val="22"/>
          <w:szCs w:val="22"/>
          <w:lang w:val="pt-BR"/>
        </w:rPr>
        <w:t>pequenas e m</w:t>
      </w:r>
      <w:r w:rsidR="005C39B7" w:rsidRPr="00E13978">
        <w:rPr>
          <w:color w:val="000000" w:themeColor="text1"/>
          <w:sz w:val="22"/>
          <w:szCs w:val="22"/>
          <w:lang w:val="pt-BR"/>
        </w:rPr>
        <w:t xml:space="preserve">édias empresas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="00FE18A4" w:rsidRPr="00E13978">
        <w:rPr>
          <w:color w:val="000000" w:themeColor="text1"/>
          <w:sz w:val="22"/>
          <w:szCs w:val="22"/>
          <w:lang w:val="pt-BR"/>
        </w:rPr>
        <w:t xml:space="preserve">MPMEs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4E0017" w:rsidRPr="00E13978">
        <w:rPr>
          <w:color w:val="000000" w:themeColor="text1"/>
          <w:sz w:val="22"/>
          <w:szCs w:val="22"/>
          <w:lang w:val="pt-BR"/>
        </w:rPr>
        <w:t>por meio da C</w:t>
      </w:r>
      <w:r w:rsidR="001373CB" w:rsidRPr="00E13978">
        <w:rPr>
          <w:color w:val="000000" w:themeColor="text1"/>
          <w:sz w:val="22"/>
          <w:szCs w:val="22"/>
          <w:lang w:val="pt-BR"/>
        </w:rPr>
        <w:t>TI.</w:t>
      </w:r>
    </w:p>
    <w:p w14:paraId="683EE0FB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2CD4AF8" w14:textId="24BAB21F" w:rsidR="001B5593" w:rsidRPr="00E13978" w:rsidRDefault="004E0017" w:rsidP="00E13978">
      <w:pPr>
        <w:numPr>
          <w:ilvl w:val="0"/>
          <w:numId w:val="4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bookmarkStart w:id="7" w:name="_Hlk85391253"/>
      <w:bookmarkStart w:id="8" w:name="_Hlk85391518"/>
      <w:r w:rsidRPr="00E13978">
        <w:rPr>
          <w:color w:val="000000" w:themeColor="text1"/>
          <w:sz w:val="22"/>
          <w:szCs w:val="22"/>
          <w:lang w:val="pt-BR"/>
        </w:rPr>
        <w:t xml:space="preserve">Duas sessões estratégicas do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Prospecta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bookmarkEnd w:id="7"/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realizadas virtualmente em 27 e 28 de outubro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="001373CB" w:rsidRPr="00E13978">
        <w:rPr>
          <w:i/>
          <w:iCs/>
          <w:color w:val="000000" w:themeColor="text1"/>
          <w:sz w:val="22"/>
          <w:szCs w:val="22"/>
          <w:lang w:val="pt-BR"/>
        </w:rPr>
        <w:t>Blockchain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e Inteligência Artificial e Robótica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em colaboração com a Missão Permanente do México junto à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CONACYT </w:t>
      </w:r>
      <w:r w:rsidRPr="00E13978">
        <w:rPr>
          <w:color w:val="000000" w:themeColor="text1"/>
          <w:sz w:val="22"/>
          <w:szCs w:val="22"/>
          <w:lang w:val="pt-BR"/>
        </w:rPr>
        <w:t xml:space="preserve">e o Estado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Hidalgo, </w:t>
      </w:r>
      <w:r w:rsidRPr="00E13978">
        <w:rPr>
          <w:color w:val="000000" w:themeColor="text1"/>
          <w:sz w:val="22"/>
          <w:szCs w:val="22"/>
          <w:lang w:val="pt-BR"/>
        </w:rPr>
        <w:t>México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7E4A65CF" w14:textId="1ACE8088" w:rsidR="001373CB" w:rsidRPr="00E13978" w:rsidRDefault="004E0017" w:rsidP="00E13978">
      <w:pPr>
        <w:numPr>
          <w:ilvl w:val="1"/>
          <w:numId w:val="4"/>
        </w:numPr>
        <w:suppressAutoHyphens/>
        <w:ind w:left="180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Apoio</w:t>
      </w:r>
      <w:r w:rsidR="00412537" w:rsidRPr="00E13978">
        <w:rPr>
          <w:color w:val="000000" w:themeColor="text1"/>
          <w:sz w:val="22"/>
          <w:szCs w:val="22"/>
          <w:lang w:val="pt-BR"/>
        </w:rPr>
        <w:t xml:space="preserve"> ao </w:t>
      </w:r>
      <w:r w:rsidRPr="00E13978">
        <w:rPr>
          <w:color w:val="000000" w:themeColor="text1"/>
          <w:sz w:val="22"/>
          <w:szCs w:val="22"/>
          <w:lang w:val="pt-BR"/>
        </w:rPr>
        <w:t xml:space="preserve">lançamento de dois estudos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regionais </w:t>
      </w:r>
      <w:r w:rsidRPr="00E13978">
        <w:rPr>
          <w:color w:val="000000" w:themeColor="text1"/>
          <w:sz w:val="22"/>
          <w:szCs w:val="22"/>
          <w:lang w:val="pt-BR"/>
        </w:rPr>
        <w:t>de prospecção tecnológica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, no âmbito da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Prospecta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240A50" w:rsidRPr="00E13978">
        <w:rPr>
          <w:color w:val="000000" w:themeColor="text1"/>
          <w:sz w:val="22"/>
          <w:szCs w:val="22"/>
          <w:lang w:val="pt-BR"/>
        </w:rPr>
        <w:t>, em 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com o </w:t>
      </w:r>
      <w:r w:rsidR="009D7539" w:rsidRPr="00E13978">
        <w:rPr>
          <w:color w:val="000000" w:themeColor="text1"/>
          <w:sz w:val="22"/>
          <w:szCs w:val="22"/>
          <w:lang w:val="pt-BR"/>
        </w:rPr>
        <w:t xml:space="preserve">MINCIENCIAS </w:t>
      </w:r>
      <w:r w:rsidR="00240A50" w:rsidRPr="00E13978">
        <w:rPr>
          <w:color w:val="000000" w:themeColor="text1"/>
          <w:sz w:val="22"/>
          <w:szCs w:val="22"/>
          <w:lang w:val="pt-BR"/>
        </w:rPr>
        <w:t>da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>Colômbia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sobre </w:t>
      </w:r>
      <w:r w:rsidR="001373CB" w:rsidRPr="00E13978">
        <w:rPr>
          <w:color w:val="000000" w:themeColor="text1"/>
          <w:sz w:val="22"/>
          <w:szCs w:val="22"/>
          <w:lang w:val="pt-BR"/>
        </w:rPr>
        <w:t>“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O futuro do trabalho na América </w:t>
      </w:r>
      <w:r w:rsidR="001373CB" w:rsidRPr="00E13978">
        <w:rPr>
          <w:color w:val="000000" w:themeColor="text1"/>
          <w:sz w:val="22"/>
          <w:szCs w:val="22"/>
          <w:lang w:val="pt-BR"/>
        </w:rPr>
        <w:t>Latin</w:t>
      </w:r>
      <w:r w:rsidR="00240A50"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”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, dirigidos pelo Centro de Pensamento Estratégico e Prospecção da </w:t>
      </w:r>
      <w:r w:rsidR="001373CB" w:rsidRPr="00E13978">
        <w:rPr>
          <w:i/>
          <w:iCs/>
          <w:color w:val="000000" w:themeColor="text1"/>
          <w:sz w:val="22"/>
          <w:szCs w:val="22"/>
          <w:lang w:val="pt-BR"/>
        </w:rPr>
        <w:t xml:space="preserve">Universidad Externado de </w:t>
      </w:r>
      <w:r w:rsidR="00240A50" w:rsidRPr="00E13978">
        <w:rPr>
          <w:i/>
          <w:iCs/>
          <w:color w:val="000000" w:themeColor="text1"/>
          <w:sz w:val="22"/>
          <w:szCs w:val="22"/>
          <w:lang w:val="pt-BR"/>
        </w:rPr>
        <w:t>Col</w:t>
      </w:r>
      <w:r w:rsidR="005C39B7" w:rsidRPr="00E13978">
        <w:rPr>
          <w:i/>
          <w:iCs/>
          <w:color w:val="000000" w:themeColor="text1"/>
          <w:sz w:val="22"/>
          <w:szCs w:val="22"/>
          <w:lang w:val="pt-BR"/>
        </w:rPr>
        <w:t>o</w:t>
      </w:r>
      <w:r w:rsidR="00240A50" w:rsidRPr="00E13978">
        <w:rPr>
          <w:i/>
          <w:iCs/>
          <w:color w:val="000000" w:themeColor="text1"/>
          <w:sz w:val="22"/>
          <w:szCs w:val="22"/>
          <w:lang w:val="pt-BR"/>
        </w:rPr>
        <w:t>mbia,</w:t>
      </w:r>
      <w:r w:rsidR="00586E61" w:rsidRPr="00E13978">
        <w:rPr>
          <w:i/>
          <w:iCs/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e sobre </w:t>
      </w:r>
      <w:r w:rsidR="001373CB" w:rsidRPr="00E13978">
        <w:rPr>
          <w:color w:val="000000" w:themeColor="text1"/>
          <w:sz w:val="22"/>
          <w:szCs w:val="22"/>
          <w:lang w:val="pt-BR"/>
        </w:rPr>
        <w:t>“</w:t>
      </w:r>
      <w:r w:rsidR="00240A50" w:rsidRPr="00E13978">
        <w:rPr>
          <w:color w:val="000000" w:themeColor="text1"/>
          <w:sz w:val="22"/>
          <w:szCs w:val="22"/>
          <w:lang w:val="pt-BR"/>
        </w:rPr>
        <w:t>Prospecção do Setor Agroalimentar na América Latina e no Caribe</w:t>
      </w:r>
      <w:r w:rsidR="001373CB" w:rsidRPr="00E13978">
        <w:rPr>
          <w:color w:val="000000" w:themeColor="text1"/>
          <w:sz w:val="22"/>
          <w:szCs w:val="22"/>
          <w:lang w:val="pt-BR"/>
        </w:rPr>
        <w:t>”</w:t>
      </w:r>
      <w:r w:rsidR="00240A50"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dirigido pela Rede Aberta sobre Prospecção e Inovação do Programa </w:t>
      </w:r>
      <w:r w:rsidR="001373CB" w:rsidRPr="00E13978">
        <w:rPr>
          <w:color w:val="000000" w:themeColor="text1"/>
          <w:sz w:val="22"/>
          <w:szCs w:val="22"/>
          <w:lang w:val="pt-BR"/>
        </w:rPr>
        <w:t>Ibero-American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o de Ciência e Tecnologia para o Desenvolvimento </w:t>
      </w:r>
      <w:r w:rsidR="001373CB" w:rsidRPr="00E13978">
        <w:rPr>
          <w:color w:val="000000" w:themeColor="text1"/>
          <w:sz w:val="22"/>
          <w:szCs w:val="22"/>
          <w:lang w:val="pt-BR"/>
        </w:rPr>
        <w:t>(CYTED).</w:t>
      </w:r>
    </w:p>
    <w:p w14:paraId="0730A53F" w14:textId="77777777" w:rsidR="001373CB" w:rsidRPr="00E13978" w:rsidRDefault="001373CB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70401CDA" w14:textId="66C41241" w:rsidR="001373CB" w:rsidRPr="00E13978" w:rsidRDefault="00240A50" w:rsidP="00E13978">
      <w:pPr>
        <w:pStyle w:val="ListParagraph"/>
        <w:numPr>
          <w:ilvl w:val="0"/>
          <w:numId w:val="10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bookmarkStart w:id="9" w:name="_Hlk85391140"/>
      <w:r w:rsidRPr="00E13978">
        <w:rPr>
          <w:color w:val="000000" w:themeColor="text1"/>
          <w:sz w:val="22"/>
          <w:szCs w:val="22"/>
          <w:lang w:val="pt-BR"/>
        </w:rPr>
        <w:t xml:space="preserve">Cinquenta boas práticas e experiências compartilhadas com mais de </w:t>
      </w:r>
      <w:r w:rsidR="001373CB" w:rsidRPr="00E13978">
        <w:rPr>
          <w:color w:val="000000" w:themeColor="text1"/>
          <w:sz w:val="22"/>
          <w:szCs w:val="22"/>
          <w:lang w:val="pt-BR"/>
        </w:rPr>
        <w:t>500</w:t>
      </w:r>
      <w:r w:rsidRPr="00E13978">
        <w:rPr>
          <w:color w:val="000000" w:themeColor="text1"/>
          <w:sz w:val="22"/>
          <w:szCs w:val="22"/>
          <w:lang w:val="pt-BR"/>
        </w:rPr>
        <w:t xml:space="preserve"> participantes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24 </w:t>
      </w:r>
      <w:r w:rsidRPr="00E13978">
        <w:rPr>
          <w:color w:val="000000" w:themeColor="text1"/>
          <w:sz w:val="22"/>
          <w:szCs w:val="22"/>
          <w:lang w:val="pt-BR"/>
        </w:rPr>
        <w:t xml:space="preserve">países, durante </w:t>
      </w:r>
      <w:r w:rsidR="005C39B7" w:rsidRPr="00E13978">
        <w:rPr>
          <w:color w:val="000000" w:themeColor="text1"/>
          <w:sz w:val="22"/>
          <w:szCs w:val="22"/>
          <w:lang w:val="pt-BR"/>
        </w:rPr>
        <w:t xml:space="preserve">seis </w:t>
      </w:r>
      <w:r w:rsidRPr="00E13978">
        <w:rPr>
          <w:color w:val="000000" w:themeColor="text1"/>
          <w:sz w:val="22"/>
          <w:szCs w:val="22"/>
          <w:lang w:val="pt-BR"/>
        </w:rPr>
        <w:t>sessões temáticas d</w:t>
      </w:r>
      <w:r w:rsidR="005C39B7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 xml:space="preserve"> Comissão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Ciência e Tecnologia </w:t>
      </w:r>
      <w:r w:rsidR="001373CB" w:rsidRPr="00E13978">
        <w:rPr>
          <w:color w:val="000000" w:themeColor="text1"/>
          <w:sz w:val="22"/>
          <w:szCs w:val="22"/>
          <w:lang w:val="pt-BR"/>
        </w:rPr>
        <w:t>(COMCYT)</w:t>
      </w:r>
      <w:r w:rsidRPr="00E13978">
        <w:rPr>
          <w:color w:val="000000" w:themeColor="text1"/>
          <w:sz w:val="22"/>
          <w:szCs w:val="22"/>
          <w:lang w:val="pt-BR"/>
        </w:rPr>
        <w:t xml:space="preserve">, realizadas entre abril e junho de </w:t>
      </w:r>
      <w:r w:rsidR="001373CB" w:rsidRPr="00E13978">
        <w:rPr>
          <w:color w:val="000000" w:themeColor="text1"/>
          <w:sz w:val="22"/>
          <w:szCs w:val="22"/>
          <w:lang w:val="pt-BR"/>
        </w:rPr>
        <w:t>2021</w:t>
      </w:r>
      <w:r w:rsidRPr="00E13978">
        <w:rPr>
          <w:color w:val="000000" w:themeColor="text1"/>
          <w:sz w:val="22"/>
          <w:szCs w:val="22"/>
          <w:lang w:val="pt-BR"/>
        </w:rPr>
        <w:t>, sobre</w:t>
      </w:r>
      <w:r w:rsidR="001373CB" w:rsidRPr="00E13978">
        <w:rPr>
          <w:color w:val="000000" w:themeColor="text1"/>
          <w:sz w:val="22"/>
          <w:szCs w:val="22"/>
          <w:lang w:val="pt-BR"/>
        </w:rPr>
        <w:t>: Inova</w:t>
      </w:r>
      <w:r w:rsidRPr="00E13978">
        <w:rPr>
          <w:color w:val="000000" w:themeColor="text1"/>
          <w:sz w:val="22"/>
          <w:szCs w:val="22"/>
          <w:lang w:val="pt-BR"/>
        </w:rPr>
        <w:t xml:space="preserve">ção e Empreendedorismo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 xml:space="preserve">Políticas de Inteligência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Artificial </w:t>
      </w:r>
      <w:r w:rsidRPr="00E13978">
        <w:rPr>
          <w:color w:val="000000" w:themeColor="text1"/>
          <w:sz w:val="22"/>
          <w:szCs w:val="22"/>
          <w:lang w:val="pt-BR"/>
        </w:rPr>
        <w:t xml:space="preserve">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 xml:space="preserve">Inovação Inclusiva e Mulheres em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STEM; </w:t>
      </w:r>
      <w:r w:rsidRPr="00E13978">
        <w:rPr>
          <w:color w:val="000000" w:themeColor="text1"/>
          <w:sz w:val="22"/>
          <w:szCs w:val="22"/>
          <w:lang w:val="pt-BR"/>
        </w:rPr>
        <w:t>Engenharia de Impacto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 xml:space="preserve">Infraestrutura </w:t>
      </w: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Nacional de Qualidade como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Pillar </w:t>
      </w:r>
      <w:r w:rsidRPr="00E13978">
        <w:rPr>
          <w:color w:val="000000" w:themeColor="text1"/>
          <w:sz w:val="22"/>
          <w:szCs w:val="22"/>
          <w:lang w:val="pt-BR"/>
        </w:rPr>
        <w:t xml:space="preserve">do Desenvolvimento Sustentável e da </w:t>
      </w:r>
      <w:r w:rsidR="001373CB" w:rsidRPr="00E13978">
        <w:rPr>
          <w:color w:val="000000" w:themeColor="text1"/>
          <w:sz w:val="22"/>
          <w:szCs w:val="22"/>
          <w:lang w:val="pt-BR"/>
        </w:rPr>
        <w:t>Bioeconom</w:t>
      </w:r>
      <w:r w:rsidRPr="00E13978">
        <w:rPr>
          <w:color w:val="000000" w:themeColor="text1"/>
          <w:sz w:val="22"/>
          <w:szCs w:val="22"/>
          <w:lang w:val="pt-BR"/>
        </w:rPr>
        <w:t>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Pr="00E13978">
        <w:rPr>
          <w:color w:val="000000" w:themeColor="text1"/>
          <w:sz w:val="22"/>
          <w:szCs w:val="22"/>
          <w:lang w:val="pt-BR"/>
        </w:rPr>
        <w:t>Compartilhamento de Boas Práticas e Prioridades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  <w:bookmarkEnd w:id="9"/>
    </w:p>
    <w:p w14:paraId="669FD586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CCF591D" w14:textId="6542EFC0" w:rsidR="001373CB" w:rsidRPr="00E13978" w:rsidRDefault="00412537" w:rsidP="00E13978">
      <w:pPr>
        <w:pStyle w:val="NormalWeb"/>
        <w:numPr>
          <w:ilvl w:val="0"/>
          <w:numId w:val="10"/>
        </w:numPr>
        <w:suppressAutoHyphens/>
        <w:spacing w:before="0" w:beforeAutospacing="0" w:after="0" w:afterAutospacing="0"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Criadas d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uas plataformas virtuais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[“COMCYT Central”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e </w:t>
      </w:r>
      <w:r w:rsidR="001373CB" w:rsidRPr="00E13978">
        <w:rPr>
          <w:color w:val="000000" w:themeColor="text1"/>
          <w:sz w:val="22"/>
          <w:szCs w:val="22"/>
          <w:lang w:val="pt-BR"/>
        </w:rPr>
        <w:t>“COMUNITT” (</w:t>
      </w:r>
      <w:r w:rsidR="00240A50" w:rsidRPr="00E13978">
        <w:rPr>
          <w:color w:val="000000" w:themeColor="text1"/>
          <w:sz w:val="22"/>
          <w:szCs w:val="22"/>
          <w:lang w:val="pt-BR"/>
        </w:rPr>
        <w:t>em 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com a Universidade da </w:t>
      </w:r>
      <w:r w:rsidR="001373CB" w:rsidRPr="00E13978">
        <w:rPr>
          <w:color w:val="000000" w:themeColor="text1"/>
          <w:sz w:val="22"/>
          <w:szCs w:val="22"/>
          <w:lang w:val="pt-BR"/>
        </w:rPr>
        <w:t>Calif</w:t>
      </w:r>
      <w:r w:rsidR="00240A50" w:rsidRPr="00E13978">
        <w:rPr>
          <w:color w:val="000000" w:themeColor="text1"/>
          <w:sz w:val="22"/>
          <w:szCs w:val="22"/>
          <w:lang w:val="pt-BR"/>
        </w:rPr>
        <w:t>ó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rnia Riverside)]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para apoiar profissionais e empreendedores por meio de sessões de mentoria com peritos e líderes do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HUB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de Comercialização e Transferência de </w:t>
      </w:r>
      <w:r w:rsidR="001373CB" w:rsidRPr="00E13978">
        <w:rPr>
          <w:color w:val="000000" w:themeColor="text1"/>
          <w:sz w:val="22"/>
          <w:szCs w:val="22"/>
          <w:lang w:val="pt-BR"/>
        </w:rPr>
        <w:t>Tec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nologia para 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 xml:space="preserve"> da OEA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, com vistas a acelerar suas soluções, tecnologias, produtos e serviços </w:t>
      </w:r>
      <w:r w:rsidRPr="00E13978">
        <w:rPr>
          <w:color w:val="000000" w:themeColor="text1"/>
          <w:sz w:val="22"/>
          <w:szCs w:val="22"/>
          <w:lang w:val="pt-BR"/>
        </w:rPr>
        <w:t xml:space="preserve">inovadores </w:t>
      </w:r>
      <w:r w:rsidR="001373CB" w:rsidRPr="00E13978">
        <w:rPr>
          <w:color w:val="000000" w:themeColor="text1"/>
          <w:sz w:val="22"/>
          <w:szCs w:val="22"/>
          <w:lang w:val="pt-BR"/>
        </w:rPr>
        <w:t>“</w:t>
      </w:r>
      <w:r w:rsidR="00240A50" w:rsidRPr="00E13978">
        <w:rPr>
          <w:color w:val="000000" w:themeColor="text1"/>
          <w:sz w:val="22"/>
          <w:szCs w:val="22"/>
          <w:lang w:val="pt-BR"/>
        </w:rPr>
        <w:t>da ideia ao mercado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”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e abordar alguns dos mais prementes desafios em comunidades das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, ao mesmo tempo contribuindo para a diversificação das economias da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599A626F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2BF1F4F" w14:textId="2E75713E" w:rsidR="001373CB" w:rsidRPr="00E13978" w:rsidRDefault="00240A50" w:rsidP="00E13978">
      <w:pPr>
        <w:numPr>
          <w:ilvl w:val="0"/>
          <w:numId w:val="4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Em colaboração</w:t>
      </w:r>
      <w:r w:rsidR="00586E6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com o Grupo de Trabalho 2 – P</w:t>
      </w:r>
      <w:r w:rsidR="00412537" w:rsidRPr="00E13978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rceiros, da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COMCYT, </w:t>
      </w:r>
      <w:r w:rsidR="00F0089C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convocou três conferências regionais em educação em engenharia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(LACCEI, ACOFI </w:t>
      </w:r>
      <w:r w:rsidR="00F0089C" w:rsidRPr="00E13978">
        <w:rPr>
          <w:rFonts w:eastAsia="Cambria"/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LEIRD), </w:t>
      </w:r>
      <w:r w:rsidR="00F0089C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que apoiaram o intercâmbio de boas práticas e ministraram treinamento em educação em engenharia para mais de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1</w:t>
      </w:r>
      <w:r w:rsidR="00F0089C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200 </w:t>
      </w:r>
      <w:r w:rsidR="00F0089C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profissionais e estudantes de engenharia das </w:t>
      </w:r>
      <w:r w:rsidR="004D733A" w:rsidRPr="00E13978">
        <w:rPr>
          <w:rFonts w:eastAsia="Cambria"/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4920CB27" w14:textId="77777777" w:rsidR="001373CB" w:rsidRPr="00E13978" w:rsidRDefault="001373CB" w:rsidP="00E13978">
      <w:pPr>
        <w:suppressAutoHyphens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0A1E6C84" w14:textId="47E00F82" w:rsidR="001373CB" w:rsidRPr="00E13978" w:rsidRDefault="00F0089C" w:rsidP="00E13978">
      <w:pPr>
        <w:numPr>
          <w:ilvl w:val="0"/>
          <w:numId w:val="4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Apoiou eventos virtuais mostrando as contribuições sociais, científicas e intelectuais da mulher em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STEM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, com organizações acadêmicas da Cadeira Regional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Matilda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em Mulheres em Engenharia nas </w:t>
      </w:r>
      <w:r w:rsidR="004D733A" w:rsidRPr="00E13978">
        <w:rPr>
          <w:rFonts w:eastAsia="Cambria"/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 a Cadeira Regional da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UNESCO</w:t>
      </w:r>
      <w:r w:rsidR="00136317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para a Mulher, Ciência e Tecnologia na América Latina com base na </w:t>
      </w:r>
      <w:r w:rsidR="001373CB" w:rsidRPr="00E13978">
        <w:rPr>
          <w:rFonts w:eastAsia="Cambria"/>
          <w:color w:val="000000" w:themeColor="text1"/>
          <w:sz w:val="22"/>
          <w:szCs w:val="22"/>
          <w:lang w:val="pt-BR"/>
        </w:rPr>
        <w:t>FLACSO, Argentina.</w:t>
      </w:r>
    </w:p>
    <w:bookmarkEnd w:id="8"/>
    <w:p w14:paraId="4C35B328" w14:textId="61F557DE" w:rsidR="0000699C" w:rsidRPr="00E13978" w:rsidRDefault="0000699C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326F001" w14:textId="256A2A11" w:rsidR="001373CB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1.4</w:t>
      </w:r>
      <w:r w:rsidR="004F3F7C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b/>
          <w:bCs/>
          <w:sz w:val="22"/>
          <w:szCs w:val="22"/>
          <w:lang w:val="pt-BR"/>
        </w:rPr>
        <w:t>Apoiar os Estados membros no fortalecimento da capacidade institucional, de modo a favorecer a promoção de atividades produtivas sustentáveis nos setores de turismo e cultura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70701A57" w14:textId="77777777" w:rsidR="007F5F61" w:rsidRPr="00E13978" w:rsidRDefault="007F5F61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633E530" w14:textId="1625AD8F" w:rsidR="001373CB" w:rsidRPr="00E13978" w:rsidRDefault="001373CB" w:rsidP="00E13978">
      <w:pPr>
        <w:suppressAutoHyphens/>
        <w:ind w:firstLine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Cultur</w:t>
      </w:r>
      <w:r w:rsidR="00F0089C" w:rsidRPr="00E13978">
        <w:rPr>
          <w:b/>
          <w:bCs/>
          <w:color w:val="000000" w:themeColor="text1"/>
          <w:sz w:val="22"/>
          <w:szCs w:val="22"/>
          <w:lang w:val="pt-BR"/>
        </w:rPr>
        <w:t xml:space="preserve">a e turismo </w:t>
      </w:r>
    </w:p>
    <w:p w14:paraId="6FEC5D78" w14:textId="25236C53" w:rsidR="001373CB" w:rsidRPr="00E13978" w:rsidRDefault="00F0089C" w:rsidP="00E13978">
      <w:pPr>
        <w:pStyle w:val="ListParagraph"/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No âmbito do Plano de Trabalho da Comissão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="001373CB" w:rsidRPr="00E13978">
        <w:rPr>
          <w:color w:val="000000" w:themeColor="text1"/>
          <w:sz w:val="22"/>
          <w:szCs w:val="22"/>
          <w:lang w:val="pt-BR"/>
        </w:rPr>
        <w:t>Cultur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(CIC), </w:t>
      </w:r>
      <w:r w:rsidRPr="00E13978">
        <w:rPr>
          <w:color w:val="000000" w:themeColor="text1"/>
          <w:sz w:val="22"/>
          <w:szCs w:val="22"/>
          <w:lang w:val="pt-BR"/>
        </w:rPr>
        <w:t xml:space="preserve">compartilhou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30 </w:t>
      </w:r>
      <w:r w:rsidRPr="00E13978">
        <w:rPr>
          <w:color w:val="000000" w:themeColor="text1"/>
          <w:sz w:val="22"/>
          <w:szCs w:val="22"/>
          <w:lang w:val="pt-BR"/>
        </w:rPr>
        <w:t>boas práticas com os Estados membros nos seguintes temas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Pr="00E13978">
        <w:rPr>
          <w:color w:val="000000" w:themeColor="text1"/>
          <w:sz w:val="22"/>
          <w:szCs w:val="22"/>
          <w:lang w:val="pt-BR"/>
        </w:rPr>
        <w:t>Fortalec</w:t>
      </w:r>
      <w:r w:rsidR="00412537" w:rsidRPr="00E13978">
        <w:rPr>
          <w:color w:val="000000" w:themeColor="text1"/>
          <w:sz w:val="22"/>
          <w:szCs w:val="22"/>
          <w:lang w:val="pt-BR"/>
        </w:rPr>
        <w:t>imento d</w:t>
      </w:r>
      <w:r w:rsidRPr="00E13978">
        <w:rPr>
          <w:color w:val="000000" w:themeColor="text1"/>
          <w:sz w:val="22"/>
          <w:szCs w:val="22"/>
          <w:lang w:val="pt-BR"/>
        </w:rPr>
        <w:t xml:space="preserve">as Indústrias Criativas e Culturais para a Coordenação </w:t>
      </w:r>
      <w:r w:rsidR="00412537" w:rsidRPr="00E13978">
        <w:rPr>
          <w:color w:val="000000" w:themeColor="text1"/>
          <w:sz w:val="22"/>
          <w:szCs w:val="22"/>
          <w:lang w:val="pt-BR"/>
        </w:rPr>
        <w:t xml:space="preserve">e a </w:t>
      </w:r>
      <w:r w:rsidR="001373CB" w:rsidRPr="00E13978">
        <w:rPr>
          <w:color w:val="000000" w:themeColor="text1"/>
          <w:sz w:val="22"/>
          <w:szCs w:val="22"/>
          <w:lang w:val="pt-BR"/>
        </w:rPr>
        <w:t>Complementari</w:t>
      </w:r>
      <w:r w:rsidRPr="00E13978">
        <w:rPr>
          <w:color w:val="000000" w:themeColor="text1"/>
          <w:sz w:val="22"/>
          <w:szCs w:val="22"/>
          <w:lang w:val="pt-BR"/>
        </w:rPr>
        <w:t>dade</w:t>
      </w:r>
      <w:r w:rsidR="00412537" w:rsidRPr="00E13978">
        <w:rPr>
          <w:color w:val="000000" w:themeColor="text1"/>
          <w:sz w:val="22"/>
          <w:szCs w:val="22"/>
          <w:lang w:val="pt-BR"/>
        </w:rPr>
        <w:t xml:space="preserve"> Institucionais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="003C1CC7" w:rsidRPr="00E13978">
        <w:rPr>
          <w:color w:val="000000" w:themeColor="text1"/>
          <w:sz w:val="22"/>
          <w:szCs w:val="22"/>
          <w:lang w:val="pt-BR"/>
        </w:rPr>
        <w:t>Diretrizes para a Criação de Contas Satélite de Cultura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="003C1CC7" w:rsidRPr="00E13978">
        <w:rPr>
          <w:color w:val="000000" w:themeColor="text1"/>
          <w:sz w:val="22"/>
          <w:szCs w:val="22"/>
          <w:lang w:val="pt-BR"/>
        </w:rPr>
        <w:t>Promoção e Proteção das Expressões Culturais no Âmbito Local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="003C1CC7" w:rsidRPr="00E13978">
        <w:rPr>
          <w:color w:val="000000" w:themeColor="text1"/>
          <w:sz w:val="22"/>
          <w:szCs w:val="22"/>
          <w:lang w:val="pt-BR"/>
        </w:rPr>
        <w:t>Posicionamento do Setor Cultural nas Agendas Públicas para Promover o Desenvolvimento Sustentável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C1CC7"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“Comemora</w:t>
      </w:r>
      <w:r w:rsidR="003C1CC7" w:rsidRPr="00E13978">
        <w:rPr>
          <w:color w:val="000000" w:themeColor="text1"/>
          <w:sz w:val="22"/>
          <w:szCs w:val="22"/>
          <w:lang w:val="pt-BR"/>
        </w:rPr>
        <w:t>ção da Liberdade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="003C1CC7" w:rsidRPr="00E13978">
        <w:rPr>
          <w:color w:val="000000" w:themeColor="text1"/>
          <w:sz w:val="22"/>
          <w:szCs w:val="22"/>
          <w:lang w:val="pt-BR"/>
        </w:rPr>
        <w:t xml:space="preserve">Abolição da Escravidão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1373CB" w:rsidRPr="00E13978">
        <w:rPr>
          <w:color w:val="000000" w:themeColor="text1"/>
          <w:sz w:val="22"/>
          <w:szCs w:val="22"/>
          <w:lang w:val="pt-BR"/>
        </w:rPr>
        <w:t>”</w:t>
      </w:r>
      <w:r w:rsidR="003C1CC7" w:rsidRPr="00E13978">
        <w:rPr>
          <w:color w:val="000000" w:themeColor="text1"/>
          <w:sz w:val="22"/>
          <w:szCs w:val="22"/>
          <w:lang w:val="pt-BR"/>
        </w:rPr>
        <w:t>.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 </w:t>
      </w:r>
    </w:p>
    <w:p w14:paraId="59CAA82C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EA28942" w14:textId="4BA610B5" w:rsidR="001373CB" w:rsidRDefault="006503FB" w:rsidP="00E13978">
      <w:pPr>
        <w:pStyle w:val="ListParagraph"/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Organi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zou a Sexta Reunião Ordinária da Comissão Interamericana de Cultura </w:t>
      </w:r>
      <w:r w:rsidR="001373CB" w:rsidRPr="00E13978">
        <w:rPr>
          <w:color w:val="000000" w:themeColor="text1"/>
          <w:sz w:val="22"/>
          <w:szCs w:val="22"/>
          <w:lang w:val="pt-BR"/>
        </w:rPr>
        <w:t>(CIC)</w:t>
      </w:r>
      <w:r w:rsidR="00412537" w:rsidRPr="00E13978">
        <w:rPr>
          <w:color w:val="000000" w:themeColor="text1"/>
          <w:sz w:val="22"/>
          <w:szCs w:val="22"/>
          <w:lang w:val="pt-BR"/>
        </w:rPr>
        <w:t>, e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m 27 de abril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na qual foram representados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31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Avaliou o progresso e a implementação de mandatos ministeriais e a execução das atividades do Plano de Trabalho da </w:t>
      </w:r>
      <w:r w:rsidR="001373CB" w:rsidRPr="00E13978">
        <w:rPr>
          <w:color w:val="000000" w:themeColor="text1"/>
          <w:sz w:val="22"/>
          <w:szCs w:val="22"/>
          <w:lang w:val="pt-BR"/>
        </w:rPr>
        <w:t>CIC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, e recebeu uma atualização </w:t>
      </w:r>
      <w:r w:rsidR="00412537" w:rsidRPr="00E13978">
        <w:rPr>
          <w:color w:val="000000" w:themeColor="text1"/>
          <w:sz w:val="22"/>
          <w:szCs w:val="22"/>
          <w:lang w:val="pt-BR"/>
        </w:rPr>
        <w:t xml:space="preserve">sobre 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a próxima Reunião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="00865237"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="00865237"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de Ministros e Máximas Autoridades de Cultura, a ser realizada em </w:t>
      </w:r>
      <w:r w:rsidR="001373CB" w:rsidRPr="00E13978">
        <w:rPr>
          <w:color w:val="000000" w:themeColor="text1"/>
          <w:sz w:val="22"/>
          <w:szCs w:val="22"/>
          <w:lang w:val="pt-BR"/>
        </w:rPr>
        <w:t>2022</w:t>
      </w:r>
      <w:r w:rsidR="00865237" w:rsidRPr="00E13978">
        <w:rPr>
          <w:color w:val="000000" w:themeColor="text1"/>
          <w:sz w:val="22"/>
          <w:szCs w:val="22"/>
          <w:lang w:val="pt-BR"/>
        </w:rPr>
        <w:t xml:space="preserve">, sob a liderança da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Guatemala </w:t>
      </w:r>
      <w:r w:rsidR="00865237" w:rsidRPr="00E13978">
        <w:rPr>
          <w:color w:val="000000" w:themeColor="text1"/>
          <w:sz w:val="22"/>
          <w:szCs w:val="22"/>
          <w:lang w:val="pt-BR"/>
        </w:rPr>
        <w:t>como anfitrião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591923A3" w14:textId="77777777" w:rsidR="007A6768" w:rsidRPr="007A6768" w:rsidRDefault="007A6768" w:rsidP="007A6768">
      <w:pPr>
        <w:pStyle w:val="ListParagraph"/>
        <w:ind w:left="0"/>
        <w:rPr>
          <w:color w:val="000000" w:themeColor="text1"/>
          <w:sz w:val="22"/>
          <w:szCs w:val="22"/>
          <w:lang w:val="pt-BR"/>
        </w:rPr>
      </w:pPr>
    </w:p>
    <w:p w14:paraId="476D3005" w14:textId="288198DE" w:rsidR="001373CB" w:rsidRPr="00E13978" w:rsidRDefault="00865237" w:rsidP="007A676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Avançou a execução do projeto Construindo a Resiliência das Pequenas Empresas de Turismo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aos Desastres</w:t>
      </w:r>
      <w:r w:rsidR="00574B07" w:rsidRPr="00E13978">
        <w:rPr>
          <w:color w:val="000000" w:themeColor="text1"/>
          <w:sz w:val="22"/>
          <w:szCs w:val="22"/>
          <w:lang w:val="pt-BR"/>
        </w:rPr>
        <w:t>.</w:t>
      </w:r>
    </w:p>
    <w:p w14:paraId="42D7FE7E" w14:textId="4DAA708E" w:rsidR="001373CB" w:rsidRPr="00E13978" w:rsidRDefault="00865237" w:rsidP="00E13978">
      <w:pPr>
        <w:numPr>
          <w:ilvl w:val="1"/>
          <w:numId w:val="14"/>
        </w:num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Aumentou a capacidade em Preparação e Gestão de Situações de Emergência em nove países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com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23 </w:t>
      </w:r>
      <w:r w:rsidRPr="00E13978">
        <w:rPr>
          <w:color w:val="000000" w:themeColor="text1"/>
          <w:sz w:val="22"/>
          <w:szCs w:val="22"/>
          <w:lang w:val="pt-BR"/>
        </w:rPr>
        <w:t xml:space="preserve">funcionários de gestão de emergências </w:t>
      </w: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concluindo </w:t>
      </w:r>
      <w:r w:rsidR="00A855F7" w:rsidRPr="00E13978">
        <w:rPr>
          <w:color w:val="000000" w:themeColor="text1"/>
          <w:sz w:val="22"/>
          <w:szCs w:val="22"/>
          <w:lang w:val="pt-BR"/>
        </w:rPr>
        <w:t xml:space="preserve">o curso de </w:t>
      </w:r>
      <w:r w:rsidR="00BC7A08" w:rsidRPr="00E13978">
        <w:rPr>
          <w:color w:val="000000" w:themeColor="text1"/>
          <w:sz w:val="22"/>
          <w:szCs w:val="22"/>
          <w:lang w:val="pt-BR"/>
        </w:rPr>
        <w:t>Equipe</w:t>
      </w:r>
      <w:r w:rsidR="00A855F7" w:rsidRPr="00E13978">
        <w:rPr>
          <w:color w:val="000000" w:themeColor="text1"/>
          <w:sz w:val="22"/>
          <w:szCs w:val="22"/>
          <w:lang w:val="pt-BR"/>
        </w:rPr>
        <w:t>s</w:t>
      </w:r>
      <w:r w:rsidR="00BC7A08" w:rsidRPr="00E13978">
        <w:rPr>
          <w:color w:val="000000" w:themeColor="text1"/>
          <w:sz w:val="22"/>
          <w:szCs w:val="22"/>
          <w:lang w:val="pt-BR"/>
        </w:rPr>
        <w:t xml:space="preserve"> Básica</w:t>
      </w:r>
      <w:r w:rsidR="00A855F7" w:rsidRPr="00E13978">
        <w:rPr>
          <w:color w:val="000000" w:themeColor="text1"/>
          <w:sz w:val="22"/>
          <w:szCs w:val="22"/>
          <w:lang w:val="pt-BR"/>
        </w:rPr>
        <w:t>s</w:t>
      </w:r>
      <w:r w:rsidR="00BC7A08" w:rsidRPr="00E13978">
        <w:rPr>
          <w:color w:val="000000" w:themeColor="text1"/>
          <w:sz w:val="22"/>
          <w:szCs w:val="22"/>
          <w:lang w:val="pt-BR"/>
        </w:rPr>
        <w:t xml:space="preserve"> de Resposta </w:t>
      </w:r>
      <w:r w:rsidR="00CB48F7" w:rsidRPr="00E13978">
        <w:rPr>
          <w:color w:val="000000" w:themeColor="text1"/>
          <w:sz w:val="22"/>
          <w:szCs w:val="22"/>
          <w:lang w:val="pt-BR"/>
        </w:rPr>
        <w:t>a</w:t>
      </w:r>
      <w:r w:rsidR="00BC7A08" w:rsidRPr="00E13978">
        <w:rPr>
          <w:color w:val="000000" w:themeColor="text1"/>
          <w:sz w:val="22"/>
          <w:szCs w:val="22"/>
          <w:lang w:val="pt-BR"/>
        </w:rPr>
        <w:t xml:space="preserve"> Emergências Comunitárias </w:t>
      </w:r>
      <w:r w:rsidR="001373CB" w:rsidRPr="00E13978">
        <w:rPr>
          <w:color w:val="000000" w:themeColor="text1"/>
          <w:sz w:val="22"/>
          <w:szCs w:val="22"/>
          <w:lang w:val="pt-BR"/>
        </w:rPr>
        <w:t>(CERT).</w:t>
      </w:r>
    </w:p>
    <w:p w14:paraId="734AF6F8" w14:textId="4317AC26" w:rsidR="001373CB" w:rsidRPr="00E13978" w:rsidRDefault="00BC7A08" w:rsidP="00E13978">
      <w:pPr>
        <w:numPr>
          <w:ilvl w:val="1"/>
          <w:numId w:val="14"/>
        </w:num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com a Associação de Hotéis e Turismo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color w:val="000000" w:themeColor="text1"/>
          <w:sz w:val="22"/>
          <w:szCs w:val="22"/>
          <w:lang w:val="pt-BR"/>
        </w:rPr>
        <w:t>(CHTA)</w:t>
      </w:r>
      <w:r w:rsidRPr="00E13978">
        <w:rPr>
          <w:color w:val="000000" w:themeColor="text1"/>
          <w:sz w:val="22"/>
          <w:szCs w:val="22"/>
          <w:lang w:val="pt-BR"/>
        </w:rPr>
        <w:t>, realizou uma Avaliação de Desafios da Co</w:t>
      </w:r>
      <w:r w:rsidR="00574B07" w:rsidRPr="00E13978">
        <w:rPr>
          <w:color w:val="000000" w:themeColor="text1"/>
          <w:sz w:val="22"/>
          <w:szCs w:val="22"/>
          <w:lang w:val="pt-BR"/>
        </w:rPr>
        <w:t>n</w:t>
      </w:r>
      <w:r w:rsidRPr="00E13978">
        <w:rPr>
          <w:color w:val="000000" w:themeColor="text1"/>
          <w:sz w:val="22"/>
          <w:szCs w:val="22"/>
          <w:lang w:val="pt-BR"/>
        </w:rPr>
        <w:t xml:space="preserve">tinuidade Comercial das Pequenas Empresas de Turismo </w:t>
      </w:r>
      <w:r w:rsidR="00574B07" w:rsidRPr="00E13978">
        <w:rPr>
          <w:color w:val="000000" w:themeColor="text1"/>
          <w:sz w:val="22"/>
          <w:szCs w:val="22"/>
          <w:lang w:val="pt-BR"/>
        </w:rPr>
        <w:t xml:space="preserve">Pós-Desastre </w:t>
      </w:r>
      <w:r w:rsidR="001373CB" w:rsidRPr="00E13978">
        <w:rPr>
          <w:color w:val="000000" w:themeColor="text1"/>
          <w:sz w:val="22"/>
          <w:szCs w:val="22"/>
          <w:lang w:val="pt-BR"/>
        </w:rPr>
        <w:t>(STEs</w:t>
      </w:r>
      <w:r w:rsidR="003064FC" w:rsidRPr="00E13978">
        <w:rPr>
          <w:color w:val="000000" w:themeColor="text1"/>
          <w:sz w:val="22"/>
          <w:szCs w:val="22"/>
          <w:lang w:val="pt-BR"/>
        </w:rPr>
        <w:t>)</w:t>
      </w:r>
      <w:r w:rsidRPr="00E13978">
        <w:rPr>
          <w:color w:val="000000" w:themeColor="text1"/>
          <w:sz w:val="22"/>
          <w:szCs w:val="22"/>
          <w:lang w:val="pt-BR"/>
        </w:rPr>
        <w:t xml:space="preserve"> e validou as conclusõ</w:t>
      </w:r>
      <w:r w:rsidR="00574B07" w:rsidRPr="00E13978">
        <w:rPr>
          <w:color w:val="000000" w:themeColor="text1"/>
          <w:sz w:val="22"/>
          <w:szCs w:val="22"/>
          <w:lang w:val="pt-BR"/>
        </w:rPr>
        <w:t>e</w:t>
      </w:r>
      <w:r w:rsidRPr="00E13978">
        <w:rPr>
          <w:color w:val="000000" w:themeColor="text1"/>
          <w:sz w:val="22"/>
          <w:szCs w:val="22"/>
          <w:lang w:val="pt-BR"/>
        </w:rPr>
        <w:t>s da avaliação</w:t>
      </w:r>
      <w:r w:rsidR="008C5956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por meio de um Fórum de Múltiplos Interessados </w:t>
      </w:r>
      <w:r w:rsidR="00A855F7" w:rsidRPr="00E13978">
        <w:rPr>
          <w:color w:val="000000" w:themeColor="text1"/>
          <w:sz w:val="22"/>
          <w:szCs w:val="22"/>
          <w:lang w:val="pt-BR"/>
        </w:rPr>
        <w:t>com</w:t>
      </w:r>
      <w:r w:rsidRPr="00E13978">
        <w:rPr>
          <w:color w:val="000000" w:themeColor="text1"/>
          <w:sz w:val="22"/>
          <w:szCs w:val="22"/>
          <w:lang w:val="pt-BR"/>
        </w:rPr>
        <w:t xml:space="preserve"> mais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60 </w:t>
      </w:r>
      <w:r w:rsidRPr="00E13978">
        <w:rPr>
          <w:color w:val="000000" w:themeColor="text1"/>
          <w:sz w:val="22"/>
          <w:szCs w:val="22"/>
          <w:lang w:val="pt-BR"/>
        </w:rPr>
        <w:t>participantes da indústria</w:t>
      </w:r>
    </w:p>
    <w:p w14:paraId="1DF18813" w14:textId="13C3C447" w:rsidR="001373CB" w:rsidRPr="00E13978" w:rsidRDefault="00BC7A08" w:rsidP="00E13978">
      <w:pPr>
        <w:numPr>
          <w:ilvl w:val="1"/>
          <w:numId w:val="14"/>
        </w:num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Em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com a Universidade das Índias Ocidentais </w:t>
      </w:r>
      <w:r w:rsidR="001373CB" w:rsidRPr="00E13978">
        <w:rPr>
          <w:color w:val="000000" w:themeColor="text1"/>
          <w:sz w:val="22"/>
          <w:szCs w:val="22"/>
          <w:lang w:val="pt-BR"/>
        </w:rPr>
        <w:t>(UWI)</w:t>
      </w:r>
      <w:r w:rsidRPr="00E13978">
        <w:rPr>
          <w:color w:val="000000" w:themeColor="text1"/>
          <w:sz w:val="22"/>
          <w:szCs w:val="22"/>
          <w:lang w:val="pt-BR"/>
        </w:rPr>
        <w:t xml:space="preserve">, por meio de seu Instituto de Desenvolvimento Sustentável e do Centro de Redução do Risco de Desastres, ministrou treinamento a mais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50 </w:t>
      </w:r>
      <w:r w:rsidRPr="00E13978">
        <w:rPr>
          <w:color w:val="000000" w:themeColor="text1"/>
          <w:sz w:val="22"/>
          <w:szCs w:val="22"/>
          <w:lang w:val="pt-BR"/>
        </w:rPr>
        <w:t xml:space="preserve">proprietários, operadores e pessoal de pequenas empresas de turismo, com vistas a preparar, executar, analisar e atualizar seus planos de contingência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de múltiplos riscos </w:t>
      </w:r>
      <w:r w:rsidRPr="00E13978">
        <w:rPr>
          <w:color w:val="000000" w:themeColor="text1"/>
          <w:sz w:val="22"/>
          <w:szCs w:val="22"/>
          <w:lang w:val="pt-BR"/>
        </w:rPr>
        <w:t xml:space="preserve">para </w:t>
      </w:r>
      <w:r w:rsidR="00F51FD9" w:rsidRPr="00E13978">
        <w:rPr>
          <w:color w:val="000000" w:themeColor="text1"/>
          <w:sz w:val="22"/>
          <w:szCs w:val="22"/>
          <w:lang w:val="pt-BR"/>
        </w:rPr>
        <w:t>a continuidade das empresas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55FDFDAB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BF96EE1" w14:textId="73069364" w:rsidR="001373CB" w:rsidRPr="00E13978" w:rsidRDefault="00F51FD9" w:rsidP="00E1397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Em parceria com o </w:t>
      </w:r>
      <w:r w:rsidRPr="00E13978">
        <w:rPr>
          <w:iCs/>
          <w:color w:val="000000" w:themeColor="text1"/>
          <w:sz w:val="22"/>
          <w:szCs w:val="22"/>
          <w:lang w:val="pt-BR"/>
        </w:rPr>
        <w:t xml:space="preserve">Instituto </w:t>
      </w:r>
      <w:r w:rsidR="00842CE1" w:rsidRPr="00E13978">
        <w:rPr>
          <w:iCs/>
          <w:color w:val="000000" w:themeColor="text1"/>
          <w:sz w:val="22"/>
          <w:szCs w:val="22"/>
          <w:lang w:val="pt-BR"/>
        </w:rPr>
        <w:t xml:space="preserve">Educacional </w:t>
      </w:r>
      <w:r w:rsidRPr="00E13978">
        <w:rPr>
          <w:iCs/>
          <w:color w:val="000000" w:themeColor="text1"/>
          <w:sz w:val="22"/>
          <w:szCs w:val="22"/>
          <w:lang w:val="pt-BR"/>
        </w:rPr>
        <w:t>Americano de Hot</w:t>
      </w:r>
      <w:r w:rsidR="00842CE1" w:rsidRPr="00E13978">
        <w:rPr>
          <w:iCs/>
          <w:color w:val="000000" w:themeColor="text1"/>
          <w:sz w:val="22"/>
          <w:szCs w:val="22"/>
          <w:lang w:val="pt-BR"/>
        </w:rPr>
        <w:t xml:space="preserve">elaria </w:t>
      </w:r>
      <w:r w:rsidRPr="00E13978">
        <w:rPr>
          <w:iCs/>
          <w:color w:val="000000" w:themeColor="text1"/>
          <w:sz w:val="22"/>
          <w:szCs w:val="22"/>
          <w:lang w:val="pt-BR"/>
        </w:rPr>
        <w:t>e Alojamento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compartilhou novos programas voltados para a indústria e baseados em competências para instituições vocacionais com empresas de hospitalidade e turismo e governos, a fim de abordar os desafios do mercado de trabalho e as lacunas de competência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7B1F5479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BF8A2A2" w14:textId="5E5A0FDC" w:rsidR="001373CB" w:rsidRPr="00E13978" w:rsidRDefault="00F51FD9" w:rsidP="00E1397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bookmarkStart w:id="10" w:name="_Hlk87249921"/>
      <w:r w:rsidRPr="00E13978">
        <w:rPr>
          <w:color w:val="000000" w:themeColor="text1"/>
          <w:sz w:val="22"/>
          <w:szCs w:val="22"/>
          <w:lang w:val="pt-BR"/>
        </w:rPr>
        <w:t>Em parceria com 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45226C" w:rsidRPr="00E13978">
        <w:rPr>
          <w:color w:val="000000" w:themeColor="text1"/>
          <w:sz w:val="22"/>
          <w:szCs w:val="22"/>
          <w:lang w:val="pt-BR"/>
        </w:rPr>
        <w:t xml:space="preserve">Departamento </w:t>
      </w:r>
      <w:r w:rsidRPr="00E13978">
        <w:rPr>
          <w:color w:val="000000" w:themeColor="text1"/>
          <w:sz w:val="22"/>
          <w:szCs w:val="22"/>
          <w:lang w:val="pt-BR"/>
        </w:rPr>
        <w:t xml:space="preserve">do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Interior </w:t>
      </w:r>
      <w:r w:rsidRPr="00E13978">
        <w:rPr>
          <w:color w:val="000000" w:themeColor="text1"/>
          <w:sz w:val="22"/>
          <w:szCs w:val="22"/>
          <w:lang w:val="pt-BR"/>
        </w:rPr>
        <w:t xml:space="preserve">dos Estados Unidos e o Instituto Internacional de Estudos do Turismo da Universidade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George Washington, </w:t>
      </w:r>
      <w:r w:rsidRPr="00E13978">
        <w:rPr>
          <w:color w:val="000000" w:themeColor="text1"/>
          <w:sz w:val="22"/>
          <w:szCs w:val="22"/>
          <w:lang w:val="pt-BR"/>
        </w:rPr>
        <w:t xml:space="preserve">criou o </w:t>
      </w:r>
      <w:r w:rsidR="00842CE1" w:rsidRPr="00E13978">
        <w:rPr>
          <w:color w:val="000000" w:themeColor="text1"/>
          <w:sz w:val="22"/>
          <w:szCs w:val="22"/>
          <w:lang w:val="pt-BR"/>
        </w:rPr>
        <w:t xml:space="preserve">Colaborativo de </w:t>
      </w:r>
      <w:r w:rsidRPr="00E13978">
        <w:rPr>
          <w:color w:val="000000" w:themeColor="text1"/>
          <w:sz w:val="22"/>
          <w:szCs w:val="22"/>
          <w:lang w:val="pt-BR"/>
        </w:rPr>
        <w:t xml:space="preserve">Turismo Indígena das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 xml:space="preserve">, mediante dois eventos de lançamento realizados no Vigésimo Quinto Congresso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Pr="00E13978">
        <w:rPr>
          <w:color w:val="000000" w:themeColor="text1"/>
          <w:sz w:val="22"/>
          <w:szCs w:val="22"/>
          <w:lang w:val="pt-BR"/>
        </w:rPr>
        <w:t xml:space="preserve">o de Ministros e Altas Autoridades de Turismo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6 de outubro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Pr="00E13978">
        <w:rPr>
          <w:color w:val="000000" w:themeColor="text1"/>
          <w:sz w:val="22"/>
          <w:szCs w:val="22"/>
          <w:lang w:val="pt-BR"/>
        </w:rPr>
        <w:t xml:space="preserve">e no Dia dos Povos Indígenas </w:t>
      </w:r>
      <w:r w:rsidR="001373CB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11 de outubro</w:t>
      </w:r>
      <w:r w:rsidR="001373CB" w:rsidRPr="00E13978">
        <w:rPr>
          <w:color w:val="000000" w:themeColor="text1"/>
          <w:sz w:val="22"/>
          <w:szCs w:val="22"/>
          <w:lang w:val="pt-BR"/>
        </w:rPr>
        <w:t>), respectiv</w:t>
      </w:r>
      <w:r w:rsidRPr="00E13978">
        <w:rPr>
          <w:color w:val="000000" w:themeColor="text1"/>
          <w:sz w:val="22"/>
          <w:szCs w:val="22"/>
          <w:lang w:val="pt-BR"/>
        </w:rPr>
        <w:t>amente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4564D747" w14:textId="72B8264F" w:rsidR="001373CB" w:rsidRPr="00E13978" w:rsidRDefault="00F51FD9" w:rsidP="00E13978">
      <w:pPr>
        <w:numPr>
          <w:ilvl w:val="1"/>
          <w:numId w:val="5"/>
        </w:numPr>
        <w:suppressAutoHyphens/>
        <w:ind w:left="180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1373CB" w:rsidRPr="00E13978">
        <w:rPr>
          <w:color w:val="000000" w:themeColor="text1"/>
          <w:sz w:val="22"/>
          <w:szCs w:val="22"/>
          <w:lang w:val="pt-BR"/>
        </w:rPr>
        <w:t>Colaborativ</w:t>
      </w:r>
      <w:r w:rsidRPr="00E13978">
        <w:rPr>
          <w:color w:val="000000" w:themeColor="text1"/>
          <w:sz w:val="22"/>
          <w:szCs w:val="22"/>
          <w:lang w:val="pt-BR"/>
        </w:rPr>
        <w:t xml:space="preserve">o é uma rede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100 </w:t>
      </w:r>
      <w:r w:rsidRPr="00E13978">
        <w:rPr>
          <w:color w:val="000000" w:themeColor="text1"/>
          <w:sz w:val="22"/>
          <w:szCs w:val="22"/>
          <w:lang w:val="pt-BR"/>
        </w:rPr>
        <w:t xml:space="preserve">líderes indígenas e organizações da indústria do turismo em toda a </w:t>
      </w:r>
      <w:r w:rsidR="004D733A" w:rsidRPr="00E13978">
        <w:rPr>
          <w:color w:val="000000" w:themeColor="text1"/>
          <w:sz w:val="22"/>
          <w:szCs w:val="22"/>
          <w:lang w:val="pt-BR"/>
        </w:rPr>
        <w:t>América</w:t>
      </w:r>
      <w:r w:rsidRPr="00E13978">
        <w:rPr>
          <w:color w:val="000000" w:themeColor="text1"/>
          <w:sz w:val="22"/>
          <w:szCs w:val="22"/>
          <w:lang w:val="pt-BR"/>
        </w:rPr>
        <w:t xml:space="preserve">, para intercambiar ideias e experiências e promover o diálogo para impulsionar a ação colaborativa em apoio ao desenvolvimento sustentável e ao crescimento nas comunidades indígenas em toda a </w:t>
      </w:r>
      <w:r w:rsidR="004D733A" w:rsidRPr="00E13978">
        <w:rPr>
          <w:color w:val="000000" w:themeColor="text1"/>
          <w:sz w:val="22"/>
          <w:szCs w:val="22"/>
          <w:lang w:val="pt-BR"/>
        </w:rPr>
        <w:t>América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As prioridades atuais do Colaborativo são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: 1) </w:t>
      </w:r>
      <w:r w:rsidRPr="00E13978">
        <w:rPr>
          <w:color w:val="000000" w:themeColor="text1"/>
          <w:sz w:val="22"/>
          <w:szCs w:val="22"/>
          <w:lang w:val="pt-BR"/>
        </w:rPr>
        <w:t>Recuperação da c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ovid-19; 2) </w:t>
      </w:r>
      <w:r w:rsidRPr="00E13978">
        <w:rPr>
          <w:color w:val="000000" w:themeColor="text1"/>
          <w:sz w:val="22"/>
          <w:szCs w:val="22"/>
          <w:lang w:val="pt-BR"/>
        </w:rPr>
        <w:t>Capacitação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Sustentabilidade e Tecnologia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3) </w:t>
      </w:r>
      <w:r w:rsidRPr="00E13978">
        <w:rPr>
          <w:color w:val="000000" w:themeColor="text1"/>
          <w:sz w:val="22"/>
          <w:szCs w:val="22"/>
          <w:lang w:val="pt-BR"/>
        </w:rPr>
        <w:t>Respeito, Representação e Inclusão no Governo e no Planejamento e Desenvolvimento da Indústria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48A3A8BE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98D54B8" w14:textId="03E2B6CC" w:rsidR="001373CB" w:rsidRPr="00E13978" w:rsidRDefault="006503FB" w:rsidP="00E1397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Organiz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ou a Terceira e a Quarta Reuniões Especiais da Comissão Interamericana de Turismo </w:t>
      </w:r>
      <w:r w:rsidR="001373CB" w:rsidRPr="00E13978">
        <w:rPr>
          <w:color w:val="000000" w:themeColor="text1"/>
          <w:sz w:val="22"/>
          <w:szCs w:val="22"/>
          <w:lang w:val="pt-BR"/>
        </w:rPr>
        <w:t>(CITUR)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, em 26 de março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e 28 de junho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com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30 </w:t>
      </w:r>
      <w:r w:rsidR="00F51FD9" w:rsidRPr="00E13978">
        <w:rPr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22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Estados membros participantes, respectivamente, a fim de a eles oferecer um fórum para analisar o progresso alcançado pelos Grupos de Trabalho da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CITUR,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discutir medidas para abordar o impacto da pandemia e revitalizar o setor de viagens e turismo, bem como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definir a preparação </w:t>
      </w:r>
      <w:r w:rsidR="00F51FD9" w:rsidRPr="00E13978">
        <w:rPr>
          <w:color w:val="000000" w:themeColor="text1"/>
          <w:sz w:val="22"/>
          <w:szCs w:val="22"/>
          <w:lang w:val="pt-BR"/>
        </w:rPr>
        <w:t xml:space="preserve">para o período </w:t>
      </w:r>
      <w:r w:rsidR="001373CB" w:rsidRPr="00E13978">
        <w:rPr>
          <w:color w:val="000000" w:themeColor="text1"/>
          <w:sz w:val="22"/>
          <w:szCs w:val="22"/>
          <w:lang w:val="pt-BR"/>
        </w:rPr>
        <w:t>p</w:t>
      </w:r>
      <w:r w:rsidR="00F51FD9" w:rsidRPr="00E13978">
        <w:rPr>
          <w:color w:val="000000" w:themeColor="text1"/>
          <w:sz w:val="22"/>
          <w:szCs w:val="22"/>
          <w:lang w:val="pt-BR"/>
        </w:rPr>
        <w:t>ó</w:t>
      </w:r>
      <w:r w:rsidR="001373CB" w:rsidRPr="00E13978">
        <w:rPr>
          <w:color w:val="000000" w:themeColor="text1"/>
          <w:sz w:val="22"/>
          <w:szCs w:val="22"/>
          <w:lang w:val="pt-BR"/>
        </w:rPr>
        <w:t>s-</w:t>
      </w:r>
      <w:r w:rsidR="00B17295" w:rsidRPr="00E13978">
        <w:rPr>
          <w:color w:val="000000" w:themeColor="text1"/>
          <w:sz w:val="22"/>
          <w:szCs w:val="22"/>
          <w:lang w:val="pt-BR"/>
        </w:rPr>
        <w:t>pandemia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4DF7EC90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B3B225C" w14:textId="4DCC3846" w:rsidR="001373CB" w:rsidRPr="00E13978" w:rsidRDefault="006503FB" w:rsidP="00E1397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Organiz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ou o Vigésimo Quinto Congresso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="00366989"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="00366989" w:rsidRPr="00E13978">
        <w:rPr>
          <w:color w:val="000000" w:themeColor="text1"/>
          <w:sz w:val="22"/>
          <w:szCs w:val="22"/>
          <w:lang w:val="pt-BR"/>
        </w:rPr>
        <w:t>o de Ministros e Altas Autoridades de Turismo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4E0017" w:rsidRPr="00E13978">
        <w:rPr>
          <w:color w:val="000000" w:themeColor="text1"/>
          <w:sz w:val="22"/>
          <w:szCs w:val="22"/>
          <w:lang w:val="pt-BR"/>
        </w:rPr>
        <w:t>realizad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4E0017" w:rsidRPr="00E13978">
        <w:rPr>
          <w:color w:val="000000" w:themeColor="text1"/>
          <w:sz w:val="22"/>
          <w:szCs w:val="22"/>
          <w:lang w:val="pt-BR"/>
        </w:rPr>
        <w:t xml:space="preserve">virtualmente </w:t>
      </w:r>
      <w:r w:rsidR="00366989" w:rsidRPr="00E13978">
        <w:rPr>
          <w:color w:val="000000" w:themeColor="text1"/>
          <w:sz w:val="22"/>
          <w:szCs w:val="22"/>
          <w:lang w:val="pt-BR"/>
        </w:rPr>
        <w:t>e</w:t>
      </w:r>
      <w:r w:rsidR="00842CE1" w:rsidRPr="00E13978">
        <w:rPr>
          <w:color w:val="000000" w:themeColor="text1"/>
          <w:sz w:val="22"/>
          <w:szCs w:val="22"/>
          <w:lang w:val="pt-BR"/>
        </w:rPr>
        <w:t>m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 6 de outubro 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2021,</w:t>
      </w:r>
      <w:r w:rsidR="00986457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que aprovou a Declaração do Paraguai sobre o tema da reunião </w:t>
      </w:r>
      <w:r w:rsidR="001373CB" w:rsidRPr="00E13978">
        <w:rPr>
          <w:color w:val="000000" w:themeColor="text1"/>
          <w:sz w:val="22"/>
          <w:szCs w:val="22"/>
          <w:lang w:val="pt-BR"/>
        </w:rPr>
        <w:t>“</w:t>
      </w:r>
      <w:r w:rsidR="00366989" w:rsidRPr="00E13978">
        <w:rPr>
          <w:color w:val="000000" w:themeColor="text1"/>
          <w:sz w:val="22"/>
          <w:szCs w:val="22"/>
          <w:lang w:val="pt-BR"/>
        </w:rPr>
        <w:t>Rumo à Reconstrução e à Recuperação do Turismo pós</w:t>
      </w:r>
      <w:r w:rsidR="0049480E" w:rsidRPr="00E13978">
        <w:rPr>
          <w:color w:val="000000" w:themeColor="text1"/>
          <w:sz w:val="22"/>
          <w:szCs w:val="22"/>
          <w:lang w:val="pt-BR"/>
        </w:rPr>
        <w:t>-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>-</w:t>
      </w:r>
      <w:r w:rsidR="0049480E" w:rsidRPr="00E13978">
        <w:rPr>
          <w:color w:val="000000" w:themeColor="text1"/>
          <w:sz w:val="22"/>
          <w:szCs w:val="22"/>
          <w:lang w:val="pt-BR"/>
        </w:rPr>
        <w:t>1</w:t>
      </w:r>
      <w:r w:rsidR="001373CB" w:rsidRPr="00E13978">
        <w:rPr>
          <w:color w:val="000000" w:themeColor="text1"/>
          <w:sz w:val="22"/>
          <w:szCs w:val="22"/>
          <w:lang w:val="pt-BR"/>
        </w:rPr>
        <w:t>9”</w:t>
      </w:r>
      <w:r w:rsidR="00366989" w:rsidRPr="00E13978">
        <w:rPr>
          <w:color w:val="000000" w:themeColor="text1"/>
          <w:sz w:val="22"/>
          <w:szCs w:val="22"/>
          <w:lang w:val="pt-BR"/>
        </w:rPr>
        <w:t>.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Os Ministros e Altas Autoridades de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30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compartilharam estratégias para reduzir os efeitos adversos da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 </w:t>
      </w:r>
      <w:r w:rsidR="00366989" w:rsidRPr="00E13978">
        <w:rPr>
          <w:color w:val="000000" w:themeColor="text1"/>
          <w:sz w:val="22"/>
          <w:szCs w:val="22"/>
          <w:lang w:val="pt-BR"/>
        </w:rPr>
        <w:t>no turismo e suas iniciativas relacionadas ao turismo pós-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-19.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1373CB" w:rsidRPr="00E13978">
        <w:rPr>
          <w:color w:val="000000" w:themeColor="text1"/>
          <w:sz w:val="22"/>
          <w:szCs w:val="22"/>
          <w:lang w:val="pt-BR"/>
        </w:rPr>
        <w:t>Congress</w:t>
      </w:r>
      <w:r w:rsidR="00366989" w:rsidRPr="00E13978">
        <w:rPr>
          <w:color w:val="000000" w:themeColor="text1"/>
          <w:sz w:val="22"/>
          <w:szCs w:val="22"/>
          <w:lang w:val="pt-BR"/>
        </w:rPr>
        <w:t>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aceitou o oferecimento de sede do </w:t>
      </w:r>
      <w:r w:rsidR="001373CB" w:rsidRPr="00E13978">
        <w:rPr>
          <w:color w:val="000000" w:themeColor="text1"/>
          <w:sz w:val="22"/>
          <w:szCs w:val="22"/>
          <w:lang w:val="pt-BR"/>
        </w:rPr>
        <w:t>E</w:t>
      </w:r>
      <w:r w:rsidR="00366989" w:rsidRPr="00E13978">
        <w:rPr>
          <w:color w:val="000000" w:themeColor="text1"/>
          <w:sz w:val="22"/>
          <w:szCs w:val="22"/>
          <w:lang w:val="pt-BR"/>
        </w:rPr>
        <w:t>q</w:t>
      </w:r>
      <w:r w:rsidR="001373CB" w:rsidRPr="00E13978">
        <w:rPr>
          <w:color w:val="000000" w:themeColor="text1"/>
          <w:sz w:val="22"/>
          <w:szCs w:val="22"/>
          <w:lang w:val="pt-BR"/>
        </w:rPr>
        <w:t>uador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 para o Vigésimo Sexto Congresso </w:t>
      </w:r>
      <w:r w:rsidR="001373CB" w:rsidRPr="00E13978">
        <w:rPr>
          <w:color w:val="000000" w:themeColor="text1"/>
          <w:sz w:val="22"/>
          <w:szCs w:val="22"/>
          <w:lang w:val="pt-BR"/>
        </w:rPr>
        <w:t>Inter</w:t>
      </w:r>
      <w:r w:rsidR="00366989" w:rsidRPr="00E13978">
        <w:rPr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color w:val="000000" w:themeColor="text1"/>
          <w:sz w:val="22"/>
          <w:szCs w:val="22"/>
          <w:lang w:val="pt-BR"/>
        </w:rPr>
        <w:t>merican</w:t>
      </w:r>
      <w:r w:rsidR="00366989" w:rsidRPr="00E13978">
        <w:rPr>
          <w:color w:val="000000" w:themeColor="text1"/>
          <w:sz w:val="22"/>
          <w:szCs w:val="22"/>
          <w:lang w:val="pt-BR"/>
        </w:rPr>
        <w:t xml:space="preserve">o de Ministros e Altas Autoridades de Turismo, em </w:t>
      </w:r>
      <w:r w:rsidR="001373CB" w:rsidRPr="00E13978">
        <w:rPr>
          <w:color w:val="000000" w:themeColor="text1"/>
          <w:sz w:val="22"/>
          <w:szCs w:val="22"/>
          <w:lang w:val="pt-BR"/>
        </w:rPr>
        <w:t>2024.</w:t>
      </w:r>
    </w:p>
    <w:p w14:paraId="66A1F94A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EE56BDD" w14:textId="6A8C7EF8" w:rsidR="001373CB" w:rsidRPr="00E13978" w:rsidRDefault="00366989" w:rsidP="00E13978">
      <w:pPr>
        <w:numPr>
          <w:ilvl w:val="0"/>
          <w:numId w:val="5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Compartilhou com o Banco Interamericano de Desenvolvimento e a Organização Mundial do Turismo, das Nações Unidas </w:t>
      </w:r>
      <w:r w:rsidR="001373CB" w:rsidRPr="00E13978">
        <w:rPr>
          <w:color w:val="000000" w:themeColor="text1"/>
          <w:sz w:val="22"/>
          <w:szCs w:val="22"/>
          <w:lang w:val="pt-BR"/>
        </w:rPr>
        <w:t>(UNWTO)</w:t>
      </w:r>
      <w:r w:rsidR="0049480E" w:rsidRPr="00E13978">
        <w:rPr>
          <w:color w:val="000000" w:themeColor="text1"/>
          <w:sz w:val="22"/>
          <w:szCs w:val="22"/>
          <w:lang w:val="pt-BR"/>
        </w:rPr>
        <w:t>,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o apoio aos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em assuntos relacionados a </w:t>
      </w:r>
      <w:r w:rsidR="001373CB" w:rsidRPr="00E13978">
        <w:rPr>
          <w:color w:val="000000" w:themeColor="text1"/>
          <w:sz w:val="22"/>
          <w:szCs w:val="22"/>
          <w:lang w:val="pt-BR"/>
        </w:rPr>
        <w:t>"</w:t>
      </w:r>
      <w:r w:rsidRPr="00E13978">
        <w:rPr>
          <w:color w:val="000000" w:themeColor="text1"/>
          <w:sz w:val="22"/>
          <w:szCs w:val="22"/>
          <w:lang w:val="pt-BR"/>
        </w:rPr>
        <w:t>Protocolos de biossegurança para o setor de turismo</w:t>
      </w:r>
      <w:r w:rsidR="001373CB" w:rsidRPr="00E13978">
        <w:rPr>
          <w:color w:val="000000" w:themeColor="text1"/>
          <w:sz w:val="22"/>
          <w:szCs w:val="22"/>
          <w:lang w:val="pt-BR"/>
        </w:rPr>
        <w:t>”</w:t>
      </w:r>
      <w:r w:rsidRPr="00E13978">
        <w:rPr>
          <w:color w:val="000000" w:themeColor="text1"/>
          <w:sz w:val="22"/>
          <w:szCs w:val="22"/>
          <w:lang w:val="pt-BR"/>
        </w:rPr>
        <w:t>, inclusive o desenvolvimento de uma série de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recomendações regionais que orientam a formulação, a implementação e, acima de tudo, a atualização dos protocolos de biossegurança em hospitalidade, transporte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local, </w:t>
      </w:r>
      <w:r w:rsidRPr="00E13978">
        <w:rPr>
          <w:color w:val="000000" w:themeColor="text1"/>
          <w:sz w:val="22"/>
          <w:szCs w:val="22"/>
          <w:lang w:val="pt-BR"/>
        </w:rPr>
        <w:t>aeroportos, portos e praias, em conformidade com as diretrizes das mais recentes evidências científicas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  <w:bookmarkEnd w:id="10"/>
    </w:p>
    <w:p w14:paraId="189FEB2A" w14:textId="77777777" w:rsidR="001373CB" w:rsidRPr="00E13978" w:rsidRDefault="001373CB" w:rsidP="00E13978">
      <w:pPr>
        <w:suppressAutoHyphens/>
        <w:rPr>
          <w:color w:val="000000" w:themeColor="text1"/>
          <w:sz w:val="22"/>
          <w:szCs w:val="22"/>
          <w:lang w:val="pt-BR"/>
        </w:rPr>
      </w:pPr>
      <w:bookmarkStart w:id="11" w:name="_Toc353953882"/>
    </w:p>
    <w:p w14:paraId="0227C286" w14:textId="548277E7" w:rsidR="0039425D" w:rsidRPr="00E13978" w:rsidRDefault="004D733A" w:rsidP="00E13978">
      <w:pPr>
        <w:pStyle w:val="NoSpacing"/>
        <w:suppressAutoHyphens/>
        <w:jc w:val="both"/>
        <w:rPr>
          <w:rFonts w:ascii="Times New Roman" w:hAnsi="Times New Roman"/>
          <w:b/>
          <w:bCs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Secretaria</w:t>
      </w:r>
      <w:r w:rsidR="00586E61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 </w:t>
      </w:r>
      <w:r w:rsidR="00366989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da Comissão Interamericana de Portos </w:t>
      </w:r>
      <w:r w:rsidR="0039425D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(CIP)</w:t>
      </w:r>
    </w:p>
    <w:p w14:paraId="1B22E0F8" w14:textId="4F86C070" w:rsidR="0039425D" w:rsidRPr="00E13978" w:rsidRDefault="0039425D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Organiz</w:t>
      </w:r>
      <w:r w:rsidR="00366989" w:rsidRPr="00E13978">
        <w:rPr>
          <w:rFonts w:ascii="Times New Roman" w:hAnsi="Times New Roman"/>
          <w:iCs/>
          <w:color w:val="000000" w:themeColor="text1"/>
          <w:lang w:val="pt-BR"/>
        </w:rPr>
        <w:t xml:space="preserve">ou a Décima Segunda Reunião Ordinária da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CIP</w:t>
      </w:r>
      <w:r w:rsidR="00366989" w:rsidRPr="00E13978">
        <w:rPr>
          <w:rFonts w:ascii="Times New Roman" w:hAnsi="Times New Roman"/>
          <w:iCs/>
          <w:color w:val="000000" w:themeColor="text1"/>
          <w:lang w:val="pt-BR"/>
        </w:rPr>
        <w:t xml:space="preserve"> e a Vigésima Primeira Reunião de s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eu Comitê Executivo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(CECIP)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4E0017" w:rsidRPr="00E13978">
        <w:rPr>
          <w:rFonts w:ascii="Times New Roman" w:hAnsi="Times New Roman"/>
          <w:iCs/>
          <w:color w:val="000000" w:themeColor="text1"/>
          <w:lang w:val="pt-BR"/>
        </w:rPr>
        <w:t xml:space="preserve">realizadas virtualmente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em 19 de maio 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2021.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No decorrer da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>s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 reuniões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foram aprovadas a Resolução 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Buenos Aires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e o correspondente Plano de Ação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2021-2023,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o orçamento operacional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2021-2022,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os relatórios de atividades dos seis Grupos de Assessoramento Técnico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(TAGs)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e da Secretaria da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CIP.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Também no decorrer da reunião foram eleitas as novas Autoridades do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CECIP.</w:t>
      </w:r>
    </w:p>
    <w:p w14:paraId="241D5087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13A71AFF" w14:textId="52C01768" w:rsidR="0039425D" w:rsidRPr="00E13978" w:rsidRDefault="0039425D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De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senvolveu o Guia Verde para os Portos, em inglês e espanhol, que oferece recomendações práticas sobre como operar um porto de maneira ambientalmente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 xml:space="preserve"> sustentável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, por meio de relatórios de sustentabilidade e orientação sobre como obter uma certificação de porto verde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0CC354D9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3C9AC2C1" w14:textId="311A362F" w:rsidR="0039425D" w:rsidRPr="00E13978" w:rsidRDefault="0039425D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Publi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cou e divulgou a mais recente edição da Revista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CIP (Volume 31)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sobre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“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Ferramentas tecnológicas aplicadas à nova governança dos portos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”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que oferece análises de peritos sobre governança dos portos, especificamente durante a pandemia de </w:t>
      </w:r>
      <w:r w:rsidR="00883E86" w:rsidRPr="00E13978">
        <w:rPr>
          <w:rFonts w:ascii="Times New Roman" w:hAnsi="Times New Roman"/>
          <w:iCs/>
          <w:color w:val="000000" w:themeColor="text1"/>
          <w:lang w:val="pt-BR"/>
        </w:rPr>
        <w:t>covid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-19,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legislação portuária 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PCS,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>entre outros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182E2940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3DF14C80" w14:textId="3ADC4666" w:rsidR="0039425D" w:rsidRPr="00E13978" w:rsidRDefault="0039425D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Publi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cou e divulgou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12 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edições do boletim mensal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“CIP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 xml:space="preserve"> Highlights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”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, que inclui 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>notícias</w:t>
      </w:r>
      <w:r w:rsidR="00D353B0" w:rsidRPr="00E13978">
        <w:rPr>
          <w:rFonts w:ascii="Times New Roman" w:hAnsi="Times New Roman"/>
          <w:iCs/>
          <w:color w:val="000000" w:themeColor="text1"/>
          <w:lang w:val="pt-BR"/>
        </w:rPr>
        <w:t xml:space="preserve">, eventos, publicações e artigos pertinentes para a Comunidade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CIP.</w:t>
      </w:r>
    </w:p>
    <w:p w14:paraId="6D109294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2FD42DEE" w14:textId="2F8596D0" w:rsidR="0039425D" w:rsidRPr="00E13978" w:rsidRDefault="00231F66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Publicou e divulgou a Sétima Edição do Boletim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sobre Responsabilidade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Social,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Igualdade de Gênero e Empoderamento da Mulher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criado pela Autoridade Portuária Nacional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(APN)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do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Peru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, na qualidade de Presidente do Grupo Técnico Assessor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(TAG)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nos mencionados temas, com importantes contribuições da comunidade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CIP.</w:t>
      </w:r>
    </w:p>
    <w:p w14:paraId="79F2C82B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71F6091D" w14:textId="0FFEC286" w:rsidR="0039425D" w:rsidRPr="00E13978" w:rsidRDefault="0049480E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Administrou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 a atualização do Portal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CIP, 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ferramenta útil para as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34 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Autoridades Portuárias Nacionais e o setor privado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(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>Membros Associados e Parceiros Estratégicos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). 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O Portal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CIP Portal 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tinha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16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 mil usuários, o que representa um aumento 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45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5% </w:t>
      </w:r>
      <w:r w:rsidR="00231F66" w:rsidRPr="00E13978">
        <w:rPr>
          <w:rFonts w:ascii="Times New Roman" w:hAnsi="Times New Roman"/>
          <w:iCs/>
          <w:color w:val="000000" w:themeColor="text1"/>
          <w:lang w:val="pt-BR"/>
        </w:rPr>
        <w:t xml:space="preserve">no tráfego, em comparação com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2020. </w:t>
      </w:r>
    </w:p>
    <w:p w14:paraId="06C8822B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55365CFF" w14:textId="3BE68B23" w:rsidR="0039425D" w:rsidRPr="00E13978" w:rsidRDefault="00231F66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Apoiou a C</w:t>
      </w:r>
      <w:r w:rsidR="001B11E8" w:rsidRPr="00E13978">
        <w:rPr>
          <w:rFonts w:ascii="Times New Roman" w:hAnsi="Times New Roman"/>
          <w:iCs/>
          <w:color w:val="000000" w:themeColor="text1"/>
          <w:lang w:val="pt-BR"/>
        </w:rPr>
        <w:t xml:space="preserve">IP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na concessão de quatro Prêmios Marítimos das </w:t>
      </w:r>
      <w:r w:rsidR="004D733A" w:rsidRPr="00E13978">
        <w:rPr>
          <w:rFonts w:ascii="Times New Roman" w:hAnsi="Times New Roman"/>
          <w:iCs/>
          <w:color w:val="000000" w:themeColor="text1"/>
          <w:lang w:val="pt-BR"/>
        </w:rPr>
        <w:t>Américas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 três menções </w:t>
      </w:r>
      <w:r w:rsidR="0049480E" w:rsidRPr="00E13978">
        <w:rPr>
          <w:rFonts w:ascii="Times New Roman" w:hAnsi="Times New Roman"/>
          <w:iCs/>
          <w:color w:val="000000" w:themeColor="text1"/>
          <w:lang w:val="pt-BR"/>
        </w:rPr>
        <w:t>honrosas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a instituições públicas e privadas do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E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q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uador, Jamaica, </w:t>
      </w:r>
      <w:r w:rsidR="004E0017" w:rsidRPr="00E13978">
        <w:rPr>
          <w:rFonts w:ascii="Times New Roman" w:hAnsi="Times New Roman"/>
          <w:iCs/>
          <w:color w:val="000000" w:themeColor="text1"/>
          <w:lang w:val="pt-BR"/>
        </w:rPr>
        <w:t>México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Peru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e Estados Unidos por práticas notáveis nas seguintes categorias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: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Relação Porto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–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Cidade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Gestão do Risco de Desastres em Portos 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>e/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ou Terminais,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Digit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alização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, Automa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ção e Transformação Tecnológica e Mulheres Ilustres no Setor Portuário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219A9761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42AE1790" w14:textId="5B1E8642" w:rsidR="0039425D" w:rsidRPr="00E13978" w:rsidRDefault="00231F66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lastRenderedPageBreak/>
        <w:t>Apoiou a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1B11E8" w:rsidRPr="00E13978">
        <w:rPr>
          <w:rFonts w:ascii="Times New Roman" w:hAnsi="Times New Roman"/>
          <w:iCs/>
          <w:color w:val="000000" w:themeColor="text1"/>
          <w:lang w:val="pt-BR"/>
        </w:rPr>
        <w:t xml:space="preserve">CIP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na concessão de quatro Prêmios de Excelência na Indústria Portuária, em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colaboração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com a Associação Americana de Autoridades Portuárias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(AAPA),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a instituições públicas e privadas do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Bra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il,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Colômbia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Jamaica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Peru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p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 xml:space="preserve">elas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bem-sucedidas práticas nas categorias de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: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Parcerias Público-Privadas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Desenvolvimento de Infraestrutura Portuária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F35924" w:rsidRPr="00E13978">
        <w:rPr>
          <w:rFonts w:ascii="Times New Roman" w:hAnsi="Times New Roman"/>
          <w:iCs/>
          <w:color w:val="000000" w:themeColor="text1"/>
          <w:lang w:val="pt-BR"/>
        </w:rPr>
        <w:t xml:space="preserve">Resposta à pandemia de </w:t>
      </w:r>
      <w:r w:rsidR="00883E86" w:rsidRPr="00E13978">
        <w:rPr>
          <w:rFonts w:ascii="Times New Roman" w:hAnsi="Times New Roman"/>
          <w:iCs/>
          <w:color w:val="000000" w:themeColor="text1"/>
          <w:lang w:val="pt-BR"/>
        </w:rPr>
        <w:t>covid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-19 </w:t>
      </w:r>
      <w:r w:rsidR="00F35924" w:rsidRPr="00E13978">
        <w:rPr>
          <w:rFonts w:ascii="Times New Roman" w:hAnsi="Times New Roman"/>
          <w:iCs/>
          <w:color w:val="000000" w:themeColor="text1"/>
          <w:lang w:val="pt-BR"/>
        </w:rPr>
        <w:t>e Tecnologia e Inovação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2BCAD96A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200372C7" w14:textId="1C0E4D0C" w:rsidR="0039425D" w:rsidRPr="00E13978" w:rsidRDefault="00F35924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Em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colaboração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com a Associação Norte-Americana 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 xml:space="preserve">para 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Proteção 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>d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o Meio Ambiente Marinho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(NAMEPA), co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organizou um</w:t>
      </w:r>
      <w:r w:rsidR="00025932" w:rsidRPr="00E13978">
        <w:rPr>
          <w:rFonts w:ascii="Times New Roman" w:hAnsi="Times New Roman"/>
          <w:iCs/>
          <w:color w:val="000000" w:themeColor="text1"/>
          <w:lang w:val="pt-BR"/>
        </w:rPr>
        <w:t xml:space="preserve"> concurso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de arte para estudantes da primeira infância ao ensino médio</w:t>
      </w:r>
      <w:r w:rsidR="00A855F7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sobre a proteção do meio ambiente marinho</w:t>
      </w:r>
      <w:r w:rsidR="00A855F7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e divulgou os calendários 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2022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com a obra de arte vencedora à comunidade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CIP.</w:t>
      </w:r>
    </w:p>
    <w:p w14:paraId="3F5709C5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091E9D5E" w14:textId="774DA33D" w:rsidR="0039425D" w:rsidRPr="00E13978" w:rsidRDefault="00F35924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Participou como orador de sete eventos virtuais para a </w:t>
      </w:r>
      <w:r w:rsidR="00F0089C" w:rsidRPr="00E13978">
        <w:rPr>
          <w:rFonts w:ascii="Times New Roman" w:hAnsi="Times New Roman"/>
          <w:iCs/>
          <w:color w:val="000000" w:themeColor="text1"/>
          <w:lang w:val="pt-BR"/>
        </w:rPr>
        <w:t xml:space="preserve">América Latina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 o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Caribe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apresentando tendências e desafios atuais do setor portuário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7687C79B" w14:textId="77777777" w:rsidR="0039425D" w:rsidRPr="00E13978" w:rsidRDefault="0039425D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520188CF" w14:textId="367F2D3F" w:rsidR="0039425D" w:rsidRPr="00E13978" w:rsidRDefault="00F35924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Participou como professor convidado do mestrado em Gestão Logística em Alfândegas e Portos da Universidade de São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Domingo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República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Dominican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a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</w:p>
    <w:p w14:paraId="17EF242F" w14:textId="43DC7132" w:rsidR="001373CB" w:rsidRPr="00E13978" w:rsidRDefault="001373CB" w:rsidP="00E13978">
      <w:pPr>
        <w:suppressAutoHyphens/>
        <w:jc w:val="both"/>
        <w:rPr>
          <w:rFonts w:eastAsia="Calibri"/>
          <w:iCs/>
          <w:color w:val="000000" w:themeColor="text1"/>
          <w:sz w:val="22"/>
          <w:szCs w:val="22"/>
          <w:highlight w:val="yellow"/>
          <w:lang w:val="pt-BR"/>
        </w:rPr>
      </w:pPr>
    </w:p>
    <w:p w14:paraId="7AEF6D77" w14:textId="77777777" w:rsidR="00CA7994" w:rsidRPr="00E13978" w:rsidRDefault="00CA7994" w:rsidP="00E13978">
      <w:pPr>
        <w:suppressAutoHyphens/>
        <w:jc w:val="both"/>
        <w:rPr>
          <w:rFonts w:eastAsia="Calibri"/>
          <w:iCs/>
          <w:color w:val="000000" w:themeColor="text1"/>
          <w:sz w:val="22"/>
          <w:szCs w:val="22"/>
          <w:highlight w:val="yellow"/>
          <w:lang w:val="pt-BR"/>
        </w:rPr>
      </w:pPr>
    </w:p>
    <w:p w14:paraId="39923A55" w14:textId="3D7DE28B" w:rsidR="006503FB" w:rsidRPr="00E13978" w:rsidRDefault="00F35924" w:rsidP="00E13978">
      <w:pPr>
        <w:suppressAutoHyphens/>
        <w:contextualSpacing/>
        <w:jc w:val="center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LINHA ESTRATÉGICA </w:t>
      </w:r>
      <w:r w:rsidR="001373CB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2: </w:t>
      </w:r>
      <w:r w:rsidRPr="00E13978">
        <w:rPr>
          <w:rFonts w:eastAsia="Calibri"/>
          <w:b/>
          <w:bCs/>
          <w:sz w:val="22"/>
          <w:szCs w:val="22"/>
          <w:lang w:val="pt-BR"/>
        </w:rPr>
        <w:t>FORTALECER A IMPLEMENTAÇÃO DOS OBJETIVOS DE DESENVOLVIMENTO SUSTENTÁVEL, EM CONFORMIDADE COM O PROGRAMA INTERAMERICANO DE DESENVOLVIMENTO SUSTENTÁVEL 2016-2021</w:t>
      </w:r>
      <w:r w:rsidRPr="00E13978">
        <w:rPr>
          <w:b/>
          <w:sz w:val="22"/>
          <w:szCs w:val="22"/>
          <w:lang w:val="pt-BR"/>
        </w:rPr>
        <w:t xml:space="preserve"> (PIDS</w:t>
      </w:r>
      <w:r w:rsidR="001373CB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>)</w:t>
      </w:r>
      <w:r w:rsidR="006503FB" w:rsidRPr="00E13978">
        <w:rPr>
          <w:rFonts w:eastAsia="Cambria"/>
          <w:b/>
          <w:bCs/>
          <w:color w:val="000000" w:themeColor="text1"/>
          <w:sz w:val="22"/>
          <w:szCs w:val="22"/>
          <w:lang w:val="pt-BR"/>
        </w:rPr>
        <w:t xml:space="preserve"> </w:t>
      </w:r>
    </w:p>
    <w:p w14:paraId="7AB0610A" w14:textId="5B87BE08" w:rsidR="00283E52" w:rsidRPr="00E13978" w:rsidRDefault="00283E52" w:rsidP="00E13978">
      <w:pPr>
        <w:suppressAutoHyphens/>
        <w:jc w:val="both"/>
        <w:rPr>
          <w:rFonts w:eastAsia="Calibri"/>
          <w:iCs/>
          <w:color w:val="000000" w:themeColor="text1"/>
          <w:sz w:val="22"/>
          <w:szCs w:val="22"/>
          <w:highlight w:val="yellow"/>
          <w:lang w:val="pt-BR"/>
        </w:rPr>
      </w:pPr>
    </w:p>
    <w:p w14:paraId="7A3964FA" w14:textId="53BC32BD" w:rsidR="00283E52" w:rsidRPr="00E13978" w:rsidRDefault="00F35924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45226C" w:rsidRPr="00E13978">
        <w:rPr>
          <w:color w:val="000000" w:themeColor="text1"/>
          <w:sz w:val="22"/>
          <w:szCs w:val="22"/>
          <w:lang w:val="pt-BR"/>
        </w:rPr>
        <w:t>Departamento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Desenvolvimento Sustentável incorporou posteriormente a resiliência e a gestão do risco de desastres, com especial atenção à recuperação da </w:t>
      </w:r>
      <w:r w:rsidR="00B17295" w:rsidRPr="00E13978">
        <w:rPr>
          <w:color w:val="000000" w:themeColor="text1"/>
          <w:sz w:val="22"/>
          <w:szCs w:val="22"/>
          <w:lang w:val="pt-BR"/>
        </w:rPr>
        <w:t>pandemia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a todas as </w:t>
      </w:r>
      <w:r w:rsidR="002D410E" w:rsidRPr="00E13978">
        <w:rPr>
          <w:color w:val="000000" w:themeColor="text1"/>
          <w:sz w:val="22"/>
          <w:szCs w:val="22"/>
          <w:lang w:val="pt-BR"/>
        </w:rPr>
        <w:t>áreas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estratégicas do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PIDS. </w:t>
      </w:r>
      <w:r w:rsidRPr="00E13978">
        <w:rPr>
          <w:color w:val="000000" w:themeColor="text1"/>
          <w:sz w:val="22"/>
          <w:szCs w:val="22"/>
          <w:lang w:val="pt-BR"/>
        </w:rPr>
        <w:t xml:space="preserve">Os esforços por mobilização de recursos se centraram na gestão de bacias </w:t>
      </w:r>
      <w:r w:rsidR="00025932" w:rsidRPr="00E13978">
        <w:rPr>
          <w:color w:val="000000" w:themeColor="text1"/>
          <w:sz w:val="22"/>
          <w:szCs w:val="22"/>
          <w:lang w:val="pt-BR"/>
        </w:rPr>
        <w:t xml:space="preserve">e biosfera </w:t>
      </w:r>
      <w:r w:rsidRPr="00E13978">
        <w:rPr>
          <w:color w:val="000000" w:themeColor="text1"/>
          <w:sz w:val="22"/>
          <w:szCs w:val="22"/>
          <w:lang w:val="pt-BR"/>
        </w:rPr>
        <w:t>transfronteiriças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energia renovável e energias de transição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resiliência comunitária e continuidade dos negócios e planejamento de contingência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46F744AB" w14:textId="77777777" w:rsidR="004E0017" w:rsidRPr="00E13978" w:rsidRDefault="004E0017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A7AC7BD" w14:textId="17123335" w:rsidR="00910F7F" w:rsidRPr="00E13978" w:rsidRDefault="00910F7F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34D7CAC" w14:textId="45797421" w:rsidR="00283E52" w:rsidRPr="00E13978" w:rsidRDefault="00F0089C" w:rsidP="00E13978">
      <w:pPr>
        <w:suppressAutoHyphens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2.1</w:t>
      </w:r>
      <w:r w:rsidR="006D5876" w:rsidRPr="00E13978">
        <w:rPr>
          <w:b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F35924" w:rsidRPr="00E13978">
        <w:rPr>
          <w:b/>
          <w:sz w:val="22"/>
          <w:szCs w:val="22"/>
          <w:lang w:val="pt-BR"/>
        </w:rPr>
        <w:t>Promover a capacidade dos Estados membros na gestão do risco de desastres, de acordo com os objetivos e bases de ação dispostos na Seção 3.1 do PIDS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33D75278" w14:textId="77777777" w:rsidR="006503FB" w:rsidRPr="00E13978" w:rsidRDefault="006503FB" w:rsidP="00E13978">
      <w:pPr>
        <w:suppressAutoHyphens/>
        <w:jc w:val="both"/>
        <w:rPr>
          <w:sz w:val="22"/>
          <w:szCs w:val="22"/>
          <w:lang w:val="pt-BR"/>
        </w:rPr>
      </w:pPr>
    </w:p>
    <w:p w14:paraId="005B6AD6" w14:textId="6AF31940" w:rsidR="00283E52" w:rsidRPr="00E13978" w:rsidRDefault="000F0C09" w:rsidP="00E13978">
      <w:pPr>
        <w:suppressAutoHyphens/>
        <w:ind w:firstLine="720"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Gestão do Risco de Desastres e Adaptação à Mudança do Clima </w:t>
      </w:r>
    </w:p>
    <w:p w14:paraId="7A73E2F4" w14:textId="2AAC537F" w:rsidR="00283E52" w:rsidRPr="00E13978" w:rsidRDefault="000F0C09" w:rsidP="00E13978">
      <w:pPr>
        <w:pStyle w:val="ListParagraph"/>
        <w:numPr>
          <w:ilvl w:val="0"/>
          <w:numId w:val="24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Acompanh</w:t>
      </w:r>
      <w:r w:rsidR="00025932" w:rsidRPr="00E13978">
        <w:rPr>
          <w:color w:val="000000" w:themeColor="text1"/>
          <w:sz w:val="22"/>
          <w:szCs w:val="22"/>
          <w:lang w:val="pt-BR"/>
        </w:rPr>
        <w:t xml:space="preserve">ou </w:t>
      </w:r>
      <w:r w:rsidRPr="00E13978">
        <w:rPr>
          <w:color w:val="000000" w:themeColor="text1"/>
          <w:sz w:val="22"/>
          <w:szCs w:val="22"/>
          <w:lang w:val="pt-BR"/>
        </w:rPr>
        <w:t xml:space="preserve">as recomendações constantes do documento </w:t>
      </w:r>
      <w:r w:rsidR="00283E52" w:rsidRPr="00E13978">
        <w:rPr>
          <w:color w:val="000000" w:themeColor="text1"/>
          <w:sz w:val="22"/>
          <w:szCs w:val="22"/>
          <w:lang w:val="pt-BR"/>
        </w:rPr>
        <w:t>CIDI/CPD/ doc.200/20 rev.3</w:t>
      </w:r>
      <w:r w:rsidR="00025932" w:rsidRPr="00E13978">
        <w:rPr>
          <w:color w:val="000000" w:themeColor="text1"/>
          <w:sz w:val="22"/>
          <w:szCs w:val="22"/>
          <w:lang w:val="pt-BR"/>
        </w:rPr>
        <w:t>,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aprovado no Quinquagésimo Período Ordinário de Sessões da Assembleia Geral, mediante a resolução </w:t>
      </w:r>
      <w:r w:rsidR="00283E52" w:rsidRPr="00E13978">
        <w:rPr>
          <w:color w:val="000000" w:themeColor="text1"/>
          <w:sz w:val="22"/>
          <w:szCs w:val="22"/>
          <w:lang w:val="pt-BR"/>
        </w:rPr>
        <w:t>AG/RES. 2955 (L-O/20).</w:t>
      </w:r>
    </w:p>
    <w:p w14:paraId="4AD6A9DE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highlight w:val="yellow"/>
          <w:lang w:val="pt-BR"/>
        </w:rPr>
      </w:pPr>
    </w:p>
    <w:p w14:paraId="283F93F9" w14:textId="3B5D88B8" w:rsidR="00283E52" w:rsidRPr="00E13978" w:rsidRDefault="00283E52" w:rsidP="00E139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De</w:t>
      </w:r>
      <w:r w:rsidR="000F0C09" w:rsidRPr="00E13978">
        <w:rPr>
          <w:color w:val="000000" w:themeColor="text1"/>
          <w:sz w:val="22"/>
          <w:szCs w:val="22"/>
          <w:lang w:val="pt-BR"/>
        </w:rPr>
        <w:t xml:space="preserve">senvolveu proposta para o melhoramento do banco de dados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on-line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0F0C09" w:rsidRPr="00E13978">
        <w:rPr>
          <w:color w:val="000000" w:themeColor="text1"/>
          <w:sz w:val="22"/>
          <w:szCs w:val="22"/>
          <w:lang w:val="pt-BR"/>
        </w:rPr>
        <w:t xml:space="preserve">da Rede </w:t>
      </w:r>
      <w:r w:rsidRPr="00E13978">
        <w:rPr>
          <w:color w:val="000000" w:themeColor="text1"/>
          <w:sz w:val="22"/>
          <w:szCs w:val="22"/>
          <w:lang w:val="pt-BR"/>
        </w:rPr>
        <w:t>Inter</w:t>
      </w:r>
      <w:r w:rsidR="000F0C09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>merican</w:t>
      </w:r>
      <w:r w:rsidR="000F0C09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0F0C09" w:rsidRPr="00E13978">
        <w:rPr>
          <w:color w:val="000000" w:themeColor="text1"/>
          <w:sz w:val="22"/>
          <w:szCs w:val="22"/>
          <w:lang w:val="pt-BR"/>
        </w:rPr>
        <w:t xml:space="preserve">de Redução de Desastres </w:t>
      </w:r>
      <w:r w:rsidRPr="00E13978">
        <w:rPr>
          <w:color w:val="000000" w:themeColor="text1"/>
          <w:sz w:val="22"/>
          <w:szCs w:val="22"/>
          <w:lang w:val="pt-BR"/>
        </w:rPr>
        <w:t>(</w:t>
      </w:r>
      <w:r w:rsidR="000F0C09" w:rsidRPr="00E13978">
        <w:rPr>
          <w:color w:val="000000" w:themeColor="text1"/>
          <w:sz w:val="22"/>
          <w:szCs w:val="22"/>
          <w:lang w:val="pt-BR"/>
        </w:rPr>
        <w:t>RIRD</w:t>
      </w:r>
      <w:r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0F0C09" w:rsidRPr="00E13978">
        <w:rPr>
          <w:color w:val="000000" w:themeColor="text1"/>
          <w:sz w:val="22"/>
          <w:szCs w:val="22"/>
          <w:lang w:val="pt-BR"/>
        </w:rPr>
        <w:t xml:space="preserve">e coordenou com a Junta Interamericana de Defesa </w:t>
      </w:r>
      <w:r w:rsidRPr="00E13978">
        <w:rPr>
          <w:color w:val="000000" w:themeColor="text1"/>
          <w:sz w:val="22"/>
          <w:szCs w:val="22"/>
          <w:lang w:val="pt-BR"/>
        </w:rPr>
        <w:t>(</w:t>
      </w:r>
      <w:r w:rsidR="000F0C09" w:rsidRPr="00E13978">
        <w:rPr>
          <w:color w:val="000000" w:themeColor="text1"/>
          <w:sz w:val="22"/>
          <w:szCs w:val="22"/>
          <w:lang w:val="pt-BR"/>
        </w:rPr>
        <w:t>JID</w:t>
      </w:r>
      <w:r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0F0C09" w:rsidRPr="00E13978">
        <w:rPr>
          <w:color w:val="000000" w:themeColor="text1"/>
          <w:sz w:val="22"/>
          <w:szCs w:val="22"/>
          <w:lang w:val="pt-BR"/>
        </w:rPr>
        <w:t>sua alimentação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2A1C87A2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38C12F7" w14:textId="0D465FC3" w:rsidR="00283E52" w:rsidRPr="00E13978" w:rsidRDefault="000F0C09" w:rsidP="00E139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Apoiou os esforços da Presidência da Comissão </w:t>
      </w:r>
      <w:r w:rsidR="00283E52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283E52" w:rsidRPr="00E13978">
        <w:rPr>
          <w:color w:val="000000" w:themeColor="text1"/>
          <w:sz w:val="22"/>
          <w:szCs w:val="22"/>
          <w:lang w:val="pt-BR"/>
        </w:rPr>
        <w:t>merican</w:t>
      </w:r>
      <w:r w:rsidRPr="00E13978">
        <w:rPr>
          <w:color w:val="000000" w:themeColor="text1"/>
          <w:sz w:val="22"/>
          <w:szCs w:val="22"/>
          <w:lang w:val="pt-BR"/>
        </w:rPr>
        <w:t xml:space="preserve">a de Redução de Desastres Naturais </w:t>
      </w:r>
      <w:r w:rsidR="00283E52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CIRDN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Pr="00E13978">
        <w:rPr>
          <w:color w:val="000000" w:themeColor="text1"/>
          <w:sz w:val="22"/>
          <w:szCs w:val="22"/>
          <w:lang w:val="pt-BR"/>
        </w:rPr>
        <w:t>por coordenar com parceiros da Comissão no âmbito do Sistema das Nações Unidas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025932" w:rsidRPr="00E13978">
        <w:rPr>
          <w:color w:val="000000" w:themeColor="text1"/>
          <w:sz w:val="22"/>
          <w:szCs w:val="22"/>
          <w:lang w:val="pt-BR"/>
        </w:rPr>
        <w:t xml:space="preserve">da </w:t>
      </w:r>
      <w:r w:rsidRPr="00E13978">
        <w:rPr>
          <w:color w:val="000000" w:themeColor="text1"/>
          <w:sz w:val="22"/>
          <w:szCs w:val="22"/>
          <w:lang w:val="pt-BR"/>
        </w:rPr>
        <w:t>Comunidade Internacional em Gestão do Risco de Desastres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025932"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Pr="00E13978">
        <w:rPr>
          <w:color w:val="000000" w:themeColor="text1"/>
          <w:sz w:val="22"/>
          <w:szCs w:val="22"/>
          <w:lang w:val="pt-BR"/>
        </w:rPr>
        <w:t xml:space="preserve">instituições financeiras internacionais e bancos de desenvolvimento e </w:t>
      </w:r>
      <w:r w:rsidR="00025932"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Pr="00E13978">
        <w:rPr>
          <w:color w:val="000000" w:themeColor="text1"/>
          <w:sz w:val="22"/>
          <w:szCs w:val="22"/>
          <w:lang w:val="pt-BR"/>
        </w:rPr>
        <w:t>organizações intergovernamentais sub-regionais especializadas, entre outras organizações pertinentes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4FC061A6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26F07EE" w14:textId="5BAA41F4" w:rsidR="00283E52" w:rsidRPr="00E13978" w:rsidRDefault="00CB48F7" w:rsidP="00E139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lastRenderedPageBreak/>
        <w:t xml:space="preserve">Prestou apoio de secretaria técnica ao grupo de trabalho para a redação e aprovação da Carta Empresarial </w:t>
      </w:r>
      <w:r w:rsidR="00283E52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 xml:space="preserve">americana e de resoluções relacionadas a Desenvolvimento Sustentável e Gestão do Risco de Desastres, preparadas pela Comissão de Políticas de Cooperação Solidária do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CIDI </w:t>
      </w:r>
      <w:r w:rsidRPr="00E13978">
        <w:rPr>
          <w:color w:val="000000" w:themeColor="text1"/>
          <w:sz w:val="22"/>
          <w:szCs w:val="22"/>
          <w:lang w:val="pt-BR"/>
        </w:rPr>
        <w:t>e pela Comissão de Segurança Hemisférica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</w:p>
    <w:p w14:paraId="188FFB26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6A2916E" w14:textId="435E4945" w:rsidR="00283E52" w:rsidRPr="00E13978" w:rsidRDefault="00CB48F7" w:rsidP="00E139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Aumentou a capacidade </w:t>
      </w:r>
      <w:r w:rsidR="00025932" w:rsidRPr="00E13978">
        <w:rPr>
          <w:color w:val="000000" w:themeColor="text1"/>
          <w:sz w:val="22"/>
          <w:szCs w:val="22"/>
          <w:lang w:val="pt-BR"/>
        </w:rPr>
        <w:t>de</w:t>
      </w:r>
      <w:r w:rsidRPr="00E13978">
        <w:rPr>
          <w:color w:val="000000" w:themeColor="text1"/>
          <w:sz w:val="22"/>
          <w:szCs w:val="22"/>
          <w:lang w:val="pt-BR"/>
        </w:rPr>
        <w:t xml:space="preserve"> Preparação e Gestão de Emergências em nove países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com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23 </w:t>
      </w:r>
      <w:r w:rsidRPr="00E13978">
        <w:rPr>
          <w:color w:val="000000" w:themeColor="text1"/>
          <w:sz w:val="22"/>
          <w:szCs w:val="22"/>
          <w:lang w:val="pt-BR"/>
        </w:rPr>
        <w:t xml:space="preserve">funcionários de gestão de emergência concluindo o curso de Equipes Básicas de Resposta a Emergências Comunitárias </w:t>
      </w:r>
      <w:r w:rsidR="00283E52" w:rsidRPr="00E13978">
        <w:rPr>
          <w:color w:val="000000" w:themeColor="text1"/>
          <w:sz w:val="22"/>
          <w:szCs w:val="22"/>
          <w:lang w:val="pt-BR"/>
        </w:rPr>
        <w:t>(CERT)</w:t>
      </w:r>
      <w:r w:rsidR="00025932" w:rsidRPr="00E13978">
        <w:rPr>
          <w:color w:val="000000" w:themeColor="text1"/>
          <w:sz w:val="22"/>
          <w:szCs w:val="22"/>
          <w:lang w:val="pt-BR"/>
        </w:rPr>
        <w:t>,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como parte do projeto </w:t>
      </w:r>
      <w:r w:rsidR="00283E52" w:rsidRPr="00E13978">
        <w:rPr>
          <w:color w:val="000000" w:themeColor="text1"/>
          <w:sz w:val="22"/>
          <w:szCs w:val="22"/>
          <w:lang w:val="pt-BR"/>
        </w:rPr>
        <w:t>“</w:t>
      </w:r>
      <w:r w:rsidRPr="00E13978">
        <w:rPr>
          <w:color w:val="000000" w:themeColor="text1"/>
          <w:sz w:val="22"/>
          <w:szCs w:val="22"/>
          <w:lang w:val="pt-BR"/>
        </w:rPr>
        <w:t xml:space="preserve">Construindo a Resiliência das Pequenas Empresas de Turismo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aos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Desastres</w:t>
      </w:r>
      <w:r w:rsidR="00283E52" w:rsidRPr="00E13978">
        <w:rPr>
          <w:color w:val="000000" w:themeColor="text1"/>
          <w:sz w:val="22"/>
          <w:szCs w:val="22"/>
          <w:lang w:val="pt-BR"/>
        </w:rPr>
        <w:t>”.</w:t>
      </w:r>
    </w:p>
    <w:p w14:paraId="05B224BF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E386990" w14:textId="4A1F7EB2" w:rsidR="00283E52" w:rsidRPr="00E13978" w:rsidRDefault="00283E52" w:rsidP="00E13978">
      <w:pPr>
        <w:pStyle w:val="ListParagraph"/>
        <w:numPr>
          <w:ilvl w:val="0"/>
          <w:numId w:val="28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Condu</w:t>
      </w:r>
      <w:r w:rsidR="00CB48F7" w:rsidRPr="00E13978">
        <w:rPr>
          <w:color w:val="000000" w:themeColor="text1"/>
          <w:sz w:val="22"/>
          <w:szCs w:val="22"/>
          <w:lang w:val="pt-BR"/>
        </w:rPr>
        <w:t>ziu uma avaliação holística integrada dos desafios e barreiras à continuidade d</w:t>
      </w:r>
      <w:r w:rsidR="00372DB3" w:rsidRPr="00E13978">
        <w:rPr>
          <w:color w:val="000000" w:themeColor="text1"/>
          <w:sz w:val="22"/>
          <w:szCs w:val="22"/>
          <w:lang w:val="pt-BR"/>
        </w:rPr>
        <w:t xml:space="preserve">os negócios </w:t>
      </w:r>
      <w:r w:rsidR="00CB48F7" w:rsidRPr="00E13978">
        <w:rPr>
          <w:color w:val="000000" w:themeColor="text1"/>
          <w:sz w:val="22"/>
          <w:szCs w:val="22"/>
          <w:lang w:val="pt-BR"/>
        </w:rPr>
        <w:t xml:space="preserve">das pequenos empresas de turismo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372DB3" w:rsidRPr="00E13978">
        <w:rPr>
          <w:color w:val="000000" w:themeColor="text1"/>
          <w:sz w:val="22"/>
          <w:szCs w:val="22"/>
          <w:lang w:val="pt-BR"/>
        </w:rPr>
        <w:t xml:space="preserve"> após desastres</w:t>
      </w:r>
      <w:r w:rsidR="0015721C" w:rsidRPr="00E13978">
        <w:rPr>
          <w:color w:val="000000" w:themeColor="text1"/>
          <w:sz w:val="22"/>
          <w:szCs w:val="22"/>
          <w:lang w:val="pt-BR"/>
        </w:rPr>
        <w:t xml:space="preserve">, com a participação de mais de </w:t>
      </w:r>
      <w:r w:rsidRPr="00E13978">
        <w:rPr>
          <w:color w:val="000000" w:themeColor="text1"/>
          <w:sz w:val="22"/>
          <w:szCs w:val="22"/>
          <w:lang w:val="pt-BR"/>
        </w:rPr>
        <w:t>1</w:t>
      </w:r>
      <w:r w:rsidR="0015721C" w:rsidRPr="00E13978">
        <w:rPr>
          <w:color w:val="000000" w:themeColor="text1"/>
          <w:sz w:val="22"/>
          <w:szCs w:val="22"/>
          <w:lang w:val="pt-BR"/>
        </w:rPr>
        <w:t>.</w:t>
      </w:r>
      <w:r w:rsidRPr="00E13978">
        <w:rPr>
          <w:color w:val="000000" w:themeColor="text1"/>
          <w:sz w:val="22"/>
          <w:szCs w:val="22"/>
          <w:lang w:val="pt-BR"/>
        </w:rPr>
        <w:t xml:space="preserve">200 </w:t>
      </w:r>
      <w:r w:rsidR="0015721C" w:rsidRPr="00E13978">
        <w:rPr>
          <w:color w:val="000000" w:themeColor="text1"/>
          <w:sz w:val="22"/>
          <w:szCs w:val="22"/>
          <w:lang w:val="pt-BR"/>
        </w:rPr>
        <w:t xml:space="preserve">empreendimentos e funcionários governamentais de </w:t>
      </w:r>
      <w:r w:rsidRPr="00E13978">
        <w:rPr>
          <w:color w:val="000000" w:themeColor="text1"/>
          <w:sz w:val="22"/>
          <w:szCs w:val="22"/>
          <w:lang w:val="pt-BR"/>
        </w:rPr>
        <w:t xml:space="preserve">14 </w:t>
      </w:r>
      <w:r w:rsidR="0015721C" w:rsidRPr="00E13978">
        <w:rPr>
          <w:color w:val="000000" w:themeColor="text1"/>
          <w:sz w:val="22"/>
          <w:szCs w:val="22"/>
          <w:lang w:val="pt-BR"/>
        </w:rPr>
        <w:t xml:space="preserve">países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372DB3" w:rsidRPr="00E13978">
        <w:rPr>
          <w:color w:val="000000" w:themeColor="text1"/>
          <w:sz w:val="22"/>
          <w:szCs w:val="22"/>
          <w:lang w:val="pt-BR"/>
        </w:rPr>
        <w:t xml:space="preserve"> </w:t>
      </w:r>
    </w:p>
    <w:p w14:paraId="7536794C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5D85D75" w14:textId="635D4E20" w:rsidR="00283E52" w:rsidRPr="00E13978" w:rsidRDefault="0015721C" w:rsidP="00E13978">
      <w:pPr>
        <w:pStyle w:val="ListParagraph"/>
        <w:numPr>
          <w:ilvl w:val="0"/>
          <w:numId w:val="28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Lançou um </w:t>
      </w:r>
      <w:r w:rsidR="00372DB3" w:rsidRPr="00E13978">
        <w:rPr>
          <w:color w:val="000000" w:themeColor="text1"/>
          <w:sz w:val="22"/>
          <w:szCs w:val="22"/>
          <w:lang w:val="pt-BR"/>
        </w:rPr>
        <w:t>convite para a apresentação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372DB3" w:rsidRPr="00E13978">
        <w:rPr>
          <w:color w:val="000000" w:themeColor="text1"/>
          <w:sz w:val="22"/>
          <w:szCs w:val="22"/>
          <w:lang w:val="pt-BR"/>
        </w:rPr>
        <w:t>de</w:t>
      </w:r>
      <w:r w:rsidRPr="00E13978">
        <w:rPr>
          <w:color w:val="000000" w:themeColor="text1"/>
          <w:sz w:val="22"/>
          <w:szCs w:val="22"/>
          <w:lang w:val="pt-BR"/>
        </w:rPr>
        <w:t xml:space="preserve"> propostas para um treinamento CERT </w:t>
      </w:r>
      <w:r w:rsidR="00283E52" w:rsidRPr="00E13978">
        <w:rPr>
          <w:color w:val="000000" w:themeColor="text1"/>
          <w:sz w:val="22"/>
          <w:szCs w:val="22"/>
          <w:lang w:val="pt-BR"/>
        </w:rPr>
        <w:t>Na</w:t>
      </w:r>
      <w:r w:rsidRPr="00E13978">
        <w:rPr>
          <w:color w:val="000000" w:themeColor="text1"/>
          <w:sz w:val="22"/>
          <w:szCs w:val="22"/>
          <w:lang w:val="pt-BR"/>
        </w:rPr>
        <w:t>c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ional </w:t>
      </w:r>
      <w:r w:rsidRPr="00E13978">
        <w:rPr>
          <w:color w:val="000000" w:themeColor="text1"/>
          <w:sz w:val="22"/>
          <w:szCs w:val="22"/>
          <w:lang w:val="pt-BR"/>
        </w:rPr>
        <w:t xml:space="preserve">Básico, com vistas à criação de equipes de resposta </w:t>
      </w:r>
      <w:r w:rsidR="00372DB3" w:rsidRPr="00E13978">
        <w:rPr>
          <w:color w:val="000000" w:themeColor="text1"/>
          <w:sz w:val="22"/>
          <w:szCs w:val="22"/>
          <w:lang w:val="pt-BR"/>
        </w:rPr>
        <w:t xml:space="preserve">comunitária </w:t>
      </w:r>
      <w:r w:rsidRPr="00E13978">
        <w:rPr>
          <w:color w:val="000000" w:themeColor="text1"/>
          <w:sz w:val="22"/>
          <w:szCs w:val="22"/>
          <w:lang w:val="pt-BR"/>
        </w:rPr>
        <w:t>a emergências</w:t>
      </w:r>
      <w:r w:rsidR="00372DB3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em pelo menos uma comunidade</w:t>
      </w:r>
      <w:r w:rsidR="00372DB3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como parte do projeto “Construindo a Resiliência das Pequenas Empresas de Turismo do Caribe aos Desastres”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Cinco países apresentaram propostas para ministrar treinamento para 30</w:t>
      </w:r>
      <w:r w:rsidR="00372DB3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membros de comunidades por sessão durante o período a que se refere este relatório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18862D4B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E845D47" w14:textId="668A4410" w:rsidR="00283E52" w:rsidRPr="00E13978" w:rsidRDefault="00974DE6" w:rsidP="00E13978">
      <w:pPr>
        <w:pStyle w:val="ListParagraph"/>
        <w:numPr>
          <w:ilvl w:val="0"/>
          <w:numId w:val="28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Prestou assistência técnica a mais de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55 </w:t>
      </w:r>
      <w:r w:rsidRPr="00E13978">
        <w:rPr>
          <w:color w:val="000000" w:themeColor="text1"/>
          <w:sz w:val="22"/>
          <w:szCs w:val="22"/>
          <w:lang w:val="pt-BR"/>
        </w:rPr>
        <w:t xml:space="preserve">proprietários, operadores e pessoal de pequenas empresas de turismo em </w:t>
      </w:r>
      <w:r w:rsidR="00A32517" w:rsidRPr="00E13978">
        <w:rPr>
          <w:color w:val="000000" w:themeColor="text1"/>
          <w:sz w:val="22"/>
          <w:szCs w:val="22"/>
          <w:lang w:val="pt-BR"/>
        </w:rPr>
        <w:t>continuidade dos negócios</w:t>
      </w:r>
      <w:r w:rsidR="00283E52" w:rsidRPr="00E13978">
        <w:rPr>
          <w:color w:val="000000" w:themeColor="text1"/>
          <w:sz w:val="22"/>
          <w:szCs w:val="22"/>
          <w:lang w:val="pt-BR"/>
        </w:rPr>
        <w:t>/</w:t>
      </w:r>
      <w:r w:rsidR="00A32517" w:rsidRPr="00E13978">
        <w:rPr>
          <w:color w:val="000000" w:themeColor="text1"/>
          <w:sz w:val="22"/>
          <w:szCs w:val="22"/>
          <w:lang w:val="pt-BR"/>
        </w:rPr>
        <w:t xml:space="preserve">planejamento de contingência de múltiplos riscos em países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A32517" w:rsidRPr="00E13978">
        <w:rPr>
          <w:color w:val="000000" w:themeColor="text1"/>
          <w:sz w:val="22"/>
          <w:szCs w:val="22"/>
          <w:lang w:val="pt-BR"/>
        </w:rPr>
        <w:t>, como parte do projeto “Construindo a Resiliência das Pequenas Empresas de Turismo do Caribe aos Desastres”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A32517" w:rsidRPr="00E13978">
        <w:rPr>
          <w:color w:val="000000" w:themeColor="text1"/>
          <w:sz w:val="22"/>
          <w:szCs w:val="22"/>
          <w:lang w:val="pt-BR"/>
        </w:rPr>
        <w:t>financiado pela Missão Permanente dos Estados Unidos junto à O</w:t>
      </w:r>
      <w:r w:rsidR="003723DF" w:rsidRPr="00E13978">
        <w:rPr>
          <w:color w:val="000000" w:themeColor="text1"/>
          <w:sz w:val="22"/>
          <w:szCs w:val="22"/>
          <w:lang w:val="pt-BR"/>
        </w:rPr>
        <w:t>EA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66FB4E1F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1F0F9AA" w14:textId="0D8B1B50" w:rsidR="00283E52" w:rsidRPr="00E13978" w:rsidRDefault="0004426B" w:rsidP="00E13978">
      <w:pPr>
        <w:pStyle w:val="ListParagraph"/>
        <w:numPr>
          <w:ilvl w:val="0"/>
          <w:numId w:val="28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Apresentou um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webinar </w:t>
      </w:r>
      <w:r w:rsidRPr="00E13978">
        <w:rPr>
          <w:color w:val="000000" w:themeColor="text1"/>
          <w:sz w:val="22"/>
          <w:szCs w:val="22"/>
          <w:lang w:val="pt-BR"/>
        </w:rPr>
        <w:t>sobre Direito Internacional de Resposta a Desastres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, com o </w:t>
      </w:r>
      <w:r w:rsidR="00283E52" w:rsidRPr="00E13978">
        <w:rPr>
          <w:color w:val="000000" w:themeColor="text1"/>
          <w:sz w:val="22"/>
          <w:szCs w:val="22"/>
          <w:lang w:val="pt-BR"/>
        </w:rPr>
        <w:t>“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Construindo Capacidade Nacional em Gestão de Desastres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", 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com a Federação Internacional das Sociedades da Cruz Vermelha e do Crescente Vermelho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(IFRC) 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e a </w:t>
      </w:r>
      <w:r w:rsidR="00283E52" w:rsidRPr="00E13978">
        <w:rPr>
          <w:color w:val="000000" w:themeColor="text1"/>
          <w:sz w:val="22"/>
          <w:szCs w:val="22"/>
          <w:lang w:val="pt-BR"/>
        </w:rPr>
        <w:t>Amazon Web Services (AWS)</w:t>
      </w:r>
      <w:r w:rsidR="00372DB3" w:rsidRPr="00E13978">
        <w:rPr>
          <w:color w:val="000000" w:themeColor="text1"/>
          <w:sz w:val="22"/>
          <w:szCs w:val="22"/>
          <w:lang w:val="pt-BR"/>
        </w:rPr>
        <w:t>,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para apoiar os esforços dos Estados membros da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4122A8" w:rsidRPr="00E13978">
        <w:rPr>
          <w:color w:val="000000" w:themeColor="text1"/>
          <w:sz w:val="22"/>
          <w:szCs w:val="22"/>
          <w:lang w:val="pt-BR"/>
        </w:rPr>
        <w:t xml:space="preserve">no Istmo da América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Central </w:t>
      </w:r>
      <w:r w:rsidR="004122A8" w:rsidRPr="00E13978">
        <w:rPr>
          <w:color w:val="000000" w:themeColor="text1"/>
          <w:sz w:val="22"/>
          <w:szCs w:val="22"/>
          <w:lang w:val="pt-BR"/>
        </w:rPr>
        <w:t>por promover a resposta internacional aos desastres e a assistência humanitária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24A6D902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FDFEAEF" w14:textId="633FDFA0" w:rsidR="00283E52" w:rsidRPr="00E13978" w:rsidRDefault="004122A8" w:rsidP="00E13978">
      <w:pPr>
        <w:pStyle w:val="ListParagraph"/>
        <w:numPr>
          <w:ilvl w:val="0"/>
          <w:numId w:val="28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Promoveu a entrega de kits de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-19 </w:t>
      </w:r>
      <w:r w:rsidRPr="00E13978">
        <w:rPr>
          <w:color w:val="000000" w:themeColor="text1"/>
          <w:sz w:val="22"/>
          <w:szCs w:val="22"/>
          <w:lang w:val="pt-BR"/>
        </w:rPr>
        <w:t xml:space="preserve">por meio do Programa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283E52" w:rsidRPr="00E13978">
        <w:rPr>
          <w:color w:val="000000" w:themeColor="text1"/>
          <w:sz w:val="22"/>
          <w:szCs w:val="22"/>
          <w:lang w:val="pt-BR"/>
        </w:rPr>
        <w:t>-</w:t>
      </w:r>
      <w:r w:rsidRPr="00E13978">
        <w:rPr>
          <w:color w:val="000000" w:themeColor="text1"/>
          <w:sz w:val="22"/>
          <w:szCs w:val="22"/>
          <w:lang w:val="pt-BR"/>
        </w:rPr>
        <w:t xml:space="preserve">Capacetes Brancos, como parte da assistência dos Capacetes Brancos da </w:t>
      </w:r>
      <w:r w:rsidR="00283E52" w:rsidRPr="00E13978">
        <w:rPr>
          <w:color w:val="000000" w:themeColor="text1"/>
          <w:sz w:val="22"/>
          <w:szCs w:val="22"/>
          <w:lang w:val="pt-BR"/>
        </w:rPr>
        <w:t>Argentin</w:t>
      </w:r>
      <w:r w:rsidRPr="00E13978">
        <w:rPr>
          <w:color w:val="000000" w:themeColor="text1"/>
          <w:sz w:val="22"/>
          <w:szCs w:val="22"/>
          <w:lang w:val="pt-BR"/>
        </w:rPr>
        <w:t xml:space="preserve">a à América Central e ao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3C44980F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E8A4AFF" w14:textId="7755D3BC" w:rsidR="00283E52" w:rsidRPr="00E13978" w:rsidRDefault="00F0089C" w:rsidP="00E13978">
      <w:pPr>
        <w:suppressAutoHyphens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OBJETIVO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2.2</w:t>
      </w:r>
      <w:r w:rsidR="009B75B7" w:rsidRPr="00E13978">
        <w:rPr>
          <w:b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15721C" w:rsidRPr="00E13978">
        <w:rPr>
          <w:b/>
          <w:bCs/>
          <w:sz w:val="22"/>
          <w:szCs w:val="22"/>
          <w:lang w:val="pt-BR"/>
        </w:rPr>
        <w:t>Promover a capacidade dos Estados membros na gestão sustentável dos ecossistemas, de acordo com os objetivos e bases de ação dispostos na Seção 3.2 do PIDS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0A6BE06C" w14:textId="3E73BAFD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78D4328" w14:textId="49D53457" w:rsidR="00283E52" w:rsidRPr="00E13978" w:rsidRDefault="0015721C" w:rsidP="00E13978">
      <w:pPr>
        <w:pStyle w:val="ListParagraph"/>
        <w:numPr>
          <w:ilvl w:val="0"/>
          <w:numId w:val="40"/>
        </w:numPr>
        <w:suppressAutoHyphens/>
        <w:ind w:hanging="720"/>
        <w:jc w:val="both"/>
        <w:rPr>
          <w:bCs/>
          <w:color w:val="000000" w:themeColor="text1"/>
          <w:sz w:val="22"/>
          <w:szCs w:val="22"/>
          <w:lang w:val="pt-BR"/>
        </w:rPr>
      </w:pPr>
      <w:r w:rsidRPr="00E13978">
        <w:rPr>
          <w:bCs/>
          <w:color w:val="000000" w:themeColor="text1"/>
          <w:sz w:val="22"/>
          <w:szCs w:val="22"/>
          <w:lang w:val="pt-BR"/>
        </w:rPr>
        <w:t>Esse objetivo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bCs/>
          <w:color w:val="000000" w:themeColor="text1"/>
          <w:sz w:val="22"/>
          <w:szCs w:val="22"/>
          <w:lang w:val="pt-BR"/>
        </w:rPr>
        <w:t xml:space="preserve">em conformidade com a área estratégica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3.2 </w:t>
      </w:r>
      <w:r w:rsidRPr="00E13978">
        <w:rPr>
          <w:bCs/>
          <w:color w:val="000000" w:themeColor="text1"/>
          <w:sz w:val="22"/>
          <w:szCs w:val="22"/>
          <w:lang w:val="pt-BR"/>
        </w:rPr>
        <w:t xml:space="preserve">do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PIDS, </w:t>
      </w:r>
      <w:r w:rsidRPr="00E13978">
        <w:rPr>
          <w:bCs/>
          <w:color w:val="000000" w:themeColor="text1"/>
          <w:sz w:val="22"/>
          <w:szCs w:val="22"/>
          <w:lang w:val="pt-BR"/>
        </w:rPr>
        <w:t>vem sendo abordad</w:t>
      </w:r>
      <w:r w:rsidR="007F2058" w:rsidRPr="00E13978">
        <w:rPr>
          <w:bCs/>
          <w:color w:val="000000" w:themeColor="text1"/>
          <w:sz w:val="22"/>
          <w:szCs w:val="22"/>
          <w:lang w:val="pt-BR"/>
        </w:rPr>
        <w:t>o</w:t>
      </w:r>
      <w:r w:rsidRPr="00E13978">
        <w:rPr>
          <w:bCs/>
          <w:color w:val="000000" w:themeColor="text1"/>
          <w:sz w:val="22"/>
          <w:szCs w:val="22"/>
          <w:lang w:val="pt-BR"/>
        </w:rPr>
        <w:t xml:space="preserve"> por meio de todos os programas e projetos da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SEDI/DSD. </w:t>
      </w:r>
      <w:r w:rsidRPr="00E13978">
        <w:rPr>
          <w:bCs/>
          <w:color w:val="000000" w:themeColor="text1"/>
          <w:sz w:val="22"/>
          <w:szCs w:val="22"/>
          <w:lang w:val="pt-BR"/>
        </w:rPr>
        <w:t>Mais especialmente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bCs/>
          <w:color w:val="000000" w:themeColor="text1"/>
          <w:sz w:val="22"/>
          <w:szCs w:val="22"/>
          <w:lang w:val="pt-BR"/>
        </w:rPr>
        <w:t xml:space="preserve">a gestão sustentável de ecossistemas é um objetivo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integral </w:t>
      </w:r>
      <w:r w:rsidRPr="00E13978">
        <w:rPr>
          <w:bCs/>
          <w:color w:val="000000" w:themeColor="text1"/>
          <w:sz w:val="22"/>
          <w:szCs w:val="22"/>
          <w:lang w:val="pt-BR"/>
        </w:rPr>
        <w:t xml:space="preserve">e componente de todos os projetos de Gestão Integrada de Recursos Hídricos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>(</w:t>
      </w:r>
      <w:r w:rsidRPr="00E13978">
        <w:rPr>
          <w:bCs/>
          <w:color w:val="000000" w:themeColor="text1"/>
          <w:sz w:val="22"/>
          <w:szCs w:val="22"/>
          <w:lang w:val="pt-BR"/>
        </w:rPr>
        <w:t>GIRH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) </w:t>
      </w:r>
      <w:r w:rsidRPr="00E13978">
        <w:rPr>
          <w:bCs/>
          <w:color w:val="000000" w:themeColor="text1"/>
          <w:sz w:val="22"/>
          <w:szCs w:val="22"/>
          <w:lang w:val="pt-BR"/>
        </w:rPr>
        <w:t>em bacias transfronteiriças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bCs/>
          <w:color w:val="000000" w:themeColor="text1"/>
          <w:sz w:val="22"/>
          <w:szCs w:val="22"/>
          <w:lang w:val="pt-BR"/>
        </w:rPr>
        <w:t>como a Bacia do Prata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bCs/>
          <w:color w:val="000000" w:themeColor="text1"/>
          <w:sz w:val="22"/>
          <w:szCs w:val="22"/>
          <w:lang w:val="pt-BR"/>
        </w:rPr>
        <w:t>e biosferas transfronteiriças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 xml:space="preserve">como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lastRenderedPageBreak/>
        <w:t xml:space="preserve">a biosfera trinacional </w:t>
      </w:r>
      <w:r w:rsidR="00283E52" w:rsidRPr="00E13978">
        <w:rPr>
          <w:bCs/>
          <w:i/>
          <w:iCs/>
          <w:color w:val="000000" w:themeColor="text1"/>
          <w:sz w:val="22"/>
          <w:szCs w:val="22"/>
          <w:lang w:val="pt-BR"/>
        </w:rPr>
        <w:t>La Fraternidad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 xml:space="preserve">na região do 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>Trif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í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nio.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Do mesmo modo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todos os esforços em energia sustentável, especialmente os voltados para a promoção de energia renovável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políticas de transição energética e eficiência energética contribuem para a gestão sustentável de ecossistemas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,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seus recursos naturais e serviços ecológicos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 xml:space="preserve">. </w:t>
      </w:r>
      <w:r w:rsidR="00974DE6" w:rsidRPr="00E13978">
        <w:rPr>
          <w:bCs/>
          <w:color w:val="000000" w:themeColor="text1"/>
          <w:sz w:val="22"/>
          <w:szCs w:val="22"/>
          <w:lang w:val="pt-BR"/>
        </w:rPr>
        <w:t>E todos os esforços destinados à construção de resiliência comunitária e gestão do risco de desastres contribuem diretamente para esse objetivo</w:t>
      </w:r>
      <w:r w:rsidR="00283E52" w:rsidRPr="00E13978">
        <w:rPr>
          <w:bCs/>
          <w:color w:val="000000" w:themeColor="text1"/>
          <w:sz w:val="22"/>
          <w:szCs w:val="22"/>
          <w:lang w:val="pt-BR"/>
        </w:rPr>
        <w:t>.</w:t>
      </w:r>
    </w:p>
    <w:p w14:paraId="31565104" w14:textId="77777777" w:rsidR="00283E52" w:rsidRPr="00E13978" w:rsidRDefault="00283E52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576EC71D" w14:textId="132B1737" w:rsidR="00283E52" w:rsidRPr="00E13978" w:rsidRDefault="00F0089C" w:rsidP="00E13978">
      <w:pPr>
        <w:suppressAutoHyphens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OBJETIVO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2.3</w:t>
      </w:r>
      <w:r w:rsidR="009B75B7" w:rsidRPr="00E13978">
        <w:rPr>
          <w:b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4122A8" w:rsidRPr="00E13978">
        <w:rPr>
          <w:b/>
          <w:sz w:val="22"/>
          <w:szCs w:val="22"/>
          <w:lang w:val="pt-BR"/>
        </w:rPr>
        <w:t>Promover a capacidade dos Estados membros na gestão integrada dos recursos hídricos, de acordo com os objetivos e bases de ação dispostos na Seção 3.3 do PIDS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4FD99A5F" w14:textId="7D11D8AF" w:rsidR="00283E52" w:rsidRPr="00E13978" w:rsidRDefault="00283E52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6A040B7F" w14:textId="52FD9178" w:rsidR="00283E52" w:rsidRPr="00E13978" w:rsidRDefault="004122A8" w:rsidP="00E13978">
      <w:pPr>
        <w:suppressAutoHyphens/>
        <w:ind w:firstLine="720"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Gestão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Integra</w:t>
      </w:r>
      <w:r w:rsidRPr="00E13978">
        <w:rPr>
          <w:b/>
          <w:color w:val="000000" w:themeColor="text1"/>
          <w:sz w:val="22"/>
          <w:szCs w:val="22"/>
          <w:lang w:val="pt-BR"/>
        </w:rPr>
        <w:t xml:space="preserve">da de Recursos Hídricos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(</w:t>
      </w:r>
      <w:r w:rsidRPr="00E13978">
        <w:rPr>
          <w:b/>
          <w:color w:val="000000" w:themeColor="text1"/>
          <w:sz w:val="22"/>
          <w:szCs w:val="22"/>
          <w:lang w:val="pt-BR"/>
        </w:rPr>
        <w:t>G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IR</w:t>
      </w:r>
      <w:r w:rsidRPr="00E13978">
        <w:rPr>
          <w:b/>
          <w:color w:val="000000" w:themeColor="text1"/>
          <w:sz w:val="22"/>
          <w:szCs w:val="22"/>
          <w:lang w:val="pt-BR"/>
        </w:rPr>
        <w:t>H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)</w:t>
      </w:r>
    </w:p>
    <w:p w14:paraId="21DCECF3" w14:textId="3F824F0A" w:rsidR="00283E52" w:rsidRPr="00E13978" w:rsidRDefault="004122A8" w:rsidP="00E13978">
      <w:pPr>
        <w:pStyle w:val="ListParagraph"/>
        <w:numPr>
          <w:ilvl w:val="0"/>
          <w:numId w:val="33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Concluiu a apresentação e aprovação de uma doação de </w:t>
      </w:r>
      <w:r w:rsidR="00283E52" w:rsidRPr="00E13978">
        <w:rPr>
          <w:color w:val="000000" w:themeColor="text1"/>
          <w:sz w:val="22"/>
          <w:szCs w:val="22"/>
          <w:lang w:val="pt-BR"/>
        </w:rPr>
        <w:t>4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8 </w:t>
      </w:r>
      <w:r w:rsidRPr="00E13978">
        <w:rPr>
          <w:color w:val="000000" w:themeColor="text1"/>
          <w:sz w:val="22"/>
          <w:szCs w:val="22"/>
          <w:lang w:val="pt-BR"/>
        </w:rPr>
        <w:t>milhões de dólares do</w:t>
      </w:r>
      <w:r w:rsidR="007F2058" w:rsidRPr="00E13978">
        <w:rPr>
          <w:color w:val="000000" w:themeColor="text1"/>
          <w:sz w:val="22"/>
          <w:szCs w:val="22"/>
          <w:lang w:val="pt-BR"/>
        </w:rPr>
        <w:t xml:space="preserve"> Fundo Global para o Meio Ambiente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(GEF),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por meio do Programa das Nações Unidas para o Meio Ambiente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(UNEP),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para Promover a Segurança Hídrica na Região do </w:t>
      </w:r>
      <w:r w:rsidR="00283E52" w:rsidRPr="00E13978">
        <w:rPr>
          <w:color w:val="000000" w:themeColor="text1"/>
          <w:sz w:val="22"/>
          <w:szCs w:val="22"/>
          <w:lang w:val="pt-BR"/>
        </w:rPr>
        <w:t>Trif</w:t>
      </w:r>
      <w:r w:rsidR="001161DE" w:rsidRPr="00E13978">
        <w:rPr>
          <w:color w:val="000000" w:themeColor="text1"/>
          <w:sz w:val="22"/>
          <w:szCs w:val="22"/>
          <w:lang w:val="pt-BR"/>
        </w:rPr>
        <w:t>í</w:t>
      </w:r>
      <w:r w:rsidR="00283E52" w:rsidRPr="00E13978">
        <w:rPr>
          <w:color w:val="000000" w:themeColor="text1"/>
          <w:sz w:val="22"/>
          <w:szCs w:val="22"/>
          <w:lang w:val="pt-BR"/>
        </w:rPr>
        <w:t>nio (El Salvador, Honduras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 e </w:t>
      </w:r>
      <w:r w:rsidR="00283E52" w:rsidRPr="00E13978">
        <w:rPr>
          <w:color w:val="000000" w:themeColor="text1"/>
          <w:sz w:val="22"/>
          <w:szCs w:val="22"/>
          <w:lang w:val="pt-BR"/>
        </w:rPr>
        <w:t>Guatemala).</w:t>
      </w:r>
    </w:p>
    <w:p w14:paraId="337ADDE0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highlight w:val="yellow"/>
          <w:lang w:val="pt-BR"/>
        </w:rPr>
      </w:pPr>
    </w:p>
    <w:p w14:paraId="0B9EABAD" w14:textId="1272A023" w:rsidR="00283E52" w:rsidRPr="00E13978" w:rsidRDefault="00283E52" w:rsidP="00E13978">
      <w:pPr>
        <w:pStyle w:val="ListParagraph"/>
        <w:numPr>
          <w:ilvl w:val="0"/>
          <w:numId w:val="29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Continu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ou a execução do projeto Bacia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La Plata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desenvolvido por meio de uma doação de </w:t>
      </w:r>
      <w:r w:rsidRPr="00E13978">
        <w:rPr>
          <w:color w:val="000000" w:themeColor="text1"/>
          <w:sz w:val="22"/>
          <w:szCs w:val="22"/>
          <w:lang w:val="pt-BR"/>
        </w:rPr>
        <w:t xml:space="preserve">$2M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garantida pelo </w:t>
      </w:r>
      <w:r w:rsidRPr="00E13978">
        <w:rPr>
          <w:color w:val="000000" w:themeColor="text1"/>
          <w:sz w:val="22"/>
          <w:szCs w:val="22"/>
          <w:lang w:val="pt-BR"/>
        </w:rPr>
        <w:t xml:space="preserve">GEF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para a implementação do Plano Estratégico de Ação </w:t>
      </w:r>
      <w:r w:rsidRPr="00E13978">
        <w:rPr>
          <w:color w:val="000000" w:themeColor="text1"/>
          <w:sz w:val="22"/>
          <w:szCs w:val="22"/>
          <w:lang w:val="pt-BR"/>
        </w:rPr>
        <w:t xml:space="preserve">(SAP), </w:t>
      </w:r>
      <w:r w:rsidR="001161DE" w:rsidRPr="00E13978">
        <w:rPr>
          <w:color w:val="000000" w:themeColor="text1"/>
          <w:sz w:val="22"/>
          <w:szCs w:val="22"/>
          <w:lang w:val="pt-BR"/>
        </w:rPr>
        <w:t xml:space="preserve">para acelerar ações nas </w:t>
      </w:r>
      <w:r w:rsidR="002D410E" w:rsidRPr="00E13978">
        <w:rPr>
          <w:color w:val="000000" w:themeColor="text1"/>
          <w:sz w:val="22"/>
          <w:szCs w:val="22"/>
          <w:lang w:val="pt-BR"/>
        </w:rPr>
        <w:t>áreas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161DE" w:rsidRPr="00E13978">
        <w:rPr>
          <w:color w:val="000000" w:themeColor="text1"/>
          <w:sz w:val="22"/>
          <w:szCs w:val="22"/>
          <w:lang w:val="pt-BR"/>
        </w:rPr>
        <w:t>prioritárias de segurança hídrica, resiliência ao clima e saúde dos ecossistemas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161DE" w:rsidRPr="00E13978">
        <w:rPr>
          <w:color w:val="000000" w:themeColor="text1"/>
          <w:sz w:val="22"/>
          <w:szCs w:val="22"/>
          <w:lang w:val="pt-BR"/>
        </w:rPr>
        <w:t>inclusive o desenvolvimento de uma carteira de projetos multissetoriais de curto prazo para toda a bacia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612CC265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D2A7F86" w14:textId="69B6EDAF" w:rsidR="00283E52" w:rsidRPr="00E13978" w:rsidRDefault="001161DE" w:rsidP="00E13978">
      <w:pPr>
        <w:pStyle w:val="ListParagraph"/>
        <w:numPr>
          <w:ilvl w:val="0"/>
          <w:numId w:val="29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Elaborou uma proposta para a Gestão Sustentável e Resiliente ao Clima dos Ecossistemas dos Altos Andes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(Hame), </w:t>
      </w:r>
      <w:r w:rsidRPr="00E13978">
        <w:rPr>
          <w:color w:val="000000" w:themeColor="text1"/>
          <w:sz w:val="22"/>
          <w:szCs w:val="22"/>
          <w:lang w:val="pt-BR"/>
        </w:rPr>
        <w:t xml:space="preserve">uma iniciativa </w:t>
      </w:r>
      <w:r w:rsidR="00283E52" w:rsidRPr="00E13978">
        <w:rPr>
          <w:color w:val="000000" w:themeColor="text1"/>
          <w:sz w:val="22"/>
          <w:szCs w:val="22"/>
          <w:lang w:val="pt-BR"/>
        </w:rPr>
        <w:t>regional (Bol</w:t>
      </w:r>
      <w:r w:rsidRPr="00E13978">
        <w:rPr>
          <w:color w:val="000000" w:themeColor="text1"/>
          <w:sz w:val="22"/>
          <w:szCs w:val="22"/>
          <w:lang w:val="pt-BR"/>
        </w:rPr>
        <w:t>í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via, </w:t>
      </w:r>
      <w:r w:rsidR="00240A50" w:rsidRPr="00E13978">
        <w:rPr>
          <w:color w:val="000000" w:themeColor="text1"/>
          <w:sz w:val="22"/>
          <w:szCs w:val="22"/>
          <w:lang w:val="pt-BR"/>
        </w:rPr>
        <w:t>Colômbia</w:t>
      </w:r>
      <w:r w:rsidR="00283E52" w:rsidRPr="00E13978">
        <w:rPr>
          <w:color w:val="000000" w:themeColor="text1"/>
          <w:sz w:val="22"/>
          <w:szCs w:val="22"/>
          <w:lang w:val="pt-BR"/>
        </w:rPr>
        <w:t>, E</w:t>
      </w:r>
      <w:r w:rsidRPr="00E13978">
        <w:rPr>
          <w:color w:val="000000" w:themeColor="text1"/>
          <w:sz w:val="22"/>
          <w:szCs w:val="22"/>
          <w:lang w:val="pt-BR"/>
        </w:rPr>
        <w:t>q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uador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Peru) </w:t>
      </w:r>
      <w:r w:rsidRPr="00E13978">
        <w:rPr>
          <w:color w:val="000000" w:themeColor="text1"/>
          <w:sz w:val="22"/>
          <w:szCs w:val="22"/>
          <w:lang w:val="pt-BR"/>
        </w:rPr>
        <w:t xml:space="preserve">para uma contribuição de </w:t>
      </w:r>
      <w:r w:rsidR="00283E52" w:rsidRPr="00E13978">
        <w:rPr>
          <w:color w:val="000000" w:themeColor="text1"/>
          <w:sz w:val="22"/>
          <w:szCs w:val="22"/>
          <w:lang w:val="pt-BR"/>
        </w:rPr>
        <w:t>US$ 5</w:t>
      </w:r>
      <w:r w:rsidR="00734089" w:rsidRPr="00E13978">
        <w:rPr>
          <w:color w:val="000000" w:themeColor="text1"/>
          <w:sz w:val="22"/>
          <w:szCs w:val="22"/>
          <w:lang w:val="pt-BR"/>
        </w:rPr>
        <w:t>.</w:t>
      </w:r>
      <w:r w:rsidR="00283E52" w:rsidRPr="00E13978">
        <w:rPr>
          <w:color w:val="000000" w:themeColor="text1"/>
          <w:sz w:val="22"/>
          <w:szCs w:val="22"/>
          <w:lang w:val="pt-BR"/>
        </w:rPr>
        <w:t>147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825 </w:t>
      </w:r>
      <w:r w:rsidRPr="00E13978">
        <w:rPr>
          <w:color w:val="000000" w:themeColor="text1"/>
          <w:sz w:val="22"/>
          <w:szCs w:val="22"/>
          <w:lang w:val="pt-BR"/>
        </w:rPr>
        <w:t xml:space="preserve">da Agência Suíça de Desenvolvimento e Cooperação </w:t>
      </w:r>
      <w:r w:rsidR="00283E52" w:rsidRPr="00E13978">
        <w:rPr>
          <w:color w:val="000000" w:themeColor="text1"/>
          <w:sz w:val="22"/>
          <w:szCs w:val="22"/>
          <w:lang w:val="pt-BR"/>
        </w:rPr>
        <w:t>(COSUDE).</w:t>
      </w:r>
    </w:p>
    <w:p w14:paraId="4E27A889" w14:textId="4BD5E2DB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2796496" w14:textId="4C047051" w:rsidR="00283E52" w:rsidRPr="00E13978" w:rsidRDefault="00960B62" w:rsidP="00E13978">
      <w:pPr>
        <w:pStyle w:val="ListParagraph"/>
        <w:numPr>
          <w:ilvl w:val="0"/>
          <w:numId w:val="29"/>
        </w:numPr>
        <w:suppressAutoHyphens/>
        <w:ind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 doação da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USAID </w:t>
      </w:r>
      <w:r w:rsidRPr="00E13978">
        <w:rPr>
          <w:color w:val="000000" w:themeColor="text1"/>
          <w:sz w:val="22"/>
          <w:szCs w:val="22"/>
          <w:lang w:val="pt-BR"/>
        </w:rPr>
        <w:t xml:space="preserve">ao Haiti para Desenvolvimento Comunitário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(CDD) </w:t>
      </w:r>
      <w:r w:rsidRPr="00E13978">
        <w:rPr>
          <w:color w:val="000000" w:themeColor="text1"/>
          <w:sz w:val="22"/>
          <w:szCs w:val="22"/>
          <w:lang w:val="pt-BR"/>
        </w:rPr>
        <w:t xml:space="preserve">e projetos do Mecanismo de Pequenas Doações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(SGF) </w:t>
      </w:r>
      <w:r w:rsidRPr="00E13978">
        <w:rPr>
          <w:color w:val="000000" w:themeColor="text1"/>
          <w:sz w:val="22"/>
          <w:szCs w:val="22"/>
          <w:lang w:val="pt-BR"/>
        </w:rPr>
        <w:t xml:space="preserve">foi transferida para 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SEDI/DSD. </w:t>
      </w:r>
      <w:r w:rsidRPr="00E13978">
        <w:rPr>
          <w:color w:val="000000" w:themeColor="text1"/>
          <w:sz w:val="22"/>
          <w:szCs w:val="22"/>
          <w:lang w:val="pt-BR"/>
        </w:rPr>
        <w:t xml:space="preserve">Ao prorrogar o acordo com 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USAID, </w:t>
      </w:r>
      <w:r w:rsidRPr="00E13978">
        <w:rPr>
          <w:color w:val="000000" w:themeColor="text1"/>
          <w:sz w:val="22"/>
          <w:szCs w:val="22"/>
          <w:lang w:val="pt-BR"/>
        </w:rPr>
        <w:t xml:space="preserve">o projeto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CDD </w:t>
      </w:r>
      <w:r w:rsidRPr="00E13978">
        <w:rPr>
          <w:color w:val="000000" w:themeColor="text1"/>
          <w:sz w:val="22"/>
          <w:szCs w:val="22"/>
          <w:lang w:val="pt-BR"/>
        </w:rPr>
        <w:t xml:space="preserve">foi reprogramado com o amplo objetivo de construir a resiliência do setor hídrico e um enfoque de Gestão </w:t>
      </w:r>
      <w:r w:rsidR="00283E52" w:rsidRPr="00E13978">
        <w:rPr>
          <w:color w:val="000000" w:themeColor="text1"/>
          <w:sz w:val="22"/>
          <w:szCs w:val="22"/>
          <w:lang w:val="pt-BR"/>
        </w:rPr>
        <w:t>Integra</w:t>
      </w:r>
      <w:r w:rsidRPr="00E13978">
        <w:rPr>
          <w:color w:val="000000" w:themeColor="text1"/>
          <w:sz w:val="22"/>
          <w:szCs w:val="22"/>
          <w:lang w:val="pt-BR"/>
        </w:rPr>
        <w:t>da dos Recursos Hídricos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Espera-se uma nova contribuição de </w:t>
      </w:r>
      <w:r w:rsidR="00283E52" w:rsidRPr="00E13978">
        <w:rPr>
          <w:color w:val="000000" w:themeColor="text1"/>
          <w:sz w:val="22"/>
          <w:szCs w:val="22"/>
          <w:lang w:val="pt-BR"/>
        </w:rPr>
        <w:t>US$2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283E52" w:rsidRPr="00E13978">
        <w:rPr>
          <w:color w:val="000000" w:themeColor="text1"/>
          <w:sz w:val="22"/>
          <w:szCs w:val="22"/>
          <w:lang w:val="pt-BR"/>
        </w:rPr>
        <w:t>300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000 </w:t>
      </w:r>
      <w:r w:rsidRPr="00E13978">
        <w:rPr>
          <w:color w:val="000000" w:themeColor="text1"/>
          <w:sz w:val="22"/>
          <w:szCs w:val="22"/>
          <w:lang w:val="pt-BR"/>
        </w:rPr>
        <w:t xml:space="preserve">para execução em </w:t>
      </w:r>
      <w:r w:rsidR="00283E52" w:rsidRPr="00E13978">
        <w:rPr>
          <w:color w:val="000000" w:themeColor="text1"/>
          <w:sz w:val="22"/>
          <w:szCs w:val="22"/>
          <w:lang w:val="pt-BR"/>
        </w:rPr>
        <w:t>2022.</w:t>
      </w:r>
    </w:p>
    <w:p w14:paraId="6614C002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516EDAF" w14:textId="368F7F75" w:rsidR="00283E52" w:rsidRPr="00E13978" w:rsidRDefault="00960B62" w:rsidP="00E13978">
      <w:pPr>
        <w:pStyle w:val="ListParagraph"/>
        <w:numPr>
          <w:ilvl w:val="0"/>
          <w:numId w:val="25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SEDI/DSD </w:t>
      </w:r>
      <w:r w:rsidRPr="00E13978">
        <w:rPr>
          <w:color w:val="000000" w:themeColor="text1"/>
          <w:sz w:val="22"/>
          <w:szCs w:val="22"/>
          <w:lang w:val="pt-BR"/>
        </w:rPr>
        <w:t xml:space="preserve">firmou parceria com o Banco Interamericano de </w:t>
      </w:r>
      <w:r w:rsidR="00283E52" w:rsidRPr="00E13978">
        <w:rPr>
          <w:color w:val="000000" w:themeColor="text1"/>
          <w:sz w:val="22"/>
          <w:szCs w:val="22"/>
          <w:lang w:val="pt-BR"/>
        </w:rPr>
        <w:t>De</w:t>
      </w:r>
      <w:r w:rsidRPr="00E13978">
        <w:rPr>
          <w:color w:val="000000" w:themeColor="text1"/>
          <w:sz w:val="22"/>
          <w:szCs w:val="22"/>
          <w:lang w:val="pt-BR"/>
        </w:rPr>
        <w:t xml:space="preserve">senvolvimento </w:t>
      </w:r>
      <w:r w:rsidR="00283E52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BID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), </w:t>
      </w:r>
      <w:r w:rsidRPr="00E13978">
        <w:rPr>
          <w:color w:val="000000" w:themeColor="text1"/>
          <w:sz w:val="22"/>
          <w:szCs w:val="22"/>
          <w:lang w:val="pt-BR"/>
        </w:rPr>
        <w:t xml:space="preserve">o Programa das Nações Unidas para o Meio Ambiente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(UNEP), </w:t>
      </w:r>
      <w:r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283E52" w:rsidRPr="00E13978">
        <w:rPr>
          <w:i/>
          <w:iCs/>
          <w:color w:val="000000" w:themeColor="text1"/>
          <w:sz w:val="22"/>
          <w:szCs w:val="22"/>
          <w:lang w:val="pt-BR"/>
        </w:rPr>
        <w:t>Deutsche Gesellschaft für Internationale Zusammenarbeit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(GIZ)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e a </w:t>
      </w:r>
      <w:r w:rsidR="004D733A" w:rsidRPr="00E13978">
        <w:rPr>
          <w:color w:val="000000" w:themeColor="text1"/>
          <w:sz w:val="22"/>
          <w:szCs w:val="22"/>
          <w:lang w:val="pt-BR"/>
        </w:rPr>
        <w:t>Secretaria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da Convenção de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Cartagena (CAR/RCU) </w:t>
      </w:r>
      <w:r w:rsidRPr="00E13978">
        <w:rPr>
          <w:color w:val="000000" w:themeColor="text1"/>
          <w:sz w:val="22"/>
          <w:szCs w:val="22"/>
          <w:lang w:val="pt-BR"/>
        </w:rPr>
        <w:t xml:space="preserve">para a execução do projeto </w:t>
      </w:r>
      <w:r w:rsidR="00283E52" w:rsidRPr="00E13978">
        <w:rPr>
          <w:color w:val="000000" w:themeColor="text1"/>
          <w:sz w:val="22"/>
          <w:szCs w:val="22"/>
          <w:lang w:val="pt-BR"/>
        </w:rPr>
        <w:t>GEF “</w:t>
      </w:r>
      <w:r w:rsidRPr="00E13978">
        <w:rPr>
          <w:color w:val="000000" w:themeColor="text1"/>
          <w:sz w:val="22"/>
          <w:szCs w:val="22"/>
          <w:lang w:val="pt-BR"/>
        </w:rPr>
        <w:t xml:space="preserve">Fundo Regional do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para a Gestão d</w:t>
      </w:r>
      <w:r w:rsidR="00647460" w:rsidRPr="00E13978">
        <w:rPr>
          <w:color w:val="000000" w:themeColor="text1"/>
          <w:sz w:val="22"/>
          <w:szCs w:val="22"/>
          <w:lang w:val="pt-BR"/>
        </w:rPr>
        <w:t>e</w:t>
      </w:r>
      <w:r w:rsidRPr="00E13978">
        <w:rPr>
          <w:color w:val="000000" w:themeColor="text1"/>
          <w:sz w:val="22"/>
          <w:szCs w:val="22"/>
          <w:lang w:val="pt-BR"/>
        </w:rPr>
        <w:t xml:space="preserve"> Águas Residuais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(CreW+)”, </w:t>
      </w:r>
      <w:r w:rsidRPr="00E13978">
        <w:rPr>
          <w:color w:val="000000" w:themeColor="text1"/>
          <w:sz w:val="22"/>
          <w:szCs w:val="22"/>
          <w:lang w:val="pt-BR"/>
        </w:rPr>
        <w:t xml:space="preserve">com uma contribuição de </w:t>
      </w:r>
      <w:r w:rsidR="00283E52" w:rsidRPr="00E13978">
        <w:rPr>
          <w:color w:val="000000" w:themeColor="text1"/>
          <w:sz w:val="22"/>
          <w:szCs w:val="22"/>
          <w:lang w:val="pt-BR"/>
        </w:rPr>
        <w:t>US</w:t>
      </w:r>
      <w:r w:rsidRPr="00E13978">
        <w:rPr>
          <w:color w:val="000000" w:themeColor="text1"/>
          <w:sz w:val="22"/>
          <w:szCs w:val="22"/>
          <w:lang w:val="pt-BR"/>
        </w:rPr>
        <w:t>$</w:t>
      </w:r>
      <w:r w:rsidR="00283E52" w:rsidRPr="00E13978">
        <w:rPr>
          <w:color w:val="000000" w:themeColor="text1"/>
          <w:sz w:val="22"/>
          <w:szCs w:val="22"/>
          <w:lang w:val="pt-BR"/>
        </w:rPr>
        <w:t>15</w:t>
      </w:r>
      <w:r w:rsidRPr="00E13978">
        <w:rPr>
          <w:color w:val="000000" w:themeColor="text1"/>
          <w:sz w:val="22"/>
          <w:szCs w:val="22"/>
          <w:lang w:val="pt-BR"/>
        </w:rPr>
        <w:t xml:space="preserve"> milhões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na </w:t>
      </w:r>
      <w:r w:rsidR="00B04D8F" w:rsidRPr="00E13978">
        <w:rPr>
          <w:color w:val="000000" w:themeColor="text1"/>
          <w:sz w:val="22"/>
          <w:szCs w:val="22"/>
          <w:lang w:val="pt-BR"/>
        </w:rPr>
        <w:t>Região mais Ampla do Caribe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: Barbados, Belize, </w:t>
      </w:r>
      <w:r w:rsidR="00240A50" w:rsidRPr="00E13978">
        <w:rPr>
          <w:color w:val="000000" w:themeColor="text1"/>
          <w:sz w:val="22"/>
          <w:szCs w:val="22"/>
          <w:lang w:val="pt-BR"/>
        </w:rPr>
        <w:t>Colômbia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Costa Rica, Cuba, </w:t>
      </w:r>
      <w:r w:rsidR="00B04D8F" w:rsidRPr="00E13978">
        <w:rPr>
          <w:color w:val="000000" w:themeColor="text1"/>
          <w:sz w:val="22"/>
          <w:szCs w:val="22"/>
          <w:lang w:val="pt-BR"/>
        </w:rPr>
        <w:t>República Dominicana</w:t>
      </w:r>
      <w:r w:rsidR="00283E52" w:rsidRPr="00E13978">
        <w:rPr>
          <w:color w:val="000000" w:themeColor="text1"/>
          <w:sz w:val="22"/>
          <w:szCs w:val="22"/>
          <w:lang w:val="pt-BR"/>
        </w:rPr>
        <w:t>, Grenada, Guatemala, Gu</w:t>
      </w:r>
      <w:r w:rsidR="00B04D8F" w:rsidRPr="00E13978">
        <w:rPr>
          <w:color w:val="000000" w:themeColor="text1"/>
          <w:sz w:val="22"/>
          <w:szCs w:val="22"/>
          <w:lang w:val="pt-BR"/>
        </w:rPr>
        <w:t>i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ana, Honduras, Jamaica, </w:t>
      </w:r>
      <w:r w:rsidR="004E0017" w:rsidRPr="00E13978">
        <w:rPr>
          <w:color w:val="000000" w:themeColor="text1"/>
          <w:sz w:val="22"/>
          <w:szCs w:val="22"/>
          <w:lang w:val="pt-BR"/>
        </w:rPr>
        <w:t>México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Panama, Saint Kitts </w:t>
      </w:r>
      <w:r w:rsidR="00B04D8F" w:rsidRPr="00E13978">
        <w:rPr>
          <w:color w:val="000000" w:themeColor="text1"/>
          <w:sz w:val="22"/>
          <w:szCs w:val="22"/>
          <w:lang w:val="pt-BR"/>
        </w:rPr>
        <w:t>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Nevis, S</w:t>
      </w:r>
      <w:r w:rsidR="00B04D8F" w:rsidRPr="00E13978">
        <w:rPr>
          <w:color w:val="000000" w:themeColor="text1"/>
          <w:sz w:val="22"/>
          <w:szCs w:val="22"/>
          <w:lang w:val="pt-BR"/>
        </w:rPr>
        <w:t>anta Lúcia, São Vicente 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Gr</w:t>
      </w:r>
      <w:r w:rsidR="00B04D8F" w:rsidRPr="00E13978">
        <w:rPr>
          <w:color w:val="000000" w:themeColor="text1"/>
          <w:sz w:val="22"/>
          <w:szCs w:val="22"/>
          <w:lang w:val="pt-BR"/>
        </w:rPr>
        <w:t>a</w:t>
      </w:r>
      <w:r w:rsidR="00283E52" w:rsidRPr="00E13978">
        <w:rPr>
          <w:color w:val="000000" w:themeColor="text1"/>
          <w:sz w:val="22"/>
          <w:szCs w:val="22"/>
          <w:lang w:val="pt-BR"/>
        </w:rPr>
        <w:t>nadin</w:t>
      </w:r>
      <w:r w:rsidR="00B04D8F" w:rsidRPr="00E13978">
        <w:rPr>
          <w:color w:val="000000" w:themeColor="text1"/>
          <w:sz w:val="22"/>
          <w:szCs w:val="22"/>
          <w:lang w:val="pt-BR"/>
        </w:rPr>
        <w:t>a</w:t>
      </w:r>
      <w:r w:rsidR="00283E52" w:rsidRPr="00E13978">
        <w:rPr>
          <w:color w:val="000000" w:themeColor="text1"/>
          <w:sz w:val="22"/>
          <w:szCs w:val="22"/>
          <w:lang w:val="pt-BR"/>
        </w:rPr>
        <w:t>s, Suriname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 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Trinidad </w:t>
      </w:r>
      <w:r w:rsidR="00B04D8F" w:rsidRPr="00E13978">
        <w:rPr>
          <w:color w:val="000000" w:themeColor="text1"/>
          <w:sz w:val="22"/>
          <w:szCs w:val="22"/>
          <w:lang w:val="pt-BR"/>
        </w:rPr>
        <w:t>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Tobago. 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SEDI/DSD </w:t>
      </w:r>
      <w:r w:rsidR="00B04D8F" w:rsidRPr="00E13978">
        <w:rPr>
          <w:color w:val="000000" w:themeColor="text1"/>
          <w:sz w:val="22"/>
          <w:szCs w:val="22"/>
          <w:lang w:val="pt-BR"/>
        </w:rPr>
        <w:t>é responsável pela coordenação geral do projeto e</w:t>
      </w:r>
      <w:r w:rsidR="00647460" w:rsidRPr="00E13978">
        <w:rPr>
          <w:color w:val="000000" w:themeColor="text1"/>
          <w:sz w:val="22"/>
          <w:szCs w:val="22"/>
          <w:lang w:val="pt-BR"/>
        </w:rPr>
        <w:t>,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 em </w:t>
      </w:r>
      <w:r w:rsidR="00283E52" w:rsidRPr="00E13978">
        <w:rPr>
          <w:color w:val="000000" w:themeColor="text1"/>
          <w:sz w:val="22"/>
          <w:szCs w:val="22"/>
          <w:lang w:val="pt-BR"/>
        </w:rPr>
        <w:t>Barbados</w:t>
      </w:r>
      <w:r w:rsidR="00647460" w:rsidRPr="00E13978">
        <w:rPr>
          <w:color w:val="000000" w:themeColor="text1"/>
          <w:sz w:val="22"/>
          <w:szCs w:val="22"/>
          <w:lang w:val="pt-BR"/>
        </w:rPr>
        <w:t>,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comanda o desenvolvimento de uma Estratégia Nacional de Comunicações </w:t>
      </w:r>
      <w:r w:rsidR="00283E52" w:rsidRPr="00E13978">
        <w:rPr>
          <w:color w:val="000000" w:themeColor="text1"/>
          <w:sz w:val="22"/>
          <w:szCs w:val="22"/>
          <w:lang w:val="pt-BR"/>
        </w:rPr>
        <w:t>(</w:t>
      </w:r>
      <w:r w:rsidR="00B04D8F" w:rsidRPr="00E13978">
        <w:rPr>
          <w:color w:val="000000" w:themeColor="text1"/>
          <w:sz w:val="22"/>
          <w:szCs w:val="22"/>
          <w:lang w:val="pt-BR"/>
        </w:rPr>
        <w:t>e Plano de Implementação Correlato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para a Gestão Hídrica </w:t>
      </w:r>
      <w:r w:rsidR="00647460" w:rsidRPr="00E13978">
        <w:rPr>
          <w:color w:val="000000" w:themeColor="text1"/>
          <w:sz w:val="22"/>
          <w:szCs w:val="22"/>
          <w:lang w:val="pt-BR"/>
        </w:rPr>
        <w:t xml:space="preserve">Integrada 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e de Águas Residuais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(IWWM) 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e a avaliação do ambiente propício necessário para um Fundo Rotativo de Águas Residuais e </w:t>
      </w:r>
      <w:r w:rsidR="00647460" w:rsidRPr="00E13978">
        <w:rPr>
          <w:color w:val="000000" w:themeColor="text1"/>
          <w:sz w:val="22"/>
          <w:szCs w:val="22"/>
          <w:lang w:val="pt-BR"/>
        </w:rPr>
        <w:t>d</w:t>
      </w:r>
      <w:r w:rsidR="00B04D8F" w:rsidRPr="00E13978">
        <w:rPr>
          <w:color w:val="000000" w:themeColor="text1"/>
          <w:sz w:val="22"/>
          <w:szCs w:val="22"/>
          <w:lang w:val="pt-BR"/>
        </w:rPr>
        <w:t xml:space="preserve">esenvolvimento de um mecanismo de </w:t>
      </w:r>
      <w:r w:rsidR="00B04D8F" w:rsidRPr="00E13978">
        <w:rPr>
          <w:color w:val="000000" w:themeColor="text1"/>
          <w:sz w:val="22"/>
          <w:szCs w:val="22"/>
          <w:lang w:val="pt-BR"/>
        </w:rPr>
        <w:lastRenderedPageBreak/>
        <w:t>cofinanciamento</w:t>
      </w:r>
      <w:r w:rsidR="00283E52" w:rsidRPr="00E13978">
        <w:rPr>
          <w:color w:val="000000" w:themeColor="text1"/>
          <w:sz w:val="22"/>
          <w:szCs w:val="22"/>
          <w:lang w:val="pt-BR"/>
        </w:rPr>
        <w:t>/</w:t>
      </w:r>
      <w:r w:rsidR="00B04D8F" w:rsidRPr="00E13978">
        <w:rPr>
          <w:color w:val="000000" w:themeColor="text1"/>
          <w:sz w:val="22"/>
          <w:szCs w:val="22"/>
          <w:lang w:val="pt-BR"/>
        </w:rPr>
        <w:t>fundo rotativo para apoiar a adoção de programas de tratamento de águas residuais e programas de reuso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1BA92E10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458ED56" w14:textId="785F18A9" w:rsidR="00283E52" w:rsidRPr="00E13978" w:rsidRDefault="00B04D8F" w:rsidP="00E13978">
      <w:pPr>
        <w:pStyle w:val="ListParagraph"/>
        <w:numPr>
          <w:ilvl w:val="0"/>
          <w:numId w:val="25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283E52" w:rsidRPr="00E13978">
        <w:rPr>
          <w:color w:val="000000" w:themeColor="text1"/>
          <w:sz w:val="22"/>
          <w:szCs w:val="22"/>
          <w:lang w:val="pt-BR"/>
        </w:rPr>
        <w:t>SEDI/DSD</w:t>
      </w:r>
      <w:r w:rsidRPr="00E13978">
        <w:rPr>
          <w:color w:val="000000" w:themeColor="text1"/>
          <w:sz w:val="22"/>
          <w:szCs w:val="22"/>
          <w:lang w:val="pt-BR"/>
        </w:rPr>
        <w:t xml:space="preserve">, juntamente com o Banco Interamericano de Desenvolvimento </w:t>
      </w:r>
      <w:r w:rsidR="00283E52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BID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Pr="00E13978">
        <w:rPr>
          <w:color w:val="000000" w:themeColor="text1"/>
          <w:sz w:val="22"/>
          <w:szCs w:val="22"/>
          <w:lang w:val="pt-BR"/>
        </w:rPr>
        <w:t xml:space="preserve">e em </w:t>
      </w:r>
      <w:r w:rsidR="00240A50" w:rsidRPr="00E13978">
        <w:rPr>
          <w:color w:val="000000" w:themeColor="text1"/>
          <w:sz w:val="22"/>
          <w:szCs w:val="22"/>
          <w:lang w:val="pt-BR"/>
        </w:rPr>
        <w:t xml:space="preserve">colaboração </w:t>
      </w:r>
      <w:r w:rsidRPr="00E13978">
        <w:rPr>
          <w:color w:val="000000" w:themeColor="text1"/>
          <w:sz w:val="22"/>
          <w:szCs w:val="22"/>
          <w:lang w:val="pt-BR"/>
        </w:rPr>
        <w:t xml:space="preserve">com os governos da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Costa Rica, Jamaica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Urugua</w:t>
      </w:r>
      <w:r w:rsidRPr="00E13978">
        <w:rPr>
          <w:color w:val="000000" w:themeColor="text1"/>
          <w:sz w:val="22"/>
          <w:szCs w:val="22"/>
          <w:lang w:val="pt-BR"/>
        </w:rPr>
        <w:t xml:space="preserve">i, executou a iniciativa </w:t>
      </w:r>
      <w:r w:rsidR="00283E52" w:rsidRPr="00E13978">
        <w:rPr>
          <w:color w:val="000000" w:themeColor="text1"/>
          <w:sz w:val="22"/>
          <w:szCs w:val="22"/>
          <w:lang w:val="pt-BR"/>
        </w:rPr>
        <w:t>regional “</w:t>
      </w:r>
      <w:r w:rsidRPr="00E13978">
        <w:rPr>
          <w:color w:val="000000" w:themeColor="text1"/>
          <w:sz w:val="22"/>
          <w:szCs w:val="22"/>
          <w:lang w:val="pt-BR"/>
        </w:rPr>
        <w:t xml:space="preserve">Programa de Ação do Clima para o Desenvolvimento na </w:t>
      </w:r>
      <w:r w:rsidR="00F0089C" w:rsidRPr="00E13978">
        <w:rPr>
          <w:color w:val="000000" w:themeColor="text1"/>
          <w:sz w:val="22"/>
          <w:szCs w:val="22"/>
          <w:lang w:val="pt-BR"/>
        </w:rPr>
        <w:t xml:space="preserve">América Latina </w:t>
      </w:r>
      <w:r w:rsidRPr="00E13978">
        <w:rPr>
          <w:color w:val="000000" w:themeColor="text1"/>
          <w:sz w:val="22"/>
          <w:szCs w:val="22"/>
          <w:lang w:val="pt-BR"/>
        </w:rPr>
        <w:t xml:space="preserve">e no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Pr="00E13978">
        <w:rPr>
          <w:color w:val="000000" w:themeColor="text1"/>
          <w:sz w:val="22"/>
          <w:szCs w:val="22"/>
          <w:lang w:val="pt-BR"/>
        </w:rPr>
        <w:t xml:space="preserve">proposta </w:t>
      </w:r>
      <w:r w:rsidR="00283E52" w:rsidRPr="00E13978">
        <w:rPr>
          <w:color w:val="000000" w:themeColor="text1"/>
          <w:sz w:val="22"/>
          <w:szCs w:val="22"/>
          <w:lang w:val="pt-BR"/>
        </w:rPr>
        <w:t>a</w:t>
      </w:r>
      <w:r w:rsidR="00947A26" w:rsidRPr="00E13978">
        <w:rPr>
          <w:color w:val="000000" w:themeColor="text1"/>
          <w:sz w:val="22"/>
          <w:szCs w:val="22"/>
          <w:lang w:val="pt-BR"/>
        </w:rPr>
        <w:t xml:space="preserve">brangente </w:t>
      </w:r>
      <w:r w:rsidR="00283E52" w:rsidRPr="00E13978">
        <w:rPr>
          <w:color w:val="000000" w:themeColor="text1"/>
          <w:sz w:val="22"/>
          <w:szCs w:val="22"/>
          <w:lang w:val="pt-BR"/>
        </w:rPr>
        <w:t>base</w:t>
      </w:r>
      <w:r w:rsidR="00947A26" w:rsidRPr="00E13978">
        <w:rPr>
          <w:color w:val="000000" w:themeColor="text1"/>
          <w:sz w:val="22"/>
          <w:szCs w:val="22"/>
          <w:lang w:val="pt-BR"/>
        </w:rPr>
        <w:t xml:space="preserve">ada </w:t>
      </w:r>
      <w:r w:rsidR="00647460" w:rsidRPr="00E13978">
        <w:rPr>
          <w:color w:val="000000" w:themeColor="text1"/>
          <w:sz w:val="22"/>
          <w:szCs w:val="22"/>
          <w:lang w:val="pt-BR"/>
        </w:rPr>
        <w:t>nas</w:t>
      </w:r>
      <w:r w:rsidR="00947A26" w:rsidRPr="00E13978">
        <w:rPr>
          <w:color w:val="000000" w:themeColor="text1"/>
          <w:sz w:val="22"/>
          <w:szCs w:val="22"/>
          <w:lang w:val="pt-BR"/>
        </w:rPr>
        <w:t xml:space="preserve"> melhores práticas </w:t>
      </w:r>
      <w:r w:rsidR="00283E52" w:rsidRPr="00E13978">
        <w:rPr>
          <w:color w:val="000000" w:themeColor="text1"/>
          <w:sz w:val="22"/>
          <w:szCs w:val="22"/>
          <w:lang w:val="pt-BR"/>
        </w:rPr>
        <w:t>n</w:t>
      </w:r>
      <w:r w:rsidR="00947A26" w:rsidRPr="00E13978">
        <w:rPr>
          <w:color w:val="000000" w:themeColor="text1"/>
          <w:sz w:val="22"/>
          <w:szCs w:val="22"/>
          <w:lang w:val="pt-BR"/>
        </w:rPr>
        <w:t>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”. </w:t>
      </w:r>
      <w:r w:rsidR="00676E6E" w:rsidRPr="00E13978">
        <w:rPr>
          <w:color w:val="000000" w:themeColor="text1"/>
          <w:sz w:val="22"/>
          <w:szCs w:val="22"/>
          <w:lang w:val="pt-BR"/>
        </w:rPr>
        <w:t>Esse enfoque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regional </w:t>
      </w:r>
      <w:r w:rsidR="00676E6E" w:rsidRPr="00E13978">
        <w:rPr>
          <w:color w:val="000000" w:themeColor="text1"/>
          <w:sz w:val="22"/>
          <w:szCs w:val="22"/>
          <w:lang w:val="pt-BR"/>
        </w:rPr>
        <w:t xml:space="preserve">busca promover atividades de ação climática e ferramentas para a consecução das Contribuições Nacionalmente </w:t>
      </w:r>
      <w:r w:rsidR="00283E52" w:rsidRPr="00E13978">
        <w:rPr>
          <w:color w:val="000000" w:themeColor="text1"/>
          <w:sz w:val="22"/>
          <w:szCs w:val="22"/>
          <w:lang w:val="pt-BR"/>
        </w:rPr>
        <w:t>Determin</w:t>
      </w:r>
      <w:r w:rsidR="00676E6E" w:rsidRPr="00E13978">
        <w:rPr>
          <w:color w:val="000000" w:themeColor="text1"/>
          <w:sz w:val="22"/>
          <w:szCs w:val="22"/>
          <w:lang w:val="pt-BR"/>
        </w:rPr>
        <w:t xml:space="preserve">adas </w:t>
      </w:r>
      <w:r w:rsidR="00283E52" w:rsidRPr="00E13978">
        <w:rPr>
          <w:color w:val="000000" w:themeColor="text1"/>
          <w:sz w:val="22"/>
          <w:szCs w:val="22"/>
          <w:lang w:val="pt-BR"/>
        </w:rPr>
        <w:t>(NDC).</w:t>
      </w:r>
    </w:p>
    <w:p w14:paraId="2295C7B2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71ACE21" w14:textId="3FF1F3B8" w:rsidR="00283E52" w:rsidRPr="00E13978" w:rsidRDefault="00283E52" w:rsidP="00E13978">
      <w:pPr>
        <w:pStyle w:val="ListParagraph"/>
        <w:numPr>
          <w:ilvl w:val="0"/>
          <w:numId w:val="25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Publi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cou o guia </w:t>
      </w:r>
      <w:r w:rsidRPr="00E13978">
        <w:rPr>
          <w:color w:val="000000" w:themeColor="text1"/>
          <w:sz w:val="22"/>
          <w:szCs w:val="22"/>
          <w:lang w:val="pt-BR"/>
        </w:rPr>
        <w:t>“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Igualdade de Gênero e Água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>: Considera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ções e Diretrizes para a Incorporação do Enfoque de Gênero </w:t>
      </w:r>
      <w:r w:rsidR="00647460" w:rsidRPr="00E13978">
        <w:rPr>
          <w:color w:val="000000" w:themeColor="text1"/>
          <w:sz w:val="22"/>
          <w:szCs w:val="22"/>
          <w:lang w:val="pt-BR"/>
        </w:rPr>
        <w:t>a</w:t>
      </w:r>
      <w:r w:rsidR="00CA2F71" w:rsidRPr="00E13978">
        <w:rPr>
          <w:color w:val="000000" w:themeColor="text1"/>
          <w:sz w:val="22"/>
          <w:szCs w:val="22"/>
          <w:lang w:val="pt-BR"/>
        </w:rPr>
        <w:t>os Programas, Planos</w:t>
      </w:r>
      <w:r w:rsidR="00647460" w:rsidRPr="00E13978">
        <w:rPr>
          <w:color w:val="000000" w:themeColor="text1"/>
          <w:sz w:val="22"/>
          <w:szCs w:val="22"/>
          <w:lang w:val="pt-BR"/>
        </w:rPr>
        <w:t>,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 Projetos e Atividades de Gestão Hídrica</w:t>
      </w:r>
      <w:r w:rsidRPr="00E13978">
        <w:rPr>
          <w:color w:val="000000" w:themeColor="text1"/>
          <w:sz w:val="22"/>
          <w:szCs w:val="22"/>
          <w:lang w:val="pt-BR"/>
        </w:rPr>
        <w:t>”.</w:t>
      </w:r>
    </w:p>
    <w:p w14:paraId="0A62B95C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86DAB15" w14:textId="401FA6DF" w:rsidR="00283E52" w:rsidRPr="00E13978" w:rsidRDefault="00283E52" w:rsidP="00E13978">
      <w:pPr>
        <w:pStyle w:val="ListParagraph"/>
        <w:numPr>
          <w:ilvl w:val="0"/>
          <w:numId w:val="25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De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senvolveu a metodologia da publicação </w:t>
      </w:r>
      <w:r w:rsidRPr="00E13978">
        <w:rPr>
          <w:color w:val="000000" w:themeColor="text1"/>
          <w:sz w:val="22"/>
          <w:szCs w:val="22"/>
          <w:lang w:val="pt-BR"/>
        </w:rPr>
        <w:t>“</w:t>
      </w:r>
      <w:r w:rsidR="00CA2F71" w:rsidRPr="00E13978">
        <w:rPr>
          <w:color w:val="000000" w:themeColor="text1"/>
          <w:sz w:val="22"/>
          <w:szCs w:val="22"/>
          <w:lang w:val="pt-BR"/>
        </w:rPr>
        <w:t>Bacias Transfronteiriça</w:t>
      </w:r>
      <w:r w:rsidR="00647460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 xml:space="preserve">: 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Água e Paz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>: Metodolog</w:t>
      </w:r>
      <w:r w:rsidR="00CA2F71" w:rsidRPr="00E13978">
        <w:rPr>
          <w:color w:val="000000" w:themeColor="text1"/>
          <w:sz w:val="22"/>
          <w:szCs w:val="22"/>
          <w:lang w:val="pt-BR"/>
        </w:rPr>
        <w:t>ia para Diagnosticar a Cooperação e a Resiliência Transfronte</w:t>
      </w:r>
      <w:r w:rsidR="004B15B0" w:rsidRPr="00E13978">
        <w:rPr>
          <w:color w:val="000000" w:themeColor="text1"/>
          <w:sz w:val="22"/>
          <w:szCs w:val="22"/>
          <w:lang w:val="pt-BR"/>
        </w:rPr>
        <w:t>i</w:t>
      </w:r>
      <w:r w:rsidR="00CA2F71" w:rsidRPr="00E13978">
        <w:rPr>
          <w:color w:val="000000" w:themeColor="text1"/>
          <w:sz w:val="22"/>
          <w:szCs w:val="22"/>
          <w:lang w:val="pt-BR"/>
        </w:rPr>
        <w:t>riças</w:t>
      </w:r>
      <w:r w:rsidRPr="00E13978">
        <w:rPr>
          <w:color w:val="000000" w:themeColor="text1"/>
          <w:sz w:val="22"/>
          <w:szCs w:val="22"/>
          <w:lang w:val="pt-BR"/>
        </w:rPr>
        <w:t>”</w:t>
      </w:r>
      <w:r w:rsidR="00CA2F71" w:rsidRPr="00E13978">
        <w:rPr>
          <w:color w:val="000000" w:themeColor="text1"/>
          <w:sz w:val="22"/>
          <w:szCs w:val="22"/>
          <w:lang w:val="pt-BR"/>
        </w:rPr>
        <w:t>, a ser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CA2F71" w:rsidRPr="00E13978">
        <w:rPr>
          <w:color w:val="000000" w:themeColor="text1"/>
          <w:sz w:val="22"/>
          <w:szCs w:val="22"/>
          <w:lang w:val="pt-BR"/>
        </w:rPr>
        <w:t xml:space="preserve">editada em </w:t>
      </w:r>
      <w:r w:rsidRPr="00E13978">
        <w:rPr>
          <w:color w:val="000000" w:themeColor="text1"/>
          <w:sz w:val="22"/>
          <w:szCs w:val="22"/>
          <w:lang w:val="pt-BR"/>
        </w:rPr>
        <w:t>2022.</w:t>
      </w:r>
    </w:p>
    <w:p w14:paraId="724901FE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highlight w:val="yellow"/>
          <w:lang w:val="pt-BR"/>
        </w:rPr>
      </w:pPr>
    </w:p>
    <w:p w14:paraId="6FBEE2CA" w14:textId="3A672F51" w:rsidR="00283E52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b/>
          <w:bCs/>
          <w:color w:val="000000" w:themeColor="text1"/>
          <w:sz w:val="22"/>
          <w:szCs w:val="22"/>
          <w:lang w:val="pt-BR"/>
        </w:rPr>
        <w:t>2.4</w:t>
      </w:r>
      <w:r w:rsidR="00703EB9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B15B0" w:rsidRPr="00E13978">
        <w:rPr>
          <w:b/>
          <w:bCs/>
          <w:sz w:val="22"/>
          <w:szCs w:val="22"/>
          <w:lang w:val="pt-BR"/>
        </w:rPr>
        <w:t>Promover a capacidade dos Estados membros no tema cidades e comunidades sustentáveis, de acordo com os objetivos e bases de ação dispostos na Seção 3.4 do PIDS</w:t>
      </w:r>
      <w:r w:rsidR="00283E52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090F46B6" w14:textId="0A179F44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A187A2D" w14:textId="29C94358" w:rsidR="00283E52" w:rsidRPr="00E13978" w:rsidRDefault="00503F5E" w:rsidP="00E13978">
      <w:pPr>
        <w:pStyle w:val="ListParagraph"/>
        <w:numPr>
          <w:ilvl w:val="0"/>
          <w:numId w:val="41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Esse objetivo é também abordado como um objetivo geral de todos os programas e projetos da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SEDI/DSD, </w:t>
      </w:r>
      <w:r w:rsidRPr="00E13978">
        <w:rPr>
          <w:color w:val="000000" w:themeColor="text1"/>
          <w:sz w:val="22"/>
          <w:szCs w:val="22"/>
          <w:lang w:val="pt-BR"/>
        </w:rPr>
        <w:t xml:space="preserve">na medida em que visam comunidades urbanas em bacias transfronteiriças e unidades </w:t>
      </w:r>
      <w:r w:rsidR="009B7047" w:rsidRPr="00E13978">
        <w:rPr>
          <w:color w:val="000000" w:themeColor="text1"/>
          <w:sz w:val="22"/>
          <w:szCs w:val="22"/>
          <w:lang w:val="pt-BR"/>
        </w:rPr>
        <w:t xml:space="preserve">regionais </w:t>
      </w:r>
      <w:r w:rsidRPr="00E13978">
        <w:rPr>
          <w:color w:val="000000" w:themeColor="text1"/>
          <w:sz w:val="22"/>
          <w:szCs w:val="22"/>
          <w:lang w:val="pt-BR"/>
        </w:rPr>
        <w:t>de planejamento e gestão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Do me</w:t>
      </w:r>
      <w:r w:rsidR="00734089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>mo modo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4F1626" w:rsidRPr="00E13978">
        <w:rPr>
          <w:color w:val="000000" w:themeColor="text1"/>
          <w:sz w:val="22"/>
          <w:szCs w:val="22"/>
          <w:lang w:val="pt-BR"/>
        </w:rPr>
        <w:t xml:space="preserve">a Parceria em Energia e Clima para as </w:t>
      </w:r>
      <w:r w:rsidR="004D733A" w:rsidRPr="00E13978">
        <w:rPr>
          <w:color w:val="000000" w:themeColor="text1"/>
          <w:sz w:val="22"/>
          <w:szCs w:val="22"/>
          <w:lang w:val="pt-BR"/>
        </w:rPr>
        <w:t xml:space="preserve">Américas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(ECPA) </w:t>
      </w:r>
      <w:r w:rsidR="004F1626" w:rsidRPr="00E13978">
        <w:rPr>
          <w:color w:val="000000" w:themeColor="text1"/>
          <w:sz w:val="22"/>
          <w:szCs w:val="22"/>
          <w:lang w:val="pt-BR"/>
        </w:rPr>
        <w:t>e o Programa de Gestão do Risco de Desastres contribuem para fazer avançar os objetivos de cidades e comunidades sustentáveis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0813E3D2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E17B019" w14:textId="78487DF4" w:rsidR="00283E52" w:rsidRPr="00E13978" w:rsidRDefault="004F1626" w:rsidP="00E13978">
      <w:pPr>
        <w:pStyle w:val="ListParagraph"/>
        <w:numPr>
          <w:ilvl w:val="0"/>
          <w:numId w:val="41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Prosseguiram os esforços pela mobilização de recursos para a implementação do Curso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 xml:space="preserve">Online </w:t>
      </w:r>
      <w:r w:rsidRPr="00E13978">
        <w:rPr>
          <w:color w:val="000000" w:themeColor="text1"/>
          <w:sz w:val="22"/>
          <w:szCs w:val="22"/>
          <w:lang w:val="pt-BR"/>
        </w:rPr>
        <w:t xml:space="preserve">Aberto e Massivo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(MOOC) </w:t>
      </w:r>
      <w:r w:rsidRPr="00E13978">
        <w:rPr>
          <w:color w:val="000000" w:themeColor="text1"/>
          <w:sz w:val="22"/>
          <w:szCs w:val="22"/>
          <w:lang w:val="pt-BR"/>
        </w:rPr>
        <w:t>sobre comunidades urbanas sustentáveis</w:t>
      </w:r>
      <w:r w:rsidR="009B7047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revisado em </w:t>
      </w:r>
      <w:r w:rsidR="00283E52" w:rsidRPr="00E13978">
        <w:rPr>
          <w:color w:val="000000" w:themeColor="text1"/>
          <w:sz w:val="22"/>
          <w:szCs w:val="22"/>
          <w:lang w:val="pt-BR"/>
        </w:rPr>
        <w:t>2020</w:t>
      </w:r>
      <w:r w:rsidRPr="00E13978">
        <w:rPr>
          <w:color w:val="000000" w:themeColor="text1"/>
          <w:sz w:val="22"/>
          <w:szCs w:val="22"/>
          <w:lang w:val="pt-BR"/>
        </w:rPr>
        <w:t>, para proporcionar à juventude as ferramentas e o conhecimento que influenciem mudanças na cultura, na prática e nos hábitos, e políticas públicas para a consecução de comunidades sustentáveis e resilientes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11DA60FD" w14:textId="77777777" w:rsidR="00E13978" w:rsidRPr="00E13978" w:rsidRDefault="00E13978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66684D98" w14:textId="01C78B7A" w:rsidR="00283E52" w:rsidRPr="00E13978" w:rsidRDefault="00F0089C" w:rsidP="00E13978">
      <w:pPr>
        <w:suppressAutoHyphens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2.5</w:t>
      </w:r>
      <w:r w:rsidR="00703EB9" w:rsidRPr="00E13978">
        <w:rPr>
          <w:b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4F1626" w:rsidRPr="00E13978">
        <w:rPr>
          <w:sz w:val="22"/>
          <w:szCs w:val="22"/>
          <w:lang w:val="pt-BR"/>
        </w:rPr>
        <w:tab/>
      </w:r>
      <w:r w:rsidR="004F1626" w:rsidRPr="00E13978">
        <w:rPr>
          <w:b/>
          <w:bCs/>
          <w:sz w:val="22"/>
          <w:szCs w:val="22"/>
          <w:lang w:val="pt-BR"/>
        </w:rPr>
        <w:t>Promover a capacidade dos Estados membros na gestão sustentável da energia, priorizando as energias limpas, renováveis e ambientalmente sustentáveis e a eficiência energética, de acordo com os objetivos e bases de ação dispostos na Seção 3.5 do PIDS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4A75AC44" w14:textId="285E57EF" w:rsidR="00283E52" w:rsidRPr="00E13978" w:rsidRDefault="00283E52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1F5E83B2" w14:textId="043F8D47" w:rsidR="00283E52" w:rsidRPr="00E13978" w:rsidRDefault="00FD6A2D" w:rsidP="00E13978">
      <w:pPr>
        <w:suppressAutoHyphens/>
        <w:ind w:firstLine="720"/>
        <w:jc w:val="both"/>
        <w:rPr>
          <w:b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Parceria em Energia e Clima para as </w:t>
      </w:r>
      <w:r w:rsidR="004D733A" w:rsidRPr="00E13978">
        <w:rPr>
          <w:b/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(ECPA)</w:t>
      </w:r>
    </w:p>
    <w:p w14:paraId="7AA21729" w14:textId="6A5CBA8E" w:rsidR="00283E52" w:rsidRPr="00E13978" w:rsidRDefault="00FD6A2D" w:rsidP="00E13978">
      <w:pPr>
        <w:pStyle w:val="ListParagraph"/>
        <w:numPr>
          <w:ilvl w:val="0"/>
          <w:numId w:val="34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Organizou nove diálogos setoriais virtuais público-privados com foco em flexibilidade de rede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gás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natural </w:t>
      </w:r>
      <w:r w:rsidRPr="00E13978">
        <w:rPr>
          <w:color w:val="000000" w:themeColor="text1"/>
          <w:sz w:val="22"/>
          <w:szCs w:val="22"/>
          <w:lang w:val="pt-BR"/>
        </w:rPr>
        <w:t xml:space="preserve">e </w:t>
      </w:r>
      <w:r w:rsidR="00283E52" w:rsidRPr="00E13978">
        <w:rPr>
          <w:color w:val="000000" w:themeColor="text1"/>
          <w:sz w:val="22"/>
          <w:szCs w:val="22"/>
          <w:lang w:val="pt-BR"/>
        </w:rPr>
        <w:t>integra</w:t>
      </w:r>
      <w:r w:rsidRPr="00E13978">
        <w:rPr>
          <w:color w:val="000000" w:themeColor="text1"/>
          <w:sz w:val="22"/>
          <w:szCs w:val="22"/>
          <w:lang w:val="pt-BR"/>
        </w:rPr>
        <w:t>ção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Os diálogos se centraram em recomendações de política apresentadas pelo setor privado aos Chefes de Estado na Oitava </w:t>
      </w:r>
      <w:r w:rsidR="00ED3664" w:rsidRPr="00E13978">
        <w:rPr>
          <w:color w:val="000000" w:themeColor="text1"/>
          <w:sz w:val="22"/>
          <w:szCs w:val="22"/>
          <w:lang w:val="pt-BR"/>
        </w:rPr>
        <w:t>Cúpula das Américas</w:t>
      </w:r>
      <w:r w:rsidRPr="00E13978">
        <w:rPr>
          <w:color w:val="000000" w:themeColor="text1"/>
          <w:sz w:val="22"/>
          <w:szCs w:val="22"/>
          <w:lang w:val="pt-BR"/>
        </w:rPr>
        <w:t xml:space="preserve">, realizada em </w:t>
      </w:r>
      <w:r w:rsidR="00283E52" w:rsidRPr="00E13978">
        <w:rPr>
          <w:color w:val="000000" w:themeColor="text1"/>
          <w:sz w:val="22"/>
          <w:szCs w:val="22"/>
          <w:lang w:val="pt-BR"/>
        </w:rPr>
        <w:t>Lima</w:t>
      </w:r>
      <w:r w:rsidRPr="00E13978">
        <w:rPr>
          <w:color w:val="000000" w:themeColor="text1"/>
          <w:sz w:val="22"/>
          <w:szCs w:val="22"/>
          <w:lang w:val="pt-BR"/>
        </w:rPr>
        <w:t xml:space="preserve">, em abril de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2018, </w:t>
      </w:r>
      <w:r w:rsidRPr="00E13978">
        <w:rPr>
          <w:color w:val="000000" w:themeColor="text1"/>
          <w:sz w:val="22"/>
          <w:szCs w:val="22"/>
          <w:lang w:val="pt-BR"/>
        </w:rPr>
        <w:t>bem como em recomendações para combater os efeitos da pande</w:t>
      </w:r>
      <w:r w:rsidR="00653D72" w:rsidRPr="00E13978">
        <w:rPr>
          <w:color w:val="000000" w:themeColor="text1"/>
          <w:sz w:val="22"/>
          <w:szCs w:val="22"/>
          <w:lang w:val="pt-BR"/>
        </w:rPr>
        <w:t xml:space="preserve">mia de </w:t>
      </w:r>
      <w:r w:rsidR="00883E86" w:rsidRPr="00E13978">
        <w:rPr>
          <w:color w:val="000000" w:themeColor="text1"/>
          <w:sz w:val="22"/>
          <w:szCs w:val="22"/>
          <w:lang w:val="pt-BR"/>
        </w:rPr>
        <w:t>covid</w:t>
      </w:r>
      <w:r w:rsidR="00283E52" w:rsidRPr="00E13978">
        <w:rPr>
          <w:color w:val="000000" w:themeColor="text1"/>
          <w:sz w:val="22"/>
          <w:szCs w:val="22"/>
          <w:lang w:val="pt-BR"/>
        </w:rPr>
        <w:t>-19.</w:t>
      </w:r>
    </w:p>
    <w:p w14:paraId="375F8C9C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67A21B4E" w14:textId="4FA7F76D" w:rsidR="00283E52" w:rsidRPr="00E13978" w:rsidRDefault="00653D72" w:rsidP="00E13978">
      <w:pPr>
        <w:pStyle w:val="ListParagraph"/>
        <w:numPr>
          <w:ilvl w:val="0"/>
          <w:numId w:val="34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Abrigou a Série de Treinamento em Transformação Energética Insular, como parte do Fórum de Energia Renovável do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(CREF). </w:t>
      </w:r>
      <w:r w:rsidRPr="00E13978">
        <w:rPr>
          <w:color w:val="000000" w:themeColor="text1"/>
          <w:sz w:val="22"/>
          <w:szCs w:val="22"/>
          <w:lang w:val="pt-BR"/>
        </w:rPr>
        <w:t>A série de treinamento reuni</w:t>
      </w:r>
      <w:r w:rsidR="000B2177" w:rsidRPr="00E13978">
        <w:rPr>
          <w:color w:val="000000" w:themeColor="text1"/>
          <w:sz w:val="22"/>
          <w:szCs w:val="22"/>
          <w:lang w:val="pt-BR"/>
        </w:rPr>
        <w:t>u</w:t>
      </w:r>
      <w:r w:rsidRPr="00E13978">
        <w:rPr>
          <w:color w:val="000000" w:themeColor="text1"/>
          <w:sz w:val="22"/>
          <w:szCs w:val="22"/>
          <w:lang w:val="pt-BR"/>
        </w:rPr>
        <w:t xml:space="preserve"> peritos em energia, formuladores de política, reguladores, funcionários de serviços públicos e </w:t>
      </w:r>
      <w:r w:rsidRPr="00E13978">
        <w:rPr>
          <w:color w:val="000000" w:themeColor="text1"/>
          <w:sz w:val="22"/>
          <w:szCs w:val="22"/>
          <w:lang w:val="pt-BR"/>
        </w:rPr>
        <w:lastRenderedPageBreak/>
        <w:t>o setor privado, para aprender sobre ferramentas e metodologias desenvolvidas por diversos laboratórios nacionais dos Estados Unidos, por intermédio da Iniciativa de Transições Energéticas do Departamento de Energia dos Estados Unidos, para apoiar a transformação do setor energético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As sessões das s</w:t>
      </w:r>
      <w:r w:rsidR="00734089" w:rsidRPr="00E13978">
        <w:rPr>
          <w:color w:val="000000" w:themeColor="text1"/>
          <w:sz w:val="22"/>
          <w:szCs w:val="22"/>
          <w:lang w:val="pt-BR"/>
        </w:rPr>
        <w:t>é</w:t>
      </w:r>
      <w:r w:rsidRPr="00E13978">
        <w:rPr>
          <w:color w:val="000000" w:themeColor="text1"/>
          <w:sz w:val="22"/>
          <w:szCs w:val="22"/>
          <w:lang w:val="pt-BR"/>
        </w:rPr>
        <w:t>ries destacaram</w:t>
      </w:r>
      <w:r w:rsidR="00283E52" w:rsidRPr="00E13978">
        <w:rPr>
          <w:color w:val="000000" w:themeColor="text1"/>
          <w:sz w:val="22"/>
          <w:szCs w:val="22"/>
          <w:lang w:val="pt-BR"/>
        </w:rPr>
        <w:t>: (1)</w:t>
      </w:r>
      <w:r w:rsidR="00F61CE9">
        <w:rPr>
          <w:color w:val="000000" w:themeColor="text1"/>
          <w:sz w:val="22"/>
          <w:szCs w:val="22"/>
          <w:lang w:val="pt-BR"/>
        </w:rPr>
        <w:t> </w:t>
      </w:r>
      <w:r w:rsidRPr="00E13978">
        <w:rPr>
          <w:color w:val="000000" w:themeColor="text1"/>
          <w:sz w:val="22"/>
          <w:szCs w:val="22"/>
          <w:lang w:val="pt-BR"/>
        </w:rPr>
        <w:t xml:space="preserve">fundamentos dos </w:t>
      </w:r>
      <w:r w:rsidR="000B2177" w:rsidRPr="00E13978">
        <w:rPr>
          <w:color w:val="000000" w:themeColor="text1"/>
          <w:sz w:val="22"/>
          <w:szCs w:val="22"/>
          <w:lang w:val="pt-BR"/>
        </w:rPr>
        <w:t>sistemas</w:t>
      </w:r>
      <w:r w:rsidRPr="00E13978">
        <w:rPr>
          <w:color w:val="000000" w:themeColor="text1"/>
          <w:sz w:val="22"/>
          <w:szCs w:val="22"/>
          <w:lang w:val="pt-BR"/>
        </w:rPr>
        <w:t xml:space="preserve"> de energia elétrica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inclusive governança e considerações institucionais para resiliência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; (2) </w:t>
      </w:r>
      <w:r w:rsidRPr="00E13978">
        <w:rPr>
          <w:color w:val="000000" w:themeColor="text1"/>
          <w:sz w:val="22"/>
          <w:szCs w:val="22"/>
          <w:lang w:val="pt-BR"/>
        </w:rPr>
        <w:t>enfoques para identificar a infraestrutura crítica e os objetivos operacionais;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(3) </w:t>
      </w:r>
      <w:r w:rsidRPr="00E13978">
        <w:rPr>
          <w:color w:val="000000" w:themeColor="text1"/>
          <w:sz w:val="22"/>
          <w:szCs w:val="22"/>
          <w:lang w:val="pt-BR"/>
        </w:rPr>
        <w:t xml:space="preserve">requisitos dos processos robustos de compras; 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(4) </w:t>
      </w:r>
      <w:r w:rsidRPr="00E13978">
        <w:rPr>
          <w:color w:val="000000" w:themeColor="text1"/>
          <w:sz w:val="22"/>
          <w:szCs w:val="22"/>
          <w:lang w:val="pt-BR"/>
        </w:rPr>
        <w:t>elementos financeiros para aumentar a viabilidade econômica de projetos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50FE68FC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B0E69BB" w14:textId="07844C22" w:rsidR="00283E52" w:rsidRPr="00E13978" w:rsidRDefault="00A82866" w:rsidP="00E13978">
      <w:pPr>
        <w:pStyle w:val="ListParagraph"/>
        <w:numPr>
          <w:ilvl w:val="0"/>
          <w:numId w:val="34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Sediou quatro diálogos de alto nível sobre energia, em parceria com a Secretaria Nacional de Energia do </w:t>
      </w:r>
      <w:r w:rsidR="00283E52" w:rsidRPr="00E13978">
        <w:rPr>
          <w:color w:val="000000" w:themeColor="text1"/>
          <w:sz w:val="22"/>
          <w:szCs w:val="22"/>
          <w:lang w:val="pt-BR"/>
        </w:rPr>
        <w:t>Panam</w:t>
      </w:r>
      <w:r w:rsidRPr="00E13978">
        <w:rPr>
          <w:color w:val="000000" w:themeColor="text1"/>
          <w:sz w:val="22"/>
          <w:szCs w:val="22"/>
          <w:lang w:val="pt-BR"/>
        </w:rPr>
        <w:t>á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Os formulares de política energética e os líderes da indústria energética das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discutiram assuntos fundamentos relativos ao avanço das transições energéticas e </w:t>
      </w:r>
      <w:r w:rsidR="000B2177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 xml:space="preserve">o desenvolvimento com baixo teor de carbono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</w:p>
    <w:p w14:paraId="02FB1124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4CD3C43" w14:textId="50A782F5" w:rsidR="00283E52" w:rsidRPr="00E13978" w:rsidRDefault="00283E52" w:rsidP="00E13978">
      <w:pPr>
        <w:pStyle w:val="ListParagraph"/>
        <w:numPr>
          <w:ilvl w:val="0"/>
          <w:numId w:val="34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De</w:t>
      </w:r>
      <w:r w:rsidR="00A82866" w:rsidRPr="00E13978">
        <w:rPr>
          <w:color w:val="000000" w:themeColor="text1"/>
          <w:sz w:val="22"/>
          <w:szCs w:val="22"/>
          <w:lang w:val="pt-BR"/>
        </w:rPr>
        <w:t>senvolveu um projeto voltado para o intercâmbio de experiências, melhores práticas e lições aprendidas em avaliação da qualidade do ar e monitoramento de ozônio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008DBA4D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830CC00" w14:textId="70D1D81F" w:rsidR="00283E52" w:rsidRPr="00E13978" w:rsidRDefault="00283E52" w:rsidP="00E13978">
      <w:pPr>
        <w:pStyle w:val="ListParagraph"/>
        <w:numPr>
          <w:ilvl w:val="0"/>
          <w:numId w:val="34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De</w:t>
      </w:r>
      <w:r w:rsidR="00A82866" w:rsidRPr="00E13978">
        <w:rPr>
          <w:color w:val="000000" w:themeColor="text1"/>
          <w:sz w:val="22"/>
          <w:szCs w:val="22"/>
          <w:lang w:val="pt-BR"/>
        </w:rPr>
        <w:t xml:space="preserve">senvolveu um projeto para Transparência e Participação Cívica para Transições Energéticas Democráticas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A82866" w:rsidRPr="00E13978">
        <w:rPr>
          <w:color w:val="000000" w:themeColor="text1"/>
          <w:sz w:val="22"/>
          <w:szCs w:val="22"/>
          <w:lang w:val="pt-BR"/>
        </w:rPr>
        <w:t xml:space="preserve">A meta é apoiar os esforços dos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A82866" w:rsidRPr="00E13978">
        <w:rPr>
          <w:color w:val="000000" w:themeColor="text1"/>
          <w:sz w:val="22"/>
          <w:szCs w:val="22"/>
          <w:lang w:val="pt-BR"/>
        </w:rPr>
        <w:t>da OEA p</w:t>
      </w:r>
      <w:r w:rsidR="000B2177" w:rsidRPr="00E13978">
        <w:rPr>
          <w:color w:val="000000" w:themeColor="text1"/>
          <w:sz w:val="22"/>
          <w:szCs w:val="22"/>
          <w:lang w:val="pt-BR"/>
        </w:rPr>
        <w:t>o</w:t>
      </w:r>
      <w:r w:rsidR="00A82866" w:rsidRPr="00E13978">
        <w:rPr>
          <w:color w:val="000000" w:themeColor="text1"/>
          <w:sz w:val="22"/>
          <w:szCs w:val="22"/>
          <w:lang w:val="pt-BR"/>
        </w:rPr>
        <w:t xml:space="preserve">r envolver as organizações da sociedade civil, as minorias, os grupos marginalizados e as comunidades vulneráveis no processo de tomada de decisão em políticas de energia limpa, segurança energética e </w:t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estratégias de redução e adaptação </w:t>
      </w:r>
      <w:r w:rsidR="000B2177" w:rsidRPr="00E13978">
        <w:rPr>
          <w:color w:val="000000" w:themeColor="text1"/>
          <w:sz w:val="22"/>
          <w:szCs w:val="22"/>
          <w:lang w:val="pt-BR"/>
        </w:rPr>
        <w:t xml:space="preserve">relativas </w:t>
      </w:r>
      <w:r w:rsidR="00BE151E" w:rsidRPr="00E13978">
        <w:rPr>
          <w:color w:val="000000" w:themeColor="text1"/>
          <w:sz w:val="22"/>
          <w:szCs w:val="22"/>
          <w:lang w:val="pt-BR"/>
        </w:rPr>
        <w:t>à mudança do clima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630F0666" w14:textId="77777777" w:rsidR="00283E52" w:rsidRPr="00E13978" w:rsidRDefault="00283E52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527559A9" w14:textId="6ED30F4B" w:rsidR="00283E52" w:rsidRPr="00E13978" w:rsidRDefault="00BE151E" w:rsidP="00E139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O </w:t>
      </w:r>
      <w:r w:rsidR="00283E52" w:rsidRPr="00E13978">
        <w:rPr>
          <w:color w:val="000000" w:themeColor="text1"/>
          <w:sz w:val="22"/>
          <w:szCs w:val="22"/>
          <w:lang w:val="pt-BR"/>
        </w:rPr>
        <w:t>Panam</w:t>
      </w:r>
      <w:r w:rsidRPr="00E13978">
        <w:rPr>
          <w:color w:val="000000" w:themeColor="text1"/>
          <w:sz w:val="22"/>
          <w:szCs w:val="22"/>
          <w:lang w:val="pt-BR"/>
        </w:rPr>
        <w:t>á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anunciou que convocará a Quinta Reunião Ministerial da Parceria em Energia e Clima para as Américas </w:t>
      </w:r>
      <w:r w:rsidR="00283E52" w:rsidRPr="00E13978">
        <w:rPr>
          <w:color w:val="000000" w:themeColor="text1"/>
          <w:sz w:val="22"/>
          <w:szCs w:val="22"/>
          <w:lang w:val="pt-BR"/>
        </w:rPr>
        <w:t>(ECPA)</w:t>
      </w:r>
      <w:r w:rsidRPr="00E13978">
        <w:rPr>
          <w:color w:val="000000" w:themeColor="text1"/>
          <w:sz w:val="22"/>
          <w:szCs w:val="22"/>
          <w:lang w:val="pt-BR"/>
        </w:rPr>
        <w:t xml:space="preserve">, em 10 e 11 de fevereiro de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2022, </w:t>
      </w:r>
      <w:r w:rsidRPr="00E13978">
        <w:rPr>
          <w:color w:val="000000" w:themeColor="text1"/>
          <w:sz w:val="22"/>
          <w:szCs w:val="22"/>
          <w:lang w:val="pt-BR"/>
        </w:rPr>
        <w:t xml:space="preserve">na Cidade do </w:t>
      </w:r>
      <w:r w:rsidR="00283E52" w:rsidRPr="00E13978">
        <w:rPr>
          <w:color w:val="000000" w:themeColor="text1"/>
          <w:sz w:val="22"/>
          <w:szCs w:val="22"/>
          <w:lang w:val="pt-BR"/>
        </w:rPr>
        <w:t>Panam</w:t>
      </w:r>
      <w:r w:rsidRPr="00E13978">
        <w:rPr>
          <w:color w:val="000000" w:themeColor="text1"/>
          <w:sz w:val="22"/>
          <w:szCs w:val="22"/>
          <w:lang w:val="pt-BR"/>
        </w:rPr>
        <w:t>á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A Reunião Ministerial da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ECPA </w:t>
      </w:r>
      <w:r w:rsidRPr="00E13978">
        <w:rPr>
          <w:color w:val="000000" w:themeColor="text1"/>
          <w:sz w:val="22"/>
          <w:szCs w:val="22"/>
          <w:lang w:val="pt-BR"/>
        </w:rPr>
        <w:t xml:space="preserve">focalizará as </w:t>
      </w:r>
      <w:r w:rsidR="00283E52" w:rsidRPr="00E13978">
        <w:rPr>
          <w:color w:val="000000" w:themeColor="text1"/>
          <w:sz w:val="22"/>
          <w:szCs w:val="22"/>
          <w:lang w:val="pt-BR"/>
        </w:rPr>
        <w:t>“</w:t>
      </w:r>
      <w:r w:rsidRPr="00E13978">
        <w:rPr>
          <w:color w:val="000000" w:themeColor="text1"/>
          <w:sz w:val="22"/>
          <w:szCs w:val="22"/>
          <w:lang w:val="pt-BR"/>
        </w:rPr>
        <w:t>Transições Energéticas Justas e Inclusivas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”. </w:t>
      </w:r>
      <w:r w:rsidR="000B2177" w:rsidRPr="00E13978">
        <w:rPr>
          <w:color w:val="000000" w:themeColor="text1"/>
          <w:sz w:val="22"/>
          <w:szCs w:val="22"/>
          <w:lang w:val="pt-BR"/>
        </w:rPr>
        <w:t>E</w:t>
      </w:r>
      <w:r w:rsidRPr="00E13978">
        <w:rPr>
          <w:color w:val="000000" w:themeColor="text1"/>
          <w:sz w:val="22"/>
          <w:szCs w:val="22"/>
          <w:lang w:val="pt-BR"/>
        </w:rPr>
        <w:t>mpresas de energia, empreendedores e parceiros no desenvolvimento participarão do evento, mostrando tecnologias e dividindo conhecimento, ferramentas e m</w:t>
      </w:r>
      <w:r w:rsidR="00283E52" w:rsidRPr="00E13978">
        <w:rPr>
          <w:color w:val="000000" w:themeColor="text1"/>
          <w:sz w:val="22"/>
          <w:szCs w:val="22"/>
          <w:lang w:val="pt-BR"/>
        </w:rPr>
        <w:t>e</w:t>
      </w:r>
      <w:r w:rsidRPr="00E13978">
        <w:rPr>
          <w:color w:val="000000" w:themeColor="text1"/>
          <w:sz w:val="22"/>
          <w:szCs w:val="22"/>
          <w:lang w:val="pt-BR"/>
        </w:rPr>
        <w:t xml:space="preserve">canismos para fazer avançar as transições energéticas nas </w:t>
      </w:r>
      <w:r w:rsidR="004D733A" w:rsidRPr="00E13978">
        <w:rPr>
          <w:color w:val="000000" w:themeColor="text1"/>
          <w:sz w:val="22"/>
          <w:szCs w:val="22"/>
          <w:lang w:val="pt-BR"/>
        </w:rPr>
        <w:t>Américas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283E52" w:rsidRPr="00E13978">
        <w:rPr>
          <w:color w:val="000000" w:themeColor="text1"/>
          <w:sz w:val="22"/>
          <w:szCs w:val="22"/>
          <w:lang w:val="pt-BR"/>
        </w:rPr>
        <w:t>2021</w:t>
      </w:r>
      <w:r w:rsidRPr="00E13978">
        <w:rPr>
          <w:color w:val="000000" w:themeColor="text1"/>
          <w:sz w:val="22"/>
          <w:szCs w:val="22"/>
          <w:lang w:val="pt-BR"/>
        </w:rPr>
        <w:t xml:space="preserve">, a </w:t>
      </w:r>
      <w:r w:rsidR="004D733A" w:rsidRPr="00E13978">
        <w:rPr>
          <w:color w:val="000000" w:themeColor="text1"/>
          <w:sz w:val="22"/>
          <w:szCs w:val="22"/>
          <w:lang w:val="pt-BR"/>
        </w:rPr>
        <w:t>Secretaria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Nacional de Energia do Panamá sediou diversos eventos para desenvolver o Plano de Ação 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2022-2024 </w:t>
      </w:r>
      <w:r w:rsidRPr="00E13978">
        <w:rPr>
          <w:color w:val="000000" w:themeColor="text1"/>
          <w:sz w:val="22"/>
          <w:szCs w:val="22"/>
          <w:lang w:val="pt-BR"/>
        </w:rPr>
        <w:t>da Parceria, a ser aprovado no encontro hemisférico de ministros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7AFD83BB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44A5FF3" w14:textId="512CD500" w:rsidR="00283E52" w:rsidRPr="00E13978" w:rsidRDefault="00F0089C" w:rsidP="00E13978">
      <w:pPr>
        <w:suppressAutoHyphens/>
        <w:ind w:firstLine="18"/>
        <w:jc w:val="both"/>
        <w:rPr>
          <w:b/>
          <w:i/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OBJETIVO 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2.6</w:t>
      </w:r>
      <w:r w:rsidR="00C80979" w:rsidRPr="00E13978">
        <w:rPr>
          <w:b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BE151E" w:rsidRPr="00E13978">
        <w:rPr>
          <w:b/>
          <w:bCs/>
          <w:sz w:val="22"/>
          <w:szCs w:val="22"/>
          <w:lang w:val="pt-BR"/>
        </w:rPr>
        <w:t>Fortalecer a capacidade dos Estados membros de desenvolver instituições eficientes, eficazes, responsáveis e inclusivas para o desenvolvimento sustentável, de acordo com os objetivos e bases de ação dispostos na Seção 3.6 do PIDS</w:t>
      </w:r>
      <w:r w:rsidR="00283E52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344FAA92" w14:textId="5A953B0E" w:rsidR="00283E52" w:rsidRPr="00E13978" w:rsidRDefault="00283E52" w:rsidP="00E13978">
      <w:pPr>
        <w:suppressAutoHyphens/>
        <w:ind w:left="432" w:hanging="432"/>
        <w:jc w:val="both"/>
        <w:rPr>
          <w:color w:val="000000" w:themeColor="text1"/>
          <w:sz w:val="22"/>
          <w:szCs w:val="22"/>
          <w:lang w:val="pt-BR"/>
        </w:rPr>
      </w:pPr>
    </w:p>
    <w:p w14:paraId="550F7116" w14:textId="5EDDFFB4" w:rsidR="00283E52" w:rsidRPr="00E13978" w:rsidRDefault="00BE151E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b/>
          <w:color w:val="000000" w:themeColor="text1"/>
          <w:sz w:val="22"/>
          <w:szCs w:val="22"/>
          <w:lang w:val="pt-BR"/>
        </w:rPr>
        <w:t xml:space="preserve">Fortalecendo a capacidade institucional para o desenvolvimento sustentável </w:t>
      </w:r>
    </w:p>
    <w:p w14:paraId="4C7231EE" w14:textId="199BA399" w:rsidR="00283E52" w:rsidRPr="00E13978" w:rsidRDefault="00283E52" w:rsidP="00E13978">
      <w:pPr>
        <w:pStyle w:val="ListParagraph"/>
        <w:numPr>
          <w:ilvl w:val="0"/>
          <w:numId w:val="35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Prepar</w:t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ou e apresentou o Oitavo Relatório de Avaliação do Programa de Cooperação Ambiental do </w:t>
      </w:r>
      <w:r w:rsidRPr="00E13978">
        <w:rPr>
          <w:color w:val="000000" w:themeColor="text1"/>
          <w:sz w:val="22"/>
          <w:szCs w:val="22"/>
          <w:lang w:val="pt-BR"/>
        </w:rPr>
        <w:t xml:space="preserve">CAFTA-DR (ECP) </w:t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ao Conselho de Assuntos Ambientais do </w:t>
      </w:r>
      <w:r w:rsidRPr="00E13978">
        <w:rPr>
          <w:color w:val="000000" w:themeColor="text1"/>
          <w:sz w:val="22"/>
          <w:szCs w:val="22"/>
          <w:lang w:val="pt-BR"/>
        </w:rPr>
        <w:t xml:space="preserve">CAFTA-DR, </w:t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que mostra resultados, histórias de sucesso, desafios e recomendações do </w:t>
      </w:r>
      <w:r w:rsidRPr="00E13978">
        <w:rPr>
          <w:color w:val="000000" w:themeColor="text1"/>
          <w:sz w:val="22"/>
          <w:szCs w:val="22"/>
          <w:lang w:val="pt-BR"/>
        </w:rPr>
        <w:t>ECP</w:t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 nas </w:t>
      </w:r>
      <w:r w:rsidR="002D410E" w:rsidRPr="00E13978">
        <w:rPr>
          <w:color w:val="000000" w:themeColor="text1"/>
          <w:sz w:val="22"/>
          <w:szCs w:val="22"/>
          <w:lang w:val="pt-BR"/>
        </w:rPr>
        <w:t>áreas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BE151E" w:rsidRPr="00E13978">
        <w:rPr>
          <w:color w:val="000000" w:themeColor="text1"/>
          <w:sz w:val="22"/>
          <w:szCs w:val="22"/>
          <w:lang w:val="pt-BR"/>
        </w:rPr>
        <w:t>abaixo.</w:t>
      </w:r>
    </w:p>
    <w:p w14:paraId="15A3C06D" w14:textId="4A5BFFA8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BE151E" w:rsidRPr="00E13978">
        <w:rPr>
          <w:color w:val="000000" w:themeColor="text1"/>
          <w:sz w:val="22"/>
          <w:szCs w:val="22"/>
          <w:lang w:val="pt-BR"/>
        </w:rPr>
        <w:t xml:space="preserve">Fortalecimento da capacidade institucional para o efetivo cumprimento e </w:t>
      </w:r>
      <w:r w:rsidR="00434D2B" w:rsidRPr="00E13978">
        <w:rPr>
          <w:color w:val="000000" w:themeColor="text1"/>
          <w:sz w:val="22"/>
          <w:szCs w:val="22"/>
          <w:lang w:val="pt-BR"/>
        </w:rPr>
        <w:t>imposição da legislação ambiental.</w:t>
      </w:r>
    </w:p>
    <w:p w14:paraId="4619DF54" w14:textId="00DD6897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434D2B" w:rsidRPr="00E13978">
        <w:rPr>
          <w:color w:val="000000" w:themeColor="text1"/>
          <w:sz w:val="22"/>
          <w:szCs w:val="22"/>
          <w:lang w:val="pt-BR"/>
        </w:rPr>
        <w:t>Construção de capacidade para combater o comércio de espécies selvagens.</w:t>
      </w:r>
    </w:p>
    <w:p w14:paraId="6999692A" w14:textId="652B58E0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lastRenderedPageBreak/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434D2B" w:rsidRPr="00E13978">
        <w:rPr>
          <w:color w:val="000000" w:themeColor="text1"/>
          <w:sz w:val="22"/>
          <w:szCs w:val="22"/>
          <w:lang w:val="pt-BR"/>
        </w:rPr>
        <w:t>Desenvolvimento de normas de qualidade do ar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434D2B" w:rsidRPr="00E13978">
        <w:rPr>
          <w:color w:val="000000" w:themeColor="text1"/>
          <w:sz w:val="22"/>
          <w:szCs w:val="22"/>
          <w:lang w:val="pt-BR"/>
        </w:rPr>
        <w:t>inclusive sistemas de monitoramento do ar urbano.</w:t>
      </w:r>
    </w:p>
    <w:p w14:paraId="3D644D52" w14:textId="0F5753E6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434D2B" w:rsidRPr="00E13978">
        <w:rPr>
          <w:color w:val="000000" w:themeColor="text1"/>
          <w:sz w:val="22"/>
          <w:szCs w:val="22"/>
          <w:lang w:val="pt-BR"/>
        </w:rPr>
        <w:t>Fortalecimento da gestão d</w:t>
      </w:r>
      <w:r w:rsidR="000B2177" w:rsidRPr="00E13978">
        <w:rPr>
          <w:color w:val="000000" w:themeColor="text1"/>
          <w:sz w:val="22"/>
          <w:szCs w:val="22"/>
          <w:lang w:val="pt-BR"/>
        </w:rPr>
        <w:t>e</w:t>
      </w:r>
      <w:r w:rsidR="00434D2B" w:rsidRPr="00E13978">
        <w:rPr>
          <w:color w:val="000000" w:themeColor="text1"/>
          <w:sz w:val="22"/>
          <w:szCs w:val="22"/>
          <w:lang w:val="pt-BR"/>
        </w:rPr>
        <w:t xml:space="preserve"> águas residuais e resíduos sólidos.</w:t>
      </w:r>
    </w:p>
    <w:p w14:paraId="4BF70D31" w14:textId="69953EBB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434D2B" w:rsidRPr="00E13978">
        <w:rPr>
          <w:color w:val="000000" w:themeColor="text1"/>
          <w:sz w:val="22"/>
          <w:szCs w:val="22"/>
          <w:lang w:val="pt-BR"/>
        </w:rPr>
        <w:t xml:space="preserve">Fortalecimento da capacidade de preparar avaliações de impacto ambiental </w:t>
      </w:r>
      <w:r w:rsidRPr="00E13978">
        <w:rPr>
          <w:color w:val="000000" w:themeColor="text1"/>
          <w:sz w:val="22"/>
          <w:szCs w:val="22"/>
          <w:lang w:val="pt-BR"/>
        </w:rPr>
        <w:t>(EIAs)</w:t>
      </w:r>
      <w:r w:rsidR="00434D2B" w:rsidRPr="00E13978">
        <w:rPr>
          <w:color w:val="000000" w:themeColor="text1"/>
          <w:sz w:val="22"/>
          <w:szCs w:val="22"/>
          <w:lang w:val="pt-BR"/>
        </w:rPr>
        <w:t>.</w:t>
      </w:r>
    </w:p>
    <w:p w14:paraId="5FC1F8CD" w14:textId="14616FE6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  <w:t>Promo</w:t>
      </w:r>
      <w:r w:rsidR="00434D2B" w:rsidRPr="00E13978">
        <w:rPr>
          <w:color w:val="000000" w:themeColor="text1"/>
          <w:sz w:val="22"/>
          <w:szCs w:val="22"/>
          <w:lang w:val="pt-BR"/>
        </w:rPr>
        <w:t xml:space="preserve">ção </w:t>
      </w:r>
      <w:r w:rsidR="000B2177" w:rsidRPr="00E13978">
        <w:rPr>
          <w:color w:val="000000" w:themeColor="text1"/>
          <w:sz w:val="22"/>
          <w:szCs w:val="22"/>
          <w:lang w:val="pt-BR"/>
        </w:rPr>
        <w:t xml:space="preserve">da conservação </w:t>
      </w:r>
      <w:r w:rsidR="00434D2B" w:rsidRPr="00E13978">
        <w:rPr>
          <w:color w:val="000000" w:themeColor="text1"/>
          <w:sz w:val="22"/>
          <w:szCs w:val="22"/>
          <w:lang w:val="pt-BR"/>
        </w:rPr>
        <w:t xml:space="preserve">dos ecossistemas marinhos e litorâneos. </w:t>
      </w:r>
    </w:p>
    <w:p w14:paraId="2F72AECF" w14:textId="0FFE827A" w:rsidR="00283E52" w:rsidRPr="00E13978" w:rsidRDefault="00283E52" w:rsidP="00E13978">
      <w:pPr>
        <w:suppressAutoHyphens/>
        <w:ind w:left="216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▪</w:t>
      </w:r>
      <w:r w:rsidRPr="00E13978">
        <w:rPr>
          <w:color w:val="000000" w:themeColor="text1"/>
          <w:sz w:val="22"/>
          <w:szCs w:val="22"/>
          <w:lang w:val="pt-BR"/>
        </w:rPr>
        <w:tab/>
      </w:r>
      <w:r w:rsidR="00434D2B" w:rsidRPr="00E13978">
        <w:rPr>
          <w:color w:val="000000" w:themeColor="text1"/>
          <w:sz w:val="22"/>
          <w:szCs w:val="22"/>
          <w:lang w:val="pt-BR"/>
        </w:rPr>
        <w:t xml:space="preserve">Promoção da participação pública e aumento do conhecimento da legislação ambiental por parte da sociedade </w:t>
      </w:r>
      <w:r w:rsidRPr="00E13978">
        <w:rPr>
          <w:color w:val="000000" w:themeColor="text1"/>
          <w:sz w:val="22"/>
          <w:szCs w:val="22"/>
          <w:lang w:val="pt-BR"/>
        </w:rPr>
        <w:t>civil</w:t>
      </w:r>
      <w:r w:rsidR="00434D2B" w:rsidRPr="00E13978">
        <w:rPr>
          <w:color w:val="000000" w:themeColor="text1"/>
          <w:sz w:val="22"/>
          <w:szCs w:val="22"/>
          <w:lang w:val="pt-BR"/>
        </w:rPr>
        <w:t>.</w:t>
      </w:r>
    </w:p>
    <w:p w14:paraId="5DA908F9" w14:textId="77777777" w:rsidR="00283E52" w:rsidRPr="00E13978" w:rsidRDefault="00283E52" w:rsidP="00E13978">
      <w:pPr>
        <w:suppressAutoHyphens/>
        <w:rPr>
          <w:color w:val="000000" w:themeColor="text1"/>
          <w:sz w:val="22"/>
          <w:szCs w:val="22"/>
          <w:lang w:val="pt-BR"/>
        </w:rPr>
      </w:pPr>
    </w:p>
    <w:p w14:paraId="38CA2720" w14:textId="06B0B27B" w:rsidR="00283E52" w:rsidRPr="00E13978" w:rsidRDefault="00434D2B" w:rsidP="00E13978">
      <w:pPr>
        <w:pStyle w:val="ListParagraph"/>
        <w:numPr>
          <w:ilvl w:val="0"/>
          <w:numId w:val="36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Prestou assistência administrativa e técnica à </w:t>
      </w:r>
      <w:r w:rsidR="004D733A" w:rsidRPr="00E13978">
        <w:rPr>
          <w:color w:val="000000" w:themeColor="text1"/>
          <w:sz w:val="22"/>
          <w:szCs w:val="22"/>
          <w:lang w:val="pt-BR"/>
        </w:rPr>
        <w:t>Secretaria</w:t>
      </w:r>
      <w:r w:rsidRPr="00E13978">
        <w:rPr>
          <w:color w:val="000000" w:themeColor="text1"/>
          <w:sz w:val="22"/>
          <w:szCs w:val="22"/>
          <w:lang w:val="pt-BR"/>
        </w:rPr>
        <w:t>, conforme o Acordo de Promoção Comercial Estados Unidos</w:t>
      </w:r>
      <w:r w:rsidR="00283E52" w:rsidRPr="00E13978">
        <w:rPr>
          <w:color w:val="000000" w:themeColor="text1"/>
          <w:sz w:val="22"/>
          <w:szCs w:val="22"/>
          <w:lang w:val="pt-BR"/>
        </w:rPr>
        <w:t>–Peru (U.S.–Peru TPA)</w:t>
      </w:r>
      <w:r w:rsidR="00217984" w:rsidRPr="00E13978">
        <w:rPr>
          <w:color w:val="000000" w:themeColor="text1"/>
          <w:sz w:val="22"/>
          <w:szCs w:val="22"/>
          <w:lang w:val="pt-BR"/>
        </w:rPr>
        <w:t>,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para apresentação de propostas em Assuntos </w:t>
      </w:r>
      <w:r w:rsidR="001D22F7" w:rsidRPr="00E13978">
        <w:rPr>
          <w:color w:val="000000" w:themeColor="text1"/>
          <w:sz w:val="22"/>
          <w:szCs w:val="22"/>
          <w:lang w:val="pt-BR"/>
        </w:rPr>
        <w:t>Relacionados ao Cumprimento Ambiental</w:t>
      </w:r>
      <w:r w:rsidR="00283E5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D22F7" w:rsidRPr="00E13978">
        <w:rPr>
          <w:color w:val="000000" w:themeColor="text1"/>
          <w:sz w:val="22"/>
          <w:szCs w:val="22"/>
          <w:lang w:val="pt-BR"/>
        </w:rPr>
        <w:t>e no recebimento e processamento de propostas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D22F7" w:rsidRPr="00E13978">
        <w:rPr>
          <w:color w:val="000000" w:themeColor="text1"/>
          <w:sz w:val="22"/>
          <w:szCs w:val="22"/>
          <w:lang w:val="pt-BR"/>
        </w:rPr>
        <w:t>públicas relativas a falhas de uma Parte no cumprimento efetivo de suas leis ambientais</w:t>
      </w:r>
      <w:r w:rsidR="00283E52" w:rsidRPr="00E13978">
        <w:rPr>
          <w:color w:val="000000" w:themeColor="text1"/>
          <w:sz w:val="22"/>
          <w:szCs w:val="22"/>
          <w:lang w:val="pt-BR"/>
        </w:rPr>
        <w:t>.</w:t>
      </w:r>
    </w:p>
    <w:p w14:paraId="3E4BDB54" w14:textId="77777777" w:rsidR="00283E52" w:rsidRPr="00E13978" w:rsidRDefault="00283E5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F349305" w14:textId="6581488E" w:rsidR="00283E52" w:rsidRPr="00E13978" w:rsidRDefault="00283E52" w:rsidP="00E13978">
      <w:pPr>
        <w:pStyle w:val="ListParagraph"/>
        <w:numPr>
          <w:ilvl w:val="0"/>
          <w:numId w:val="36"/>
        </w:numPr>
        <w:suppressAutoHyphens/>
        <w:ind w:hanging="720"/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De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senvolveu uma proposta de projeto para a </w:t>
      </w:r>
      <w:r w:rsidRPr="00E13978">
        <w:rPr>
          <w:color w:val="000000" w:themeColor="text1"/>
          <w:sz w:val="22"/>
          <w:szCs w:val="22"/>
          <w:lang w:val="pt-BR"/>
        </w:rPr>
        <w:t>“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Construção de Capacidade das Agências Nacionais de Execução do </w:t>
      </w:r>
      <w:r w:rsidRPr="00E13978">
        <w:rPr>
          <w:color w:val="000000" w:themeColor="text1"/>
          <w:sz w:val="22"/>
          <w:szCs w:val="22"/>
          <w:lang w:val="pt-BR"/>
        </w:rPr>
        <w:t xml:space="preserve">GEF 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na </w:t>
      </w:r>
      <w:r w:rsidR="00F0089C" w:rsidRPr="00E13978">
        <w:rPr>
          <w:color w:val="000000" w:themeColor="text1"/>
          <w:sz w:val="22"/>
          <w:szCs w:val="22"/>
          <w:lang w:val="pt-BR"/>
        </w:rPr>
        <w:t xml:space="preserve">América Latina 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e no </w:t>
      </w:r>
      <w:r w:rsidR="00240A50" w:rsidRPr="00E13978">
        <w:rPr>
          <w:color w:val="000000" w:themeColor="text1"/>
          <w:sz w:val="22"/>
          <w:szCs w:val="22"/>
          <w:lang w:val="pt-BR"/>
        </w:rPr>
        <w:t>Caribe</w:t>
      </w:r>
      <w:r w:rsidRPr="00E13978">
        <w:rPr>
          <w:color w:val="000000" w:themeColor="text1"/>
          <w:sz w:val="22"/>
          <w:szCs w:val="22"/>
          <w:lang w:val="pt-BR"/>
        </w:rPr>
        <w:t xml:space="preserve">”, 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com a Secretaria do </w:t>
      </w:r>
      <w:r w:rsidRPr="00E13978">
        <w:rPr>
          <w:color w:val="000000" w:themeColor="text1"/>
          <w:sz w:val="22"/>
          <w:szCs w:val="22"/>
          <w:lang w:val="pt-BR"/>
        </w:rPr>
        <w:t xml:space="preserve">GEF </w:t>
      </w:r>
      <w:r w:rsidR="001D22F7" w:rsidRPr="00E13978">
        <w:rPr>
          <w:color w:val="000000" w:themeColor="text1"/>
          <w:sz w:val="22"/>
          <w:szCs w:val="22"/>
          <w:lang w:val="pt-BR"/>
        </w:rPr>
        <w:t>e como parte de seu Programa de Apoio ao País</w:t>
      </w:r>
      <w:r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1D22F7" w:rsidRPr="00E13978">
        <w:rPr>
          <w:color w:val="000000" w:themeColor="text1"/>
          <w:sz w:val="22"/>
          <w:szCs w:val="22"/>
          <w:lang w:val="pt-BR"/>
        </w:rPr>
        <w:t xml:space="preserve">Essa proposta de projeto vem sendo considerado para a oitava reposição do </w:t>
      </w:r>
      <w:r w:rsidRPr="00E13978">
        <w:rPr>
          <w:color w:val="000000" w:themeColor="text1"/>
          <w:sz w:val="22"/>
          <w:szCs w:val="22"/>
          <w:lang w:val="pt-BR"/>
        </w:rPr>
        <w:t>GEF.</w:t>
      </w:r>
    </w:p>
    <w:p w14:paraId="0F3EBD2B" w14:textId="75EF7950" w:rsidR="001373CB" w:rsidRDefault="001373CB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highlight w:val="yellow"/>
          <w:lang w:val="pt-BR"/>
        </w:rPr>
      </w:pPr>
    </w:p>
    <w:p w14:paraId="7F0DDF28" w14:textId="77777777" w:rsidR="00E13978" w:rsidRPr="00E13978" w:rsidRDefault="00E13978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highlight w:val="yellow"/>
          <w:lang w:val="pt-BR"/>
        </w:rPr>
      </w:pPr>
    </w:p>
    <w:p w14:paraId="097C6837" w14:textId="55FBC808" w:rsidR="00EC2692" w:rsidRPr="00E13978" w:rsidRDefault="001D22F7" w:rsidP="00E13978">
      <w:pPr>
        <w:suppressAutoHyphens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LINHA ESTRATÉGICA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3: PROMO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VER A EDUCAÇÃO E O DESENVOLVIMENTO HUMANO NAS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AM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É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RICAS</w:t>
      </w:r>
    </w:p>
    <w:p w14:paraId="3B2C8F7E" w14:textId="77777777" w:rsidR="00D92787" w:rsidRPr="00E13978" w:rsidRDefault="00D92787" w:rsidP="00E13978">
      <w:pPr>
        <w:suppressAutoHyphens/>
        <w:jc w:val="both"/>
        <w:rPr>
          <w:bCs/>
          <w:sz w:val="22"/>
          <w:szCs w:val="22"/>
          <w:lang w:val="pt-BR"/>
        </w:rPr>
      </w:pPr>
    </w:p>
    <w:p w14:paraId="7387D18F" w14:textId="0DBF9A69" w:rsidR="00EC2692" w:rsidRPr="00E13978" w:rsidRDefault="001D22F7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3723DF" w:rsidRPr="00E13978">
        <w:rPr>
          <w:color w:val="000000" w:themeColor="text1"/>
          <w:sz w:val="22"/>
          <w:szCs w:val="22"/>
          <w:lang w:val="pt-BR"/>
        </w:rPr>
        <w:t xml:space="preserve">Assembleia Geral </w:t>
      </w:r>
      <w:r w:rsidRPr="00E13978">
        <w:rPr>
          <w:color w:val="000000" w:themeColor="text1"/>
          <w:sz w:val="22"/>
          <w:szCs w:val="22"/>
          <w:lang w:val="pt-BR"/>
        </w:rPr>
        <w:t xml:space="preserve">da </w:t>
      </w:r>
      <w:r w:rsidR="00EC2692" w:rsidRPr="00E13978">
        <w:rPr>
          <w:color w:val="000000" w:themeColor="text1"/>
          <w:sz w:val="22"/>
          <w:szCs w:val="22"/>
          <w:lang w:val="pt-BR"/>
        </w:rPr>
        <w:t>Organiza</w:t>
      </w:r>
      <w:r w:rsidRPr="00E13978">
        <w:rPr>
          <w:color w:val="000000" w:themeColor="text1"/>
          <w:sz w:val="22"/>
          <w:szCs w:val="22"/>
          <w:lang w:val="pt-BR"/>
        </w:rPr>
        <w:t xml:space="preserve">ção dos Estados Americanos, mediante a </w:t>
      </w:r>
      <w:r w:rsidR="00EC2692" w:rsidRPr="00E13978">
        <w:rPr>
          <w:color w:val="000000" w:themeColor="text1"/>
          <w:sz w:val="22"/>
          <w:szCs w:val="22"/>
          <w:lang w:val="pt-BR"/>
        </w:rPr>
        <w:t>resolu</w:t>
      </w:r>
      <w:r w:rsidRPr="00E13978">
        <w:rPr>
          <w:color w:val="000000" w:themeColor="text1"/>
          <w:sz w:val="22"/>
          <w:szCs w:val="22"/>
          <w:lang w:val="pt-BR"/>
        </w:rPr>
        <w:t xml:space="preserve">ção </w:t>
      </w:r>
      <w:r w:rsidR="00EC2692" w:rsidRPr="00E13978">
        <w:rPr>
          <w:color w:val="000000" w:themeColor="text1"/>
          <w:sz w:val="22"/>
          <w:szCs w:val="22"/>
          <w:lang w:val="pt-BR"/>
        </w:rPr>
        <w:t>AG/RES. 2955 (L</w:t>
      </w:r>
      <w:r w:rsidR="00D92787" w:rsidRPr="00E13978">
        <w:rPr>
          <w:color w:val="000000" w:themeColor="text1"/>
          <w:sz w:val="22"/>
          <w:szCs w:val="22"/>
          <w:lang w:val="pt-BR"/>
        </w:rPr>
        <w:t>-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O/20), </w:t>
      </w:r>
      <w:r w:rsidRPr="00E13978">
        <w:rPr>
          <w:color w:val="000000" w:themeColor="text1"/>
          <w:sz w:val="22"/>
          <w:szCs w:val="22"/>
          <w:lang w:val="pt-BR"/>
        </w:rPr>
        <w:t xml:space="preserve">encarregou 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Pr="00E13978">
        <w:rPr>
          <w:color w:val="000000" w:themeColor="text1"/>
          <w:sz w:val="22"/>
          <w:szCs w:val="22"/>
          <w:lang w:val="pt-BR"/>
        </w:rPr>
        <w:t xml:space="preserve">de iniciar o planejamento da segunda fase da Agenda Educativa </w:t>
      </w:r>
      <w:r w:rsidR="00EC2692" w:rsidRPr="00E13978">
        <w:rPr>
          <w:color w:val="000000" w:themeColor="text1"/>
          <w:sz w:val="22"/>
          <w:szCs w:val="22"/>
          <w:lang w:val="pt-BR"/>
        </w:rPr>
        <w:t>Inter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EC2692" w:rsidRPr="00E13978">
        <w:rPr>
          <w:color w:val="000000" w:themeColor="text1"/>
          <w:sz w:val="22"/>
          <w:szCs w:val="22"/>
          <w:lang w:val="pt-BR"/>
        </w:rPr>
        <w:t>merican</w:t>
      </w:r>
      <w:r w:rsidRPr="00E13978">
        <w:rPr>
          <w:color w:val="000000" w:themeColor="text1"/>
          <w:sz w:val="22"/>
          <w:szCs w:val="22"/>
          <w:lang w:val="pt-BR"/>
        </w:rPr>
        <w:t>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Nesse sentido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sob a liderança das Autoridades da Comissão Interamericana de Educação </w:t>
      </w:r>
      <w:r w:rsidR="005875A1" w:rsidRPr="00E13978">
        <w:rPr>
          <w:color w:val="000000" w:themeColor="text1"/>
          <w:sz w:val="22"/>
          <w:szCs w:val="22"/>
          <w:lang w:val="pt-BR"/>
        </w:rPr>
        <w:t>(CIE)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o diálogo entre os Ministros da Educação realizado em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2021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assumiu uma dinâmica que foi consolidada na Nona Reunião Ordinária da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CIE,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realizada em novembro 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2021,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na qual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28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países aprovaram a Metodologia para a Construção da Segunda Fase da Agenda Educativa Interamericana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(AEI)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constante do documento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CIDI/CIE/doc.9/21. 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5875A1" w:rsidRPr="00E13978">
        <w:rPr>
          <w:color w:val="000000" w:themeColor="text1"/>
          <w:sz w:val="22"/>
          <w:szCs w:val="22"/>
          <w:lang w:val="pt-BR"/>
        </w:rPr>
        <w:t>M</w:t>
      </w:r>
      <w:r w:rsidR="00EC2692" w:rsidRPr="00E13978">
        <w:rPr>
          <w:color w:val="000000" w:themeColor="text1"/>
          <w:sz w:val="22"/>
          <w:szCs w:val="22"/>
          <w:lang w:val="pt-BR"/>
        </w:rPr>
        <w:t>etodolog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ia reflete o processo </w:t>
      </w:r>
      <w:r w:rsidR="00E15EA5" w:rsidRPr="00E13978">
        <w:rPr>
          <w:color w:val="000000" w:themeColor="text1"/>
          <w:sz w:val="22"/>
          <w:szCs w:val="22"/>
          <w:lang w:val="pt-BR"/>
        </w:rPr>
        <w:t>conduzido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 para a geração de consenso e construção coletiva das necessidades e urgências que afetam a região em termos de continuidade educacional, com foco especial nas populações em condições vulneráveis e conforme os temas discutidos no diálogo </w:t>
      </w:r>
      <w:r w:rsidR="00E15EA5" w:rsidRPr="00E13978">
        <w:rPr>
          <w:color w:val="000000" w:themeColor="text1"/>
          <w:sz w:val="22"/>
          <w:szCs w:val="22"/>
          <w:lang w:val="pt-BR"/>
        </w:rPr>
        <w:t>mantido</w:t>
      </w:r>
      <w:r w:rsidR="000B5EB9" w:rsidRPr="00E13978">
        <w:rPr>
          <w:color w:val="000000" w:themeColor="text1"/>
          <w:sz w:val="22"/>
          <w:szCs w:val="22"/>
          <w:lang w:val="pt-BR"/>
        </w:rPr>
        <w:t xml:space="preserve"> nos últimos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18 </w:t>
      </w:r>
      <w:r w:rsidR="000B5EB9" w:rsidRPr="00E13978">
        <w:rPr>
          <w:color w:val="000000" w:themeColor="text1"/>
          <w:sz w:val="22"/>
          <w:szCs w:val="22"/>
          <w:lang w:val="pt-BR"/>
        </w:rPr>
        <w:t>meses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1DF5B524" w14:textId="77777777" w:rsidR="00E13978" w:rsidRDefault="00E1397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9550177" w14:textId="173C5AD8" w:rsidR="00EC2692" w:rsidRPr="00E13978" w:rsidRDefault="00F0089C" w:rsidP="00E13978">
      <w:pPr>
        <w:suppressAutoHyphens/>
        <w:ind w:firstLine="18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3.1</w:t>
      </w:r>
      <w:r w:rsidR="00C80979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0B5EB9" w:rsidRPr="00E13978">
        <w:rPr>
          <w:b/>
          <w:bCs/>
          <w:color w:val="000000" w:themeColor="text1"/>
          <w:sz w:val="22"/>
          <w:szCs w:val="22"/>
          <w:lang w:val="pt-BR"/>
        </w:rPr>
        <w:t xml:space="preserve">Fortalecer a capacidade institucional dos </w:t>
      </w:r>
      <w:r w:rsidR="001F3B81" w:rsidRPr="00E13978">
        <w:rPr>
          <w:b/>
          <w:bCs/>
          <w:color w:val="000000" w:themeColor="text1"/>
          <w:sz w:val="22"/>
          <w:szCs w:val="22"/>
          <w:lang w:val="pt-BR"/>
        </w:rPr>
        <w:t xml:space="preserve">Estados membros </w:t>
      </w:r>
      <w:r w:rsidR="000B5EB9" w:rsidRPr="00E13978">
        <w:rPr>
          <w:b/>
          <w:bCs/>
          <w:color w:val="000000" w:themeColor="text1"/>
          <w:sz w:val="22"/>
          <w:szCs w:val="22"/>
          <w:lang w:val="pt-BR"/>
        </w:rPr>
        <w:t>de oferecer educação de qualidade, inclusiva e equitativa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5368D8A7" w14:textId="77777777" w:rsidR="005875A1" w:rsidRPr="00E13978" w:rsidRDefault="005875A1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4D443FD4" w14:textId="01A2FE69" w:rsidR="00EC2692" w:rsidRPr="00E13978" w:rsidRDefault="000B5EB9" w:rsidP="00E13978">
      <w:pPr>
        <w:suppressAutoHyphens/>
        <w:ind w:left="720"/>
        <w:jc w:val="both"/>
        <w:rPr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Agenda Educativa Interamericana e implementação do Plano de Trabalho </w:t>
      </w:r>
      <w:r w:rsidR="00EC2692" w:rsidRPr="00E13978">
        <w:rPr>
          <w:b/>
          <w:bCs/>
          <w:iCs/>
          <w:color w:val="000000" w:themeColor="text1"/>
          <w:sz w:val="22"/>
          <w:szCs w:val="22"/>
          <w:lang w:val="pt-BR"/>
        </w:rPr>
        <w:t xml:space="preserve">2019-2022 </w:t>
      </w:r>
      <w:r w:rsidRPr="00E13978">
        <w:rPr>
          <w:b/>
          <w:bCs/>
          <w:iCs/>
          <w:color w:val="000000" w:themeColor="text1"/>
          <w:sz w:val="22"/>
          <w:szCs w:val="22"/>
          <w:lang w:val="pt-BR"/>
        </w:rPr>
        <w:t>da Comissão Interamericana de Educação</w:t>
      </w:r>
    </w:p>
    <w:p w14:paraId="4E517830" w14:textId="160C71F2" w:rsidR="00EC2692" w:rsidRPr="00E13978" w:rsidRDefault="000B5EB9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Um diálogo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color w:val="000000" w:themeColor="text1"/>
          <w:sz w:val="22"/>
          <w:szCs w:val="22"/>
          <w:lang w:val="pt-BR"/>
        </w:rPr>
        <w:t xml:space="preserve">sobre inclusão e igualdade na educação foi realizado no âmbito do projeto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#13 </w:t>
      </w:r>
      <w:r w:rsidRPr="00E13978">
        <w:rPr>
          <w:color w:val="000000" w:themeColor="text1"/>
          <w:sz w:val="22"/>
          <w:szCs w:val="22"/>
          <w:lang w:val="pt-BR"/>
        </w:rPr>
        <w:t xml:space="preserve">do Plano de Trabalho da </w:t>
      </w:r>
      <w:r w:rsidR="00EC2692" w:rsidRPr="00E13978">
        <w:rPr>
          <w:color w:val="000000" w:themeColor="text1"/>
          <w:sz w:val="22"/>
          <w:szCs w:val="22"/>
          <w:lang w:val="pt-BR"/>
        </w:rPr>
        <w:t>CIE</w:t>
      </w:r>
      <w:r w:rsidRPr="00E13978">
        <w:rPr>
          <w:color w:val="000000" w:themeColor="text1"/>
          <w:sz w:val="22"/>
          <w:szCs w:val="22"/>
          <w:lang w:val="pt-BR"/>
        </w:rPr>
        <w:t>, com o objetivo de compartilhar políticas, regulamentos, ferramentas e experiências educacionais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dos países da região, com vistas à promoção de uma educação de qualidade, inclusiva e equitativa em contextos de mudança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1C011E1D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67CB0EA" w14:textId="1DB16F2D" w:rsidR="00EC2692" w:rsidRPr="00E13978" w:rsidRDefault="000B5EB9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Um diálogo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color w:val="000000" w:themeColor="text1"/>
          <w:sz w:val="22"/>
          <w:szCs w:val="22"/>
          <w:lang w:val="pt-BR"/>
        </w:rPr>
        <w:t xml:space="preserve">foi realizado no âmbito do projeto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#17 </w:t>
      </w:r>
      <w:r w:rsidRPr="00E13978">
        <w:rPr>
          <w:color w:val="000000" w:themeColor="text1"/>
          <w:sz w:val="22"/>
          <w:szCs w:val="22"/>
          <w:lang w:val="pt-BR"/>
        </w:rPr>
        <w:t xml:space="preserve">do Plano de Trabalho da </w:t>
      </w:r>
      <w:r w:rsidR="00EC2692" w:rsidRPr="00E13978">
        <w:rPr>
          <w:color w:val="000000" w:themeColor="text1"/>
          <w:sz w:val="22"/>
          <w:szCs w:val="22"/>
          <w:lang w:val="pt-BR"/>
        </w:rPr>
        <w:t>CIE</w:t>
      </w:r>
      <w:r w:rsidRPr="00E13978">
        <w:rPr>
          <w:color w:val="000000" w:themeColor="text1"/>
          <w:sz w:val="22"/>
          <w:szCs w:val="22"/>
          <w:lang w:val="pt-BR"/>
        </w:rPr>
        <w:t xml:space="preserve">, com o objetivo de promover novas visões sobre o desenvolvimento das </w:t>
      </w:r>
      <w:r w:rsidRPr="00E13978">
        <w:rPr>
          <w:color w:val="000000" w:themeColor="text1"/>
          <w:sz w:val="22"/>
          <w:szCs w:val="22"/>
          <w:lang w:val="pt-BR"/>
        </w:rPr>
        <w:lastRenderedPageBreak/>
        <w:t>competências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comunicação dos alunos, por meio </w:t>
      </w:r>
      <w:r w:rsidR="0027200B" w:rsidRPr="00E13978">
        <w:rPr>
          <w:color w:val="000000" w:themeColor="text1"/>
          <w:sz w:val="22"/>
          <w:szCs w:val="22"/>
          <w:lang w:val="pt-BR"/>
        </w:rPr>
        <w:t>de línguas estrangeiras</w:t>
      </w:r>
      <w:r w:rsidR="00EC2692" w:rsidRPr="00E13978">
        <w:rPr>
          <w:color w:val="000000" w:themeColor="text1"/>
          <w:sz w:val="22"/>
          <w:szCs w:val="22"/>
          <w:lang w:val="pt-BR"/>
        </w:rPr>
        <w:t>, aut</w:t>
      </w:r>
      <w:r w:rsidR="0027200B" w:rsidRPr="00E13978">
        <w:rPr>
          <w:color w:val="000000" w:themeColor="text1"/>
          <w:sz w:val="22"/>
          <w:szCs w:val="22"/>
          <w:lang w:val="pt-BR"/>
        </w:rPr>
        <w:t>óctones e visuais gestuais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1519A7B5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89BD4EE" w14:textId="42249773" w:rsidR="00EC2692" w:rsidRPr="00E13978" w:rsidRDefault="00E15EA5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Foram geradas s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inergias e </w:t>
      </w:r>
      <w:r w:rsidRPr="00E13978">
        <w:rPr>
          <w:color w:val="000000" w:themeColor="text1"/>
          <w:sz w:val="22"/>
          <w:szCs w:val="22"/>
          <w:lang w:val="pt-BR"/>
        </w:rPr>
        <w:t xml:space="preserve">identificadas 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oportunidades de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e cooperação entre 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bem como com instituições regionais, para a implementação de iniciativas em educação e desenvolvimento humano, como resultado da reunião ordinária do </w:t>
      </w:r>
      <w:r w:rsidR="004D733A" w:rsidRPr="00E13978">
        <w:rPr>
          <w:color w:val="000000" w:themeColor="text1"/>
          <w:sz w:val="22"/>
          <w:szCs w:val="22"/>
          <w:lang w:val="pt-BR"/>
        </w:rPr>
        <w:t>Conselho Interamericano de Desenvolvimento Integral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color w:val="000000" w:themeColor="text1"/>
          <w:sz w:val="22"/>
          <w:szCs w:val="22"/>
          <w:lang w:val="pt-BR"/>
        </w:rPr>
        <w:t>(CIDI)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, realizada em maio de </w:t>
      </w:r>
      <w:r w:rsidR="0029479B" w:rsidRPr="00E13978">
        <w:rPr>
          <w:color w:val="000000" w:themeColor="text1"/>
          <w:sz w:val="22"/>
          <w:szCs w:val="22"/>
          <w:lang w:val="pt-BR"/>
        </w:rPr>
        <w:t>2021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com o tema </w:t>
      </w:r>
      <w:r w:rsidR="00EC2692" w:rsidRPr="00E13978">
        <w:rPr>
          <w:color w:val="000000" w:themeColor="text1"/>
          <w:sz w:val="22"/>
          <w:szCs w:val="22"/>
          <w:lang w:val="pt-BR"/>
        </w:rPr>
        <w:t>“</w:t>
      </w:r>
      <w:r w:rsidR="0027200B" w:rsidRPr="00E13978">
        <w:rPr>
          <w:color w:val="000000" w:themeColor="text1"/>
          <w:sz w:val="22"/>
          <w:szCs w:val="22"/>
          <w:lang w:val="pt-BR"/>
        </w:rPr>
        <w:t xml:space="preserve">Proposta Hemisférica de Ação para a Continuidade da Educação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(PHACE) </w:t>
      </w:r>
      <w:r w:rsidR="0027200B" w:rsidRPr="00E13978">
        <w:rPr>
          <w:color w:val="000000" w:themeColor="text1"/>
          <w:sz w:val="22"/>
          <w:szCs w:val="22"/>
          <w:lang w:val="pt-BR"/>
        </w:rPr>
        <w:t>sob os efeitos da pandemia de coronavírus</w:t>
      </w:r>
      <w:r w:rsidR="00EC2692" w:rsidRPr="00E13978">
        <w:rPr>
          <w:color w:val="000000" w:themeColor="text1"/>
          <w:sz w:val="22"/>
          <w:szCs w:val="22"/>
          <w:lang w:val="pt-BR"/>
        </w:rPr>
        <w:t>”</w:t>
      </w:r>
      <w:r w:rsidR="0027200B" w:rsidRPr="00E13978">
        <w:rPr>
          <w:color w:val="000000" w:themeColor="text1"/>
          <w:sz w:val="22"/>
          <w:szCs w:val="22"/>
          <w:lang w:val="pt-BR"/>
        </w:rPr>
        <w:t>.</w:t>
      </w:r>
    </w:p>
    <w:p w14:paraId="53AE0F62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D4472B9" w14:textId="3D9B5EA1" w:rsidR="00EC2692" w:rsidRPr="00E13978" w:rsidRDefault="0027200B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com a OIT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/Cinterfor </w:t>
      </w:r>
      <w:r w:rsidRPr="00E13978">
        <w:rPr>
          <w:color w:val="000000" w:themeColor="text1"/>
          <w:sz w:val="22"/>
          <w:szCs w:val="22"/>
          <w:lang w:val="pt-BR"/>
        </w:rPr>
        <w:t xml:space="preserve">e a Organização das Nações Unidas para </w:t>
      </w:r>
      <w:r w:rsidR="00AF1BA3" w:rsidRPr="00E13978">
        <w:rPr>
          <w:color w:val="000000" w:themeColor="text1"/>
          <w:sz w:val="22"/>
          <w:szCs w:val="22"/>
          <w:lang w:val="pt-BR"/>
        </w:rPr>
        <w:t xml:space="preserve">a Educação, a Ciência e 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Cultura (UNESCO), </w:t>
      </w:r>
      <w:r w:rsidR="00AF1BA3" w:rsidRPr="00E13978">
        <w:rPr>
          <w:color w:val="000000" w:themeColor="text1"/>
          <w:sz w:val="22"/>
          <w:szCs w:val="22"/>
          <w:lang w:val="pt-BR"/>
        </w:rPr>
        <w:t xml:space="preserve">foi realizado 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workshop </w:t>
      </w:r>
      <w:r w:rsidR="004D4C20" w:rsidRPr="00E13978">
        <w:rPr>
          <w:color w:val="000000" w:themeColor="text1"/>
          <w:sz w:val="22"/>
          <w:szCs w:val="22"/>
          <w:lang w:val="pt-BR"/>
        </w:rPr>
        <w:t>“</w:t>
      </w:r>
      <w:r w:rsidR="00AF1BA3" w:rsidRPr="00E13978">
        <w:rPr>
          <w:color w:val="000000" w:themeColor="text1"/>
          <w:sz w:val="22"/>
          <w:szCs w:val="22"/>
          <w:lang w:val="pt-BR"/>
        </w:rPr>
        <w:t>Avançando para uma Estrutura Regional de Qualificações</w:t>
      </w:r>
      <w:r w:rsidR="004D4C20" w:rsidRPr="00E13978">
        <w:rPr>
          <w:color w:val="000000" w:themeColor="text1"/>
          <w:sz w:val="22"/>
          <w:szCs w:val="22"/>
          <w:lang w:val="pt-BR"/>
        </w:rPr>
        <w:t>”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AF1BA3" w:rsidRPr="00E13978">
        <w:rPr>
          <w:color w:val="000000" w:themeColor="text1"/>
          <w:sz w:val="22"/>
          <w:szCs w:val="22"/>
          <w:lang w:val="pt-BR"/>
        </w:rPr>
        <w:t>e para o desenvolvimento de capacidades em equipes nacionais sobre o conceito e a viabilidade de uma ENQ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AF1BA3" w:rsidRPr="00E13978">
        <w:rPr>
          <w:color w:val="000000" w:themeColor="text1"/>
          <w:sz w:val="22"/>
          <w:szCs w:val="22"/>
          <w:lang w:val="pt-BR"/>
        </w:rPr>
        <w:t>no âmbito das novas políticas públicas de emprego e treinamento, de acordo com o</w:t>
      </w:r>
      <w:r w:rsidR="00F61CE9">
        <w:rPr>
          <w:color w:val="000000" w:themeColor="text1"/>
          <w:sz w:val="22"/>
          <w:szCs w:val="22"/>
          <w:lang w:val="pt-BR"/>
        </w:rPr>
        <w:t xml:space="preserve"> projeto</w:t>
      </w:r>
      <w:r w:rsidR="00AF1BA3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# 21 </w:t>
      </w:r>
      <w:r w:rsidR="00AF1BA3" w:rsidRPr="00E13978">
        <w:rPr>
          <w:color w:val="000000" w:themeColor="text1"/>
          <w:sz w:val="22"/>
          <w:szCs w:val="22"/>
          <w:lang w:val="pt-BR"/>
        </w:rPr>
        <w:t xml:space="preserve">do Plano de Trabalho da </w:t>
      </w:r>
      <w:r w:rsidR="00EC2692" w:rsidRPr="00E13978">
        <w:rPr>
          <w:color w:val="000000" w:themeColor="text1"/>
          <w:sz w:val="22"/>
          <w:szCs w:val="22"/>
          <w:lang w:val="pt-BR"/>
        </w:rPr>
        <w:t>CIE.</w:t>
      </w:r>
    </w:p>
    <w:p w14:paraId="5F9BD494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5F1E8E4" w14:textId="2AB0A08F" w:rsidR="00EC2692" w:rsidRPr="00E13978" w:rsidRDefault="00AF1BA3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Continuando a </w:t>
      </w:r>
      <w:r w:rsidR="00240A50" w:rsidRPr="00E13978">
        <w:rPr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com a OPAS, iniciada em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2020, </w:t>
      </w:r>
      <w:r w:rsidRPr="00E13978">
        <w:rPr>
          <w:color w:val="000000" w:themeColor="text1"/>
          <w:sz w:val="22"/>
          <w:szCs w:val="22"/>
          <w:lang w:val="pt-BR"/>
        </w:rPr>
        <w:t xml:space="preserve">e no âmbito do projeto </w:t>
      </w:r>
      <w:r w:rsidR="00EC2692" w:rsidRPr="00E13978">
        <w:rPr>
          <w:color w:val="000000" w:themeColor="text1"/>
          <w:sz w:val="22"/>
          <w:szCs w:val="22"/>
          <w:lang w:val="pt-BR"/>
        </w:rPr>
        <w:t>#</w:t>
      </w:r>
      <w:r w:rsidR="00F61CE9">
        <w:rPr>
          <w:color w:val="000000" w:themeColor="text1"/>
          <w:sz w:val="22"/>
          <w:szCs w:val="22"/>
          <w:lang w:val="pt-BR"/>
        </w:rPr>
        <w:t> 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4 </w:t>
      </w:r>
      <w:r w:rsidRPr="00E13978">
        <w:rPr>
          <w:color w:val="000000" w:themeColor="text1"/>
          <w:sz w:val="22"/>
          <w:szCs w:val="22"/>
          <w:lang w:val="pt-BR"/>
        </w:rPr>
        <w:t xml:space="preserve">do Plano de Trabalho da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CIE, </w:t>
      </w:r>
      <w:r w:rsidRPr="00E13978">
        <w:rPr>
          <w:color w:val="000000" w:themeColor="text1"/>
          <w:sz w:val="22"/>
          <w:szCs w:val="22"/>
          <w:lang w:val="pt-BR"/>
        </w:rPr>
        <w:t xml:space="preserve">foram realizados dois diálogos virtuais </w:t>
      </w:r>
      <w:r w:rsidR="00EC2692" w:rsidRPr="00E13978">
        <w:rPr>
          <w:color w:val="000000" w:themeColor="text1"/>
          <w:sz w:val="22"/>
          <w:szCs w:val="22"/>
          <w:lang w:val="pt-BR"/>
        </w:rPr>
        <w:t>“</w:t>
      </w:r>
      <w:r w:rsidRPr="00E13978">
        <w:rPr>
          <w:color w:val="000000" w:themeColor="text1"/>
          <w:sz w:val="22"/>
          <w:szCs w:val="22"/>
          <w:lang w:val="pt-BR"/>
        </w:rPr>
        <w:t>Promovendo Competências para uma Vida Saudável por Meio da Educação Física e Nutricional nas Escolas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”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“Pol</w:t>
      </w:r>
      <w:r w:rsidRPr="00E13978">
        <w:rPr>
          <w:color w:val="000000" w:themeColor="text1"/>
          <w:sz w:val="22"/>
          <w:szCs w:val="22"/>
          <w:lang w:val="pt-BR"/>
        </w:rPr>
        <w:t>íticas e Programas sobre a Promoção de Regulamentos e Normas para a Alimentação do Ambiente Escolar</w:t>
      </w:r>
      <w:r w:rsidR="00EC2692" w:rsidRPr="00E13978">
        <w:rPr>
          <w:color w:val="000000" w:themeColor="text1"/>
          <w:sz w:val="22"/>
          <w:szCs w:val="22"/>
          <w:lang w:val="pt-BR"/>
        </w:rPr>
        <w:t>”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563C8A7F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C8049D3" w14:textId="45D261F3" w:rsidR="00EC2692" w:rsidRPr="00E13978" w:rsidRDefault="00E15EA5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Foram preparados d</w:t>
      </w:r>
      <w:r w:rsidR="00EC2692" w:rsidRPr="00E13978">
        <w:rPr>
          <w:color w:val="000000" w:themeColor="text1"/>
          <w:sz w:val="22"/>
          <w:szCs w:val="22"/>
          <w:lang w:val="pt-BR"/>
        </w:rPr>
        <w:t>ocument</w:t>
      </w:r>
      <w:r w:rsidR="009B13D9" w:rsidRPr="00E13978">
        <w:rPr>
          <w:color w:val="000000" w:themeColor="text1"/>
          <w:sz w:val="22"/>
          <w:szCs w:val="22"/>
          <w:lang w:val="pt-BR"/>
        </w:rPr>
        <w:t xml:space="preserve">os para sistematizar os diálogos de políticas públicas realizados em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2020 </w:t>
      </w:r>
      <w:r w:rsidR="009B13D9" w:rsidRPr="00E13978">
        <w:rPr>
          <w:color w:val="000000" w:themeColor="text1"/>
          <w:sz w:val="22"/>
          <w:szCs w:val="22"/>
          <w:lang w:val="pt-BR"/>
        </w:rPr>
        <w:t>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2021, </w:t>
      </w:r>
      <w:r w:rsidR="009B13D9" w:rsidRPr="00E13978">
        <w:rPr>
          <w:color w:val="000000" w:themeColor="text1"/>
          <w:sz w:val="22"/>
          <w:szCs w:val="22"/>
          <w:lang w:val="pt-BR"/>
        </w:rPr>
        <w:t>compilando as contribuições dos países em lições aprend</w:t>
      </w:r>
      <w:r w:rsidR="00734089" w:rsidRPr="00E13978">
        <w:rPr>
          <w:color w:val="000000" w:themeColor="text1"/>
          <w:sz w:val="22"/>
          <w:szCs w:val="22"/>
          <w:lang w:val="pt-BR"/>
        </w:rPr>
        <w:t>id</w:t>
      </w:r>
      <w:r w:rsidR="009B13D9" w:rsidRPr="00E13978">
        <w:rPr>
          <w:color w:val="000000" w:themeColor="text1"/>
          <w:sz w:val="22"/>
          <w:szCs w:val="22"/>
          <w:lang w:val="pt-BR"/>
        </w:rPr>
        <w:t xml:space="preserve">as, desafios enfrentados e experiências locais em questões de grande relevância para a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9B13D9" w:rsidRPr="00E13978">
        <w:rPr>
          <w:color w:val="000000" w:themeColor="text1"/>
          <w:sz w:val="22"/>
          <w:szCs w:val="22"/>
          <w:lang w:val="pt-BR"/>
        </w:rPr>
        <w:t>Esses documentos foram validados pelas autoridades e funcionários dos países que participaram dos respectivos diálogos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486BA4B1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09CD2B6" w14:textId="2AFC1F08" w:rsidR="00EC2692" w:rsidRPr="00E13978" w:rsidRDefault="009B13D9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Lançamento de um programa de capacitação no âmbito da colaboração entre </w:t>
      </w:r>
      <w:r w:rsidR="00E15EA5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Internet Society (ISOC) </w:t>
      </w:r>
      <w:r w:rsidRPr="00E13978">
        <w:rPr>
          <w:color w:val="000000" w:themeColor="text1"/>
          <w:sz w:val="22"/>
          <w:szCs w:val="22"/>
          <w:lang w:val="pt-BR"/>
        </w:rPr>
        <w:t xml:space="preserve">e 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Pr="00E13978">
        <w:rPr>
          <w:color w:val="000000" w:themeColor="text1"/>
          <w:sz w:val="22"/>
          <w:szCs w:val="22"/>
          <w:lang w:val="pt-BR"/>
        </w:rPr>
        <w:t xml:space="preserve">, por intermédio do </w:t>
      </w:r>
      <w:r w:rsidR="0045226C" w:rsidRPr="00E13978">
        <w:rPr>
          <w:color w:val="000000" w:themeColor="text1"/>
          <w:sz w:val="22"/>
          <w:szCs w:val="22"/>
          <w:lang w:val="pt-BR"/>
        </w:rPr>
        <w:t>Departamento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de Desenvolvimento Humano, Educação e Emprego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Esse programa consiste em cinco cursos virtuais sobre temas associados à integração da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Internet </w:t>
      </w:r>
      <w:r w:rsidRPr="00E13978">
        <w:rPr>
          <w:color w:val="000000" w:themeColor="text1"/>
          <w:sz w:val="22"/>
          <w:szCs w:val="22"/>
          <w:lang w:val="pt-BR"/>
        </w:rPr>
        <w:t>e governança no âmbito de políticas públicas, programas e/ou projetos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765E47FD" w14:textId="52D0FF92" w:rsidR="00CA7994" w:rsidRPr="00E13978" w:rsidRDefault="00CA7994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8316B3C" w14:textId="7F4EA924" w:rsidR="00EC2692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3.2</w:t>
      </w:r>
      <w:r w:rsidR="00C80979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9B13D9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Fortalecer a profissão docente nos Estados membros, mediante a criação de maiores oportunidades de formação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73090A35" w14:textId="77777777" w:rsidR="005875A1" w:rsidRPr="00E13978" w:rsidRDefault="005875A1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235D10E" w14:textId="1FDBA632" w:rsidR="00EC2692" w:rsidRPr="00E13978" w:rsidRDefault="009B13D9" w:rsidP="00E13978">
      <w:pPr>
        <w:suppressAutoHyphens/>
        <w:ind w:firstLine="720"/>
        <w:jc w:val="both"/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Rede 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Inter</w:t>
      </w: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a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merican</w:t>
      </w: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a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de Educação Docente 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(</w:t>
      </w:r>
      <w:r w:rsidR="005D3709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RIED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)</w:t>
      </w:r>
    </w:p>
    <w:p w14:paraId="25A1DD3B" w14:textId="23FB05BD" w:rsidR="00EC2692" w:rsidRPr="00E13978" w:rsidRDefault="009B13D9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Melhorou a </w:t>
      </w:r>
      <w:r w:rsidR="00E15EA5" w:rsidRPr="00E13978">
        <w:rPr>
          <w:color w:val="000000" w:themeColor="text1"/>
          <w:sz w:val="22"/>
          <w:szCs w:val="22"/>
          <w:lang w:val="pt-BR"/>
        </w:rPr>
        <w:t>capacidade</w:t>
      </w:r>
      <w:r w:rsidRPr="00E13978">
        <w:rPr>
          <w:color w:val="000000" w:themeColor="text1"/>
          <w:sz w:val="22"/>
          <w:szCs w:val="22"/>
          <w:lang w:val="pt-BR"/>
        </w:rPr>
        <w:t xml:space="preserve"> 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57 </w:t>
      </w:r>
      <w:r w:rsidRPr="00E13978">
        <w:rPr>
          <w:color w:val="000000" w:themeColor="text1"/>
          <w:sz w:val="22"/>
          <w:szCs w:val="22"/>
          <w:lang w:val="pt-BR"/>
        </w:rPr>
        <w:t xml:space="preserve">instituições de educação docente em toda a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Pr="00E13978">
        <w:rPr>
          <w:color w:val="000000" w:themeColor="text1"/>
          <w:sz w:val="22"/>
          <w:szCs w:val="22"/>
          <w:lang w:val="pt-BR"/>
        </w:rPr>
        <w:t xml:space="preserve">, a fim de proporcionar educação docente de qualidade em </w:t>
      </w:r>
      <w:r w:rsidR="00EC2692" w:rsidRPr="00E13978">
        <w:rPr>
          <w:color w:val="000000" w:themeColor="text1"/>
          <w:sz w:val="22"/>
          <w:szCs w:val="22"/>
          <w:lang w:val="pt-BR"/>
        </w:rPr>
        <w:t>STEM (</w:t>
      </w:r>
      <w:r w:rsidRPr="00E13978">
        <w:rPr>
          <w:color w:val="000000" w:themeColor="text1"/>
          <w:sz w:val="22"/>
          <w:szCs w:val="22"/>
          <w:lang w:val="pt-BR"/>
        </w:rPr>
        <w:t>ciência, tecnologia, engenharia e matemáticas</w:t>
      </w:r>
      <w:r w:rsidR="00EC2692" w:rsidRPr="00E13978">
        <w:rPr>
          <w:color w:val="000000" w:themeColor="text1"/>
          <w:sz w:val="22"/>
          <w:szCs w:val="22"/>
          <w:lang w:val="pt-BR"/>
        </w:rPr>
        <w:t>)</w:t>
      </w:r>
      <w:r w:rsidRPr="00E13978">
        <w:rPr>
          <w:color w:val="000000" w:themeColor="text1"/>
          <w:sz w:val="22"/>
          <w:szCs w:val="22"/>
          <w:lang w:val="pt-BR"/>
        </w:rPr>
        <w:t xml:space="preserve">, mediante colaboração </w:t>
      </w:r>
      <w:r w:rsidR="00EC2692" w:rsidRPr="00E13978">
        <w:rPr>
          <w:color w:val="000000" w:themeColor="text1"/>
          <w:sz w:val="22"/>
          <w:szCs w:val="22"/>
          <w:lang w:val="pt-BR"/>
        </w:rPr>
        <w:t>multilateral</w:t>
      </w:r>
      <w:r w:rsidRPr="00E13978">
        <w:rPr>
          <w:color w:val="000000" w:themeColor="text1"/>
          <w:sz w:val="22"/>
          <w:szCs w:val="22"/>
          <w:lang w:val="pt-BR"/>
        </w:rPr>
        <w:t xml:space="preserve">, com o apoio de </w:t>
      </w:r>
      <w:r w:rsidR="00E15EA5" w:rsidRPr="00E13978">
        <w:rPr>
          <w:color w:val="000000" w:themeColor="text1"/>
          <w:sz w:val="22"/>
          <w:szCs w:val="22"/>
          <w:lang w:val="pt-BR"/>
        </w:rPr>
        <w:t>cerca</w:t>
      </w:r>
      <w:r w:rsidRPr="00E13978">
        <w:rPr>
          <w:color w:val="000000" w:themeColor="text1"/>
          <w:sz w:val="22"/>
          <w:szCs w:val="22"/>
          <w:lang w:val="pt-BR"/>
        </w:rPr>
        <w:t xml:space="preserve"> de </w:t>
      </w:r>
      <w:r w:rsidR="00EC2692" w:rsidRPr="00E13978">
        <w:rPr>
          <w:color w:val="000000" w:themeColor="text1"/>
          <w:sz w:val="22"/>
          <w:szCs w:val="22"/>
          <w:lang w:val="pt-BR"/>
        </w:rPr>
        <w:t>US$500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000 </w:t>
      </w:r>
      <w:r w:rsidRPr="00E13978">
        <w:rPr>
          <w:color w:val="000000" w:themeColor="text1"/>
          <w:sz w:val="22"/>
          <w:szCs w:val="22"/>
          <w:lang w:val="pt-BR"/>
        </w:rPr>
        <w:t xml:space="preserve">em benefícios e </w:t>
      </w:r>
      <w:r w:rsidR="00394F17" w:rsidRPr="00E13978">
        <w:rPr>
          <w:color w:val="000000" w:themeColor="text1"/>
          <w:sz w:val="22"/>
          <w:szCs w:val="22"/>
          <w:lang w:val="pt-BR"/>
        </w:rPr>
        <w:t xml:space="preserve">subsídios financeiros 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26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0CFDEF5C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DB0DD6D" w14:textId="496EA7F0" w:rsidR="00EC2692" w:rsidRPr="00E13978" w:rsidRDefault="00394F17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bookmarkStart w:id="12" w:name="_Hlk94633910"/>
      <w:r w:rsidRPr="00E13978">
        <w:rPr>
          <w:color w:val="000000" w:themeColor="text1"/>
          <w:sz w:val="22"/>
          <w:szCs w:val="22"/>
          <w:lang w:val="pt-BR"/>
        </w:rPr>
        <w:t xml:space="preserve">Melhorou a capacidade de mais de </w:t>
      </w:r>
      <w:r w:rsidR="00EC2692" w:rsidRPr="00E13978">
        <w:rPr>
          <w:color w:val="000000" w:themeColor="text1"/>
          <w:sz w:val="22"/>
          <w:szCs w:val="22"/>
          <w:lang w:val="pt-BR"/>
        </w:rPr>
        <w:t>237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000 </w:t>
      </w:r>
      <w:r w:rsidRPr="00E13978">
        <w:rPr>
          <w:color w:val="000000" w:themeColor="text1"/>
          <w:sz w:val="22"/>
          <w:szCs w:val="22"/>
          <w:lang w:val="pt-BR"/>
        </w:rPr>
        <w:t xml:space="preserve">educadores 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STEM </w:t>
      </w:r>
      <w:r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34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 xml:space="preserve">inclusive treinamentos presenciais de </w:t>
      </w:r>
      <w:r w:rsidR="00EC2692" w:rsidRPr="00E13978">
        <w:rPr>
          <w:color w:val="000000" w:themeColor="text1"/>
          <w:sz w:val="22"/>
          <w:szCs w:val="22"/>
          <w:lang w:val="pt-BR"/>
        </w:rPr>
        <w:t>3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288 </w:t>
      </w:r>
      <w:r w:rsidRPr="00E13978">
        <w:rPr>
          <w:color w:val="000000" w:themeColor="text1"/>
          <w:sz w:val="22"/>
          <w:szCs w:val="22"/>
          <w:lang w:val="pt-BR"/>
        </w:rPr>
        <w:t>educadores</w:t>
      </w:r>
      <w:r w:rsidR="00EC2692" w:rsidRPr="00E13978">
        <w:rPr>
          <w:color w:val="000000" w:themeColor="text1"/>
          <w:sz w:val="22"/>
          <w:szCs w:val="22"/>
          <w:lang w:val="pt-BR"/>
        </w:rPr>
        <w:t>)</w:t>
      </w:r>
      <w:r w:rsidRPr="00E13978">
        <w:rPr>
          <w:color w:val="000000" w:themeColor="text1"/>
          <w:sz w:val="22"/>
          <w:szCs w:val="22"/>
          <w:lang w:val="pt-BR"/>
        </w:rPr>
        <w:t xml:space="preserve">, com o objetivo de oferecer educação de qualidade em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STEM </w:t>
      </w:r>
      <w:r w:rsidRPr="00E13978">
        <w:rPr>
          <w:color w:val="000000" w:themeColor="text1"/>
          <w:sz w:val="22"/>
          <w:szCs w:val="22"/>
          <w:lang w:val="pt-BR"/>
        </w:rPr>
        <w:t>aos alunos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bookmarkEnd w:id="12"/>
    <w:p w14:paraId="29962C99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52B72E5" w14:textId="48838D20" w:rsidR="00EC2692" w:rsidRPr="00E13978" w:rsidRDefault="00394F17" w:rsidP="00E13978">
      <w:pPr>
        <w:numPr>
          <w:ilvl w:val="0"/>
          <w:numId w:val="1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Consolidou e divulgou estratégias efetivas de educação docente em </w:t>
      </w:r>
      <w:r w:rsidR="00EC2692" w:rsidRPr="00E13978">
        <w:rPr>
          <w:color w:val="000000" w:themeColor="text1"/>
          <w:sz w:val="22"/>
          <w:szCs w:val="22"/>
          <w:lang w:val="pt-BR"/>
        </w:rPr>
        <w:t>STEM</w:t>
      </w:r>
      <w:r w:rsidRPr="00E13978">
        <w:rPr>
          <w:color w:val="000000" w:themeColor="text1"/>
          <w:sz w:val="22"/>
          <w:szCs w:val="22"/>
          <w:lang w:val="pt-BR"/>
        </w:rPr>
        <w:t xml:space="preserve">, mediante a execução de uma Sessão de Pôster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Virtual, </w:t>
      </w:r>
      <w:r w:rsidRPr="00E13978">
        <w:rPr>
          <w:color w:val="000000" w:themeColor="text1"/>
          <w:sz w:val="22"/>
          <w:szCs w:val="22"/>
          <w:lang w:val="pt-BR"/>
        </w:rPr>
        <w:t xml:space="preserve">Seminário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color w:val="000000" w:themeColor="text1"/>
          <w:sz w:val="22"/>
          <w:szCs w:val="22"/>
          <w:lang w:val="pt-BR"/>
        </w:rPr>
        <w:t xml:space="preserve">e publicações sobre práticas efetivas de educação docente em </w:t>
      </w:r>
      <w:r w:rsidR="00EC2692" w:rsidRPr="00E13978">
        <w:rPr>
          <w:color w:val="000000" w:themeColor="text1"/>
          <w:sz w:val="22"/>
          <w:szCs w:val="22"/>
          <w:lang w:val="pt-BR"/>
        </w:rPr>
        <w:t>STEM.</w:t>
      </w:r>
    </w:p>
    <w:p w14:paraId="3EE37BEE" w14:textId="77777777" w:rsidR="00EC2692" w:rsidRPr="00E13978" w:rsidRDefault="00EC2692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81630E7" w14:textId="0984D960" w:rsidR="00EC2692" w:rsidRPr="00E13978" w:rsidRDefault="00394F17" w:rsidP="00E13978">
      <w:pPr>
        <w:suppressAutoHyphens/>
        <w:ind w:firstLine="720"/>
        <w:jc w:val="both"/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Portal de Educação das </w:t>
      </w:r>
      <w:r w:rsidR="004D733A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Américas </w:t>
      </w:r>
    </w:p>
    <w:p w14:paraId="465EE6C8" w14:textId="2AD1232D" w:rsidR="00EC2692" w:rsidRPr="00E13978" w:rsidRDefault="00394F17" w:rsidP="00E13978">
      <w:pPr>
        <w:numPr>
          <w:ilvl w:val="0"/>
          <w:numId w:val="2"/>
        </w:numPr>
        <w:suppressAutoHyphens/>
        <w:ind w:left="1440" w:hanging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Cidadãos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22 </w:t>
      </w:r>
      <w:r w:rsidR="001F3B81" w:rsidRPr="00E13978">
        <w:rPr>
          <w:rFonts w:eastAsia="Cambria"/>
          <w:color w:val="000000" w:themeColor="text1"/>
          <w:sz w:val="22"/>
          <w:szCs w:val="22"/>
          <w:lang w:val="pt-BR"/>
        </w:rPr>
        <w:t>Estados membros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, no total de 416,</w:t>
      </w:r>
      <w:r w:rsidR="00586E6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se beneficiaram de bolsas de estudo parciais e cursos de especialização ministrados na Sala de Aula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do Portal de Educação das Américas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1DD1B184" w14:textId="77777777" w:rsidR="00FC07E8" w:rsidRPr="00E13978" w:rsidRDefault="00FC07E8" w:rsidP="00E13978">
      <w:pPr>
        <w:suppressAutoHyphens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1C870D4" w14:textId="6EBE9B34" w:rsidR="00EC2692" w:rsidRPr="00E13978" w:rsidRDefault="00394F17" w:rsidP="00E13978">
      <w:pPr>
        <w:pStyle w:val="ListParagraph"/>
        <w:numPr>
          <w:ilvl w:val="0"/>
          <w:numId w:val="2"/>
        </w:numPr>
        <w:suppressAutoHyphens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Um total de </w:t>
      </w:r>
      <w:r w:rsidR="00EC269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156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pessoas teve acesso livre a cursos curtos, abertos e autoadministrados </w:t>
      </w:r>
      <w:r w:rsidR="00EC269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(MOOC)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em assuntos de gênero e educação em </w:t>
      </w:r>
      <w:r w:rsidR="00EC2692" w:rsidRPr="00E13978">
        <w:rPr>
          <w:rFonts w:eastAsia="Times New Roman"/>
          <w:color w:val="000000" w:themeColor="text1"/>
          <w:sz w:val="22"/>
          <w:szCs w:val="22"/>
          <w:lang w:val="pt-BR"/>
        </w:rPr>
        <w:t>STEM.</w:t>
      </w:r>
    </w:p>
    <w:p w14:paraId="02EFF6F6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19D5D9E" w14:textId="6A81F3A2" w:rsidR="00EC2692" w:rsidRPr="00E13978" w:rsidRDefault="00394F17" w:rsidP="00E13978">
      <w:pPr>
        <w:pStyle w:val="ListParagraph"/>
        <w:numPr>
          <w:ilvl w:val="0"/>
          <w:numId w:val="2"/>
        </w:numPr>
        <w:suppressAutoHyphens/>
        <w:ind w:left="1440" w:hanging="720"/>
        <w:contextualSpacing/>
        <w:jc w:val="both"/>
        <w:rPr>
          <w:rFonts w:eastAsia="Symbol"/>
          <w:color w:val="000000" w:themeColor="text1"/>
          <w:sz w:val="22"/>
          <w:szCs w:val="22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Por meio de associação com parceiros estratégicas no âmbito da </w:t>
      </w:r>
      <w:r w:rsidR="003723DF" w:rsidRPr="00E13978">
        <w:rPr>
          <w:rFonts w:eastAsia="Times New Roman"/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foram produzidos sete cursos virtuais em diferentes </w:t>
      </w:r>
      <w:r w:rsidR="002D410E" w:rsidRPr="00E13978">
        <w:rPr>
          <w:rFonts w:eastAsia="Times New Roman"/>
          <w:color w:val="000000" w:themeColor="text1"/>
          <w:sz w:val="22"/>
          <w:szCs w:val="22"/>
          <w:lang w:val="pt-BR"/>
        </w:rPr>
        <w:t>áreas</w:t>
      </w:r>
      <w:r w:rsidR="00EC269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Alguns resultados dessa associação</w:t>
      </w:r>
      <w:r w:rsidR="00EC2692" w:rsidRPr="00E13978">
        <w:rPr>
          <w:rFonts w:eastAsia="Times New Roman"/>
          <w:color w:val="000000" w:themeColor="text1"/>
          <w:sz w:val="22"/>
          <w:szCs w:val="22"/>
        </w:rPr>
        <w:t>:</w:t>
      </w:r>
    </w:p>
    <w:p w14:paraId="4D1D3FC1" w14:textId="70053BB9" w:rsidR="00EC2692" w:rsidRPr="00E13978" w:rsidRDefault="00EC2692" w:rsidP="00E13978">
      <w:pPr>
        <w:pStyle w:val="ListParagraph"/>
        <w:numPr>
          <w:ilvl w:val="0"/>
          <w:numId w:val="15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1</w:t>
      </w:r>
      <w:r w:rsidR="00394F17" w:rsidRPr="00E13978">
        <w:rPr>
          <w:color w:val="000000" w:themeColor="text1"/>
          <w:sz w:val="22"/>
          <w:szCs w:val="22"/>
          <w:lang w:val="pt-BR"/>
        </w:rPr>
        <w:t>.</w:t>
      </w:r>
      <w:r w:rsidRPr="00E13978">
        <w:rPr>
          <w:color w:val="000000" w:themeColor="text1"/>
          <w:sz w:val="22"/>
          <w:szCs w:val="22"/>
          <w:lang w:val="pt-BR"/>
        </w:rPr>
        <w:t xml:space="preserve">061 </w:t>
      </w:r>
      <w:r w:rsidR="00394F17" w:rsidRPr="00E13978">
        <w:rPr>
          <w:color w:val="000000" w:themeColor="text1"/>
          <w:sz w:val="22"/>
          <w:szCs w:val="22"/>
          <w:lang w:val="pt-BR"/>
        </w:rPr>
        <w:t xml:space="preserve">pessoas treinadas em direitos humanos </w:t>
      </w:r>
      <w:r w:rsidRPr="00E13978">
        <w:rPr>
          <w:color w:val="000000" w:themeColor="text1"/>
          <w:sz w:val="22"/>
          <w:szCs w:val="22"/>
          <w:lang w:val="pt-BR"/>
        </w:rPr>
        <w:t>(</w:t>
      </w:r>
      <w:r w:rsidR="00394F17" w:rsidRPr="00E13978">
        <w:rPr>
          <w:color w:val="000000" w:themeColor="text1"/>
          <w:sz w:val="22"/>
          <w:szCs w:val="22"/>
          <w:lang w:val="pt-BR"/>
        </w:rPr>
        <w:t>associação com a CIDH</w:t>
      </w:r>
      <w:r w:rsidRPr="00E13978">
        <w:rPr>
          <w:color w:val="000000" w:themeColor="text1"/>
          <w:sz w:val="22"/>
          <w:szCs w:val="22"/>
          <w:lang w:val="pt-BR"/>
        </w:rPr>
        <w:t>)</w:t>
      </w:r>
      <w:r w:rsidR="00394F17" w:rsidRPr="00E13978">
        <w:rPr>
          <w:color w:val="000000" w:themeColor="text1"/>
          <w:sz w:val="22"/>
          <w:szCs w:val="22"/>
          <w:lang w:val="pt-BR"/>
        </w:rPr>
        <w:t>;</w:t>
      </w:r>
    </w:p>
    <w:p w14:paraId="7623A248" w14:textId="79C9F0F8" w:rsidR="00EC2692" w:rsidRPr="00E13978" w:rsidRDefault="00EC2692" w:rsidP="00E13978">
      <w:pPr>
        <w:pStyle w:val="ListParagraph"/>
        <w:numPr>
          <w:ilvl w:val="0"/>
          <w:numId w:val="15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101 </w:t>
      </w:r>
      <w:r w:rsidR="00394F17" w:rsidRPr="00E13978">
        <w:rPr>
          <w:color w:val="000000" w:themeColor="text1"/>
          <w:sz w:val="22"/>
          <w:szCs w:val="22"/>
          <w:lang w:val="pt-BR"/>
        </w:rPr>
        <w:t xml:space="preserve">pessoas treinadas em prevenção e atendimento </w:t>
      </w:r>
      <w:r w:rsidR="00EE5E22" w:rsidRPr="00E13978">
        <w:rPr>
          <w:color w:val="000000" w:themeColor="text1"/>
          <w:sz w:val="22"/>
          <w:szCs w:val="22"/>
          <w:lang w:val="pt-BR"/>
        </w:rPr>
        <w:t xml:space="preserve">de vítimas </w:t>
      </w:r>
      <w:r w:rsidR="00394F17" w:rsidRPr="00E13978">
        <w:rPr>
          <w:color w:val="000000" w:themeColor="text1"/>
          <w:sz w:val="22"/>
          <w:szCs w:val="22"/>
          <w:lang w:val="pt-BR"/>
        </w:rPr>
        <w:t xml:space="preserve">em casos de violência armada </w:t>
      </w:r>
      <w:r w:rsidRPr="00E13978">
        <w:rPr>
          <w:color w:val="000000" w:themeColor="text1"/>
          <w:sz w:val="22"/>
          <w:szCs w:val="22"/>
          <w:lang w:val="pt-BR"/>
        </w:rPr>
        <w:t>(</w:t>
      </w:r>
      <w:r w:rsidR="00394F17" w:rsidRPr="00E13978">
        <w:rPr>
          <w:color w:val="000000" w:themeColor="text1"/>
          <w:sz w:val="22"/>
          <w:szCs w:val="22"/>
          <w:lang w:val="pt-BR"/>
        </w:rPr>
        <w:t xml:space="preserve">associação com </w:t>
      </w:r>
      <w:r w:rsidR="00DB0133" w:rsidRPr="00E13978">
        <w:rPr>
          <w:color w:val="000000" w:themeColor="text1"/>
          <w:sz w:val="22"/>
          <w:szCs w:val="22"/>
          <w:lang w:val="pt-BR"/>
        </w:rPr>
        <w:t>a SSM</w:t>
      </w:r>
      <w:r w:rsidRPr="00E13978">
        <w:rPr>
          <w:color w:val="000000" w:themeColor="text1"/>
          <w:sz w:val="22"/>
          <w:szCs w:val="22"/>
          <w:lang w:val="pt-BR"/>
        </w:rPr>
        <w:t>-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Pr="00E13978">
        <w:rPr>
          <w:color w:val="000000" w:themeColor="text1"/>
          <w:sz w:val="22"/>
          <w:szCs w:val="22"/>
          <w:lang w:val="pt-BR"/>
        </w:rPr>
        <w:t>)</w:t>
      </w:r>
      <w:r w:rsidR="00DB0133" w:rsidRPr="00E13978">
        <w:rPr>
          <w:color w:val="000000" w:themeColor="text1"/>
          <w:sz w:val="22"/>
          <w:szCs w:val="22"/>
          <w:lang w:val="pt-BR"/>
        </w:rPr>
        <w:t>;</w:t>
      </w:r>
    </w:p>
    <w:p w14:paraId="501595D2" w14:textId="0F949606" w:rsidR="00EC2692" w:rsidRPr="00E13978" w:rsidRDefault="00EC2692" w:rsidP="00E13978">
      <w:pPr>
        <w:pStyle w:val="ListParagraph"/>
        <w:numPr>
          <w:ilvl w:val="0"/>
          <w:numId w:val="15"/>
        </w:numPr>
        <w:suppressAutoHyphens/>
        <w:ind w:left="216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50 </w:t>
      </w:r>
      <w:r w:rsidR="00DB0133" w:rsidRPr="00E13978">
        <w:rPr>
          <w:rFonts w:eastAsia="Cambria"/>
          <w:color w:val="000000" w:themeColor="text1"/>
          <w:sz w:val="22"/>
          <w:szCs w:val="22"/>
          <w:lang w:val="pt-BR"/>
        </w:rPr>
        <w:t>pessoas treinadas em prevenção d</w:t>
      </w:r>
      <w:r w:rsidR="00EE5E22" w:rsidRPr="00E13978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="00DB0133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violência de gênero no local de trabalho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(</w:t>
      </w:r>
      <w:r w:rsidR="00DB0133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associação com a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CIM </w:t>
      </w:r>
      <w:r w:rsidR="00DB0133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 a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RIA</w:t>
      </w:r>
      <w:r w:rsidR="00DB0133" w:rsidRPr="00E13978">
        <w:rPr>
          <w:rFonts w:eastAsia="Cambria"/>
          <w:color w:val="000000" w:themeColor="text1"/>
          <w:sz w:val="22"/>
          <w:szCs w:val="22"/>
          <w:lang w:val="pt-BR"/>
        </w:rPr>
        <w:t>T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).</w:t>
      </w:r>
    </w:p>
    <w:p w14:paraId="7B1D95B4" w14:textId="77777777" w:rsidR="00FC07E8" w:rsidRPr="00E13978" w:rsidRDefault="00FC07E8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67218841" w14:textId="2CC3507D" w:rsidR="00EC2692" w:rsidRPr="00E13978" w:rsidRDefault="00DB0133" w:rsidP="00E13978">
      <w:pPr>
        <w:numPr>
          <w:ilvl w:val="0"/>
          <w:numId w:val="2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No âmbito do programa de educação digital da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-ProFuturo, 72 </w:t>
      </w:r>
      <w:r w:rsidRPr="00E13978">
        <w:rPr>
          <w:color w:val="000000" w:themeColor="text1"/>
          <w:sz w:val="22"/>
          <w:szCs w:val="22"/>
          <w:lang w:val="pt-BR"/>
        </w:rPr>
        <w:t xml:space="preserve">professores e funcionários de Ministérios da Educação foram treinados no uso do equipamento tecnológico e do sistema de gestão de aprendizagem da </w:t>
      </w:r>
      <w:r w:rsidR="00EC2692" w:rsidRPr="00E13978">
        <w:rPr>
          <w:color w:val="000000" w:themeColor="text1"/>
          <w:sz w:val="22"/>
          <w:szCs w:val="22"/>
          <w:lang w:val="pt-BR"/>
        </w:rPr>
        <w:t>ProFuturo</w:t>
      </w:r>
      <w:r w:rsidRPr="00E13978">
        <w:rPr>
          <w:color w:val="000000" w:themeColor="text1"/>
          <w:sz w:val="22"/>
          <w:szCs w:val="22"/>
          <w:lang w:val="pt-BR"/>
        </w:rPr>
        <w:t xml:space="preserve">, doado 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92 </w:t>
      </w:r>
      <w:r w:rsidRPr="00E13978">
        <w:rPr>
          <w:color w:val="000000" w:themeColor="text1"/>
          <w:sz w:val="22"/>
          <w:szCs w:val="22"/>
          <w:lang w:val="pt-BR"/>
        </w:rPr>
        <w:t>escola</w:t>
      </w:r>
      <w:r w:rsidR="00EE5E22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 xml:space="preserve"> de ensino fundamental nas </w:t>
      </w:r>
      <w:r w:rsidR="00EC2692" w:rsidRPr="00E13978">
        <w:rPr>
          <w:color w:val="000000" w:themeColor="text1"/>
          <w:sz w:val="22"/>
          <w:szCs w:val="22"/>
          <w:lang w:val="pt-BR"/>
        </w:rPr>
        <w:t>Bahamas, Barbados, Belize, Gu</w:t>
      </w:r>
      <w:r w:rsidRPr="00E13978">
        <w:rPr>
          <w:color w:val="000000" w:themeColor="text1"/>
          <w:sz w:val="22"/>
          <w:szCs w:val="22"/>
          <w:lang w:val="pt-BR"/>
        </w:rPr>
        <w:t>i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ana </w:t>
      </w:r>
      <w:r w:rsidRPr="00E13978">
        <w:rPr>
          <w:color w:val="000000" w:themeColor="text1"/>
          <w:sz w:val="22"/>
          <w:szCs w:val="22"/>
          <w:lang w:val="pt-BR"/>
        </w:rPr>
        <w:t>e Santa Lúcia</w:t>
      </w:r>
      <w:r w:rsidR="00EC2692" w:rsidRPr="00E13978">
        <w:rPr>
          <w:color w:val="000000" w:themeColor="text1"/>
          <w:sz w:val="22"/>
          <w:szCs w:val="22"/>
          <w:lang w:val="pt-BR"/>
        </w:rPr>
        <w:t>. M</w:t>
      </w:r>
      <w:r w:rsidRPr="00E13978">
        <w:rPr>
          <w:color w:val="000000" w:themeColor="text1"/>
          <w:sz w:val="22"/>
          <w:szCs w:val="22"/>
          <w:lang w:val="pt-BR"/>
        </w:rPr>
        <w:t xml:space="preserve">ais de </w:t>
      </w:r>
      <w:r w:rsidR="00EC2692" w:rsidRPr="00E13978">
        <w:rPr>
          <w:color w:val="000000" w:themeColor="text1"/>
          <w:sz w:val="22"/>
          <w:szCs w:val="22"/>
          <w:lang w:val="pt-BR"/>
        </w:rPr>
        <w:t>1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400 </w:t>
      </w:r>
      <w:r w:rsidRPr="00E13978">
        <w:rPr>
          <w:color w:val="000000" w:themeColor="text1"/>
          <w:sz w:val="22"/>
          <w:szCs w:val="22"/>
          <w:lang w:val="pt-BR"/>
        </w:rPr>
        <w:t>professores também foram treinados em inovação e integração da</w:t>
      </w:r>
      <w:r w:rsidR="00EE5E22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 xml:space="preserve"> TIC</w:t>
      </w:r>
      <w:r w:rsidR="00EE5E22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 xml:space="preserve"> na sala de aula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>Do mesmo modo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60 </w:t>
      </w:r>
      <w:r w:rsidRPr="00E13978">
        <w:rPr>
          <w:color w:val="000000" w:themeColor="text1"/>
          <w:sz w:val="22"/>
          <w:szCs w:val="22"/>
          <w:lang w:val="pt-BR"/>
        </w:rPr>
        <w:t xml:space="preserve">pessoas representando mais de dez organizações da sociedade civil </w:t>
      </w:r>
      <w:r w:rsidR="00EC2692" w:rsidRPr="00E13978">
        <w:rPr>
          <w:color w:val="000000" w:themeColor="text1"/>
          <w:sz w:val="22"/>
          <w:szCs w:val="22"/>
          <w:lang w:val="pt-BR"/>
        </w:rPr>
        <w:t>(</w:t>
      </w:r>
      <w:r w:rsidRPr="00E13978">
        <w:rPr>
          <w:color w:val="000000" w:themeColor="text1"/>
          <w:sz w:val="22"/>
          <w:szCs w:val="22"/>
          <w:lang w:val="pt-BR"/>
        </w:rPr>
        <w:t>OS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Cs) </w:t>
      </w:r>
      <w:r w:rsidRPr="00E13978">
        <w:rPr>
          <w:color w:val="000000" w:themeColor="text1"/>
          <w:sz w:val="22"/>
          <w:szCs w:val="22"/>
          <w:lang w:val="pt-BR"/>
        </w:rPr>
        <w:t xml:space="preserve">na </w:t>
      </w:r>
      <w:r w:rsidR="00F0089C" w:rsidRPr="00E13978">
        <w:rPr>
          <w:color w:val="000000" w:themeColor="text1"/>
          <w:sz w:val="22"/>
          <w:szCs w:val="22"/>
          <w:lang w:val="pt-BR"/>
        </w:rPr>
        <w:t xml:space="preserve">América Latina </w:t>
      </w:r>
      <w:r w:rsidRPr="00E13978">
        <w:rPr>
          <w:color w:val="000000" w:themeColor="text1"/>
          <w:sz w:val="22"/>
          <w:szCs w:val="22"/>
          <w:lang w:val="pt-BR"/>
        </w:rPr>
        <w:t xml:space="preserve">foram treinadas no curso </w:t>
      </w:r>
      <w:r w:rsidR="00EC2692" w:rsidRPr="00E13978">
        <w:rPr>
          <w:color w:val="000000" w:themeColor="text1"/>
          <w:sz w:val="22"/>
          <w:szCs w:val="22"/>
          <w:lang w:val="pt-BR"/>
        </w:rPr>
        <w:t>"</w:t>
      </w:r>
      <w:r w:rsidRPr="00E13978">
        <w:rPr>
          <w:color w:val="000000" w:themeColor="text1"/>
          <w:sz w:val="22"/>
          <w:szCs w:val="22"/>
          <w:lang w:val="pt-BR"/>
        </w:rPr>
        <w:t>Alianças Inovadoras para a Sustentabilidade</w:t>
      </w:r>
      <w:r w:rsidR="00EC2692" w:rsidRPr="00E13978">
        <w:rPr>
          <w:color w:val="000000" w:themeColor="text1"/>
          <w:sz w:val="22"/>
          <w:szCs w:val="22"/>
          <w:lang w:val="pt-BR"/>
        </w:rPr>
        <w:t>"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0C752632" w14:textId="77777777" w:rsidR="00EC2692" w:rsidRPr="00E13978" w:rsidRDefault="00EC2692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0546F3F4" w14:textId="7E367AB0" w:rsidR="00EC2692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bookmarkStart w:id="13" w:name="_Hlk94634094"/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3.3</w:t>
      </w:r>
      <w:r w:rsidR="0076001A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DB0133" w:rsidRPr="00E13978">
        <w:rPr>
          <w:b/>
          <w:bCs/>
          <w:sz w:val="22"/>
          <w:szCs w:val="22"/>
          <w:lang w:val="pt-BR"/>
        </w:rPr>
        <w:t>Fortalecer a capacidade institucional dos Estados membros de oferecer atenção integral à primeira infância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0E099C6E" w14:textId="09F62A73" w:rsidR="00EC2692" w:rsidRPr="00E13978" w:rsidRDefault="00EC2692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21C2D1B3" w14:textId="0C1BB1E6" w:rsidR="00EC2692" w:rsidRPr="00E13978" w:rsidRDefault="00DB0133" w:rsidP="00E13978">
      <w:pPr>
        <w:numPr>
          <w:ilvl w:val="0"/>
          <w:numId w:val="3"/>
        </w:numPr>
        <w:suppressAutoHyphens/>
        <w:ind w:left="1440" w:hanging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Assinou acordo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co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patrocínio com a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UWI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para oferecer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19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bolsas de estudo para o ano acadêmico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2021-2022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para beneficiários de bolsas de estudo </w:t>
      </w:r>
      <w:r w:rsidR="003723DF" w:rsidRPr="00E13978">
        <w:rPr>
          <w:rFonts w:eastAsia="Cambria"/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-UWI PAEC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dos Estados membros de língua inglesa do </w:t>
      </w:r>
      <w:r w:rsidR="00240A50" w:rsidRPr="00E13978">
        <w:rPr>
          <w:rFonts w:eastAsia="Cambria"/>
          <w:color w:val="000000" w:themeColor="text1"/>
          <w:sz w:val="22"/>
          <w:szCs w:val="22"/>
          <w:lang w:val="pt-BR"/>
        </w:rPr>
        <w:t>Caribe</w:t>
      </w:r>
      <w:r w:rsidR="00586E6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registrados no curso com certificado </w:t>
      </w:r>
      <w:r w:rsidR="00EE5E22" w:rsidRPr="00E13978">
        <w:rPr>
          <w:rFonts w:eastAsia="Cambria"/>
          <w:color w:val="000000" w:themeColor="text1"/>
          <w:sz w:val="22"/>
          <w:szCs w:val="22"/>
          <w:lang w:val="pt-BR"/>
        </w:rPr>
        <w:t>“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Desenvolvimento da Primeira Infância e Estudos de Família</w:t>
      </w:r>
      <w:r w:rsidR="00EE5E22" w:rsidRPr="00E13978">
        <w:rPr>
          <w:rFonts w:eastAsia="Cambria"/>
          <w:color w:val="000000" w:themeColor="text1"/>
          <w:sz w:val="22"/>
          <w:szCs w:val="22"/>
          <w:lang w:val="pt-BR"/>
        </w:rPr>
        <w:t>”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49F37A2C" w14:textId="77777777" w:rsidR="00EC2692" w:rsidRPr="00E13978" w:rsidRDefault="00EC2692" w:rsidP="00E13978">
      <w:pPr>
        <w:suppressAutoHyphens/>
        <w:ind w:firstLine="18"/>
        <w:jc w:val="both"/>
        <w:rPr>
          <w:color w:val="000000" w:themeColor="text1"/>
          <w:sz w:val="22"/>
          <w:szCs w:val="22"/>
          <w:lang w:val="pt-BR"/>
        </w:rPr>
      </w:pPr>
    </w:p>
    <w:bookmarkEnd w:id="13"/>
    <w:p w14:paraId="1CA2C207" w14:textId="3EC0762D" w:rsidR="00EC2692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3.4</w:t>
      </w:r>
      <w:r w:rsidR="0076001A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DB0133" w:rsidRPr="00E13978">
        <w:rPr>
          <w:b/>
          <w:bCs/>
          <w:sz w:val="22"/>
          <w:szCs w:val="22"/>
          <w:lang w:val="pt-BR"/>
        </w:rPr>
        <w:t>Promover o acesso nos Estados membros a oportunidades de educação de qualidade, inclusiva e equitativa, em todos os níveis e modalidades, e nos quatro idiomas oficiais da Organização</w:t>
      </w:r>
      <w:r w:rsidR="00EC2692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4E515E69" w14:textId="77777777" w:rsidR="005875A1" w:rsidRPr="00E13978" w:rsidRDefault="005875A1" w:rsidP="00E13978">
      <w:pPr>
        <w:suppressAutoHyphens/>
        <w:ind w:firstLine="18"/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5F06272A" w14:textId="410DF4D3" w:rsidR="00EC2692" w:rsidRPr="00E13978" w:rsidRDefault="00DB0133" w:rsidP="00E13978">
      <w:pPr>
        <w:suppressAutoHyphens/>
        <w:ind w:firstLine="720"/>
        <w:jc w:val="both"/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Programa de Bolsas de Estudo e Treinamento da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  <w:r w:rsidR="003723DF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>OEA</w:t>
      </w:r>
      <w:r w:rsidR="00586E61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 </w:t>
      </w:r>
    </w:p>
    <w:p w14:paraId="0A1961DC" w14:textId="222CB9E1" w:rsidR="00EC2692" w:rsidRPr="00E13978" w:rsidRDefault="00DB0133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Concedeu </w:t>
      </w:r>
      <w:r w:rsidR="00EC2692" w:rsidRPr="00E13978">
        <w:rPr>
          <w:color w:val="000000" w:themeColor="text1"/>
          <w:sz w:val="22"/>
          <w:szCs w:val="22"/>
          <w:lang w:val="pt-BR"/>
        </w:rPr>
        <w:t>3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131 </w:t>
      </w:r>
      <w:r w:rsidRPr="00E13978">
        <w:rPr>
          <w:color w:val="000000" w:themeColor="text1"/>
          <w:sz w:val="22"/>
          <w:szCs w:val="22"/>
          <w:lang w:val="pt-BR"/>
        </w:rPr>
        <w:t>bolsas para atendimento de necessidade</w:t>
      </w:r>
      <w:r w:rsidR="00EE5E22" w:rsidRPr="00E13978">
        <w:rPr>
          <w:color w:val="000000" w:themeColor="text1"/>
          <w:sz w:val="22"/>
          <w:szCs w:val="22"/>
          <w:lang w:val="pt-BR"/>
        </w:rPr>
        <w:t>s</w:t>
      </w:r>
      <w:r w:rsidRPr="00E13978">
        <w:rPr>
          <w:color w:val="000000" w:themeColor="text1"/>
          <w:sz w:val="22"/>
          <w:szCs w:val="22"/>
          <w:lang w:val="pt-BR"/>
        </w:rPr>
        <w:t xml:space="preserve">, em parceria com várias instituições regionais e internacionais, a cidadãos em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34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67D3F1F6" w14:textId="12D942EF" w:rsidR="00DD590C" w:rsidRPr="00E13978" w:rsidRDefault="00EC2692" w:rsidP="00E13978">
      <w:pPr>
        <w:pStyle w:val="ListParagraph"/>
        <w:numPr>
          <w:ilvl w:val="0"/>
          <w:numId w:val="42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Modali</w:t>
      </w:r>
      <w:r w:rsidR="00DB0133" w:rsidRPr="00E13978">
        <w:rPr>
          <w:color w:val="000000" w:themeColor="text1"/>
          <w:sz w:val="22"/>
          <w:szCs w:val="22"/>
          <w:lang w:val="pt-BR"/>
        </w:rPr>
        <w:t>dade</w:t>
      </w:r>
      <w:r w:rsidRPr="00E13978">
        <w:rPr>
          <w:color w:val="000000" w:themeColor="text1"/>
          <w:sz w:val="22"/>
          <w:szCs w:val="22"/>
          <w:lang w:val="pt-BR"/>
        </w:rPr>
        <w:t xml:space="preserve">: 87%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Online</w:t>
      </w:r>
      <w:r w:rsidRPr="00E13978">
        <w:rPr>
          <w:color w:val="000000" w:themeColor="text1"/>
          <w:sz w:val="22"/>
          <w:szCs w:val="22"/>
          <w:lang w:val="pt-BR"/>
        </w:rPr>
        <w:t>; 13% Tradi</w:t>
      </w:r>
      <w:r w:rsidR="00DB0133" w:rsidRPr="00E13978">
        <w:rPr>
          <w:color w:val="000000" w:themeColor="text1"/>
          <w:sz w:val="22"/>
          <w:szCs w:val="22"/>
          <w:lang w:val="pt-BR"/>
        </w:rPr>
        <w:t>c</w:t>
      </w:r>
      <w:r w:rsidRPr="00E13978">
        <w:rPr>
          <w:color w:val="000000" w:themeColor="text1"/>
          <w:sz w:val="22"/>
          <w:szCs w:val="22"/>
          <w:lang w:val="pt-BR"/>
        </w:rPr>
        <w:t>ional/H</w:t>
      </w:r>
      <w:r w:rsidR="00DB0133" w:rsidRPr="00E13978">
        <w:rPr>
          <w:color w:val="000000" w:themeColor="text1"/>
          <w:sz w:val="22"/>
          <w:szCs w:val="22"/>
          <w:lang w:val="pt-BR"/>
        </w:rPr>
        <w:t>íbrido</w:t>
      </w:r>
    </w:p>
    <w:p w14:paraId="02464DE3" w14:textId="3ED9B99C" w:rsidR="00DD590C" w:rsidRPr="00E13978" w:rsidRDefault="00DB0133" w:rsidP="00E13978">
      <w:pPr>
        <w:pStyle w:val="ListParagraph"/>
        <w:numPr>
          <w:ilvl w:val="0"/>
          <w:numId w:val="42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lastRenderedPageBreak/>
        <w:t>Nível de estudo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: 84% </w:t>
      </w:r>
      <w:r w:rsidRPr="00E13978">
        <w:rPr>
          <w:color w:val="000000" w:themeColor="text1"/>
          <w:sz w:val="22"/>
          <w:szCs w:val="22"/>
          <w:lang w:val="pt-BR"/>
        </w:rPr>
        <w:t>Mestrado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; 9% </w:t>
      </w:r>
      <w:r w:rsidRPr="00E13978">
        <w:rPr>
          <w:color w:val="000000" w:themeColor="text1"/>
          <w:sz w:val="22"/>
          <w:szCs w:val="22"/>
          <w:lang w:val="pt-BR"/>
        </w:rPr>
        <w:t>certificado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; 5% </w:t>
      </w:r>
      <w:r w:rsidRPr="00E13978">
        <w:rPr>
          <w:color w:val="000000" w:themeColor="text1"/>
          <w:sz w:val="22"/>
          <w:szCs w:val="22"/>
          <w:lang w:val="pt-BR"/>
        </w:rPr>
        <w:t>Doutorado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; 2% </w:t>
      </w:r>
      <w:r w:rsidR="001B3767" w:rsidRPr="00E13978">
        <w:rPr>
          <w:color w:val="000000" w:themeColor="text1"/>
          <w:sz w:val="22"/>
          <w:szCs w:val="22"/>
          <w:lang w:val="pt-BR"/>
        </w:rPr>
        <w:t>Bacharelado</w:t>
      </w:r>
    </w:p>
    <w:p w14:paraId="0D809426" w14:textId="77090CA1" w:rsidR="00EC2692" w:rsidRPr="00E13978" w:rsidRDefault="00EC2692" w:rsidP="00E13978">
      <w:pPr>
        <w:pStyle w:val="ListParagraph"/>
        <w:numPr>
          <w:ilvl w:val="0"/>
          <w:numId w:val="42"/>
        </w:numPr>
        <w:suppressAutoHyphens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G</w:t>
      </w:r>
      <w:r w:rsidR="001B3767" w:rsidRPr="00E13978">
        <w:rPr>
          <w:color w:val="000000" w:themeColor="text1"/>
          <w:sz w:val="22"/>
          <w:szCs w:val="22"/>
          <w:lang w:val="pt-BR"/>
        </w:rPr>
        <w:t>ênero</w:t>
      </w:r>
      <w:r w:rsidRPr="00E13978">
        <w:rPr>
          <w:color w:val="000000" w:themeColor="text1"/>
          <w:sz w:val="22"/>
          <w:szCs w:val="22"/>
          <w:lang w:val="pt-BR"/>
        </w:rPr>
        <w:t xml:space="preserve">: 52% </w:t>
      </w:r>
      <w:r w:rsidR="001B3767" w:rsidRPr="00E13978">
        <w:rPr>
          <w:color w:val="000000" w:themeColor="text1"/>
          <w:sz w:val="22"/>
          <w:szCs w:val="22"/>
          <w:lang w:val="pt-BR"/>
        </w:rPr>
        <w:t>Homens</w:t>
      </w:r>
      <w:r w:rsidRPr="00E13978">
        <w:rPr>
          <w:color w:val="000000" w:themeColor="text1"/>
          <w:sz w:val="22"/>
          <w:szCs w:val="22"/>
          <w:lang w:val="pt-BR"/>
        </w:rPr>
        <w:t xml:space="preserve">; 48% </w:t>
      </w:r>
      <w:r w:rsidR="001B3767" w:rsidRPr="00E13978">
        <w:rPr>
          <w:color w:val="000000" w:themeColor="text1"/>
          <w:sz w:val="22"/>
          <w:szCs w:val="22"/>
          <w:lang w:val="pt-BR"/>
        </w:rPr>
        <w:t>Mulheres</w:t>
      </w:r>
    </w:p>
    <w:p w14:paraId="108CF0FE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8C02490" w14:textId="28E3BCFA" w:rsidR="00EC2692" w:rsidRPr="00E13978" w:rsidRDefault="00EC2692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Of</w:t>
      </w:r>
      <w:r w:rsidR="001B3767" w:rsidRPr="00E13978">
        <w:rPr>
          <w:color w:val="000000" w:themeColor="text1"/>
          <w:sz w:val="22"/>
          <w:szCs w:val="22"/>
          <w:lang w:val="pt-BR"/>
        </w:rPr>
        <w:t xml:space="preserve">ereceu mais de </w:t>
      </w:r>
      <w:r w:rsidRPr="00E13978">
        <w:rPr>
          <w:color w:val="000000" w:themeColor="text1"/>
          <w:sz w:val="22"/>
          <w:szCs w:val="22"/>
          <w:lang w:val="pt-BR"/>
        </w:rPr>
        <w:t>11</w:t>
      </w:r>
      <w:r w:rsidR="001B3767" w:rsidRPr="00E13978">
        <w:rPr>
          <w:color w:val="000000" w:themeColor="text1"/>
          <w:sz w:val="22"/>
          <w:szCs w:val="22"/>
          <w:lang w:val="pt-BR"/>
        </w:rPr>
        <w:t>.</w:t>
      </w:r>
      <w:r w:rsidRPr="00E13978">
        <w:rPr>
          <w:color w:val="000000" w:themeColor="text1"/>
          <w:sz w:val="22"/>
          <w:szCs w:val="22"/>
          <w:lang w:val="pt-BR"/>
        </w:rPr>
        <w:t xml:space="preserve">000 </w:t>
      </w:r>
      <w:r w:rsidR="001B3767" w:rsidRPr="00E13978">
        <w:rPr>
          <w:color w:val="000000" w:themeColor="text1"/>
          <w:sz w:val="22"/>
          <w:szCs w:val="22"/>
          <w:lang w:val="pt-BR"/>
        </w:rPr>
        <w:t>bolsas de estudo mediante parcerias com instituições fundamentais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B3767" w:rsidRPr="00E13978">
        <w:rPr>
          <w:color w:val="000000" w:themeColor="text1"/>
          <w:sz w:val="22"/>
          <w:szCs w:val="22"/>
          <w:lang w:val="pt-BR"/>
        </w:rPr>
        <w:t xml:space="preserve">com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Soluciones Integrales de Formación y Gestión</w:t>
      </w:r>
      <w:r w:rsidRPr="00E13978">
        <w:rPr>
          <w:color w:val="000000" w:themeColor="text1"/>
          <w:sz w:val="22"/>
          <w:szCs w:val="22"/>
          <w:lang w:val="pt-BR"/>
        </w:rPr>
        <w:t xml:space="preserve"> (STRUCTURALIA)</w:t>
      </w:r>
      <w:r w:rsidR="00EE5E22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B3767" w:rsidRPr="00E13978">
        <w:rPr>
          <w:color w:val="000000" w:themeColor="text1"/>
          <w:sz w:val="22"/>
          <w:szCs w:val="22"/>
          <w:lang w:val="pt-BR"/>
        </w:rPr>
        <w:t>na Espanha</w:t>
      </w:r>
      <w:r w:rsidRPr="00E13978">
        <w:rPr>
          <w:color w:val="000000" w:themeColor="text1"/>
          <w:sz w:val="22"/>
          <w:szCs w:val="22"/>
          <w:lang w:val="pt-BR"/>
        </w:rPr>
        <w:t>, Marconi International University</w:t>
      </w:r>
      <w:r w:rsidR="001B3767" w:rsidRPr="00E13978">
        <w:rPr>
          <w:color w:val="000000" w:themeColor="text1"/>
          <w:sz w:val="22"/>
          <w:szCs w:val="22"/>
          <w:lang w:val="pt-BR"/>
        </w:rPr>
        <w:t xml:space="preserve">, nos Estados Unidos, e </w:t>
      </w:r>
      <w:r w:rsidRPr="00E13978">
        <w:rPr>
          <w:i/>
          <w:iCs/>
          <w:color w:val="000000" w:themeColor="text1"/>
          <w:sz w:val="22"/>
          <w:szCs w:val="22"/>
          <w:lang w:val="pt-BR"/>
        </w:rPr>
        <w:t>Formato Educativo Escuela de Negocios</w:t>
      </w:r>
      <w:r w:rsidR="001B3767" w:rsidRPr="00E13978">
        <w:rPr>
          <w:color w:val="000000" w:themeColor="text1"/>
          <w:sz w:val="22"/>
          <w:szCs w:val="22"/>
          <w:lang w:val="pt-BR"/>
        </w:rPr>
        <w:t>, na Espanha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1FF7CED9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E4768FA" w14:textId="7D6AC164" w:rsidR="00EC2692" w:rsidRPr="00E13978" w:rsidRDefault="001B3767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O programa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PAEC Chile </w:t>
      </w:r>
      <w:r w:rsidRPr="00E13978">
        <w:rPr>
          <w:color w:val="000000" w:themeColor="text1"/>
          <w:sz w:val="22"/>
          <w:szCs w:val="22"/>
          <w:lang w:val="pt-BR"/>
        </w:rPr>
        <w:t xml:space="preserve">2021 reunirá sua comissão de seleção no primeiro trimestre do ano e os beneficiários serão selecionados até março de </w:t>
      </w:r>
      <w:r w:rsidR="00EC2692" w:rsidRPr="00E13978">
        <w:rPr>
          <w:color w:val="000000" w:themeColor="text1"/>
          <w:sz w:val="22"/>
          <w:szCs w:val="22"/>
          <w:lang w:val="pt-BR"/>
        </w:rPr>
        <w:t>2022.</w:t>
      </w:r>
    </w:p>
    <w:p w14:paraId="4277B696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4930F4B" w14:textId="0ACE33E9" w:rsidR="00EC2692" w:rsidRPr="00E13978" w:rsidRDefault="001B3767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Com a participação dos principais parceiros</w:t>
      </w:r>
      <w:r w:rsidR="00EC2692" w:rsidRPr="00E13978">
        <w:rPr>
          <w:color w:val="000000" w:themeColor="text1"/>
          <w:sz w:val="22"/>
          <w:szCs w:val="22"/>
          <w:lang w:val="pt-BR"/>
        </w:rPr>
        <w:t>,</w:t>
      </w:r>
      <w:r w:rsidRPr="00E13978">
        <w:rPr>
          <w:color w:val="000000" w:themeColor="text1"/>
          <w:sz w:val="22"/>
          <w:szCs w:val="22"/>
          <w:lang w:val="pt-BR"/>
        </w:rPr>
        <w:t xml:space="preserve"> 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DHDEE </w:t>
      </w:r>
      <w:r w:rsidRPr="00E13978">
        <w:rPr>
          <w:color w:val="000000" w:themeColor="text1"/>
          <w:sz w:val="22"/>
          <w:szCs w:val="22"/>
          <w:lang w:val="pt-BR"/>
        </w:rPr>
        <w:t xml:space="preserve">aumentou o número de bolsas de estudo e de oportunidades de treinamento oferecidas aos cidadãos da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CARICOM </w:t>
      </w:r>
      <w:r w:rsidRPr="00E13978">
        <w:rPr>
          <w:color w:val="000000" w:themeColor="text1"/>
          <w:sz w:val="22"/>
          <w:szCs w:val="22"/>
          <w:lang w:val="pt-BR"/>
        </w:rPr>
        <w:t xml:space="preserve">em </w:t>
      </w:r>
      <w:r w:rsidR="00EC2692" w:rsidRPr="00E13978">
        <w:rPr>
          <w:color w:val="000000" w:themeColor="text1"/>
          <w:sz w:val="22"/>
          <w:szCs w:val="22"/>
          <w:lang w:val="pt-BR"/>
        </w:rPr>
        <w:t>2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400 </w:t>
      </w:r>
      <w:r w:rsidRPr="00E13978">
        <w:rPr>
          <w:color w:val="000000" w:themeColor="text1"/>
          <w:sz w:val="22"/>
          <w:szCs w:val="22"/>
          <w:lang w:val="pt-BR"/>
        </w:rPr>
        <w:t xml:space="preserve">novas ofertas para estudos de graduação </w:t>
      </w:r>
      <w:r w:rsidR="00EC2692" w:rsidRPr="00E13978">
        <w:rPr>
          <w:i/>
          <w:iCs/>
          <w:color w:val="000000" w:themeColor="text1"/>
          <w:sz w:val="22"/>
          <w:szCs w:val="22"/>
          <w:lang w:val="pt-BR"/>
        </w:rPr>
        <w:t>online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>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cursos de pós-graduação no ciclo </w:t>
      </w:r>
      <w:r w:rsidR="00EC2692" w:rsidRPr="00E13978">
        <w:rPr>
          <w:color w:val="000000" w:themeColor="text1"/>
          <w:sz w:val="22"/>
          <w:szCs w:val="22"/>
          <w:lang w:val="pt-BR"/>
        </w:rPr>
        <w:t>2020-2021.</w:t>
      </w:r>
    </w:p>
    <w:p w14:paraId="3C3A5616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08BE8D3C" w14:textId="0BA4CDE2" w:rsidR="00EC2692" w:rsidRPr="00E13978" w:rsidRDefault="001B3767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</w:rPr>
      </w:pPr>
      <w:r w:rsidRPr="00E13978">
        <w:rPr>
          <w:color w:val="000000" w:themeColor="text1"/>
          <w:sz w:val="22"/>
          <w:szCs w:val="22"/>
          <w:lang w:val="pt-BR"/>
        </w:rPr>
        <w:t xml:space="preserve">A Comissão do Programa de Bolsas de Estudo de Desenvolvimento Profissional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(PDSP) </w:t>
      </w:r>
      <w:r w:rsidRPr="00E13978">
        <w:rPr>
          <w:color w:val="000000" w:themeColor="text1"/>
          <w:sz w:val="22"/>
          <w:szCs w:val="22"/>
          <w:lang w:val="pt-BR"/>
        </w:rPr>
        <w:t xml:space="preserve">selecionou um total de sete cursos alinhados com as prioridades dos países da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A Comissão avaliou e classificou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29 </w:t>
      </w:r>
      <w:r w:rsidR="00D2580A" w:rsidRPr="00E13978">
        <w:rPr>
          <w:color w:val="000000" w:themeColor="text1"/>
          <w:sz w:val="22"/>
          <w:szCs w:val="22"/>
          <w:lang w:val="pt-BR"/>
        </w:rPr>
        <w:t>propostas de cursos pré-selecionad</w:t>
      </w:r>
      <w:r w:rsidR="00EE5E22" w:rsidRPr="00E13978">
        <w:rPr>
          <w:color w:val="000000" w:themeColor="text1"/>
          <w:sz w:val="22"/>
          <w:szCs w:val="22"/>
          <w:lang w:val="pt-BR"/>
        </w:rPr>
        <w:t>a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s </w:t>
      </w:r>
      <w:r w:rsidR="00EC2692" w:rsidRPr="00E13978">
        <w:rPr>
          <w:color w:val="000000" w:themeColor="text1"/>
          <w:sz w:val="22"/>
          <w:szCs w:val="22"/>
          <w:lang w:val="pt-BR"/>
        </w:rPr>
        <w:t>(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="00EC2692" w:rsidRPr="00E13978">
        <w:rPr>
          <w:color w:val="000000" w:themeColor="text1"/>
          <w:sz w:val="22"/>
          <w:szCs w:val="22"/>
          <w:lang w:val="pt-BR"/>
        </w:rPr>
        <w:t>58 rece</w:t>
      </w:r>
      <w:r w:rsidR="00D2580A" w:rsidRPr="00E13978">
        <w:rPr>
          <w:color w:val="000000" w:themeColor="text1"/>
          <w:sz w:val="22"/>
          <w:szCs w:val="22"/>
          <w:lang w:val="pt-BR"/>
        </w:rPr>
        <w:t>bid</w:t>
      </w:r>
      <w:r w:rsidR="00EE5E22" w:rsidRPr="00E13978">
        <w:rPr>
          <w:color w:val="000000" w:themeColor="text1"/>
          <w:sz w:val="22"/>
          <w:szCs w:val="22"/>
          <w:lang w:val="pt-BR"/>
        </w:rPr>
        <w:t>a</w:t>
      </w:r>
      <w:r w:rsidR="00D2580A" w:rsidRPr="00E13978">
        <w:rPr>
          <w:color w:val="000000" w:themeColor="text1"/>
          <w:sz w:val="22"/>
          <w:szCs w:val="22"/>
          <w:lang w:val="pt-BR"/>
        </w:rPr>
        <w:t>s</w:t>
      </w:r>
      <w:r w:rsidR="00EC2692" w:rsidRPr="00E13978">
        <w:rPr>
          <w:color w:val="000000" w:themeColor="text1"/>
          <w:sz w:val="22"/>
          <w:szCs w:val="22"/>
          <w:lang w:val="pt-BR"/>
        </w:rPr>
        <w:t>)</w:t>
      </w:r>
      <w:r w:rsidR="00EE5E22" w:rsidRPr="00E13978">
        <w:rPr>
          <w:color w:val="000000" w:themeColor="text1"/>
          <w:sz w:val="22"/>
          <w:szCs w:val="22"/>
          <w:lang w:val="pt-BR"/>
        </w:rPr>
        <w:t>,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13 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instituições diferentes situadas em cinco Estados membros da OEA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(Chile, </w:t>
      </w:r>
      <w:r w:rsidR="00240A50" w:rsidRPr="00E13978">
        <w:rPr>
          <w:color w:val="000000" w:themeColor="text1"/>
          <w:sz w:val="22"/>
          <w:szCs w:val="22"/>
          <w:lang w:val="pt-BR"/>
        </w:rPr>
        <w:t>Colômbia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4E0017" w:rsidRPr="00E13978">
        <w:rPr>
          <w:color w:val="000000" w:themeColor="text1"/>
          <w:sz w:val="22"/>
          <w:szCs w:val="22"/>
          <w:lang w:val="pt-BR"/>
        </w:rPr>
        <w:t>México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Peru </w:t>
      </w:r>
      <w:r w:rsidR="00D2580A" w:rsidRPr="00E13978">
        <w:rPr>
          <w:color w:val="000000" w:themeColor="text1"/>
          <w:sz w:val="22"/>
          <w:szCs w:val="22"/>
          <w:lang w:val="pt-BR"/>
        </w:rPr>
        <w:t>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D2580A" w:rsidRPr="00E13978">
        <w:rPr>
          <w:color w:val="000000" w:themeColor="text1"/>
          <w:sz w:val="22"/>
          <w:szCs w:val="22"/>
          <w:lang w:val="pt-BR"/>
        </w:rPr>
        <w:t>Estados Unidos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) </w:t>
      </w:r>
      <w:r w:rsidR="00D2580A" w:rsidRPr="00E13978">
        <w:rPr>
          <w:color w:val="000000" w:themeColor="text1"/>
          <w:sz w:val="22"/>
          <w:szCs w:val="22"/>
          <w:lang w:val="pt-BR"/>
        </w:rPr>
        <w:t xml:space="preserve">e em dois Estados Observadores da </w:t>
      </w:r>
      <w:r w:rsidR="003723DF" w:rsidRPr="00E13978">
        <w:rPr>
          <w:color w:val="000000" w:themeColor="text1"/>
          <w:sz w:val="22"/>
          <w:szCs w:val="22"/>
          <w:lang w:val="pt-BR"/>
        </w:rPr>
        <w:t xml:space="preserve">OEA </w:t>
      </w:r>
      <w:r w:rsidR="00EC2692" w:rsidRPr="00E13978">
        <w:rPr>
          <w:color w:val="000000" w:themeColor="text1"/>
          <w:sz w:val="22"/>
          <w:szCs w:val="22"/>
          <w:lang w:val="pt-BR"/>
        </w:rPr>
        <w:t>(It</w:t>
      </w:r>
      <w:r w:rsidR="00D2580A" w:rsidRPr="00E13978">
        <w:rPr>
          <w:color w:val="000000" w:themeColor="text1"/>
          <w:sz w:val="22"/>
          <w:szCs w:val="22"/>
          <w:lang w:val="pt-BR"/>
        </w:rPr>
        <w:t>ália e Espanha</w:t>
      </w:r>
      <w:r w:rsidR="00EC2692" w:rsidRPr="00E13978">
        <w:rPr>
          <w:color w:val="000000" w:themeColor="text1"/>
          <w:sz w:val="22"/>
          <w:szCs w:val="22"/>
          <w:lang w:val="pt-BR"/>
        </w:rPr>
        <w:t>).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B396E" w:rsidRPr="00E13978">
        <w:rPr>
          <w:color w:val="000000" w:themeColor="text1"/>
          <w:sz w:val="22"/>
          <w:szCs w:val="22"/>
          <w:lang w:val="pt-BR"/>
        </w:rPr>
        <w:t>Dois serão ministrados em inglês</w:t>
      </w:r>
      <w:r w:rsidR="005D3709" w:rsidRPr="00E13978">
        <w:rPr>
          <w:color w:val="000000" w:themeColor="text1"/>
          <w:sz w:val="22"/>
          <w:szCs w:val="22"/>
          <w:lang w:val="pt-BR"/>
        </w:rPr>
        <w:t>,</w:t>
      </w:r>
      <w:r w:rsidR="001B396E" w:rsidRPr="00E13978">
        <w:rPr>
          <w:color w:val="000000" w:themeColor="text1"/>
          <w:sz w:val="22"/>
          <w:szCs w:val="22"/>
          <w:lang w:val="pt-BR"/>
        </w:rPr>
        <w:t xml:space="preserve"> e nas </w:t>
      </w:r>
      <w:r w:rsidR="002D410E" w:rsidRPr="00E13978">
        <w:rPr>
          <w:color w:val="000000" w:themeColor="text1"/>
          <w:sz w:val="22"/>
          <w:szCs w:val="22"/>
          <w:lang w:val="pt-BR"/>
        </w:rPr>
        <w:t xml:space="preserve">áreas </w:t>
      </w:r>
      <w:r w:rsidR="001B396E" w:rsidRPr="00E13978">
        <w:rPr>
          <w:color w:val="000000" w:themeColor="text1"/>
          <w:sz w:val="22"/>
          <w:szCs w:val="22"/>
          <w:lang w:val="pt-BR"/>
        </w:rPr>
        <w:t>de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B396E" w:rsidRPr="00E13978">
        <w:rPr>
          <w:color w:val="000000" w:themeColor="text1"/>
          <w:sz w:val="22"/>
          <w:szCs w:val="22"/>
          <w:lang w:val="pt-BR"/>
        </w:rPr>
        <w:t>energia renovável, que são necessári</w:t>
      </w:r>
      <w:r w:rsidR="005D3709" w:rsidRPr="00E13978">
        <w:rPr>
          <w:color w:val="000000" w:themeColor="text1"/>
          <w:sz w:val="22"/>
          <w:szCs w:val="22"/>
          <w:lang w:val="pt-BR"/>
        </w:rPr>
        <w:t>a</w:t>
      </w:r>
      <w:r w:rsidR="001B396E" w:rsidRPr="00E13978">
        <w:rPr>
          <w:color w:val="000000" w:themeColor="text1"/>
          <w:sz w:val="22"/>
          <w:szCs w:val="22"/>
          <w:lang w:val="pt-BR"/>
        </w:rPr>
        <w:t xml:space="preserve">s para o desenvolvimento econômico e sustentável da </w:t>
      </w:r>
      <w:r w:rsidR="000E0FAF" w:rsidRPr="00E13978">
        <w:rPr>
          <w:color w:val="000000" w:themeColor="text1"/>
          <w:sz w:val="22"/>
          <w:szCs w:val="22"/>
          <w:lang w:val="pt-BR"/>
        </w:rPr>
        <w:t xml:space="preserve">região </w:t>
      </w:r>
      <w:r w:rsidR="001B396E" w:rsidRPr="00E13978">
        <w:rPr>
          <w:color w:val="000000" w:themeColor="text1"/>
          <w:sz w:val="22"/>
          <w:szCs w:val="22"/>
          <w:lang w:val="pt-BR"/>
        </w:rPr>
        <w:t>e apresentam alto potencial de empregabilidade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="001B396E" w:rsidRPr="00E13978">
        <w:rPr>
          <w:color w:val="000000" w:themeColor="text1"/>
          <w:sz w:val="22"/>
          <w:szCs w:val="22"/>
          <w:lang w:val="pt-BR"/>
        </w:rPr>
        <w:t>dois cursos selecionados na área de educação possibilitarão aos professores adaptar suas aulas e novas modalidades com propostas educacionais inovadoras e diferentes metodologias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5E1D9A" w:rsidRPr="00E13978">
        <w:rPr>
          <w:color w:val="000000" w:themeColor="text1"/>
          <w:sz w:val="22"/>
          <w:szCs w:val="22"/>
          <w:lang w:val="pt-BR"/>
        </w:rPr>
        <w:t xml:space="preserve">Um dos cursos selecionados ajudará os profissionais </w:t>
      </w:r>
      <w:r w:rsidR="00731A2D" w:rsidRPr="00E13978">
        <w:rPr>
          <w:color w:val="000000" w:themeColor="text1"/>
          <w:sz w:val="22"/>
          <w:szCs w:val="22"/>
          <w:lang w:val="pt-BR"/>
        </w:rPr>
        <w:t>a incluir um enfoque de gênero a seus programas e projetos, desse modo proporcionando aos países e suas instituições elementos para superar as desigualdades históricas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731A2D" w:rsidRPr="00E13978">
        <w:rPr>
          <w:color w:val="000000" w:themeColor="text1"/>
          <w:sz w:val="22"/>
          <w:szCs w:val="22"/>
          <w:lang w:val="pt-BR"/>
        </w:rPr>
        <w:t>E os dois últimos cursos selecionados ajudarão os participantes a atualizar seu conhecimento das tecnologias de última geração atualmente desenvolvidas para tratamento de água e a identificar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731A2D" w:rsidRPr="00E13978">
        <w:rPr>
          <w:color w:val="000000" w:themeColor="text1"/>
          <w:sz w:val="22"/>
          <w:szCs w:val="22"/>
          <w:lang w:val="pt-BR"/>
        </w:rPr>
        <w:t>a estrutura internacional para gestão de risco de desastres e mudança do clima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="00731A2D" w:rsidRPr="00E13978">
        <w:rPr>
          <w:color w:val="000000" w:themeColor="text1"/>
          <w:sz w:val="22"/>
          <w:szCs w:val="22"/>
          <w:lang w:val="pt-BR"/>
        </w:rPr>
        <w:t xml:space="preserve">Esses cursos serão implementados entre março e junho </w:t>
      </w:r>
      <w:r w:rsidR="00731A2D" w:rsidRPr="00E13978">
        <w:rPr>
          <w:color w:val="000000" w:themeColor="text1"/>
          <w:sz w:val="22"/>
          <w:szCs w:val="22"/>
        </w:rPr>
        <w:t xml:space="preserve">de </w:t>
      </w:r>
      <w:r w:rsidR="00EC2692" w:rsidRPr="00E13978">
        <w:rPr>
          <w:color w:val="000000" w:themeColor="text1"/>
          <w:sz w:val="22"/>
          <w:szCs w:val="22"/>
        </w:rPr>
        <w:t>2022.</w:t>
      </w:r>
    </w:p>
    <w:p w14:paraId="57B777DF" w14:textId="77777777" w:rsidR="00FC07E8" w:rsidRPr="00E13978" w:rsidRDefault="00FC07E8" w:rsidP="00E13978">
      <w:pPr>
        <w:suppressAutoHyphens/>
        <w:jc w:val="both"/>
        <w:rPr>
          <w:color w:val="000000" w:themeColor="text1"/>
          <w:sz w:val="22"/>
          <w:szCs w:val="22"/>
        </w:rPr>
      </w:pPr>
    </w:p>
    <w:p w14:paraId="113CFA3C" w14:textId="02A31D94" w:rsidR="00EC2692" w:rsidRPr="00E13978" w:rsidRDefault="00731A2D" w:rsidP="00E13978">
      <w:pPr>
        <w:numPr>
          <w:ilvl w:val="0"/>
          <w:numId w:val="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O Programa de Bolsas de Estudo Acadêmicas recebeu candidaturas de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31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Pr="00E13978">
        <w:rPr>
          <w:color w:val="000000" w:themeColor="text1"/>
          <w:sz w:val="22"/>
          <w:szCs w:val="22"/>
          <w:lang w:val="pt-BR"/>
        </w:rPr>
        <w:t xml:space="preserve">, em resposta ao Edital para Candidaturas a Bolsas de Estudo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2021. </w:t>
      </w:r>
      <w:r w:rsidRPr="00E13978">
        <w:rPr>
          <w:color w:val="000000" w:themeColor="text1"/>
          <w:sz w:val="22"/>
          <w:szCs w:val="22"/>
          <w:lang w:val="pt-BR"/>
        </w:rPr>
        <w:t xml:space="preserve">A Comissão </w:t>
      </w:r>
      <w:r w:rsidR="00EC2692" w:rsidRPr="00E13978">
        <w:rPr>
          <w:i/>
          <w:iCs/>
          <w:color w:val="000000" w:themeColor="text1"/>
          <w:sz w:val="22"/>
          <w:szCs w:val="22"/>
          <w:lang w:val="pt-BR"/>
        </w:rPr>
        <w:t>Ad Hoc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de Seleção avaliou e classificou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104 </w:t>
      </w:r>
      <w:r w:rsidRPr="00E13978">
        <w:rPr>
          <w:color w:val="000000" w:themeColor="text1"/>
          <w:sz w:val="22"/>
          <w:szCs w:val="22"/>
          <w:lang w:val="pt-BR"/>
        </w:rPr>
        <w:t>candidaturas elegíveis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que levaram à oferta de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37 </w:t>
      </w:r>
      <w:r w:rsidRPr="00E13978">
        <w:rPr>
          <w:color w:val="000000" w:themeColor="text1"/>
          <w:sz w:val="22"/>
          <w:szCs w:val="22"/>
          <w:lang w:val="pt-BR"/>
        </w:rPr>
        <w:t>bolsas de estudo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Oito bolsas foram concedidas para estudos de graduação 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29 </w:t>
      </w:r>
      <w:r w:rsidRPr="00E13978">
        <w:rPr>
          <w:color w:val="000000" w:themeColor="text1"/>
          <w:sz w:val="22"/>
          <w:szCs w:val="22"/>
          <w:lang w:val="pt-BR"/>
        </w:rPr>
        <w:t>para pós-graduação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Foram concedidas Bolsas de Estudo Acadêmicas para os dois últimos anos de estudos de graduação para cidadãos dos Estados membros do Caribe de língua inglesa e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Suriname, </w:t>
      </w:r>
      <w:r w:rsidRPr="00E13978">
        <w:rPr>
          <w:color w:val="000000" w:themeColor="text1"/>
          <w:sz w:val="22"/>
          <w:szCs w:val="22"/>
          <w:lang w:val="pt-BR"/>
        </w:rPr>
        <w:t xml:space="preserve">ao passo que bolsas de pós-graduação foram concedidas para estudos destinados a mestrado, doutorado e/ou pesquisa de pós-graduação </w:t>
      </w:r>
      <w:r w:rsidR="00C853B0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 xml:space="preserve"> cidadãos de todos os Estados membros da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Os beneficiários de bolsas de estudo recebem até </w:t>
      </w:r>
      <w:r w:rsidR="00EC2692" w:rsidRPr="00E13978">
        <w:rPr>
          <w:color w:val="000000" w:themeColor="text1"/>
          <w:sz w:val="22"/>
          <w:szCs w:val="22"/>
          <w:lang w:val="pt-BR"/>
        </w:rPr>
        <w:t>US$10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000 </w:t>
      </w:r>
      <w:r w:rsidRPr="00E13978">
        <w:rPr>
          <w:color w:val="000000" w:themeColor="text1"/>
          <w:sz w:val="22"/>
          <w:szCs w:val="22"/>
          <w:lang w:val="pt-BR"/>
        </w:rPr>
        <w:t>por ano acadêmico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por um máximo de dois anos acadêmicos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para seguir estudos em instituições acadêmicas renomadas nos Estados membros da </w:t>
      </w:r>
      <w:r w:rsidR="003723DF" w:rsidRPr="00E13978">
        <w:rPr>
          <w:color w:val="000000" w:themeColor="text1"/>
          <w:sz w:val="22"/>
          <w:szCs w:val="22"/>
          <w:lang w:val="pt-BR"/>
        </w:rPr>
        <w:t>OEA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C853B0" w:rsidRPr="00E13978">
        <w:rPr>
          <w:color w:val="000000" w:themeColor="text1"/>
          <w:sz w:val="22"/>
          <w:szCs w:val="22"/>
          <w:lang w:val="pt-BR"/>
        </w:rPr>
        <w:t>nas modalidades presencial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EC2692" w:rsidRPr="00E13978">
        <w:rPr>
          <w:i/>
          <w:iCs/>
          <w:color w:val="000000" w:themeColor="text1"/>
          <w:sz w:val="22"/>
          <w:szCs w:val="22"/>
          <w:lang w:val="pt-BR"/>
        </w:rPr>
        <w:t>online</w:t>
      </w:r>
      <w:r w:rsidRPr="00E13978">
        <w:rPr>
          <w:color w:val="000000" w:themeColor="text1"/>
          <w:sz w:val="22"/>
          <w:szCs w:val="22"/>
          <w:lang w:val="pt-BR"/>
        </w:rPr>
        <w:t xml:space="preserve"> ou mista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color w:val="000000" w:themeColor="text1"/>
          <w:sz w:val="22"/>
          <w:szCs w:val="22"/>
          <w:lang w:val="pt-BR"/>
        </w:rPr>
        <w:t xml:space="preserve">Foram concedidas </w:t>
      </w:r>
      <w:r w:rsidR="00EC2692" w:rsidRPr="00E13978">
        <w:rPr>
          <w:color w:val="000000" w:themeColor="text1"/>
          <w:sz w:val="22"/>
          <w:szCs w:val="22"/>
          <w:lang w:val="pt-BR"/>
        </w:rPr>
        <w:t xml:space="preserve">37 </w:t>
      </w:r>
      <w:r w:rsidRPr="00E13978">
        <w:rPr>
          <w:color w:val="000000" w:themeColor="text1"/>
          <w:sz w:val="22"/>
          <w:szCs w:val="22"/>
          <w:lang w:val="pt-BR"/>
        </w:rPr>
        <w:t>bolsas de estudo no total</w:t>
      </w:r>
      <w:r w:rsidR="00EC2692" w:rsidRPr="00E13978">
        <w:rPr>
          <w:color w:val="000000" w:themeColor="text1"/>
          <w:sz w:val="22"/>
          <w:szCs w:val="22"/>
          <w:lang w:val="pt-BR"/>
        </w:rPr>
        <w:t>.</w:t>
      </w:r>
    </w:p>
    <w:p w14:paraId="6B58958E" w14:textId="77777777" w:rsidR="00EC2692" w:rsidRPr="00E13978" w:rsidRDefault="00EC2692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06E468C" w14:textId="18332D0F" w:rsidR="00EC2692" w:rsidRPr="00E13978" w:rsidRDefault="00731A2D" w:rsidP="00E13978">
      <w:pPr>
        <w:keepNext/>
        <w:suppressAutoHyphens/>
        <w:ind w:firstLine="720"/>
        <w:jc w:val="both"/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</w:pPr>
      <w:r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Fundo Pan-Americano </w:t>
      </w:r>
      <w:r w:rsidR="00EC2692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Leo S. </w:t>
      </w:r>
      <w:r w:rsidR="000E5135" w:rsidRPr="00E13978">
        <w:rPr>
          <w:rFonts w:eastAsia="Calibri"/>
          <w:b/>
          <w:bCs/>
          <w:iCs/>
          <w:color w:val="000000" w:themeColor="text1"/>
          <w:sz w:val="22"/>
          <w:szCs w:val="22"/>
          <w:lang w:val="pt-BR"/>
        </w:rPr>
        <w:t xml:space="preserve">Rowe </w:t>
      </w:r>
    </w:p>
    <w:p w14:paraId="61953A4E" w14:textId="57AFF15D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Geriu uma carteira de investimentos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$22.9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milhões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7842CE97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34EAAD2F" w14:textId="46B27A47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Administrou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369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contas de empréstimos no valor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$2.25</w:t>
      </w:r>
      <w:r w:rsidR="00C853B0" w:rsidRPr="00E13978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milhões com uma taxa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default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de um dígito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16B1AD02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2A02BEAA" w14:textId="4809C286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Concedeu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610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563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dólares em ajuda financeira a estudantes internacionais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20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dos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32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Estados membros elegíveis da </w:t>
      </w:r>
      <w:r w:rsidR="003723DF" w:rsidRPr="00E13978">
        <w:rPr>
          <w:rFonts w:eastAsia="Cambria"/>
          <w:color w:val="000000" w:themeColor="text1"/>
          <w:sz w:val="22"/>
          <w:szCs w:val="22"/>
          <w:lang w:val="pt-BR"/>
        </w:rPr>
        <w:t>OEA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4C5AFABB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6594A63" w14:textId="4C7B04E2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Ajudou financeiramente perto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100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estudantes internacionais da região frequentando universidades nos Estados Unidos a financiar despesas com taxas e subsistência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6A878E81" w14:textId="472F49A2" w:rsidR="00EC2692" w:rsidRPr="00E13978" w:rsidRDefault="00EC2692" w:rsidP="00E13978">
      <w:pPr>
        <w:numPr>
          <w:ilvl w:val="0"/>
          <w:numId w:val="43"/>
        </w:numPr>
        <w:suppressAutoHyphens/>
        <w:ind w:left="216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70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2% 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matriculados em estudos de pós-graduação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(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mestrado ou doutorado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)</w:t>
      </w:r>
    </w:p>
    <w:p w14:paraId="6D72E332" w14:textId="7CF6FF86" w:rsidR="00EC2692" w:rsidRPr="00E13978" w:rsidRDefault="00EC2692" w:rsidP="00E13978">
      <w:pPr>
        <w:numPr>
          <w:ilvl w:val="0"/>
          <w:numId w:val="43"/>
        </w:numPr>
        <w:suppressAutoHyphens/>
        <w:ind w:left="216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52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4% 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mulheres</w:t>
      </w:r>
    </w:p>
    <w:p w14:paraId="6B82EA6D" w14:textId="0D350959" w:rsidR="00EC2692" w:rsidRPr="00E13978" w:rsidRDefault="00EC2692" w:rsidP="00E13978">
      <w:pPr>
        <w:numPr>
          <w:ilvl w:val="0"/>
          <w:numId w:val="43"/>
        </w:numPr>
        <w:suppressAutoHyphens/>
        <w:ind w:left="216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100% 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estudos presenciais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(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tradicionais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) </w:t>
      </w:r>
    </w:p>
    <w:p w14:paraId="7805EDB7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18683BC8" w14:textId="7541369B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Concedeu empréstimos educacionais e de emergência a membros do pessoal da S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G/</w:t>
      </w:r>
      <w:r w:rsidR="003723DF" w:rsidRPr="00E13978">
        <w:rPr>
          <w:rFonts w:eastAsia="Cambria"/>
          <w:color w:val="000000" w:themeColor="text1"/>
          <w:sz w:val="22"/>
          <w:szCs w:val="22"/>
          <w:lang w:val="pt-BR"/>
        </w:rPr>
        <w:t>OEA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  <w:r w:rsidR="003723DF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</w:p>
    <w:p w14:paraId="680A5E55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71CA1596" w14:textId="6C1E2828" w:rsidR="00EC2692" w:rsidRPr="00E13978" w:rsidRDefault="0038012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Concedeu duas bolsas de estudo de ajuda de emergência para </w:t>
      </w:r>
      <w:r w:rsidR="00883E86" w:rsidRPr="00E13978">
        <w:rPr>
          <w:rFonts w:eastAsia="Cambria"/>
          <w:color w:val="000000" w:themeColor="text1"/>
          <w:sz w:val="22"/>
          <w:szCs w:val="22"/>
          <w:lang w:val="pt-BR"/>
        </w:rPr>
        <w:t>covid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-19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a mulheres de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Belize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 do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Peru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, para ajudar a compensar os desafios financeiros criados pela pandemia, no momento em que estudavam nos Estados Unidos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27FE7450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70AB0297" w14:textId="39592C22" w:rsidR="00EC2692" w:rsidRPr="00E13978" w:rsidRDefault="00EC2692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Continu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ou a campanha de arrecadação de fundos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"</w:t>
      </w:r>
      <w:r w:rsidR="00380124" w:rsidRPr="00E13978">
        <w:rPr>
          <w:rFonts w:eastAsia="Cambria"/>
          <w:color w:val="000000" w:themeColor="text1"/>
          <w:sz w:val="22"/>
          <w:szCs w:val="22"/>
          <w:lang w:val="pt-BR"/>
        </w:rPr>
        <w:t>Doe para a Educação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"</w:t>
      </w:r>
      <w:r w:rsidR="009668C4" w:rsidRPr="00E13978">
        <w:rPr>
          <w:rFonts w:eastAsia="Cambria"/>
          <w:color w:val="000000" w:themeColor="text1"/>
          <w:sz w:val="22"/>
          <w:szCs w:val="22"/>
          <w:lang w:val="pt-BR"/>
        </w:rPr>
        <w:t>, com vistas a oferecer bolsas de estudo adicionais para emergências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38721878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6B8F58A8" w14:textId="044FEF93" w:rsidR="00EC2692" w:rsidRPr="00E13978" w:rsidRDefault="009668C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>Em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rFonts w:eastAsia="Cambria"/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com outras instituições correlatas de educação superior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realizou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webinars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para cidadãos de sete </w:t>
      </w:r>
      <w:r w:rsidR="001F3B81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Estados membros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da OEA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67D0CD27" w14:textId="77777777" w:rsidR="00FC07E8" w:rsidRPr="00E13978" w:rsidRDefault="00FC07E8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75492455" w14:textId="733EA910" w:rsidR="00EC2692" w:rsidRPr="00E13978" w:rsidRDefault="009668C4" w:rsidP="00E13978">
      <w:pPr>
        <w:numPr>
          <w:ilvl w:val="0"/>
          <w:numId w:val="3"/>
        </w:numPr>
        <w:suppressAutoHyphens/>
        <w:ind w:left="1440" w:hanging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Ofereceu seminários sobre princípios de investimento e gestão de riscos à Comissão do Fundo 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 xml:space="preserve">Rowe </w:t>
      </w:r>
      <w:r w:rsidRPr="00E13978">
        <w:rPr>
          <w:rFonts w:eastAsia="Cambria"/>
          <w:color w:val="000000" w:themeColor="text1"/>
          <w:sz w:val="22"/>
          <w:szCs w:val="22"/>
          <w:lang w:val="pt-BR"/>
        </w:rPr>
        <w:t>e manteve os membros informados sobre notícias relevantes na indústria de educação superior e programas de intercâmbio durante a pandemia</w:t>
      </w:r>
      <w:r w:rsidR="00EC2692" w:rsidRPr="00E13978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0A4EF561" w14:textId="57A98CC0" w:rsidR="00EC2692" w:rsidRPr="00E13978" w:rsidRDefault="00EC2692" w:rsidP="00E13978">
      <w:pPr>
        <w:suppressAutoHyphens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391C55BD" w14:textId="18E3F6F1" w:rsidR="0039425D" w:rsidRPr="00E13978" w:rsidRDefault="009668C4" w:rsidP="00E13978">
      <w:pPr>
        <w:pStyle w:val="NoSpacing"/>
        <w:suppressAutoHyphens/>
        <w:ind w:firstLine="720"/>
        <w:jc w:val="both"/>
        <w:rPr>
          <w:rFonts w:ascii="Times New Roman" w:hAnsi="Times New Roman"/>
          <w:b/>
          <w:bCs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Bolsa de Estudo e Programa de Capacitação da Comissão </w:t>
      </w:r>
      <w:r w:rsidR="00DD04C3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Inter</w:t>
      </w:r>
      <w:r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a</w:t>
      </w:r>
      <w:r w:rsidR="00DD04C3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merican</w:t>
      </w:r>
      <w:r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>a</w:t>
      </w:r>
      <w:r w:rsidR="00DD04C3"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de Portos </w:t>
      </w:r>
    </w:p>
    <w:p w14:paraId="42775ADA" w14:textId="44B1F4A1" w:rsidR="0039425D" w:rsidRPr="00E13978" w:rsidRDefault="009668C4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Concedeu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840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bolsas de estudo no valor 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US$733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.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570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a pessoal portuário 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30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Estados membros da </w:t>
      </w:r>
      <w:r w:rsidR="003723DF" w:rsidRPr="00E13978">
        <w:rPr>
          <w:rFonts w:ascii="Times New Roman" w:hAnsi="Times New Roman"/>
          <w:iCs/>
          <w:color w:val="000000" w:themeColor="text1"/>
          <w:lang w:val="pt-BR"/>
        </w:rPr>
        <w:t>OEA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para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31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cursos </w:t>
      </w:r>
      <w:r w:rsidRPr="00E13978">
        <w:rPr>
          <w:rFonts w:ascii="Times New Roman" w:hAnsi="Times New Roman"/>
          <w:i/>
          <w:color w:val="000000" w:themeColor="text1"/>
          <w:lang w:val="pt-BR"/>
        </w:rPr>
        <w:t xml:space="preserve">online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certificados de desenvolvimento profissional em assuntos como logística, operações portuárias,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INCOTERMS 2020,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tecnologia e digitalização, segurança portuária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gestão do risco de desastres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competitividade</w:t>
      </w:r>
      <w:r w:rsidR="00C853B0" w:rsidRPr="00E13978">
        <w:rPr>
          <w:rFonts w:ascii="Times New Roman" w:hAnsi="Times New Roman"/>
          <w:iCs/>
          <w:color w:val="000000" w:themeColor="text1"/>
          <w:lang w:val="pt-BR"/>
        </w:rPr>
        <w:t xml:space="preserve"> 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hidrovias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entre outros assuntos prioritários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Também por meio de um Memorando de Entendimento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(MoU)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entre a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CIP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e a Associação de Administrações Portuárias do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 xml:space="preserve">Caribe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(PMAC)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e uma parceria estratégica com a Guarda Costeira dos Estados Unidos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(USCG),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pessoal portuário de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Aruba, Bermuda, Bonaire, St. </w:t>
      </w:r>
      <w:r w:rsidR="00DD04C3" w:rsidRPr="00E13978">
        <w:rPr>
          <w:rFonts w:ascii="Times New Roman" w:hAnsi="Times New Roman"/>
          <w:iCs/>
          <w:color w:val="000000" w:themeColor="text1"/>
          <w:lang w:val="pt-BR"/>
        </w:rPr>
        <w:t>Maarten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Ilhas 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Turks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e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 xml:space="preserve"> Caicos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também se beneficiou dessas atividades</w:t>
      </w:r>
      <w:r w:rsidR="0039425D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77E545CB" w14:textId="77777777" w:rsidR="0039425D" w:rsidRPr="00E13978" w:rsidRDefault="0039425D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31B36C77" w14:textId="5441F20F" w:rsidR="0076001A" w:rsidRPr="00E13978" w:rsidRDefault="0039425D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Exp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ôs mais 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3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.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000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funcionários portuários 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28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Estados membros a práticas bem-sucedidas, por meio de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17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w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ebinars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técnicos organizados em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colaboração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com oito parceiros estratégicos, em temas relevantes, como proteção e segurança portuária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transformação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digital,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janelas únicas marítimas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aumento dos custos de transporte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lastRenderedPageBreak/>
        <w:t>marítimo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indústria de cruzeiros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>operações sustentáveis e igualdade de gênero, entre outros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Esses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webinars </w:t>
      </w:r>
      <w:r w:rsidR="0079546D" w:rsidRPr="00E13978">
        <w:rPr>
          <w:rFonts w:ascii="Times New Roman" w:hAnsi="Times New Roman"/>
          <w:iCs/>
          <w:color w:val="000000" w:themeColor="text1"/>
          <w:lang w:val="pt-BR"/>
        </w:rPr>
        <w:t xml:space="preserve">foram possíveis graças à parceria estratégica com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Reel ID.</w:t>
      </w:r>
    </w:p>
    <w:p w14:paraId="554CFEF5" w14:textId="0D35B0F0" w:rsidR="00910F7F" w:rsidRPr="00E13978" w:rsidRDefault="00910F7F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5FD19471" w14:textId="77777777" w:rsidR="00CA7994" w:rsidRPr="00E13978" w:rsidRDefault="00CA7994" w:rsidP="00E13978">
      <w:pPr>
        <w:suppressAutoHyphens/>
        <w:jc w:val="both"/>
        <w:rPr>
          <w:iCs/>
          <w:color w:val="000000" w:themeColor="text1"/>
          <w:sz w:val="22"/>
          <w:szCs w:val="22"/>
          <w:lang w:val="pt-BR"/>
        </w:rPr>
      </w:pPr>
    </w:p>
    <w:p w14:paraId="287C2258" w14:textId="3CDEB730" w:rsidR="001373CB" w:rsidRPr="00E13978" w:rsidRDefault="0079546D" w:rsidP="00E13978">
      <w:pPr>
        <w:suppressAutoHyphens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LINHA ESTRATÉGICA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 4: PROMO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>VER TRABALHO DECENTE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, </w:t>
      </w:r>
      <w:r w:rsidR="00E13978">
        <w:rPr>
          <w:b/>
          <w:bCs/>
          <w:color w:val="000000" w:themeColor="text1"/>
          <w:sz w:val="22"/>
          <w:szCs w:val="22"/>
          <w:lang w:val="pt-BR"/>
        </w:rPr>
        <w:br/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DIGNO E PRODUTIVO PARA TODOS </w:t>
      </w:r>
    </w:p>
    <w:p w14:paraId="781620BB" w14:textId="77777777" w:rsidR="00DD04C3" w:rsidRPr="00E13978" w:rsidRDefault="00DD04C3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C45DC5C" w14:textId="20CAE61A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ab/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fortalece a capacidade dos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color w:val="000000" w:themeColor="text1"/>
          <w:sz w:val="22"/>
          <w:szCs w:val="22"/>
          <w:lang w:val="pt-BR"/>
        </w:rPr>
        <w:t>de melhorar as condições de trabalho, promover os direitos trabalhistas e criar empregos</w:t>
      </w:r>
      <w:r w:rsidRPr="00E13978">
        <w:rPr>
          <w:color w:val="000000" w:themeColor="text1"/>
          <w:sz w:val="22"/>
          <w:szCs w:val="22"/>
          <w:lang w:val="pt-BR"/>
        </w:rPr>
        <w:t xml:space="preserve">; </w:t>
      </w:r>
      <w:r w:rsidR="001E0139" w:rsidRPr="00E13978">
        <w:rPr>
          <w:color w:val="000000" w:themeColor="text1"/>
          <w:sz w:val="22"/>
          <w:szCs w:val="22"/>
          <w:lang w:val="pt-BR"/>
        </w:rPr>
        <w:t>em essência, promover emprego produtivo e trabalho decente para todos</w:t>
      </w:r>
      <w:r w:rsidRPr="00E13978">
        <w:rPr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color w:val="000000" w:themeColor="text1"/>
          <w:sz w:val="22"/>
          <w:szCs w:val="22"/>
          <w:lang w:val="pt-BR"/>
        </w:rPr>
        <w:t>A pandemia de c</w:t>
      </w:r>
      <w:r w:rsidRPr="00E13978">
        <w:rPr>
          <w:color w:val="000000" w:themeColor="text1"/>
          <w:sz w:val="22"/>
          <w:szCs w:val="22"/>
          <w:lang w:val="pt-BR"/>
        </w:rPr>
        <w:t xml:space="preserve">ovid-19, </w:t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que provocou a ruptura dos mercados de trabalho em toda a </w:t>
      </w:r>
      <w:r w:rsidR="000E0FAF" w:rsidRPr="00E13978">
        <w:rPr>
          <w:color w:val="000000" w:themeColor="text1"/>
          <w:sz w:val="22"/>
          <w:szCs w:val="22"/>
          <w:lang w:val="pt-BR"/>
        </w:rPr>
        <w:t>região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color w:val="000000" w:themeColor="text1"/>
          <w:sz w:val="22"/>
          <w:szCs w:val="22"/>
          <w:lang w:val="pt-BR"/>
        </w:rPr>
        <w:t>e piorou o desemprego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a informalidade e as desigualdades laborais, salientou a importância desses objetivos, colocando-os no centro da resposta de política econômica e </w:t>
      </w:r>
      <w:r w:rsidRPr="00E13978">
        <w:rPr>
          <w:color w:val="000000" w:themeColor="text1"/>
          <w:sz w:val="22"/>
          <w:szCs w:val="22"/>
          <w:lang w:val="pt-BR"/>
        </w:rPr>
        <w:t>social.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Desde o surgimento da </w:t>
      </w:r>
      <w:r w:rsidR="00B17295" w:rsidRPr="00E13978">
        <w:rPr>
          <w:color w:val="000000" w:themeColor="text1"/>
          <w:sz w:val="22"/>
          <w:szCs w:val="22"/>
          <w:lang w:val="pt-BR"/>
        </w:rPr>
        <w:t>pandemia</w:t>
      </w:r>
      <w:r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="001E0139" w:rsidRPr="00E13978">
        <w:rPr>
          <w:color w:val="000000" w:themeColor="text1"/>
          <w:sz w:val="22"/>
          <w:szCs w:val="22"/>
          <w:lang w:val="pt-BR"/>
        </w:rPr>
        <w:t xml:space="preserve">a </w:t>
      </w:r>
      <w:r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1E0139" w:rsidRPr="00E13978">
        <w:rPr>
          <w:color w:val="000000" w:themeColor="text1"/>
          <w:sz w:val="22"/>
          <w:szCs w:val="22"/>
          <w:lang w:val="pt-BR"/>
        </w:rPr>
        <w:t>dirigiu seus esforços para apoiar os governos na resposta à crise, criando, ao mesmo tempo, condições para uma recuperação sustentável</w:t>
      </w:r>
      <w:r w:rsidRPr="00E13978">
        <w:rPr>
          <w:color w:val="000000" w:themeColor="text1"/>
          <w:sz w:val="22"/>
          <w:szCs w:val="22"/>
          <w:lang w:val="pt-BR"/>
        </w:rPr>
        <w:t>.</w:t>
      </w:r>
    </w:p>
    <w:p w14:paraId="3F2369A6" w14:textId="7777777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C98CFEF" w14:textId="1466E2AB" w:rsidR="001373CB" w:rsidRPr="00E13978" w:rsidRDefault="001E0139" w:rsidP="00E13978">
      <w:pPr>
        <w:suppressAutoHyphens/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color w:val="000000" w:themeColor="text1"/>
          <w:sz w:val="22"/>
          <w:szCs w:val="22"/>
          <w:lang w:val="pt-BR"/>
        </w:rPr>
        <w:t>Em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 2021, </w:t>
      </w:r>
      <w:r w:rsidRPr="00E13978">
        <w:rPr>
          <w:color w:val="000000" w:themeColor="text1"/>
          <w:sz w:val="22"/>
          <w:szCs w:val="22"/>
          <w:lang w:val="pt-BR"/>
        </w:rPr>
        <w:t xml:space="preserve">as medidas tomadas pela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SEDI </w:t>
      </w:r>
      <w:r w:rsidR="006123DE" w:rsidRPr="00E13978">
        <w:rPr>
          <w:color w:val="000000" w:themeColor="text1"/>
          <w:sz w:val="22"/>
          <w:szCs w:val="22"/>
          <w:lang w:val="pt-BR"/>
        </w:rPr>
        <w:t>n</w:t>
      </w:r>
      <w:r w:rsidRPr="00E13978">
        <w:rPr>
          <w:color w:val="000000" w:themeColor="text1"/>
          <w:sz w:val="22"/>
          <w:szCs w:val="22"/>
          <w:lang w:val="pt-BR"/>
        </w:rPr>
        <w:t>essa á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rea </w:t>
      </w:r>
      <w:r w:rsidRPr="00E13978">
        <w:rPr>
          <w:color w:val="000000" w:themeColor="text1"/>
          <w:sz w:val="22"/>
          <w:szCs w:val="22"/>
          <w:lang w:val="pt-BR"/>
        </w:rPr>
        <w:t xml:space="preserve">continuaram focalizando o apoio aos </w:t>
      </w:r>
      <w:r w:rsidR="001F3B81" w:rsidRPr="00E13978">
        <w:rPr>
          <w:color w:val="000000" w:themeColor="text1"/>
          <w:sz w:val="22"/>
          <w:szCs w:val="22"/>
          <w:lang w:val="pt-BR"/>
        </w:rPr>
        <w:t>Estados membros</w:t>
      </w:r>
      <w:r w:rsidR="00586E61" w:rsidRPr="00E13978">
        <w:rPr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color w:val="000000" w:themeColor="text1"/>
          <w:sz w:val="22"/>
          <w:szCs w:val="22"/>
          <w:lang w:val="pt-BR"/>
        </w:rPr>
        <w:t xml:space="preserve">para combater os efeitos sociais e laborais da </w:t>
      </w:r>
      <w:r w:rsidR="00B17295" w:rsidRPr="00E13978">
        <w:rPr>
          <w:color w:val="000000" w:themeColor="text1"/>
          <w:sz w:val="22"/>
          <w:szCs w:val="22"/>
          <w:lang w:val="pt-BR"/>
        </w:rPr>
        <w:t>pandemia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especialmente em relação às maiores lacunas de gênero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 xml:space="preserve">ao risco de retrocessos na erradicação do trabalho infantil, à necessidade de fortalecer a capacitação e a requalificação para o emprego e </w:t>
      </w:r>
      <w:r w:rsidR="006123DE" w:rsidRPr="00E13978">
        <w:rPr>
          <w:color w:val="000000" w:themeColor="text1"/>
          <w:sz w:val="22"/>
          <w:szCs w:val="22"/>
          <w:lang w:val="pt-BR"/>
        </w:rPr>
        <w:t>a</w:t>
      </w:r>
      <w:r w:rsidRPr="00E13978">
        <w:rPr>
          <w:color w:val="000000" w:themeColor="text1"/>
          <w:sz w:val="22"/>
          <w:szCs w:val="22"/>
          <w:lang w:val="pt-BR"/>
        </w:rPr>
        <w:t xml:space="preserve">o compromisso de avançar </w:t>
      </w:r>
      <w:r w:rsidR="006123DE" w:rsidRPr="00E13978">
        <w:rPr>
          <w:color w:val="000000" w:themeColor="text1"/>
          <w:sz w:val="22"/>
          <w:szCs w:val="22"/>
          <w:lang w:val="pt-BR"/>
        </w:rPr>
        <w:t>n</w:t>
      </w:r>
      <w:r w:rsidRPr="00E13978">
        <w:rPr>
          <w:color w:val="000000" w:themeColor="text1"/>
          <w:sz w:val="22"/>
          <w:szCs w:val="22"/>
          <w:lang w:val="pt-BR"/>
        </w:rPr>
        <w:t xml:space="preserve">a proteção 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universal social </w:t>
      </w:r>
      <w:r w:rsidRPr="00E13978">
        <w:rPr>
          <w:color w:val="000000" w:themeColor="text1"/>
          <w:sz w:val="22"/>
          <w:szCs w:val="22"/>
          <w:lang w:val="pt-BR"/>
        </w:rPr>
        <w:t>e garantir os mecanismos de diálogo institucionalizado entre trabalhadores</w:t>
      </w:r>
      <w:r w:rsidR="001373CB" w:rsidRPr="00E13978">
        <w:rPr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color w:val="000000" w:themeColor="text1"/>
          <w:sz w:val="22"/>
          <w:szCs w:val="22"/>
          <w:lang w:val="pt-BR"/>
        </w:rPr>
        <w:t>empregadores e governos</w:t>
      </w:r>
      <w:r w:rsidR="001373CB" w:rsidRPr="00E13978">
        <w:rPr>
          <w:color w:val="000000" w:themeColor="text1"/>
          <w:sz w:val="22"/>
          <w:szCs w:val="22"/>
          <w:lang w:val="pt-BR"/>
        </w:rPr>
        <w:t>.</w:t>
      </w:r>
    </w:p>
    <w:p w14:paraId="1D6DDA5E" w14:textId="7C011ABF" w:rsidR="00910F7F" w:rsidRPr="00E13978" w:rsidRDefault="00910F7F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A5F1A1F" w14:textId="561D66A8" w:rsidR="001373CB" w:rsidRPr="00E13978" w:rsidRDefault="00F0089C" w:rsidP="00E13978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4.1</w:t>
      </w:r>
      <w:r w:rsidR="0076001A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b/>
          <w:bCs/>
          <w:sz w:val="22"/>
          <w:szCs w:val="22"/>
          <w:lang w:val="pt-BR"/>
        </w:rPr>
        <w:t>Fortalecer a capacidade institucional dos Estados membros, com vistas ao fortalecimento de sistemas de educação e formação contínua, que permitam dispor de melhor força de trabalho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733DEA4B" w14:textId="77777777" w:rsidR="00DD04C3" w:rsidRPr="00E13978" w:rsidRDefault="00DD04C3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587F96FF" w14:textId="109AB3E2" w:rsidR="001373CB" w:rsidRPr="00E13978" w:rsidRDefault="00DD04C3" w:rsidP="00E13978">
      <w:pPr>
        <w:pStyle w:val="ListParagraph"/>
        <w:numPr>
          <w:ilvl w:val="0"/>
          <w:numId w:val="12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Organiz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ou a Vigésima Primeira Conferência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Inter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merican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a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de Ministros do Trabalho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(XXI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CIMT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)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cujo principal resultado foi um 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novo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roteiro para a </w:t>
      </w:r>
      <w:r w:rsidR="000E0FAF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região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com amplo consenso e ações concretas para construir um mundo do trabalho mais resiliente e conseguir uma recuperação sustentável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inclusiva e centrada no ser humano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  <w:r w:rsidR="00586E61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Entre os consens</w:t>
      </w:r>
      <w:r w:rsidR="000A5760" w:rsidRPr="00E13978">
        <w:rPr>
          <w:rFonts w:eastAsia="Times New Roman"/>
          <w:color w:val="000000" w:themeColor="text1"/>
          <w:sz w:val="22"/>
          <w:szCs w:val="22"/>
          <w:lang w:val="pt-BR"/>
        </w:rPr>
        <w:t>o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s e compromissos, os Ministros acordaram melhorar a coordenação entre trabalho, educação e treinamento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;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promover e facilitar 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aprendizagem contínua e 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requalificação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; </w:t>
      </w:r>
      <w:r w:rsidR="001E0139" w:rsidRPr="00E13978">
        <w:rPr>
          <w:rFonts w:eastAsia="Times New Roman"/>
          <w:color w:val="000000" w:themeColor="text1"/>
          <w:sz w:val="22"/>
          <w:szCs w:val="22"/>
          <w:lang w:val="pt-BR"/>
        </w:rPr>
        <w:t>e desenvolver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competências digitais e socioemocionais coerentes com as mudanças do mundo do trabalho, entre outros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3B4D2FC5" w14:textId="77777777" w:rsidR="008A1B96" w:rsidRPr="00E13978" w:rsidRDefault="008A1B9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31D0A841" w14:textId="508A5FFE" w:rsidR="001373CB" w:rsidRPr="00E13978" w:rsidRDefault="004D1EA2" w:rsidP="00E13978">
      <w:pPr>
        <w:pStyle w:val="ListParagraph"/>
        <w:numPr>
          <w:ilvl w:val="0"/>
          <w:numId w:val="12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Prosseguiu a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</w:t>
      </w:r>
      <w:r w:rsidR="00240A50" w:rsidRPr="00E13978">
        <w:rPr>
          <w:rFonts w:eastAsia="Times New Roman"/>
          <w:color w:val="000000" w:themeColor="text1"/>
          <w:sz w:val="22"/>
          <w:szCs w:val="22"/>
          <w:lang w:val="pt-BR"/>
        </w:rPr>
        <w:t>colaboração</w:t>
      </w:r>
      <w:r w:rsidR="00586E61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entre os Ministérios do Trabalho e Educação, com um diálogo entre os Ministros do Trabalho e a Presidência da Comissão Interamericana de Educação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(CIE)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na Vigésima Primeira CIMT, no qual alguns dos compromissos mencionados no parágrafo anterior foram endossados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70E286C4" w14:textId="77777777" w:rsidR="008A1B96" w:rsidRPr="00E13978" w:rsidRDefault="008A1B9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2CD38381" w14:textId="530C3CCB" w:rsidR="001373CB" w:rsidRPr="00E13978" w:rsidRDefault="00F51FD9" w:rsidP="00E13978">
      <w:pPr>
        <w:pStyle w:val="ListParagraph"/>
        <w:numPr>
          <w:ilvl w:val="0"/>
          <w:numId w:val="12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Em parceria com 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 Organização Internacional do Trabalho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(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>OIT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) 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 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UNESCO, 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SEDI </w:t>
      </w:r>
      <w:r w:rsidR="004D1EA2" w:rsidRPr="00E13978">
        <w:rPr>
          <w:rFonts w:eastAsia="Times New Roman"/>
          <w:color w:val="000000" w:themeColor="text1"/>
          <w:sz w:val="22"/>
          <w:szCs w:val="22"/>
          <w:lang w:val="pt-BR"/>
        </w:rPr>
        <w:t>continuou a trabalhar por uma Estrutura Regional de Qualificações para orientar a formulação e a implementação de estruturas nacionais de qualificação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1FEC26BD" w14:textId="77777777" w:rsidR="008A1B96" w:rsidRPr="00E13978" w:rsidRDefault="008A1B9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968C70D" w14:textId="17CB9ED3" w:rsidR="001373CB" w:rsidRPr="00E13978" w:rsidRDefault="004D1EA2" w:rsidP="00E13978">
      <w:pPr>
        <w:pStyle w:val="ListParagraph"/>
        <w:numPr>
          <w:ilvl w:val="0"/>
          <w:numId w:val="12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Lançou um programa de treinamento com 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Internet Society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para os Ministros da Educação e do Trabalho, com vistas ao desenvolvimento das competências dos funcionários públicos em governança 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>da Internet e sua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integração às políticas públicas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53A919BC" w14:textId="77777777" w:rsidR="001373CB" w:rsidRPr="00E13978" w:rsidRDefault="001373CB" w:rsidP="00E13978">
      <w:pPr>
        <w:suppressAutoHyphens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194D1D3D" w14:textId="550ED6AB" w:rsidR="001373CB" w:rsidRPr="00E13978" w:rsidRDefault="00F0089C" w:rsidP="00E13978">
      <w:pPr>
        <w:suppressAutoHyphens/>
        <w:ind w:firstLine="18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lastRenderedPageBreak/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4.2</w:t>
      </w:r>
      <w:r w:rsidR="00C65DC0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4D1EA2" w:rsidRPr="00E13978">
        <w:rPr>
          <w:b/>
          <w:bCs/>
          <w:sz w:val="22"/>
          <w:szCs w:val="22"/>
          <w:lang w:val="pt-BR"/>
        </w:rPr>
        <w:t>Fortalecer a capacidade institucional dos Estados membros, com o objetivo de promover condições e oportunidades de trabalho equitativas e inclusivas para as populações em situação de vulnerabilidade e todos os grupos que enfrentam maiores desafios no mercado de trabalho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>.</w:t>
      </w:r>
    </w:p>
    <w:p w14:paraId="3E675BC4" w14:textId="0D8AFFA7" w:rsidR="001373CB" w:rsidRPr="00E13978" w:rsidRDefault="001373CB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1E38474C" w14:textId="7501A2F5" w:rsidR="001373CB" w:rsidRPr="00E13978" w:rsidRDefault="004D1EA2" w:rsidP="00E13978">
      <w:pPr>
        <w:pStyle w:val="ListParagraph"/>
        <w:numPr>
          <w:ilvl w:val="0"/>
          <w:numId w:val="1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Prosseguiu o fortalecimento da incorporação do gênero aos Ministérios do Trabalho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que ganhou mais urgência, uma vez que a pandemia afetou desproporcionalmente as mulheres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Foram realizados diálogos hemisféricos com representantes dos Ministérios do Trabalho de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25 </w:t>
      </w:r>
      <w:r w:rsidR="001F3B81" w:rsidRPr="00E13978">
        <w:rPr>
          <w:rFonts w:eastAsia="Times New Roman"/>
          <w:color w:val="000000" w:themeColor="text1"/>
          <w:sz w:val="22"/>
          <w:szCs w:val="22"/>
          <w:lang w:val="pt-BR"/>
        </w:rPr>
        <w:t>Estados membros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, para definir os elementos necessários</w:t>
      </w:r>
      <w:r w:rsidR="00586E61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em uma política de teletrabalho, para assegurar que essa nova prática de trabalho contribua para a corresponsabilidade no cuidado e para eliminar as lacunas de gênero no trabalho, e revisar a situação atual das unidades de gênero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 A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lém disso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foram lançados um Curso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Virtual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e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>m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Violência de Gênero no Trabalho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em parceria com a Comissão Interamericana de Mulheres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 um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Manual </w:t>
      </w:r>
      <w:r w:rsidR="00E1776D" w:rsidRPr="00E13978">
        <w:rPr>
          <w:rFonts w:eastAsia="Times New Roman"/>
          <w:color w:val="000000" w:themeColor="text1"/>
          <w:sz w:val="22"/>
          <w:szCs w:val="22"/>
          <w:lang w:val="pt-BR"/>
        </w:rPr>
        <w:t>para as Unidades de Gênero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27B6777A" w14:textId="77777777" w:rsidR="008A1B96" w:rsidRPr="00E13978" w:rsidRDefault="008A1B9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7013E0F5" w14:textId="5AD57CF9" w:rsidR="001373CB" w:rsidRPr="00E13978" w:rsidRDefault="00E1776D" w:rsidP="00E13978">
      <w:pPr>
        <w:pStyle w:val="ListParagraph"/>
        <w:numPr>
          <w:ilvl w:val="0"/>
          <w:numId w:val="1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Com grande compromisso dos Ministérios do Trabalho, a cooperação laboral continuou a se</w:t>
      </w:r>
      <w:r w:rsidR="00531EFA" w:rsidRPr="00E13978">
        <w:rPr>
          <w:rFonts w:eastAsia="Times New Roman"/>
          <w:color w:val="000000" w:themeColor="text1"/>
          <w:sz w:val="22"/>
          <w:szCs w:val="22"/>
          <w:lang w:val="pt-BR"/>
        </w:rPr>
        <w:t>r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aprofundada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.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Em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2021,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os Ministérios do Trabalho da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Argentina, Canad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á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, Chile, Costa Rica, Guatemala, Panam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á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Peru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Trinidad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e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 Tobago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prestaram e receberam assessoramento técnico na reformulação das políticas de segurança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social,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melhoramento da legislação sobre assédio e violência no local de trabalho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implementação de novas estratégias para erradicar o trabalho infantil e fortalecimento do diálogo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social.</w:t>
      </w:r>
    </w:p>
    <w:p w14:paraId="78B64525" w14:textId="77777777" w:rsidR="008A1B96" w:rsidRPr="00E13978" w:rsidRDefault="008A1B96" w:rsidP="00E13978">
      <w:pPr>
        <w:suppressAutoHyphens/>
        <w:jc w:val="both"/>
        <w:rPr>
          <w:color w:val="000000" w:themeColor="text1"/>
          <w:sz w:val="22"/>
          <w:szCs w:val="22"/>
          <w:lang w:val="pt-BR"/>
        </w:rPr>
      </w:pPr>
    </w:p>
    <w:p w14:paraId="45AA199B" w14:textId="40330FFD" w:rsidR="001373CB" w:rsidRPr="00E13978" w:rsidRDefault="00E1776D" w:rsidP="00E13978">
      <w:pPr>
        <w:pStyle w:val="ListParagraph"/>
        <w:numPr>
          <w:ilvl w:val="0"/>
          <w:numId w:val="13"/>
        </w:numPr>
        <w:suppressAutoHyphens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Atualização permanente do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“Portf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ó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lio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de respostas dos Ministérios do Trabalho à </w:t>
      </w:r>
      <w:r w:rsidR="00883E86" w:rsidRPr="00E13978">
        <w:rPr>
          <w:rFonts w:eastAsia="Times New Roman"/>
          <w:color w:val="000000" w:themeColor="text1"/>
          <w:sz w:val="22"/>
          <w:szCs w:val="22"/>
          <w:lang w:val="pt-BR"/>
        </w:rPr>
        <w:t>covid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-19”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e das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“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Diretrizes e Protocolos para o Desconfinamento e Retorno ao Trabalho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”,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reunindo mais de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490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medidas adotadas até hoje pelos Ministérios do Trabalho para enfrentar a crise, e mais de 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 xml:space="preserve">70 </w:t>
      </w:r>
      <w:r w:rsidRPr="00E13978">
        <w:rPr>
          <w:rFonts w:eastAsia="Times New Roman"/>
          <w:color w:val="000000" w:themeColor="text1"/>
          <w:sz w:val="22"/>
          <w:szCs w:val="22"/>
          <w:lang w:val="pt-BR"/>
        </w:rPr>
        <w:t>diretrizes para o retorno ao trabalho após o confinamento</w:t>
      </w:r>
      <w:r w:rsidR="001373CB" w:rsidRPr="00E13978">
        <w:rPr>
          <w:rFonts w:eastAsia="Times New Roman"/>
          <w:color w:val="000000" w:themeColor="text1"/>
          <w:sz w:val="22"/>
          <w:szCs w:val="22"/>
          <w:lang w:val="pt-BR"/>
        </w:rPr>
        <w:t>.</w:t>
      </w:r>
    </w:p>
    <w:p w14:paraId="6C0D50E0" w14:textId="0638A82B" w:rsidR="00910F7F" w:rsidRPr="00E13978" w:rsidRDefault="00910F7F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4698296D" w14:textId="77777777" w:rsidR="00CA7994" w:rsidRPr="00E13978" w:rsidRDefault="00CA7994" w:rsidP="00E13978">
      <w:pPr>
        <w:suppressAutoHyphens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09208805" w14:textId="270FC5DF" w:rsidR="001373CB" w:rsidRPr="00E13978" w:rsidRDefault="00D7587C" w:rsidP="00E13978">
      <w:pPr>
        <w:suppressAutoHyphens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LINHA ESTRATÉGICA </w:t>
      </w:r>
      <w:r w:rsidR="009169A7" w:rsidRPr="00E13978">
        <w:rPr>
          <w:b/>
          <w:bCs/>
          <w:color w:val="000000" w:themeColor="text1"/>
          <w:sz w:val="22"/>
          <w:szCs w:val="22"/>
          <w:lang w:val="pt-BR"/>
        </w:rPr>
        <w:t>6</w:t>
      </w:r>
      <w:r w:rsidR="001373CB" w:rsidRPr="00E13978">
        <w:rPr>
          <w:b/>
          <w:bCs/>
          <w:color w:val="000000" w:themeColor="text1"/>
          <w:sz w:val="22"/>
          <w:szCs w:val="22"/>
          <w:lang w:val="pt-BR"/>
        </w:rPr>
        <w:t xml:space="preserve">: </w:t>
      </w:r>
      <w:r w:rsidRPr="00E13978">
        <w:rPr>
          <w:b/>
          <w:bCs/>
          <w:color w:val="000000" w:themeColor="text1"/>
          <w:sz w:val="22"/>
          <w:szCs w:val="22"/>
          <w:lang w:val="pt-BR"/>
        </w:rPr>
        <w:t xml:space="preserve">PROMOVER A COOPERAÇÃO PARA O DESENVOLVIMENTO E A CRIAÇÃO DE PARCERIAS </w:t>
      </w:r>
    </w:p>
    <w:p w14:paraId="400ECFFA" w14:textId="6F61AF96" w:rsidR="001373CB" w:rsidRPr="00E13978" w:rsidRDefault="001373CB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highlight w:val="yellow"/>
          <w:lang w:val="pt-BR"/>
        </w:rPr>
      </w:pPr>
    </w:p>
    <w:p w14:paraId="14C20F4B" w14:textId="24CB55DA" w:rsidR="00064733" w:rsidRPr="00E13978" w:rsidRDefault="00032E85" w:rsidP="00E13978">
      <w:pPr>
        <w:suppressAutoHyphens/>
        <w:jc w:val="both"/>
        <w:rPr>
          <w:rFonts w:eastAsia="Calibri"/>
          <w:b/>
          <w:sz w:val="22"/>
          <w:szCs w:val="22"/>
          <w:lang w:val="pt-BR"/>
        </w:rPr>
      </w:pPr>
      <w:r w:rsidRPr="00E13978">
        <w:rPr>
          <w:rFonts w:eastAsia="Calibri"/>
          <w:b/>
          <w:sz w:val="22"/>
          <w:szCs w:val="22"/>
          <w:lang w:val="pt-BR"/>
        </w:rPr>
        <w:t xml:space="preserve">Fundo de Cooperação para o Desenvolvimento da OEA </w:t>
      </w:r>
      <w:r w:rsidR="00064733" w:rsidRPr="00E13978">
        <w:rPr>
          <w:rFonts w:eastAsia="Calibri"/>
          <w:b/>
          <w:sz w:val="22"/>
          <w:szCs w:val="22"/>
          <w:lang w:val="pt-BR"/>
        </w:rPr>
        <w:t>(</w:t>
      </w:r>
      <w:r w:rsidRPr="00E13978">
        <w:rPr>
          <w:rFonts w:eastAsia="Calibri"/>
          <w:b/>
          <w:sz w:val="22"/>
          <w:szCs w:val="22"/>
          <w:lang w:val="pt-BR"/>
        </w:rPr>
        <w:t>FCD</w:t>
      </w:r>
      <w:r w:rsidR="00064733" w:rsidRPr="00E13978">
        <w:rPr>
          <w:rFonts w:eastAsia="Calibri"/>
          <w:b/>
          <w:sz w:val="22"/>
          <w:szCs w:val="22"/>
          <w:lang w:val="pt-BR"/>
        </w:rPr>
        <w:t>)</w:t>
      </w:r>
    </w:p>
    <w:p w14:paraId="73D15A34" w14:textId="77777777" w:rsidR="00064733" w:rsidRPr="00E13978" w:rsidRDefault="00064733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highlight w:val="yellow"/>
          <w:lang w:val="pt-BR"/>
        </w:rPr>
      </w:pPr>
    </w:p>
    <w:p w14:paraId="417E724E" w14:textId="7783C254" w:rsidR="00064733" w:rsidRPr="00E13978" w:rsidRDefault="00032E85" w:rsidP="00E510D2">
      <w:pPr>
        <w:suppressAutoHyphens/>
        <w:ind w:firstLine="720"/>
        <w:jc w:val="both"/>
        <w:rPr>
          <w:rFonts w:eastAsia="Calibri"/>
          <w:sz w:val="22"/>
          <w:szCs w:val="22"/>
          <w:lang w:val="pt-BR"/>
        </w:rPr>
      </w:pPr>
      <w:r w:rsidRPr="00E13978">
        <w:rPr>
          <w:rFonts w:eastAsia="Calibri"/>
          <w:b/>
          <w:sz w:val="22"/>
          <w:szCs w:val="22"/>
          <w:lang w:val="pt-BR"/>
        </w:rPr>
        <w:t xml:space="preserve">Ciclo de Programação </w:t>
      </w:r>
      <w:r w:rsidR="00064733" w:rsidRPr="00E13978">
        <w:rPr>
          <w:rFonts w:eastAsia="Calibri"/>
          <w:b/>
          <w:sz w:val="22"/>
          <w:szCs w:val="22"/>
          <w:lang w:val="pt-BR"/>
        </w:rPr>
        <w:t>2017-2021</w:t>
      </w:r>
      <w:r w:rsidRPr="00E13978">
        <w:rPr>
          <w:rFonts w:eastAsia="Calibri"/>
          <w:b/>
          <w:sz w:val="22"/>
          <w:szCs w:val="22"/>
          <w:lang w:val="pt-BR"/>
        </w:rPr>
        <w:t xml:space="preserve"> do FCD/OEA</w:t>
      </w:r>
    </w:p>
    <w:p w14:paraId="2AF3E617" w14:textId="450AA308" w:rsidR="00064733" w:rsidRPr="00E13978" w:rsidRDefault="00032E85" w:rsidP="00E13978">
      <w:pPr>
        <w:numPr>
          <w:ilvl w:val="3"/>
          <w:numId w:val="16"/>
        </w:numPr>
        <w:suppressAutoHyphens/>
        <w:ind w:left="144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 Junta Diretora da AICD prorrogou o prazo de implementação dos programas do Ciclo de Programação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2017-2021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do FCD</w:t>
      </w:r>
      <w:r w:rsidR="00B7591C" w:rsidRPr="00E13978">
        <w:rPr>
          <w:rFonts w:eastAsia="MS PGothic"/>
          <w:color w:val="000000"/>
          <w:kern w:val="24"/>
          <w:sz w:val="22"/>
          <w:szCs w:val="22"/>
          <w:lang w:val="pt-BR"/>
        </w:rPr>
        <w:t>,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de 31 de maio de 2021 para 31 de dezembro de 2021, considerando os desafios que os </w:t>
      </w:r>
      <w:r w:rsidR="001F3B81" w:rsidRPr="00E13978">
        <w:rPr>
          <w:rFonts w:eastAsia="MS PGothic"/>
          <w:kern w:val="24"/>
          <w:sz w:val="22"/>
          <w:szCs w:val="22"/>
          <w:lang w:val="pt-BR"/>
        </w:rPr>
        <w:t>Estados membros</w:t>
      </w:r>
      <w:r w:rsidR="00586E61" w:rsidRPr="00E13978">
        <w:rPr>
          <w:rFonts w:eastAsia="MS PGothic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kern w:val="24"/>
          <w:sz w:val="22"/>
          <w:szCs w:val="22"/>
          <w:lang w:val="pt-BR"/>
        </w:rPr>
        <w:t xml:space="preserve">enfrentavam em virtude da pandemia de </w:t>
      </w:r>
      <w:r w:rsidR="00883E86" w:rsidRPr="00E13978">
        <w:rPr>
          <w:rFonts w:eastAsia="MS PGothic"/>
          <w:kern w:val="24"/>
          <w:sz w:val="22"/>
          <w:szCs w:val="22"/>
          <w:lang w:val="pt-BR"/>
        </w:rPr>
        <w:t>covid</w:t>
      </w:r>
      <w:r w:rsidR="00064733" w:rsidRPr="00E13978">
        <w:rPr>
          <w:rFonts w:eastAsia="MS PGothic"/>
          <w:kern w:val="24"/>
          <w:sz w:val="22"/>
          <w:szCs w:val="22"/>
          <w:lang w:val="pt-BR"/>
        </w:rPr>
        <w:t xml:space="preserve">-19 </w:t>
      </w:r>
      <w:r w:rsidR="00B17295" w:rsidRPr="00E13978">
        <w:rPr>
          <w:rFonts w:eastAsia="MS PGothic"/>
          <w:kern w:val="24"/>
          <w:sz w:val="22"/>
          <w:szCs w:val="22"/>
          <w:lang w:val="pt-BR"/>
        </w:rPr>
        <w:t>pandemia</w:t>
      </w:r>
      <w:r w:rsidR="00586E61" w:rsidRPr="00E13978">
        <w:rPr>
          <w:rFonts w:eastAsia="MS PGothic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kern w:val="24"/>
          <w:sz w:val="22"/>
          <w:szCs w:val="22"/>
          <w:lang w:val="pt-BR"/>
        </w:rPr>
        <w:t>e outros eventos imprevistos</w:t>
      </w:r>
      <w:r w:rsidR="00064733" w:rsidRPr="00E13978">
        <w:rPr>
          <w:rFonts w:eastAsia="MS PGothic"/>
          <w:kern w:val="24"/>
          <w:sz w:val="22"/>
          <w:szCs w:val="22"/>
          <w:lang w:val="pt-BR"/>
        </w:rPr>
        <w:t>.</w:t>
      </w:r>
    </w:p>
    <w:p w14:paraId="08EB4FF5" w14:textId="77777777" w:rsidR="008A1B96" w:rsidRPr="00E13978" w:rsidRDefault="008A1B96" w:rsidP="00E13978">
      <w:pPr>
        <w:suppressAutoHyphens/>
        <w:jc w:val="both"/>
        <w:rPr>
          <w:rFonts w:eastAsia="MS PGothic"/>
          <w:kern w:val="24"/>
          <w:sz w:val="22"/>
          <w:szCs w:val="22"/>
          <w:lang w:val="pt-BR"/>
        </w:rPr>
      </w:pPr>
    </w:p>
    <w:p w14:paraId="69CECC55" w14:textId="4CA6D03F" w:rsidR="00064733" w:rsidRPr="00E13978" w:rsidRDefault="00032E85" w:rsidP="00E13978">
      <w:pPr>
        <w:numPr>
          <w:ilvl w:val="3"/>
          <w:numId w:val="16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rFonts w:eastAsia="Calibri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 </w:t>
      </w:r>
      <w:r w:rsidR="00B17295" w:rsidRPr="00E13978">
        <w:rPr>
          <w:rFonts w:eastAsia="MS PGothic"/>
          <w:color w:val="000000"/>
          <w:kern w:val="24"/>
          <w:sz w:val="22"/>
          <w:szCs w:val="22"/>
          <w:lang w:val="pt-BR"/>
        </w:rPr>
        <w:t>pandemia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afetou a implementação 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17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programas do FCD em diferentes proporções, principalmente porque diversos países passaram por </w:t>
      </w:r>
      <w:r w:rsidR="00064733" w:rsidRPr="00E13978">
        <w:rPr>
          <w:rFonts w:eastAsia="MS PGothic"/>
          <w:i/>
          <w:iCs/>
          <w:color w:val="000000"/>
          <w:kern w:val="24"/>
          <w:sz w:val="22"/>
          <w:szCs w:val="22"/>
          <w:lang w:val="pt-BR"/>
        </w:rPr>
        <w:t>lockdowns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nacionais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fechamento de empresas e mudanças </w:t>
      </w:r>
      <w:r w:rsidR="00B7591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nas prioridades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governamentais</w:t>
      </w:r>
      <w:r w:rsidR="00B7591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para responder à expansão da </w:t>
      </w:r>
      <w:r w:rsidR="00883E86" w:rsidRPr="00E13978">
        <w:rPr>
          <w:rFonts w:eastAsia="MS PGothic"/>
          <w:color w:val="000000"/>
          <w:kern w:val="24"/>
          <w:sz w:val="22"/>
          <w:szCs w:val="22"/>
          <w:lang w:val="pt-BR"/>
        </w:rPr>
        <w:t>covid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-19.</w:t>
      </w:r>
    </w:p>
    <w:p w14:paraId="38BBC294" w14:textId="77777777" w:rsidR="008A1B96" w:rsidRPr="00E13978" w:rsidRDefault="008A1B96" w:rsidP="00E13978">
      <w:pPr>
        <w:suppressAutoHyphens/>
        <w:jc w:val="both"/>
        <w:rPr>
          <w:sz w:val="22"/>
          <w:szCs w:val="22"/>
          <w:lang w:val="pt-BR"/>
        </w:rPr>
      </w:pPr>
    </w:p>
    <w:p w14:paraId="3D81B9C3" w14:textId="6382DF54" w:rsidR="00064733" w:rsidRPr="00E13978" w:rsidRDefault="00064733" w:rsidP="00E13978">
      <w:pPr>
        <w:numPr>
          <w:ilvl w:val="3"/>
          <w:numId w:val="16"/>
        </w:numPr>
        <w:suppressAutoHyphens/>
        <w:ind w:left="1440" w:hanging="720"/>
        <w:contextualSpacing/>
        <w:jc w:val="both"/>
        <w:rPr>
          <w:rFonts w:eastAsia="MS PGothic"/>
          <w:color w:val="000000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Estab</w:t>
      </w:r>
      <w:r w:rsidR="00032E85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elecimento de parcerias pelos países participantes, a fim de aumentar o financiamento semente e assegurar a sustentabilidade do Ciclo de Programação </w:t>
      </w:r>
      <w:r w:rsidR="00032E85" w:rsidRPr="00E13978">
        <w:rPr>
          <w:rFonts w:eastAsia="MS PGothic"/>
          <w:color w:val="000000"/>
          <w:kern w:val="24"/>
          <w:sz w:val="22"/>
          <w:szCs w:val="22"/>
          <w:lang w:val="pt-BR"/>
        </w:rPr>
        <w:lastRenderedPageBreak/>
        <w:t>encerrado em 31 de dezembro de 2021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: UNICEF, UNESCO </w:t>
      </w:r>
      <w:r w:rsidR="00032E85" w:rsidRPr="00E13978">
        <w:rPr>
          <w:rFonts w:eastAsia="MS PGothic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CDB. A</w:t>
      </w:r>
      <w:r w:rsidR="0093125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lém disso, a parceria da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SEDI </w:t>
      </w:r>
      <w:r w:rsidR="0093125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com 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Amazon Web Services (AWS) </w:t>
      </w:r>
      <w:r w:rsidR="0093125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proporcionou apoio imediato e soluções para os programas do FCD na resposta aos desafios evocados pela pandemia de </w:t>
      </w:r>
      <w:r w:rsidR="00883E86" w:rsidRPr="00E13978">
        <w:rPr>
          <w:rFonts w:eastAsia="MS PGothic"/>
          <w:color w:val="000000"/>
          <w:kern w:val="24"/>
          <w:sz w:val="22"/>
          <w:szCs w:val="22"/>
          <w:lang w:val="pt-BR"/>
        </w:rPr>
        <w:t>covid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-19.</w:t>
      </w:r>
    </w:p>
    <w:p w14:paraId="34C0425C" w14:textId="77777777" w:rsidR="00064733" w:rsidRPr="00E13978" w:rsidRDefault="00064733" w:rsidP="00E13978">
      <w:pPr>
        <w:suppressAutoHyphens/>
        <w:jc w:val="both"/>
        <w:rPr>
          <w:rFonts w:eastAsia="MS PGothic"/>
          <w:color w:val="000000"/>
          <w:kern w:val="24"/>
          <w:sz w:val="22"/>
          <w:szCs w:val="22"/>
          <w:lang w:val="pt-BR"/>
        </w:rPr>
      </w:pPr>
    </w:p>
    <w:p w14:paraId="4EBE9910" w14:textId="28FD7CC3" w:rsidR="00064733" w:rsidRPr="00E13978" w:rsidRDefault="00931259" w:rsidP="00E510D2">
      <w:pPr>
        <w:suppressAutoHyphens/>
        <w:ind w:firstLine="720"/>
        <w:contextualSpacing/>
        <w:jc w:val="both"/>
        <w:rPr>
          <w:rFonts w:eastAsia="MS PGothic"/>
          <w:b/>
          <w:bCs/>
          <w:kern w:val="24"/>
          <w:sz w:val="22"/>
          <w:szCs w:val="22"/>
          <w:lang w:val="pt-BR"/>
        </w:rPr>
      </w:pPr>
      <w:r w:rsidRPr="00E13978">
        <w:rPr>
          <w:rFonts w:eastAsia="MS PGothic"/>
          <w:b/>
          <w:bCs/>
          <w:kern w:val="24"/>
          <w:sz w:val="22"/>
          <w:szCs w:val="22"/>
          <w:lang w:val="pt-BR"/>
        </w:rPr>
        <w:t xml:space="preserve">Ciclo de Programação </w:t>
      </w:r>
      <w:r w:rsidR="00064733" w:rsidRPr="00E13978">
        <w:rPr>
          <w:rFonts w:eastAsia="MS PGothic"/>
          <w:b/>
          <w:bCs/>
          <w:kern w:val="24"/>
          <w:sz w:val="22"/>
          <w:szCs w:val="22"/>
          <w:lang w:val="pt-BR"/>
        </w:rPr>
        <w:t>2021-2024</w:t>
      </w:r>
      <w:r w:rsidRPr="00E13978">
        <w:rPr>
          <w:rFonts w:eastAsia="MS PGothic"/>
          <w:b/>
          <w:bCs/>
          <w:kern w:val="24"/>
          <w:sz w:val="22"/>
          <w:szCs w:val="22"/>
          <w:lang w:val="pt-BR"/>
        </w:rPr>
        <w:t xml:space="preserve"> do FCD/OEA</w:t>
      </w:r>
    </w:p>
    <w:p w14:paraId="0102EC42" w14:textId="4A8A0A6A" w:rsidR="00064733" w:rsidRPr="00E13978" w:rsidRDefault="00931259" w:rsidP="00E13978">
      <w:pPr>
        <w:numPr>
          <w:ilvl w:val="3"/>
          <w:numId w:val="16"/>
        </w:numPr>
        <w:suppressAutoHyphens/>
        <w:ind w:left="144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 xml:space="preserve">A Junta Diretora da AICD aprovou a </w:t>
      </w:r>
      <w:r w:rsidR="00064733" w:rsidRPr="00E13978">
        <w:rPr>
          <w:rFonts w:eastAsia="Calibri"/>
          <w:b/>
          <w:bCs/>
          <w:iCs/>
          <w:sz w:val="22"/>
          <w:szCs w:val="22"/>
          <w:lang w:val="pt-BR"/>
        </w:rPr>
        <w:t>“</w:t>
      </w:r>
      <w:r w:rsidRPr="00E13978">
        <w:rPr>
          <w:rFonts w:eastAsia="Calibri"/>
          <w:b/>
          <w:bCs/>
          <w:iCs/>
          <w:sz w:val="22"/>
          <w:szCs w:val="22"/>
          <w:lang w:val="pt-BR"/>
        </w:rPr>
        <w:t>Resiliência Inclusiva para uma Efetiva Recuperação, com Foco em Ciência e Tecnologia</w:t>
      </w:r>
      <w:r w:rsidR="00064733" w:rsidRPr="00E13978">
        <w:rPr>
          <w:rFonts w:eastAsia="Calibri"/>
          <w:b/>
          <w:bCs/>
          <w:iCs/>
          <w:sz w:val="22"/>
          <w:szCs w:val="22"/>
          <w:lang w:val="pt-BR"/>
        </w:rPr>
        <w:t>”</w:t>
      </w:r>
      <w:r w:rsidR="00064733" w:rsidRPr="00E13978">
        <w:rPr>
          <w:rFonts w:eastAsia="Calibri"/>
          <w:sz w:val="22"/>
          <w:szCs w:val="22"/>
          <w:lang w:val="pt-BR"/>
        </w:rPr>
        <w:t xml:space="preserve"> </w:t>
      </w:r>
      <w:r w:rsidRPr="00E13978">
        <w:rPr>
          <w:rFonts w:eastAsia="Calibri"/>
          <w:sz w:val="22"/>
          <w:szCs w:val="22"/>
          <w:lang w:val="pt-BR"/>
        </w:rPr>
        <w:t>como Á</w:t>
      </w:r>
      <w:r w:rsidR="00064733" w:rsidRPr="00E13978">
        <w:rPr>
          <w:rFonts w:eastAsia="Calibri"/>
          <w:sz w:val="22"/>
          <w:szCs w:val="22"/>
          <w:lang w:val="pt-BR"/>
        </w:rPr>
        <w:t xml:space="preserve">rea </w:t>
      </w:r>
      <w:r w:rsidRPr="00E13978">
        <w:rPr>
          <w:rFonts w:eastAsia="Calibri"/>
          <w:sz w:val="22"/>
          <w:szCs w:val="22"/>
          <w:lang w:val="pt-BR"/>
        </w:rPr>
        <w:t xml:space="preserve">de Ação para o ciclo de programação do FCD/OEA </w:t>
      </w:r>
      <w:r w:rsidR="00064733" w:rsidRPr="00E13978">
        <w:rPr>
          <w:rFonts w:eastAsia="Calibri"/>
          <w:sz w:val="22"/>
          <w:szCs w:val="22"/>
          <w:lang w:val="pt-BR"/>
        </w:rPr>
        <w:t xml:space="preserve">2021-2024 </w:t>
      </w:r>
      <w:r w:rsidR="00064733" w:rsidRPr="00E13978">
        <w:rPr>
          <w:sz w:val="22"/>
          <w:szCs w:val="22"/>
          <w:lang w:val="pt-BR"/>
        </w:rPr>
        <w:t>(</w:t>
      </w:r>
      <w:hyperlink r:id="rId10" w:history="1">
        <w:r w:rsidR="00064733" w:rsidRPr="00E13978">
          <w:rPr>
            <w:rFonts w:eastAsia="Calibri"/>
            <w:noProof/>
            <w:color w:val="0563C1" w:themeColor="hyperlink"/>
            <w:sz w:val="22"/>
            <w:szCs w:val="22"/>
            <w:u w:val="single"/>
            <w:lang w:val="pt-BR"/>
          </w:rPr>
          <w:t>AICD/JD/DE-126/20</w:t>
        </w:r>
      </w:hyperlink>
      <w:r w:rsidR="00064733" w:rsidRPr="00E13978">
        <w:rPr>
          <w:sz w:val="22"/>
          <w:szCs w:val="22"/>
          <w:lang w:val="pt-BR"/>
        </w:rPr>
        <w:t xml:space="preserve">) </w:t>
      </w:r>
      <w:r w:rsidRPr="00E13978">
        <w:rPr>
          <w:sz w:val="22"/>
          <w:szCs w:val="22"/>
          <w:lang w:val="pt-BR"/>
        </w:rPr>
        <w:t>com quatro Tema</w:t>
      </w:r>
      <w:r w:rsidR="009B022D" w:rsidRPr="00E13978">
        <w:rPr>
          <w:sz w:val="22"/>
          <w:szCs w:val="22"/>
          <w:lang w:val="pt-BR"/>
        </w:rPr>
        <w:t>s</w:t>
      </w:r>
      <w:r w:rsidRPr="00E13978">
        <w:rPr>
          <w:sz w:val="22"/>
          <w:szCs w:val="22"/>
          <w:lang w:val="pt-BR"/>
        </w:rPr>
        <w:t xml:space="preserve"> Programátic</w:t>
      </w:r>
      <w:r w:rsidR="009B022D" w:rsidRPr="00E13978">
        <w:rPr>
          <w:sz w:val="22"/>
          <w:szCs w:val="22"/>
          <w:lang w:val="pt-BR"/>
        </w:rPr>
        <w:t>o</w:t>
      </w:r>
      <w:r w:rsidRPr="00E13978">
        <w:rPr>
          <w:sz w:val="22"/>
          <w:szCs w:val="22"/>
          <w:lang w:val="pt-BR"/>
        </w:rPr>
        <w:t xml:space="preserve">s. </w:t>
      </w:r>
    </w:p>
    <w:p w14:paraId="682E539A" w14:textId="2C27DD5C" w:rsidR="00064733" w:rsidRPr="00E13978" w:rsidRDefault="00064733" w:rsidP="00E13978">
      <w:pPr>
        <w:suppressAutoHyphens/>
        <w:ind w:left="216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>1.</w:t>
      </w:r>
      <w:r w:rsidR="00742E82" w:rsidRPr="00E13978">
        <w:rPr>
          <w:sz w:val="22"/>
          <w:szCs w:val="22"/>
          <w:lang w:val="pt-BR"/>
        </w:rPr>
        <w:tab/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 xml:space="preserve">Reequipamento das </w:t>
      </w:r>
      <w:r w:rsidR="00FE18A4" w:rsidRPr="00E13978">
        <w:rPr>
          <w:rFonts w:eastAsia="MS PGothic"/>
          <w:kern w:val="24"/>
          <w:sz w:val="22"/>
          <w:szCs w:val="22"/>
          <w:lang w:val="pt-BR"/>
        </w:rPr>
        <w:t>MPMEs</w:t>
      </w:r>
      <w:r w:rsidR="00586E61" w:rsidRPr="00E13978">
        <w:rPr>
          <w:rFonts w:eastAsia="MS PGothic"/>
          <w:kern w:val="24"/>
          <w:sz w:val="22"/>
          <w:szCs w:val="22"/>
          <w:lang w:val="pt-BR"/>
        </w:rPr>
        <w:t xml:space="preserve"> </w:t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>por meio da inovação e da tecnologia</w:t>
      </w:r>
      <w:r w:rsidRPr="00E13978">
        <w:rPr>
          <w:rFonts w:eastAsia="MS PGothic"/>
          <w:kern w:val="24"/>
          <w:sz w:val="22"/>
          <w:szCs w:val="22"/>
          <w:lang w:val="pt-BR"/>
        </w:rPr>
        <w:t>.</w:t>
      </w:r>
    </w:p>
    <w:p w14:paraId="544A1A8E" w14:textId="3D4EFF89" w:rsidR="00064733" w:rsidRPr="00E13978" w:rsidRDefault="00064733" w:rsidP="00E13978">
      <w:pPr>
        <w:suppressAutoHyphens/>
        <w:ind w:left="216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>2.</w:t>
      </w:r>
      <w:r w:rsidR="00742E82" w:rsidRPr="00E13978">
        <w:rPr>
          <w:rFonts w:eastAsia="MS PGothic"/>
          <w:kern w:val="24"/>
          <w:sz w:val="22"/>
          <w:szCs w:val="22"/>
          <w:lang w:val="pt-BR"/>
        </w:rPr>
        <w:tab/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 xml:space="preserve">Requalificação </w:t>
      </w:r>
      <w:r w:rsidR="000A5760" w:rsidRPr="00E13978">
        <w:rPr>
          <w:rFonts w:eastAsia="MS PGothic"/>
          <w:kern w:val="24"/>
          <w:sz w:val="22"/>
          <w:szCs w:val="22"/>
          <w:lang w:val="pt-BR"/>
        </w:rPr>
        <w:t>i</w:t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 xml:space="preserve">novadora para a recuperação do </w:t>
      </w:r>
      <w:r w:rsidR="000A5760" w:rsidRPr="00E13978">
        <w:rPr>
          <w:rFonts w:eastAsia="MS PGothic"/>
          <w:kern w:val="24"/>
          <w:sz w:val="22"/>
          <w:szCs w:val="22"/>
          <w:lang w:val="pt-BR"/>
        </w:rPr>
        <w:t>s</w:t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 xml:space="preserve">etor de </w:t>
      </w:r>
      <w:r w:rsidR="000A5760" w:rsidRPr="00E13978">
        <w:rPr>
          <w:rFonts w:eastAsia="MS PGothic"/>
          <w:kern w:val="24"/>
          <w:sz w:val="22"/>
          <w:szCs w:val="22"/>
          <w:lang w:val="pt-BR"/>
        </w:rPr>
        <w:t>t</w:t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 xml:space="preserve">urismo e </w:t>
      </w:r>
      <w:r w:rsidR="000A5760" w:rsidRPr="00E13978">
        <w:rPr>
          <w:rFonts w:eastAsia="MS PGothic"/>
          <w:kern w:val="24"/>
          <w:sz w:val="22"/>
          <w:szCs w:val="22"/>
          <w:lang w:val="pt-BR"/>
        </w:rPr>
        <w:t>d</w:t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>as economias regionais</w:t>
      </w:r>
      <w:r w:rsidRPr="00E13978">
        <w:rPr>
          <w:rFonts w:eastAsia="MS PGothic"/>
          <w:kern w:val="24"/>
          <w:sz w:val="22"/>
          <w:szCs w:val="22"/>
          <w:lang w:val="pt-BR"/>
        </w:rPr>
        <w:t>.</w:t>
      </w:r>
    </w:p>
    <w:p w14:paraId="39E99633" w14:textId="5268307A" w:rsidR="00064733" w:rsidRPr="00E13978" w:rsidRDefault="00064733" w:rsidP="00E13978">
      <w:pPr>
        <w:suppressAutoHyphens/>
        <w:ind w:left="216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>3.</w:t>
      </w:r>
      <w:r w:rsidR="00742E82" w:rsidRPr="00E13978">
        <w:rPr>
          <w:rFonts w:eastAsia="MS PGothic"/>
          <w:kern w:val="24"/>
          <w:sz w:val="22"/>
          <w:szCs w:val="22"/>
          <w:lang w:val="pt-BR"/>
        </w:rPr>
        <w:tab/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>Inovação científica e tecnológica para a construção de resiliência</w:t>
      </w:r>
      <w:r w:rsidRPr="00E13978">
        <w:rPr>
          <w:rFonts w:eastAsia="MS PGothic"/>
          <w:kern w:val="24"/>
          <w:sz w:val="22"/>
          <w:szCs w:val="22"/>
          <w:lang w:val="pt-BR"/>
        </w:rPr>
        <w:t>.</w:t>
      </w:r>
    </w:p>
    <w:p w14:paraId="5133E97C" w14:textId="2BBCCA57" w:rsidR="00064733" w:rsidRPr="00E13978" w:rsidRDefault="00064733" w:rsidP="00E13978">
      <w:pPr>
        <w:suppressAutoHyphens/>
        <w:ind w:left="2160" w:hanging="720"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>4.</w:t>
      </w:r>
      <w:r w:rsidR="00742E82" w:rsidRPr="00E13978">
        <w:rPr>
          <w:rFonts w:eastAsia="MS PGothic"/>
          <w:kern w:val="24"/>
          <w:sz w:val="22"/>
          <w:szCs w:val="22"/>
          <w:lang w:val="pt-BR"/>
        </w:rPr>
        <w:tab/>
      </w:r>
      <w:r w:rsidR="00931259" w:rsidRPr="00E13978">
        <w:rPr>
          <w:rFonts w:eastAsia="MS PGothic"/>
          <w:kern w:val="24"/>
          <w:sz w:val="22"/>
          <w:szCs w:val="22"/>
          <w:lang w:val="pt-BR"/>
        </w:rPr>
        <w:t>Ciência para a tomada de decisão no planejamento dos riscos de desastres</w:t>
      </w:r>
      <w:r w:rsidRPr="00E13978">
        <w:rPr>
          <w:rFonts w:eastAsia="MS PGothic"/>
          <w:kern w:val="24"/>
          <w:sz w:val="22"/>
          <w:szCs w:val="22"/>
          <w:lang w:val="pt-BR"/>
        </w:rPr>
        <w:t>.</w:t>
      </w:r>
    </w:p>
    <w:p w14:paraId="39DBD4DA" w14:textId="77777777" w:rsidR="00931259" w:rsidRPr="00E13978" w:rsidRDefault="00931259" w:rsidP="00E13978">
      <w:pPr>
        <w:suppressAutoHyphens/>
        <w:jc w:val="both"/>
        <w:rPr>
          <w:color w:val="000000"/>
          <w:sz w:val="22"/>
          <w:szCs w:val="22"/>
          <w:lang w:val="pt-BR"/>
        </w:rPr>
      </w:pPr>
    </w:p>
    <w:p w14:paraId="4F911469" w14:textId="38EEBD22" w:rsidR="00064733" w:rsidRPr="00E13978" w:rsidRDefault="00931259" w:rsidP="00E13978">
      <w:pPr>
        <w:suppressAutoHyphens/>
        <w:ind w:left="1440"/>
        <w:contextualSpacing/>
        <w:jc w:val="both"/>
        <w:rPr>
          <w:color w:val="000000"/>
          <w:sz w:val="22"/>
          <w:szCs w:val="22"/>
          <w:lang w:val="pt-BR"/>
        </w:rPr>
      </w:pPr>
      <w:r w:rsidRPr="00E13978">
        <w:rPr>
          <w:color w:val="000000"/>
          <w:sz w:val="22"/>
          <w:szCs w:val="22"/>
          <w:lang w:val="pt-BR"/>
        </w:rPr>
        <w:t xml:space="preserve">A área de ação e os respectivos temas foram aprovados pelo </w:t>
      </w:r>
      <w:r w:rsidR="00064733" w:rsidRPr="00E13978">
        <w:rPr>
          <w:color w:val="000000"/>
          <w:sz w:val="22"/>
          <w:szCs w:val="22"/>
          <w:lang w:val="pt-BR"/>
        </w:rPr>
        <w:t xml:space="preserve">CIDI </w:t>
      </w:r>
      <w:r w:rsidRPr="00E13978">
        <w:rPr>
          <w:color w:val="000000"/>
          <w:sz w:val="22"/>
          <w:szCs w:val="22"/>
          <w:lang w:val="pt-BR"/>
        </w:rPr>
        <w:t xml:space="preserve">na reunião ordinária realizada em 8 de dezembro de </w:t>
      </w:r>
      <w:r w:rsidR="00064733" w:rsidRPr="00E13978">
        <w:rPr>
          <w:color w:val="000000"/>
          <w:sz w:val="22"/>
          <w:szCs w:val="22"/>
          <w:lang w:val="pt-BR"/>
        </w:rPr>
        <w:t>2020</w:t>
      </w:r>
      <w:r w:rsidR="008A1B96" w:rsidRPr="00E13978">
        <w:rPr>
          <w:color w:val="000000"/>
          <w:sz w:val="22"/>
          <w:szCs w:val="22"/>
          <w:lang w:val="pt-BR"/>
        </w:rPr>
        <w:t xml:space="preserve"> </w:t>
      </w:r>
      <w:hyperlink r:id="rId11" w:tgtFrame="_blank" w:history="1">
        <w:r w:rsidR="00064733" w:rsidRPr="00E13978">
          <w:rPr>
            <w:color w:val="954F72"/>
            <w:sz w:val="22"/>
            <w:szCs w:val="22"/>
            <w:u w:val="single"/>
            <w:lang w:val="pt-BR"/>
          </w:rPr>
          <w:t>CIDI/doc.304/20 rev.1</w:t>
        </w:r>
      </w:hyperlink>
      <w:r w:rsidR="00064733" w:rsidRPr="00E13978">
        <w:rPr>
          <w:color w:val="000000"/>
          <w:sz w:val="22"/>
          <w:szCs w:val="22"/>
          <w:lang w:val="pt-BR"/>
        </w:rPr>
        <w:t>.</w:t>
      </w:r>
    </w:p>
    <w:p w14:paraId="6F21746A" w14:textId="77777777" w:rsidR="008A1B96" w:rsidRPr="00E13978" w:rsidRDefault="008A1B96" w:rsidP="00E13978">
      <w:pPr>
        <w:suppressAutoHyphens/>
        <w:contextualSpacing/>
        <w:jc w:val="both"/>
        <w:rPr>
          <w:rFonts w:eastAsia="MS PGothic"/>
          <w:kern w:val="24"/>
          <w:sz w:val="22"/>
          <w:szCs w:val="22"/>
          <w:lang w:val="pt-BR"/>
        </w:rPr>
      </w:pPr>
    </w:p>
    <w:p w14:paraId="0BC8DC3C" w14:textId="031D957C" w:rsidR="00064733" w:rsidRPr="00E13978" w:rsidRDefault="00931259" w:rsidP="00E13978">
      <w:pPr>
        <w:numPr>
          <w:ilvl w:val="3"/>
          <w:numId w:val="16"/>
        </w:numPr>
        <w:suppressAutoHyphens/>
        <w:ind w:left="1440" w:hanging="720"/>
        <w:contextualSpacing/>
        <w:jc w:val="both"/>
        <w:rPr>
          <w:spacing w:val="-2"/>
          <w:sz w:val="22"/>
          <w:szCs w:val="22"/>
          <w:lang w:val="pt-BR"/>
        </w:rPr>
      </w:pPr>
      <w:r w:rsidRPr="00E13978">
        <w:rPr>
          <w:spacing w:val="-2"/>
          <w:sz w:val="22"/>
          <w:szCs w:val="22"/>
          <w:lang w:val="pt-BR"/>
        </w:rPr>
        <w:t xml:space="preserve">A Junta Diretora da AICD aprovou, em 24 de agosto de </w:t>
      </w:r>
      <w:r w:rsidR="00064733" w:rsidRPr="00E13978">
        <w:rPr>
          <w:spacing w:val="-2"/>
          <w:sz w:val="22"/>
          <w:szCs w:val="22"/>
          <w:lang w:val="pt-BR"/>
        </w:rPr>
        <w:t>2021 (</w:t>
      </w:r>
      <w:hyperlink r:id="rId12" w:history="1">
        <w:r w:rsidR="00064733" w:rsidRPr="00E13978">
          <w:rPr>
            <w:color w:val="0563C1" w:themeColor="hyperlink"/>
            <w:spacing w:val="-2"/>
            <w:sz w:val="22"/>
            <w:szCs w:val="22"/>
            <w:u w:val="single"/>
            <w:lang w:val="pt-BR"/>
          </w:rPr>
          <w:t>AICD/JD/DE-130/21</w:t>
        </w:r>
      </w:hyperlink>
      <w:r w:rsidR="00064733" w:rsidRPr="00E13978">
        <w:rPr>
          <w:spacing w:val="-2"/>
          <w:sz w:val="22"/>
          <w:szCs w:val="22"/>
          <w:lang w:val="pt-BR"/>
        </w:rPr>
        <w:t>)</w:t>
      </w:r>
      <w:r w:rsidRPr="00E13978">
        <w:rPr>
          <w:spacing w:val="-2"/>
          <w:sz w:val="22"/>
          <w:szCs w:val="22"/>
          <w:lang w:val="pt-BR"/>
        </w:rPr>
        <w:t>,</w:t>
      </w:r>
      <w:r w:rsidR="00064733" w:rsidRPr="00E13978">
        <w:rPr>
          <w:spacing w:val="-2"/>
          <w:sz w:val="22"/>
          <w:szCs w:val="22"/>
          <w:lang w:val="pt-BR"/>
        </w:rPr>
        <w:t xml:space="preserve"> </w:t>
      </w:r>
      <w:r w:rsidRPr="00E13978">
        <w:rPr>
          <w:spacing w:val="-2"/>
          <w:sz w:val="22"/>
          <w:szCs w:val="22"/>
          <w:lang w:val="pt-BR"/>
        </w:rPr>
        <w:t xml:space="preserve">o fundo semente de </w:t>
      </w:r>
      <w:r w:rsidR="00064733" w:rsidRPr="00E13978">
        <w:rPr>
          <w:sz w:val="22"/>
          <w:szCs w:val="22"/>
          <w:lang w:val="pt-BR"/>
        </w:rPr>
        <w:t>US$</w:t>
      </w:r>
      <w:r w:rsidR="00064733" w:rsidRPr="00E510D2">
        <w:rPr>
          <w:sz w:val="22"/>
          <w:szCs w:val="22"/>
          <w:lang w:val="pt-BR"/>
        </w:rPr>
        <w:t>1</w:t>
      </w:r>
      <w:r w:rsidRPr="00E510D2">
        <w:rPr>
          <w:sz w:val="22"/>
          <w:szCs w:val="22"/>
          <w:lang w:val="pt-BR"/>
        </w:rPr>
        <w:t>,</w:t>
      </w:r>
      <w:r w:rsidR="00064733" w:rsidRPr="00E510D2">
        <w:rPr>
          <w:sz w:val="22"/>
          <w:szCs w:val="22"/>
          <w:lang w:val="pt-BR"/>
        </w:rPr>
        <w:t xml:space="preserve">7 </w:t>
      </w:r>
      <w:r w:rsidRPr="00E510D2">
        <w:rPr>
          <w:sz w:val="22"/>
          <w:szCs w:val="22"/>
          <w:lang w:val="pt-BR"/>
        </w:rPr>
        <w:t>milhão</w:t>
      </w:r>
      <w:r w:rsidRPr="00E13978">
        <w:rPr>
          <w:sz w:val="22"/>
          <w:szCs w:val="22"/>
          <w:lang w:val="pt-BR"/>
        </w:rPr>
        <w:t xml:space="preserve"> e</w:t>
      </w:r>
      <w:r w:rsidR="00D768BC" w:rsidRPr="00E13978">
        <w:rPr>
          <w:sz w:val="22"/>
          <w:szCs w:val="22"/>
          <w:lang w:val="pt-BR"/>
        </w:rPr>
        <w:t xml:space="preserve">, em 2 de novembro de </w:t>
      </w:r>
      <w:r w:rsidR="00064733" w:rsidRPr="00E13978">
        <w:rPr>
          <w:sz w:val="22"/>
          <w:szCs w:val="22"/>
          <w:lang w:val="pt-BR"/>
        </w:rPr>
        <w:t>2021 (</w:t>
      </w:r>
      <w:hyperlink r:id="rId13" w:history="1">
        <w:r w:rsidR="00064733" w:rsidRPr="00E13978">
          <w:rPr>
            <w:color w:val="0563C1" w:themeColor="hyperlink"/>
            <w:sz w:val="22"/>
            <w:szCs w:val="22"/>
            <w:u w:val="single"/>
            <w:lang w:val="pt-BR"/>
          </w:rPr>
          <w:t>AICD/JD/DE-131/21</w:t>
        </w:r>
      </w:hyperlink>
      <w:r w:rsidR="00064733" w:rsidRPr="00E13978">
        <w:rPr>
          <w:sz w:val="22"/>
          <w:szCs w:val="22"/>
          <w:lang w:val="pt-BR"/>
        </w:rPr>
        <w:t>)</w:t>
      </w:r>
      <w:r w:rsidR="00D768BC" w:rsidRPr="00E13978">
        <w:rPr>
          <w:sz w:val="22"/>
          <w:szCs w:val="22"/>
          <w:lang w:val="pt-BR"/>
        </w:rPr>
        <w:t>,</w:t>
      </w:r>
      <w:r w:rsidR="00064733" w:rsidRPr="00E13978">
        <w:rPr>
          <w:sz w:val="22"/>
          <w:szCs w:val="22"/>
          <w:lang w:val="pt-BR"/>
        </w:rPr>
        <w:t xml:space="preserve"> </w:t>
      </w:r>
      <w:r w:rsidR="00D768BC" w:rsidRPr="00E13978">
        <w:rPr>
          <w:sz w:val="22"/>
          <w:szCs w:val="22"/>
          <w:lang w:val="pt-BR"/>
        </w:rPr>
        <w:t xml:space="preserve">acrescentou </w:t>
      </w:r>
      <w:r w:rsidR="00064733" w:rsidRPr="00E13978">
        <w:rPr>
          <w:sz w:val="22"/>
          <w:szCs w:val="22"/>
          <w:lang w:val="pt-BR"/>
        </w:rPr>
        <w:t>US$100</w:t>
      </w:r>
      <w:r w:rsidR="00D768BC" w:rsidRPr="00E13978">
        <w:rPr>
          <w:sz w:val="22"/>
          <w:szCs w:val="22"/>
          <w:lang w:val="pt-BR"/>
        </w:rPr>
        <w:t>.</w:t>
      </w:r>
      <w:r w:rsidR="00064733" w:rsidRPr="00E13978">
        <w:rPr>
          <w:sz w:val="22"/>
          <w:szCs w:val="22"/>
          <w:lang w:val="pt-BR"/>
        </w:rPr>
        <w:t xml:space="preserve">000 </w:t>
      </w:r>
      <w:r w:rsidR="00D768BC" w:rsidRPr="00E13978">
        <w:rPr>
          <w:sz w:val="22"/>
          <w:szCs w:val="22"/>
          <w:lang w:val="pt-BR"/>
        </w:rPr>
        <w:t xml:space="preserve">ao fundo semente aprovado, num total de </w:t>
      </w:r>
      <w:r w:rsidR="00064733" w:rsidRPr="00E13978">
        <w:rPr>
          <w:sz w:val="22"/>
          <w:szCs w:val="22"/>
          <w:lang w:val="pt-BR"/>
        </w:rPr>
        <w:t>US$1</w:t>
      </w:r>
      <w:r w:rsidR="00D768BC" w:rsidRPr="00E13978">
        <w:rPr>
          <w:sz w:val="22"/>
          <w:szCs w:val="22"/>
          <w:lang w:val="pt-BR"/>
        </w:rPr>
        <w:t>,</w:t>
      </w:r>
      <w:r w:rsidR="00064733" w:rsidRPr="00E13978">
        <w:rPr>
          <w:sz w:val="22"/>
          <w:szCs w:val="22"/>
          <w:lang w:val="pt-BR"/>
        </w:rPr>
        <w:t xml:space="preserve">8 </w:t>
      </w:r>
      <w:r w:rsidR="00D768BC" w:rsidRPr="00E13978">
        <w:rPr>
          <w:sz w:val="22"/>
          <w:szCs w:val="22"/>
          <w:lang w:val="pt-BR"/>
        </w:rPr>
        <w:t xml:space="preserve">milhão para o ciclo de programação </w:t>
      </w:r>
      <w:r w:rsidR="00064733" w:rsidRPr="00E13978">
        <w:rPr>
          <w:sz w:val="22"/>
          <w:szCs w:val="22"/>
          <w:lang w:val="pt-BR"/>
        </w:rPr>
        <w:t>2021-2024</w:t>
      </w:r>
      <w:r w:rsidR="00D768BC" w:rsidRPr="00E13978">
        <w:rPr>
          <w:sz w:val="22"/>
          <w:szCs w:val="22"/>
          <w:lang w:val="pt-BR"/>
        </w:rPr>
        <w:t xml:space="preserve">, como resposta à inclusão de São Vicente e Granadinas como beneficiário do Ciclo de Programação </w:t>
      </w:r>
      <w:r w:rsidR="00064733" w:rsidRPr="00E13978">
        <w:rPr>
          <w:rFonts w:eastAsia="MS PGothic"/>
          <w:kern w:val="24"/>
          <w:sz w:val="22"/>
          <w:szCs w:val="22"/>
          <w:lang w:val="pt-BR"/>
        </w:rPr>
        <w:t>2021-2024</w:t>
      </w:r>
      <w:r w:rsidR="00D768BC" w:rsidRPr="00E13978">
        <w:rPr>
          <w:rFonts w:eastAsia="MS PGothic"/>
          <w:kern w:val="24"/>
          <w:sz w:val="22"/>
          <w:szCs w:val="22"/>
          <w:lang w:val="pt-BR"/>
        </w:rPr>
        <w:t xml:space="preserve"> do FCD.</w:t>
      </w:r>
    </w:p>
    <w:p w14:paraId="3E8D40B1" w14:textId="77777777" w:rsidR="008A1B96" w:rsidRPr="00E13978" w:rsidRDefault="008A1B96" w:rsidP="00E13978">
      <w:pPr>
        <w:suppressAutoHyphens/>
        <w:contextualSpacing/>
        <w:jc w:val="both"/>
        <w:rPr>
          <w:spacing w:val="-2"/>
          <w:sz w:val="22"/>
          <w:szCs w:val="22"/>
          <w:lang w:val="pt-BR"/>
        </w:rPr>
      </w:pPr>
    </w:p>
    <w:p w14:paraId="33B5A657" w14:textId="16E3A24C" w:rsidR="00064733" w:rsidRPr="00E13978" w:rsidRDefault="00D768BC" w:rsidP="00E13978">
      <w:pPr>
        <w:numPr>
          <w:ilvl w:val="3"/>
          <w:numId w:val="16"/>
        </w:numPr>
        <w:suppressAutoHyphens/>
        <w:ind w:left="1440" w:hanging="720"/>
        <w:contextualSpacing/>
        <w:jc w:val="both"/>
        <w:rPr>
          <w:spacing w:val="-2"/>
          <w:sz w:val="22"/>
          <w:szCs w:val="22"/>
          <w:lang w:val="pt-BR"/>
        </w:rPr>
      </w:pPr>
      <w:r w:rsidRPr="00E13978">
        <w:rPr>
          <w:sz w:val="22"/>
          <w:szCs w:val="22"/>
          <w:lang w:val="pt-BR"/>
        </w:rPr>
        <w:t xml:space="preserve">Estão elegíveis para participar do Ciclo de Programação 2021-2024 do FCD/OEA </w:t>
      </w:r>
      <w:r w:rsidR="00064733" w:rsidRPr="00E13978">
        <w:rPr>
          <w:sz w:val="22"/>
          <w:szCs w:val="22"/>
          <w:lang w:val="pt-BR"/>
        </w:rPr>
        <w:t xml:space="preserve">18 </w:t>
      </w:r>
      <w:r w:rsidRPr="00E13978">
        <w:rPr>
          <w:sz w:val="22"/>
          <w:szCs w:val="22"/>
          <w:lang w:val="pt-BR"/>
        </w:rPr>
        <w:t xml:space="preserve">países, visando a desenvolver um programa em um dos quatro temas programáticos </w:t>
      </w:r>
      <w:r w:rsidR="00064733" w:rsidRPr="00E13978">
        <w:rPr>
          <w:rFonts w:eastAsia="MS PGothic"/>
          <w:kern w:val="24"/>
          <w:sz w:val="22"/>
          <w:szCs w:val="22"/>
          <w:lang w:val="pt-BR"/>
        </w:rPr>
        <w:t>(</w:t>
      </w:r>
      <w:r w:rsidRPr="00E13978">
        <w:rPr>
          <w:rFonts w:eastAsia="MS PGothic"/>
          <w:kern w:val="24"/>
          <w:sz w:val="22"/>
          <w:szCs w:val="22"/>
          <w:lang w:val="pt-BR"/>
        </w:rPr>
        <w:t>Até esta data, está pendente a apresentação da Carta de Confirmação da Nicarágua</w:t>
      </w:r>
      <w:r w:rsidR="00064733" w:rsidRPr="00E13978">
        <w:rPr>
          <w:rFonts w:eastAsia="MS PGothic"/>
          <w:kern w:val="24"/>
          <w:sz w:val="22"/>
          <w:szCs w:val="22"/>
          <w:lang w:val="pt-BR"/>
        </w:rPr>
        <w:t>)</w:t>
      </w:r>
      <w:r w:rsidR="00064733" w:rsidRPr="00E13978">
        <w:rPr>
          <w:sz w:val="22"/>
          <w:szCs w:val="22"/>
          <w:lang w:val="pt-BR"/>
        </w:rPr>
        <w:t xml:space="preserve">. </w:t>
      </w:r>
    </w:p>
    <w:p w14:paraId="590BC39B" w14:textId="77777777" w:rsidR="00064733" w:rsidRPr="00E13978" w:rsidRDefault="00064733" w:rsidP="00E13978">
      <w:pPr>
        <w:suppressAutoHyphens/>
        <w:jc w:val="both"/>
        <w:rPr>
          <w:rFonts w:eastAsia="MS PGothic"/>
          <w:kern w:val="24"/>
          <w:sz w:val="22"/>
          <w:szCs w:val="22"/>
          <w:lang w:val="pt-BR"/>
        </w:rPr>
      </w:pPr>
    </w:p>
    <w:p w14:paraId="335BE681" w14:textId="64491990" w:rsidR="00064733" w:rsidRPr="00E13978" w:rsidRDefault="00064733" w:rsidP="00E510D2">
      <w:pPr>
        <w:suppressAutoHyphens/>
        <w:ind w:firstLine="720"/>
        <w:contextualSpacing/>
        <w:jc w:val="both"/>
        <w:rPr>
          <w:sz w:val="22"/>
          <w:szCs w:val="22"/>
          <w:lang w:val="pt-BR"/>
        </w:rPr>
      </w:pPr>
      <w:r w:rsidRPr="00E510D2">
        <w:rPr>
          <w:rFonts w:eastAsia="MS PGothic"/>
          <w:b/>
          <w:bCs/>
          <w:kern w:val="24"/>
          <w:sz w:val="22"/>
          <w:szCs w:val="22"/>
          <w:lang w:val="pt-BR"/>
        </w:rPr>
        <w:t>Program</w:t>
      </w:r>
      <w:r w:rsidR="00D768BC" w:rsidRPr="00E510D2">
        <w:rPr>
          <w:rFonts w:eastAsia="MS PGothic"/>
          <w:b/>
          <w:bCs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 I: Re</w:t>
      </w:r>
      <w:r w:rsidR="00D768B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equipamento das </w:t>
      </w:r>
      <w:r w:rsidR="00FE18A4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MPMEs</w:t>
      </w:r>
      <w:r w:rsidR="00586E61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 </w:t>
      </w:r>
      <w:r w:rsidR="00D768B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por meio da inovação e da tecnologia </w:t>
      </w:r>
    </w:p>
    <w:p w14:paraId="67A6AA7E" w14:textId="75592F88" w:rsidR="00064733" w:rsidRPr="00E13978" w:rsidRDefault="00064733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E</w:t>
      </w:r>
      <w:r w:rsidR="00D768BC" w:rsidRPr="00E13978">
        <w:rPr>
          <w:rFonts w:eastAsia="+mn-ea"/>
          <w:color w:val="000000"/>
          <w:kern w:val="24"/>
          <w:sz w:val="22"/>
          <w:szCs w:val="22"/>
          <w:lang w:val="pt-BR"/>
        </w:rPr>
        <w:t>q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uador: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Facilit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ar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o acesso </w:t>
      </w:r>
      <w:r w:rsidR="009B022D" w:rsidRPr="00E13978">
        <w:rPr>
          <w:rFonts w:eastAsia="MS PGothic"/>
          <w:color w:val="000000"/>
          <w:kern w:val="24"/>
          <w:sz w:val="22"/>
          <w:szCs w:val="22"/>
          <w:lang w:val="pt-BR"/>
        </w:rPr>
        <w:t>à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informação e aos serviços de desenvolvimento de negócios, por meio de uma plataforma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digital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que possibilitará e impulsionará a atividade empreendedora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o empreendedorismo interno ou a inovação no país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EFBAA13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7FE7967C" w14:textId="45342FE3" w:rsidR="00064733" w:rsidRPr="00E13978" w:rsidRDefault="00064733" w:rsidP="00E13978">
      <w:pPr>
        <w:numPr>
          <w:ilvl w:val="1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Honduras: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Proporcion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ar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habilidades técnicas e financeiras a até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100 migrant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s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que retornaram e a pessoas em risco de migrar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(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homens e mulheres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)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2D1FABC9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728516C5" w14:textId="57FDE5E2" w:rsidR="00064733" w:rsidRPr="00E13978" w:rsidRDefault="00064733" w:rsidP="00E13978">
      <w:pPr>
        <w:numPr>
          <w:ilvl w:val="1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Jamaica: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100 </w:t>
      </w:r>
      <w:r w:rsidR="00FE18A4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MPMEs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adota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ndo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ferramentas tecnológicas e não tecnológicas para melhorar sua competitividade e o alcance a mercados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D768BC" w:rsidRPr="00E13978">
        <w:rPr>
          <w:rFonts w:eastAsia="MS PGothic"/>
          <w:color w:val="000000"/>
          <w:kern w:val="24"/>
          <w:sz w:val="22"/>
          <w:szCs w:val="22"/>
          <w:lang w:val="pt-BR"/>
        </w:rPr>
        <w:t>estimular sua produtividade e aumentar sua resiliência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3030010E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76C769FE" w14:textId="47864F79" w:rsidR="00064733" w:rsidRPr="00E13978" w:rsidRDefault="00D768BC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República </w:t>
      </w:r>
      <w:r w:rsidR="00064733" w:rsidRPr="00E13978">
        <w:rPr>
          <w:rFonts w:eastAsia="+mn-ea"/>
          <w:color w:val="000000"/>
          <w:kern w:val="24"/>
          <w:sz w:val="22"/>
          <w:szCs w:val="22"/>
          <w:lang w:val="pt-BR"/>
        </w:rPr>
        <w:t>Dominican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a</w:t>
      </w:r>
      <w:r w:rsidR="00064733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: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Melhora</w:t>
      </w:r>
      <w:r w:rsidR="009B022D" w:rsidRPr="00E13978">
        <w:rPr>
          <w:rFonts w:eastAsia="MS PGothic"/>
          <w:color w:val="000000"/>
          <w:kern w:val="24"/>
          <w:sz w:val="22"/>
          <w:szCs w:val="22"/>
          <w:lang w:val="pt-BR"/>
        </w:rPr>
        <w:t>r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o acesso 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80 M</w:t>
      </w:r>
      <w:r w:rsidR="000A5760" w:rsidRPr="00E13978">
        <w:rPr>
          <w:rFonts w:eastAsia="MS PGothic"/>
          <w:color w:val="000000"/>
          <w:kern w:val="24"/>
          <w:sz w:val="22"/>
          <w:szCs w:val="22"/>
          <w:lang w:val="pt-BR"/>
        </w:rPr>
        <w:t>P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ME</w:t>
      </w:r>
      <w:r w:rsidR="000A5760" w:rsidRPr="00E13978">
        <w:rPr>
          <w:rFonts w:eastAsia="MS PGothic"/>
          <w:color w:val="000000"/>
          <w:kern w:val="24"/>
          <w:sz w:val="22"/>
          <w:szCs w:val="22"/>
          <w:lang w:val="pt-BR"/>
        </w:rPr>
        <w:t>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e empreendedores a serviços de prototipagem, em todo o território nacional, mediante a criação e/ou o fortalecimento de quatro Centros de Prototipagem durante a implementação do projeto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01C00F24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5B3A1ACD" w14:textId="3BFEA4AF" w:rsidR="00064733" w:rsidRPr="00E13978" w:rsidRDefault="00064733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lastRenderedPageBreak/>
        <w:t>Panam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á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: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Melhorar a capacidade de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300 M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P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ME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turismo, a fim de desenvolver novos serviços, produtos e processos inovadores com mecanismos de inovação e ferramentas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p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ó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s-</w:t>
      </w:r>
      <w:r w:rsidR="00B17295" w:rsidRPr="00E13978">
        <w:rPr>
          <w:rFonts w:eastAsia="MS PGothic"/>
          <w:color w:val="000000"/>
          <w:kern w:val="24"/>
          <w:sz w:val="22"/>
          <w:szCs w:val="22"/>
          <w:lang w:val="pt-BR"/>
        </w:rPr>
        <w:t>pandemia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267CC7E7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5F23091B" w14:textId="2D7C44E5" w:rsidR="00064733" w:rsidRPr="00E13978" w:rsidRDefault="00064733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Saint Kitts 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Nevis: 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Possibilitar que as </w:t>
      </w:r>
      <w:r w:rsidR="00FE18A4" w:rsidRPr="00E13978">
        <w:rPr>
          <w:rFonts w:eastAsia="MS PGothic"/>
          <w:color w:val="000000"/>
          <w:kern w:val="24"/>
          <w:sz w:val="22"/>
          <w:szCs w:val="22"/>
          <w:lang w:val="pt-BR"/>
        </w:rPr>
        <w:t>MPMEs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se conectem com os clientes </w:t>
      </w:r>
      <w:r w:rsidRPr="00E13978">
        <w:rPr>
          <w:rFonts w:eastAsia="MS PGothic"/>
          <w:i/>
          <w:iCs/>
          <w:color w:val="000000"/>
          <w:kern w:val="24"/>
          <w:sz w:val="22"/>
          <w:szCs w:val="22"/>
          <w:lang w:val="pt-BR"/>
        </w:rPr>
        <w:t>online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prestem seus serviços, mediante o financiamento </w:t>
      </w:r>
      <w:r w:rsidR="000A576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da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criação de </w:t>
      </w:r>
      <w:r w:rsidR="00341DB0" w:rsidRPr="00E13978">
        <w:rPr>
          <w:rFonts w:eastAsia="MS PGothic"/>
          <w:i/>
          <w:iCs/>
          <w:color w:val="000000"/>
          <w:kern w:val="24"/>
          <w:sz w:val="22"/>
          <w:szCs w:val="22"/>
          <w:lang w:val="pt-BR"/>
        </w:rPr>
        <w:t xml:space="preserve">sites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comércio eletrônico para as </w:t>
      </w:r>
      <w:r w:rsidR="00FE18A4" w:rsidRPr="00E13978">
        <w:rPr>
          <w:rFonts w:eastAsia="MS PGothic"/>
          <w:color w:val="000000"/>
          <w:kern w:val="24"/>
          <w:sz w:val="22"/>
          <w:szCs w:val="22"/>
          <w:lang w:val="pt-BR"/>
        </w:rPr>
        <w:t>MPMEs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e </w:t>
      </w:r>
      <w:r w:rsidR="000A576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se mantenham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alojadas no Centro Nacional de TIC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53567385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5E213A75" w14:textId="1F1DC03B" w:rsidR="00064733" w:rsidRPr="00E13978" w:rsidRDefault="00064733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Sant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L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ú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cia: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Prestar apoio e fortalecer as plataformas digitais atuais em Santa Lúcia, mediante o empoderamento das </w:t>
      </w:r>
      <w:r w:rsidR="00FE18A4" w:rsidRPr="00E13978">
        <w:rPr>
          <w:rFonts w:eastAsia="MS PGothic"/>
          <w:color w:val="000000"/>
          <w:kern w:val="24"/>
          <w:sz w:val="22"/>
          <w:szCs w:val="22"/>
          <w:lang w:val="pt-BR"/>
        </w:rPr>
        <w:t>MPMEs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dos subsetores das Indústrias Criativas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Indústrias Profissionais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Spa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e Bem-estar e TIC, por meio do desenvolvimento tecnológico e da inovação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intercâmbio de recursos e informação e conectividade entre as </w:t>
      </w:r>
      <w:r w:rsidR="00FE18A4" w:rsidRPr="00E13978">
        <w:rPr>
          <w:rFonts w:eastAsia="MS PGothic"/>
          <w:color w:val="000000"/>
          <w:kern w:val="24"/>
          <w:sz w:val="22"/>
          <w:szCs w:val="22"/>
          <w:lang w:val="pt-BR"/>
        </w:rPr>
        <w:t>MPMEs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341DB0" w:rsidRPr="00E13978">
        <w:rPr>
          <w:rFonts w:eastAsia="MS PGothic"/>
          <w:color w:val="000000"/>
          <w:kern w:val="24"/>
          <w:sz w:val="22"/>
          <w:szCs w:val="22"/>
          <w:lang w:val="pt-BR"/>
        </w:rPr>
        <w:t>o Governo e o mundo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6CF46CBA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3BCC78B0" w14:textId="60722F0D" w:rsidR="00064733" w:rsidRPr="00E13978" w:rsidRDefault="00064733" w:rsidP="00E13978">
      <w:pPr>
        <w:numPr>
          <w:ilvl w:val="0"/>
          <w:numId w:val="17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S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ão 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Vicent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Gr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nadin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s: 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Ajudar as </w:t>
      </w:r>
      <w:r w:rsidR="00FE18A4" w:rsidRPr="00E13978">
        <w:rPr>
          <w:rFonts w:eastAsia="+mn-ea"/>
          <w:color w:val="000000"/>
          <w:kern w:val="24"/>
          <w:sz w:val="22"/>
          <w:szCs w:val="22"/>
          <w:lang w:val="pt-BR"/>
        </w:rPr>
        <w:t>MPMEs</w:t>
      </w:r>
      <w:r w:rsidR="00586E61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</w:t>
      </w:r>
      <w:r w:rsidR="00341DB0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na consecução da recuperação econômica e do desenvolvimento sustentável, mediante a promoção </w:t>
      </w:r>
      <w:r w:rsidR="00DA3BCC" w:rsidRPr="00E13978">
        <w:rPr>
          <w:rFonts w:eastAsia="+mn-ea"/>
          <w:color w:val="000000"/>
          <w:kern w:val="24"/>
          <w:sz w:val="22"/>
          <w:szCs w:val="22"/>
          <w:lang w:val="pt-BR"/>
        </w:rPr>
        <w:t>d</w:t>
      </w:r>
      <w:r w:rsidR="009B022D" w:rsidRPr="00E13978">
        <w:rPr>
          <w:rFonts w:eastAsia="+mn-ea"/>
          <w:color w:val="000000"/>
          <w:kern w:val="24"/>
          <w:sz w:val="22"/>
          <w:szCs w:val="22"/>
          <w:lang w:val="pt-BR"/>
        </w:rPr>
        <w:t>e</w:t>
      </w:r>
      <w:r w:rsidR="00DA3BCC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 mudanças nas estratégias e nas práticas comerciais, por meio da tecnologia e da inovação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.</w:t>
      </w:r>
    </w:p>
    <w:p w14:paraId="3CDCDBA0" w14:textId="77777777" w:rsidR="00064733" w:rsidRPr="00E13978" w:rsidRDefault="00064733" w:rsidP="00E13978">
      <w:pPr>
        <w:suppressAutoHyphens/>
        <w:jc w:val="both"/>
        <w:rPr>
          <w:rFonts w:eastAsia="+mn-ea"/>
          <w:color w:val="000000"/>
          <w:kern w:val="24"/>
          <w:sz w:val="22"/>
          <w:szCs w:val="22"/>
          <w:lang w:val="pt-BR"/>
        </w:rPr>
      </w:pPr>
    </w:p>
    <w:p w14:paraId="7FE26D13" w14:textId="50302C6B" w:rsidR="00064733" w:rsidRPr="00E13978" w:rsidRDefault="00064733" w:rsidP="00E13978">
      <w:pPr>
        <w:suppressAutoHyphens/>
        <w:kinsoku w:val="0"/>
        <w:overflowPunct w:val="0"/>
        <w:ind w:left="720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Program</w:t>
      </w:r>
      <w:r w:rsidR="00DA3BC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 II: </w:t>
      </w:r>
      <w:r w:rsidR="00DA3BC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Requalificação </w:t>
      </w:r>
      <w:r w:rsidR="00DA3BCC" w:rsidRPr="00E13978">
        <w:rPr>
          <w:rFonts w:eastAsia="+mn-ea"/>
          <w:b/>
          <w:bCs/>
          <w:iCs/>
          <w:color w:val="000000"/>
          <w:kern w:val="24"/>
          <w:sz w:val="22"/>
          <w:szCs w:val="22"/>
          <w:lang w:val="pt-BR"/>
        </w:rPr>
        <w:t xml:space="preserve">Inovadora para a Recuperação do Setor de Turismo e das Economias Regionais </w:t>
      </w:r>
    </w:p>
    <w:p w14:paraId="2C7F7DF2" w14:textId="136BC8DB" w:rsidR="00064733" w:rsidRPr="00E13978" w:rsidRDefault="00064733" w:rsidP="00E13978">
      <w:pPr>
        <w:numPr>
          <w:ilvl w:val="0"/>
          <w:numId w:val="20"/>
        </w:numPr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Dominica: </w:t>
      </w:r>
      <w:r w:rsidR="00DA3BCC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Fortalecer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50 </w:t>
      </w:r>
      <w:r w:rsidR="009E77C3" w:rsidRPr="00E13978">
        <w:rPr>
          <w:rFonts w:eastAsia="MS PGothic"/>
          <w:color w:val="000000"/>
          <w:kern w:val="24"/>
          <w:sz w:val="22"/>
          <w:szCs w:val="22"/>
          <w:lang w:val="pt-BR"/>
        </w:rPr>
        <w:t>MPME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turismo do setor de acomodação e bem-estar, mediante o aumento da visibilidade </w:t>
      </w:r>
      <w:r w:rsidRPr="00E13978">
        <w:rPr>
          <w:rFonts w:eastAsia="MS PGothic"/>
          <w:i/>
          <w:iCs/>
          <w:color w:val="000000"/>
          <w:kern w:val="24"/>
          <w:sz w:val="22"/>
          <w:szCs w:val="22"/>
          <w:lang w:val="pt-BR"/>
        </w:rPr>
        <w:t>online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da capacitação em </w:t>
      </w:r>
      <w:r w:rsidR="002D410E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áreas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identificadas pela avaliação de necessidades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2BF17EC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320F7320" w14:textId="4C51C12E" w:rsidR="00064733" w:rsidRPr="00E13978" w:rsidRDefault="00064733" w:rsidP="00E13978">
      <w:pPr>
        <w:numPr>
          <w:ilvl w:val="0"/>
          <w:numId w:val="20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bookmarkStart w:id="14" w:name="_Hlk94639722"/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Gu</w:t>
      </w:r>
      <w:r w:rsidR="00DA3BCC" w:rsidRPr="00E13978">
        <w:rPr>
          <w:rFonts w:eastAsia="+mn-ea"/>
          <w:color w:val="000000"/>
          <w:kern w:val="24"/>
          <w:sz w:val="22"/>
          <w:szCs w:val="22"/>
          <w:lang w:val="pt-BR"/>
        </w:rPr>
        <w:t>i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ana: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De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senvolver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entregar e promover protocolos comerciais específicos de saúde e segurança para a </w:t>
      </w:r>
      <w:r w:rsidR="00883E86" w:rsidRPr="00E13978">
        <w:rPr>
          <w:rFonts w:eastAsia="MS PGothic"/>
          <w:color w:val="000000"/>
          <w:kern w:val="24"/>
          <w:sz w:val="22"/>
          <w:szCs w:val="22"/>
          <w:lang w:val="pt-BR"/>
        </w:rPr>
        <w:t>covid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-19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e fortalecer a resiliência do setor para permitir a recuperação econômica e a reabertura segura do negócio do turismo na Guiana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bookmarkEnd w:id="14"/>
    <w:p w14:paraId="3D4AFC9F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15C04DAC" w14:textId="699A0BF2" w:rsidR="00064733" w:rsidRPr="00E13978" w:rsidRDefault="00064733" w:rsidP="00E13978">
      <w:pPr>
        <w:numPr>
          <w:ilvl w:val="0"/>
          <w:numId w:val="20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Urugua</w:t>
      </w:r>
      <w:r w:rsidR="00DA3BCC" w:rsidRPr="00E13978">
        <w:rPr>
          <w:rFonts w:eastAsia="+mn-ea"/>
          <w:color w:val="000000"/>
          <w:kern w:val="24"/>
          <w:sz w:val="22"/>
          <w:szCs w:val="22"/>
          <w:lang w:val="pt-BR"/>
        </w:rPr>
        <w:t>i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: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Ofer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ecer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um programa de treinamento intensivo virtual para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50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pessoas que adquirirão conhecimento nas principais tecnologias aplicadas ao setor de turismo e fortalecerão suas competências com base na inovação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resiliência e adaptação à mudança, a fim de apoiar a recuperação e explorar o potencial do setor de turismo do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Urugua</w:t>
      </w:r>
      <w:r w:rsidR="00DA3BCC" w:rsidRPr="00E13978">
        <w:rPr>
          <w:rFonts w:eastAsia="MS PGothic"/>
          <w:color w:val="000000"/>
          <w:kern w:val="24"/>
          <w:sz w:val="22"/>
          <w:szCs w:val="22"/>
          <w:lang w:val="pt-BR"/>
        </w:rPr>
        <w:t>i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0D70780F" w14:textId="58E273BF" w:rsidR="00064733" w:rsidRPr="00E13978" w:rsidRDefault="00064733" w:rsidP="00E13978">
      <w:pPr>
        <w:suppressAutoHyphens/>
        <w:kinsoku w:val="0"/>
        <w:overflowPunct w:val="0"/>
        <w:contextualSpacing/>
        <w:textAlignment w:val="baseline"/>
        <w:rPr>
          <w:rFonts w:eastAsia="+mn-ea"/>
          <w:color w:val="000000"/>
          <w:kern w:val="24"/>
          <w:sz w:val="22"/>
          <w:szCs w:val="22"/>
          <w:lang w:val="pt-BR"/>
        </w:rPr>
      </w:pPr>
    </w:p>
    <w:p w14:paraId="2EBA903F" w14:textId="6C742FAF" w:rsidR="00064733" w:rsidRPr="00E13978" w:rsidRDefault="00064733" w:rsidP="00E13978">
      <w:pPr>
        <w:suppressAutoHyphens/>
        <w:kinsoku w:val="0"/>
        <w:overflowPunct w:val="0"/>
        <w:ind w:left="720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Program</w:t>
      </w:r>
      <w:r w:rsidR="00DA3BC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 III: </w:t>
      </w:r>
      <w:r w:rsidR="00DA3BCC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Inovação científica e tecnológica para a construção de resiliência </w:t>
      </w:r>
    </w:p>
    <w:p w14:paraId="4190EF8F" w14:textId="317A4C24" w:rsidR="00E24711" w:rsidRPr="00E13978" w:rsidRDefault="00064733" w:rsidP="00E13978">
      <w:pPr>
        <w:numPr>
          <w:ilvl w:val="0"/>
          <w:numId w:val="21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Argentina</w:t>
      </w:r>
      <w:r w:rsidR="00FA37D9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: Promover a vinculação e a transferência de tecnologia para aumentar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a autonomia da saúde, mediante o uso de capacidade instalada e geração de tecnologia para estudar as repercussões neurocognitivas pós-</w:t>
      </w:r>
      <w:r w:rsidR="00883E86" w:rsidRPr="00E13978">
        <w:rPr>
          <w:rFonts w:eastAsia="MS PGothic"/>
          <w:color w:val="000000"/>
          <w:kern w:val="24"/>
          <w:sz w:val="22"/>
          <w:szCs w:val="22"/>
          <w:lang w:val="pt-BR"/>
        </w:rPr>
        <w:t>covid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63C8E96" w14:textId="6B8969B0" w:rsidR="00064733" w:rsidRPr="00E13978" w:rsidRDefault="00064733" w:rsidP="00E13978">
      <w:pPr>
        <w:suppressAutoHyphens/>
        <w:jc w:val="both"/>
        <w:rPr>
          <w:sz w:val="22"/>
          <w:szCs w:val="22"/>
          <w:lang w:val="pt-BR"/>
        </w:rPr>
      </w:pPr>
    </w:p>
    <w:p w14:paraId="1C36F832" w14:textId="71370FCC" w:rsidR="00064733" w:rsidRPr="00E13978" w:rsidRDefault="00064733" w:rsidP="00E13978">
      <w:pPr>
        <w:numPr>
          <w:ilvl w:val="0"/>
          <w:numId w:val="21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Barbados: </w:t>
      </w:r>
      <w:r w:rsidR="00FA37D9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Prestar apoio à inovação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local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mediante o desenvolvimento de um ambiente de política acolhedor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inclusive de monitoramento e avaliação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83CC5EF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03DC58A1" w14:textId="175707E2" w:rsidR="00064733" w:rsidRPr="00E13978" w:rsidRDefault="00064733" w:rsidP="00E13978">
      <w:pPr>
        <w:numPr>
          <w:ilvl w:val="0"/>
          <w:numId w:val="21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Costa Rica: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Possibilitar acesso a espaços tecnológicos e de inovação à população, a fim de desenvolver capacidade, conhecimento e competências relacionadas à indústria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4.0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, com vistas a impulsionar o uso produtivo e significativo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tecnologias digitais para o alcance 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um desenvolvimento mais sustentável social e econômico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D02F888" w14:textId="77777777" w:rsidR="00E24711" w:rsidRPr="00E13978" w:rsidRDefault="00E24711" w:rsidP="00E13978">
      <w:pPr>
        <w:suppressAutoHyphens/>
        <w:jc w:val="both"/>
        <w:rPr>
          <w:sz w:val="22"/>
          <w:szCs w:val="22"/>
          <w:lang w:val="pt-BR"/>
        </w:rPr>
      </w:pPr>
    </w:p>
    <w:p w14:paraId="3740D063" w14:textId="5BA2A512" w:rsidR="00064733" w:rsidRPr="00E13978" w:rsidRDefault="00064733" w:rsidP="00E13978">
      <w:pPr>
        <w:numPr>
          <w:ilvl w:val="0"/>
          <w:numId w:val="21"/>
        </w:numPr>
        <w:suppressAutoHyphens/>
        <w:ind w:left="1440" w:hanging="720"/>
        <w:jc w:val="both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lastRenderedPageBreak/>
        <w:t>El Salvador: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Fortalecer a capacidade de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30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>mulheres e jovens, por meio d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>e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inovaç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>ões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tecnológica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>s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juntamente com assistência técnica para melhorar a resiliência em seus sistemas produtivos, mediante o fortalecimento da segurança alimentar em </w:t>
      </w:r>
      <w:r w:rsidR="002D410E" w:rsidRPr="00E13978">
        <w:rPr>
          <w:rFonts w:eastAsia="MS PGothic"/>
          <w:color w:val="000000"/>
          <w:kern w:val="24"/>
          <w:sz w:val="22"/>
          <w:szCs w:val="22"/>
          <w:lang w:val="pt-BR"/>
        </w:rPr>
        <w:t>áreas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FA37D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com os maiores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efeitos climáticos territoriais nas municipalidades de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Jucuaran, Chinameca, Sesori, San Luis de la Reina, Nueva Esparta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>e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El Carmen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28E5E33E" w14:textId="77777777" w:rsidR="00E24711" w:rsidRPr="00E13978" w:rsidRDefault="00E24711" w:rsidP="003A4755">
      <w:pPr>
        <w:pStyle w:val="ListParagraph"/>
        <w:suppressAutoHyphens/>
        <w:ind w:left="0"/>
        <w:rPr>
          <w:sz w:val="22"/>
          <w:szCs w:val="22"/>
          <w:lang w:val="pt-BR"/>
        </w:rPr>
      </w:pPr>
    </w:p>
    <w:p w14:paraId="4C872CC6" w14:textId="06D75E7C" w:rsidR="00064733" w:rsidRPr="00E13978" w:rsidRDefault="00064733" w:rsidP="00E13978">
      <w:pPr>
        <w:numPr>
          <w:ilvl w:val="0"/>
          <w:numId w:val="21"/>
        </w:numPr>
        <w:suppressAutoHyphens/>
        <w:ind w:left="1440" w:hanging="720"/>
        <w:contextualSpacing/>
        <w:jc w:val="both"/>
        <w:textAlignment w:val="baseline"/>
        <w:rPr>
          <w:rFonts w:eastAsia="Calibri"/>
          <w:sz w:val="22"/>
          <w:szCs w:val="22"/>
          <w:lang w:val="pt-BR"/>
        </w:rPr>
      </w:pP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Peru: i)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Fortalecer a capacidade dos jovens em ciência, tecnologia, inovação e empreendedorismo, a fim de promover a inclusão da população vulnerável e garantir a preparação para a indústria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4.0.; ii)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Promover o acesso 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>o intercâmbio de conhecimento em C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TI+e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>, com a participação dos principais atores do ecossistema de CTI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para apoiar o processo de recuperação da educação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p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>ó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s-</w:t>
      </w:r>
      <w:r w:rsidR="00883E86" w:rsidRPr="00E13978">
        <w:rPr>
          <w:rFonts w:eastAsia="MS PGothic"/>
          <w:color w:val="000000"/>
          <w:kern w:val="24"/>
          <w:sz w:val="22"/>
          <w:szCs w:val="22"/>
          <w:lang w:val="pt-BR"/>
        </w:rPr>
        <w:t>covid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19</w:t>
      </w:r>
      <w:r w:rsidR="00E24711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78CD745A" w14:textId="1733B9BC" w:rsidR="00E91290" w:rsidRPr="00E13978" w:rsidRDefault="00E91290" w:rsidP="00E13978">
      <w:pPr>
        <w:suppressAutoHyphens/>
        <w:kinsoku w:val="0"/>
        <w:overflowPunct w:val="0"/>
        <w:contextualSpacing/>
        <w:textAlignment w:val="baseline"/>
        <w:rPr>
          <w:sz w:val="22"/>
          <w:szCs w:val="22"/>
          <w:lang w:val="pt-BR"/>
        </w:rPr>
      </w:pPr>
    </w:p>
    <w:p w14:paraId="7CF5AB62" w14:textId="44CAEFEC" w:rsidR="00064733" w:rsidRPr="00E13978" w:rsidRDefault="00064733" w:rsidP="00E13978">
      <w:pPr>
        <w:suppressAutoHyphens/>
        <w:kinsoku w:val="0"/>
        <w:overflowPunct w:val="0"/>
        <w:ind w:left="720"/>
        <w:textAlignment w:val="baseline"/>
        <w:rPr>
          <w:sz w:val="22"/>
          <w:szCs w:val="22"/>
          <w:lang w:val="pt-BR"/>
        </w:rPr>
      </w:pP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Program</w:t>
      </w:r>
      <w:r w:rsidR="00A81A09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 xml:space="preserve"> IV: </w:t>
      </w:r>
      <w:r w:rsidR="00A81A09" w:rsidRPr="00E13978">
        <w:rPr>
          <w:rFonts w:eastAsia="+mn-ea"/>
          <w:b/>
          <w:bCs/>
          <w:color w:val="000000"/>
          <w:kern w:val="24"/>
          <w:sz w:val="22"/>
          <w:szCs w:val="22"/>
          <w:lang w:val="pt-BR"/>
        </w:rPr>
        <w:t>Ciência para a tomada de decisão no planejamento do risco de desastres</w:t>
      </w:r>
    </w:p>
    <w:p w14:paraId="77BCD731" w14:textId="6D5E46AF" w:rsidR="00064733" w:rsidRPr="00E13978" w:rsidRDefault="00064733" w:rsidP="00E13978">
      <w:pPr>
        <w:numPr>
          <w:ilvl w:val="0"/>
          <w:numId w:val="18"/>
        </w:numPr>
        <w:tabs>
          <w:tab w:val="clear" w:pos="720"/>
        </w:tabs>
        <w:suppressAutoHyphens/>
        <w:kinsoku w:val="0"/>
        <w:overflowPunct w:val="0"/>
        <w:ind w:left="1440" w:hanging="720"/>
        <w:contextualSpacing/>
        <w:jc w:val="both"/>
        <w:textAlignment w:val="baseline"/>
        <w:rPr>
          <w:sz w:val="22"/>
          <w:szCs w:val="22"/>
          <w:lang w:val="pt-BR"/>
        </w:rPr>
      </w:pPr>
      <w:bookmarkStart w:id="15" w:name="_Hlk94640173"/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Bahamas: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Desenvolver conforto e confiança nos dados científicos para a avaliação </w:t>
      </w:r>
      <w:r w:rsidR="006F798D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e gestão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do risco de desastres, inclusive planejamento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.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Os dados incluem banco de dados 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GIS,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dados meteorológicos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,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atualização de riscos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/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tempestades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,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eventos históricos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,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análises socioeconômicas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 xml:space="preserve">, </w:t>
      </w:r>
      <w:r w:rsidR="00A81A09" w:rsidRPr="00E13978">
        <w:rPr>
          <w:rFonts w:eastAsia="+mn-ea"/>
          <w:color w:val="000000"/>
          <w:kern w:val="24"/>
          <w:sz w:val="22"/>
          <w:szCs w:val="22"/>
          <w:lang w:val="pt-BR"/>
        </w:rPr>
        <w:t>lições aprendidas, análises de gestão de desastres e mais</w:t>
      </w:r>
      <w:r w:rsidRPr="00E13978">
        <w:rPr>
          <w:rFonts w:eastAsia="+mn-ea"/>
          <w:color w:val="000000"/>
          <w:kern w:val="24"/>
          <w:sz w:val="22"/>
          <w:szCs w:val="22"/>
          <w:lang w:val="pt-BR"/>
        </w:rPr>
        <w:t>.</w:t>
      </w:r>
    </w:p>
    <w:bookmarkEnd w:id="11"/>
    <w:bookmarkEnd w:id="15"/>
    <w:p w14:paraId="691F1632" w14:textId="77777777" w:rsidR="009B2F1B" w:rsidRPr="00E13978" w:rsidRDefault="009B2F1B" w:rsidP="00E13978">
      <w:pPr>
        <w:suppressAutoHyphens/>
        <w:jc w:val="both"/>
        <w:rPr>
          <w:rFonts w:eastAsia="Calibri"/>
          <w:color w:val="000000" w:themeColor="text1"/>
          <w:sz w:val="22"/>
          <w:szCs w:val="22"/>
          <w:lang w:val="pt-BR"/>
        </w:rPr>
      </w:pPr>
    </w:p>
    <w:p w14:paraId="59EABC01" w14:textId="1BF4FA15" w:rsidR="00064733" w:rsidRPr="00E13978" w:rsidRDefault="00A81A09" w:rsidP="00E13978">
      <w:pPr>
        <w:suppressAutoHyphens/>
        <w:jc w:val="both"/>
        <w:rPr>
          <w:rFonts w:eastAsia="Calibri"/>
          <w:b/>
          <w:sz w:val="22"/>
          <w:szCs w:val="22"/>
          <w:lang w:val="pt-BR"/>
        </w:rPr>
      </w:pPr>
      <w:r w:rsidRPr="00E13978">
        <w:rPr>
          <w:rFonts w:eastAsia="Calibri"/>
          <w:b/>
          <w:sz w:val="22"/>
          <w:szCs w:val="22"/>
          <w:lang w:val="pt-BR"/>
        </w:rPr>
        <w:t xml:space="preserve">Rede </w:t>
      </w:r>
      <w:r w:rsidR="00064733" w:rsidRPr="00E13978">
        <w:rPr>
          <w:rFonts w:eastAsia="Calibri"/>
          <w:b/>
          <w:sz w:val="22"/>
          <w:szCs w:val="22"/>
          <w:lang w:val="pt-BR"/>
        </w:rPr>
        <w:t>Inter</w:t>
      </w:r>
      <w:r w:rsidRPr="00E13978">
        <w:rPr>
          <w:rFonts w:eastAsia="Calibri"/>
          <w:b/>
          <w:sz w:val="22"/>
          <w:szCs w:val="22"/>
          <w:lang w:val="pt-BR"/>
        </w:rPr>
        <w:t>a</w:t>
      </w:r>
      <w:r w:rsidR="00064733" w:rsidRPr="00E13978">
        <w:rPr>
          <w:rFonts w:eastAsia="Calibri"/>
          <w:b/>
          <w:sz w:val="22"/>
          <w:szCs w:val="22"/>
          <w:lang w:val="pt-BR"/>
        </w:rPr>
        <w:t>merican</w:t>
      </w:r>
      <w:r w:rsidRPr="00E13978">
        <w:rPr>
          <w:rFonts w:eastAsia="Calibri"/>
          <w:b/>
          <w:sz w:val="22"/>
          <w:szCs w:val="22"/>
          <w:lang w:val="pt-BR"/>
        </w:rPr>
        <w:t>a</w:t>
      </w:r>
      <w:r w:rsidR="00064733" w:rsidRPr="00E13978">
        <w:rPr>
          <w:rFonts w:eastAsia="Calibri"/>
          <w:b/>
          <w:sz w:val="22"/>
          <w:szCs w:val="22"/>
          <w:lang w:val="pt-BR"/>
        </w:rPr>
        <w:t xml:space="preserve"> </w:t>
      </w:r>
      <w:r w:rsidRPr="00E13978">
        <w:rPr>
          <w:rFonts w:eastAsia="Calibri"/>
          <w:b/>
          <w:sz w:val="22"/>
          <w:szCs w:val="22"/>
          <w:lang w:val="pt-BR"/>
        </w:rPr>
        <w:t xml:space="preserve">de Cooperação </w:t>
      </w:r>
      <w:r w:rsidR="00064733" w:rsidRPr="00E13978">
        <w:rPr>
          <w:rFonts w:eastAsia="Calibri"/>
          <w:b/>
          <w:sz w:val="22"/>
          <w:szCs w:val="22"/>
          <w:lang w:val="pt-BR"/>
        </w:rPr>
        <w:t>(CooperaNet)</w:t>
      </w:r>
    </w:p>
    <w:p w14:paraId="1D3B5126" w14:textId="77777777" w:rsidR="00064733" w:rsidRPr="00E13978" w:rsidRDefault="00064733" w:rsidP="00E13978">
      <w:pPr>
        <w:suppressAutoHyphens/>
        <w:contextualSpacing/>
        <w:jc w:val="both"/>
        <w:rPr>
          <w:rFonts w:eastAsia="Calibri"/>
          <w:sz w:val="22"/>
          <w:szCs w:val="22"/>
          <w:lang w:val="pt-BR"/>
        </w:rPr>
      </w:pPr>
    </w:p>
    <w:p w14:paraId="07A4F008" w14:textId="49D1CA83" w:rsidR="00064733" w:rsidRPr="00E13978" w:rsidRDefault="00A81A09" w:rsidP="00E13978">
      <w:pPr>
        <w:suppressAutoHyphens/>
        <w:ind w:firstLine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Intercâmbios de cooperação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:</w:t>
      </w:r>
    </w:p>
    <w:p w14:paraId="5D99127C" w14:textId="08969835" w:rsidR="00064733" w:rsidRPr="00E13978" w:rsidRDefault="00064733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240 </w:t>
      </w:r>
      <w:r w:rsidR="00A81A09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ofertas e necessidades de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11 </w:t>
      </w:r>
      <w:r w:rsidR="00B013C8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Estados membros 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foram </w:t>
      </w:r>
      <w:r w:rsidR="00B013C8" w:rsidRPr="00E13978">
        <w:rPr>
          <w:rFonts w:eastAsia="MS PGothic"/>
          <w:color w:val="000000"/>
          <w:kern w:val="24"/>
          <w:sz w:val="22"/>
          <w:szCs w:val="22"/>
          <w:lang w:val="pt-BR"/>
        </w:rPr>
        <w:t>publicadas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031F5F8E" w14:textId="77777777" w:rsidR="00E24711" w:rsidRPr="00E13978" w:rsidRDefault="00E24711" w:rsidP="003A4755">
      <w:pPr>
        <w:suppressAutoHyphens/>
        <w:contextualSpacing/>
        <w:jc w:val="both"/>
        <w:rPr>
          <w:sz w:val="22"/>
          <w:szCs w:val="22"/>
          <w:lang w:val="pt-BR"/>
        </w:rPr>
      </w:pPr>
    </w:p>
    <w:p w14:paraId="546705FF" w14:textId="6331DF9D" w:rsidR="00064733" w:rsidRPr="00E13978" w:rsidRDefault="00B013C8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Ofertas adicionais decorrentes da Reunião de Autoridades de Cooperação em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2021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serão preenchidas em </w:t>
      </w:r>
      <w:r w:rsidR="00240A50" w:rsidRPr="00E13978">
        <w:rPr>
          <w:rFonts w:eastAsia="MS PGothic"/>
          <w:color w:val="000000"/>
          <w:kern w:val="24"/>
          <w:sz w:val="22"/>
          <w:szCs w:val="22"/>
          <w:lang w:val="pt-BR"/>
        </w:rPr>
        <w:t>colaboração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com </w:t>
      </w:r>
      <w:r w:rsidR="001F3B81" w:rsidRPr="00E13978">
        <w:rPr>
          <w:rFonts w:eastAsia="MS PGothic"/>
          <w:color w:val="000000"/>
          <w:kern w:val="24"/>
          <w:sz w:val="22"/>
          <w:szCs w:val="22"/>
          <w:lang w:val="pt-BR"/>
        </w:rPr>
        <w:t>Estados membros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e parceiros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0F5DF782" w14:textId="77777777" w:rsidR="00064733" w:rsidRPr="00E13978" w:rsidRDefault="00064733" w:rsidP="003A4755">
      <w:pPr>
        <w:suppressAutoHyphens/>
        <w:contextualSpacing/>
        <w:jc w:val="both"/>
        <w:rPr>
          <w:sz w:val="22"/>
          <w:szCs w:val="22"/>
          <w:lang w:val="pt-BR"/>
        </w:rPr>
      </w:pPr>
    </w:p>
    <w:p w14:paraId="22ECF0F9" w14:textId="22537464" w:rsidR="00064733" w:rsidRPr="00E13978" w:rsidRDefault="00B013C8" w:rsidP="00E13978">
      <w:p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Treinamento e monitoramento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:</w:t>
      </w:r>
    </w:p>
    <w:p w14:paraId="76E54384" w14:textId="518E3337" w:rsidR="00064733" w:rsidRPr="00E13978" w:rsidRDefault="00B013C8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Calibri"/>
          <w:color w:val="000000"/>
          <w:kern w:val="24"/>
          <w:sz w:val="22"/>
          <w:szCs w:val="22"/>
          <w:lang w:val="pt-BR"/>
        </w:rPr>
        <w:t xml:space="preserve">Diálogo permanente e apoio prestado aos </w:t>
      </w:r>
      <w:r w:rsidR="001F3B81" w:rsidRPr="00E13978">
        <w:rPr>
          <w:rFonts w:eastAsia="Calibri"/>
          <w:color w:val="000000"/>
          <w:kern w:val="24"/>
          <w:sz w:val="22"/>
          <w:szCs w:val="22"/>
          <w:lang w:val="pt-BR"/>
        </w:rPr>
        <w:t xml:space="preserve">Estados membros </w:t>
      </w:r>
      <w:r w:rsidRPr="00E13978">
        <w:rPr>
          <w:rFonts w:eastAsia="Calibri"/>
          <w:color w:val="000000"/>
          <w:kern w:val="24"/>
          <w:sz w:val="22"/>
          <w:szCs w:val="22"/>
          <w:lang w:val="pt-BR"/>
        </w:rPr>
        <w:t>participantes</w:t>
      </w:r>
      <w:r w:rsidR="00064733" w:rsidRPr="00E13978">
        <w:rPr>
          <w:rFonts w:eastAsia="Calibri"/>
          <w:color w:val="000000"/>
          <w:kern w:val="24"/>
          <w:sz w:val="22"/>
          <w:szCs w:val="22"/>
          <w:lang w:val="pt-BR"/>
        </w:rPr>
        <w:t>.</w:t>
      </w:r>
    </w:p>
    <w:p w14:paraId="545C0E98" w14:textId="77777777" w:rsidR="00064733" w:rsidRPr="00E13978" w:rsidRDefault="00064733" w:rsidP="003A4755">
      <w:pPr>
        <w:suppressAutoHyphens/>
        <w:contextualSpacing/>
        <w:jc w:val="both"/>
        <w:rPr>
          <w:sz w:val="22"/>
          <w:szCs w:val="22"/>
          <w:lang w:val="pt-BR"/>
        </w:rPr>
      </w:pPr>
    </w:p>
    <w:p w14:paraId="6AA8CFEF" w14:textId="01F58729" w:rsidR="00064733" w:rsidRPr="00E13978" w:rsidRDefault="00B013C8" w:rsidP="00E13978">
      <w:p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Autoridades de Cooperação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:</w:t>
      </w:r>
    </w:p>
    <w:p w14:paraId="693DE12F" w14:textId="773BC2D2" w:rsidR="00064733" w:rsidRPr="00E13978" w:rsidRDefault="00064733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P</w:t>
      </w:r>
      <w:r w:rsidR="00B013C8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erfis atualizados de acordo com as comunicações recebidas das Autoridades de </w:t>
      </w:r>
      <w:r w:rsidR="00B013C8" w:rsidRPr="003A4755">
        <w:rPr>
          <w:sz w:val="22"/>
          <w:szCs w:val="22"/>
          <w:lang w:val="pt-BR"/>
        </w:rPr>
        <w:t xml:space="preserve">Cooperação e das Missões Permanentes dos Estados </w:t>
      </w:r>
      <w:r w:rsidR="001F3B81" w:rsidRPr="003A4755">
        <w:rPr>
          <w:sz w:val="22"/>
          <w:szCs w:val="22"/>
          <w:lang w:val="pt-BR"/>
        </w:rPr>
        <w:t>membros</w:t>
      </w:r>
      <w:r w:rsidR="00586E61" w:rsidRPr="003A4755">
        <w:rPr>
          <w:sz w:val="22"/>
          <w:szCs w:val="22"/>
          <w:lang w:val="pt-BR"/>
        </w:rPr>
        <w:t xml:space="preserve"> </w:t>
      </w:r>
      <w:r w:rsidR="00B013C8" w:rsidRPr="003A4755">
        <w:rPr>
          <w:sz w:val="22"/>
          <w:szCs w:val="22"/>
          <w:lang w:val="pt-BR"/>
        </w:rPr>
        <w:t xml:space="preserve">junto à </w:t>
      </w:r>
      <w:r w:rsidR="003723DF" w:rsidRPr="003A4755">
        <w:rPr>
          <w:sz w:val="22"/>
          <w:szCs w:val="22"/>
          <w:lang w:val="pt-BR"/>
        </w:rPr>
        <w:t>OEA</w:t>
      </w:r>
      <w:r w:rsidRPr="003A4755">
        <w:rPr>
          <w:sz w:val="22"/>
          <w:szCs w:val="22"/>
          <w:lang w:val="pt-BR"/>
        </w:rPr>
        <w:t>.</w:t>
      </w:r>
    </w:p>
    <w:p w14:paraId="54EBB786" w14:textId="77777777" w:rsidR="00E24711" w:rsidRPr="00E13978" w:rsidRDefault="00E24711" w:rsidP="003A4755">
      <w:pPr>
        <w:suppressAutoHyphens/>
        <w:contextualSpacing/>
        <w:jc w:val="both"/>
        <w:rPr>
          <w:sz w:val="22"/>
          <w:szCs w:val="22"/>
          <w:lang w:val="pt-BR"/>
        </w:rPr>
      </w:pPr>
    </w:p>
    <w:p w14:paraId="05F4AE5B" w14:textId="54539C2D" w:rsidR="00064733" w:rsidRPr="00E13978" w:rsidRDefault="00B013C8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Informação atualizad</w:t>
      </w:r>
      <w:r w:rsidR="006F798D" w:rsidRPr="00E13978">
        <w:rPr>
          <w:rFonts w:eastAsia="MS PGothic"/>
          <w:color w:val="000000"/>
          <w:kern w:val="24"/>
          <w:sz w:val="22"/>
          <w:szCs w:val="22"/>
          <w:lang w:val="pt-BR"/>
        </w:rPr>
        <w:t>a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sobre as Reuniões Especializadas do 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CIDI </w:t>
      </w: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de Altas Autoridades de Cooperação de 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2018, 2019 </w:t>
      </w: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e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 2021 (</w:t>
      </w: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principais documentos, relatórios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, </w:t>
      </w: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resumo de uma página de iniciativas e oportunidades de cooperação em </w:t>
      </w:r>
      <w:r w:rsidR="002D410E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áreas</w:t>
      </w:r>
      <w:r w:rsidR="00586E61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prioritárias para recuperação</w:t>
      </w:r>
      <w:r w:rsidR="00064733" w:rsidRPr="00E13978">
        <w:rPr>
          <w:rFonts w:eastAsia="MS PGothic"/>
          <w:color w:val="000000" w:themeColor="text1"/>
          <w:kern w:val="24"/>
          <w:sz w:val="22"/>
          <w:szCs w:val="22"/>
          <w:lang w:val="pt-BR"/>
        </w:rPr>
        <w:t>, etc.)</w:t>
      </w:r>
    </w:p>
    <w:p w14:paraId="7FB01972" w14:textId="77777777" w:rsidR="00064733" w:rsidRPr="003A4755" w:rsidRDefault="00064733" w:rsidP="00E13978">
      <w:pPr>
        <w:suppressAutoHyphens/>
        <w:rPr>
          <w:sz w:val="22"/>
          <w:szCs w:val="22"/>
          <w:lang w:val="pt-BR"/>
        </w:rPr>
      </w:pPr>
    </w:p>
    <w:p w14:paraId="21CD36D5" w14:textId="262E71F9" w:rsidR="00064733" w:rsidRPr="00E13978" w:rsidRDefault="00B013C8" w:rsidP="00E13978">
      <w:pPr>
        <w:suppressAutoHyphens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  <w:bookmarkStart w:id="16" w:name="_Hlk94643677"/>
      <w:r w:rsidRPr="00E13978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 xml:space="preserve">Reunião Especializada do </w:t>
      </w:r>
      <w:r w:rsidR="008A1B96" w:rsidRPr="00E13978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 xml:space="preserve">CIDI </w:t>
      </w:r>
      <w:r w:rsidRPr="00E13978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 xml:space="preserve">de Altas Autoridades de Cooperação </w:t>
      </w:r>
    </w:p>
    <w:bookmarkEnd w:id="16"/>
    <w:p w14:paraId="711ED4D8" w14:textId="4E7BECF2" w:rsidR="00064733" w:rsidRPr="00E13978" w:rsidRDefault="00B013C8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rFonts w:eastAsia="MS PGothic"/>
          <w:color w:val="000000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A Terceira Reunião Especializada do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hyperlink r:id="rId14" w:history="1">
        <w:r w:rsidR="00064733" w:rsidRPr="00E13978">
          <w:rPr>
            <w:rFonts w:eastAsia="MS PGothic"/>
            <w:kern w:val="24"/>
            <w:sz w:val="22"/>
            <w:szCs w:val="22"/>
            <w:lang w:val="pt-BR"/>
          </w:rPr>
          <w:t xml:space="preserve"> </w:t>
        </w:r>
        <w:r w:rsidR="009B2F1B" w:rsidRPr="00E13978">
          <w:rPr>
            <w:rFonts w:eastAsia="MS PGothic"/>
            <w:kern w:val="24"/>
            <w:sz w:val="22"/>
            <w:szCs w:val="22"/>
            <w:lang w:val="pt-BR"/>
          </w:rPr>
          <w:t xml:space="preserve">CIDI </w:t>
        </w:r>
        <w:r w:rsidRPr="00E13978">
          <w:rPr>
            <w:rFonts w:eastAsia="MS PGothic"/>
            <w:kern w:val="24"/>
            <w:sz w:val="22"/>
            <w:szCs w:val="22"/>
            <w:lang w:val="pt-BR"/>
          </w:rPr>
          <w:t xml:space="preserve">de Altas Autoridades de Cooperação foi realizada virtualmente em 2 e 3 de dezembro de </w:t>
        </w:r>
      </w:hyperlink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2021: </w:t>
      </w:r>
      <w:r w:rsidR="009B2F1B"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“</w:t>
      </w:r>
      <w:r w:rsidR="00064733"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Coopera</w:t>
      </w:r>
      <w:r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ção e parcerias como motores da recuperação socioeconômica da região pós-</w:t>
      </w:r>
      <w:r w:rsidR="00883E86"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covid</w:t>
      </w:r>
      <w:r w:rsidR="00064733"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-19</w:t>
      </w:r>
      <w:r w:rsidR="009B2F1B" w:rsidRPr="00E13978">
        <w:rPr>
          <w:rFonts w:eastAsia="MS PGothic"/>
          <w:b/>
          <w:bCs/>
          <w:color w:val="000000"/>
          <w:kern w:val="24"/>
          <w:sz w:val="22"/>
          <w:szCs w:val="22"/>
          <w:lang w:val="pt-BR"/>
        </w:rPr>
        <w:t>”</w:t>
      </w:r>
      <w:r w:rsidR="009B2F1B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 reunião virtual de dois meios dias reuniu mais 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230 </w:t>
      </w:r>
      <w:r w:rsidR="00240A50" w:rsidRPr="00E13978">
        <w:rPr>
          <w:rFonts w:eastAsia="MS PGothic"/>
          <w:color w:val="000000"/>
          <w:kern w:val="24"/>
          <w:sz w:val="22"/>
          <w:szCs w:val="22"/>
          <w:lang w:val="pt-BR"/>
        </w:rPr>
        <w:t>participantes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30 </w:t>
      </w:r>
      <w:r w:rsidR="001F3B8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Estados membros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da OEA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inclusive ministros governamentais, altas autoridades de cooperação, embaixadores e outros representantes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juntamente com parceiros de diferentes setores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46D86585" w14:textId="77777777" w:rsidR="00064733" w:rsidRPr="00E13978" w:rsidRDefault="00064733" w:rsidP="003A4755">
      <w:pPr>
        <w:suppressAutoHyphens/>
        <w:contextualSpacing/>
        <w:jc w:val="both"/>
        <w:rPr>
          <w:rFonts w:eastAsia="MS PGothic"/>
          <w:color w:val="000000"/>
          <w:kern w:val="24"/>
          <w:sz w:val="22"/>
          <w:szCs w:val="22"/>
          <w:lang w:val="pt-BR"/>
        </w:rPr>
      </w:pPr>
    </w:p>
    <w:p w14:paraId="76BB6D50" w14:textId="77C6280C" w:rsidR="00064733" w:rsidRPr="00E13978" w:rsidRDefault="00064733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rFonts w:eastAsia="MS PGothic"/>
          <w:color w:val="000000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Dur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ante a reunião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, representa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ntes de mais de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20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Estados membros da </w:t>
      </w:r>
      <w:r w:rsidR="003723DF" w:rsidRPr="00E13978">
        <w:rPr>
          <w:rFonts w:eastAsia="MS PGothic"/>
          <w:color w:val="000000"/>
          <w:kern w:val="24"/>
          <w:sz w:val="22"/>
          <w:szCs w:val="22"/>
          <w:lang w:val="pt-BR"/>
        </w:rPr>
        <w:t>OEA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apresentaram ofertas concretas de cooperação ou identificaram áreas em que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lastRenderedPageBreak/>
        <w:t>necessitariam mais assistência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.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Além disso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novas contribuições financeiras foram anunciadas pelos Estados Unidos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($500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mil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)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Brasil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($200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mil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)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para poio às iniciativas de cooperação da região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0F5D99A4" w14:textId="77777777" w:rsidR="00064733" w:rsidRPr="00E13978" w:rsidRDefault="00064733" w:rsidP="003A4755">
      <w:pPr>
        <w:suppressAutoHyphens/>
        <w:contextualSpacing/>
        <w:jc w:val="both"/>
        <w:rPr>
          <w:rFonts w:eastAsia="MS PGothic"/>
          <w:color w:val="000000"/>
          <w:kern w:val="24"/>
          <w:sz w:val="22"/>
          <w:szCs w:val="22"/>
          <w:lang w:val="pt-BR"/>
        </w:rPr>
      </w:pPr>
    </w:p>
    <w:p w14:paraId="14DBDA8F" w14:textId="7195603D" w:rsidR="00064733" w:rsidRPr="00E13978" w:rsidRDefault="009F08A6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rFonts w:eastAsia="MS PGothic"/>
          <w:color w:val="000000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Parceiros estratégicos, no total 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25,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inclusive representantes de Estados Observadores Permanentes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organizações internacionais e regionais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,</w:t>
      </w:r>
      <w:r w:rsidR="008A1B9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fundações filantrópicas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,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empresas privadas e instituições acadêmicas resumiram algumas de suas prioridades na </w:t>
      </w:r>
      <w:r w:rsidR="000E0FAF" w:rsidRPr="00E13978">
        <w:rPr>
          <w:rFonts w:eastAsia="MS PGothic"/>
          <w:color w:val="000000"/>
          <w:kern w:val="24"/>
          <w:sz w:val="22"/>
          <w:szCs w:val="22"/>
          <w:lang w:val="pt-BR"/>
        </w:rPr>
        <w:t>região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salientaram </w:t>
      </w:r>
      <w:r w:rsidR="002D410E" w:rsidRPr="00E13978">
        <w:rPr>
          <w:rFonts w:eastAsia="MS PGothic"/>
          <w:color w:val="000000"/>
          <w:kern w:val="24"/>
          <w:sz w:val="22"/>
          <w:szCs w:val="22"/>
          <w:lang w:val="pt-BR"/>
        </w:rPr>
        <w:t>áreas</w:t>
      </w:r>
      <w:r w:rsidR="00586E61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em que há potencial para colaboração com a </w:t>
      </w:r>
      <w:r w:rsidR="003723DF" w:rsidRPr="00E13978">
        <w:rPr>
          <w:rFonts w:eastAsia="MS PGothic"/>
          <w:color w:val="000000"/>
          <w:kern w:val="24"/>
          <w:sz w:val="22"/>
          <w:szCs w:val="22"/>
          <w:lang w:val="pt-BR"/>
        </w:rPr>
        <w:t>OEA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/SEDI.</w:t>
      </w:r>
      <w:r w:rsidR="008A1B9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Essas prioridades são compatíveis com as áreas programáticas da </w:t>
      </w:r>
      <w:r w:rsidR="003723DF" w:rsidRPr="00E13978">
        <w:rPr>
          <w:rFonts w:eastAsia="MS PGothic"/>
          <w:color w:val="000000"/>
          <w:kern w:val="24"/>
          <w:sz w:val="22"/>
          <w:szCs w:val="22"/>
          <w:lang w:val="pt-BR"/>
        </w:rPr>
        <w:t>OEA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/SEDI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fortalecerão a conclusão de projetos em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2022 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>e além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.</w:t>
      </w:r>
    </w:p>
    <w:p w14:paraId="515C5958" w14:textId="77777777" w:rsidR="00064733" w:rsidRPr="00E13978" w:rsidRDefault="00064733" w:rsidP="003A4755">
      <w:pPr>
        <w:suppressAutoHyphens/>
        <w:contextualSpacing/>
        <w:jc w:val="both"/>
        <w:rPr>
          <w:rFonts w:eastAsia="MS PGothic"/>
          <w:color w:val="000000"/>
          <w:kern w:val="24"/>
          <w:sz w:val="22"/>
          <w:szCs w:val="22"/>
          <w:lang w:val="pt-BR"/>
        </w:rPr>
      </w:pPr>
    </w:p>
    <w:p w14:paraId="5EDC640D" w14:textId="6F8EAE61" w:rsidR="00064733" w:rsidRPr="00E13978" w:rsidRDefault="006F798D" w:rsidP="00E13978">
      <w:pPr>
        <w:numPr>
          <w:ilvl w:val="1"/>
          <w:numId w:val="19"/>
        </w:numPr>
        <w:suppressAutoHyphens/>
        <w:ind w:left="1440" w:hanging="720"/>
        <w:contextualSpacing/>
        <w:jc w:val="both"/>
        <w:textAlignment w:val="top"/>
        <w:rPr>
          <w:rFonts w:eastAsia="MS PGothic"/>
          <w:color w:val="000000"/>
          <w:kern w:val="24"/>
          <w:sz w:val="22"/>
          <w:szCs w:val="22"/>
          <w:lang w:val="pt-BR"/>
        </w:rPr>
      </w:pP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O novo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Presid</w:t>
      </w:r>
      <w:r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ente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da Junta Diretora da Agência Interamericana de Cooperação e Desenvolvimento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(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AICD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), El Salvador,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propôs a criação de três grupos de trabalho para tornar o trabalho da AICD mais estratégico e receptivo às necessidades dos países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: (1)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processo ministerial do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CIDI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e o papel das autoridades de cooperação da </w:t>
      </w:r>
      <w:r w:rsidR="000E0FAF" w:rsidRPr="00E13978">
        <w:rPr>
          <w:rFonts w:eastAsia="MS PGothic"/>
          <w:color w:val="000000"/>
          <w:kern w:val="24"/>
          <w:sz w:val="22"/>
          <w:szCs w:val="22"/>
          <w:lang w:val="pt-BR"/>
        </w:rPr>
        <w:t>região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; (2)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financiamento da cooperação para o desenvolvimento no âmbito da </w:t>
      </w:r>
      <w:r w:rsidR="003723DF" w:rsidRPr="00E13978">
        <w:rPr>
          <w:rFonts w:eastAsia="MS PGothic"/>
          <w:color w:val="000000"/>
          <w:kern w:val="24"/>
          <w:sz w:val="22"/>
          <w:szCs w:val="22"/>
          <w:lang w:val="pt-BR"/>
        </w:rPr>
        <w:t>OEA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/SEDI;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e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 (3)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>o papel da AICD no cenário da cooperação internacional para o desenvolvimento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. </w:t>
      </w:r>
      <w:r w:rsidR="009F08A6" w:rsidRPr="00E13978">
        <w:rPr>
          <w:rFonts w:eastAsia="MS PGothic"/>
          <w:color w:val="000000"/>
          <w:kern w:val="24"/>
          <w:sz w:val="22"/>
          <w:szCs w:val="22"/>
          <w:lang w:val="pt-BR"/>
        </w:rPr>
        <w:t xml:space="preserve">Os grupos de trabalho estão abertos à participação de todos os Estados membros e serão convocados no primeiro trimestre de </w:t>
      </w:r>
      <w:r w:rsidR="00064733" w:rsidRPr="00E13978">
        <w:rPr>
          <w:rFonts w:eastAsia="MS PGothic"/>
          <w:color w:val="000000"/>
          <w:kern w:val="24"/>
          <w:sz w:val="22"/>
          <w:szCs w:val="22"/>
          <w:lang w:val="pt-BR"/>
        </w:rPr>
        <w:t>2022.</w:t>
      </w:r>
    </w:p>
    <w:p w14:paraId="47F733D1" w14:textId="77777777" w:rsidR="00064733" w:rsidRPr="003A4755" w:rsidRDefault="00064733" w:rsidP="00E13978">
      <w:pPr>
        <w:suppressAutoHyphens/>
        <w:rPr>
          <w:sz w:val="22"/>
          <w:szCs w:val="22"/>
          <w:lang w:val="pt-BR"/>
        </w:rPr>
      </w:pPr>
    </w:p>
    <w:p w14:paraId="0B65A173" w14:textId="26C33387" w:rsidR="001D0CDE" w:rsidRPr="00E13978" w:rsidRDefault="00F0089C" w:rsidP="00E510D2">
      <w:pPr>
        <w:suppressAutoHyphens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OBJETIVO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1D0CDE" w:rsidRPr="00E13978">
        <w:rPr>
          <w:b/>
          <w:bCs/>
          <w:color w:val="000000" w:themeColor="text1"/>
          <w:sz w:val="22"/>
          <w:szCs w:val="22"/>
          <w:lang w:val="pt-BR"/>
        </w:rPr>
        <w:t>6.1: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D3EB3" w:rsidRPr="00E13978">
        <w:rPr>
          <w:b/>
          <w:bCs/>
          <w:sz w:val="22"/>
          <w:szCs w:val="22"/>
          <w:lang w:val="pt-BR"/>
        </w:rPr>
        <w:t>Estimular a cooperação bilateral, sul-sul, triangular e internacional no Hemisfério</w:t>
      </w:r>
      <w:r w:rsidR="001D0CDE" w:rsidRPr="00E13978">
        <w:rPr>
          <w:b/>
          <w:color w:val="000000" w:themeColor="text1"/>
          <w:sz w:val="22"/>
          <w:szCs w:val="22"/>
          <w:lang w:val="pt-BR"/>
        </w:rPr>
        <w:t>.</w:t>
      </w:r>
    </w:p>
    <w:p w14:paraId="6B560C3D" w14:textId="77777777" w:rsidR="008A4C05" w:rsidRPr="00E13978" w:rsidRDefault="008A4C05" w:rsidP="00E13978">
      <w:pPr>
        <w:suppressAutoHyphens/>
        <w:contextualSpacing/>
        <w:jc w:val="both"/>
        <w:textAlignment w:val="top"/>
        <w:rPr>
          <w:color w:val="000000" w:themeColor="text1"/>
          <w:sz w:val="22"/>
          <w:szCs w:val="22"/>
          <w:lang w:val="pt-BR"/>
        </w:rPr>
      </w:pPr>
    </w:p>
    <w:p w14:paraId="5387FDF1" w14:textId="644843F5" w:rsidR="001D0CDE" w:rsidRPr="00E13978" w:rsidRDefault="004D733A" w:rsidP="00E13978">
      <w:pPr>
        <w:suppressAutoHyphens/>
        <w:ind w:firstLine="720"/>
        <w:contextualSpacing/>
        <w:jc w:val="both"/>
        <w:textAlignment w:val="top"/>
        <w:rPr>
          <w:b/>
          <w:bCs/>
          <w:color w:val="000000" w:themeColor="text1"/>
          <w:sz w:val="22"/>
          <w:szCs w:val="22"/>
          <w:lang w:val="pt-BR"/>
        </w:rPr>
      </w:pPr>
      <w:r w:rsidRPr="00E13978">
        <w:rPr>
          <w:b/>
          <w:bCs/>
          <w:color w:val="000000" w:themeColor="text1"/>
          <w:sz w:val="22"/>
          <w:szCs w:val="22"/>
          <w:lang w:val="pt-BR"/>
        </w:rPr>
        <w:t>Secretaria</w:t>
      </w:r>
      <w:r w:rsidR="00586E61" w:rsidRPr="00E1397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D3EB3" w:rsidRPr="00E13978">
        <w:rPr>
          <w:b/>
          <w:bCs/>
          <w:color w:val="000000" w:themeColor="text1"/>
          <w:sz w:val="22"/>
          <w:szCs w:val="22"/>
          <w:lang w:val="pt-BR"/>
        </w:rPr>
        <w:t xml:space="preserve">da Comissão </w:t>
      </w:r>
      <w:r w:rsidR="001D0CDE" w:rsidRPr="00E13978">
        <w:rPr>
          <w:b/>
          <w:bCs/>
          <w:color w:val="000000" w:themeColor="text1"/>
          <w:sz w:val="22"/>
          <w:szCs w:val="22"/>
          <w:lang w:val="pt-BR"/>
        </w:rPr>
        <w:t>Inter</w:t>
      </w:r>
      <w:r w:rsidR="00BD3EB3" w:rsidRPr="00E13978">
        <w:rPr>
          <w:b/>
          <w:bCs/>
          <w:color w:val="000000" w:themeColor="text1"/>
          <w:sz w:val="22"/>
          <w:szCs w:val="22"/>
          <w:lang w:val="pt-BR"/>
        </w:rPr>
        <w:t>a</w:t>
      </w:r>
      <w:r w:rsidR="001D0CDE" w:rsidRPr="00E13978">
        <w:rPr>
          <w:b/>
          <w:bCs/>
          <w:color w:val="000000" w:themeColor="text1"/>
          <w:sz w:val="22"/>
          <w:szCs w:val="22"/>
          <w:lang w:val="pt-BR"/>
        </w:rPr>
        <w:t>merican</w:t>
      </w:r>
      <w:r w:rsidR="00BD3EB3" w:rsidRPr="00E13978">
        <w:rPr>
          <w:b/>
          <w:bCs/>
          <w:color w:val="000000" w:themeColor="text1"/>
          <w:sz w:val="22"/>
          <w:szCs w:val="22"/>
          <w:lang w:val="pt-BR"/>
        </w:rPr>
        <w:t>a de Portos</w:t>
      </w:r>
      <w:r w:rsidR="001D0CDE" w:rsidRPr="00E13978">
        <w:rPr>
          <w:b/>
          <w:bCs/>
          <w:color w:val="000000" w:themeColor="text1"/>
          <w:sz w:val="22"/>
          <w:szCs w:val="22"/>
          <w:lang w:val="pt-BR"/>
        </w:rPr>
        <w:t>:</w:t>
      </w:r>
    </w:p>
    <w:p w14:paraId="766279E6" w14:textId="76771165" w:rsidR="001D0CDE" w:rsidRPr="00E13978" w:rsidRDefault="001D0CDE" w:rsidP="00E13978">
      <w:pPr>
        <w:pStyle w:val="NoSpacing"/>
        <w:numPr>
          <w:ilvl w:val="0"/>
          <w:numId w:val="26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>Estab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eleceu dois Memorandos de Entendimento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(MoU)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>e um acordo suplementar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Graças ao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MoU,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a Administração Geral de Portos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(AGPSE)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da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Argentina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oferecerá generosamente bolsas de estudo, por meio de seu Centro Nacional de Treinamento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(CENCAPOR)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, com o objetivo de aumentar as oportunidades de capacitação oferecidas pela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CIP.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O 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s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egundo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MoU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foi assinado com a firma de consultoria marítima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Maritime Policy Bureau (MPB)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, que prestará apoio à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CIP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>mediante a criação de conteúdo de cursos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. Final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mente, o acordo suplementar foi assinado com a Autoridade Portuária Nacional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(APN)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do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Peru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para garantir a oferta de curso </w:t>
      </w:r>
      <w:r w:rsidR="00BD3EB3" w:rsidRPr="00E13978">
        <w:rPr>
          <w:rFonts w:ascii="Times New Roman" w:hAnsi="Times New Roman"/>
          <w:i/>
          <w:color w:val="000000" w:themeColor="text1"/>
          <w:lang w:val="pt-BR"/>
        </w:rPr>
        <w:t xml:space="preserve">online </w:t>
      </w:r>
      <w:r w:rsidR="00BD3EB3" w:rsidRPr="00E13978">
        <w:rPr>
          <w:rFonts w:ascii="Times New Roman" w:hAnsi="Times New Roman"/>
          <w:iCs/>
          <w:color w:val="000000" w:themeColor="text1"/>
          <w:lang w:val="pt-BR"/>
        </w:rPr>
        <w:t xml:space="preserve">em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2022.</w:t>
      </w:r>
    </w:p>
    <w:p w14:paraId="3AEB50BC" w14:textId="77777777" w:rsidR="001D0CDE" w:rsidRPr="00E13978" w:rsidRDefault="001D0CDE" w:rsidP="00E13978">
      <w:pPr>
        <w:pStyle w:val="NoSpacing"/>
        <w:suppressAutoHyphens/>
        <w:jc w:val="both"/>
        <w:rPr>
          <w:rFonts w:ascii="Times New Roman" w:hAnsi="Times New Roman"/>
          <w:iCs/>
          <w:color w:val="000000" w:themeColor="text1"/>
          <w:lang w:val="pt-BR"/>
        </w:rPr>
      </w:pPr>
    </w:p>
    <w:p w14:paraId="70851097" w14:textId="7A0AC796" w:rsidR="001D0CDE" w:rsidRPr="00E13978" w:rsidRDefault="002771F8" w:rsidP="00E13978">
      <w:pPr>
        <w:pStyle w:val="NoSpacing"/>
        <w:numPr>
          <w:ilvl w:val="0"/>
          <w:numId w:val="27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Iniciou a implementação do projeto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“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Estabelecimento de um Sistema Comunitário de Portos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(PCS)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em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Bridgetown, Barbados”,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que inclui uma avaliação logística e internacional relacionada à cadeia de abastecimento e a 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elaboração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de um roteiro de implementação com um conjunto de recomendações legais, operacionais e financeir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a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s, entre outros assuntos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3BDA57F5" w14:textId="77777777" w:rsidR="001D0CDE" w:rsidRPr="00E13978" w:rsidRDefault="001D0CDE" w:rsidP="00E13978">
      <w:pPr>
        <w:pStyle w:val="NoSpacing"/>
        <w:suppressAutoHyphens/>
        <w:jc w:val="both"/>
        <w:rPr>
          <w:rFonts w:ascii="Times New Roman" w:hAnsi="Times New Roman"/>
          <w:iCs/>
          <w:color w:val="000000" w:themeColor="text1"/>
          <w:lang w:val="pt-BR"/>
        </w:rPr>
      </w:pPr>
    </w:p>
    <w:p w14:paraId="426D2972" w14:textId="37F3A78A" w:rsidR="001D0CDE" w:rsidRPr="00E13978" w:rsidRDefault="002771F8" w:rsidP="00E13978">
      <w:pPr>
        <w:pStyle w:val="NoSpacing"/>
        <w:numPr>
          <w:ilvl w:val="0"/>
          <w:numId w:val="27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No contexto do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“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Projeto de Gestão Aperfeiçoada do Risco de Desastres para Portos do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Caribe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”,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desenvolveu um Plano Modelo Operacional de Emergência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disponível em inglês, francês, espanhol e português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Além disso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organizou o primeiro workshop </w:t>
      </w:r>
      <w:r w:rsidR="001D0CDE" w:rsidRPr="00E13978">
        <w:rPr>
          <w:rFonts w:ascii="Times New Roman" w:hAnsi="Times New Roman"/>
          <w:i/>
          <w:color w:val="000000" w:themeColor="text1"/>
          <w:lang w:val="pt-BR"/>
        </w:rPr>
        <w:t>online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 regional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sobre Gestão Aperfeiçoada do Riscos de Desastres </w:t>
      </w:r>
      <w:r w:rsidR="00133E63" w:rsidRPr="00E13978">
        <w:rPr>
          <w:rFonts w:ascii="Times New Roman" w:hAnsi="Times New Roman"/>
          <w:iCs/>
          <w:color w:val="000000" w:themeColor="text1"/>
          <w:lang w:val="pt-BR"/>
        </w:rPr>
        <w:t>para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Portos do Caribe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, benefi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ciando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30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funcionários portuários de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11 </w:t>
      </w:r>
      <w:r w:rsidR="001F3B81" w:rsidRPr="00E13978">
        <w:rPr>
          <w:rFonts w:ascii="Times New Roman" w:hAnsi="Times New Roman"/>
          <w:iCs/>
          <w:color w:val="000000" w:themeColor="text1"/>
          <w:lang w:val="pt-BR"/>
        </w:rPr>
        <w:t>Estados membros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>da OEA, além de cinco Estados não soberanos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.</w:t>
      </w:r>
    </w:p>
    <w:p w14:paraId="3C4534F8" w14:textId="77777777" w:rsidR="001D0CDE" w:rsidRPr="00E13978" w:rsidRDefault="001D0CDE" w:rsidP="00E13978">
      <w:pPr>
        <w:suppressAutoHyphens/>
        <w:rPr>
          <w:iCs/>
          <w:color w:val="000000" w:themeColor="text1"/>
          <w:sz w:val="22"/>
          <w:szCs w:val="22"/>
          <w:lang w:val="pt-BR"/>
        </w:rPr>
      </w:pPr>
    </w:p>
    <w:p w14:paraId="6B453AF5" w14:textId="3A0A0ABD" w:rsidR="00CD0228" w:rsidRPr="00E13978" w:rsidRDefault="002771F8" w:rsidP="00E13978">
      <w:pPr>
        <w:pStyle w:val="NoSpacing"/>
        <w:numPr>
          <w:ilvl w:val="0"/>
          <w:numId w:val="27"/>
        </w:numPr>
        <w:suppressAutoHyphens/>
        <w:ind w:left="1440" w:hanging="720"/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Em </w:t>
      </w:r>
      <w:r w:rsidR="00240A50" w:rsidRPr="00E13978">
        <w:rPr>
          <w:rFonts w:ascii="Times New Roman" w:hAnsi="Times New Roman"/>
          <w:iCs/>
          <w:color w:val="000000" w:themeColor="text1"/>
          <w:lang w:val="pt-BR"/>
        </w:rPr>
        <w:t>colaboração</w:t>
      </w:r>
      <w:r w:rsidR="00586E61" w:rsidRPr="00E13978">
        <w:rPr>
          <w:rFonts w:ascii="Times New Roman" w:hAnsi="Times New Roman"/>
          <w:iCs/>
          <w:color w:val="000000" w:themeColor="text1"/>
          <w:lang w:val="pt-BR"/>
        </w:rPr>
        <w:t xml:space="preserve">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com seus Membros Associados, o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Maritime Policy Bureau (MPB)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e a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Prodevelop, 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abriu um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edital</w:t>
      </w:r>
      <w:r w:rsidRPr="00E13978">
        <w:rPr>
          <w:rFonts w:ascii="Times New Roman" w:hAnsi="Times New Roman"/>
          <w:iCs/>
          <w:color w:val="000000" w:themeColor="text1"/>
          <w:lang w:val="pt-BR"/>
        </w:rPr>
        <w:t xml:space="preserve"> para candidaturas à Licença CDM do Porto de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Posidonia.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lastRenderedPageBreak/>
        <w:t>Esse convite tinha por objetivo prop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o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rcionar 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 xml:space="preserve">a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um porto ou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terminal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na </w:t>
      </w:r>
      <w:r w:rsidR="000E0FAF" w:rsidRPr="00E13978">
        <w:rPr>
          <w:rFonts w:ascii="Times New Roman" w:hAnsi="Times New Roman"/>
          <w:iCs/>
          <w:color w:val="000000" w:themeColor="text1"/>
          <w:lang w:val="pt-BR"/>
        </w:rPr>
        <w:t>região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 a oportunidade de usar, sem custos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por um período de seis meses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,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 a licença para a ferramenta CDM do Porto de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Posidonia,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entre outros benefícios, a fim de melhor</w:t>
      </w:r>
      <w:r w:rsidR="00E36F90" w:rsidRPr="00E13978">
        <w:rPr>
          <w:rFonts w:ascii="Times New Roman" w:hAnsi="Times New Roman"/>
          <w:iCs/>
          <w:color w:val="000000" w:themeColor="text1"/>
          <w:lang w:val="pt-BR"/>
        </w:rPr>
        <w:t>ar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 a tomada de decisão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os indicadores de operação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aumentar sua competitividade e impactar de maneira positiva a satisfação do cliente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,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mediante a análise do intercâmbio de informação padrão gerada no porto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. 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>O vencedor do edital foi a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 Integral Port Administration (API)</w:t>
      </w:r>
      <w:r w:rsidR="00CD0228" w:rsidRPr="00E13978">
        <w:rPr>
          <w:rFonts w:ascii="Times New Roman" w:hAnsi="Times New Roman"/>
          <w:iCs/>
          <w:color w:val="000000" w:themeColor="text1"/>
          <w:lang w:val="pt-BR"/>
        </w:rPr>
        <w:t xml:space="preserve">, de 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 xml:space="preserve">Lázaro Cárdenas, </w:t>
      </w:r>
      <w:r w:rsidR="004E0017" w:rsidRPr="00E13978">
        <w:rPr>
          <w:rFonts w:ascii="Times New Roman" w:hAnsi="Times New Roman"/>
          <w:iCs/>
          <w:color w:val="000000" w:themeColor="text1"/>
          <w:lang w:val="pt-BR"/>
        </w:rPr>
        <w:t>México</w:t>
      </w:r>
      <w:r w:rsidR="001D0CDE" w:rsidRPr="00E13978">
        <w:rPr>
          <w:rFonts w:ascii="Times New Roman" w:hAnsi="Times New Roman"/>
          <w:iCs/>
          <w:color w:val="000000" w:themeColor="text1"/>
          <w:lang w:val="pt-BR"/>
        </w:rPr>
        <w:t>.</w:t>
      </w:r>
      <w:r w:rsidR="007E0D22">
        <w:rPr>
          <w:rFonts w:ascii="Times New Roman" w:hAnsi="Times New Roman"/>
          <w:iCs/>
          <w:noProof/>
          <w:color w:val="000000" w:themeColor="text1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4AB6F9" wp14:editId="555EF8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343B55" w14:textId="6726C6E8" w:rsidR="007E0D22" w:rsidRPr="007E0D22" w:rsidRDefault="007E0D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B6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343B55" w14:textId="6726C6E8" w:rsidR="007E0D22" w:rsidRPr="007E0D22" w:rsidRDefault="007E0D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0228" w:rsidRPr="00E13978" w:rsidSect="00E13978">
      <w:headerReference w:type="first" r:id="rId15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2F42" w14:textId="77777777" w:rsidR="00093C32" w:rsidRDefault="00093C32">
      <w:r>
        <w:separator/>
      </w:r>
    </w:p>
  </w:endnote>
  <w:endnote w:type="continuationSeparator" w:id="0">
    <w:p w14:paraId="403B1C52" w14:textId="77777777" w:rsidR="00093C32" w:rsidRDefault="0009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8C17" w14:textId="77777777" w:rsidR="00093C32" w:rsidRDefault="00093C32">
      <w:r>
        <w:separator/>
      </w:r>
    </w:p>
  </w:footnote>
  <w:footnote w:type="continuationSeparator" w:id="0">
    <w:p w14:paraId="219D360C" w14:textId="77777777" w:rsidR="00093C32" w:rsidRDefault="0009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9A87" w14:textId="77777777" w:rsidR="00B52A7F" w:rsidRPr="009C75F5" w:rsidRDefault="001373CB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>
      <w:rPr>
        <w:noProof/>
        <w:sz w:val="22"/>
        <w:szCs w:val="22"/>
      </w:rPr>
      <w:t>- 20 -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B13B" w14:textId="77777777" w:rsidR="00B52A7F" w:rsidRDefault="001373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37612" wp14:editId="121F7AD4">
              <wp:simplePos x="0" y="0"/>
              <wp:positionH relativeFrom="column">
                <wp:posOffset>382960</wp:posOffset>
              </wp:positionH>
              <wp:positionV relativeFrom="paragraph">
                <wp:posOffset>-334645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79E6B" w14:textId="2A3809F3" w:rsidR="00B52A7F" w:rsidRPr="00E316A5" w:rsidRDefault="001373C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316A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E316A5" w:rsidRPr="00E316A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316A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AMERICAN</w:t>
                          </w:r>
                          <w:r w:rsidR="00E316A5" w:rsidRPr="00E316A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OS</w:t>
                          </w:r>
                          <w:r w:rsidRPr="00E316A5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73456781" w14:textId="01D3D104" w:rsidR="00B52A7F" w:rsidRPr="00E316A5" w:rsidRDefault="00E316A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1373CB"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Inter</w:t>
                          </w:r>
                          <w:r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a</w:t>
                          </w:r>
                          <w:r w:rsidR="001373CB"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merican</w:t>
                          </w:r>
                          <w:r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o de Dese</w:t>
                          </w: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nvolvimento </w:t>
                          </w:r>
                          <w:r w:rsidR="001373CB" w:rsidRPr="00E316A5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48A0AAA3" w14:textId="77777777" w:rsidR="00B52A7F" w:rsidRPr="00EA7DE7" w:rsidRDefault="001373C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37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15pt;margin-top:-26.35pt;width:372.3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" stroked="f">
              <v:textbox>
                <w:txbxContent>
                  <w:p w14:paraId="64B79E6B" w14:textId="2A3809F3" w:rsidR="00B52A7F" w:rsidRPr="00E316A5" w:rsidRDefault="001373C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316A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E316A5" w:rsidRPr="00E316A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ESTADOS </w:t>
                    </w:r>
                    <w:r w:rsidRPr="00E316A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AMERICAN</w:t>
                    </w:r>
                    <w:r w:rsidR="00E316A5" w:rsidRPr="00E316A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OS</w:t>
                    </w:r>
                    <w:r w:rsidRPr="00E316A5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 </w:t>
                    </w:r>
                  </w:p>
                  <w:p w14:paraId="73456781" w14:textId="01D3D104" w:rsidR="00B52A7F" w:rsidRPr="00E316A5" w:rsidRDefault="00E316A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Conselho </w:t>
                    </w:r>
                    <w:r w:rsidR="001373CB"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Inter</w:t>
                    </w:r>
                    <w:r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a</w:t>
                    </w:r>
                    <w:r w:rsidR="001373CB"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merican</w:t>
                    </w:r>
                    <w:r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o de Dese</w:t>
                    </w:r>
                    <w:r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nvolvimento </w:t>
                    </w:r>
                    <w:r w:rsidR="001373CB" w:rsidRPr="00E316A5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48A0AAA3" w14:textId="77777777" w:rsidR="00B52A7F" w:rsidRPr="00EA7DE7" w:rsidRDefault="001373C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38D31" wp14:editId="164C51C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7A5C" w14:textId="77777777" w:rsidR="00B52A7F" w:rsidRDefault="001373CB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713A852" wp14:editId="282D38BE">
                                <wp:extent cx="1106805" cy="768985"/>
                                <wp:effectExtent l="0" t="0" r="0" b="0"/>
                                <wp:docPr id="1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805" cy="768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38D31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8DF7A5C" w14:textId="77777777" w:rsidR="00B52A7F" w:rsidRDefault="001373CB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713A852" wp14:editId="282D38BE">
                          <wp:extent cx="1106805" cy="768985"/>
                          <wp:effectExtent l="0" t="0" r="0" b="0"/>
                          <wp:docPr id="1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805" cy="768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8E99231" wp14:editId="039A07F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6" name="Picture 16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5EDB6" w14:textId="77777777" w:rsidR="00B52A7F" w:rsidRDefault="007E0D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3517" w14:textId="77777777" w:rsidR="00E13978" w:rsidRPr="00E13978" w:rsidRDefault="00E13978" w:rsidP="00E1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FA"/>
    <w:multiLevelType w:val="hybridMultilevel"/>
    <w:tmpl w:val="BA7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0F3"/>
    <w:multiLevelType w:val="hybridMultilevel"/>
    <w:tmpl w:val="A30221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C4E9E"/>
    <w:multiLevelType w:val="hybridMultilevel"/>
    <w:tmpl w:val="7E3682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DF51F9"/>
    <w:multiLevelType w:val="hybridMultilevel"/>
    <w:tmpl w:val="EE6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65521"/>
    <w:multiLevelType w:val="hybridMultilevel"/>
    <w:tmpl w:val="3EF8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7F9D"/>
    <w:multiLevelType w:val="hybridMultilevel"/>
    <w:tmpl w:val="064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5310"/>
    <w:multiLevelType w:val="hybridMultilevel"/>
    <w:tmpl w:val="9A3C5A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4A7E6D"/>
    <w:multiLevelType w:val="hybridMultilevel"/>
    <w:tmpl w:val="C74AE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37944"/>
    <w:multiLevelType w:val="hybridMultilevel"/>
    <w:tmpl w:val="EC1C6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37689"/>
    <w:multiLevelType w:val="hybridMultilevel"/>
    <w:tmpl w:val="DB5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78C"/>
    <w:multiLevelType w:val="hybridMultilevel"/>
    <w:tmpl w:val="1BC49CB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ADE"/>
    <w:multiLevelType w:val="hybridMultilevel"/>
    <w:tmpl w:val="5A8E8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5701A6"/>
    <w:multiLevelType w:val="hybridMultilevel"/>
    <w:tmpl w:val="DE38A1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991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2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E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63904"/>
    <w:multiLevelType w:val="hybridMultilevel"/>
    <w:tmpl w:val="AB4E5EF4"/>
    <w:lvl w:ilvl="0" w:tplc="1BE4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AE8"/>
    <w:multiLevelType w:val="hybridMultilevel"/>
    <w:tmpl w:val="1DC2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95FE1"/>
    <w:multiLevelType w:val="hybridMultilevel"/>
    <w:tmpl w:val="29A63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8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pt-BR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1474"/>
    <w:multiLevelType w:val="hybridMultilevel"/>
    <w:tmpl w:val="C8DC5212"/>
    <w:lvl w:ilvl="0" w:tplc="D88048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9E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E0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68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8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68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4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D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688E"/>
    <w:multiLevelType w:val="hybridMultilevel"/>
    <w:tmpl w:val="4A60C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11B28"/>
    <w:multiLevelType w:val="hybridMultilevel"/>
    <w:tmpl w:val="04C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10F9"/>
    <w:multiLevelType w:val="hybridMultilevel"/>
    <w:tmpl w:val="D240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93C"/>
    <w:multiLevelType w:val="hybridMultilevel"/>
    <w:tmpl w:val="70B411AC"/>
    <w:lvl w:ilvl="0" w:tplc="2A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AA8B06">
      <w:start w:val="1"/>
      <w:numFmt w:val="decimal"/>
      <w:lvlText w:val="1.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517F1"/>
    <w:multiLevelType w:val="hybridMultilevel"/>
    <w:tmpl w:val="07E40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EF6D1D"/>
    <w:multiLevelType w:val="hybridMultilevel"/>
    <w:tmpl w:val="5D3E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21D35"/>
    <w:multiLevelType w:val="multilevel"/>
    <w:tmpl w:val="F446C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BD494A"/>
    <w:multiLevelType w:val="hybridMultilevel"/>
    <w:tmpl w:val="A98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72C6"/>
    <w:multiLevelType w:val="hybridMultilevel"/>
    <w:tmpl w:val="1DDA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A604E"/>
    <w:multiLevelType w:val="hybridMultilevel"/>
    <w:tmpl w:val="B752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147FFB"/>
    <w:multiLevelType w:val="hybridMultilevel"/>
    <w:tmpl w:val="47027BA6"/>
    <w:lvl w:ilvl="0" w:tplc="0424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2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7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A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0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6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8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AD39D8"/>
    <w:multiLevelType w:val="hybridMultilevel"/>
    <w:tmpl w:val="AAE83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068E1"/>
    <w:multiLevelType w:val="multilevel"/>
    <w:tmpl w:val="B24ED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 w15:restartNumberingAfterBreak="0">
    <w:nsid w:val="5E177146"/>
    <w:multiLevelType w:val="hybridMultilevel"/>
    <w:tmpl w:val="49409736"/>
    <w:lvl w:ilvl="0" w:tplc="85B6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3517"/>
    <w:multiLevelType w:val="hybridMultilevel"/>
    <w:tmpl w:val="2E4E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387217"/>
    <w:multiLevelType w:val="multilevel"/>
    <w:tmpl w:val="35CE9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C57900"/>
    <w:multiLevelType w:val="hybridMultilevel"/>
    <w:tmpl w:val="7A4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F5C89"/>
    <w:multiLevelType w:val="hybridMultilevel"/>
    <w:tmpl w:val="ACF247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9280F"/>
    <w:multiLevelType w:val="hybridMultilevel"/>
    <w:tmpl w:val="E3A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81D0C"/>
    <w:multiLevelType w:val="hybridMultilevel"/>
    <w:tmpl w:val="1572089A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C78"/>
    <w:multiLevelType w:val="hybridMultilevel"/>
    <w:tmpl w:val="107235B4"/>
    <w:lvl w:ilvl="0" w:tplc="2E004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403230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C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E8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20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25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66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08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B2606"/>
    <w:multiLevelType w:val="hybridMultilevel"/>
    <w:tmpl w:val="FB5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74F6F"/>
    <w:multiLevelType w:val="hybridMultilevel"/>
    <w:tmpl w:val="17E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27BF3"/>
    <w:multiLevelType w:val="hybridMultilevel"/>
    <w:tmpl w:val="C388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03371"/>
    <w:multiLevelType w:val="hybridMultilevel"/>
    <w:tmpl w:val="48288B62"/>
    <w:lvl w:ilvl="0" w:tplc="BEE868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F0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2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0D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87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4D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81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0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6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F243D"/>
    <w:multiLevelType w:val="hybridMultilevel"/>
    <w:tmpl w:val="D45A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9"/>
  </w:num>
  <w:num w:numId="4">
    <w:abstractNumId w:val="35"/>
  </w:num>
  <w:num w:numId="5">
    <w:abstractNumId w:val="10"/>
  </w:num>
  <w:num w:numId="6">
    <w:abstractNumId w:val="30"/>
  </w:num>
  <w:num w:numId="7">
    <w:abstractNumId w:val="18"/>
  </w:num>
  <w:num w:numId="8">
    <w:abstractNumId w:val="31"/>
  </w:num>
  <w:num w:numId="9">
    <w:abstractNumId w:val="25"/>
  </w:num>
  <w:num w:numId="10">
    <w:abstractNumId w:val="0"/>
  </w:num>
  <w:num w:numId="11">
    <w:abstractNumId w:val="4"/>
  </w:num>
  <w:num w:numId="12">
    <w:abstractNumId w:val="41"/>
  </w:num>
  <w:num w:numId="13">
    <w:abstractNumId w:val="16"/>
  </w:num>
  <w:num w:numId="14">
    <w:abstractNumId w:val="15"/>
  </w:num>
  <w:num w:numId="15">
    <w:abstractNumId w:val="2"/>
  </w:num>
  <w:num w:numId="16">
    <w:abstractNumId w:val="34"/>
  </w:num>
  <w:num w:numId="17">
    <w:abstractNumId w:val="12"/>
  </w:num>
  <w:num w:numId="18">
    <w:abstractNumId w:val="27"/>
  </w:num>
  <w:num w:numId="19">
    <w:abstractNumId w:val="37"/>
  </w:num>
  <w:num w:numId="20">
    <w:abstractNumId w:val="3"/>
  </w:num>
  <w:num w:numId="21">
    <w:abstractNumId w:val="5"/>
  </w:num>
  <w:num w:numId="22">
    <w:abstractNumId w:val="23"/>
  </w:num>
  <w:num w:numId="23">
    <w:abstractNumId w:val="32"/>
  </w:num>
  <w:num w:numId="24">
    <w:abstractNumId w:val="39"/>
  </w:num>
  <w:num w:numId="25">
    <w:abstractNumId w:val="9"/>
  </w:num>
  <w:num w:numId="26">
    <w:abstractNumId w:val="13"/>
  </w:num>
  <w:num w:numId="27">
    <w:abstractNumId w:val="33"/>
  </w:num>
  <w:num w:numId="28">
    <w:abstractNumId w:val="21"/>
  </w:num>
  <w:num w:numId="29">
    <w:abstractNumId w:val="22"/>
  </w:num>
  <w:num w:numId="30">
    <w:abstractNumId w:val="6"/>
  </w:num>
  <w:num w:numId="31">
    <w:abstractNumId w:val="42"/>
  </w:num>
  <w:num w:numId="32">
    <w:abstractNumId w:val="11"/>
  </w:num>
  <w:num w:numId="33">
    <w:abstractNumId w:val="7"/>
  </w:num>
  <w:num w:numId="34">
    <w:abstractNumId w:val="26"/>
  </w:num>
  <w:num w:numId="35">
    <w:abstractNumId w:val="40"/>
  </w:num>
  <w:num w:numId="36">
    <w:abstractNumId w:val="8"/>
  </w:num>
  <w:num w:numId="37">
    <w:abstractNumId w:val="28"/>
  </w:num>
  <w:num w:numId="38">
    <w:abstractNumId w:val="29"/>
  </w:num>
  <w:num w:numId="39">
    <w:abstractNumId w:val="20"/>
  </w:num>
  <w:num w:numId="40">
    <w:abstractNumId w:val="14"/>
  </w:num>
  <w:num w:numId="41">
    <w:abstractNumId w:val="17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CB"/>
    <w:rsid w:val="0000699C"/>
    <w:rsid w:val="000146CC"/>
    <w:rsid w:val="00016B1F"/>
    <w:rsid w:val="00025161"/>
    <w:rsid w:val="00025932"/>
    <w:rsid w:val="00032E85"/>
    <w:rsid w:val="0004426B"/>
    <w:rsid w:val="00064733"/>
    <w:rsid w:val="000819C1"/>
    <w:rsid w:val="00093C32"/>
    <w:rsid w:val="00095994"/>
    <w:rsid w:val="000A5760"/>
    <w:rsid w:val="000B2177"/>
    <w:rsid w:val="000B5EB9"/>
    <w:rsid w:val="000E0FAF"/>
    <w:rsid w:val="000E5135"/>
    <w:rsid w:val="000F0C09"/>
    <w:rsid w:val="001161DE"/>
    <w:rsid w:val="00121C9E"/>
    <w:rsid w:val="00133E63"/>
    <w:rsid w:val="00136317"/>
    <w:rsid w:val="001373CB"/>
    <w:rsid w:val="0015721C"/>
    <w:rsid w:val="00196DF8"/>
    <w:rsid w:val="001A2B82"/>
    <w:rsid w:val="001B11E8"/>
    <w:rsid w:val="001B3767"/>
    <w:rsid w:val="001B396E"/>
    <w:rsid w:val="001B5593"/>
    <w:rsid w:val="001D0CDE"/>
    <w:rsid w:val="001D0FF5"/>
    <w:rsid w:val="001D22F7"/>
    <w:rsid w:val="001E0139"/>
    <w:rsid w:val="001F3B81"/>
    <w:rsid w:val="00217984"/>
    <w:rsid w:val="00231F66"/>
    <w:rsid w:val="0023609E"/>
    <w:rsid w:val="00240A50"/>
    <w:rsid w:val="0027200B"/>
    <w:rsid w:val="00276997"/>
    <w:rsid w:val="002771F8"/>
    <w:rsid w:val="00283E52"/>
    <w:rsid w:val="00287000"/>
    <w:rsid w:val="0029479B"/>
    <w:rsid w:val="002A10E1"/>
    <w:rsid w:val="002C5C5A"/>
    <w:rsid w:val="002D410E"/>
    <w:rsid w:val="002E5C35"/>
    <w:rsid w:val="003064FC"/>
    <w:rsid w:val="00341DB0"/>
    <w:rsid w:val="00366989"/>
    <w:rsid w:val="003723DF"/>
    <w:rsid w:val="00372DB3"/>
    <w:rsid w:val="00373078"/>
    <w:rsid w:val="00380124"/>
    <w:rsid w:val="00391A8F"/>
    <w:rsid w:val="0039425D"/>
    <w:rsid w:val="00394F17"/>
    <w:rsid w:val="003A0338"/>
    <w:rsid w:val="003A4755"/>
    <w:rsid w:val="003C1CC7"/>
    <w:rsid w:val="003F1E99"/>
    <w:rsid w:val="0040637E"/>
    <w:rsid w:val="004122A8"/>
    <w:rsid w:val="00412537"/>
    <w:rsid w:val="00430810"/>
    <w:rsid w:val="00434D2B"/>
    <w:rsid w:val="004464C8"/>
    <w:rsid w:val="0045226C"/>
    <w:rsid w:val="00491E0B"/>
    <w:rsid w:val="0049480E"/>
    <w:rsid w:val="00496483"/>
    <w:rsid w:val="004A6111"/>
    <w:rsid w:val="004A6C24"/>
    <w:rsid w:val="004B15B0"/>
    <w:rsid w:val="004D1EA2"/>
    <w:rsid w:val="004D2512"/>
    <w:rsid w:val="004D4C20"/>
    <w:rsid w:val="004D733A"/>
    <w:rsid w:val="004E0017"/>
    <w:rsid w:val="004E66BD"/>
    <w:rsid w:val="004F1626"/>
    <w:rsid w:val="004F3F7C"/>
    <w:rsid w:val="00503F5E"/>
    <w:rsid w:val="005305B4"/>
    <w:rsid w:val="00531EFA"/>
    <w:rsid w:val="00550C68"/>
    <w:rsid w:val="00564230"/>
    <w:rsid w:val="005709A9"/>
    <w:rsid w:val="00574B07"/>
    <w:rsid w:val="00577BF7"/>
    <w:rsid w:val="00584956"/>
    <w:rsid w:val="00586AAF"/>
    <w:rsid w:val="00586E61"/>
    <w:rsid w:val="005875A1"/>
    <w:rsid w:val="005A2E7B"/>
    <w:rsid w:val="005C39B7"/>
    <w:rsid w:val="005C4243"/>
    <w:rsid w:val="005C7F0B"/>
    <w:rsid w:val="005D098B"/>
    <w:rsid w:val="005D3709"/>
    <w:rsid w:val="005E1D9A"/>
    <w:rsid w:val="005E54AC"/>
    <w:rsid w:val="006123DE"/>
    <w:rsid w:val="0064235B"/>
    <w:rsid w:val="00642F0B"/>
    <w:rsid w:val="00647460"/>
    <w:rsid w:val="006503FB"/>
    <w:rsid w:val="00653D72"/>
    <w:rsid w:val="006610E4"/>
    <w:rsid w:val="00676E6E"/>
    <w:rsid w:val="006A1374"/>
    <w:rsid w:val="006A5472"/>
    <w:rsid w:val="006B7015"/>
    <w:rsid w:val="006D3A56"/>
    <w:rsid w:val="006D5876"/>
    <w:rsid w:val="006D677E"/>
    <w:rsid w:val="006F0FEE"/>
    <w:rsid w:val="006F798D"/>
    <w:rsid w:val="00703EB9"/>
    <w:rsid w:val="00731A2D"/>
    <w:rsid w:val="00734089"/>
    <w:rsid w:val="0073448C"/>
    <w:rsid w:val="00742E82"/>
    <w:rsid w:val="0076001A"/>
    <w:rsid w:val="0079546D"/>
    <w:rsid w:val="007A6768"/>
    <w:rsid w:val="007C2922"/>
    <w:rsid w:val="007D4F31"/>
    <w:rsid w:val="007E0D22"/>
    <w:rsid w:val="007F2058"/>
    <w:rsid w:val="007F5F61"/>
    <w:rsid w:val="008134CA"/>
    <w:rsid w:val="008245BF"/>
    <w:rsid w:val="00842CE1"/>
    <w:rsid w:val="00854789"/>
    <w:rsid w:val="00865237"/>
    <w:rsid w:val="00880544"/>
    <w:rsid w:val="00883E86"/>
    <w:rsid w:val="008A1B36"/>
    <w:rsid w:val="008A1B96"/>
    <w:rsid w:val="008A4C05"/>
    <w:rsid w:val="008C5956"/>
    <w:rsid w:val="008D001A"/>
    <w:rsid w:val="008D1406"/>
    <w:rsid w:val="008E5B9E"/>
    <w:rsid w:val="008E5D2F"/>
    <w:rsid w:val="00910F7F"/>
    <w:rsid w:val="009169A7"/>
    <w:rsid w:val="0092078E"/>
    <w:rsid w:val="00931259"/>
    <w:rsid w:val="00947A26"/>
    <w:rsid w:val="00960B62"/>
    <w:rsid w:val="009668C4"/>
    <w:rsid w:val="00974DE6"/>
    <w:rsid w:val="00986457"/>
    <w:rsid w:val="009B022D"/>
    <w:rsid w:val="009B13D9"/>
    <w:rsid w:val="009B2F1B"/>
    <w:rsid w:val="009B7047"/>
    <w:rsid w:val="009B75B7"/>
    <w:rsid w:val="009C7177"/>
    <w:rsid w:val="009D53EE"/>
    <w:rsid w:val="009D7539"/>
    <w:rsid w:val="009D7982"/>
    <w:rsid w:val="009E77C3"/>
    <w:rsid w:val="009F08A6"/>
    <w:rsid w:val="00A31AF6"/>
    <w:rsid w:val="00A32517"/>
    <w:rsid w:val="00A33D63"/>
    <w:rsid w:val="00A67EDC"/>
    <w:rsid w:val="00A74AE2"/>
    <w:rsid w:val="00A81A09"/>
    <w:rsid w:val="00A82866"/>
    <w:rsid w:val="00A855F7"/>
    <w:rsid w:val="00A85D2E"/>
    <w:rsid w:val="00A87F42"/>
    <w:rsid w:val="00AA7D96"/>
    <w:rsid w:val="00AC5690"/>
    <w:rsid w:val="00AF1BA3"/>
    <w:rsid w:val="00B013C8"/>
    <w:rsid w:val="00B04D8F"/>
    <w:rsid w:val="00B05A72"/>
    <w:rsid w:val="00B07764"/>
    <w:rsid w:val="00B156EF"/>
    <w:rsid w:val="00B17295"/>
    <w:rsid w:val="00B31F11"/>
    <w:rsid w:val="00B4448E"/>
    <w:rsid w:val="00B52229"/>
    <w:rsid w:val="00B64AED"/>
    <w:rsid w:val="00B7591C"/>
    <w:rsid w:val="00B82AF0"/>
    <w:rsid w:val="00BC0196"/>
    <w:rsid w:val="00BC5653"/>
    <w:rsid w:val="00BC7A08"/>
    <w:rsid w:val="00BD3EB3"/>
    <w:rsid w:val="00BE151E"/>
    <w:rsid w:val="00C10611"/>
    <w:rsid w:val="00C3554C"/>
    <w:rsid w:val="00C44FF4"/>
    <w:rsid w:val="00C55CAA"/>
    <w:rsid w:val="00C65DC0"/>
    <w:rsid w:val="00C80979"/>
    <w:rsid w:val="00C853B0"/>
    <w:rsid w:val="00CA224D"/>
    <w:rsid w:val="00CA2F71"/>
    <w:rsid w:val="00CA7994"/>
    <w:rsid w:val="00CB48F7"/>
    <w:rsid w:val="00CD0228"/>
    <w:rsid w:val="00CE102F"/>
    <w:rsid w:val="00CF0561"/>
    <w:rsid w:val="00CF21A2"/>
    <w:rsid w:val="00D2580A"/>
    <w:rsid w:val="00D272A0"/>
    <w:rsid w:val="00D34D2A"/>
    <w:rsid w:val="00D353B0"/>
    <w:rsid w:val="00D7587C"/>
    <w:rsid w:val="00D768BC"/>
    <w:rsid w:val="00D92747"/>
    <w:rsid w:val="00D92787"/>
    <w:rsid w:val="00D92D22"/>
    <w:rsid w:val="00DA3BCC"/>
    <w:rsid w:val="00DA4284"/>
    <w:rsid w:val="00DA47F1"/>
    <w:rsid w:val="00DB0133"/>
    <w:rsid w:val="00DD04C3"/>
    <w:rsid w:val="00DD590C"/>
    <w:rsid w:val="00DE782B"/>
    <w:rsid w:val="00E13978"/>
    <w:rsid w:val="00E15EA5"/>
    <w:rsid w:val="00E1776D"/>
    <w:rsid w:val="00E206EF"/>
    <w:rsid w:val="00E24711"/>
    <w:rsid w:val="00E316A5"/>
    <w:rsid w:val="00E355C1"/>
    <w:rsid w:val="00E36F90"/>
    <w:rsid w:val="00E41652"/>
    <w:rsid w:val="00E510D2"/>
    <w:rsid w:val="00E87A1E"/>
    <w:rsid w:val="00E91290"/>
    <w:rsid w:val="00EC2692"/>
    <w:rsid w:val="00ED3664"/>
    <w:rsid w:val="00EE5E22"/>
    <w:rsid w:val="00EF228F"/>
    <w:rsid w:val="00F0089C"/>
    <w:rsid w:val="00F2457C"/>
    <w:rsid w:val="00F35924"/>
    <w:rsid w:val="00F460B9"/>
    <w:rsid w:val="00F51FD9"/>
    <w:rsid w:val="00F55A1C"/>
    <w:rsid w:val="00F61CE9"/>
    <w:rsid w:val="00F724DF"/>
    <w:rsid w:val="00F7467F"/>
    <w:rsid w:val="00F76309"/>
    <w:rsid w:val="00F81EEE"/>
    <w:rsid w:val="00F842F5"/>
    <w:rsid w:val="00FA37D9"/>
    <w:rsid w:val="00FA449E"/>
    <w:rsid w:val="00FC07E8"/>
    <w:rsid w:val="00FC0CBB"/>
    <w:rsid w:val="00FD6A2D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FE1A"/>
  <w15:chartTrackingRefBased/>
  <w15:docId w15:val="{7753C5C3-8E62-4E5E-9D0A-39A9120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1373C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1373CB"/>
  </w:style>
  <w:style w:type="character" w:styleId="Hyperlink">
    <w:name w:val="Hyperlink"/>
    <w:uiPriority w:val="99"/>
    <w:rsid w:val="001373CB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373CB"/>
    <w:pPr>
      <w:ind w:left="720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73CB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373CB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1373CB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aliases w:val="Normal (Web) Char,Normal (Web) Char Char Char Char,Normal (Web) Char1 Char Char,Normal (Web) Char Char Char Char Char,Comment Reference Char,Normal (Web) Char Char1,Normal (Web) Char Char Char Char Char1"/>
    <w:uiPriority w:val="99"/>
    <w:unhideWhenUsed/>
    <w:rsid w:val="0013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3C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3CB"/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1373CB"/>
    <w:rPr>
      <w:rFonts w:eastAsia="Calibri"/>
      <w:sz w:val="24"/>
      <w:szCs w:val="24"/>
    </w:rPr>
  </w:style>
  <w:style w:type="paragraph" w:styleId="NoSpacing">
    <w:name w:val="No Spacing"/>
    <w:link w:val="NoSpacingChar"/>
    <w:uiPriority w:val="1"/>
    <w:qFormat/>
    <w:rsid w:val="0039425D"/>
    <w:rPr>
      <w:rFonts w:ascii="Calibri" w:eastAsia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uiPriority w:val="1"/>
    <w:locked/>
    <w:rsid w:val="0039425D"/>
    <w:rPr>
      <w:rFonts w:ascii="Calibri" w:eastAsia="Calibri" w:hAnsi="Calibri"/>
      <w:sz w:val="22"/>
      <w:szCs w:val="22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31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317"/>
    <w:rPr>
      <w:rFonts w:ascii="Calibri" w:eastAsia="Calibri" w:hAnsi="Calibri"/>
      <w:b/>
      <w:bCs/>
    </w:rPr>
  </w:style>
  <w:style w:type="character" w:customStyle="1" w:styleId="ts-alignment-element">
    <w:name w:val="ts-alignment-element"/>
    <w:basedOn w:val="DefaultParagraphFont"/>
    <w:rsid w:val="0000699C"/>
  </w:style>
  <w:style w:type="character" w:customStyle="1" w:styleId="ts-alignment-element-highlighted">
    <w:name w:val="ts-alignment-element-highlighted"/>
    <w:basedOn w:val="DefaultParagraphFont"/>
    <w:rsid w:val="0000699C"/>
  </w:style>
  <w:style w:type="paragraph" w:styleId="Footer">
    <w:name w:val="footer"/>
    <w:basedOn w:val="Normal"/>
    <w:link w:val="FooterChar"/>
    <w:rsid w:val="00E316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316A5"/>
  </w:style>
  <w:style w:type="character" w:styleId="Emphasis">
    <w:name w:val="Emphasis"/>
    <w:basedOn w:val="DefaultParagraphFont"/>
    <w:uiPriority w:val="20"/>
    <w:qFormat/>
    <w:rsid w:val="009E7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cm.oas.org/IDMS/Redirectpage.aspx?class=AICD/JD/DE&amp;classNum=131&amp;lang=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m.oas.org/IDMS/Redirectpage.aspx?class=AICD/JD/DE&amp;classNum=130&amp;lang=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doc.&amp;classNum=304&amp;lang=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cm.oas.org/IDMS/Redirectpage.aspx?class=AICD/JD/DE&amp;classNum=126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meansbusinessfb.com/training-hub-eng/" TargetMode="External"/><Relationship Id="rId14" Type="http://schemas.openxmlformats.org/officeDocument/2006/relationships/hyperlink" Target="https://www.oas.org/ext/en/development/cooperanet/Cooperation-Authorities/Meetings-of-Authorities.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11652</Words>
  <Characters>66420</Characters>
  <Application>Microsoft Office Word</Application>
  <DocSecurity>0</DocSecurity>
  <Lines>553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2022-03-24T18:43:00Z</dcterms:created>
  <dcterms:modified xsi:type="dcterms:W3CDTF">2022-03-24T18:45:00Z</dcterms:modified>
</cp:coreProperties>
</file>