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6F001" w14:textId="77777777" w:rsidR="001373CB" w:rsidRPr="003C15F1" w:rsidRDefault="001373CB" w:rsidP="003C15F1">
      <w:pPr>
        <w:tabs>
          <w:tab w:val="left" w:pos="7200"/>
        </w:tabs>
        <w:ind w:right="-1080"/>
        <w:jc w:val="both"/>
        <w:rPr>
          <w:color w:val="000000" w:themeColor="text1"/>
          <w:sz w:val="22"/>
          <w:szCs w:val="22"/>
          <w:lang w:val="pt-BR"/>
        </w:rPr>
      </w:pPr>
      <w:bookmarkStart w:id="0" w:name="_top"/>
      <w:bookmarkEnd w:id="0"/>
      <w:r w:rsidRPr="003C15F1">
        <w:rPr>
          <w:color w:val="000000" w:themeColor="text1"/>
          <w:sz w:val="22"/>
          <w:szCs w:val="22"/>
        </w:rPr>
        <w:tab/>
      </w:r>
      <w:r w:rsidRPr="003C15F1">
        <w:rPr>
          <w:color w:val="000000" w:themeColor="text1"/>
          <w:sz w:val="22"/>
          <w:szCs w:val="22"/>
          <w:lang w:val="pt-BR"/>
        </w:rPr>
        <w:t>OEA/Ser.W</w:t>
      </w:r>
    </w:p>
    <w:p w14:paraId="31B24E7A" w14:textId="4CCAC3EB" w:rsidR="001373CB" w:rsidRPr="003C15F1" w:rsidRDefault="001373CB" w:rsidP="003C15F1">
      <w:pPr>
        <w:tabs>
          <w:tab w:val="left" w:pos="7200"/>
        </w:tabs>
        <w:ind w:right="-1080"/>
        <w:jc w:val="both"/>
        <w:rPr>
          <w:color w:val="000000" w:themeColor="text1"/>
          <w:sz w:val="22"/>
          <w:szCs w:val="22"/>
          <w:lang w:val="pt-BR"/>
        </w:rPr>
      </w:pPr>
      <w:r w:rsidRPr="003C15F1">
        <w:rPr>
          <w:color w:val="000000" w:themeColor="text1"/>
          <w:sz w:val="22"/>
          <w:szCs w:val="22"/>
          <w:lang w:val="pt-BR"/>
        </w:rPr>
        <w:tab/>
        <w:t>CIDI/doc.</w:t>
      </w:r>
      <w:r w:rsidR="00240925">
        <w:rPr>
          <w:color w:val="000000" w:themeColor="text1"/>
          <w:sz w:val="22"/>
          <w:szCs w:val="22"/>
          <w:lang w:val="pt-BR"/>
        </w:rPr>
        <w:t xml:space="preserve"> 341</w:t>
      </w:r>
      <w:r w:rsidRPr="003C15F1">
        <w:rPr>
          <w:color w:val="000000" w:themeColor="text1"/>
          <w:sz w:val="22"/>
          <w:szCs w:val="22"/>
          <w:lang w:val="pt-BR"/>
        </w:rPr>
        <w:t>/22</w:t>
      </w:r>
      <w:r w:rsidR="00D0039D">
        <w:rPr>
          <w:color w:val="000000" w:themeColor="text1"/>
          <w:sz w:val="22"/>
          <w:szCs w:val="22"/>
          <w:lang w:val="pt-BR"/>
        </w:rPr>
        <w:t xml:space="preserve"> rev.1</w:t>
      </w:r>
    </w:p>
    <w:p w14:paraId="207963EE" w14:textId="32C3A55F" w:rsidR="001373CB" w:rsidRPr="00240925" w:rsidRDefault="001373CB" w:rsidP="003C15F1">
      <w:pPr>
        <w:tabs>
          <w:tab w:val="left" w:pos="7200"/>
        </w:tabs>
        <w:ind w:right="-1080"/>
        <w:jc w:val="both"/>
        <w:rPr>
          <w:color w:val="000000" w:themeColor="text1"/>
          <w:sz w:val="22"/>
          <w:szCs w:val="22"/>
          <w:lang w:val="es-US"/>
        </w:rPr>
      </w:pPr>
      <w:r w:rsidRPr="003C15F1">
        <w:rPr>
          <w:color w:val="000000" w:themeColor="text1"/>
          <w:sz w:val="22"/>
          <w:szCs w:val="22"/>
          <w:lang w:val="pt-BR"/>
        </w:rPr>
        <w:tab/>
      </w:r>
      <w:r w:rsidR="00D0039D">
        <w:rPr>
          <w:color w:val="000000" w:themeColor="text1"/>
          <w:sz w:val="22"/>
          <w:szCs w:val="22"/>
          <w:lang w:val="es-US"/>
        </w:rPr>
        <w:t xml:space="preserve">22 marzo </w:t>
      </w:r>
      <w:r w:rsidRPr="00240925">
        <w:rPr>
          <w:color w:val="000000" w:themeColor="text1"/>
          <w:sz w:val="22"/>
          <w:szCs w:val="22"/>
          <w:lang w:val="es-US"/>
        </w:rPr>
        <w:t>2022</w:t>
      </w:r>
    </w:p>
    <w:p w14:paraId="6BFB717B" w14:textId="1DF2D685" w:rsidR="001373CB" w:rsidRPr="003C15F1" w:rsidRDefault="001373CB" w:rsidP="003C15F1">
      <w:pPr>
        <w:tabs>
          <w:tab w:val="left" w:pos="7200"/>
        </w:tabs>
        <w:ind w:right="-1080"/>
        <w:jc w:val="both"/>
        <w:rPr>
          <w:color w:val="000000" w:themeColor="text1"/>
          <w:sz w:val="22"/>
          <w:szCs w:val="22"/>
          <w:lang w:val="es-US"/>
        </w:rPr>
      </w:pPr>
      <w:r w:rsidRPr="00240925">
        <w:rPr>
          <w:color w:val="000000" w:themeColor="text1"/>
          <w:sz w:val="22"/>
          <w:szCs w:val="22"/>
          <w:lang w:val="es-US"/>
        </w:rPr>
        <w:tab/>
      </w:r>
      <w:r w:rsidRPr="003C15F1">
        <w:rPr>
          <w:color w:val="000000" w:themeColor="text1"/>
          <w:sz w:val="22"/>
          <w:szCs w:val="22"/>
          <w:lang w:val="es-US"/>
        </w:rPr>
        <w:t xml:space="preserve">Original: </w:t>
      </w:r>
      <w:r w:rsidR="000C6360" w:rsidRPr="003C15F1">
        <w:rPr>
          <w:color w:val="000000" w:themeColor="text1"/>
          <w:sz w:val="22"/>
          <w:szCs w:val="22"/>
          <w:lang w:val="es-US"/>
        </w:rPr>
        <w:t>inglés</w:t>
      </w:r>
    </w:p>
    <w:p w14:paraId="283D7B97" w14:textId="77777777" w:rsidR="001373CB" w:rsidRPr="003C15F1" w:rsidRDefault="001373CB" w:rsidP="003C15F1">
      <w:pPr>
        <w:pBdr>
          <w:bottom w:val="single" w:sz="12" w:space="1" w:color="auto"/>
        </w:pBdr>
        <w:tabs>
          <w:tab w:val="left" w:pos="7200"/>
        </w:tabs>
        <w:ind w:right="-389"/>
        <w:jc w:val="both"/>
        <w:rPr>
          <w:color w:val="000000" w:themeColor="text1"/>
          <w:sz w:val="22"/>
          <w:szCs w:val="22"/>
          <w:lang w:val="es-US"/>
        </w:rPr>
      </w:pPr>
    </w:p>
    <w:p w14:paraId="59BB05BA" w14:textId="77777777" w:rsidR="001373CB" w:rsidRPr="003C15F1" w:rsidRDefault="001373CB" w:rsidP="003C15F1">
      <w:pPr>
        <w:tabs>
          <w:tab w:val="left" w:pos="7200"/>
        </w:tabs>
        <w:ind w:right="-1080"/>
        <w:jc w:val="center"/>
        <w:rPr>
          <w:color w:val="000000" w:themeColor="text1"/>
          <w:sz w:val="22"/>
          <w:szCs w:val="22"/>
          <w:lang w:val="es-US"/>
        </w:rPr>
      </w:pPr>
    </w:p>
    <w:p w14:paraId="76D7A169" w14:textId="77777777" w:rsidR="001373CB" w:rsidRPr="003C15F1" w:rsidRDefault="001373CB" w:rsidP="003C15F1">
      <w:pPr>
        <w:jc w:val="center"/>
        <w:rPr>
          <w:rFonts w:eastAsia="Calibri"/>
          <w:color w:val="000000" w:themeColor="text1"/>
          <w:sz w:val="22"/>
          <w:szCs w:val="22"/>
          <w:lang w:val="es-US"/>
        </w:rPr>
      </w:pPr>
    </w:p>
    <w:p w14:paraId="4958281D" w14:textId="77777777" w:rsidR="001373CB" w:rsidRPr="003C15F1" w:rsidRDefault="001373CB" w:rsidP="003C15F1">
      <w:pPr>
        <w:jc w:val="center"/>
        <w:rPr>
          <w:rFonts w:eastAsia="Calibri"/>
          <w:color w:val="000000" w:themeColor="text1"/>
          <w:sz w:val="22"/>
          <w:szCs w:val="22"/>
          <w:lang w:val="es-US"/>
        </w:rPr>
      </w:pPr>
    </w:p>
    <w:p w14:paraId="5607BAD3" w14:textId="77777777" w:rsidR="001373CB" w:rsidRPr="003C15F1" w:rsidRDefault="001373CB" w:rsidP="003C15F1">
      <w:pPr>
        <w:contextualSpacing/>
        <w:jc w:val="both"/>
        <w:rPr>
          <w:color w:val="000000" w:themeColor="text1"/>
          <w:sz w:val="22"/>
          <w:szCs w:val="22"/>
          <w:lang w:val="es-US"/>
        </w:rPr>
      </w:pPr>
    </w:p>
    <w:p w14:paraId="019705C6" w14:textId="77777777" w:rsidR="001373CB" w:rsidRPr="003C15F1" w:rsidRDefault="001373CB" w:rsidP="003C15F1">
      <w:pPr>
        <w:jc w:val="both"/>
        <w:rPr>
          <w:color w:val="000000" w:themeColor="text1"/>
          <w:sz w:val="22"/>
          <w:szCs w:val="22"/>
          <w:lang w:val="es-US"/>
        </w:rPr>
      </w:pPr>
    </w:p>
    <w:p w14:paraId="19C53D98" w14:textId="77777777" w:rsidR="001373CB" w:rsidRPr="003C15F1" w:rsidRDefault="001373CB" w:rsidP="003C15F1">
      <w:pPr>
        <w:jc w:val="both"/>
        <w:rPr>
          <w:color w:val="000000" w:themeColor="text1"/>
          <w:sz w:val="22"/>
          <w:szCs w:val="22"/>
          <w:lang w:val="es-US"/>
        </w:rPr>
      </w:pPr>
    </w:p>
    <w:p w14:paraId="3ED8C0B1" w14:textId="77777777" w:rsidR="001373CB" w:rsidRPr="003C15F1" w:rsidRDefault="001373CB" w:rsidP="003C15F1">
      <w:pPr>
        <w:jc w:val="both"/>
        <w:rPr>
          <w:color w:val="000000" w:themeColor="text1"/>
          <w:sz w:val="22"/>
          <w:szCs w:val="22"/>
          <w:lang w:val="es-US"/>
        </w:rPr>
      </w:pPr>
    </w:p>
    <w:p w14:paraId="1C652ECA" w14:textId="77777777" w:rsidR="001373CB" w:rsidRPr="003C15F1" w:rsidRDefault="001373CB" w:rsidP="003C15F1">
      <w:pPr>
        <w:jc w:val="both"/>
        <w:rPr>
          <w:color w:val="000000" w:themeColor="text1"/>
          <w:sz w:val="22"/>
          <w:szCs w:val="22"/>
          <w:lang w:val="es-US"/>
        </w:rPr>
      </w:pPr>
    </w:p>
    <w:p w14:paraId="70C0CD80" w14:textId="77777777" w:rsidR="001373CB" w:rsidRPr="003C15F1" w:rsidRDefault="001373CB" w:rsidP="003C15F1">
      <w:pPr>
        <w:jc w:val="both"/>
        <w:rPr>
          <w:color w:val="000000" w:themeColor="text1"/>
          <w:sz w:val="22"/>
          <w:szCs w:val="22"/>
          <w:lang w:val="es-US"/>
        </w:rPr>
      </w:pPr>
    </w:p>
    <w:p w14:paraId="2F98AAB3" w14:textId="77777777" w:rsidR="001373CB" w:rsidRPr="003C15F1" w:rsidRDefault="001373CB" w:rsidP="003C15F1">
      <w:pPr>
        <w:jc w:val="both"/>
        <w:rPr>
          <w:color w:val="000000" w:themeColor="text1"/>
          <w:sz w:val="22"/>
          <w:szCs w:val="22"/>
          <w:lang w:val="es-US"/>
        </w:rPr>
      </w:pPr>
    </w:p>
    <w:p w14:paraId="0ED970F8" w14:textId="77777777" w:rsidR="001373CB" w:rsidRPr="003C15F1" w:rsidRDefault="001373CB" w:rsidP="003C15F1">
      <w:pPr>
        <w:jc w:val="both"/>
        <w:rPr>
          <w:color w:val="000000" w:themeColor="text1"/>
          <w:sz w:val="22"/>
          <w:szCs w:val="22"/>
          <w:lang w:val="es-US"/>
        </w:rPr>
      </w:pPr>
    </w:p>
    <w:p w14:paraId="46CF88B3" w14:textId="77777777" w:rsidR="001373CB" w:rsidRPr="003C15F1" w:rsidRDefault="001373CB" w:rsidP="003C15F1">
      <w:pPr>
        <w:jc w:val="both"/>
        <w:rPr>
          <w:color w:val="000000" w:themeColor="text1"/>
          <w:sz w:val="22"/>
          <w:szCs w:val="22"/>
          <w:lang w:val="es-US"/>
        </w:rPr>
      </w:pPr>
    </w:p>
    <w:p w14:paraId="22BC141F" w14:textId="77777777" w:rsidR="001373CB" w:rsidRPr="003C15F1" w:rsidRDefault="001373CB" w:rsidP="003C15F1">
      <w:pPr>
        <w:jc w:val="both"/>
        <w:rPr>
          <w:color w:val="000000" w:themeColor="text1"/>
          <w:sz w:val="22"/>
          <w:szCs w:val="22"/>
          <w:lang w:val="es-US"/>
        </w:rPr>
      </w:pPr>
    </w:p>
    <w:p w14:paraId="245C9B9E" w14:textId="77777777" w:rsidR="001373CB" w:rsidRPr="003C15F1" w:rsidRDefault="001373CB" w:rsidP="003C15F1">
      <w:pPr>
        <w:rPr>
          <w:color w:val="000000" w:themeColor="text1"/>
          <w:sz w:val="22"/>
          <w:szCs w:val="22"/>
          <w:lang w:val="es-US"/>
        </w:rPr>
      </w:pPr>
    </w:p>
    <w:p w14:paraId="0FCAB246" w14:textId="2797AD92" w:rsidR="001373CB" w:rsidRPr="003C15F1" w:rsidRDefault="000C6360" w:rsidP="003C15F1">
      <w:pPr>
        <w:jc w:val="center"/>
        <w:rPr>
          <w:color w:val="000000" w:themeColor="text1"/>
          <w:sz w:val="22"/>
          <w:szCs w:val="22"/>
          <w:lang w:val="es-US"/>
        </w:rPr>
      </w:pPr>
      <w:r w:rsidRPr="003C15F1">
        <w:rPr>
          <w:color w:val="000000" w:themeColor="text1"/>
          <w:sz w:val="22"/>
          <w:szCs w:val="22"/>
          <w:lang w:val="es-US"/>
        </w:rPr>
        <w:t>INFORME ANUAL DE LA</w:t>
      </w:r>
    </w:p>
    <w:p w14:paraId="6E25F1E8" w14:textId="1FF7B7A3" w:rsidR="001373CB" w:rsidRPr="003C15F1" w:rsidRDefault="000C6360" w:rsidP="003C15F1">
      <w:pPr>
        <w:jc w:val="center"/>
        <w:rPr>
          <w:color w:val="000000" w:themeColor="text1"/>
          <w:sz w:val="22"/>
          <w:szCs w:val="22"/>
          <w:lang w:val="es-US"/>
        </w:rPr>
      </w:pPr>
      <w:r w:rsidRPr="003C15F1">
        <w:rPr>
          <w:color w:val="000000" w:themeColor="text1"/>
          <w:sz w:val="22"/>
          <w:szCs w:val="22"/>
          <w:lang w:val="es-US"/>
        </w:rPr>
        <w:t xml:space="preserve">SECRETARÍA EJECUTIVA PARA EL DESARROLLO INTEGRAL </w:t>
      </w:r>
      <w:r w:rsidR="001373CB" w:rsidRPr="003C15F1">
        <w:rPr>
          <w:color w:val="000000" w:themeColor="text1"/>
          <w:sz w:val="22"/>
          <w:szCs w:val="22"/>
          <w:lang w:val="es-US"/>
        </w:rPr>
        <w:t>(SEDI)</w:t>
      </w:r>
    </w:p>
    <w:p w14:paraId="40BE4040" w14:textId="7E715CD0" w:rsidR="001373CB" w:rsidRPr="003C15F1" w:rsidRDefault="000C6360" w:rsidP="003C15F1">
      <w:pPr>
        <w:jc w:val="center"/>
        <w:rPr>
          <w:color w:val="000000" w:themeColor="text1"/>
          <w:sz w:val="22"/>
          <w:szCs w:val="22"/>
          <w:lang w:val="es-US"/>
        </w:rPr>
      </w:pPr>
      <w:r w:rsidRPr="003C15F1">
        <w:rPr>
          <w:color w:val="000000" w:themeColor="text1"/>
          <w:sz w:val="22"/>
          <w:szCs w:val="22"/>
          <w:lang w:val="es-US"/>
        </w:rPr>
        <w:t>AL CONSEJO INTERAMERICANO PARA EL DESARROLLO INTEGRAL</w:t>
      </w:r>
      <w:r w:rsidR="001373CB" w:rsidRPr="003C15F1">
        <w:rPr>
          <w:color w:val="000000" w:themeColor="text1"/>
          <w:sz w:val="22"/>
          <w:szCs w:val="22"/>
          <w:lang w:val="es-US"/>
        </w:rPr>
        <w:t xml:space="preserve"> (CIDI)</w:t>
      </w:r>
    </w:p>
    <w:p w14:paraId="5DB3B189" w14:textId="77777777" w:rsidR="001373CB" w:rsidRPr="003C15F1" w:rsidRDefault="001373CB" w:rsidP="003C15F1">
      <w:pPr>
        <w:jc w:val="center"/>
        <w:rPr>
          <w:color w:val="000000" w:themeColor="text1"/>
          <w:sz w:val="22"/>
          <w:szCs w:val="22"/>
          <w:lang w:val="es-US"/>
        </w:rPr>
      </w:pPr>
    </w:p>
    <w:p w14:paraId="51AED040" w14:textId="7D0E4F97" w:rsidR="001373CB" w:rsidRPr="003C15F1" w:rsidRDefault="001373CB" w:rsidP="003C15F1">
      <w:pPr>
        <w:jc w:val="center"/>
        <w:rPr>
          <w:color w:val="000000" w:themeColor="text1"/>
          <w:sz w:val="22"/>
          <w:szCs w:val="22"/>
          <w:lang w:val="es-US"/>
        </w:rPr>
      </w:pPr>
      <w:r w:rsidRPr="003C15F1">
        <w:rPr>
          <w:color w:val="000000" w:themeColor="text1"/>
          <w:sz w:val="22"/>
          <w:szCs w:val="22"/>
          <w:lang w:val="es-US"/>
        </w:rPr>
        <w:t>(</w:t>
      </w:r>
      <w:r w:rsidR="000C6360" w:rsidRPr="003C15F1">
        <w:rPr>
          <w:color w:val="000000" w:themeColor="text1"/>
          <w:sz w:val="22"/>
          <w:szCs w:val="22"/>
          <w:lang w:val="es-US"/>
        </w:rPr>
        <w:t>Enero – diciembre 202</w:t>
      </w:r>
      <w:r w:rsidRPr="003C15F1">
        <w:rPr>
          <w:color w:val="000000" w:themeColor="text1"/>
          <w:sz w:val="22"/>
          <w:szCs w:val="22"/>
          <w:lang w:val="es-US"/>
        </w:rPr>
        <w:t>1)</w:t>
      </w:r>
    </w:p>
    <w:p w14:paraId="3A780E47" w14:textId="00EA7610" w:rsidR="001373CB" w:rsidRDefault="001373CB" w:rsidP="003C15F1">
      <w:pPr>
        <w:rPr>
          <w:color w:val="000000" w:themeColor="text1"/>
          <w:sz w:val="22"/>
          <w:szCs w:val="22"/>
          <w:lang w:val="es-US"/>
        </w:rPr>
      </w:pPr>
    </w:p>
    <w:p w14:paraId="3DBFE3E2" w14:textId="52D27E70" w:rsidR="00D0039D" w:rsidRPr="003C15F1" w:rsidRDefault="00D0039D" w:rsidP="00D0039D">
      <w:pPr>
        <w:jc w:val="center"/>
        <w:rPr>
          <w:color w:val="000000" w:themeColor="text1"/>
          <w:sz w:val="22"/>
          <w:szCs w:val="22"/>
          <w:lang w:val="es-US"/>
        </w:rPr>
      </w:pPr>
      <w:r>
        <w:rPr>
          <w:color w:val="000000" w:themeColor="text1"/>
          <w:sz w:val="22"/>
          <w:szCs w:val="22"/>
          <w:lang w:val="es-US"/>
        </w:rPr>
        <w:t>(Aprobado durante la reunión ordinaria celebrada el 22 de marzo de 2022)</w:t>
      </w:r>
    </w:p>
    <w:p w14:paraId="4C2EEE93" w14:textId="77777777" w:rsidR="00D272A0" w:rsidRPr="003C15F1" w:rsidRDefault="001373CB" w:rsidP="003C15F1">
      <w:pPr>
        <w:jc w:val="center"/>
        <w:rPr>
          <w:color w:val="000000" w:themeColor="text1"/>
          <w:sz w:val="22"/>
          <w:szCs w:val="22"/>
          <w:lang w:val="es-US"/>
        </w:rPr>
      </w:pPr>
      <w:bookmarkStart w:id="1" w:name="_Toc323638053"/>
      <w:bookmarkStart w:id="2" w:name="_Toc356042048"/>
      <w:r w:rsidRPr="003C15F1">
        <w:rPr>
          <w:color w:val="000000" w:themeColor="text1"/>
          <w:sz w:val="22"/>
          <w:szCs w:val="22"/>
          <w:lang w:val="es-US"/>
        </w:rPr>
        <w:br w:type="page"/>
      </w:r>
    </w:p>
    <w:p w14:paraId="0741CCFB" w14:textId="09AA7847" w:rsidR="000C6360" w:rsidRPr="003C15F1" w:rsidRDefault="000C6360" w:rsidP="003C15F1">
      <w:pPr>
        <w:jc w:val="center"/>
        <w:rPr>
          <w:color w:val="000000" w:themeColor="text1"/>
          <w:sz w:val="22"/>
          <w:szCs w:val="22"/>
          <w:lang w:val="es-US"/>
        </w:rPr>
      </w:pPr>
      <w:r w:rsidRPr="003C15F1">
        <w:rPr>
          <w:color w:val="000000" w:themeColor="text1"/>
          <w:sz w:val="22"/>
          <w:szCs w:val="22"/>
          <w:lang w:val="es-US"/>
        </w:rPr>
        <w:lastRenderedPageBreak/>
        <w:t>INFORME ANUAL DE LA</w:t>
      </w:r>
    </w:p>
    <w:p w14:paraId="02617D26" w14:textId="77777777" w:rsidR="000C6360" w:rsidRPr="003C15F1" w:rsidRDefault="000C6360" w:rsidP="003C15F1">
      <w:pPr>
        <w:jc w:val="center"/>
        <w:rPr>
          <w:color w:val="000000" w:themeColor="text1"/>
          <w:sz w:val="22"/>
          <w:szCs w:val="22"/>
          <w:lang w:val="es-US"/>
        </w:rPr>
      </w:pPr>
      <w:r w:rsidRPr="003C15F1">
        <w:rPr>
          <w:color w:val="000000" w:themeColor="text1"/>
          <w:sz w:val="22"/>
          <w:szCs w:val="22"/>
          <w:lang w:val="es-US"/>
        </w:rPr>
        <w:t>SECRETARÍA EJECUTIVA PARA EL DESARROLLO INTEGRAL (SEDI)</w:t>
      </w:r>
    </w:p>
    <w:p w14:paraId="710AD2FD" w14:textId="77777777" w:rsidR="000C6360" w:rsidRPr="003C15F1" w:rsidRDefault="000C6360" w:rsidP="003C15F1">
      <w:pPr>
        <w:jc w:val="center"/>
        <w:rPr>
          <w:color w:val="000000" w:themeColor="text1"/>
          <w:sz w:val="22"/>
          <w:szCs w:val="22"/>
          <w:lang w:val="es-US"/>
        </w:rPr>
      </w:pPr>
      <w:r w:rsidRPr="003C15F1">
        <w:rPr>
          <w:color w:val="000000" w:themeColor="text1"/>
          <w:sz w:val="22"/>
          <w:szCs w:val="22"/>
          <w:lang w:val="es-US"/>
        </w:rPr>
        <w:t>AL CONSEJO INTERAMERICANO PARA EL DESARROLLO INTEGRAL (CIDI)</w:t>
      </w:r>
    </w:p>
    <w:p w14:paraId="474D2DB3" w14:textId="77777777" w:rsidR="000C6360" w:rsidRPr="003C15F1" w:rsidRDefault="000C6360" w:rsidP="003C15F1">
      <w:pPr>
        <w:jc w:val="center"/>
        <w:rPr>
          <w:color w:val="000000" w:themeColor="text1"/>
          <w:sz w:val="22"/>
          <w:szCs w:val="22"/>
          <w:lang w:val="es-US"/>
        </w:rPr>
      </w:pPr>
    </w:p>
    <w:p w14:paraId="76DF045D" w14:textId="77777777" w:rsidR="000C6360" w:rsidRPr="003C15F1" w:rsidRDefault="000C6360" w:rsidP="003C15F1">
      <w:pPr>
        <w:jc w:val="center"/>
        <w:rPr>
          <w:color w:val="000000" w:themeColor="text1"/>
          <w:sz w:val="22"/>
          <w:szCs w:val="22"/>
        </w:rPr>
      </w:pPr>
      <w:r w:rsidRPr="003C15F1">
        <w:rPr>
          <w:color w:val="000000" w:themeColor="text1"/>
          <w:sz w:val="22"/>
          <w:szCs w:val="22"/>
        </w:rPr>
        <w:t>(</w:t>
      </w:r>
      <w:proofErr w:type="spellStart"/>
      <w:r w:rsidRPr="003C15F1">
        <w:rPr>
          <w:color w:val="000000" w:themeColor="text1"/>
          <w:sz w:val="22"/>
          <w:szCs w:val="22"/>
        </w:rPr>
        <w:t>Enero</w:t>
      </w:r>
      <w:proofErr w:type="spellEnd"/>
      <w:r w:rsidRPr="003C15F1">
        <w:rPr>
          <w:color w:val="000000" w:themeColor="text1"/>
          <w:sz w:val="22"/>
          <w:szCs w:val="22"/>
        </w:rPr>
        <w:t xml:space="preserve"> – </w:t>
      </w:r>
      <w:proofErr w:type="spellStart"/>
      <w:r w:rsidRPr="003C15F1">
        <w:rPr>
          <w:color w:val="000000" w:themeColor="text1"/>
          <w:sz w:val="22"/>
          <w:szCs w:val="22"/>
        </w:rPr>
        <w:t>diciembre</w:t>
      </w:r>
      <w:proofErr w:type="spellEnd"/>
      <w:r w:rsidRPr="003C15F1">
        <w:rPr>
          <w:color w:val="000000" w:themeColor="text1"/>
          <w:sz w:val="22"/>
          <w:szCs w:val="22"/>
        </w:rPr>
        <w:t xml:space="preserve"> 2021)</w:t>
      </w:r>
    </w:p>
    <w:p w14:paraId="110B6B52" w14:textId="77777777" w:rsidR="00D272A0" w:rsidRPr="003C15F1" w:rsidRDefault="00D272A0" w:rsidP="003C15F1">
      <w:pPr>
        <w:rPr>
          <w:color w:val="000000" w:themeColor="text1"/>
          <w:sz w:val="22"/>
          <w:szCs w:val="22"/>
        </w:rPr>
      </w:pPr>
    </w:p>
    <w:bookmarkEnd w:id="1"/>
    <w:bookmarkEnd w:id="2"/>
    <w:p w14:paraId="09B1846C" w14:textId="77777777" w:rsidR="001373CB" w:rsidRPr="003C15F1" w:rsidRDefault="001373CB" w:rsidP="003C15F1">
      <w:pPr>
        <w:jc w:val="both"/>
        <w:rPr>
          <w:color w:val="000000" w:themeColor="text1"/>
          <w:sz w:val="22"/>
          <w:szCs w:val="22"/>
        </w:rPr>
      </w:pPr>
    </w:p>
    <w:p w14:paraId="7A31DAE7" w14:textId="77F8E1FE" w:rsidR="001373CB" w:rsidRPr="003C15F1" w:rsidRDefault="001373CB" w:rsidP="003C15F1">
      <w:pPr>
        <w:rPr>
          <w:color w:val="000000" w:themeColor="text1"/>
          <w:sz w:val="22"/>
          <w:szCs w:val="22"/>
        </w:rPr>
      </w:pPr>
      <w:bookmarkStart w:id="3" w:name="_Toc353953881"/>
      <w:r w:rsidRPr="003C15F1">
        <w:rPr>
          <w:color w:val="000000" w:themeColor="text1"/>
          <w:sz w:val="22"/>
          <w:szCs w:val="22"/>
        </w:rPr>
        <w:t>INTRODUC</w:t>
      </w:r>
      <w:r w:rsidR="000C6360" w:rsidRPr="003C15F1">
        <w:rPr>
          <w:color w:val="000000" w:themeColor="text1"/>
          <w:sz w:val="22"/>
          <w:szCs w:val="22"/>
        </w:rPr>
        <w:t>CI</w:t>
      </w:r>
      <w:bookmarkEnd w:id="3"/>
      <w:r w:rsidR="000C6360" w:rsidRPr="003C15F1">
        <w:rPr>
          <w:color w:val="000000" w:themeColor="text1"/>
          <w:sz w:val="22"/>
          <w:szCs w:val="22"/>
        </w:rPr>
        <w:t>ÓN</w:t>
      </w:r>
    </w:p>
    <w:p w14:paraId="65A7CE8B" w14:textId="50C1264C" w:rsidR="001373CB" w:rsidRPr="003C15F1" w:rsidRDefault="001373CB" w:rsidP="003C15F1">
      <w:pPr>
        <w:jc w:val="both"/>
        <w:rPr>
          <w:color w:val="000000" w:themeColor="text1"/>
          <w:sz w:val="22"/>
          <w:szCs w:val="22"/>
        </w:rPr>
      </w:pPr>
    </w:p>
    <w:p w14:paraId="6C070A22" w14:textId="43DC4C42" w:rsidR="00403A8C" w:rsidRPr="003C15F1" w:rsidRDefault="00403A8C" w:rsidP="003C15F1">
      <w:pPr>
        <w:pStyle w:val="PlainText"/>
        <w:ind w:firstLine="720"/>
        <w:jc w:val="both"/>
        <w:rPr>
          <w:rFonts w:ascii="Times New Roman" w:hAnsi="Times New Roman" w:cs="Times New Roman"/>
          <w:noProof/>
          <w:sz w:val="22"/>
          <w:szCs w:val="22"/>
          <w:lang w:val="es-US"/>
        </w:rPr>
      </w:pPr>
      <w:r w:rsidRPr="003C15F1">
        <w:rPr>
          <w:rFonts w:ascii="Times New Roman" w:hAnsi="Times New Roman" w:cs="Times New Roman"/>
          <w:sz w:val="22"/>
          <w:szCs w:val="22"/>
          <w:lang w:val="es-US"/>
        </w:rPr>
        <w:t xml:space="preserve">La labor de la Secretaría Ejecutiva para el Desarrollo Integral (SEDI) de la Organización de los Estados Americanos (OEA) se rige por los principios básicos articulados en la Carta de la Organización de los Estados Americanos y la Carta Social de las Américas. La SEDI deriva sus mandatos de la Cumbre de las Américas, de la Asamblea General de la OEA y de las diversas reuniones sectoriales a nivel ministerial. El diálogo político y la cooperación técnica entre los Estados Miembros que trabajan en pro del desarrollo socioeconómico de la región son fundamentales para la labor de la SEDI.  A través de un diálogo político de alto nivel, la SEDI trabaja con los Estados Miembros para definir políticas y prioridades que consideran críticas para el alivio de la pobreza y la eliminación de la desigualdad en el </w:t>
      </w:r>
      <w:proofErr w:type="gramStart"/>
      <w:r w:rsidRPr="003C15F1">
        <w:rPr>
          <w:rFonts w:ascii="Times New Roman" w:hAnsi="Times New Roman" w:cs="Times New Roman"/>
          <w:sz w:val="22"/>
          <w:szCs w:val="22"/>
          <w:lang w:val="es-US"/>
        </w:rPr>
        <w:t>Hemisferio</w:t>
      </w:r>
      <w:proofErr w:type="gramEnd"/>
      <w:r w:rsidRPr="003C15F1">
        <w:rPr>
          <w:rFonts w:ascii="Times New Roman" w:hAnsi="Times New Roman" w:cs="Times New Roman"/>
          <w:sz w:val="22"/>
          <w:szCs w:val="22"/>
          <w:lang w:val="es-US"/>
        </w:rPr>
        <w:t>.  Los imperativos de política se traducen en programas, proyectos y actividades que se llevan a la práctica mediante esquemas asociativos y de cooperación con otras instituciones públicas y privadas, regionales e internacionales, y organizaciones de la sociedad civil, que tienen objetivos comunes.  El Plan Estratégico Integral de la OEA aprobado en 2016 encomendaba a la SEDI algunos objetivos específicos en las áreas de educación, competitividad, pequeñas y medianas empresas, trabajo, cultura, ciencia y tecnología, gestión de recursos, energía renovable y eficiencia energética, turismo y desarrollo sostenible.  Las actividades en esas esferas básicas están orientadas principalmente al desarrollo de capacidades humanas y al fortalecimiento institucional para fomentar un sólido ecosistema socioeconómico que permita la amplificación de la gobernanza democrática en cada Estado Miembro. Además, la SEDI promueve el desarrollo competitivo, seguro, sostenible e incluyente de los puertos en los Estados Miembros de la OEA.</w:t>
      </w:r>
    </w:p>
    <w:p w14:paraId="651CA892" w14:textId="3EA85288" w:rsidR="00403A8C" w:rsidRPr="003C15F1" w:rsidRDefault="00403A8C" w:rsidP="003C15F1">
      <w:pPr>
        <w:pStyle w:val="PlainText"/>
        <w:ind w:firstLine="720"/>
        <w:jc w:val="both"/>
        <w:rPr>
          <w:rFonts w:ascii="Times New Roman" w:hAnsi="Times New Roman" w:cs="Times New Roman"/>
          <w:noProof/>
          <w:sz w:val="22"/>
          <w:szCs w:val="22"/>
          <w:lang w:val="es-US"/>
        </w:rPr>
      </w:pPr>
    </w:p>
    <w:p w14:paraId="177BCA60" w14:textId="16DA6D9F" w:rsidR="00403A8C" w:rsidRPr="003C15F1" w:rsidRDefault="00403A8C" w:rsidP="003C15F1">
      <w:pPr>
        <w:pStyle w:val="PlainText"/>
        <w:ind w:firstLine="720"/>
        <w:jc w:val="both"/>
        <w:rPr>
          <w:rFonts w:ascii="Times New Roman" w:hAnsi="Times New Roman" w:cs="Times New Roman"/>
          <w:noProof/>
          <w:sz w:val="22"/>
          <w:szCs w:val="22"/>
          <w:lang w:val="es-US"/>
        </w:rPr>
      </w:pPr>
      <w:r w:rsidRPr="003C15F1">
        <w:rPr>
          <w:rFonts w:ascii="Times New Roman" w:hAnsi="Times New Roman" w:cs="Times New Roman"/>
          <w:sz w:val="22"/>
          <w:szCs w:val="22"/>
          <w:lang w:val="es-US"/>
        </w:rPr>
        <w:t xml:space="preserve">La estructura organizativa de la SEDI incluye la Oficina del </w:t>
      </w:r>
      <w:proofErr w:type="gramStart"/>
      <w:r w:rsidRPr="003C15F1">
        <w:rPr>
          <w:rFonts w:ascii="Times New Roman" w:hAnsi="Times New Roman" w:cs="Times New Roman"/>
          <w:sz w:val="22"/>
          <w:szCs w:val="22"/>
          <w:lang w:val="es-US"/>
        </w:rPr>
        <w:t>Secretario</w:t>
      </w:r>
      <w:r w:rsidR="00706CC1" w:rsidRPr="003C15F1">
        <w:rPr>
          <w:rFonts w:ascii="Times New Roman" w:hAnsi="Times New Roman" w:cs="Times New Roman"/>
          <w:sz w:val="22"/>
          <w:szCs w:val="22"/>
          <w:lang w:val="es-US"/>
        </w:rPr>
        <w:t xml:space="preserve"> </w:t>
      </w:r>
      <w:r w:rsidRPr="003C15F1">
        <w:rPr>
          <w:rFonts w:ascii="Times New Roman" w:hAnsi="Times New Roman" w:cs="Times New Roman"/>
          <w:sz w:val="22"/>
          <w:szCs w:val="22"/>
          <w:lang w:val="es-US"/>
        </w:rPr>
        <w:t>Ejecutivo</w:t>
      </w:r>
      <w:proofErr w:type="gramEnd"/>
      <w:r w:rsidRPr="003C15F1">
        <w:rPr>
          <w:rFonts w:ascii="Times New Roman" w:hAnsi="Times New Roman" w:cs="Times New Roman"/>
          <w:sz w:val="22"/>
          <w:szCs w:val="22"/>
          <w:lang w:val="es-US"/>
        </w:rPr>
        <w:t xml:space="preserve">, los departamentos de Desarrollo Humano, Educación y Empleo (DDHEE), Desarrollo Económico (DDE) y de Desarrollo Sostenible (DDS), y la Secretaría de la Comisión Interamericana de Puertos (CIP).  La SEDI también trabaja estrechamente con otras Secretarías dentro de la OEA, así como con entidades afiliadas a la OEA, como la Fundación para las Américas, el </w:t>
      </w:r>
      <w:r w:rsidRPr="003C15F1">
        <w:rPr>
          <w:rFonts w:ascii="Times New Roman" w:hAnsi="Times New Roman" w:cs="Times New Roman"/>
          <w:i/>
          <w:iCs/>
          <w:sz w:val="22"/>
          <w:szCs w:val="22"/>
          <w:lang w:val="es-US"/>
        </w:rPr>
        <w:t xml:space="preserve">Young </w:t>
      </w:r>
      <w:proofErr w:type="spellStart"/>
      <w:r w:rsidRPr="003C15F1">
        <w:rPr>
          <w:rFonts w:ascii="Times New Roman" w:hAnsi="Times New Roman" w:cs="Times New Roman"/>
          <w:i/>
          <w:iCs/>
          <w:sz w:val="22"/>
          <w:szCs w:val="22"/>
          <w:lang w:val="es-US"/>
        </w:rPr>
        <w:t>Americas</w:t>
      </w:r>
      <w:proofErr w:type="spellEnd"/>
      <w:r w:rsidRPr="003C15F1">
        <w:rPr>
          <w:rFonts w:ascii="Times New Roman" w:hAnsi="Times New Roman" w:cs="Times New Roman"/>
          <w:i/>
          <w:iCs/>
          <w:sz w:val="22"/>
          <w:szCs w:val="22"/>
          <w:lang w:val="es-US"/>
        </w:rPr>
        <w:t xml:space="preserve"> Business Trust</w:t>
      </w:r>
      <w:r w:rsidRPr="003C15F1">
        <w:rPr>
          <w:rFonts w:ascii="Times New Roman" w:hAnsi="Times New Roman" w:cs="Times New Roman"/>
          <w:sz w:val="22"/>
          <w:szCs w:val="22"/>
          <w:lang w:val="es-US"/>
        </w:rPr>
        <w:t xml:space="preserve"> (YABT) y la Fundación Panamericana para el Desarrollo (FUPAD). Además, la SEDI ha establecido alianzas con otras organizaciones internacionales y también con organizaciones de la sociedad civil, la comunidad académica y el sector privado, de conformidad con su mandato.</w:t>
      </w:r>
    </w:p>
    <w:p w14:paraId="030F767B" w14:textId="77777777" w:rsidR="00403A8C" w:rsidRPr="003C15F1" w:rsidRDefault="00403A8C" w:rsidP="003C15F1">
      <w:pPr>
        <w:jc w:val="both"/>
        <w:rPr>
          <w:noProof/>
          <w:sz w:val="22"/>
          <w:szCs w:val="22"/>
          <w:lang w:val="es-US"/>
        </w:rPr>
      </w:pPr>
    </w:p>
    <w:p w14:paraId="0341099B" w14:textId="5BD1BB3E" w:rsidR="00403A8C" w:rsidRPr="003C15F1" w:rsidRDefault="00403A8C" w:rsidP="003C15F1">
      <w:pPr>
        <w:pStyle w:val="PlainText"/>
        <w:ind w:firstLine="720"/>
        <w:jc w:val="both"/>
        <w:rPr>
          <w:rFonts w:ascii="Times New Roman" w:hAnsi="Times New Roman" w:cs="Times New Roman"/>
          <w:sz w:val="22"/>
          <w:szCs w:val="22"/>
          <w:lang w:val="es-US"/>
        </w:rPr>
      </w:pPr>
      <w:r w:rsidRPr="003C15F1">
        <w:rPr>
          <w:rFonts w:ascii="Times New Roman" w:hAnsi="Times New Roman" w:cs="Times New Roman"/>
          <w:sz w:val="22"/>
          <w:szCs w:val="22"/>
          <w:lang w:val="es-US"/>
        </w:rPr>
        <w:t xml:space="preserve">Además de ser la Secretaría del Consejo Interamericano para el Desarrollo Integral (CIDI) —que es el principal foro multilateral de diálogo sobre los desafíos al desarrollo que enfrenta la región— la SEDI brinda servicios de asesoría y asistencia técnica directa a los Estados Miembros sobre temas específicos y financia, implementa o coordina proyectos de desarrollo específicos con recursos del Fondo de Cooperación para el Desarrollo (FCD) y con recursos externos de los Estados Miembros, Estados observadores, bancos de desarrollo, el sector privado e instituciones académicas, entre otros.  El principal mandato de la SEDI, tal como se articula en la Carta de la Organización de los Estados Americanos, sigue siendo el ser un conducto para la cooperación triangular, Sur-Sur y horizontal. A través de sus numerosas redes, programas y proyectos, la SEDI facilita la transferencia de lecciones </w:t>
      </w:r>
      <w:r w:rsidRPr="003C15F1">
        <w:rPr>
          <w:rFonts w:ascii="Times New Roman" w:hAnsi="Times New Roman" w:cs="Times New Roman"/>
          <w:sz w:val="22"/>
          <w:szCs w:val="22"/>
          <w:lang w:val="es-US"/>
        </w:rPr>
        <w:lastRenderedPageBreak/>
        <w:t>aprendidas y buenas prácticas entre los Estados Miembros, en su trayectoria hacia su propio desarrollo socioeconómico.</w:t>
      </w:r>
    </w:p>
    <w:p w14:paraId="18092E57" w14:textId="77777777" w:rsidR="00403A8C" w:rsidRPr="003C15F1" w:rsidRDefault="00403A8C" w:rsidP="003C15F1">
      <w:pPr>
        <w:pStyle w:val="PlainText"/>
        <w:ind w:firstLine="720"/>
        <w:jc w:val="both"/>
        <w:rPr>
          <w:rFonts w:ascii="Times New Roman" w:hAnsi="Times New Roman" w:cs="Times New Roman"/>
          <w:noProof/>
          <w:sz w:val="22"/>
          <w:szCs w:val="22"/>
          <w:lang w:val="es-US"/>
        </w:rPr>
      </w:pPr>
    </w:p>
    <w:p w14:paraId="2977B14D" w14:textId="5CC0E02A" w:rsidR="00930BD5" w:rsidRPr="003C15F1" w:rsidRDefault="00C26985" w:rsidP="003C15F1">
      <w:pPr>
        <w:tabs>
          <w:tab w:val="left" w:pos="720"/>
          <w:tab w:val="left" w:pos="1440"/>
          <w:tab w:val="left" w:pos="9270"/>
        </w:tabs>
        <w:jc w:val="both"/>
        <w:rPr>
          <w:sz w:val="22"/>
          <w:szCs w:val="22"/>
          <w:lang w:val="es-ES"/>
        </w:rPr>
      </w:pPr>
      <w:r w:rsidRPr="00240925">
        <w:rPr>
          <w:color w:val="000000" w:themeColor="text1"/>
          <w:sz w:val="22"/>
          <w:szCs w:val="22"/>
          <w:lang w:val="es-US"/>
        </w:rPr>
        <w:tab/>
      </w:r>
      <w:r w:rsidR="00C76886" w:rsidRPr="003C15F1">
        <w:rPr>
          <w:color w:val="000000" w:themeColor="text1"/>
          <w:sz w:val="22"/>
          <w:szCs w:val="22"/>
          <w:lang w:val="es-US"/>
        </w:rPr>
        <w:t xml:space="preserve">La </w:t>
      </w:r>
      <w:r w:rsidRPr="00C26985">
        <w:rPr>
          <w:sz w:val="22"/>
          <w:szCs w:val="22"/>
          <w:lang w:val="es-ES"/>
        </w:rPr>
        <w:t xml:space="preserve">SEDI es muy consciente de los graves desafíos que enfrenta nuestra región. Los informes indican que, en 2020, América Latina y el Caribe experimentó la peor crisis </w:t>
      </w:r>
      <w:r w:rsidR="00930BD5" w:rsidRPr="003C15F1">
        <w:rPr>
          <w:sz w:val="22"/>
          <w:szCs w:val="22"/>
          <w:lang w:val="es-ES"/>
        </w:rPr>
        <w:t xml:space="preserve">registrada </w:t>
      </w:r>
      <w:r w:rsidRPr="00C26985">
        <w:rPr>
          <w:sz w:val="22"/>
          <w:szCs w:val="22"/>
          <w:lang w:val="es-ES"/>
        </w:rPr>
        <w:t>de su historia</w:t>
      </w:r>
      <w:r w:rsidR="00930BD5" w:rsidRPr="003C15F1">
        <w:rPr>
          <w:sz w:val="22"/>
          <w:szCs w:val="22"/>
          <w:lang w:val="es-ES"/>
        </w:rPr>
        <w:t>,</w:t>
      </w:r>
      <w:r w:rsidRPr="00C26985">
        <w:rPr>
          <w:sz w:val="22"/>
          <w:szCs w:val="22"/>
          <w:lang w:val="es-ES"/>
        </w:rPr>
        <w:t xml:space="preserve"> la más aguda</w:t>
      </w:r>
      <w:r w:rsidR="00930BD5" w:rsidRPr="003C15F1">
        <w:rPr>
          <w:sz w:val="22"/>
          <w:szCs w:val="22"/>
          <w:lang w:val="es-ES"/>
        </w:rPr>
        <w:t xml:space="preserve"> </w:t>
      </w:r>
      <w:r w:rsidR="00930BD5" w:rsidRPr="003C15F1">
        <w:rPr>
          <w:rStyle w:val="ts-alignment-element"/>
          <w:sz w:val="22"/>
          <w:szCs w:val="22"/>
          <w:lang w:val="es-ES"/>
        </w:rPr>
        <w:t>contracción</w:t>
      </w:r>
      <w:r w:rsidR="00930BD5" w:rsidRPr="003C15F1">
        <w:rPr>
          <w:sz w:val="22"/>
          <w:szCs w:val="22"/>
          <w:lang w:val="es-ES"/>
        </w:rPr>
        <w:t xml:space="preserve"> </w:t>
      </w:r>
      <w:r w:rsidR="00930BD5" w:rsidRPr="003C15F1">
        <w:rPr>
          <w:rStyle w:val="ts-alignment-element"/>
          <w:sz w:val="22"/>
          <w:szCs w:val="22"/>
          <w:lang w:val="es-ES"/>
        </w:rPr>
        <w:t>económica</w:t>
      </w:r>
      <w:r w:rsidR="00930BD5" w:rsidRPr="003C15F1">
        <w:rPr>
          <w:sz w:val="22"/>
          <w:szCs w:val="22"/>
          <w:lang w:val="es-ES"/>
        </w:rPr>
        <w:t xml:space="preserve"> </w:t>
      </w:r>
      <w:r w:rsidR="00930BD5" w:rsidRPr="003C15F1">
        <w:rPr>
          <w:rStyle w:val="ts-alignment-element"/>
          <w:sz w:val="22"/>
          <w:szCs w:val="22"/>
          <w:lang w:val="es-ES"/>
        </w:rPr>
        <w:t>en</w:t>
      </w:r>
      <w:r w:rsidR="00930BD5" w:rsidRPr="003C15F1">
        <w:rPr>
          <w:sz w:val="22"/>
          <w:szCs w:val="22"/>
          <w:lang w:val="es-ES"/>
        </w:rPr>
        <w:t xml:space="preserve"> </w:t>
      </w:r>
      <w:r w:rsidR="00930BD5" w:rsidRPr="003C15F1">
        <w:rPr>
          <w:rStyle w:val="ts-alignment-element"/>
          <w:sz w:val="22"/>
          <w:szCs w:val="22"/>
          <w:lang w:val="es-ES"/>
        </w:rPr>
        <w:t>el</w:t>
      </w:r>
      <w:r w:rsidR="00930BD5" w:rsidRPr="003C15F1">
        <w:rPr>
          <w:sz w:val="22"/>
          <w:szCs w:val="22"/>
          <w:lang w:val="es-ES"/>
        </w:rPr>
        <w:t xml:space="preserve"> </w:t>
      </w:r>
      <w:r w:rsidR="00930BD5" w:rsidRPr="003C15F1">
        <w:rPr>
          <w:rStyle w:val="ts-alignment-element"/>
          <w:sz w:val="22"/>
          <w:szCs w:val="22"/>
          <w:lang w:val="es-ES"/>
        </w:rPr>
        <w:t>mundo</w:t>
      </w:r>
      <w:r w:rsidR="00930BD5" w:rsidRPr="003C15F1">
        <w:rPr>
          <w:sz w:val="22"/>
          <w:szCs w:val="22"/>
          <w:lang w:val="es-ES"/>
        </w:rPr>
        <w:t xml:space="preserve"> </w:t>
      </w:r>
      <w:r w:rsidR="00930BD5" w:rsidRPr="003C15F1">
        <w:rPr>
          <w:rStyle w:val="ts-alignment-element"/>
          <w:sz w:val="22"/>
          <w:szCs w:val="22"/>
          <w:lang w:val="es-ES"/>
        </w:rPr>
        <w:t>en</w:t>
      </w:r>
      <w:r w:rsidR="00930BD5" w:rsidRPr="003C15F1">
        <w:rPr>
          <w:sz w:val="22"/>
          <w:szCs w:val="22"/>
          <w:lang w:val="es-ES"/>
        </w:rPr>
        <w:t xml:space="preserve"> </w:t>
      </w:r>
      <w:r w:rsidR="00930BD5" w:rsidRPr="003C15F1">
        <w:rPr>
          <w:rStyle w:val="ts-alignment-element"/>
          <w:sz w:val="22"/>
          <w:szCs w:val="22"/>
          <w:lang w:val="es-ES"/>
        </w:rPr>
        <w:t>desarrollo.</w:t>
      </w:r>
      <w:r w:rsidR="00930BD5" w:rsidRPr="003C15F1">
        <w:rPr>
          <w:sz w:val="22"/>
          <w:szCs w:val="22"/>
          <w:lang w:val="es-ES"/>
        </w:rPr>
        <w:t xml:space="preserve"> </w:t>
      </w:r>
      <w:r w:rsidR="00930BD5" w:rsidRPr="003C15F1">
        <w:rPr>
          <w:rStyle w:val="ts-alignment-element"/>
          <w:sz w:val="22"/>
          <w:szCs w:val="22"/>
          <w:lang w:val="es-ES"/>
        </w:rPr>
        <w:t>Los</w:t>
      </w:r>
      <w:r w:rsidR="00930BD5" w:rsidRPr="003C15F1">
        <w:rPr>
          <w:sz w:val="22"/>
          <w:szCs w:val="22"/>
          <w:lang w:val="es-ES"/>
        </w:rPr>
        <w:t xml:space="preserve"> </w:t>
      </w:r>
      <w:r w:rsidR="00930BD5" w:rsidRPr="003C15F1">
        <w:rPr>
          <w:rStyle w:val="ts-alignment-element"/>
          <w:sz w:val="22"/>
          <w:szCs w:val="22"/>
          <w:lang w:val="es-ES"/>
        </w:rPr>
        <w:t>datos</w:t>
      </w:r>
      <w:r w:rsidR="00930BD5" w:rsidRPr="003C15F1">
        <w:rPr>
          <w:sz w:val="22"/>
          <w:szCs w:val="22"/>
          <w:lang w:val="es-ES"/>
        </w:rPr>
        <w:t xml:space="preserve"> </w:t>
      </w:r>
      <w:r w:rsidR="00930BD5" w:rsidRPr="003C15F1">
        <w:rPr>
          <w:rStyle w:val="ts-alignment-element"/>
          <w:sz w:val="22"/>
          <w:szCs w:val="22"/>
          <w:lang w:val="es-ES"/>
        </w:rPr>
        <w:t>indican</w:t>
      </w:r>
      <w:r w:rsidR="00930BD5" w:rsidRPr="003C15F1">
        <w:rPr>
          <w:sz w:val="22"/>
          <w:szCs w:val="22"/>
          <w:lang w:val="es-ES"/>
        </w:rPr>
        <w:t xml:space="preserve"> </w:t>
      </w:r>
      <w:r w:rsidR="00930BD5" w:rsidRPr="003C15F1">
        <w:rPr>
          <w:rStyle w:val="ts-alignment-element"/>
          <w:sz w:val="22"/>
          <w:szCs w:val="22"/>
          <w:lang w:val="es-ES"/>
        </w:rPr>
        <w:t>que</w:t>
      </w:r>
      <w:r w:rsidR="00930BD5" w:rsidRPr="003C15F1">
        <w:rPr>
          <w:sz w:val="22"/>
          <w:szCs w:val="22"/>
          <w:lang w:val="es-ES"/>
        </w:rPr>
        <w:t xml:space="preserve"> </w:t>
      </w:r>
      <w:r w:rsidR="00930BD5" w:rsidRPr="003C15F1">
        <w:rPr>
          <w:rStyle w:val="ts-alignment-element"/>
          <w:sz w:val="22"/>
          <w:szCs w:val="22"/>
          <w:lang w:val="es-ES"/>
        </w:rPr>
        <w:t>la</w:t>
      </w:r>
      <w:r w:rsidR="00930BD5" w:rsidRPr="003C15F1">
        <w:rPr>
          <w:sz w:val="22"/>
          <w:szCs w:val="22"/>
          <w:lang w:val="es-ES"/>
        </w:rPr>
        <w:t xml:space="preserve"> </w:t>
      </w:r>
      <w:r w:rsidR="00930BD5" w:rsidRPr="003C15F1">
        <w:rPr>
          <w:rStyle w:val="ts-alignment-element"/>
          <w:sz w:val="22"/>
          <w:szCs w:val="22"/>
          <w:lang w:val="es-ES"/>
        </w:rPr>
        <w:t>contracción</w:t>
      </w:r>
      <w:r w:rsidR="00930BD5" w:rsidRPr="003C15F1">
        <w:rPr>
          <w:sz w:val="22"/>
          <w:szCs w:val="22"/>
          <w:lang w:val="es-ES"/>
        </w:rPr>
        <w:t xml:space="preserve"> </w:t>
      </w:r>
      <w:r w:rsidR="00930BD5" w:rsidRPr="003C15F1">
        <w:rPr>
          <w:rStyle w:val="ts-alignment-element"/>
          <w:sz w:val="22"/>
          <w:szCs w:val="22"/>
          <w:lang w:val="es-ES"/>
        </w:rPr>
        <w:t>de</w:t>
      </w:r>
      <w:r w:rsidR="00930BD5" w:rsidRPr="003C15F1">
        <w:rPr>
          <w:sz w:val="22"/>
          <w:szCs w:val="22"/>
          <w:lang w:val="es-ES"/>
        </w:rPr>
        <w:t xml:space="preserve"> </w:t>
      </w:r>
      <w:r w:rsidR="00930BD5" w:rsidRPr="003C15F1">
        <w:rPr>
          <w:rStyle w:val="ts-alignment-element"/>
          <w:sz w:val="22"/>
          <w:szCs w:val="22"/>
          <w:lang w:val="es-ES"/>
        </w:rPr>
        <w:t>las</w:t>
      </w:r>
      <w:r w:rsidR="00930BD5" w:rsidRPr="003C15F1">
        <w:rPr>
          <w:sz w:val="22"/>
          <w:szCs w:val="22"/>
          <w:lang w:val="es-ES"/>
        </w:rPr>
        <w:t xml:space="preserve"> </w:t>
      </w:r>
      <w:r w:rsidR="00930BD5" w:rsidRPr="003C15F1">
        <w:rPr>
          <w:rStyle w:val="ts-alignment-element"/>
          <w:sz w:val="22"/>
          <w:szCs w:val="22"/>
          <w:lang w:val="es-ES"/>
        </w:rPr>
        <w:t>inversiones</w:t>
      </w:r>
      <w:r w:rsidR="00930BD5" w:rsidRPr="003C15F1">
        <w:rPr>
          <w:sz w:val="22"/>
          <w:szCs w:val="22"/>
          <w:lang w:val="es-ES"/>
        </w:rPr>
        <w:t xml:space="preserve"> </w:t>
      </w:r>
      <w:r w:rsidR="00930BD5" w:rsidRPr="003C15F1">
        <w:rPr>
          <w:rStyle w:val="ts-alignment-element"/>
          <w:sz w:val="22"/>
          <w:szCs w:val="22"/>
          <w:lang w:val="es-ES"/>
        </w:rPr>
        <w:t>en</w:t>
      </w:r>
      <w:r w:rsidR="00930BD5" w:rsidRPr="003C15F1">
        <w:rPr>
          <w:sz w:val="22"/>
          <w:szCs w:val="22"/>
          <w:lang w:val="es-ES"/>
        </w:rPr>
        <w:t xml:space="preserve"> </w:t>
      </w:r>
      <w:r w:rsidR="00930BD5" w:rsidRPr="003C15F1">
        <w:rPr>
          <w:rStyle w:val="ts-alignment-element"/>
          <w:sz w:val="22"/>
          <w:szCs w:val="22"/>
          <w:lang w:val="es-ES"/>
        </w:rPr>
        <w:t>relación</w:t>
      </w:r>
      <w:r w:rsidR="00930BD5" w:rsidRPr="003C15F1">
        <w:rPr>
          <w:sz w:val="22"/>
          <w:szCs w:val="22"/>
          <w:lang w:val="es-ES"/>
        </w:rPr>
        <w:t xml:space="preserve"> </w:t>
      </w:r>
      <w:r w:rsidR="00930BD5" w:rsidRPr="003C15F1">
        <w:rPr>
          <w:rStyle w:val="ts-alignment-element"/>
          <w:sz w:val="22"/>
          <w:szCs w:val="22"/>
          <w:lang w:val="es-ES"/>
        </w:rPr>
        <w:t>con</w:t>
      </w:r>
      <w:r w:rsidR="00930BD5" w:rsidRPr="003C15F1">
        <w:rPr>
          <w:sz w:val="22"/>
          <w:szCs w:val="22"/>
          <w:lang w:val="es-ES"/>
        </w:rPr>
        <w:t xml:space="preserve"> </w:t>
      </w:r>
      <w:r w:rsidR="00930BD5" w:rsidRPr="003C15F1">
        <w:rPr>
          <w:rStyle w:val="ts-alignment-element"/>
          <w:sz w:val="22"/>
          <w:szCs w:val="22"/>
          <w:lang w:val="es-ES"/>
        </w:rPr>
        <w:t>el</w:t>
      </w:r>
      <w:r w:rsidR="00930BD5" w:rsidRPr="003C15F1">
        <w:rPr>
          <w:sz w:val="22"/>
          <w:szCs w:val="22"/>
          <w:lang w:val="es-ES"/>
        </w:rPr>
        <w:t xml:space="preserve"> </w:t>
      </w:r>
      <w:r w:rsidR="00930BD5" w:rsidRPr="003C15F1">
        <w:rPr>
          <w:rStyle w:val="ts-alignment-element"/>
          <w:sz w:val="22"/>
          <w:szCs w:val="22"/>
          <w:lang w:val="es-ES"/>
        </w:rPr>
        <w:t>PIB</w:t>
      </w:r>
      <w:r w:rsidR="00930BD5" w:rsidRPr="003C15F1">
        <w:rPr>
          <w:sz w:val="22"/>
          <w:szCs w:val="22"/>
          <w:lang w:val="es-ES"/>
        </w:rPr>
        <w:t xml:space="preserve"> </w:t>
      </w:r>
      <w:r w:rsidR="00930BD5" w:rsidRPr="003C15F1">
        <w:rPr>
          <w:rStyle w:val="ts-alignment-element"/>
          <w:sz w:val="22"/>
          <w:szCs w:val="22"/>
          <w:lang w:val="es-ES"/>
        </w:rPr>
        <w:t>fue</w:t>
      </w:r>
      <w:r w:rsidR="00930BD5" w:rsidRPr="003C15F1">
        <w:rPr>
          <w:sz w:val="22"/>
          <w:szCs w:val="22"/>
          <w:lang w:val="es-ES"/>
        </w:rPr>
        <w:t xml:space="preserve"> </w:t>
      </w:r>
      <w:r w:rsidR="00930BD5" w:rsidRPr="003C15F1">
        <w:rPr>
          <w:rStyle w:val="ts-alignment-element"/>
          <w:sz w:val="22"/>
          <w:szCs w:val="22"/>
          <w:lang w:val="es-ES"/>
        </w:rPr>
        <w:t>mayor</w:t>
      </w:r>
      <w:r w:rsidR="00930BD5" w:rsidRPr="003C15F1">
        <w:rPr>
          <w:sz w:val="22"/>
          <w:szCs w:val="22"/>
          <w:lang w:val="es-ES"/>
        </w:rPr>
        <w:t xml:space="preserve"> </w:t>
      </w:r>
      <w:r w:rsidR="00930BD5" w:rsidRPr="003C15F1">
        <w:rPr>
          <w:rStyle w:val="ts-alignment-element"/>
          <w:sz w:val="22"/>
          <w:szCs w:val="22"/>
          <w:lang w:val="es-ES"/>
        </w:rPr>
        <w:t>en</w:t>
      </w:r>
      <w:r w:rsidR="00930BD5" w:rsidRPr="003C15F1">
        <w:rPr>
          <w:sz w:val="22"/>
          <w:szCs w:val="22"/>
          <w:lang w:val="es-ES"/>
        </w:rPr>
        <w:t xml:space="preserve"> </w:t>
      </w:r>
      <w:r w:rsidR="00930BD5" w:rsidRPr="003C15F1">
        <w:rPr>
          <w:rStyle w:val="ts-alignment-element"/>
          <w:sz w:val="22"/>
          <w:szCs w:val="22"/>
          <w:lang w:val="es-ES"/>
        </w:rPr>
        <w:t>América</w:t>
      </w:r>
      <w:r w:rsidR="00930BD5" w:rsidRPr="003C15F1">
        <w:rPr>
          <w:sz w:val="22"/>
          <w:szCs w:val="22"/>
          <w:lang w:val="es-ES"/>
        </w:rPr>
        <w:t xml:space="preserve"> </w:t>
      </w:r>
      <w:r w:rsidR="00930BD5" w:rsidRPr="003C15F1">
        <w:rPr>
          <w:rStyle w:val="ts-alignment-element"/>
          <w:sz w:val="22"/>
          <w:szCs w:val="22"/>
          <w:lang w:val="es-ES"/>
        </w:rPr>
        <w:t>Latina</w:t>
      </w:r>
      <w:r w:rsidR="00930BD5" w:rsidRPr="003C15F1">
        <w:rPr>
          <w:sz w:val="22"/>
          <w:szCs w:val="22"/>
          <w:lang w:val="es-ES"/>
        </w:rPr>
        <w:t xml:space="preserve"> </w:t>
      </w:r>
      <w:r w:rsidR="00930BD5" w:rsidRPr="003C15F1">
        <w:rPr>
          <w:rStyle w:val="ts-alignment-element"/>
          <w:sz w:val="22"/>
          <w:szCs w:val="22"/>
          <w:lang w:val="es-ES"/>
        </w:rPr>
        <w:t>y</w:t>
      </w:r>
      <w:r w:rsidR="00930BD5" w:rsidRPr="003C15F1">
        <w:rPr>
          <w:sz w:val="22"/>
          <w:szCs w:val="22"/>
          <w:lang w:val="es-ES"/>
        </w:rPr>
        <w:t xml:space="preserve"> </w:t>
      </w:r>
      <w:r w:rsidR="00930BD5" w:rsidRPr="003C15F1">
        <w:rPr>
          <w:rStyle w:val="ts-alignment-element"/>
          <w:sz w:val="22"/>
          <w:szCs w:val="22"/>
          <w:lang w:val="es-ES"/>
        </w:rPr>
        <w:t>el</w:t>
      </w:r>
      <w:r w:rsidR="00930BD5" w:rsidRPr="003C15F1">
        <w:rPr>
          <w:sz w:val="22"/>
          <w:szCs w:val="22"/>
          <w:lang w:val="es-ES"/>
        </w:rPr>
        <w:t xml:space="preserve"> </w:t>
      </w:r>
      <w:r w:rsidR="00930BD5" w:rsidRPr="003C15F1">
        <w:rPr>
          <w:rStyle w:val="ts-alignment-element"/>
          <w:sz w:val="22"/>
          <w:szCs w:val="22"/>
          <w:lang w:val="es-ES"/>
        </w:rPr>
        <w:t>Caribe</w:t>
      </w:r>
      <w:r w:rsidR="00930BD5" w:rsidRPr="003C15F1">
        <w:rPr>
          <w:sz w:val="22"/>
          <w:szCs w:val="22"/>
          <w:lang w:val="es-ES"/>
        </w:rPr>
        <w:t xml:space="preserve"> </w:t>
      </w:r>
      <w:r w:rsidR="00930BD5" w:rsidRPr="003C15F1">
        <w:rPr>
          <w:rStyle w:val="ts-alignment-element"/>
          <w:sz w:val="22"/>
          <w:szCs w:val="22"/>
          <w:lang w:val="es-ES"/>
        </w:rPr>
        <w:t>que</w:t>
      </w:r>
      <w:r w:rsidR="00930BD5" w:rsidRPr="003C15F1">
        <w:rPr>
          <w:sz w:val="22"/>
          <w:szCs w:val="22"/>
          <w:lang w:val="es-ES"/>
        </w:rPr>
        <w:t xml:space="preserve"> </w:t>
      </w:r>
      <w:r w:rsidR="00930BD5" w:rsidRPr="003C15F1">
        <w:rPr>
          <w:rStyle w:val="ts-alignment-element"/>
          <w:sz w:val="22"/>
          <w:szCs w:val="22"/>
          <w:lang w:val="es-ES"/>
        </w:rPr>
        <w:t>en</w:t>
      </w:r>
      <w:r w:rsidR="00930BD5" w:rsidRPr="003C15F1">
        <w:rPr>
          <w:sz w:val="22"/>
          <w:szCs w:val="22"/>
          <w:lang w:val="es-ES"/>
        </w:rPr>
        <w:t xml:space="preserve"> </w:t>
      </w:r>
      <w:r w:rsidR="00930BD5" w:rsidRPr="003C15F1">
        <w:rPr>
          <w:rStyle w:val="ts-alignment-element"/>
          <w:sz w:val="22"/>
          <w:szCs w:val="22"/>
          <w:lang w:val="es-ES"/>
        </w:rPr>
        <w:t>cualquier</w:t>
      </w:r>
      <w:r w:rsidR="00930BD5" w:rsidRPr="003C15F1">
        <w:rPr>
          <w:sz w:val="22"/>
          <w:szCs w:val="22"/>
          <w:lang w:val="es-ES"/>
        </w:rPr>
        <w:t xml:space="preserve"> </w:t>
      </w:r>
      <w:r w:rsidR="00930BD5" w:rsidRPr="003C15F1">
        <w:rPr>
          <w:rStyle w:val="ts-alignment-element"/>
          <w:sz w:val="22"/>
          <w:szCs w:val="22"/>
          <w:lang w:val="es-ES"/>
        </w:rPr>
        <w:t>otra</w:t>
      </w:r>
      <w:r w:rsidR="00930BD5" w:rsidRPr="003C15F1">
        <w:rPr>
          <w:sz w:val="22"/>
          <w:szCs w:val="22"/>
          <w:lang w:val="es-ES"/>
        </w:rPr>
        <w:t xml:space="preserve"> </w:t>
      </w:r>
      <w:r w:rsidR="00930BD5" w:rsidRPr="003C15F1">
        <w:rPr>
          <w:rStyle w:val="ts-alignment-element"/>
          <w:sz w:val="22"/>
          <w:szCs w:val="22"/>
          <w:lang w:val="es-ES"/>
        </w:rPr>
        <w:t>región</w:t>
      </w:r>
      <w:r w:rsidR="00930BD5" w:rsidRPr="003C15F1">
        <w:rPr>
          <w:sz w:val="22"/>
          <w:szCs w:val="22"/>
          <w:lang w:val="es-ES"/>
        </w:rPr>
        <w:t xml:space="preserve"> </w:t>
      </w:r>
      <w:r w:rsidR="00930BD5" w:rsidRPr="003C15F1">
        <w:rPr>
          <w:rStyle w:val="ts-alignment-element"/>
          <w:sz w:val="22"/>
          <w:szCs w:val="22"/>
          <w:lang w:val="es-ES"/>
        </w:rPr>
        <w:t>en</w:t>
      </w:r>
      <w:r w:rsidR="00930BD5" w:rsidRPr="003C15F1">
        <w:rPr>
          <w:sz w:val="22"/>
          <w:szCs w:val="22"/>
          <w:lang w:val="es-ES"/>
        </w:rPr>
        <w:t xml:space="preserve"> </w:t>
      </w:r>
      <w:r w:rsidR="00930BD5" w:rsidRPr="003C15F1">
        <w:rPr>
          <w:rStyle w:val="ts-alignment-element"/>
          <w:sz w:val="22"/>
          <w:szCs w:val="22"/>
          <w:lang w:val="es-ES"/>
        </w:rPr>
        <w:t>desarrollo.</w:t>
      </w:r>
      <w:r w:rsidR="00930BD5" w:rsidRPr="003C15F1">
        <w:rPr>
          <w:sz w:val="22"/>
          <w:szCs w:val="22"/>
          <w:lang w:val="es-ES"/>
        </w:rPr>
        <w:t xml:space="preserve"> </w:t>
      </w:r>
      <w:r w:rsidR="00930BD5" w:rsidRPr="003C15F1">
        <w:rPr>
          <w:rStyle w:val="ts-alignment-element"/>
          <w:sz w:val="22"/>
          <w:szCs w:val="22"/>
          <w:lang w:val="es-ES"/>
        </w:rPr>
        <w:t>Durante</w:t>
      </w:r>
      <w:r w:rsidR="00930BD5" w:rsidRPr="003C15F1">
        <w:rPr>
          <w:sz w:val="22"/>
          <w:szCs w:val="22"/>
          <w:lang w:val="es-ES"/>
        </w:rPr>
        <w:t xml:space="preserve"> </w:t>
      </w:r>
      <w:r w:rsidR="00930BD5" w:rsidRPr="003C15F1">
        <w:rPr>
          <w:rStyle w:val="ts-alignment-element"/>
          <w:sz w:val="22"/>
          <w:szCs w:val="22"/>
          <w:lang w:val="es-ES"/>
        </w:rPr>
        <w:t>2021,</w:t>
      </w:r>
      <w:r w:rsidR="00930BD5" w:rsidRPr="003C15F1">
        <w:rPr>
          <w:sz w:val="22"/>
          <w:szCs w:val="22"/>
          <w:lang w:val="es-ES"/>
        </w:rPr>
        <w:t xml:space="preserve"> </w:t>
      </w:r>
      <w:r w:rsidR="00930BD5" w:rsidRPr="003C15F1">
        <w:rPr>
          <w:rStyle w:val="ts-alignment-element"/>
          <w:sz w:val="22"/>
          <w:szCs w:val="22"/>
          <w:lang w:val="es-ES"/>
        </w:rPr>
        <w:t>como</w:t>
      </w:r>
      <w:r w:rsidR="00930BD5" w:rsidRPr="003C15F1">
        <w:rPr>
          <w:sz w:val="22"/>
          <w:szCs w:val="22"/>
          <w:lang w:val="es-ES"/>
        </w:rPr>
        <w:t xml:space="preserve"> </w:t>
      </w:r>
      <w:r w:rsidR="00930BD5" w:rsidRPr="003C15F1">
        <w:rPr>
          <w:rStyle w:val="ts-alignment-element"/>
          <w:sz w:val="22"/>
          <w:szCs w:val="22"/>
          <w:lang w:val="es-ES"/>
        </w:rPr>
        <w:t>desde</w:t>
      </w:r>
      <w:r w:rsidR="00930BD5" w:rsidRPr="003C15F1">
        <w:rPr>
          <w:sz w:val="22"/>
          <w:szCs w:val="22"/>
          <w:lang w:val="es-ES"/>
        </w:rPr>
        <w:t xml:space="preserve"> </w:t>
      </w:r>
      <w:r w:rsidR="00930BD5" w:rsidRPr="003C15F1">
        <w:rPr>
          <w:rStyle w:val="ts-alignment-element"/>
          <w:sz w:val="22"/>
          <w:szCs w:val="22"/>
          <w:lang w:val="es-ES"/>
        </w:rPr>
        <w:t>el</w:t>
      </w:r>
      <w:r w:rsidR="00930BD5" w:rsidRPr="003C15F1">
        <w:rPr>
          <w:sz w:val="22"/>
          <w:szCs w:val="22"/>
          <w:lang w:val="es-ES"/>
        </w:rPr>
        <w:t xml:space="preserve"> </w:t>
      </w:r>
      <w:r w:rsidR="00930BD5" w:rsidRPr="003C15F1">
        <w:rPr>
          <w:rStyle w:val="ts-alignment-element"/>
          <w:sz w:val="22"/>
          <w:szCs w:val="22"/>
          <w:lang w:val="es-ES"/>
        </w:rPr>
        <w:t>inicio</w:t>
      </w:r>
      <w:r w:rsidR="00930BD5" w:rsidRPr="003C15F1">
        <w:rPr>
          <w:sz w:val="22"/>
          <w:szCs w:val="22"/>
          <w:lang w:val="es-ES"/>
        </w:rPr>
        <w:t xml:space="preserve"> </w:t>
      </w:r>
      <w:r w:rsidR="00930BD5" w:rsidRPr="003C15F1">
        <w:rPr>
          <w:rStyle w:val="ts-alignment-element"/>
          <w:sz w:val="22"/>
          <w:szCs w:val="22"/>
          <w:lang w:val="es-ES"/>
        </w:rPr>
        <w:t>de</w:t>
      </w:r>
      <w:r w:rsidR="00930BD5" w:rsidRPr="003C15F1">
        <w:rPr>
          <w:sz w:val="22"/>
          <w:szCs w:val="22"/>
          <w:lang w:val="es-ES"/>
        </w:rPr>
        <w:t xml:space="preserve"> </w:t>
      </w:r>
      <w:r w:rsidR="00930BD5" w:rsidRPr="003C15F1">
        <w:rPr>
          <w:rStyle w:val="ts-alignment-element"/>
          <w:sz w:val="22"/>
          <w:szCs w:val="22"/>
          <w:lang w:val="es-ES"/>
        </w:rPr>
        <w:t>la</w:t>
      </w:r>
      <w:r w:rsidR="00930BD5" w:rsidRPr="003C15F1">
        <w:rPr>
          <w:sz w:val="22"/>
          <w:szCs w:val="22"/>
          <w:lang w:val="es-ES"/>
        </w:rPr>
        <w:t xml:space="preserve"> </w:t>
      </w:r>
      <w:r w:rsidR="00930BD5" w:rsidRPr="003C15F1">
        <w:rPr>
          <w:rStyle w:val="ts-alignment-element"/>
          <w:sz w:val="22"/>
          <w:szCs w:val="22"/>
          <w:lang w:val="es-ES"/>
        </w:rPr>
        <w:t>pandemia</w:t>
      </w:r>
      <w:r w:rsidR="00930BD5" w:rsidRPr="003C15F1">
        <w:rPr>
          <w:sz w:val="22"/>
          <w:szCs w:val="22"/>
          <w:lang w:val="es-ES"/>
        </w:rPr>
        <w:t xml:space="preserve"> </w:t>
      </w:r>
      <w:r w:rsidR="00930BD5" w:rsidRPr="003C15F1">
        <w:rPr>
          <w:rStyle w:val="ts-alignment-element"/>
          <w:sz w:val="22"/>
          <w:szCs w:val="22"/>
          <w:lang w:val="es-ES"/>
        </w:rPr>
        <w:t>de</w:t>
      </w:r>
      <w:r w:rsidR="00930BD5" w:rsidRPr="003C15F1">
        <w:rPr>
          <w:sz w:val="22"/>
          <w:szCs w:val="22"/>
          <w:lang w:val="es-ES"/>
        </w:rPr>
        <w:t xml:space="preserve"> </w:t>
      </w:r>
      <w:r w:rsidR="00930BD5" w:rsidRPr="003C15F1">
        <w:rPr>
          <w:rStyle w:val="ts-alignment-element"/>
          <w:sz w:val="22"/>
          <w:szCs w:val="22"/>
          <w:lang w:val="es-ES"/>
        </w:rPr>
        <w:t>COVID-19,</w:t>
      </w:r>
      <w:r w:rsidR="00930BD5" w:rsidRPr="003C15F1">
        <w:rPr>
          <w:sz w:val="22"/>
          <w:szCs w:val="22"/>
          <w:lang w:val="es-ES"/>
        </w:rPr>
        <w:t xml:space="preserve"> </w:t>
      </w:r>
      <w:r w:rsidR="00930BD5" w:rsidRPr="003C15F1">
        <w:rPr>
          <w:rStyle w:val="ts-alignment-element"/>
          <w:sz w:val="22"/>
          <w:szCs w:val="22"/>
          <w:lang w:val="es-ES"/>
        </w:rPr>
        <w:t>frente</w:t>
      </w:r>
      <w:r w:rsidR="00930BD5" w:rsidRPr="003C15F1">
        <w:rPr>
          <w:sz w:val="22"/>
          <w:szCs w:val="22"/>
          <w:lang w:val="es-ES"/>
        </w:rPr>
        <w:t xml:space="preserve"> </w:t>
      </w:r>
      <w:r w:rsidR="00930BD5" w:rsidRPr="003C15F1">
        <w:rPr>
          <w:rStyle w:val="ts-alignment-element"/>
          <w:sz w:val="22"/>
          <w:szCs w:val="22"/>
          <w:lang w:val="es-ES"/>
        </w:rPr>
        <w:t>a</w:t>
      </w:r>
      <w:r w:rsidR="00930BD5" w:rsidRPr="003C15F1">
        <w:rPr>
          <w:sz w:val="22"/>
          <w:szCs w:val="22"/>
          <w:lang w:val="es-ES"/>
        </w:rPr>
        <w:t xml:space="preserve"> </w:t>
      </w:r>
      <w:r w:rsidR="00930BD5" w:rsidRPr="003C15F1">
        <w:rPr>
          <w:rStyle w:val="ts-alignment-element"/>
          <w:sz w:val="22"/>
          <w:szCs w:val="22"/>
          <w:lang w:val="es-ES"/>
        </w:rPr>
        <w:t>los</w:t>
      </w:r>
      <w:r w:rsidR="00930BD5" w:rsidRPr="003C15F1">
        <w:rPr>
          <w:sz w:val="22"/>
          <w:szCs w:val="22"/>
          <w:lang w:val="es-ES"/>
        </w:rPr>
        <w:t xml:space="preserve"> </w:t>
      </w:r>
      <w:r w:rsidR="00930BD5" w:rsidRPr="003C15F1">
        <w:rPr>
          <w:rStyle w:val="ts-alignment-element"/>
          <w:sz w:val="22"/>
          <w:szCs w:val="22"/>
          <w:lang w:val="es-ES"/>
        </w:rPr>
        <w:t>desafíos sin precedentes que</w:t>
      </w:r>
      <w:r w:rsidR="00930BD5" w:rsidRPr="003C15F1">
        <w:rPr>
          <w:sz w:val="22"/>
          <w:szCs w:val="22"/>
          <w:lang w:val="es-ES"/>
        </w:rPr>
        <w:t xml:space="preserve"> </w:t>
      </w:r>
      <w:r w:rsidR="00930BD5" w:rsidRPr="003C15F1">
        <w:rPr>
          <w:rStyle w:val="ts-alignment-element"/>
          <w:sz w:val="22"/>
          <w:szCs w:val="22"/>
          <w:lang w:val="es-ES"/>
        </w:rPr>
        <w:t>enfrentan</w:t>
      </w:r>
      <w:r w:rsidR="00930BD5" w:rsidRPr="003C15F1">
        <w:rPr>
          <w:sz w:val="22"/>
          <w:szCs w:val="22"/>
          <w:lang w:val="es-ES"/>
        </w:rPr>
        <w:t xml:space="preserve"> </w:t>
      </w:r>
      <w:r w:rsidR="00930BD5" w:rsidRPr="003C15F1">
        <w:rPr>
          <w:rStyle w:val="ts-alignment-element"/>
          <w:sz w:val="22"/>
          <w:szCs w:val="22"/>
          <w:lang w:val="es-ES"/>
        </w:rPr>
        <w:t>los</w:t>
      </w:r>
      <w:r w:rsidR="00930BD5" w:rsidRPr="003C15F1">
        <w:rPr>
          <w:sz w:val="22"/>
          <w:szCs w:val="22"/>
          <w:lang w:val="es-ES"/>
        </w:rPr>
        <w:t xml:space="preserve"> </w:t>
      </w:r>
      <w:r w:rsidR="00930BD5" w:rsidRPr="003C15F1">
        <w:rPr>
          <w:rStyle w:val="ts-alignment-element"/>
          <w:sz w:val="22"/>
          <w:szCs w:val="22"/>
          <w:lang w:val="es-ES"/>
        </w:rPr>
        <w:t>Estados</w:t>
      </w:r>
      <w:r w:rsidR="00930BD5" w:rsidRPr="003C15F1">
        <w:rPr>
          <w:sz w:val="22"/>
          <w:szCs w:val="22"/>
          <w:lang w:val="es-ES"/>
        </w:rPr>
        <w:t xml:space="preserve"> </w:t>
      </w:r>
      <w:r w:rsidR="00930BD5" w:rsidRPr="003C15F1">
        <w:rPr>
          <w:rStyle w:val="ts-alignment-element"/>
          <w:sz w:val="22"/>
          <w:szCs w:val="22"/>
          <w:lang w:val="es-ES"/>
        </w:rPr>
        <w:t>Miembros</w:t>
      </w:r>
      <w:r w:rsidR="00930BD5" w:rsidRPr="003C15F1">
        <w:rPr>
          <w:sz w:val="22"/>
          <w:szCs w:val="22"/>
          <w:lang w:val="es-ES"/>
        </w:rPr>
        <w:t xml:space="preserve"> </w:t>
      </w:r>
      <w:r w:rsidR="00930BD5" w:rsidRPr="003C15F1">
        <w:rPr>
          <w:rStyle w:val="ts-alignment-element"/>
          <w:sz w:val="22"/>
          <w:szCs w:val="22"/>
          <w:lang w:val="es-ES"/>
        </w:rPr>
        <w:t>de</w:t>
      </w:r>
      <w:r w:rsidR="00930BD5" w:rsidRPr="003C15F1">
        <w:rPr>
          <w:sz w:val="22"/>
          <w:szCs w:val="22"/>
          <w:lang w:val="es-ES"/>
        </w:rPr>
        <w:t xml:space="preserve"> </w:t>
      </w:r>
      <w:r w:rsidR="00930BD5" w:rsidRPr="003C15F1">
        <w:rPr>
          <w:rStyle w:val="ts-alignment-element"/>
          <w:sz w:val="22"/>
          <w:szCs w:val="22"/>
          <w:lang w:val="es-ES"/>
        </w:rPr>
        <w:t>la</w:t>
      </w:r>
      <w:r w:rsidR="00930BD5" w:rsidRPr="003C15F1">
        <w:rPr>
          <w:sz w:val="22"/>
          <w:szCs w:val="22"/>
          <w:lang w:val="es-ES"/>
        </w:rPr>
        <w:t xml:space="preserve"> </w:t>
      </w:r>
      <w:r w:rsidR="00930BD5" w:rsidRPr="003C15F1">
        <w:rPr>
          <w:rStyle w:val="ts-alignment-element"/>
          <w:sz w:val="22"/>
          <w:szCs w:val="22"/>
          <w:lang w:val="es-ES"/>
        </w:rPr>
        <w:t>OEA,</w:t>
      </w:r>
      <w:r w:rsidR="00930BD5" w:rsidRPr="003C15F1">
        <w:rPr>
          <w:sz w:val="22"/>
          <w:szCs w:val="22"/>
          <w:lang w:val="es-ES"/>
        </w:rPr>
        <w:t xml:space="preserve"> la </w:t>
      </w:r>
      <w:r w:rsidR="00930BD5" w:rsidRPr="003C15F1">
        <w:rPr>
          <w:rStyle w:val="ts-alignment-element"/>
          <w:sz w:val="22"/>
          <w:szCs w:val="22"/>
          <w:lang w:val="es-ES"/>
        </w:rPr>
        <w:t>SEDI</w:t>
      </w:r>
      <w:r w:rsidR="00930BD5" w:rsidRPr="003C15F1">
        <w:rPr>
          <w:sz w:val="22"/>
          <w:szCs w:val="22"/>
          <w:lang w:val="es-ES"/>
        </w:rPr>
        <w:t xml:space="preserve"> </w:t>
      </w:r>
      <w:r w:rsidR="00930BD5" w:rsidRPr="003C15F1">
        <w:rPr>
          <w:rStyle w:val="ts-alignment-element"/>
          <w:sz w:val="22"/>
          <w:szCs w:val="22"/>
          <w:lang w:val="es-ES"/>
        </w:rPr>
        <w:t>se</w:t>
      </w:r>
      <w:r w:rsidR="00930BD5" w:rsidRPr="003C15F1">
        <w:rPr>
          <w:sz w:val="22"/>
          <w:szCs w:val="22"/>
          <w:lang w:val="es-ES"/>
        </w:rPr>
        <w:t xml:space="preserve"> </w:t>
      </w:r>
      <w:r w:rsidR="00930BD5" w:rsidRPr="003C15F1">
        <w:rPr>
          <w:rStyle w:val="ts-alignment-element"/>
          <w:sz w:val="22"/>
          <w:szCs w:val="22"/>
          <w:lang w:val="es-ES"/>
        </w:rPr>
        <w:t>ha</w:t>
      </w:r>
      <w:r w:rsidR="00930BD5" w:rsidRPr="003C15F1">
        <w:rPr>
          <w:sz w:val="22"/>
          <w:szCs w:val="22"/>
          <w:lang w:val="es-ES"/>
        </w:rPr>
        <w:t xml:space="preserve"> </w:t>
      </w:r>
      <w:r w:rsidR="00930BD5" w:rsidRPr="003C15F1">
        <w:rPr>
          <w:rStyle w:val="ts-alignment-element"/>
          <w:sz w:val="22"/>
          <w:szCs w:val="22"/>
          <w:lang w:val="es-ES"/>
        </w:rPr>
        <w:t>centrado</w:t>
      </w:r>
      <w:r w:rsidR="00930BD5" w:rsidRPr="003C15F1">
        <w:rPr>
          <w:sz w:val="22"/>
          <w:szCs w:val="22"/>
          <w:lang w:val="es-ES"/>
        </w:rPr>
        <w:t xml:space="preserve"> </w:t>
      </w:r>
      <w:r w:rsidR="00930BD5" w:rsidRPr="003C15F1">
        <w:rPr>
          <w:rStyle w:val="ts-alignment-element"/>
          <w:sz w:val="22"/>
          <w:szCs w:val="22"/>
          <w:lang w:val="es-ES"/>
        </w:rPr>
        <w:t>en</w:t>
      </w:r>
      <w:r w:rsidR="00930BD5" w:rsidRPr="003C15F1">
        <w:rPr>
          <w:sz w:val="22"/>
          <w:szCs w:val="22"/>
          <w:lang w:val="es-ES"/>
        </w:rPr>
        <w:t xml:space="preserve"> </w:t>
      </w:r>
      <w:r w:rsidR="00930BD5" w:rsidRPr="003C15F1">
        <w:rPr>
          <w:rStyle w:val="ts-alignment-element"/>
          <w:sz w:val="22"/>
          <w:szCs w:val="22"/>
          <w:lang w:val="es-ES"/>
        </w:rPr>
        <w:t>reorientar</w:t>
      </w:r>
      <w:r w:rsidR="00930BD5" w:rsidRPr="003C15F1">
        <w:rPr>
          <w:sz w:val="22"/>
          <w:szCs w:val="22"/>
          <w:lang w:val="es-ES"/>
        </w:rPr>
        <w:t xml:space="preserve"> </w:t>
      </w:r>
      <w:r w:rsidR="00930BD5" w:rsidRPr="003C15F1">
        <w:rPr>
          <w:rStyle w:val="ts-alignment-element"/>
          <w:sz w:val="22"/>
          <w:szCs w:val="22"/>
          <w:lang w:val="es-ES"/>
        </w:rPr>
        <w:t>los</w:t>
      </w:r>
      <w:r w:rsidR="00930BD5" w:rsidRPr="003C15F1">
        <w:rPr>
          <w:sz w:val="22"/>
          <w:szCs w:val="22"/>
          <w:lang w:val="es-ES"/>
        </w:rPr>
        <w:t xml:space="preserve"> </w:t>
      </w:r>
      <w:r w:rsidR="00930BD5" w:rsidRPr="003C15F1">
        <w:rPr>
          <w:rStyle w:val="ts-alignment-element"/>
          <w:sz w:val="22"/>
          <w:szCs w:val="22"/>
          <w:lang w:val="es-ES"/>
        </w:rPr>
        <w:t>programas</w:t>
      </w:r>
      <w:r w:rsidR="00930BD5" w:rsidRPr="003C15F1">
        <w:rPr>
          <w:sz w:val="22"/>
          <w:szCs w:val="22"/>
          <w:lang w:val="es-ES"/>
        </w:rPr>
        <w:t xml:space="preserve"> </w:t>
      </w:r>
      <w:r w:rsidR="00930BD5" w:rsidRPr="003C15F1">
        <w:rPr>
          <w:rStyle w:val="ts-alignment-element"/>
          <w:sz w:val="22"/>
          <w:szCs w:val="22"/>
          <w:lang w:val="es-ES"/>
        </w:rPr>
        <w:t>e</w:t>
      </w:r>
      <w:r w:rsidR="00930BD5" w:rsidRPr="003C15F1">
        <w:rPr>
          <w:sz w:val="22"/>
          <w:szCs w:val="22"/>
          <w:lang w:val="es-ES"/>
        </w:rPr>
        <w:t xml:space="preserve"> </w:t>
      </w:r>
      <w:r w:rsidR="00930BD5" w:rsidRPr="003C15F1">
        <w:rPr>
          <w:rStyle w:val="ts-alignment-element"/>
          <w:sz w:val="22"/>
          <w:szCs w:val="22"/>
          <w:lang w:val="es-ES"/>
        </w:rPr>
        <w:t>iniciativas</w:t>
      </w:r>
      <w:r w:rsidR="00930BD5" w:rsidRPr="003C15F1">
        <w:rPr>
          <w:sz w:val="22"/>
          <w:szCs w:val="22"/>
          <w:lang w:val="es-ES"/>
        </w:rPr>
        <w:t xml:space="preserve"> </w:t>
      </w:r>
      <w:r w:rsidR="00930BD5" w:rsidRPr="003C15F1">
        <w:rPr>
          <w:rStyle w:val="ts-alignment-element"/>
          <w:sz w:val="22"/>
          <w:szCs w:val="22"/>
          <w:lang w:val="es-ES"/>
        </w:rPr>
        <w:t>existentes</w:t>
      </w:r>
      <w:r w:rsidR="00930BD5" w:rsidRPr="003C15F1">
        <w:rPr>
          <w:sz w:val="22"/>
          <w:szCs w:val="22"/>
          <w:lang w:val="es-ES"/>
        </w:rPr>
        <w:t xml:space="preserve"> </w:t>
      </w:r>
      <w:r w:rsidR="00930BD5" w:rsidRPr="003C15F1">
        <w:rPr>
          <w:rStyle w:val="ts-alignment-element"/>
          <w:sz w:val="22"/>
          <w:szCs w:val="22"/>
          <w:lang w:val="es-ES"/>
        </w:rPr>
        <w:t>para</w:t>
      </w:r>
      <w:r w:rsidR="00930BD5" w:rsidRPr="003C15F1">
        <w:rPr>
          <w:sz w:val="22"/>
          <w:szCs w:val="22"/>
          <w:lang w:val="es-ES"/>
        </w:rPr>
        <w:t xml:space="preserve"> </w:t>
      </w:r>
      <w:r w:rsidR="00930BD5" w:rsidRPr="003C15F1">
        <w:rPr>
          <w:rStyle w:val="ts-alignment-element"/>
          <w:sz w:val="22"/>
          <w:szCs w:val="22"/>
          <w:lang w:val="es-ES"/>
        </w:rPr>
        <w:t>satisfacer</w:t>
      </w:r>
      <w:r w:rsidR="00930BD5" w:rsidRPr="003C15F1">
        <w:rPr>
          <w:sz w:val="22"/>
          <w:szCs w:val="22"/>
          <w:lang w:val="es-ES"/>
        </w:rPr>
        <w:t xml:space="preserve"> </w:t>
      </w:r>
      <w:r w:rsidR="00930BD5" w:rsidRPr="003C15F1">
        <w:rPr>
          <w:rStyle w:val="ts-alignment-element"/>
          <w:sz w:val="22"/>
          <w:szCs w:val="22"/>
          <w:lang w:val="es-ES"/>
        </w:rPr>
        <w:t>las</w:t>
      </w:r>
      <w:r w:rsidR="00930BD5" w:rsidRPr="003C15F1">
        <w:rPr>
          <w:sz w:val="22"/>
          <w:szCs w:val="22"/>
          <w:lang w:val="es-ES"/>
        </w:rPr>
        <w:t xml:space="preserve"> </w:t>
      </w:r>
      <w:r w:rsidR="00930BD5" w:rsidRPr="003C15F1">
        <w:rPr>
          <w:rStyle w:val="ts-alignment-element"/>
          <w:sz w:val="22"/>
          <w:szCs w:val="22"/>
          <w:lang w:val="es-ES"/>
        </w:rPr>
        <w:t>necesidades</w:t>
      </w:r>
      <w:r w:rsidR="00930BD5" w:rsidRPr="003C15F1">
        <w:rPr>
          <w:sz w:val="22"/>
          <w:szCs w:val="22"/>
          <w:lang w:val="es-ES"/>
        </w:rPr>
        <w:t xml:space="preserve"> </w:t>
      </w:r>
      <w:r w:rsidR="00930BD5" w:rsidRPr="003C15F1">
        <w:rPr>
          <w:rStyle w:val="ts-alignment-element"/>
          <w:sz w:val="22"/>
          <w:szCs w:val="22"/>
          <w:lang w:val="es-ES"/>
        </w:rPr>
        <w:t>emergentes</w:t>
      </w:r>
      <w:r w:rsidR="00930BD5" w:rsidRPr="003C15F1">
        <w:rPr>
          <w:sz w:val="22"/>
          <w:szCs w:val="22"/>
          <w:lang w:val="es-ES"/>
        </w:rPr>
        <w:t xml:space="preserve"> </w:t>
      </w:r>
      <w:r w:rsidR="00930BD5" w:rsidRPr="003C15F1">
        <w:rPr>
          <w:rStyle w:val="ts-alignment-element"/>
          <w:sz w:val="22"/>
          <w:szCs w:val="22"/>
          <w:lang w:val="es-ES"/>
        </w:rPr>
        <w:t>de</w:t>
      </w:r>
      <w:r w:rsidR="00930BD5" w:rsidRPr="003C15F1">
        <w:rPr>
          <w:sz w:val="22"/>
          <w:szCs w:val="22"/>
          <w:lang w:val="es-ES"/>
        </w:rPr>
        <w:t xml:space="preserve"> los </w:t>
      </w:r>
      <w:r w:rsidR="00930BD5" w:rsidRPr="003C15F1">
        <w:rPr>
          <w:rStyle w:val="ts-alignment-element"/>
          <w:sz w:val="22"/>
          <w:szCs w:val="22"/>
          <w:lang w:val="es-ES"/>
        </w:rPr>
        <w:t>Estados</w:t>
      </w:r>
      <w:r w:rsidR="00930BD5" w:rsidRPr="003C15F1">
        <w:rPr>
          <w:sz w:val="22"/>
          <w:szCs w:val="22"/>
          <w:lang w:val="es-ES"/>
        </w:rPr>
        <w:t xml:space="preserve"> </w:t>
      </w:r>
      <w:r w:rsidR="00930BD5" w:rsidRPr="003C15F1">
        <w:rPr>
          <w:rStyle w:val="ts-alignment-element"/>
          <w:sz w:val="22"/>
          <w:szCs w:val="22"/>
          <w:lang w:val="es-ES"/>
        </w:rPr>
        <w:t>Miembros.</w:t>
      </w:r>
      <w:r w:rsidR="00930BD5" w:rsidRPr="003C15F1">
        <w:rPr>
          <w:sz w:val="22"/>
          <w:szCs w:val="22"/>
          <w:lang w:val="es-ES"/>
        </w:rPr>
        <w:t xml:space="preserve"> </w:t>
      </w:r>
      <w:r w:rsidR="00930BD5" w:rsidRPr="003C15F1">
        <w:rPr>
          <w:rStyle w:val="ts-alignment-element"/>
          <w:sz w:val="22"/>
          <w:szCs w:val="22"/>
          <w:lang w:val="es-ES"/>
        </w:rPr>
        <w:t>Por</w:t>
      </w:r>
      <w:r w:rsidR="00930BD5" w:rsidRPr="003C15F1">
        <w:rPr>
          <w:sz w:val="22"/>
          <w:szCs w:val="22"/>
          <w:lang w:val="es-ES"/>
        </w:rPr>
        <w:t xml:space="preserve"> lo </w:t>
      </w:r>
      <w:r w:rsidR="00930BD5" w:rsidRPr="003C15F1">
        <w:rPr>
          <w:rStyle w:val="ts-alignment-element"/>
          <w:sz w:val="22"/>
          <w:szCs w:val="22"/>
          <w:lang w:val="es-ES"/>
        </w:rPr>
        <w:t>tanto,</w:t>
      </w:r>
      <w:r w:rsidR="00930BD5" w:rsidRPr="003C15F1">
        <w:rPr>
          <w:sz w:val="22"/>
          <w:szCs w:val="22"/>
          <w:lang w:val="es-ES"/>
        </w:rPr>
        <w:t xml:space="preserve"> </w:t>
      </w:r>
      <w:r w:rsidR="00930BD5" w:rsidRPr="003C15F1">
        <w:rPr>
          <w:rStyle w:val="ts-alignment-element"/>
          <w:sz w:val="22"/>
          <w:szCs w:val="22"/>
          <w:lang w:val="es-ES"/>
        </w:rPr>
        <w:t>los</w:t>
      </w:r>
      <w:r w:rsidR="00930BD5" w:rsidRPr="003C15F1">
        <w:rPr>
          <w:sz w:val="22"/>
          <w:szCs w:val="22"/>
          <w:lang w:val="es-ES"/>
        </w:rPr>
        <w:t xml:space="preserve"> </w:t>
      </w:r>
      <w:r w:rsidR="00930BD5" w:rsidRPr="003C15F1">
        <w:rPr>
          <w:rStyle w:val="ts-alignment-element"/>
          <w:sz w:val="22"/>
          <w:szCs w:val="22"/>
          <w:lang w:val="es-ES"/>
        </w:rPr>
        <w:t>programas de la SEDI han brindado</w:t>
      </w:r>
      <w:r w:rsidR="00930BD5" w:rsidRPr="003C15F1">
        <w:rPr>
          <w:sz w:val="22"/>
          <w:szCs w:val="22"/>
          <w:lang w:val="es-ES"/>
        </w:rPr>
        <w:t xml:space="preserve"> </w:t>
      </w:r>
      <w:r w:rsidR="00930BD5" w:rsidRPr="003C15F1">
        <w:rPr>
          <w:rStyle w:val="ts-alignment-element"/>
          <w:sz w:val="22"/>
          <w:szCs w:val="22"/>
          <w:lang w:val="es-ES"/>
        </w:rPr>
        <w:t>a</w:t>
      </w:r>
      <w:r w:rsidR="00930BD5" w:rsidRPr="003C15F1">
        <w:rPr>
          <w:sz w:val="22"/>
          <w:szCs w:val="22"/>
          <w:lang w:val="es-ES"/>
        </w:rPr>
        <w:t xml:space="preserve"> </w:t>
      </w:r>
      <w:r w:rsidR="00930BD5" w:rsidRPr="003C15F1">
        <w:rPr>
          <w:rStyle w:val="ts-alignment-element"/>
          <w:sz w:val="22"/>
          <w:szCs w:val="22"/>
          <w:lang w:val="es-ES"/>
        </w:rPr>
        <w:t>las</w:t>
      </w:r>
      <w:r w:rsidR="00930BD5" w:rsidRPr="003C15F1">
        <w:rPr>
          <w:sz w:val="22"/>
          <w:szCs w:val="22"/>
          <w:lang w:val="es-ES"/>
        </w:rPr>
        <w:t xml:space="preserve"> </w:t>
      </w:r>
      <w:r w:rsidR="00930BD5" w:rsidRPr="003C15F1">
        <w:rPr>
          <w:rStyle w:val="ts-alignment-element"/>
          <w:sz w:val="22"/>
          <w:szCs w:val="22"/>
          <w:lang w:val="es-ES"/>
        </w:rPr>
        <w:t>autoridades y a las instituciones</w:t>
      </w:r>
      <w:r w:rsidR="00930BD5" w:rsidRPr="003C15F1">
        <w:rPr>
          <w:sz w:val="22"/>
          <w:szCs w:val="22"/>
          <w:lang w:val="es-ES"/>
        </w:rPr>
        <w:t xml:space="preserve"> de</w:t>
      </w:r>
      <w:r w:rsidR="00930BD5" w:rsidRPr="003C15F1">
        <w:rPr>
          <w:rStyle w:val="ts-alignment-element"/>
          <w:sz w:val="22"/>
          <w:szCs w:val="22"/>
          <w:lang w:val="es-ES"/>
        </w:rPr>
        <w:t xml:space="preserve"> apoyo,</w:t>
      </w:r>
      <w:r w:rsidR="00930BD5" w:rsidRPr="003C15F1">
        <w:rPr>
          <w:sz w:val="22"/>
          <w:szCs w:val="22"/>
          <w:lang w:val="es-ES"/>
        </w:rPr>
        <w:t xml:space="preserve"> </w:t>
      </w:r>
      <w:r w:rsidR="00930BD5" w:rsidRPr="003C15F1">
        <w:rPr>
          <w:rStyle w:val="ts-alignment-element"/>
          <w:sz w:val="22"/>
          <w:szCs w:val="22"/>
          <w:lang w:val="es-ES"/>
        </w:rPr>
        <w:t>oportunidades</w:t>
      </w:r>
      <w:r w:rsidR="00930BD5" w:rsidRPr="003C15F1">
        <w:rPr>
          <w:sz w:val="22"/>
          <w:szCs w:val="22"/>
          <w:lang w:val="es-ES"/>
        </w:rPr>
        <w:t xml:space="preserve"> </w:t>
      </w:r>
      <w:r w:rsidR="00930BD5" w:rsidRPr="003C15F1">
        <w:rPr>
          <w:rStyle w:val="ts-alignment-element"/>
          <w:sz w:val="22"/>
          <w:szCs w:val="22"/>
          <w:lang w:val="es-ES"/>
        </w:rPr>
        <w:t>de</w:t>
      </w:r>
      <w:r w:rsidR="00930BD5" w:rsidRPr="003C15F1">
        <w:rPr>
          <w:sz w:val="22"/>
          <w:szCs w:val="22"/>
          <w:lang w:val="es-ES"/>
        </w:rPr>
        <w:t xml:space="preserve"> </w:t>
      </w:r>
      <w:r w:rsidR="00930BD5" w:rsidRPr="003C15F1">
        <w:rPr>
          <w:rStyle w:val="ts-alignment-element"/>
          <w:sz w:val="22"/>
          <w:szCs w:val="22"/>
          <w:lang w:val="es-ES"/>
        </w:rPr>
        <w:t>desarrollo</w:t>
      </w:r>
      <w:r w:rsidR="00930BD5" w:rsidRPr="003C15F1">
        <w:rPr>
          <w:sz w:val="22"/>
          <w:szCs w:val="22"/>
          <w:lang w:val="es-ES"/>
        </w:rPr>
        <w:t xml:space="preserve"> </w:t>
      </w:r>
      <w:r w:rsidR="00930BD5" w:rsidRPr="003C15F1">
        <w:rPr>
          <w:rStyle w:val="ts-alignment-element"/>
          <w:sz w:val="22"/>
          <w:szCs w:val="22"/>
          <w:lang w:val="es-ES"/>
        </w:rPr>
        <w:t>de</w:t>
      </w:r>
      <w:r w:rsidR="00930BD5" w:rsidRPr="003C15F1">
        <w:rPr>
          <w:sz w:val="22"/>
          <w:szCs w:val="22"/>
          <w:lang w:val="es-ES"/>
        </w:rPr>
        <w:t xml:space="preserve"> </w:t>
      </w:r>
      <w:r w:rsidR="00930BD5" w:rsidRPr="003C15F1">
        <w:rPr>
          <w:rStyle w:val="ts-alignment-element"/>
          <w:sz w:val="22"/>
          <w:szCs w:val="22"/>
          <w:lang w:val="es-ES"/>
        </w:rPr>
        <w:t>capacidades</w:t>
      </w:r>
      <w:r w:rsidR="00930BD5" w:rsidRPr="003C15F1">
        <w:rPr>
          <w:sz w:val="22"/>
          <w:szCs w:val="22"/>
          <w:lang w:val="es-ES"/>
        </w:rPr>
        <w:t xml:space="preserve"> </w:t>
      </w:r>
      <w:r w:rsidR="00930BD5" w:rsidRPr="003C15F1">
        <w:rPr>
          <w:rStyle w:val="ts-alignment-element"/>
          <w:sz w:val="22"/>
          <w:szCs w:val="22"/>
          <w:lang w:val="es-ES"/>
        </w:rPr>
        <w:t>y</w:t>
      </w:r>
      <w:r w:rsidR="00930BD5" w:rsidRPr="003C15F1">
        <w:rPr>
          <w:sz w:val="22"/>
          <w:szCs w:val="22"/>
          <w:lang w:val="es-ES"/>
        </w:rPr>
        <w:t xml:space="preserve"> </w:t>
      </w:r>
      <w:r w:rsidR="00930BD5" w:rsidRPr="003C15F1">
        <w:rPr>
          <w:rStyle w:val="ts-alignment-element"/>
          <w:sz w:val="22"/>
          <w:szCs w:val="22"/>
          <w:lang w:val="es-ES"/>
        </w:rPr>
        <w:t>herramientas</w:t>
      </w:r>
      <w:r w:rsidR="00930BD5" w:rsidRPr="003C15F1">
        <w:rPr>
          <w:sz w:val="22"/>
          <w:szCs w:val="22"/>
          <w:lang w:val="es-ES"/>
        </w:rPr>
        <w:t xml:space="preserve"> </w:t>
      </w:r>
      <w:r w:rsidR="00930BD5" w:rsidRPr="003C15F1">
        <w:rPr>
          <w:rStyle w:val="ts-alignment-element"/>
          <w:sz w:val="22"/>
          <w:szCs w:val="22"/>
          <w:lang w:val="es-ES"/>
        </w:rPr>
        <w:t>simples,</w:t>
      </w:r>
      <w:r w:rsidR="00930BD5" w:rsidRPr="003C15F1">
        <w:rPr>
          <w:sz w:val="22"/>
          <w:szCs w:val="22"/>
          <w:lang w:val="es-ES"/>
        </w:rPr>
        <w:t xml:space="preserve"> </w:t>
      </w:r>
      <w:r w:rsidR="00930BD5" w:rsidRPr="003C15F1">
        <w:rPr>
          <w:rStyle w:val="ts-alignment-element"/>
          <w:sz w:val="22"/>
          <w:szCs w:val="22"/>
          <w:lang w:val="es-ES"/>
        </w:rPr>
        <w:t>confiables</w:t>
      </w:r>
      <w:r w:rsidR="00930BD5" w:rsidRPr="003C15F1">
        <w:rPr>
          <w:sz w:val="22"/>
          <w:szCs w:val="22"/>
          <w:lang w:val="es-ES"/>
        </w:rPr>
        <w:t xml:space="preserve"> </w:t>
      </w:r>
      <w:r w:rsidR="00930BD5" w:rsidRPr="003C15F1">
        <w:rPr>
          <w:rStyle w:val="ts-alignment-element"/>
          <w:sz w:val="22"/>
          <w:szCs w:val="22"/>
          <w:lang w:val="es-ES"/>
        </w:rPr>
        <w:t>y</w:t>
      </w:r>
      <w:r w:rsidR="00930BD5" w:rsidRPr="003C15F1">
        <w:rPr>
          <w:sz w:val="22"/>
          <w:szCs w:val="22"/>
          <w:lang w:val="es-ES"/>
        </w:rPr>
        <w:t xml:space="preserve"> </w:t>
      </w:r>
      <w:r w:rsidR="00930BD5" w:rsidRPr="003C15F1">
        <w:rPr>
          <w:rStyle w:val="ts-alignment-element"/>
          <w:sz w:val="22"/>
          <w:szCs w:val="22"/>
          <w:lang w:val="es-ES"/>
        </w:rPr>
        <w:t>seguras</w:t>
      </w:r>
      <w:r w:rsidR="00930BD5" w:rsidRPr="003C15F1">
        <w:rPr>
          <w:sz w:val="22"/>
          <w:szCs w:val="22"/>
          <w:lang w:val="es-ES"/>
        </w:rPr>
        <w:t xml:space="preserve"> </w:t>
      </w:r>
      <w:r w:rsidR="00930BD5" w:rsidRPr="003C15F1">
        <w:rPr>
          <w:rStyle w:val="ts-alignment-element"/>
          <w:sz w:val="22"/>
          <w:szCs w:val="22"/>
          <w:lang w:val="es-ES"/>
        </w:rPr>
        <w:t>para</w:t>
      </w:r>
      <w:r w:rsidR="00930BD5" w:rsidRPr="003C15F1">
        <w:rPr>
          <w:sz w:val="22"/>
          <w:szCs w:val="22"/>
          <w:lang w:val="es-ES"/>
        </w:rPr>
        <w:t xml:space="preserve"> </w:t>
      </w:r>
      <w:r w:rsidR="00930BD5" w:rsidRPr="003C15F1">
        <w:rPr>
          <w:rStyle w:val="ts-alignment-element"/>
          <w:sz w:val="22"/>
          <w:szCs w:val="22"/>
          <w:lang w:val="es-ES"/>
        </w:rPr>
        <w:t>involucrar</w:t>
      </w:r>
      <w:r w:rsidR="00930BD5" w:rsidRPr="003C15F1">
        <w:rPr>
          <w:sz w:val="22"/>
          <w:szCs w:val="22"/>
          <w:lang w:val="es-ES"/>
        </w:rPr>
        <w:t xml:space="preserve"> </w:t>
      </w:r>
      <w:r w:rsidR="00930BD5" w:rsidRPr="003C15F1">
        <w:rPr>
          <w:rStyle w:val="ts-alignment-element"/>
          <w:sz w:val="22"/>
          <w:szCs w:val="22"/>
          <w:lang w:val="es-ES"/>
        </w:rPr>
        <w:t>a</w:t>
      </w:r>
      <w:r w:rsidR="00930BD5" w:rsidRPr="003C15F1">
        <w:rPr>
          <w:sz w:val="22"/>
          <w:szCs w:val="22"/>
          <w:lang w:val="es-ES"/>
        </w:rPr>
        <w:t xml:space="preserve"> </w:t>
      </w:r>
      <w:r w:rsidR="00930BD5" w:rsidRPr="003C15F1">
        <w:rPr>
          <w:rStyle w:val="ts-alignment-element"/>
          <w:sz w:val="22"/>
          <w:szCs w:val="22"/>
          <w:lang w:val="es-ES"/>
        </w:rPr>
        <w:t>los</w:t>
      </w:r>
      <w:r w:rsidR="00930BD5" w:rsidRPr="003C15F1">
        <w:rPr>
          <w:sz w:val="22"/>
          <w:szCs w:val="22"/>
          <w:lang w:val="es-ES"/>
        </w:rPr>
        <w:t xml:space="preserve"> </w:t>
      </w:r>
      <w:r w:rsidR="00930BD5" w:rsidRPr="003C15F1">
        <w:rPr>
          <w:rStyle w:val="ts-alignment-element"/>
          <w:sz w:val="22"/>
          <w:szCs w:val="22"/>
          <w:lang w:val="es-ES"/>
        </w:rPr>
        <w:t>Estados</w:t>
      </w:r>
      <w:r w:rsidR="00930BD5" w:rsidRPr="003C15F1">
        <w:rPr>
          <w:sz w:val="22"/>
          <w:szCs w:val="22"/>
          <w:lang w:val="es-ES"/>
        </w:rPr>
        <w:t xml:space="preserve"> </w:t>
      </w:r>
      <w:r w:rsidR="00930BD5" w:rsidRPr="003C15F1">
        <w:rPr>
          <w:rStyle w:val="ts-alignment-element"/>
          <w:sz w:val="22"/>
          <w:szCs w:val="22"/>
          <w:lang w:val="es-ES"/>
        </w:rPr>
        <w:t>Miembros</w:t>
      </w:r>
      <w:r w:rsidR="00930BD5" w:rsidRPr="003C15F1">
        <w:rPr>
          <w:sz w:val="22"/>
          <w:szCs w:val="22"/>
          <w:lang w:val="es-ES"/>
        </w:rPr>
        <w:t xml:space="preserve"> </w:t>
      </w:r>
      <w:r w:rsidR="00930BD5" w:rsidRPr="003C15F1">
        <w:rPr>
          <w:rStyle w:val="ts-alignment-element"/>
          <w:sz w:val="22"/>
          <w:szCs w:val="22"/>
          <w:lang w:val="es-ES"/>
        </w:rPr>
        <w:t>en</w:t>
      </w:r>
      <w:r w:rsidR="00930BD5" w:rsidRPr="003C15F1">
        <w:rPr>
          <w:sz w:val="22"/>
          <w:szCs w:val="22"/>
          <w:lang w:val="es-ES"/>
        </w:rPr>
        <w:t xml:space="preserve"> </w:t>
      </w:r>
      <w:r w:rsidR="00930BD5" w:rsidRPr="003C15F1">
        <w:rPr>
          <w:rStyle w:val="ts-alignment-element"/>
          <w:sz w:val="22"/>
          <w:szCs w:val="22"/>
          <w:lang w:val="es-ES"/>
        </w:rPr>
        <w:t>algunos</w:t>
      </w:r>
      <w:r w:rsidR="00930BD5" w:rsidRPr="003C15F1">
        <w:rPr>
          <w:sz w:val="22"/>
          <w:szCs w:val="22"/>
          <w:lang w:val="es-ES"/>
        </w:rPr>
        <w:t xml:space="preserve"> de </w:t>
      </w:r>
      <w:r w:rsidR="00930BD5" w:rsidRPr="003C15F1">
        <w:rPr>
          <w:rStyle w:val="ts-alignment-element"/>
          <w:sz w:val="22"/>
          <w:szCs w:val="22"/>
          <w:lang w:val="es-ES"/>
        </w:rPr>
        <w:t>los</w:t>
      </w:r>
      <w:r w:rsidR="00930BD5" w:rsidRPr="003C15F1">
        <w:rPr>
          <w:sz w:val="22"/>
          <w:szCs w:val="22"/>
          <w:lang w:val="es-ES"/>
        </w:rPr>
        <w:t xml:space="preserve"> </w:t>
      </w:r>
      <w:r w:rsidR="00930BD5" w:rsidRPr="003C15F1">
        <w:rPr>
          <w:rStyle w:val="ts-alignment-element"/>
          <w:sz w:val="22"/>
          <w:szCs w:val="22"/>
          <w:lang w:val="es-ES"/>
        </w:rPr>
        <w:t>problemas</w:t>
      </w:r>
      <w:r w:rsidR="00930BD5" w:rsidRPr="003C15F1">
        <w:rPr>
          <w:sz w:val="22"/>
          <w:szCs w:val="22"/>
          <w:lang w:val="es-ES"/>
        </w:rPr>
        <w:t xml:space="preserve"> de </w:t>
      </w:r>
      <w:r w:rsidR="00930BD5" w:rsidRPr="003C15F1">
        <w:rPr>
          <w:rStyle w:val="ts-alignment-element"/>
          <w:sz w:val="22"/>
          <w:szCs w:val="22"/>
          <w:lang w:val="es-ES"/>
        </w:rPr>
        <w:t>desarrollo</w:t>
      </w:r>
      <w:r w:rsidR="00930BD5" w:rsidRPr="003C15F1">
        <w:rPr>
          <w:sz w:val="22"/>
          <w:szCs w:val="22"/>
          <w:lang w:val="es-ES"/>
        </w:rPr>
        <w:t xml:space="preserve"> </w:t>
      </w:r>
      <w:r w:rsidR="00930BD5" w:rsidRPr="003C15F1">
        <w:rPr>
          <w:rStyle w:val="ts-alignment-element"/>
          <w:sz w:val="22"/>
          <w:szCs w:val="22"/>
          <w:lang w:val="es-ES"/>
        </w:rPr>
        <w:t>más</w:t>
      </w:r>
      <w:r w:rsidR="00930BD5" w:rsidRPr="003C15F1">
        <w:rPr>
          <w:sz w:val="22"/>
          <w:szCs w:val="22"/>
          <w:lang w:val="es-ES"/>
        </w:rPr>
        <w:t xml:space="preserve"> </w:t>
      </w:r>
      <w:r w:rsidR="00930BD5" w:rsidRPr="003C15F1">
        <w:rPr>
          <w:rStyle w:val="ts-alignment-element"/>
          <w:sz w:val="22"/>
          <w:szCs w:val="22"/>
          <w:lang w:val="es-ES"/>
        </w:rPr>
        <w:t>urgentes</w:t>
      </w:r>
      <w:r w:rsidR="00930BD5" w:rsidRPr="003C15F1">
        <w:rPr>
          <w:sz w:val="22"/>
          <w:szCs w:val="22"/>
          <w:lang w:val="es-ES"/>
        </w:rPr>
        <w:t xml:space="preserve"> que </w:t>
      </w:r>
      <w:r w:rsidR="00930BD5" w:rsidRPr="003C15F1">
        <w:rPr>
          <w:rStyle w:val="ts-alignment-element"/>
          <w:sz w:val="22"/>
          <w:szCs w:val="22"/>
          <w:lang w:val="es-ES"/>
        </w:rPr>
        <w:t>enfrenta</w:t>
      </w:r>
      <w:r w:rsidR="00930BD5" w:rsidRPr="003C15F1">
        <w:rPr>
          <w:sz w:val="22"/>
          <w:szCs w:val="22"/>
          <w:lang w:val="es-ES"/>
        </w:rPr>
        <w:t xml:space="preserve"> </w:t>
      </w:r>
      <w:r w:rsidR="00930BD5" w:rsidRPr="003C15F1">
        <w:rPr>
          <w:rStyle w:val="ts-alignment-element"/>
          <w:sz w:val="22"/>
          <w:szCs w:val="22"/>
          <w:lang w:val="es-ES"/>
        </w:rPr>
        <w:t>nuestra</w:t>
      </w:r>
      <w:r w:rsidR="00930BD5" w:rsidRPr="003C15F1">
        <w:rPr>
          <w:sz w:val="22"/>
          <w:szCs w:val="22"/>
          <w:lang w:val="es-ES"/>
        </w:rPr>
        <w:t xml:space="preserve"> </w:t>
      </w:r>
      <w:r w:rsidR="00930BD5" w:rsidRPr="003C15F1">
        <w:rPr>
          <w:rStyle w:val="ts-alignment-element"/>
          <w:sz w:val="22"/>
          <w:szCs w:val="22"/>
          <w:lang w:val="es-ES"/>
        </w:rPr>
        <w:t>región</w:t>
      </w:r>
      <w:r w:rsidR="00930BD5" w:rsidRPr="003C15F1">
        <w:rPr>
          <w:sz w:val="22"/>
          <w:szCs w:val="22"/>
          <w:lang w:val="es-ES"/>
        </w:rPr>
        <w:t xml:space="preserve"> </w:t>
      </w:r>
      <w:r w:rsidR="00930BD5" w:rsidRPr="003C15F1">
        <w:rPr>
          <w:rStyle w:val="ts-alignment-element"/>
          <w:sz w:val="22"/>
          <w:szCs w:val="22"/>
          <w:lang w:val="es-ES"/>
        </w:rPr>
        <w:t>en</w:t>
      </w:r>
      <w:r w:rsidR="00930BD5" w:rsidRPr="003C15F1">
        <w:rPr>
          <w:sz w:val="22"/>
          <w:szCs w:val="22"/>
          <w:lang w:val="es-ES"/>
        </w:rPr>
        <w:t xml:space="preserve"> </w:t>
      </w:r>
      <w:r w:rsidR="00930BD5" w:rsidRPr="003C15F1">
        <w:rPr>
          <w:rStyle w:val="ts-alignment-element"/>
          <w:sz w:val="22"/>
          <w:szCs w:val="22"/>
          <w:lang w:val="es-ES"/>
        </w:rPr>
        <w:t>este</w:t>
      </w:r>
      <w:r w:rsidR="00930BD5" w:rsidRPr="003C15F1">
        <w:rPr>
          <w:sz w:val="22"/>
          <w:szCs w:val="22"/>
          <w:lang w:val="es-ES"/>
        </w:rPr>
        <w:t xml:space="preserve"> </w:t>
      </w:r>
      <w:r w:rsidR="00930BD5" w:rsidRPr="003C15F1">
        <w:rPr>
          <w:rStyle w:val="ts-alignment-element"/>
          <w:sz w:val="22"/>
          <w:szCs w:val="22"/>
          <w:lang w:val="es-ES"/>
        </w:rPr>
        <w:t>momento:</w:t>
      </w:r>
      <w:r w:rsidR="00930BD5" w:rsidRPr="003C15F1">
        <w:rPr>
          <w:sz w:val="22"/>
          <w:szCs w:val="22"/>
          <w:lang w:val="es-ES"/>
        </w:rPr>
        <w:t xml:space="preserve"> </w:t>
      </w:r>
      <w:r w:rsidR="00930BD5" w:rsidRPr="003C15F1">
        <w:rPr>
          <w:rStyle w:val="ts-alignment-element"/>
          <w:sz w:val="22"/>
          <w:szCs w:val="22"/>
          <w:lang w:val="es-ES"/>
        </w:rPr>
        <w:t>financiamiento</w:t>
      </w:r>
      <w:r w:rsidR="00930BD5" w:rsidRPr="003C15F1">
        <w:rPr>
          <w:sz w:val="22"/>
          <w:szCs w:val="22"/>
          <w:lang w:val="es-ES"/>
        </w:rPr>
        <w:t xml:space="preserve"> </w:t>
      </w:r>
      <w:r w:rsidR="00930BD5" w:rsidRPr="003C15F1">
        <w:rPr>
          <w:rStyle w:val="ts-alignment-element"/>
          <w:sz w:val="22"/>
          <w:szCs w:val="22"/>
          <w:lang w:val="es-ES"/>
        </w:rPr>
        <w:t>climático,</w:t>
      </w:r>
      <w:r w:rsidR="00930BD5" w:rsidRPr="003C15F1">
        <w:rPr>
          <w:sz w:val="22"/>
          <w:szCs w:val="22"/>
          <w:lang w:val="es-ES"/>
        </w:rPr>
        <w:t xml:space="preserve"> </w:t>
      </w:r>
      <w:r w:rsidR="00930BD5" w:rsidRPr="003C15F1">
        <w:rPr>
          <w:rStyle w:val="ts-alignment-element"/>
          <w:sz w:val="22"/>
          <w:szCs w:val="22"/>
          <w:lang w:val="es-ES"/>
        </w:rPr>
        <w:t>seguridad</w:t>
      </w:r>
      <w:r w:rsidR="00930BD5" w:rsidRPr="003C15F1">
        <w:rPr>
          <w:sz w:val="22"/>
          <w:szCs w:val="22"/>
          <w:lang w:val="es-ES"/>
        </w:rPr>
        <w:t xml:space="preserve"> </w:t>
      </w:r>
      <w:r w:rsidR="00C22B41" w:rsidRPr="003C15F1">
        <w:rPr>
          <w:sz w:val="22"/>
          <w:szCs w:val="22"/>
          <w:lang w:val="es-ES"/>
        </w:rPr>
        <w:t xml:space="preserve">alimentaria y </w:t>
      </w:r>
      <w:r w:rsidR="00930BD5" w:rsidRPr="003C15F1">
        <w:rPr>
          <w:rStyle w:val="ts-alignment-element"/>
          <w:sz w:val="22"/>
          <w:szCs w:val="22"/>
          <w:lang w:val="es-ES"/>
        </w:rPr>
        <w:t>nutrici</w:t>
      </w:r>
      <w:r w:rsidR="00C22B41" w:rsidRPr="003C15F1">
        <w:rPr>
          <w:rStyle w:val="ts-alignment-element"/>
          <w:sz w:val="22"/>
          <w:szCs w:val="22"/>
          <w:lang w:val="es-ES"/>
        </w:rPr>
        <w:t>onal</w:t>
      </w:r>
      <w:r w:rsidR="00930BD5" w:rsidRPr="003C15F1">
        <w:rPr>
          <w:rStyle w:val="ts-alignment-element"/>
          <w:sz w:val="22"/>
          <w:szCs w:val="22"/>
          <w:lang w:val="es-ES"/>
        </w:rPr>
        <w:t>,</w:t>
      </w:r>
      <w:r w:rsidR="00930BD5" w:rsidRPr="003C15F1">
        <w:rPr>
          <w:sz w:val="22"/>
          <w:szCs w:val="22"/>
          <w:lang w:val="es-ES"/>
        </w:rPr>
        <w:t xml:space="preserve"> </w:t>
      </w:r>
      <w:r w:rsidR="00930BD5" w:rsidRPr="003C15F1">
        <w:rPr>
          <w:rStyle w:val="ts-alignment-element"/>
          <w:sz w:val="22"/>
          <w:szCs w:val="22"/>
          <w:lang w:val="es-ES"/>
        </w:rPr>
        <w:t>educación</w:t>
      </w:r>
      <w:r w:rsidR="00930BD5" w:rsidRPr="003C15F1">
        <w:rPr>
          <w:sz w:val="22"/>
          <w:szCs w:val="22"/>
          <w:lang w:val="es-ES"/>
        </w:rPr>
        <w:t xml:space="preserve"> </w:t>
      </w:r>
      <w:r w:rsidR="00930BD5" w:rsidRPr="003C15F1">
        <w:rPr>
          <w:rStyle w:val="ts-alignment-element"/>
          <w:sz w:val="22"/>
          <w:szCs w:val="22"/>
          <w:lang w:val="es-ES"/>
        </w:rPr>
        <w:t>y</w:t>
      </w:r>
      <w:r w:rsidR="00930BD5" w:rsidRPr="003C15F1">
        <w:rPr>
          <w:sz w:val="22"/>
          <w:szCs w:val="22"/>
          <w:lang w:val="es-ES"/>
        </w:rPr>
        <w:t xml:space="preserve"> </w:t>
      </w:r>
      <w:r w:rsidR="00930BD5" w:rsidRPr="003C15F1">
        <w:rPr>
          <w:rStyle w:val="ts-alignment-element"/>
          <w:sz w:val="22"/>
          <w:szCs w:val="22"/>
          <w:lang w:val="es-ES"/>
        </w:rPr>
        <w:t>desarrollo</w:t>
      </w:r>
      <w:r w:rsidR="00930BD5" w:rsidRPr="003C15F1">
        <w:rPr>
          <w:sz w:val="22"/>
          <w:szCs w:val="22"/>
          <w:lang w:val="es-ES"/>
        </w:rPr>
        <w:t xml:space="preserve"> </w:t>
      </w:r>
      <w:r w:rsidR="00930BD5" w:rsidRPr="003C15F1">
        <w:rPr>
          <w:rStyle w:val="ts-alignment-element"/>
          <w:sz w:val="22"/>
          <w:szCs w:val="22"/>
          <w:lang w:val="es-ES"/>
        </w:rPr>
        <w:t>humano,</w:t>
      </w:r>
      <w:r w:rsidR="00930BD5" w:rsidRPr="003C15F1">
        <w:rPr>
          <w:sz w:val="22"/>
          <w:szCs w:val="22"/>
          <w:lang w:val="es-ES"/>
        </w:rPr>
        <w:t xml:space="preserve"> </w:t>
      </w:r>
      <w:r w:rsidR="00930BD5" w:rsidRPr="003C15F1">
        <w:rPr>
          <w:rStyle w:val="ts-alignment-element"/>
          <w:sz w:val="22"/>
          <w:szCs w:val="22"/>
          <w:lang w:val="es-ES"/>
        </w:rPr>
        <w:t>transición</w:t>
      </w:r>
      <w:r w:rsidR="00930BD5" w:rsidRPr="003C15F1">
        <w:rPr>
          <w:sz w:val="22"/>
          <w:szCs w:val="22"/>
          <w:lang w:val="es-ES"/>
        </w:rPr>
        <w:t xml:space="preserve"> </w:t>
      </w:r>
      <w:r w:rsidR="00930BD5" w:rsidRPr="003C15F1">
        <w:rPr>
          <w:rStyle w:val="ts-alignment-element"/>
          <w:sz w:val="22"/>
          <w:szCs w:val="22"/>
          <w:lang w:val="es-ES"/>
        </w:rPr>
        <w:t>energética</w:t>
      </w:r>
      <w:r w:rsidR="00930BD5" w:rsidRPr="003C15F1">
        <w:rPr>
          <w:sz w:val="22"/>
          <w:szCs w:val="22"/>
          <w:lang w:val="es-ES"/>
        </w:rPr>
        <w:t xml:space="preserve"> </w:t>
      </w:r>
      <w:r w:rsidR="00930BD5" w:rsidRPr="003C15F1">
        <w:rPr>
          <w:rStyle w:val="ts-alignment-element"/>
          <w:sz w:val="22"/>
          <w:szCs w:val="22"/>
          <w:lang w:val="es-ES"/>
        </w:rPr>
        <w:t>nacional</w:t>
      </w:r>
      <w:r w:rsidR="00930BD5" w:rsidRPr="003C15F1">
        <w:rPr>
          <w:sz w:val="22"/>
          <w:szCs w:val="22"/>
          <w:lang w:val="es-ES"/>
        </w:rPr>
        <w:t xml:space="preserve"> </w:t>
      </w:r>
      <w:r w:rsidR="00930BD5" w:rsidRPr="003C15F1">
        <w:rPr>
          <w:rStyle w:val="ts-alignment-element"/>
          <w:sz w:val="22"/>
          <w:szCs w:val="22"/>
          <w:lang w:val="es-ES"/>
        </w:rPr>
        <w:t>como</w:t>
      </w:r>
      <w:r w:rsidR="00930BD5" w:rsidRPr="003C15F1">
        <w:rPr>
          <w:sz w:val="22"/>
          <w:szCs w:val="22"/>
          <w:lang w:val="es-ES"/>
        </w:rPr>
        <w:t xml:space="preserve"> </w:t>
      </w:r>
      <w:r w:rsidR="00930BD5" w:rsidRPr="003C15F1">
        <w:rPr>
          <w:rStyle w:val="ts-alignment-element"/>
          <w:sz w:val="22"/>
          <w:szCs w:val="22"/>
          <w:lang w:val="es-ES"/>
        </w:rPr>
        <w:t>motor</w:t>
      </w:r>
      <w:r w:rsidR="00930BD5" w:rsidRPr="003C15F1">
        <w:rPr>
          <w:sz w:val="22"/>
          <w:szCs w:val="22"/>
          <w:lang w:val="es-ES"/>
        </w:rPr>
        <w:t xml:space="preserve"> </w:t>
      </w:r>
      <w:r w:rsidR="00930BD5" w:rsidRPr="003C15F1">
        <w:rPr>
          <w:rStyle w:val="ts-alignment-element"/>
          <w:sz w:val="22"/>
          <w:szCs w:val="22"/>
          <w:lang w:val="es-ES"/>
        </w:rPr>
        <w:t>de</w:t>
      </w:r>
      <w:r w:rsidR="00930BD5" w:rsidRPr="003C15F1">
        <w:rPr>
          <w:sz w:val="22"/>
          <w:szCs w:val="22"/>
          <w:lang w:val="es-ES"/>
        </w:rPr>
        <w:t xml:space="preserve"> </w:t>
      </w:r>
      <w:r w:rsidR="00930BD5" w:rsidRPr="003C15F1">
        <w:rPr>
          <w:rStyle w:val="ts-alignment-element"/>
          <w:sz w:val="22"/>
          <w:szCs w:val="22"/>
          <w:lang w:val="es-ES"/>
        </w:rPr>
        <w:t>recuperación,</w:t>
      </w:r>
      <w:r w:rsidR="00930BD5" w:rsidRPr="003C15F1">
        <w:rPr>
          <w:sz w:val="22"/>
          <w:szCs w:val="22"/>
          <w:lang w:val="es-ES"/>
        </w:rPr>
        <w:t xml:space="preserve"> </w:t>
      </w:r>
      <w:r w:rsidR="00930BD5" w:rsidRPr="003C15F1">
        <w:rPr>
          <w:rStyle w:val="ts-alignment-element"/>
          <w:sz w:val="22"/>
          <w:szCs w:val="22"/>
          <w:lang w:val="es-ES"/>
        </w:rPr>
        <w:t>mejora</w:t>
      </w:r>
      <w:r w:rsidR="00930BD5" w:rsidRPr="003C15F1">
        <w:rPr>
          <w:sz w:val="22"/>
          <w:szCs w:val="22"/>
          <w:lang w:val="es-ES"/>
        </w:rPr>
        <w:t xml:space="preserve"> </w:t>
      </w:r>
      <w:r w:rsidR="00930BD5" w:rsidRPr="003C15F1">
        <w:rPr>
          <w:rStyle w:val="ts-alignment-element"/>
          <w:sz w:val="22"/>
          <w:szCs w:val="22"/>
          <w:lang w:val="es-ES"/>
        </w:rPr>
        <w:t>de</w:t>
      </w:r>
      <w:r w:rsidR="00930BD5" w:rsidRPr="003C15F1">
        <w:rPr>
          <w:sz w:val="22"/>
          <w:szCs w:val="22"/>
          <w:lang w:val="es-ES"/>
        </w:rPr>
        <w:t xml:space="preserve"> </w:t>
      </w:r>
      <w:r w:rsidR="00930BD5" w:rsidRPr="003C15F1">
        <w:rPr>
          <w:rStyle w:val="ts-alignment-element"/>
          <w:sz w:val="22"/>
          <w:szCs w:val="22"/>
          <w:lang w:val="es-ES"/>
        </w:rPr>
        <w:t>nuevas</w:t>
      </w:r>
      <w:r w:rsidR="00930BD5" w:rsidRPr="003C15F1">
        <w:rPr>
          <w:sz w:val="22"/>
          <w:szCs w:val="22"/>
          <w:lang w:val="es-ES"/>
        </w:rPr>
        <w:t xml:space="preserve"> </w:t>
      </w:r>
      <w:r w:rsidR="00930BD5" w:rsidRPr="003C15F1">
        <w:rPr>
          <w:rStyle w:val="ts-alignment-element"/>
          <w:sz w:val="22"/>
          <w:szCs w:val="22"/>
          <w:lang w:val="es-ES"/>
        </w:rPr>
        <w:t>habilidades</w:t>
      </w:r>
      <w:r w:rsidR="00930BD5" w:rsidRPr="003C15F1">
        <w:rPr>
          <w:sz w:val="22"/>
          <w:szCs w:val="22"/>
          <w:lang w:val="es-ES"/>
        </w:rPr>
        <w:t xml:space="preserve"> </w:t>
      </w:r>
      <w:r w:rsidR="00930BD5" w:rsidRPr="003C15F1">
        <w:rPr>
          <w:rStyle w:val="ts-alignment-element"/>
          <w:sz w:val="22"/>
          <w:szCs w:val="22"/>
          <w:lang w:val="es-ES"/>
        </w:rPr>
        <w:t>para</w:t>
      </w:r>
      <w:r w:rsidR="00930BD5" w:rsidRPr="003C15F1">
        <w:rPr>
          <w:sz w:val="22"/>
          <w:szCs w:val="22"/>
          <w:lang w:val="es-ES"/>
        </w:rPr>
        <w:t xml:space="preserve"> </w:t>
      </w:r>
      <w:r w:rsidR="00930BD5" w:rsidRPr="003C15F1">
        <w:rPr>
          <w:rStyle w:val="ts-alignment-element"/>
          <w:sz w:val="22"/>
          <w:szCs w:val="22"/>
          <w:lang w:val="es-ES"/>
        </w:rPr>
        <w:t>la</w:t>
      </w:r>
      <w:r w:rsidR="00930BD5" w:rsidRPr="003C15F1">
        <w:rPr>
          <w:sz w:val="22"/>
          <w:szCs w:val="22"/>
          <w:lang w:val="es-ES"/>
        </w:rPr>
        <w:t xml:space="preserve"> </w:t>
      </w:r>
      <w:r w:rsidR="00930BD5" w:rsidRPr="003C15F1">
        <w:rPr>
          <w:rStyle w:val="ts-alignment-element"/>
          <w:sz w:val="22"/>
          <w:szCs w:val="22"/>
          <w:lang w:val="es-ES"/>
        </w:rPr>
        <w:t>revolución</w:t>
      </w:r>
      <w:r w:rsidR="00930BD5" w:rsidRPr="003C15F1">
        <w:rPr>
          <w:sz w:val="22"/>
          <w:szCs w:val="22"/>
          <w:lang w:val="es-ES"/>
        </w:rPr>
        <w:t xml:space="preserve"> </w:t>
      </w:r>
      <w:r w:rsidR="00930BD5" w:rsidRPr="003C15F1">
        <w:rPr>
          <w:rStyle w:val="ts-alignment-element"/>
          <w:sz w:val="22"/>
          <w:szCs w:val="22"/>
          <w:lang w:val="es-ES"/>
        </w:rPr>
        <w:t>industrial,</w:t>
      </w:r>
      <w:r w:rsidR="00930BD5" w:rsidRPr="003C15F1">
        <w:rPr>
          <w:sz w:val="22"/>
          <w:szCs w:val="22"/>
          <w:lang w:val="es-ES"/>
        </w:rPr>
        <w:t xml:space="preserve"> </w:t>
      </w:r>
      <w:r w:rsidR="00930BD5" w:rsidRPr="003C15F1">
        <w:rPr>
          <w:rStyle w:val="ts-alignment-element"/>
          <w:sz w:val="22"/>
          <w:szCs w:val="22"/>
          <w:lang w:val="es-ES"/>
        </w:rPr>
        <w:t>y</w:t>
      </w:r>
      <w:r w:rsidR="00930BD5" w:rsidRPr="003C15F1">
        <w:rPr>
          <w:sz w:val="22"/>
          <w:szCs w:val="22"/>
          <w:lang w:val="es-ES"/>
        </w:rPr>
        <w:t xml:space="preserve"> </w:t>
      </w:r>
      <w:r w:rsidR="00930BD5" w:rsidRPr="003C15F1">
        <w:rPr>
          <w:rStyle w:val="ts-alignment-element"/>
          <w:sz w:val="22"/>
          <w:szCs w:val="22"/>
          <w:lang w:val="es-ES"/>
        </w:rPr>
        <w:t>ciencia</w:t>
      </w:r>
      <w:r w:rsidR="00930BD5" w:rsidRPr="003C15F1">
        <w:rPr>
          <w:sz w:val="22"/>
          <w:szCs w:val="22"/>
          <w:lang w:val="es-ES"/>
        </w:rPr>
        <w:t xml:space="preserve"> </w:t>
      </w:r>
      <w:r w:rsidR="00930BD5" w:rsidRPr="003C15F1">
        <w:rPr>
          <w:rStyle w:val="ts-alignment-element"/>
          <w:sz w:val="22"/>
          <w:szCs w:val="22"/>
          <w:lang w:val="es-ES"/>
        </w:rPr>
        <w:t>para</w:t>
      </w:r>
      <w:r w:rsidR="00930BD5" w:rsidRPr="003C15F1">
        <w:rPr>
          <w:sz w:val="22"/>
          <w:szCs w:val="22"/>
          <w:lang w:val="es-ES"/>
        </w:rPr>
        <w:t xml:space="preserve"> </w:t>
      </w:r>
      <w:r w:rsidR="00930BD5" w:rsidRPr="003C15F1">
        <w:rPr>
          <w:rStyle w:val="ts-alignment-element"/>
          <w:sz w:val="22"/>
          <w:szCs w:val="22"/>
          <w:lang w:val="es-ES"/>
        </w:rPr>
        <w:t>la</w:t>
      </w:r>
      <w:r w:rsidR="00930BD5" w:rsidRPr="003C15F1">
        <w:rPr>
          <w:sz w:val="22"/>
          <w:szCs w:val="22"/>
          <w:lang w:val="es-ES"/>
        </w:rPr>
        <w:t xml:space="preserve"> </w:t>
      </w:r>
      <w:r w:rsidR="00930BD5" w:rsidRPr="003C15F1">
        <w:rPr>
          <w:rStyle w:val="ts-alignment-element"/>
          <w:sz w:val="22"/>
          <w:szCs w:val="22"/>
          <w:lang w:val="es-ES"/>
        </w:rPr>
        <w:t>toma</w:t>
      </w:r>
      <w:r w:rsidR="00930BD5" w:rsidRPr="003C15F1">
        <w:rPr>
          <w:sz w:val="22"/>
          <w:szCs w:val="22"/>
          <w:lang w:val="es-ES"/>
        </w:rPr>
        <w:t xml:space="preserve"> </w:t>
      </w:r>
      <w:r w:rsidR="00930BD5" w:rsidRPr="003C15F1">
        <w:rPr>
          <w:rStyle w:val="ts-alignment-element"/>
          <w:sz w:val="22"/>
          <w:szCs w:val="22"/>
          <w:lang w:val="es-ES"/>
        </w:rPr>
        <w:t>de</w:t>
      </w:r>
      <w:r w:rsidR="00930BD5" w:rsidRPr="003C15F1">
        <w:rPr>
          <w:sz w:val="22"/>
          <w:szCs w:val="22"/>
          <w:lang w:val="es-ES"/>
        </w:rPr>
        <w:t xml:space="preserve"> </w:t>
      </w:r>
      <w:r w:rsidR="00930BD5" w:rsidRPr="003C15F1">
        <w:rPr>
          <w:rStyle w:val="ts-alignment-element"/>
          <w:sz w:val="22"/>
          <w:szCs w:val="22"/>
          <w:lang w:val="es-ES"/>
        </w:rPr>
        <w:t>decisiones,</w:t>
      </w:r>
      <w:r w:rsidR="00930BD5" w:rsidRPr="003C15F1">
        <w:rPr>
          <w:sz w:val="22"/>
          <w:szCs w:val="22"/>
          <w:lang w:val="es-ES"/>
        </w:rPr>
        <w:t xml:space="preserve"> </w:t>
      </w:r>
      <w:r w:rsidR="00930BD5" w:rsidRPr="003C15F1">
        <w:rPr>
          <w:rStyle w:val="ts-alignment-element"/>
          <w:sz w:val="22"/>
          <w:szCs w:val="22"/>
          <w:lang w:val="es-ES"/>
        </w:rPr>
        <w:t>brecha</w:t>
      </w:r>
      <w:r w:rsidR="00930BD5" w:rsidRPr="003C15F1">
        <w:rPr>
          <w:sz w:val="22"/>
          <w:szCs w:val="22"/>
          <w:lang w:val="es-ES"/>
        </w:rPr>
        <w:t xml:space="preserve"> </w:t>
      </w:r>
      <w:r w:rsidR="00930BD5" w:rsidRPr="003C15F1">
        <w:rPr>
          <w:rStyle w:val="ts-alignment-element"/>
          <w:sz w:val="22"/>
          <w:szCs w:val="22"/>
          <w:lang w:val="es-ES"/>
        </w:rPr>
        <w:t>de</w:t>
      </w:r>
      <w:r w:rsidR="00930BD5" w:rsidRPr="003C15F1">
        <w:rPr>
          <w:sz w:val="22"/>
          <w:szCs w:val="22"/>
          <w:lang w:val="es-ES"/>
        </w:rPr>
        <w:t xml:space="preserve"> </w:t>
      </w:r>
      <w:r w:rsidR="00930BD5" w:rsidRPr="003C15F1">
        <w:rPr>
          <w:rStyle w:val="ts-alignment-element"/>
          <w:sz w:val="22"/>
          <w:szCs w:val="22"/>
          <w:lang w:val="es-ES"/>
        </w:rPr>
        <w:t>habilidades</w:t>
      </w:r>
      <w:r w:rsidR="00930BD5" w:rsidRPr="003C15F1">
        <w:rPr>
          <w:sz w:val="22"/>
          <w:szCs w:val="22"/>
          <w:lang w:val="es-ES"/>
        </w:rPr>
        <w:t xml:space="preserve"> </w:t>
      </w:r>
      <w:r w:rsidR="00930BD5" w:rsidRPr="003C15F1">
        <w:rPr>
          <w:rStyle w:val="ts-alignment-element"/>
          <w:sz w:val="22"/>
          <w:szCs w:val="22"/>
          <w:lang w:val="es-ES"/>
        </w:rPr>
        <w:t>juveniles</w:t>
      </w:r>
      <w:r w:rsidR="00930BD5" w:rsidRPr="003C15F1">
        <w:rPr>
          <w:sz w:val="22"/>
          <w:szCs w:val="22"/>
          <w:lang w:val="es-ES"/>
        </w:rPr>
        <w:t xml:space="preserve"> </w:t>
      </w:r>
      <w:r w:rsidR="00930BD5" w:rsidRPr="003C15F1">
        <w:rPr>
          <w:rStyle w:val="ts-alignment-element"/>
          <w:sz w:val="22"/>
          <w:szCs w:val="22"/>
          <w:lang w:val="es-ES"/>
        </w:rPr>
        <w:t>y</w:t>
      </w:r>
      <w:r w:rsidR="00930BD5" w:rsidRPr="003C15F1">
        <w:rPr>
          <w:sz w:val="22"/>
          <w:szCs w:val="22"/>
          <w:lang w:val="es-ES"/>
        </w:rPr>
        <w:t xml:space="preserve"> </w:t>
      </w:r>
      <w:r w:rsidR="00930BD5" w:rsidRPr="003C15F1">
        <w:rPr>
          <w:rStyle w:val="ts-alignment-element"/>
          <w:sz w:val="22"/>
          <w:szCs w:val="22"/>
          <w:lang w:val="es-ES"/>
        </w:rPr>
        <w:t>preparación</w:t>
      </w:r>
      <w:r w:rsidR="00930BD5" w:rsidRPr="003C15F1">
        <w:rPr>
          <w:sz w:val="22"/>
          <w:szCs w:val="22"/>
          <w:lang w:val="es-ES"/>
        </w:rPr>
        <w:t xml:space="preserve"> </w:t>
      </w:r>
      <w:r w:rsidR="00930BD5" w:rsidRPr="003C15F1">
        <w:rPr>
          <w:rStyle w:val="ts-alignment-element"/>
          <w:sz w:val="22"/>
          <w:szCs w:val="22"/>
          <w:lang w:val="es-ES"/>
        </w:rPr>
        <w:t>para</w:t>
      </w:r>
      <w:r w:rsidR="00930BD5" w:rsidRPr="003C15F1">
        <w:rPr>
          <w:sz w:val="22"/>
          <w:szCs w:val="22"/>
          <w:lang w:val="es-ES"/>
        </w:rPr>
        <w:t xml:space="preserve"> </w:t>
      </w:r>
      <w:r w:rsidR="00930BD5" w:rsidRPr="003C15F1">
        <w:rPr>
          <w:rStyle w:val="ts-alignment-element"/>
          <w:sz w:val="22"/>
          <w:szCs w:val="22"/>
          <w:lang w:val="es-ES"/>
        </w:rPr>
        <w:t>la</w:t>
      </w:r>
      <w:r w:rsidR="00930BD5" w:rsidRPr="003C15F1">
        <w:rPr>
          <w:sz w:val="22"/>
          <w:szCs w:val="22"/>
          <w:lang w:val="es-ES"/>
        </w:rPr>
        <w:t xml:space="preserve"> </w:t>
      </w:r>
      <w:r w:rsidR="00930BD5" w:rsidRPr="003C15F1">
        <w:rPr>
          <w:rStyle w:val="ts-alignment-element"/>
          <w:sz w:val="22"/>
          <w:szCs w:val="22"/>
          <w:lang w:val="es-ES"/>
        </w:rPr>
        <w:t>industria</w:t>
      </w:r>
      <w:r w:rsidR="00930BD5" w:rsidRPr="003C15F1">
        <w:rPr>
          <w:sz w:val="22"/>
          <w:szCs w:val="22"/>
          <w:lang w:val="es-ES"/>
        </w:rPr>
        <w:t xml:space="preserve"> 4.0, promoviendo la inclusión de mujeres, comunidades rurales e indígenas y otras poblaciones en situación </w:t>
      </w:r>
      <w:r w:rsidR="00C22B41" w:rsidRPr="003C15F1">
        <w:rPr>
          <w:sz w:val="22"/>
          <w:szCs w:val="22"/>
          <w:lang w:val="es-ES"/>
        </w:rPr>
        <w:t xml:space="preserve">de vulnerabilidad </w:t>
      </w:r>
      <w:r w:rsidR="00930BD5" w:rsidRPr="003C15F1">
        <w:rPr>
          <w:sz w:val="22"/>
          <w:szCs w:val="22"/>
          <w:lang w:val="es-ES"/>
        </w:rPr>
        <w:t>en CTI, colaboración público-privada-academia para mejorar la calidad de vida y apoyar a las micro, pequeñas y medianas empresas (MIPYMES), entre otros.</w:t>
      </w:r>
    </w:p>
    <w:p w14:paraId="01686066" w14:textId="6FD99A1B" w:rsidR="00C26985" w:rsidRPr="00C26985" w:rsidRDefault="00C26985" w:rsidP="003C15F1">
      <w:pPr>
        <w:shd w:val="clear" w:color="auto" w:fill="FDFDFD"/>
        <w:rPr>
          <w:sz w:val="22"/>
          <w:szCs w:val="22"/>
          <w:lang w:val="es-ES"/>
        </w:rPr>
      </w:pPr>
    </w:p>
    <w:p w14:paraId="34ABCA39" w14:textId="1E03C80E" w:rsidR="00E837C2" w:rsidRPr="003C15F1" w:rsidRDefault="00706CC1" w:rsidP="003C15F1">
      <w:pPr>
        <w:tabs>
          <w:tab w:val="left" w:pos="720"/>
          <w:tab w:val="left" w:pos="1440"/>
          <w:tab w:val="left" w:pos="9270"/>
        </w:tabs>
        <w:jc w:val="both"/>
        <w:rPr>
          <w:sz w:val="22"/>
          <w:szCs w:val="22"/>
          <w:lang w:val="es-ES"/>
        </w:rPr>
      </w:pPr>
      <w:r w:rsidRPr="003C15F1">
        <w:rPr>
          <w:rStyle w:val="ts-alignment-element"/>
          <w:sz w:val="22"/>
          <w:szCs w:val="22"/>
          <w:lang w:val="es-ES"/>
        </w:rPr>
        <w:tab/>
      </w:r>
      <w:r w:rsidR="00C22B41" w:rsidRPr="003C15F1">
        <w:rPr>
          <w:rStyle w:val="ts-alignment-element"/>
          <w:sz w:val="22"/>
          <w:szCs w:val="22"/>
          <w:lang w:val="es-ES"/>
        </w:rPr>
        <w:t>Como</w:t>
      </w:r>
      <w:r w:rsidR="00C22B41" w:rsidRPr="003C15F1">
        <w:rPr>
          <w:sz w:val="22"/>
          <w:szCs w:val="22"/>
          <w:lang w:val="es-ES"/>
        </w:rPr>
        <w:t xml:space="preserve"> </w:t>
      </w:r>
      <w:r w:rsidR="00C22B41" w:rsidRPr="003C15F1">
        <w:rPr>
          <w:rStyle w:val="ts-alignment-element"/>
          <w:sz w:val="22"/>
          <w:szCs w:val="22"/>
          <w:lang w:val="es-ES"/>
        </w:rPr>
        <w:t>es</w:t>
      </w:r>
      <w:r w:rsidR="00C22B41" w:rsidRPr="003C15F1">
        <w:rPr>
          <w:sz w:val="22"/>
          <w:szCs w:val="22"/>
          <w:lang w:val="es-ES"/>
        </w:rPr>
        <w:t xml:space="preserve"> </w:t>
      </w:r>
      <w:r w:rsidR="00C22B41" w:rsidRPr="003C15F1">
        <w:rPr>
          <w:rStyle w:val="ts-alignment-element"/>
          <w:sz w:val="22"/>
          <w:szCs w:val="22"/>
          <w:lang w:val="es-ES"/>
        </w:rPr>
        <w:t>bien</w:t>
      </w:r>
      <w:r w:rsidR="00C22B41" w:rsidRPr="003C15F1">
        <w:rPr>
          <w:sz w:val="22"/>
          <w:szCs w:val="22"/>
          <w:lang w:val="es-ES"/>
        </w:rPr>
        <w:t xml:space="preserve"> </w:t>
      </w:r>
      <w:r w:rsidR="00C22B41" w:rsidRPr="003C15F1">
        <w:rPr>
          <w:rStyle w:val="ts-alignment-element"/>
          <w:sz w:val="22"/>
          <w:szCs w:val="22"/>
          <w:lang w:val="es-ES"/>
        </w:rPr>
        <w:t>sabido,</w:t>
      </w:r>
      <w:r w:rsidR="00C22B41" w:rsidRPr="003C15F1">
        <w:rPr>
          <w:sz w:val="22"/>
          <w:szCs w:val="22"/>
          <w:lang w:val="es-ES"/>
        </w:rPr>
        <w:t xml:space="preserve"> </w:t>
      </w:r>
      <w:r w:rsidR="00C22B41" w:rsidRPr="003C15F1">
        <w:rPr>
          <w:rStyle w:val="ts-alignment-element"/>
          <w:sz w:val="22"/>
          <w:szCs w:val="22"/>
          <w:lang w:val="es-ES"/>
        </w:rPr>
        <w:t>los</w:t>
      </w:r>
      <w:r w:rsidR="00C22B41" w:rsidRPr="003C15F1">
        <w:rPr>
          <w:sz w:val="22"/>
          <w:szCs w:val="22"/>
          <w:lang w:val="es-ES"/>
        </w:rPr>
        <w:t xml:space="preserve"> </w:t>
      </w:r>
      <w:r w:rsidR="00C22B41" w:rsidRPr="003C15F1">
        <w:rPr>
          <w:rStyle w:val="ts-alignment-element"/>
          <w:sz w:val="22"/>
          <w:szCs w:val="22"/>
          <w:lang w:val="es-ES"/>
        </w:rPr>
        <w:t>sectores</w:t>
      </w:r>
      <w:r w:rsidR="00C22B41" w:rsidRPr="003C15F1">
        <w:rPr>
          <w:sz w:val="22"/>
          <w:szCs w:val="22"/>
          <w:lang w:val="es-ES"/>
        </w:rPr>
        <w:t xml:space="preserve"> </w:t>
      </w:r>
      <w:r w:rsidR="00C22B41" w:rsidRPr="003C15F1">
        <w:rPr>
          <w:rStyle w:val="ts-alignment-element"/>
          <w:sz w:val="22"/>
          <w:szCs w:val="22"/>
          <w:lang w:val="es-ES"/>
        </w:rPr>
        <w:t>de</w:t>
      </w:r>
      <w:r w:rsidR="00C22B41" w:rsidRPr="003C15F1">
        <w:rPr>
          <w:sz w:val="22"/>
          <w:szCs w:val="22"/>
          <w:lang w:val="es-ES"/>
        </w:rPr>
        <w:t xml:space="preserve"> </w:t>
      </w:r>
      <w:r w:rsidR="00C22B41" w:rsidRPr="003C15F1">
        <w:rPr>
          <w:rStyle w:val="ts-alignment-element"/>
          <w:sz w:val="22"/>
          <w:szCs w:val="22"/>
          <w:lang w:val="es-ES"/>
        </w:rPr>
        <w:t>viajes</w:t>
      </w:r>
      <w:r w:rsidR="00C22B41" w:rsidRPr="003C15F1">
        <w:rPr>
          <w:sz w:val="22"/>
          <w:szCs w:val="22"/>
          <w:lang w:val="es-ES"/>
        </w:rPr>
        <w:t xml:space="preserve"> </w:t>
      </w:r>
      <w:r w:rsidR="00C22B41" w:rsidRPr="003C15F1">
        <w:rPr>
          <w:rStyle w:val="ts-alignment-element"/>
          <w:sz w:val="22"/>
          <w:szCs w:val="22"/>
          <w:lang w:val="es-ES"/>
        </w:rPr>
        <w:t>y</w:t>
      </w:r>
      <w:r w:rsidR="00C22B41" w:rsidRPr="003C15F1">
        <w:rPr>
          <w:sz w:val="22"/>
          <w:szCs w:val="22"/>
          <w:lang w:val="es-ES"/>
        </w:rPr>
        <w:t xml:space="preserve"> </w:t>
      </w:r>
      <w:r w:rsidR="00C22B41" w:rsidRPr="003C15F1">
        <w:rPr>
          <w:rStyle w:val="ts-alignment-element"/>
          <w:sz w:val="22"/>
          <w:szCs w:val="22"/>
          <w:lang w:val="es-ES"/>
        </w:rPr>
        <w:t>turismo</w:t>
      </w:r>
      <w:r w:rsidR="00C22B41" w:rsidRPr="003C15F1">
        <w:rPr>
          <w:sz w:val="22"/>
          <w:szCs w:val="22"/>
          <w:lang w:val="es-ES"/>
        </w:rPr>
        <w:t xml:space="preserve"> </w:t>
      </w:r>
      <w:r w:rsidR="00C22B41" w:rsidRPr="003C15F1">
        <w:rPr>
          <w:rStyle w:val="ts-alignment-element"/>
          <w:sz w:val="22"/>
          <w:szCs w:val="22"/>
          <w:lang w:val="es-ES"/>
        </w:rPr>
        <w:t>han</w:t>
      </w:r>
      <w:r w:rsidR="00C22B41" w:rsidRPr="003C15F1">
        <w:rPr>
          <w:sz w:val="22"/>
          <w:szCs w:val="22"/>
          <w:lang w:val="es-ES"/>
        </w:rPr>
        <w:t xml:space="preserve"> </w:t>
      </w:r>
      <w:r w:rsidR="00C22B41" w:rsidRPr="003C15F1">
        <w:rPr>
          <w:rStyle w:val="ts-alignment-element"/>
          <w:sz w:val="22"/>
          <w:szCs w:val="22"/>
          <w:lang w:val="es-ES"/>
        </w:rPr>
        <w:t>estado</w:t>
      </w:r>
      <w:r w:rsidR="00C22B41" w:rsidRPr="003C15F1">
        <w:rPr>
          <w:sz w:val="22"/>
          <w:szCs w:val="22"/>
          <w:lang w:val="es-ES"/>
        </w:rPr>
        <w:t xml:space="preserve"> </w:t>
      </w:r>
      <w:r w:rsidR="00C22B41" w:rsidRPr="003C15F1">
        <w:rPr>
          <w:rStyle w:val="ts-alignment-element"/>
          <w:sz w:val="22"/>
          <w:szCs w:val="22"/>
          <w:lang w:val="es-ES"/>
        </w:rPr>
        <w:t>entre</w:t>
      </w:r>
      <w:r w:rsidR="00C22B41" w:rsidRPr="003C15F1">
        <w:rPr>
          <w:sz w:val="22"/>
          <w:szCs w:val="22"/>
          <w:lang w:val="es-ES"/>
        </w:rPr>
        <w:t xml:space="preserve"> </w:t>
      </w:r>
      <w:r w:rsidR="00C22B41" w:rsidRPr="003C15F1">
        <w:rPr>
          <w:rStyle w:val="ts-alignment-element"/>
          <w:sz w:val="22"/>
          <w:szCs w:val="22"/>
          <w:lang w:val="es-ES"/>
        </w:rPr>
        <w:t>los</w:t>
      </w:r>
      <w:r w:rsidR="00C22B41" w:rsidRPr="003C15F1">
        <w:rPr>
          <w:sz w:val="22"/>
          <w:szCs w:val="22"/>
          <w:lang w:val="es-ES"/>
        </w:rPr>
        <w:t xml:space="preserve"> </w:t>
      </w:r>
      <w:r w:rsidR="00C22B41" w:rsidRPr="003C15F1">
        <w:rPr>
          <w:rStyle w:val="ts-alignment-element"/>
          <w:sz w:val="22"/>
          <w:szCs w:val="22"/>
          <w:lang w:val="es-ES"/>
        </w:rPr>
        <w:t>más</w:t>
      </w:r>
      <w:r w:rsidR="00C22B41" w:rsidRPr="003C15F1">
        <w:rPr>
          <w:sz w:val="22"/>
          <w:szCs w:val="22"/>
          <w:lang w:val="es-ES"/>
        </w:rPr>
        <w:t xml:space="preserve"> </w:t>
      </w:r>
      <w:r w:rsidR="00C22B41" w:rsidRPr="003C15F1">
        <w:rPr>
          <w:rStyle w:val="ts-alignment-element"/>
          <w:sz w:val="22"/>
          <w:szCs w:val="22"/>
          <w:lang w:val="es-ES"/>
        </w:rPr>
        <w:t>afectados</w:t>
      </w:r>
      <w:r w:rsidR="00C22B41" w:rsidRPr="003C15F1">
        <w:rPr>
          <w:sz w:val="22"/>
          <w:szCs w:val="22"/>
          <w:lang w:val="es-ES"/>
        </w:rPr>
        <w:t xml:space="preserve"> </w:t>
      </w:r>
      <w:r w:rsidR="00C22B41" w:rsidRPr="003C15F1">
        <w:rPr>
          <w:rStyle w:val="ts-alignment-element"/>
          <w:sz w:val="22"/>
          <w:szCs w:val="22"/>
          <w:lang w:val="es-ES"/>
        </w:rPr>
        <w:t>por</w:t>
      </w:r>
      <w:r w:rsidR="00C22B41" w:rsidRPr="003C15F1">
        <w:rPr>
          <w:sz w:val="22"/>
          <w:szCs w:val="22"/>
          <w:lang w:val="es-ES"/>
        </w:rPr>
        <w:t xml:space="preserve"> </w:t>
      </w:r>
      <w:r w:rsidR="00C22B41" w:rsidRPr="003C15F1">
        <w:rPr>
          <w:rStyle w:val="ts-alignment-element"/>
          <w:sz w:val="22"/>
          <w:szCs w:val="22"/>
          <w:lang w:val="es-ES"/>
        </w:rPr>
        <w:t>la</w:t>
      </w:r>
      <w:r w:rsidR="00C22B41" w:rsidRPr="003C15F1">
        <w:rPr>
          <w:sz w:val="22"/>
          <w:szCs w:val="22"/>
          <w:lang w:val="es-ES"/>
        </w:rPr>
        <w:t xml:space="preserve"> </w:t>
      </w:r>
      <w:r w:rsidR="00C22B41" w:rsidRPr="003C15F1">
        <w:rPr>
          <w:rStyle w:val="ts-alignment-element"/>
          <w:sz w:val="22"/>
          <w:szCs w:val="22"/>
          <w:lang w:val="es-ES"/>
        </w:rPr>
        <w:t>pandemia</w:t>
      </w:r>
      <w:r w:rsidR="00C22B41" w:rsidRPr="003C15F1">
        <w:rPr>
          <w:sz w:val="22"/>
          <w:szCs w:val="22"/>
          <w:lang w:val="es-ES"/>
        </w:rPr>
        <w:t xml:space="preserve"> </w:t>
      </w:r>
      <w:r w:rsidR="00C22B41" w:rsidRPr="003C15F1">
        <w:rPr>
          <w:rStyle w:val="ts-alignment-element"/>
          <w:sz w:val="22"/>
          <w:szCs w:val="22"/>
          <w:lang w:val="es-ES"/>
        </w:rPr>
        <w:t>de</w:t>
      </w:r>
      <w:r w:rsidR="00C22B41" w:rsidRPr="003C15F1">
        <w:rPr>
          <w:sz w:val="22"/>
          <w:szCs w:val="22"/>
          <w:lang w:val="es-ES"/>
        </w:rPr>
        <w:t xml:space="preserve"> </w:t>
      </w:r>
      <w:r w:rsidR="00C22B41" w:rsidRPr="003C15F1">
        <w:rPr>
          <w:rStyle w:val="ts-alignment-element"/>
          <w:sz w:val="22"/>
          <w:szCs w:val="22"/>
          <w:lang w:val="es-ES"/>
        </w:rPr>
        <w:t>COVID-19.</w:t>
      </w:r>
      <w:r w:rsidR="00C22B41" w:rsidRPr="003C15F1">
        <w:rPr>
          <w:sz w:val="22"/>
          <w:szCs w:val="22"/>
          <w:lang w:val="es-ES"/>
        </w:rPr>
        <w:t xml:space="preserve"> </w:t>
      </w:r>
      <w:r w:rsidR="00C22B41" w:rsidRPr="003C15F1">
        <w:rPr>
          <w:rStyle w:val="ts-alignment-element"/>
          <w:sz w:val="22"/>
          <w:szCs w:val="22"/>
          <w:lang w:val="es-ES"/>
        </w:rPr>
        <w:t>Las</w:t>
      </w:r>
      <w:r w:rsidR="00C22B41" w:rsidRPr="003C15F1">
        <w:rPr>
          <w:sz w:val="22"/>
          <w:szCs w:val="22"/>
          <w:lang w:val="es-ES"/>
        </w:rPr>
        <w:t xml:space="preserve"> </w:t>
      </w:r>
      <w:r w:rsidR="00C22B41" w:rsidRPr="003C15F1">
        <w:rPr>
          <w:rStyle w:val="ts-alignment-element"/>
          <w:sz w:val="22"/>
          <w:szCs w:val="22"/>
          <w:lang w:val="es-ES"/>
        </w:rPr>
        <w:t>llegadas</w:t>
      </w:r>
      <w:r w:rsidR="00C22B41" w:rsidRPr="003C15F1">
        <w:rPr>
          <w:sz w:val="22"/>
          <w:szCs w:val="22"/>
          <w:lang w:val="es-ES"/>
        </w:rPr>
        <w:t xml:space="preserve"> </w:t>
      </w:r>
      <w:r w:rsidR="00C22B41" w:rsidRPr="003C15F1">
        <w:rPr>
          <w:rStyle w:val="ts-alignment-element"/>
          <w:sz w:val="22"/>
          <w:szCs w:val="22"/>
          <w:lang w:val="es-ES"/>
        </w:rPr>
        <w:t>de</w:t>
      </w:r>
      <w:r w:rsidR="00C22B41" w:rsidRPr="003C15F1">
        <w:rPr>
          <w:sz w:val="22"/>
          <w:szCs w:val="22"/>
          <w:lang w:val="es-ES"/>
        </w:rPr>
        <w:t xml:space="preserve"> </w:t>
      </w:r>
      <w:r w:rsidR="00C22B41" w:rsidRPr="003C15F1">
        <w:rPr>
          <w:rStyle w:val="ts-alignment-element"/>
          <w:sz w:val="22"/>
          <w:szCs w:val="22"/>
          <w:lang w:val="es-ES"/>
        </w:rPr>
        <w:t>turistas</w:t>
      </w:r>
      <w:r w:rsidR="00C22B41" w:rsidRPr="003C15F1">
        <w:rPr>
          <w:sz w:val="22"/>
          <w:szCs w:val="22"/>
          <w:lang w:val="es-ES"/>
        </w:rPr>
        <w:t xml:space="preserve"> internacionales en todo el mundo </w:t>
      </w:r>
      <w:r w:rsidR="00C22B41" w:rsidRPr="003C15F1">
        <w:rPr>
          <w:rStyle w:val="ts-alignment-element"/>
          <w:sz w:val="22"/>
          <w:szCs w:val="22"/>
          <w:lang w:val="es-ES"/>
        </w:rPr>
        <w:t>disminuyeron en medio de restricciones</w:t>
      </w:r>
      <w:r w:rsidR="00C22B41" w:rsidRPr="003C15F1">
        <w:rPr>
          <w:sz w:val="22"/>
          <w:szCs w:val="22"/>
          <w:lang w:val="es-ES"/>
        </w:rPr>
        <w:t xml:space="preserve"> globales </w:t>
      </w:r>
      <w:r w:rsidR="00C22B41" w:rsidRPr="003C15F1">
        <w:rPr>
          <w:rStyle w:val="ts-alignment-element"/>
          <w:sz w:val="22"/>
          <w:szCs w:val="22"/>
          <w:lang w:val="es-ES"/>
        </w:rPr>
        <w:t>adoptadas</w:t>
      </w:r>
      <w:r w:rsidR="00C22B41" w:rsidRPr="003C15F1">
        <w:rPr>
          <w:sz w:val="22"/>
          <w:szCs w:val="22"/>
          <w:lang w:val="es-ES"/>
        </w:rPr>
        <w:t xml:space="preserve"> </w:t>
      </w:r>
      <w:r w:rsidR="00C22B41" w:rsidRPr="003C15F1">
        <w:rPr>
          <w:rStyle w:val="ts-alignment-element"/>
          <w:sz w:val="22"/>
          <w:szCs w:val="22"/>
          <w:lang w:val="es-ES"/>
        </w:rPr>
        <w:t>para</w:t>
      </w:r>
      <w:r w:rsidR="00C22B41" w:rsidRPr="003C15F1">
        <w:rPr>
          <w:sz w:val="22"/>
          <w:szCs w:val="22"/>
          <w:lang w:val="es-ES"/>
        </w:rPr>
        <w:t xml:space="preserve"> </w:t>
      </w:r>
      <w:r w:rsidR="00C22B41" w:rsidRPr="003C15F1">
        <w:rPr>
          <w:rStyle w:val="ts-alignment-element"/>
          <w:sz w:val="22"/>
          <w:szCs w:val="22"/>
          <w:lang w:val="es-ES"/>
        </w:rPr>
        <w:t>contener</w:t>
      </w:r>
      <w:r w:rsidR="00C22B41" w:rsidRPr="003C15F1">
        <w:rPr>
          <w:sz w:val="22"/>
          <w:szCs w:val="22"/>
          <w:lang w:val="es-ES"/>
        </w:rPr>
        <w:t xml:space="preserve"> </w:t>
      </w:r>
      <w:r w:rsidR="00C22B41" w:rsidRPr="003C15F1">
        <w:rPr>
          <w:rStyle w:val="ts-alignment-element"/>
          <w:sz w:val="22"/>
          <w:szCs w:val="22"/>
          <w:lang w:val="es-ES"/>
        </w:rPr>
        <w:t>la</w:t>
      </w:r>
      <w:r w:rsidR="00C22B41" w:rsidRPr="003C15F1">
        <w:rPr>
          <w:sz w:val="22"/>
          <w:szCs w:val="22"/>
          <w:lang w:val="es-ES"/>
        </w:rPr>
        <w:t xml:space="preserve"> </w:t>
      </w:r>
      <w:r w:rsidR="00C22B41" w:rsidRPr="003C15F1">
        <w:rPr>
          <w:rStyle w:val="ts-alignment-element"/>
          <w:sz w:val="22"/>
          <w:szCs w:val="22"/>
          <w:lang w:val="es-ES"/>
        </w:rPr>
        <w:t>actual</w:t>
      </w:r>
      <w:r w:rsidR="00C22B41" w:rsidRPr="003C15F1">
        <w:rPr>
          <w:sz w:val="22"/>
          <w:szCs w:val="22"/>
          <w:lang w:val="es-ES"/>
        </w:rPr>
        <w:t xml:space="preserve"> </w:t>
      </w:r>
      <w:r w:rsidR="00C22B41" w:rsidRPr="003C15F1">
        <w:rPr>
          <w:rStyle w:val="ts-alignment-element"/>
          <w:sz w:val="22"/>
          <w:szCs w:val="22"/>
          <w:lang w:val="es-ES"/>
        </w:rPr>
        <w:t>pandemia</w:t>
      </w:r>
      <w:r w:rsidR="00C22B41" w:rsidRPr="003C15F1">
        <w:rPr>
          <w:sz w:val="22"/>
          <w:szCs w:val="22"/>
          <w:lang w:val="es-ES"/>
        </w:rPr>
        <w:t xml:space="preserve"> </w:t>
      </w:r>
      <w:r w:rsidR="00C22B41" w:rsidRPr="003C15F1">
        <w:rPr>
          <w:rStyle w:val="ts-alignment-element"/>
          <w:sz w:val="22"/>
          <w:szCs w:val="22"/>
          <w:lang w:val="es-ES"/>
        </w:rPr>
        <w:t>de</w:t>
      </w:r>
      <w:r w:rsidR="00C22B41" w:rsidRPr="003C15F1">
        <w:rPr>
          <w:sz w:val="22"/>
          <w:szCs w:val="22"/>
          <w:lang w:val="es-ES"/>
        </w:rPr>
        <w:t xml:space="preserve"> </w:t>
      </w:r>
      <w:r w:rsidR="00C22B41" w:rsidRPr="003C15F1">
        <w:rPr>
          <w:rStyle w:val="ts-alignment-element"/>
          <w:sz w:val="22"/>
          <w:szCs w:val="22"/>
          <w:lang w:val="es-ES"/>
        </w:rPr>
        <w:t>COVID-19.</w:t>
      </w:r>
      <w:r w:rsidR="00C22B41" w:rsidRPr="003C15F1">
        <w:rPr>
          <w:sz w:val="22"/>
          <w:szCs w:val="22"/>
          <w:lang w:val="es-ES"/>
        </w:rPr>
        <w:t xml:space="preserve"> </w:t>
      </w:r>
      <w:r w:rsidR="00C22B41" w:rsidRPr="003C15F1">
        <w:rPr>
          <w:rStyle w:val="ts-alignment-element"/>
          <w:sz w:val="22"/>
          <w:szCs w:val="22"/>
          <w:lang w:val="es-ES"/>
        </w:rPr>
        <w:t>Debido</w:t>
      </w:r>
      <w:r w:rsidR="00C22B41" w:rsidRPr="003C15F1">
        <w:rPr>
          <w:sz w:val="22"/>
          <w:szCs w:val="22"/>
          <w:lang w:val="es-ES"/>
        </w:rPr>
        <w:t xml:space="preserve"> </w:t>
      </w:r>
      <w:r w:rsidR="00C22B41" w:rsidRPr="003C15F1">
        <w:rPr>
          <w:rStyle w:val="ts-alignment-element"/>
          <w:sz w:val="22"/>
          <w:szCs w:val="22"/>
          <w:lang w:val="es-ES"/>
        </w:rPr>
        <w:t>al</w:t>
      </w:r>
      <w:r w:rsidR="00C22B41" w:rsidRPr="003C15F1">
        <w:rPr>
          <w:sz w:val="22"/>
          <w:szCs w:val="22"/>
          <w:lang w:val="es-ES"/>
        </w:rPr>
        <w:t xml:space="preserve"> </w:t>
      </w:r>
      <w:r w:rsidR="00C22B41" w:rsidRPr="003C15F1">
        <w:rPr>
          <w:rStyle w:val="ts-alignment-element"/>
          <w:sz w:val="22"/>
          <w:szCs w:val="22"/>
          <w:lang w:val="es-ES"/>
        </w:rPr>
        <w:t>impacto</w:t>
      </w:r>
      <w:r w:rsidR="00C22B41" w:rsidRPr="003C15F1">
        <w:rPr>
          <w:sz w:val="22"/>
          <w:szCs w:val="22"/>
          <w:lang w:val="es-ES"/>
        </w:rPr>
        <w:t xml:space="preserve"> </w:t>
      </w:r>
      <w:r w:rsidR="00C22B41" w:rsidRPr="003C15F1">
        <w:rPr>
          <w:rStyle w:val="ts-alignment-element"/>
          <w:sz w:val="22"/>
          <w:szCs w:val="22"/>
          <w:lang w:val="es-ES"/>
        </w:rPr>
        <w:t>abrumador</w:t>
      </w:r>
      <w:r w:rsidR="00C22B41" w:rsidRPr="003C15F1">
        <w:rPr>
          <w:sz w:val="22"/>
          <w:szCs w:val="22"/>
          <w:lang w:val="es-ES"/>
        </w:rPr>
        <w:t xml:space="preserve"> </w:t>
      </w:r>
      <w:r w:rsidR="00C22B41" w:rsidRPr="003C15F1">
        <w:rPr>
          <w:rStyle w:val="ts-alignment-element"/>
          <w:sz w:val="22"/>
          <w:szCs w:val="22"/>
          <w:lang w:val="es-ES"/>
        </w:rPr>
        <w:t>que</w:t>
      </w:r>
      <w:r w:rsidR="00C22B41" w:rsidRPr="003C15F1">
        <w:rPr>
          <w:sz w:val="22"/>
          <w:szCs w:val="22"/>
          <w:lang w:val="es-ES"/>
        </w:rPr>
        <w:t xml:space="preserve"> </w:t>
      </w:r>
      <w:r w:rsidR="00C22B41" w:rsidRPr="003C15F1">
        <w:rPr>
          <w:rStyle w:val="ts-alignment-element"/>
          <w:sz w:val="22"/>
          <w:szCs w:val="22"/>
          <w:lang w:val="es-ES"/>
        </w:rPr>
        <w:t>la</w:t>
      </w:r>
      <w:r w:rsidR="00C22B41" w:rsidRPr="003C15F1">
        <w:rPr>
          <w:sz w:val="22"/>
          <w:szCs w:val="22"/>
          <w:lang w:val="es-ES"/>
        </w:rPr>
        <w:t xml:space="preserve"> </w:t>
      </w:r>
      <w:r w:rsidR="00C22B41" w:rsidRPr="003C15F1">
        <w:rPr>
          <w:rStyle w:val="ts-alignment-element"/>
          <w:sz w:val="22"/>
          <w:szCs w:val="22"/>
          <w:lang w:val="es-ES"/>
        </w:rPr>
        <w:t>pandemia</w:t>
      </w:r>
      <w:r w:rsidR="00C22B41" w:rsidRPr="003C15F1">
        <w:rPr>
          <w:sz w:val="22"/>
          <w:szCs w:val="22"/>
          <w:lang w:val="es-ES"/>
        </w:rPr>
        <w:t xml:space="preserve"> </w:t>
      </w:r>
      <w:r w:rsidR="00C22B41" w:rsidRPr="003C15F1">
        <w:rPr>
          <w:rStyle w:val="ts-alignment-element"/>
          <w:sz w:val="22"/>
          <w:szCs w:val="22"/>
          <w:lang w:val="es-ES"/>
        </w:rPr>
        <w:t>de</w:t>
      </w:r>
      <w:r w:rsidR="00C22B41" w:rsidRPr="003C15F1">
        <w:rPr>
          <w:sz w:val="22"/>
          <w:szCs w:val="22"/>
          <w:lang w:val="es-ES"/>
        </w:rPr>
        <w:t xml:space="preserve"> </w:t>
      </w:r>
      <w:r w:rsidR="00C22B41" w:rsidRPr="003C15F1">
        <w:rPr>
          <w:rStyle w:val="ts-alignment-element"/>
          <w:sz w:val="22"/>
          <w:szCs w:val="22"/>
          <w:lang w:val="es-ES"/>
        </w:rPr>
        <w:t>COVID-19</w:t>
      </w:r>
      <w:r w:rsidR="00C22B41" w:rsidRPr="003C15F1">
        <w:rPr>
          <w:sz w:val="22"/>
          <w:szCs w:val="22"/>
          <w:lang w:val="es-ES"/>
        </w:rPr>
        <w:t xml:space="preserve"> </w:t>
      </w:r>
      <w:r w:rsidR="00C22B41" w:rsidRPr="003C15F1">
        <w:rPr>
          <w:rStyle w:val="ts-alignment-element"/>
          <w:sz w:val="22"/>
          <w:szCs w:val="22"/>
          <w:lang w:val="es-ES"/>
        </w:rPr>
        <w:t>ha</w:t>
      </w:r>
      <w:r w:rsidR="00C22B41" w:rsidRPr="003C15F1">
        <w:rPr>
          <w:sz w:val="22"/>
          <w:szCs w:val="22"/>
          <w:lang w:val="es-ES"/>
        </w:rPr>
        <w:t xml:space="preserve"> </w:t>
      </w:r>
      <w:r w:rsidR="00C22B41" w:rsidRPr="003C15F1">
        <w:rPr>
          <w:rStyle w:val="ts-alignment-element"/>
          <w:sz w:val="22"/>
          <w:szCs w:val="22"/>
          <w:lang w:val="es-ES"/>
        </w:rPr>
        <w:t>tenido</w:t>
      </w:r>
      <w:r w:rsidR="00C22B41" w:rsidRPr="003C15F1">
        <w:rPr>
          <w:sz w:val="22"/>
          <w:szCs w:val="22"/>
          <w:lang w:val="es-ES"/>
        </w:rPr>
        <w:t xml:space="preserve"> </w:t>
      </w:r>
      <w:r w:rsidR="00C22B41" w:rsidRPr="003C15F1">
        <w:rPr>
          <w:rStyle w:val="ts-alignment-element"/>
          <w:sz w:val="22"/>
          <w:szCs w:val="22"/>
          <w:lang w:val="es-ES"/>
        </w:rPr>
        <w:t>en</w:t>
      </w:r>
      <w:r w:rsidR="00C22B41" w:rsidRPr="003C15F1">
        <w:rPr>
          <w:sz w:val="22"/>
          <w:szCs w:val="22"/>
          <w:lang w:val="es-ES"/>
        </w:rPr>
        <w:t xml:space="preserve"> </w:t>
      </w:r>
      <w:r w:rsidR="00C22B41" w:rsidRPr="003C15F1">
        <w:rPr>
          <w:rStyle w:val="ts-alignment-element"/>
          <w:sz w:val="22"/>
          <w:szCs w:val="22"/>
          <w:lang w:val="es-ES"/>
        </w:rPr>
        <w:t>el</w:t>
      </w:r>
      <w:r w:rsidR="00C22B41" w:rsidRPr="003C15F1">
        <w:rPr>
          <w:sz w:val="22"/>
          <w:szCs w:val="22"/>
          <w:lang w:val="es-ES"/>
        </w:rPr>
        <w:t xml:space="preserve"> </w:t>
      </w:r>
      <w:r w:rsidR="00C22B41" w:rsidRPr="003C15F1">
        <w:rPr>
          <w:rStyle w:val="ts-alignment-element"/>
          <w:sz w:val="22"/>
          <w:szCs w:val="22"/>
          <w:lang w:val="es-ES"/>
        </w:rPr>
        <w:t>sector</w:t>
      </w:r>
      <w:r w:rsidR="00C22B41" w:rsidRPr="003C15F1">
        <w:rPr>
          <w:sz w:val="22"/>
          <w:szCs w:val="22"/>
          <w:lang w:val="es-ES"/>
        </w:rPr>
        <w:t xml:space="preserve"> </w:t>
      </w:r>
      <w:r w:rsidR="00C22B41" w:rsidRPr="003C15F1">
        <w:rPr>
          <w:rStyle w:val="ts-alignment-element"/>
          <w:sz w:val="22"/>
          <w:szCs w:val="22"/>
          <w:lang w:val="es-ES"/>
        </w:rPr>
        <w:t>turístico,</w:t>
      </w:r>
      <w:r w:rsidR="00C22B41" w:rsidRPr="003C15F1">
        <w:rPr>
          <w:sz w:val="22"/>
          <w:szCs w:val="22"/>
          <w:lang w:val="es-ES"/>
        </w:rPr>
        <w:t xml:space="preserve"> </w:t>
      </w:r>
      <w:r w:rsidR="00E837C2" w:rsidRPr="003C15F1">
        <w:rPr>
          <w:rStyle w:val="ts-alignment-element"/>
          <w:sz w:val="22"/>
          <w:szCs w:val="22"/>
          <w:lang w:val="es-ES"/>
        </w:rPr>
        <w:t>la</w:t>
      </w:r>
      <w:r w:rsidR="00E837C2" w:rsidRPr="003C15F1">
        <w:rPr>
          <w:sz w:val="22"/>
          <w:szCs w:val="22"/>
          <w:lang w:val="es-ES"/>
        </w:rPr>
        <w:t xml:space="preserve"> </w:t>
      </w:r>
      <w:r w:rsidR="00E837C2" w:rsidRPr="003C15F1">
        <w:rPr>
          <w:rStyle w:val="ts-alignment-element"/>
          <w:sz w:val="22"/>
          <w:szCs w:val="22"/>
          <w:lang w:val="es-ES"/>
        </w:rPr>
        <w:t>SEDI</w:t>
      </w:r>
      <w:r w:rsidR="00E837C2" w:rsidRPr="003C15F1">
        <w:rPr>
          <w:sz w:val="22"/>
          <w:szCs w:val="22"/>
          <w:lang w:val="es-ES"/>
        </w:rPr>
        <w:t xml:space="preserve"> </w:t>
      </w:r>
      <w:r w:rsidR="00E837C2" w:rsidRPr="003C15F1">
        <w:rPr>
          <w:rStyle w:val="ts-alignment-element"/>
          <w:sz w:val="22"/>
          <w:szCs w:val="22"/>
          <w:lang w:val="es-ES"/>
        </w:rPr>
        <w:t>emprendió</w:t>
      </w:r>
      <w:r w:rsidR="00E837C2" w:rsidRPr="003C15F1">
        <w:rPr>
          <w:sz w:val="22"/>
          <w:szCs w:val="22"/>
          <w:lang w:val="es-ES"/>
        </w:rPr>
        <w:t xml:space="preserve"> </w:t>
      </w:r>
      <w:r w:rsidR="00E837C2" w:rsidRPr="003C15F1">
        <w:rPr>
          <w:rStyle w:val="ts-alignment-element"/>
          <w:sz w:val="22"/>
          <w:szCs w:val="22"/>
          <w:lang w:val="es-ES"/>
        </w:rPr>
        <w:t>actividades</w:t>
      </w:r>
      <w:r w:rsidR="00E837C2" w:rsidRPr="003C15F1">
        <w:rPr>
          <w:sz w:val="22"/>
          <w:szCs w:val="22"/>
          <w:lang w:val="es-ES"/>
        </w:rPr>
        <w:t xml:space="preserve"> </w:t>
      </w:r>
      <w:r w:rsidR="00E837C2" w:rsidRPr="003C15F1">
        <w:rPr>
          <w:rStyle w:val="ts-alignment-element"/>
          <w:sz w:val="22"/>
          <w:szCs w:val="22"/>
          <w:lang w:val="es-ES"/>
        </w:rPr>
        <w:t>específicas</w:t>
      </w:r>
      <w:r w:rsidR="00E837C2" w:rsidRPr="003C15F1">
        <w:rPr>
          <w:sz w:val="22"/>
          <w:szCs w:val="22"/>
          <w:lang w:val="es-ES"/>
        </w:rPr>
        <w:t xml:space="preserve"> </w:t>
      </w:r>
      <w:r w:rsidR="00E837C2" w:rsidRPr="003C15F1">
        <w:rPr>
          <w:rStyle w:val="ts-alignment-element"/>
          <w:sz w:val="22"/>
          <w:szCs w:val="22"/>
          <w:lang w:val="es-ES"/>
        </w:rPr>
        <w:t>para</w:t>
      </w:r>
      <w:r w:rsidR="00E837C2" w:rsidRPr="003C15F1">
        <w:rPr>
          <w:sz w:val="22"/>
          <w:szCs w:val="22"/>
          <w:lang w:val="es-ES"/>
        </w:rPr>
        <w:t xml:space="preserve"> </w:t>
      </w:r>
      <w:r w:rsidR="00E837C2" w:rsidRPr="003C15F1">
        <w:rPr>
          <w:rStyle w:val="ts-alignment-element"/>
          <w:sz w:val="22"/>
          <w:szCs w:val="22"/>
          <w:lang w:val="es-ES"/>
        </w:rPr>
        <w:t>apoyar</w:t>
      </w:r>
      <w:r w:rsidR="00E837C2" w:rsidRPr="003C15F1">
        <w:rPr>
          <w:sz w:val="22"/>
          <w:szCs w:val="22"/>
          <w:lang w:val="es-ES"/>
        </w:rPr>
        <w:t xml:space="preserve"> </w:t>
      </w:r>
      <w:r w:rsidR="00E837C2" w:rsidRPr="003C15F1">
        <w:rPr>
          <w:rStyle w:val="ts-alignment-element"/>
          <w:sz w:val="22"/>
          <w:szCs w:val="22"/>
          <w:lang w:val="es-ES"/>
        </w:rPr>
        <w:t>la</w:t>
      </w:r>
      <w:r w:rsidR="00E837C2" w:rsidRPr="003C15F1">
        <w:rPr>
          <w:sz w:val="22"/>
          <w:szCs w:val="22"/>
          <w:lang w:val="es-ES"/>
        </w:rPr>
        <w:t xml:space="preserve"> </w:t>
      </w:r>
      <w:r w:rsidR="00E837C2" w:rsidRPr="003C15F1">
        <w:rPr>
          <w:rStyle w:val="ts-alignment-element"/>
          <w:sz w:val="22"/>
          <w:szCs w:val="22"/>
          <w:lang w:val="es-ES"/>
        </w:rPr>
        <w:t>respuesta</w:t>
      </w:r>
      <w:r w:rsidR="00E837C2" w:rsidRPr="003C15F1">
        <w:rPr>
          <w:sz w:val="22"/>
          <w:szCs w:val="22"/>
          <w:lang w:val="es-ES"/>
        </w:rPr>
        <w:t xml:space="preserve"> </w:t>
      </w:r>
      <w:r w:rsidR="00E837C2" w:rsidRPr="003C15F1">
        <w:rPr>
          <w:rStyle w:val="ts-alignment-element"/>
          <w:sz w:val="22"/>
          <w:szCs w:val="22"/>
          <w:lang w:val="es-ES"/>
        </w:rPr>
        <w:t>de</w:t>
      </w:r>
      <w:r w:rsidR="00E837C2" w:rsidRPr="003C15F1">
        <w:rPr>
          <w:sz w:val="22"/>
          <w:szCs w:val="22"/>
          <w:lang w:val="es-ES"/>
        </w:rPr>
        <w:t xml:space="preserve"> los </w:t>
      </w:r>
      <w:r w:rsidR="00E837C2" w:rsidRPr="003C15F1">
        <w:rPr>
          <w:rStyle w:val="ts-alignment-element"/>
          <w:sz w:val="22"/>
          <w:szCs w:val="22"/>
          <w:lang w:val="es-ES"/>
        </w:rPr>
        <w:t>Estados</w:t>
      </w:r>
      <w:r w:rsidR="00E837C2" w:rsidRPr="003C15F1">
        <w:rPr>
          <w:sz w:val="22"/>
          <w:szCs w:val="22"/>
          <w:lang w:val="es-ES"/>
        </w:rPr>
        <w:t xml:space="preserve"> </w:t>
      </w:r>
      <w:r w:rsidR="00E837C2" w:rsidRPr="003C15F1">
        <w:rPr>
          <w:rStyle w:val="ts-alignment-element"/>
          <w:sz w:val="22"/>
          <w:szCs w:val="22"/>
          <w:lang w:val="es-ES"/>
        </w:rPr>
        <w:t>Miembros.</w:t>
      </w:r>
      <w:r w:rsidR="00E837C2" w:rsidRPr="003C15F1">
        <w:rPr>
          <w:sz w:val="22"/>
          <w:szCs w:val="22"/>
          <w:lang w:val="es-ES"/>
        </w:rPr>
        <w:t xml:space="preserve"> Muchas de estas actividades incluy</w:t>
      </w:r>
      <w:r w:rsidR="00C76886" w:rsidRPr="003C15F1">
        <w:rPr>
          <w:sz w:val="22"/>
          <w:szCs w:val="22"/>
          <w:lang w:val="es-ES"/>
        </w:rPr>
        <w:t>eron</w:t>
      </w:r>
      <w:r w:rsidR="00E837C2" w:rsidRPr="003C15F1">
        <w:rPr>
          <w:sz w:val="22"/>
          <w:szCs w:val="22"/>
          <w:lang w:val="es-ES"/>
        </w:rPr>
        <w:t xml:space="preserve"> la creación de capacidades </w:t>
      </w:r>
      <w:r w:rsidR="00E837C2" w:rsidRPr="003C15F1">
        <w:rPr>
          <w:rStyle w:val="ts-alignment-element"/>
          <w:sz w:val="22"/>
          <w:szCs w:val="22"/>
          <w:lang w:val="es-ES"/>
        </w:rPr>
        <w:t>y</w:t>
      </w:r>
      <w:r w:rsidR="00E837C2" w:rsidRPr="003C15F1">
        <w:rPr>
          <w:sz w:val="22"/>
          <w:szCs w:val="22"/>
          <w:lang w:val="es-ES"/>
        </w:rPr>
        <w:t xml:space="preserve"> </w:t>
      </w:r>
      <w:r w:rsidR="00E837C2" w:rsidRPr="003C15F1">
        <w:rPr>
          <w:rStyle w:val="ts-alignment-element"/>
          <w:sz w:val="22"/>
          <w:szCs w:val="22"/>
          <w:lang w:val="es-ES"/>
        </w:rPr>
        <w:t>el</w:t>
      </w:r>
      <w:r w:rsidR="00E837C2" w:rsidRPr="003C15F1">
        <w:rPr>
          <w:sz w:val="22"/>
          <w:szCs w:val="22"/>
          <w:lang w:val="es-ES"/>
        </w:rPr>
        <w:t xml:space="preserve"> </w:t>
      </w:r>
      <w:r w:rsidR="00E837C2" w:rsidRPr="003C15F1">
        <w:rPr>
          <w:rStyle w:val="ts-alignment-element"/>
          <w:sz w:val="22"/>
          <w:szCs w:val="22"/>
          <w:lang w:val="es-ES"/>
        </w:rPr>
        <w:t>intercambio</w:t>
      </w:r>
      <w:r w:rsidR="00C76886" w:rsidRPr="003C15F1">
        <w:rPr>
          <w:rStyle w:val="ts-alignment-element"/>
          <w:sz w:val="22"/>
          <w:szCs w:val="22"/>
          <w:lang w:val="es-ES"/>
        </w:rPr>
        <w:t xml:space="preserve"> de conocimientos mediante </w:t>
      </w:r>
      <w:r w:rsidR="00E837C2" w:rsidRPr="003C15F1">
        <w:rPr>
          <w:rStyle w:val="ts-alignment-element"/>
          <w:sz w:val="22"/>
          <w:szCs w:val="22"/>
          <w:lang w:val="es-ES"/>
        </w:rPr>
        <w:t>seminarios</w:t>
      </w:r>
      <w:r w:rsidR="00E837C2" w:rsidRPr="003C15F1">
        <w:rPr>
          <w:sz w:val="22"/>
          <w:szCs w:val="22"/>
          <w:lang w:val="es-ES"/>
        </w:rPr>
        <w:t xml:space="preserve"> </w:t>
      </w:r>
      <w:r w:rsidR="00C76886" w:rsidRPr="003C15F1">
        <w:rPr>
          <w:sz w:val="22"/>
          <w:szCs w:val="22"/>
          <w:lang w:val="es-ES"/>
        </w:rPr>
        <w:t xml:space="preserve">virtuales </w:t>
      </w:r>
      <w:r w:rsidR="00E837C2" w:rsidRPr="003C15F1">
        <w:rPr>
          <w:rStyle w:val="ts-alignment-element"/>
          <w:sz w:val="22"/>
          <w:szCs w:val="22"/>
          <w:lang w:val="es-ES"/>
        </w:rPr>
        <w:t>o</w:t>
      </w:r>
      <w:r w:rsidR="00E837C2" w:rsidRPr="003C15F1">
        <w:rPr>
          <w:sz w:val="22"/>
          <w:szCs w:val="22"/>
          <w:lang w:val="es-ES"/>
        </w:rPr>
        <w:t xml:space="preserve"> </w:t>
      </w:r>
      <w:r w:rsidR="00E837C2" w:rsidRPr="003C15F1">
        <w:rPr>
          <w:rStyle w:val="ts-alignment-element"/>
          <w:sz w:val="22"/>
          <w:szCs w:val="22"/>
          <w:lang w:val="es-ES"/>
        </w:rPr>
        <w:t>la</w:t>
      </w:r>
      <w:r w:rsidR="00E837C2" w:rsidRPr="003C15F1">
        <w:rPr>
          <w:sz w:val="22"/>
          <w:szCs w:val="22"/>
          <w:lang w:val="es-ES"/>
        </w:rPr>
        <w:t xml:space="preserve"> </w:t>
      </w:r>
      <w:r w:rsidR="00E837C2" w:rsidRPr="003C15F1">
        <w:rPr>
          <w:rStyle w:val="ts-alignment-element"/>
          <w:sz w:val="22"/>
          <w:szCs w:val="22"/>
          <w:lang w:val="es-ES"/>
        </w:rPr>
        <w:t>adaptación</w:t>
      </w:r>
      <w:r w:rsidR="00E837C2" w:rsidRPr="003C15F1">
        <w:rPr>
          <w:sz w:val="22"/>
          <w:szCs w:val="22"/>
          <w:lang w:val="es-ES"/>
        </w:rPr>
        <w:t xml:space="preserve"> </w:t>
      </w:r>
      <w:r w:rsidR="00E837C2" w:rsidRPr="003C15F1">
        <w:rPr>
          <w:rStyle w:val="ts-alignment-element"/>
          <w:sz w:val="22"/>
          <w:szCs w:val="22"/>
          <w:lang w:val="es-ES"/>
        </w:rPr>
        <w:t>de</w:t>
      </w:r>
      <w:r w:rsidR="00E837C2" w:rsidRPr="003C15F1">
        <w:rPr>
          <w:sz w:val="22"/>
          <w:szCs w:val="22"/>
          <w:lang w:val="es-ES"/>
        </w:rPr>
        <w:t xml:space="preserve"> </w:t>
      </w:r>
      <w:r w:rsidR="00E837C2" w:rsidRPr="003C15F1">
        <w:rPr>
          <w:rStyle w:val="ts-alignment-element"/>
          <w:sz w:val="22"/>
          <w:szCs w:val="22"/>
          <w:lang w:val="es-ES"/>
        </w:rPr>
        <w:t>las</w:t>
      </w:r>
      <w:r w:rsidR="00E837C2" w:rsidRPr="003C15F1">
        <w:rPr>
          <w:sz w:val="22"/>
          <w:szCs w:val="22"/>
          <w:lang w:val="es-ES"/>
        </w:rPr>
        <w:t xml:space="preserve"> </w:t>
      </w:r>
      <w:r w:rsidR="00E837C2" w:rsidRPr="003C15F1">
        <w:rPr>
          <w:rStyle w:val="ts-alignment-element"/>
          <w:sz w:val="22"/>
          <w:szCs w:val="22"/>
          <w:lang w:val="es-ES"/>
        </w:rPr>
        <w:t>acciones</w:t>
      </w:r>
      <w:r w:rsidR="00E837C2" w:rsidRPr="003C15F1">
        <w:rPr>
          <w:sz w:val="22"/>
          <w:szCs w:val="22"/>
          <w:lang w:val="es-ES"/>
        </w:rPr>
        <w:t xml:space="preserve"> </w:t>
      </w:r>
      <w:r w:rsidR="00E837C2" w:rsidRPr="003C15F1">
        <w:rPr>
          <w:rStyle w:val="ts-alignment-element"/>
          <w:sz w:val="22"/>
          <w:szCs w:val="22"/>
          <w:lang w:val="es-ES"/>
        </w:rPr>
        <w:t>existentes</w:t>
      </w:r>
      <w:r w:rsidR="00E837C2" w:rsidRPr="003C15F1">
        <w:rPr>
          <w:sz w:val="22"/>
          <w:szCs w:val="22"/>
          <w:lang w:val="es-ES"/>
        </w:rPr>
        <w:t xml:space="preserve"> </w:t>
      </w:r>
      <w:r w:rsidR="00E837C2" w:rsidRPr="003C15F1">
        <w:rPr>
          <w:rStyle w:val="ts-alignment-element"/>
          <w:sz w:val="22"/>
          <w:szCs w:val="22"/>
          <w:lang w:val="es-ES"/>
        </w:rPr>
        <w:t>para</w:t>
      </w:r>
      <w:r w:rsidR="00E837C2" w:rsidRPr="003C15F1">
        <w:rPr>
          <w:sz w:val="22"/>
          <w:szCs w:val="22"/>
          <w:lang w:val="es-ES"/>
        </w:rPr>
        <w:t xml:space="preserve"> </w:t>
      </w:r>
      <w:r w:rsidR="00E837C2" w:rsidRPr="003C15F1">
        <w:rPr>
          <w:rStyle w:val="ts-alignment-element"/>
          <w:sz w:val="22"/>
          <w:szCs w:val="22"/>
          <w:lang w:val="es-ES"/>
        </w:rPr>
        <w:t>abordar</w:t>
      </w:r>
      <w:r w:rsidR="00E837C2" w:rsidRPr="003C15F1">
        <w:rPr>
          <w:sz w:val="22"/>
          <w:szCs w:val="22"/>
          <w:lang w:val="es-ES"/>
        </w:rPr>
        <w:t xml:space="preserve"> </w:t>
      </w:r>
      <w:r w:rsidR="00E837C2" w:rsidRPr="003C15F1">
        <w:rPr>
          <w:rStyle w:val="ts-alignment-element"/>
          <w:sz w:val="22"/>
          <w:szCs w:val="22"/>
          <w:lang w:val="es-ES"/>
        </w:rPr>
        <w:t>la</w:t>
      </w:r>
      <w:r w:rsidR="00E837C2" w:rsidRPr="003C15F1">
        <w:rPr>
          <w:sz w:val="22"/>
          <w:szCs w:val="22"/>
          <w:lang w:val="es-ES"/>
        </w:rPr>
        <w:t xml:space="preserve"> </w:t>
      </w:r>
      <w:r w:rsidR="00E837C2" w:rsidRPr="003C15F1">
        <w:rPr>
          <w:rStyle w:val="ts-alignment-element"/>
          <w:sz w:val="22"/>
          <w:szCs w:val="22"/>
          <w:lang w:val="es-ES"/>
        </w:rPr>
        <w:t>nueva</w:t>
      </w:r>
      <w:r w:rsidR="00E837C2" w:rsidRPr="003C15F1">
        <w:rPr>
          <w:sz w:val="22"/>
          <w:szCs w:val="22"/>
          <w:lang w:val="es-ES"/>
        </w:rPr>
        <w:t xml:space="preserve"> </w:t>
      </w:r>
      <w:r w:rsidR="00E837C2" w:rsidRPr="003C15F1">
        <w:rPr>
          <w:rStyle w:val="ts-alignment-element"/>
          <w:sz w:val="22"/>
          <w:szCs w:val="22"/>
          <w:lang w:val="es-ES"/>
        </w:rPr>
        <w:t>realidad</w:t>
      </w:r>
      <w:r w:rsidR="00E837C2" w:rsidRPr="003C15F1">
        <w:rPr>
          <w:sz w:val="22"/>
          <w:szCs w:val="22"/>
          <w:lang w:val="es-ES"/>
        </w:rPr>
        <w:t xml:space="preserve"> </w:t>
      </w:r>
      <w:r w:rsidR="00E837C2" w:rsidRPr="003C15F1">
        <w:rPr>
          <w:rStyle w:val="ts-alignment-element"/>
          <w:sz w:val="22"/>
          <w:szCs w:val="22"/>
          <w:lang w:val="es-ES"/>
        </w:rPr>
        <w:t>y</w:t>
      </w:r>
      <w:r w:rsidR="00E837C2" w:rsidRPr="003C15F1">
        <w:rPr>
          <w:sz w:val="22"/>
          <w:szCs w:val="22"/>
          <w:lang w:val="es-ES"/>
        </w:rPr>
        <w:t xml:space="preserve"> </w:t>
      </w:r>
      <w:r w:rsidR="00E837C2" w:rsidRPr="003C15F1">
        <w:rPr>
          <w:rStyle w:val="ts-alignment-element"/>
          <w:sz w:val="22"/>
          <w:szCs w:val="22"/>
          <w:lang w:val="es-ES"/>
        </w:rPr>
        <w:t>cubrió</w:t>
      </w:r>
      <w:r w:rsidR="00E837C2" w:rsidRPr="003C15F1">
        <w:rPr>
          <w:sz w:val="22"/>
          <w:szCs w:val="22"/>
          <w:lang w:val="es-ES"/>
        </w:rPr>
        <w:t xml:space="preserve"> </w:t>
      </w:r>
      <w:r w:rsidR="00E837C2" w:rsidRPr="003C15F1">
        <w:rPr>
          <w:rStyle w:val="ts-alignment-element"/>
          <w:sz w:val="22"/>
          <w:szCs w:val="22"/>
          <w:lang w:val="es-ES"/>
        </w:rPr>
        <w:t>las</w:t>
      </w:r>
      <w:r w:rsidR="00E837C2" w:rsidRPr="003C15F1">
        <w:rPr>
          <w:sz w:val="22"/>
          <w:szCs w:val="22"/>
          <w:lang w:val="es-ES"/>
        </w:rPr>
        <w:t xml:space="preserve"> </w:t>
      </w:r>
      <w:r w:rsidR="00E837C2" w:rsidRPr="003C15F1">
        <w:rPr>
          <w:rStyle w:val="ts-alignment-element"/>
          <w:sz w:val="22"/>
          <w:szCs w:val="22"/>
          <w:lang w:val="es-ES"/>
        </w:rPr>
        <w:t>siguientes</w:t>
      </w:r>
      <w:r w:rsidR="00E837C2" w:rsidRPr="003C15F1">
        <w:rPr>
          <w:sz w:val="22"/>
          <w:szCs w:val="22"/>
          <w:lang w:val="es-ES"/>
        </w:rPr>
        <w:t xml:space="preserve"> </w:t>
      </w:r>
      <w:r w:rsidR="00E837C2" w:rsidRPr="003C15F1">
        <w:rPr>
          <w:rStyle w:val="ts-alignment-element"/>
          <w:sz w:val="22"/>
          <w:szCs w:val="22"/>
          <w:lang w:val="es-ES"/>
        </w:rPr>
        <w:t>áreas</w:t>
      </w:r>
      <w:r w:rsidR="00E837C2" w:rsidRPr="003C15F1">
        <w:rPr>
          <w:sz w:val="22"/>
          <w:szCs w:val="22"/>
          <w:lang w:val="es-ES"/>
        </w:rPr>
        <w:t xml:space="preserve"> </w:t>
      </w:r>
      <w:r w:rsidR="00E837C2" w:rsidRPr="003C15F1">
        <w:rPr>
          <w:rStyle w:val="ts-alignment-element"/>
          <w:sz w:val="22"/>
          <w:szCs w:val="22"/>
          <w:lang w:val="es-ES"/>
        </w:rPr>
        <w:t>prioritarias:</w:t>
      </w:r>
      <w:r w:rsidR="00E837C2" w:rsidRPr="003C15F1">
        <w:rPr>
          <w:sz w:val="22"/>
          <w:szCs w:val="22"/>
          <w:lang w:val="es-ES"/>
        </w:rPr>
        <w:t xml:space="preserve"> </w:t>
      </w:r>
      <w:r w:rsidR="00C76886" w:rsidRPr="003C15F1">
        <w:rPr>
          <w:rStyle w:val="ts-alignment-element"/>
          <w:sz w:val="22"/>
          <w:szCs w:val="22"/>
          <w:lang w:val="es-ES"/>
        </w:rPr>
        <w:t>s</w:t>
      </w:r>
      <w:r w:rsidR="00E837C2" w:rsidRPr="003C15F1">
        <w:rPr>
          <w:rStyle w:val="ts-alignment-element"/>
          <w:sz w:val="22"/>
          <w:szCs w:val="22"/>
          <w:lang w:val="es-ES"/>
        </w:rPr>
        <w:t>eguridad</w:t>
      </w:r>
      <w:r w:rsidR="00E837C2" w:rsidRPr="003C15F1">
        <w:rPr>
          <w:sz w:val="22"/>
          <w:szCs w:val="22"/>
          <w:lang w:val="es-ES"/>
        </w:rPr>
        <w:t xml:space="preserve"> </w:t>
      </w:r>
      <w:r w:rsidR="00E837C2" w:rsidRPr="003C15F1">
        <w:rPr>
          <w:rStyle w:val="ts-alignment-element"/>
          <w:sz w:val="22"/>
          <w:szCs w:val="22"/>
          <w:lang w:val="es-ES"/>
        </w:rPr>
        <w:t>y</w:t>
      </w:r>
      <w:r w:rsidR="00E837C2" w:rsidRPr="003C15F1">
        <w:rPr>
          <w:sz w:val="22"/>
          <w:szCs w:val="22"/>
          <w:lang w:val="es-ES"/>
        </w:rPr>
        <w:t xml:space="preserve"> </w:t>
      </w:r>
      <w:r w:rsidR="00E837C2" w:rsidRPr="003C15F1">
        <w:rPr>
          <w:rStyle w:val="ts-alignment-element"/>
          <w:sz w:val="22"/>
          <w:szCs w:val="22"/>
          <w:lang w:val="es-ES"/>
        </w:rPr>
        <w:t>protección</w:t>
      </w:r>
      <w:r w:rsidR="00E837C2" w:rsidRPr="003C15F1">
        <w:rPr>
          <w:sz w:val="22"/>
          <w:szCs w:val="22"/>
          <w:lang w:val="es-ES"/>
        </w:rPr>
        <w:t xml:space="preserve"> del </w:t>
      </w:r>
      <w:r w:rsidR="00E837C2" w:rsidRPr="003C15F1">
        <w:rPr>
          <w:rStyle w:val="ts-alignment-element"/>
          <w:sz w:val="22"/>
          <w:szCs w:val="22"/>
          <w:lang w:val="es-ES"/>
        </w:rPr>
        <w:t>turismo;</w:t>
      </w:r>
      <w:r w:rsidR="00E837C2" w:rsidRPr="003C15F1">
        <w:rPr>
          <w:sz w:val="22"/>
          <w:szCs w:val="22"/>
          <w:lang w:val="es-ES"/>
        </w:rPr>
        <w:t xml:space="preserve"> </w:t>
      </w:r>
      <w:r w:rsidR="00C76886" w:rsidRPr="003C15F1">
        <w:rPr>
          <w:rStyle w:val="ts-alignment-element"/>
          <w:sz w:val="22"/>
          <w:szCs w:val="22"/>
          <w:lang w:val="es-ES"/>
        </w:rPr>
        <w:t>i</w:t>
      </w:r>
      <w:r w:rsidR="00E837C2" w:rsidRPr="003C15F1">
        <w:rPr>
          <w:rStyle w:val="ts-alignment-element"/>
          <w:sz w:val="22"/>
          <w:szCs w:val="22"/>
          <w:lang w:val="es-ES"/>
        </w:rPr>
        <w:t>nfraestructura;</w:t>
      </w:r>
      <w:r w:rsidR="00E837C2" w:rsidRPr="003C15F1">
        <w:rPr>
          <w:sz w:val="22"/>
          <w:szCs w:val="22"/>
          <w:lang w:val="es-ES"/>
        </w:rPr>
        <w:t xml:space="preserve"> </w:t>
      </w:r>
      <w:r w:rsidR="00C76886" w:rsidRPr="003C15F1">
        <w:rPr>
          <w:rStyle w:val="ts-alignment-element"/>
          <w:sz w:val="22"/>
          <w:szCs w:val="22"/>
          <w:lang w:val="es-ES"/>
        </w:rPr>
        <w:t>s</w:t>
      </w:r>
      <w:r w:rsidR="00E837C2" w:rsidRPr="003C15F1">
        <w:rPr>
          <w:rStyle w:val="ts-alignment-element"/>
          <w:sz w:val="22"/>
          <w:szCs w:val="22"/>
          <w:lang w:val="es-ES"/>
        </w:rPr>
        <w:t>ostenibilidad;</w:t>
      </w:r>
      <w:r w:rsidR="00E837C2" w:rsidRPr="003C15F1">
        <w:rPr>
          <w:sz w:val="22"/>
          <w:szCs w:val="22"/>
          <w:lang w:val="es-ES"/>
        </w:rPr>
        <w:t xml:space="preserve"> </w:t>
      </w:r>
      <w:r w:rsidR="00C76886" w:rsidRPr="003C15F1">
        <w:rPr>
          <w:rStyle w:val="ts-alignment-element"/>
          <w:sz w:val="22"/>
          <w:szCs w:val="22"/>
          <w:lang w:val="es-ES"/>
        </w:rPr>
        <w:t>c</w:t>
      </w:r>
      <w:r w:rsidR="00E837C2" w:rsidRPr="003C15F1">
        <w:rPr>
          <w:rStyle w:val="ts-alignment-element"/>
          <w:sz w:val="22"/>
          <w:szCs w:val="22"/>
          <w:lang w:val="es-ES"/>
        </w:rPr>
        <w:t>alidad</w:t>
      </w:r>
      <w:r w:rsidR="00E837C2" w:rsidRPr="003C15F1">
        <w:rPr>
          <w:sz w:val="22"/>
          <w:szCs w:val="22"/>
          <w:lang w:val="es-ES"/>
        </w:rPr>
        <w:t xml:space="preserve"> </w:t>
      </w:r>
      <w:r w:rsidR="00E837C2" w:rsidRPr="003C15F1">
        <w:rPr>
          <w:rStyle w:val="ts-alignment-element"/>
          <w:sz w:val="22"/>
          <w:szCs w:val="22"/>
          <w:lang w:val="es-ES"/>
        </w:rPr>
        <w:t>de</w:t>
      </w:r>
      <w:r w:rsidR="00E837C2" w:rsidRPr="003C15F1">
        <w:rPr>
          <w:sz w:val="22"/>
          <w:szCs w:val="22"/>
          <w:lang w:val="es-ES"/>
        </w:rPr>
        <w:t xml:space="preserve"> </w:t>
      </w:r>
      <w:r w:rsidR="00C76886" w:rsidRPr="003C15F1">
        <w:rPr>
          <w:sz w:val="22"/>
          <w:szCs w:val="22"/>
          <w:lang w:val="es-ES"/>
        </w:rPr>
        <w:t>p</w:t>
      </w:r>
      <w:r w:rsidR="00E837C2" w:rsidRPr="003C15F1">
        <w:rPr>
          <w:rStyle w:val="ts-alignment-element"/>
          <w:sz w:val="22"/>
          <w:szCs w:val="22"/>
          <w:lang w:val="es-ES"/>
        </w:rPr>
        <w:t>roducto</w:t>
      </w:r>
      <w:r w:rsidR="00E837C2" w:rsidRPr="003C15F1">
        <w:rPr>
          <w:sz w:val="22"/>
          <w:szCs w:val="22"/>
          <w:lang w:val="es-ES"/>
        </w:rPr>
        <w:t xml:space="preserve"> </w:t>
      </w:r>
      <w:r w:rsidR="00E837C2" w:rsidRPr="003C15F1">
        <w:rPr>
          <w:rStyle w:val="ts-alignment-element"/>
          <w:sz w:val="22"/>
          <w:szCs w:val="22"/>
          <w:lang w:val="es-ES"/>
        </w:rPr>
        <w:t xml:space="preserve">y </w:t>
      </w:r>
      <w:r w:rsidR="00C76886" w:rsidRPr="003C15F1">
        <w:rPr>
          <w:rStyle w:val="ts-alignment-element"/>
          <w:sz w:val="22"/>
          <w:szCs w:val="22"/>
          <w:lang w:val="es-ES"/>
        </w:rPr>
        <w:t>m</w:t>
      </w:r>
      <w:r w:rsidR="00E837C2" w:rsidRPr="003C15F1">
        <w:rPr>
          <w:rStyle w:val="ts-alignment-element"/>
          <w:sz w:val="22"/>
          <w:szCs w:val="22"/>
          <w:lang w:val="es-ES"/>
        </w:rPr>
        <w:t>arketing</w:t>
      </w:r>
      <w:r w:rsidR="00E837C2" w:rsidRPr="003C15F1">
        <w:rPr>
          <w:sz w:val="22"/>
          <w:szCs w:val="22"/>
          <w:lang w:val="es-ES"/>
        </w:rPr>
        <w:t xml:space="preserve"> </w:t>
      </w:r>
      <w:r w:rsidR="00E837C2" w:rsidRPr="003C15F1">
        <w:rPr>
          <w:rStyle w:val="ts-alignment-element"/>
          <w:sz w:val="22"/>
          <w:szCs w:val="22"/>
          <w:lang w:val="es-ES"/>
        </w:rPr>
        <w:t>y</w:t>
      </w:r>
      <w:r w:rsidR="00E837C2" w:rsidRPr="003C15F1">
        <w:rPr>
          <w:sz w:val="22"/>
          <w:szCs w:val="22"/>
          <w:lang w:val="es-ES"/>
        </w:rPr>
        <w:t xml:space="preserve"> </w:t>
      </w:r>
      <w:r w:rsidR="00E837C2" w:rsidRPr="003C15F1">
        <w:rPr>
          <w:rStyle w:val="ts-alignment-element"/>
          <w:sz w:val="22"/>
          <w:szCs w:val="22"/>
          <w:lang w:val="es-ES"/>
        </w:rPr>
        <w:t>promoción;</w:t>
      </w:r>
      <w:r w:rsidR="00E837C2" w:rsidRPr="003C15F1">
        <w:rPr>
          <w:sz w:val="22"/>
          <w:szCs w:val="22"/>
          <w:lang w:val="es-ES"/>
        </w:rPr>
        <w:t xml:space="preserve"> </w:t>
      </w:r>
      <w:r w:rsidR="00C76886" w:rsidRPr="003C15F1">
        <w:rPr>
          <w:rStyle w:val="ts-alignment-element"/>
          <w:sz w:val="22"/>
          <w:szCs w:val="22"/>
          <w:lang w:val="es-ES"/>
        </w:rPr>
        <w:t>f</w:t>
      </w:r>
      <w:r w:rsidR="00E837C2" w:rsidRPr="003C15F1">
        <w:rPr>
          <w:rStyle w:val="ts-alignment-element"/>
          <w:sz w:val="22"/>
          <w:szCs w:val="22"/>
          <w:lang w:val="es-ES"/>
        </w:rPr>
        <w:t>acilitación</w:t>
      </w:r>
      <w:r w:rsidR="00E837C2" w:rsidRPr="003C15F1">
        <w:rPr>
          <w:sz w:val="22"/>
          <w:szCs w:val="22"/>
          <w:lang w:val="es-ES"/>
        </w:rPr>
        <w:t xml:space="preserve"> </w:t>
      </w:r>
      <w:r w:rsidR="00E837C2" w:rsidRPr="003C15F1">
        <w:rPr>
          <w:rStyle w:val="ts-alignment-element"/>
          <w:sz w:val="22"/>
          <w:szCs w:val="22"/>
          <w:lang w:val="es-ES"/>
        </w:rPr>
        <w:t>de</w:t>
      </w:r>
      <w:r w:rsidR="00E837C2" w:rsidRPr="003C15F1">
        <w:rPr>
          <w:sz w:val="22"/>
          <w:szCs w:val="22"/>
          <w:lang w:val="es-ES"/>
        </w:rPr>
        <w:t xml:space="preserve"> </w:t>
      </w:r>
      <w:r w:rsidR="00E837C2" w:rsidRPr="003C15F1">
        <w:rPr>
          <w:rStyle w:val="ts-alignment-element"/>
          <w:sz w:val="22"/>
          <w:szCs w:val="22"/>
          <w:lang w:val="es-ES"/>
        </w:rPr>
        <w:t>viajes</w:t>
      </w:r>
      <w:r w:rsidR="00E837C2" w:rsidRPr="003C15F1">
        <w:rPr>
          <w:sz w:val="22"/>
          <w:szCs w:val="22"/>
          <w:lang w:val="es-ES"/>
        </w:rPr>
        <w:t xml:space="preserve"> </w:t>
      </w:r>
      <w:r w:rsidR="00E837C2" w:rsidRPr="003C15F1">
        <w:rPr>
          <w:rStyle w:val="ts-alignment-element"/>
          <w:sz w:val="22"/>
          <w:szCs w:val="22"/>
          <w:lang w:val="es-ES"/>
        </w:rPr>
        <w:t>y</w:t>
      </w:r>
      <w:r w:rsidR="00E837C2" w:rsidRPr="003C15F1">
        <w:rPr>
          <w:sz w:val="22"/>
          <w:szCs w:val="22"/>
          <w:lang w:val="es-ES"/>
        </w:rPr>
        <w:t xml:space="preserve"> </w:t>
      </w:r>
      <w:r w:rsidR="00E837C2" w:rsidRPr="003C15F1">
        <w:rPr>
          <w:rStyle w:val="ts-alignment-element"/>
          <w:sz w:val="22"/>
          <w:szCs w:val="22"/>
          <w:lang w:val="es-ES"/>
        </w:rPr>
        <w:t>visados.</w:t>
      </w:r>
      <w:r w:rsidR="00E837C2" w:rsidRPr="003C15F1">
        <w:rPr>
          <w:sz w:val="22"/>
          <w:szCs w:val="22"/>
          <w:lang w:val="es-ES"/>
        </w:rPr>
        <w:t xml:space="preserve"> </w:t>
      </w:r>
      <w:r w:rsidR="00E837C2" w:rsidRPr="003C15F1">
        <w:rPr>
          <w:rStyle w:val="ts-alignment-element"/>
          <w:sz w:val="22"/>
          <w:szCs w:val="22"/>
          <w:lang w:val="es-ES"/>
        </w:rPr>
        <w:t>La</w:t>
      </w:r>
      <w:r w:rsidR="00E837C2" w:rsidRPr="003C15F1">
        <w:rPr>
          <w:sz w:val="22"/>
          <w:szCs w:val="22"/>
          <w:lang w:val="es-ES"/>
        </w:rPr>
        <w:t xml:space="preserve"> </w:t>
      </w:r>
      <w:r w:rsidR="00E837C2" w:rsidRPr="003C15F1">
        <w:rPr>
          <w:rStyle w:val="ts-alignment-element"/>
          <w:sz w:val="22"/>
          <w:szCs w:val="22"/>
          <w:lang w:val="es-ES"/>
        </w:rPr>
        <w:t>Secretaría</w:t>
      </w:r>
      <w:r w:rsidR="00E837C2" w:rsidRPr="003C15F1">
        <w:rPr>
          <w:sz w:val="22"/>
          <w:szCs w:val="22"/>
          <w:lang w:val="es-ES"/>
        </w:rPr>
        <w:t xml:space="preserve"> </w:t>
      </w:r>
      <w:r w:rsidR="00E837C2" w:rsidRPr="003C15F1">
        <w:rPr>
          <w:rStyle w:val="ts-alignment-element"/>
          <w:sz w:val="22"/>
          <w:szCs w:val="22"/>
          <w:lang w:val="es-ES"/>
        </w:rPr>
        <w:t>General</w:t>
      </w:r>
      <w:r w:rsidR="00E837C2" w:rsidRPr="003C15F1">
        <w:rPr>
          <w:sz w:val="22"/>
          <w:szCs w:val="22"/>
          <w:lang w:val="es-ES"/>
        </w:rPr>
        <w:t xml:space="preserve"> de </w:t>
      </w:r>
      <w:r w:rsidR="00E837C2" w:rsidRPr="003C15F1">
        <w:rPr>
          <w:rStyle w:val="ts-alignment-element"/>
          <w:sz w:val="22"/>
          <w:szCs w:val="22"/>
          <w:lang w:val="es-ES"/>
        </w:rPr>
        <w:t>la</w:t>
      </w:r>
      <w:r w:rsidR="00E837C2" w:rsidRPr="003C15F1">
        <w:rPr>
          <w:sz w:val="22"/>
          <w:szCs w:val="22"/>
          <w:lang w:val="es-ES"/>
        </w:rPr>
        <w:t xml:space="preserve"> </w:t>
      </w:r>
      <w:r w:rsidR="00E837C2" w:rsidRPr="003C15F1">
        <w:rPr>
          <w:rStyle w:val="ts-alignment-element"/>
          <w:sz w:val="22"/>
          <w:szCs w:val="22"/>
          <w:lang w:val="es-ES"/>
        </w:rPr>
        <w:t>OEA</w:t>
      </w:r>
      <w:r w:rsidR="00E837C2" w:rsidRPr="003C15F1">
        <w:rPr>
          <w:sz w:val="22"/>
          <w:szCs w:val="22"/>
          <w:lang w:val="es-ES"/>
        </w:rPr>
        <w:t xml:space="preserve"> </w:t>
      </w:r>
      <w:r w:rsidR="00E837C2" w:rsidRPr="003C15F1">
        <w:rPr>
          <w:rStyle w:val="ts-alignment-element"/>
          <w:sz w:val="22"/>
          <w:szCs w:val="22"/>
          <w:lang w:val="es-ES"/>
        </w:rPr>
        <w:t>a</w:t>
      </w:r>
      <w:r w:rsidR="00E837C2" w:rsidRPr="003C15F1">
        <w:rPr>
          <w:sz w:val="22"/>
          <w:szCs w:val="22"/>
          <w:lang w:val="es-ES"/>
        </w:rPr>
        <w:t xml:space="preserve"> </w:t>
      </w:r>
      <w:r w:rsidR="00E837C2" w:rsidRPr="003C15F1">
        <w:rPr>
          <w:rStyle w:val="ts-alignment-element"/>
          <w:sz w:val="22"/>
          <w:szCs w:val="22"/>
          <w:lang w:val="es-ES"/>
        </w:rPr>
        <w:t>través</w:t>
      </w:r>
      <w:r w:rsidR="00E837C2" w:rsidRPr="003C15F1">
        <w:rPr>
          <w:sz w:val="22"/>
          <w:szCs w:val="22"/>
          <w:lang w:val="es-ES"/>
        </w:rPr>
        <w:t xml:space="preserve"> </w:t>
      </w:r>
      <w:r w:rsidR="00E837C2" w:rsidRPr="003C15F1">
        <w:rPr>
          <w:rStyle w:val="ts-alignment-element"/>
          <w:sz w:val="22"/>
          <w:szCs w:val="22"/>
          <w:lang w:val="es-ES"/>
        </w:rPr>
        <w:t>de</w:t>
      </w:r>
      <w:r w:rsidR="00E837C2" w:rsidRPr="003C15F1">
        <w:rPr>
          <w:sz w:val="22"/>
          <w:szCs w:val="22"/>
          <w:lang w:val="es-ES"/>
        </w:rPr>
        <w:t xml:space="preserve"> </w:t>
      </w:r>
      <w:r w:rsidR="00E837C2" w:rsidRPr="003C15F1">
        <w:rPr>
          <w:rStyle w:val="ts-alignment-element"/>
          <w:sz w:val="22"/>
          <w:szCs w:val="22"/>
          <w:lang w:val="es-ES"/>
        </w:rPr>
        <w:t>SEDI</w:t>
      </w:r>
      <w:r w:rsidR="00E837C2" w:rsidRPr="003C15F1">
        <w:rPr>
          <w:sz w:val="22"/>
          <w:szCs w:val="22"/>
          <w:lang w:val="es-ES"/>
        </w:rPr>
        <w:t xml:space="preserve"> </w:t>
      </w:r>
      <w:r w:rsidR="00E837C2" w:rsidRPr="003C15F1">
        <w:rPr>
          <w:rStyle w:val="ts-alignment-element"/>
          <w:sz w:val="22"/>
          <w:szCs w:val="22"/>
          <w:lang w:val="es-ES"/>
        </w:rPr>
        <w:t>también</w:t>
      </w:r>
      <w:r w:rsidR="00E837C2" w:rsidRPr="003C15F1">
        <w:rPr>
          <w:sz w:val="22"/>
          <w:szCs w:val="22"/>
          <w:lang w:val="es-ES"/>
        </w:rPr>
        <w:t xml:space="preserve"> </w:t>
      </w:r>
      <w:r w:rsidR="00E837C2" w:rsidRPr="003C15F1">
        <w:rPr>
          <w:rStyle w:val="ts-alignment-element"/>
          <w:sz w:val="22"/>
          <w:szCs w:val="22"/>
          <w:lang w:val="es-ES"/>
        </w:rPr>
        <w:t>ha</w:t>
      </w:r>
      <w:r w:rsidR="00E837C2" w:rsidRPr="003C15F1">
        <w:rPr>
          <w:sz w:val="22"/>
          <w:szCs w:val="22"/>
          <w:lang w:val="es-ES"/>
        </w:rPr>
        <w:t xml:space="preserve"> </w:t>
      </w:r>
      <w:r w:rsidR="00E837C2" w:rsidRPr="003C15F1">
        <w:rPr>
          <w:rStyle w:val="ts-alignment-element"/>
          <w:sz w:val="22"/>
          <w:szCs w:val="22"/>
          <w:lang w:val="es-ES"/>
        </w:rPr>
        <w:t>estado</w:t>
      </w:r>
      <w:r w:rsidR="00E837C2" w:rsidRPr="003C15F1">
        <w:rPr>
          <w:sz w:val="22"/>
          <w:szCs w:val="22"/>
          <w:lang w:val="es-ES"/>
        </w:rPr>
        <w:t xml:space="preserve"> </w:t>
      </w:r>
      <w:r w:rsidR="00E837C2" w:rsidRPr="003C15F1">
        <w:rPr>
          <w:rStyle w:val="ts-alignment-element"/>
          <w:sz w:val="22"/>
          <w:szCs w:val="22"/>
          <w:lang w:val="es-ES"/>
        </w:rPr>
        <w:t>apoyando</w:t>
      </w:r>
      <w:r w:rsidR="00E837C2" w:rsidRPr="003C15F1">
        <w:rPr>
          <w:sz w:val="22"/>
          <w:szCs w:val="22"/>
          <w:lang w:val="es-ES"/>
        </w:rPr>
        <w:t xml:space="preserve"> </w:t>
      </w:r>
      <w:r w:rsidR="00E837C2" w:rsidRPr="003C15F1">
        <w:rPr>
          <w:rStyle w:val="ts-alignment-element"/>
          <w:sz w:val="22"/>
          <w:szCs w:val="22"/>
          <w:lang w:val="es-ES"/>
        </w:rPr>
        <w:t>los</w:t>
      </w:r>
      <w:r w:rsidR="00E837C2" w:rsidRPr="003C15F1">
        <w:rPr>
          <w:sz w:val="22"/>
          <w:szCs w:val="22"/>
          <w:lang w:val="es-ES"/>
        </w:rPr>
        <w:t xml:space="preserve"> </w:t>
      </w:r>
      <w:r w:rsidR="00E837C2" w:rsidRPr="003C15F1">
        <w:rPr>
          <w:rStyle w:val="ts-alignment-element"/>
          <w:sz w:val="22"/>
          <w:szCs w:val="22"/>
          <w:lang w:val="es-ES"/>
        </w:rPr>
        <w:t>esfuerzos</w:t>
      </w:r>
      <w:r w:rsidR="00E837C2" w:rsidRPr="003C15F1">
        <w:rPr>
          <w:sz w:val="22"/>
          <w:szCs w:val="22"/>
          <w:lang w:val="es-ES"/>
        </w:rPr>
        <w:t xml:space="preserve"> </w:t>
      </w:r>
      <w:r w:rsidR="00E837C2" w:rsidRPr="003C15F1">
        <w:rPr>
          <w:rStyle w:val="ts-alignment-element"/>
          <w:sz w:val="22"/>
          <w:szCs w:val="22"/>
          <w:lang w:val="es-ES"/>
        </w:rPr>
        <w:t>de</w:t>
      </w:r>
      <w:r w:rsidR="00E837C2" w:rsidRPr="003C15F1">
        <w:rPr>
          <w:sz w:val="22"/>
          <w:szCs w:val="22"/>
          <w:lang w:val="es-ES"/>
        </w:rPr>
        <w:t xml:space="preserve"> </w:t>
      </w:r>
      <w:r w:rsidR="00E837C2" w:rsidRPr="003C15F1">
        <w:rPr>
          <w:rStyle w:val="ts-alignment-element"/>
          <w:sz w:val="22"/>
          <w:szCs w:val="22"/>
          <w:lang w:val="es-ES"/>
        </w:rPr>
        <w:t>los</w:t>
      </w:r>
      <w:r w:rsidR="00E837C2" w:rsidRPr="003C15F1">
        <w:rPr>
          <w:sz w:val="22"/>
          <w:szCs w:val="22"/>
          <w:lang w:val="es-ES"/>
        </w:rPr>
        <w:t xml:space="preserve"> </w:t>
      </w:r>
      <w:r w:rsidR="00E837C2" w:rsidRPr="003C15F1">
        <w:rPr>
          <w:rStyle w:val="ts-alignment-element"/>
          <w:sz w:val="22"/>
          <w:szCs w:val="22"/>
          <w:lang w:val="es-ES"/>
        </w:rPr>
        <w:t>países</w:t>
      </w:r>
      <w:r w:rsidR="00E837C2" w:rsidRPr="003C15F1">
        <w:rPr>
          <w:sz w:val="22"/>
          <w:szCs w:val="22"/>
          <w:lang w:val="es-ES"/>
        </w:rPr>
        <w:t xml:space="preserve"> </w:t>
      </w:r>
      <w:r w:rsidR="00E837C2" w:rsidRPr="003C15F1">
        <w:rPr>
          <w:rStyle w:val="ts-alignment-element"/>
          <w:sz w:val="22"/>
          <w:szCs w:val="22"/>
          <w:lang w:val="es-ES"/>
        </w:rPr>
        <w:t>para</w:t>
      </w:r>
      <w:r w:rsidR="00E837C2" w:rsidRPr="003C15F1">
        <w:rPr>
          <w:sz w:val="22"/>
          <w:szCs w:val="22"/>
          <w:lang w:val="es-ES"/>
        </w:rPr>
        <w:t xml:space="preserve"> </w:t>
      </w:r>
      <w:r w:rsidR="00E837C2" w:rsidRPr="003C15F1">
        <w:rPr>
          <w:rStyle w:val="ts-alignment-element"/>
          <w:sz w:val="22"/>
          <w:szCs w:val="22"/>
          <w:lang w:val="es-ES"/>
        </w:rPr>
        <w:t>reabrir</w:t>
      </w:r>
      <w:r w:rsidR="00E837C2" w:rsidRPr="003C15F1">
        <w:rPr>
          <w:sz w:val="22"/>
          <w:szCs w:val="22"/>
          <w:lang w:val="es-ES"/>
        </w:rPr>
        <w:t xml:space="preserve"> </w:t>
      </w:r>
      <w:r w:rsidR="00E837C2" w:rsidRPr="003C15F1">
        <w:rPr>
          <w:rStyle w:val="ts-alignment-element"/>
          <w:sz w:val="22"/>
          <w:szCs w:val="22"/>
          <w:lang w:val="es-ES"/>
        </w:rPr>
        <w:t>de</w:t>
      </w:r>
      <w:r w:rsidR="00E837C2" w:rsidRPr="003C15F1">
        <w:rPr>
          <w:sz w:val="22"/>
          <w:szCs w:val="22"/>
          <w:lang w:val="es-ES"/>
        </w:rPr>
        <w:t xml:space="preserve"> </w:t>
      </w:r>
      <w:r w:rsidR="00E837C2" w:rsidRPr="003C15F1">
        <w:rPr>
          <w:rStyle w:val="ts-alignment-element"/>
          <w:sz w:val="22"/>
          <w:szCs w:val="22"/>
          <w:lang w:val="es-ES"/>
        </w:rPr>
        <w:t>manera</w:t>
      </w:r>
      <w:r w:rsidR="00E837C2" w:rsidRPr="003C15F1">
        <w:rPr>
          <w:sz w:val="22"/>
          <w:szCs w:val="22"/>
          <w:lang w:val="es-ES"/>
        </w:rPr>
        <w:t xml:space="preserve"> </w:t>
      </w:r>
      <w:r w:rsidR="00E837C2" w:rsidRPr="003C15F1">
        <w:rPr>
          <w:rStyle w:val="ts-alignment-element"/>
          <w:sz w:val="22"/>
          <w:szCs w:val="22"/>
          <w:lang w:val="es-ES"/>
        </w:rPr>
        <w:t>segura</w:t>
      </w:r>
      <w:r w:rsidR="00E837C2" w:rsidRPr="003C15F1">
        <w:rPr>
          <w:sz w:val="22"/>
          <w:szCs w:val="22"/>
          <w:lang w:val="es-ES"/>
        </w:rPr>
        <w:t xml:space="preserve"> los destinos turísticos a los visitantes internacionales.</w:t>
      </w:r>
    </w:p>
    <w:p w14:paraId="63138E50" w14:textId="1C2A8B49" w:rsidR="00C26985" w:rsidRPr="003C15F1" w:rsidRDefault="00C26985" w:rsidP="003C15F1">
      <w:pPr>
        <w:tabs>
          <w:tab w:val="left" w:pos="720"/>
          <w:tab w:val="left" w:pos="1440"/>
          <w:tab w:val="left" w:pos="9270"/>
        </w:tabs>
        <w:jc w:val="both"/>
        <w:rPr>
          <w:rFonts w:eastAsia="MS Mincho"/>
          <w:color w:val="000000" w:themeColor="text1"/>
          <w:sz w:val="22"/>
          <w:szCs w:val="22"/>
          <w:lang w:val="es-US"/>
        </w:rPr>
      </w:pPr>
    </w:p>
    <w:p w14:paraId="25845E24" w14:textId="77777777" w:rsidR="004A0493" w:rsidRPr="003C15F1" w:rsidRDefault="00C76886" w:rsidP="003C15F1">
      <w:pPr>
        <w:tabs>
          <w:tab w:val="left" w:pos="720"/>
          <w:tab w:val="left" w:pos="1440"/>
          <w:tab w:val="left" w:pos="9270"/>
        </w:tabs>
        <w:jc w:val="both"/>
        <w:rPr>
          <w:rStyle w:val="ts-alignment-element"/>
          <w:sz w:val="22"/>
          <w:szCs w:val="22"/>
          <w:lang w:val="es-ES"/>
        </w:rPr>
      </w:pPr>
      <w:r w:rsidRPr="003C15F1">
        <w:rPr>
          <w:rStyle w:val="ts-alignment-element"/>
          <w:sz w:val="22"/>
          <w:szCs w:val="22"/>
          <w:lang w:val="es-ES"/>
        </w:rPr>
        <w:tab/>
      </w:r>
      <w:r w:rsidR="00E837C2" w:rsidRPr="003C15F1">
        <w:rPr>
          <w:rStyle w:val="ts-alignment-element"/>
          <w:sz w:val="22"/>
          <w:szCs w:val="22"/>
          <w:lang w:val="es-ES"/>
        </w:rPr>
        <w:t>Si</w:t>
      </w:r>
      <w:r w:rsidR="00E837C2" w:rsidRPr="003C15F1">
        <w:rPr>
          <w:sz w:val="22"/>
          <w:szCs w:val="22"/>
          <w:lang w:val="es-ES"/>
        </w:rPr>
        <w:t xml:space="preserve"> </w:t>
      </w:r>
      <w:r w:rsidR="00E837C2" w:rsidRPr="003C15F1">
        <w:rPr>
          <w:rStyle w:val="ts-alignment-element"/>
          <w:sz w:val="22"/>
          <w:szCs w:val="22"/>
          <w:lang w:val="es-ES"/>
        </w:rPr>
        <w:t>bien</w:t>
      </w:r>
      <w:r w:rsidR="00E837C2" w:rsidRPr="003C15F1">
        <w:rPr>
          <w:sz w:val="22"/>
          <w:szCs w:val="22"/>
          <w:lang w:val="es-ES"/>
        </w:rPr>
        <w:t xml:space="preserve"> </w:t>
      </w:r>
      <w:r w:rsidR="00E837C2" w:rsidRPr="003C15F1">
        <w:rPr>
          <w:rStyle w:val="ts-alignment-element"/>
          <w:sz w:val="22"/>
          <w:szCs w:val="22"/>
          <w:lang w:val="es-ES"/>
        </w:rPr>
        <w:t>la</w:t>
      </w:r>
      <w:r w:rsidR="00E837C2" w:rsidRPr="003C15F1">
        <w:rPr>
          <w:sz w:val="22"/>
          <w:szCs w:val="22"/>
          <w:lang w:val="es-ES"/>
        </w:rPr>
        <w:t xml:space="preserve"> </w:t>
      </w:r>
      <w:r w:rsidR="00E837C2" w:rsidRPr="003C15F1">
        <w:rPr>
          <w:rStyle w:val="ts-alignment-element"/>
          <w:sz w:val="22"/>
          <w:szCs w:val="22"/>
          <w:lang w:val="es-ES"/>
        </w:rPr>
        <w:t>prepandemia</w:t>
      </w:r>
      <w:r w:rsidR="00E837C2" w:rsidRPr="003C15F1">
        <w:rPr>
          <w:sz w:val="22"/>
          <w:szCs w:val="22"/>
          <w:lang w:val="es-ES"/>
        </w:rPr>
        <w:t xml:space="preserve"> </w:t>
      </w:r>
      <w:r w:rsidR="00E837C2" w:rsidRPr="003C15F1">
        <w:rPr>
          <w:rStyle w:val="ts-alignment-element"/>
          <w:sz w:val="22"/>
          <w:szCs w:val="22"/>
          <w:lang w:val="es-ES"/>
        </w:rPr>
        <w:t>ya</w:t>
      </w:r>
      <w:r w:rsidR="00E837C2" w:rsidRPr="003C15F1">
        <w:rPr>
          <w:sz w:val="22"/>
          <w:szCs w:val="22"/>
          <w:lang w:val="es-ES"/>
        </w:rPr>
        <w:t xml:space="preserve"> </w:t>
      </w:r>
      <w:r w:rsidR="00E837C2" w:rsidRPr="003C15F1">
        <w:rPr>
          <w:rStyle w:val="ts-alignment-element"/>
          <w:sz w:val="22"/>
          <w:szCs w:val="22"/>
          <w:lang w:val="es-ES"/>
        </w:rPr>
        <w:t>se</w:t>
      </w:r>
      <w:r w:rsidR="00E837C2" w:rsidRPr="003C15F1">
        <w:rPr>
          <w:sz w:val="22"/>
          <w:szCs w:val="22"/>
          <w:lang w:val="es-ES"/>
        </w:rPr>
        <w:t xml:space="preserve"> </w:t>
      </w:r>
      <w:r w:rsidR="00E837C2" w:rsidRPr="003C15F1">
        <w:rPr>
          <w:rStyle w:val="ts-alignment-element"/>
          <w:sz w:val="22"/>
          <w:szCs w:val="22"/>
          <w:lang w:val="es-ES"/>
        </w:rPr>
        <w:t>caracterizaba</w:t>
      </w:r>
      <w:r w:rsidR="00E837C2" w:rsidRPr="003C15F1">
        <w:rPr>
          <w:sz w:val="22"/>
          <w:szCs w:val="22"/>
          <w:lang w:val="es-ES"/>
        </w:rPr>
        <w:t xml:space="preserve"> </w:t>
      </w:r>
      <w:r w:rsidR="00E837C2" w:rsidRPr="003C15F1">
        <w:rPr>
          <w:rStyle w:val="ts-alignment-element"/>
          <w:sz w:val="22"/>
          <w:szCs w:val="22"/>
          <w:lang w:val="es-ES"/>
        </w:rPr>
        <w:t>por</w:t>
      </w:r>
      <w:r w:rsidR="00E837C2" w:rsidRPr="003C15F1">
        <w:rPr>
          <w:sz w:val="22"/>
          <w:szCs w:val="22"/>
          <w:lang w:val="es-ES"/>
        </w:rPr>
        <w:t xml:space="preserve"> </w:t>
      </w:r>
      <w:r w:rsidR="00E837C2" w:rsidRPr="003C15F1">
        <w:rPr>
          <w:rStyle w:val="ts-alignment-element"/>
          <w:sz w:val="22"/>
          <w:szCs w:val="22"/>
          <w:lang w:val="es-ES"/>
        </w:rPr>
        <w:t>las</w:t>
      </w:r>
      <w:r w:rsidR="00E837C2" w:rsidRPr="003C15F1">
        <w:rPr>
          <w:sz w:val="22"/>
          <w:szCs w:val="22"/>
          <w:lang w:val="es-ES"/>
        </w:rPr>
        <w:t xml:space="preserve"> </w:t>
      </w:r>
      <w:r w:rsidR="00E837C2" w:rsidRPr="003C15F1">
        <w:rPr>
          <w:rStyle w:val="ts-alignment-element"/>
          <w:sz w:val="22"/>
          <w:szCs w:val="22"/>
          <w:lang w:val="es-ES"/>
        </w:rPr>
        <w:t>enormes</w:t>
      </w:r>
      <w:r w:rsidR="00E837C2" w:rsidRPr="003C15F1">
        <w:rPr>
          <w:sz w:val="22"/>
          <w:szCs w:val="22"/>
          <w:lang w:val="es-ES"/>
        </w:rPr>
        <w:t xml:space="preserve"> </w:t>
      </w:r>
      <w:r w:rsidR="00E837C2" w:rsidRPr="003C15F1">
        <w:rPr>
          <w:rStyle w:val="ts-alignment-element"/>
          <w:sz w:val="22"/>
          <w:szCs w:val="22"/>
          <w:lang w:val="es-ES"/>
        </w:rPr>
        <w:t>desigualdades</w:t>
      </w:r>
      <w:r w:rsidR="00E837C2" w:rsidRPr="003C15F1">
        <w:rPr>
          <w:sz w:val="22"/>
          <w:szCs w:val="22"/>
          <w:lang w:val="es-ES"/>
        </w:rPr>
        <w:t xml:space="preserve"> </w:t>
      </w:r>
      <w:r w:rsidR="00E837C2" w:rsidRPr="003C15F1">
        <w:rPr>
          <w:rStyle w:val="ts-alignment-element"/>
          <w:sz w:val="22"/>
          <w:szCs w:val="22"/>
          <w:lang w:val="es-ES"/>
        </w:rPr>
        <w:t>en</w:t>
      </w:r>
      <w:r w:rsidR="00E837C2" w:rsidRPr="003C15F1">
        <w:rPr>
          <w:sz w:val="22"/>
          <w:szCs w:val="22"/>
          <w:lang w:val="es-ES"/>
        </w:rPr>
        <w:t xml:space="preserve"> </w:t>
      </w:r>
      <w:r w:rsidR="00E837C2" w:rsidRPr="003C15F1">
        <w:rPr>
          <w:rStyle w:val="ts-alignment-element"/>
          <w:sz w:val="22"/>
          <w:szCs w:val="22"/>
          <w:lang w:val="es-ES"/>
        </w:rPr>
        <w:t>nuestra</w:t>
      </w:r>
      <w:r w:rsidR="00E837C2" w:rsidRPr="003C15F1">
        <w:rPr>
          <w:sz w:val="22"/>
          <w:szCs w:val="22"/>
          <w:lang w:val="es-ES"/>
        </w:rPr>
        <w:t xml:space="preserve"> </w:t>
      </w:r>
      <w:r w:rsidR="00E837C2" w:rsidRPr="003C15F1">
        <w:rPr>
          <w:rStyle w:val="ts-alignment-element"/>
          <w:sz w:val="22"/>
          <w:szCs w:val="22"/>
          <w:lang w:val="es-ES"/>
        </w:rPr>
        <w:t>región,</w:t>
      </w:r>
      <w:r w:rsidR="00E837C2" w:rsidRPr="003C15F1">
        <w:rPr>
          <w:sz w:val="22"/>
          <w:szCs w:val="22"/>
          <w:lang w:val="es-ES"/>
        </w:rPr>
        <w:t xml:space="preserve"> </w:t>
      </w:r>
      <w:r w:rsidR="00E837C2" w:rsidRPr="003C15F1">
        <w:rPr>
          <w:rStyle w:val="ts-alignment-element"/>
          <w:sz w:val="22"/>
          <w:szCs w:val="22"/>
          <w:lang w:val="es-ES"/>
        </w:rPr>
        <w:t>la</w:t>
      </w:r>
      <w:r w:rsidR="00E837C2" w:rsidRPr="003C15F1">
        <w:rPr>
          <w:sz w:val="22"/>
          <w:szCs w:val="22"/>
          <w:lang w:val="es-ES"/>
        </w:rPr>
        <w:t xml:space="preserve"> </w:t>
      </w:r>
      <w:r w:rsidRPr="003C15F1">
        <w:rPr>
          <w:rStyle w:val="ts-alignment-element"/>
          <w:sz w:val="22"/>
          <w:szCs w:val="22"/>
          <w:lang w:val="es-ES"/>
        </w:rPr>
        <w:t>postpandemia</w:t>
      </w:r>
      <w:r w:rsidR="00E837C2" w:rsidRPr="003C15F1">
        <w:rPr>
          <w:sz w:val="22"/>
          <w:szCs w:val="22"/>
          <w:lang w:val="es-ES"/>
        </w:rPr>
        <w:t xml:space="preserve"> </w:t>
      </w:r>
      <w:r w:rsidR="00E837C2" w:rsidRPr="003C15F1">
        <w:rPr>
          <w:rStyle w:val="ts-alignment-element"/>
          <w:sz w:val="22"/>
          <w:szCs w:val="22"/>
          <w:lang w:val="es-ES"/>
        </w:rPr>
        <w:t>pone</w:t>
      </w:r>
      <w:r w:rsidR="00E837C2" w:rsidRPr="003C15F1">
        <w:rPr>
          <w:sz w:val="22"/>
          <w:szCs w:val="22"/>
          <w:lang w:val="es-ES"/>
        </w:rPr>
        <w:t xml:space="preserve"> </w:t>
      </w:r>
      <w:r w:rsidR="00E837C2" w:rsidRPr="003C15F1">
        <w:rPr>
          <w:rStyle w:val="ts-alignment-element"/>
          <w:sz w:val="22"/>
          <w:szCs w:val="22"/>
          <w:lang w:val="es-ES"/>
        </w:rPr>
        <w:t>de</w:t>
      </w:r>
      <w:r w:rsidR="00E837C2" w:rsidRPr="003C15F1">
        <w:rPr>
          <w:sz w:val="22"/>
          <w:szCs w:val="22"/>
          <w:lang w:val="es-ES"/>
        </w:rPr>
        <w:t xml:space="preserve"> </w:t>
      </w:r>
      <w:r w:rsidR="00E837C2" w:rsidRPr="003C15F1">
        <w:rPr>
          <w:rStyle w:val="ts-alignment-element"/>
          <w:sz w:val="22"/>
          <w:szCs w:val="22"/>
          <w:lang w:val="es-ES"/>
        </w:rPr>
        <w:t>relieve</w:t>
      </w:r>
      <w:r w:rsidR="00E837C2" w:rsidRPr="003C15F1">
        <w:rPr>
          <w:sz w:val="22"/>
          <w:szCs w:val="22"/>
          <w:lang w:val="es-ES"/>
        </w:rPr>
        <w:t xml:space="preserve"> </w:t>
      </w:r>
      <w:r w:rsidR="00E837C2" w:rsidRPr="003C15F1">
        <w:rPr>
          <w:rStyle w:val="ts-alignment-element"/>
          <w:sz w:val="22"/>
          <w:szCs w:val="22"/>
          <w:lang w:val="es-ES"/>
        </w:rPr>
        <w:t>la</w:t>
      </w:r>
      <w:r w:rsidR="00E837C2" w:rsidRPr="003C15F1">
        <w:rPr>
          <w:sz w:val="22"/>
          <w:szCs w:val="22"/>
          <w:lang w:val="es-ES"/>
        </w:rPr>
        <w:t xml:space="preserve"> </w:t>
      </w:r>
      <w:r w:rsidR="00E837C2" w:rsidRPr="003C15F1">
        <w:rPr>
          <w:rStyle w:val="ts-alignment-element"/>
          <w:sz w:val="22"/>
          <w:szCs w:val="22"/>
          <w:lang w:val="es-ES"/>
        </w:rPr>
        <w:t>rapidez</w:t>
      </w:r>
      <w:r w:rsidR="00E837C2" w:rsidRPr="003C15F1">
        <w:rPr>
          <w:sz w:val="22"/>
          <w:szCs w:val="22"/>
          <w:lang w:val="es-ES"/>
        </w:rPr>
        <w:t xml:space="preserve"> </w:t>
      </w:r>
      <w:r w:rsidR="00E837C2" w:rsidRPr="003C15F1">
        <w:rPr>
          <w:rStyle w:val="ts-alignment-element"/>
          <w:sz w:val="22"/>
          <w:szCs w:val="22"/>
          <w:lang w:val="es-ES"/>
        </w:rPr>
        <w:t>con</w:t>
      </w:r>
      <w:r w:rsidR="00E837C2" w:rsidRPr="003C15F1">
        <w:rPr>
          <w:sz w:val="22"/>
          <w:szCs w:val="22"/>
          <w:lang w:val="es-ES"/>
        </w:rPr>
        <w:t xml:space="preserve"> </w:t>
      </w:r>
      <w:r w:rsidR="00E837C2" w:rsidRPr="003C15F1">
        <w:rPr>
          <w:rStyle w:val="ts-alignment-element"/>
          <w:sz w:val="22"/>
          <w:szCs w:val="22"/>
          <w:lang w:val="es-ES"/>
        </w:rPr>
        <w:t>la</w:t>
      </w:r>
      <w:r w:rsidR="00E837C2" w:rsidRPr="003C15F1">
        <w:rPr>
          <w:sz w:val="22"/>
          <w:szCs w:val="22"/>
          <w:lang w:val="es-ES"/>
        </w:rPr>
        <w:t xml:space="preserve"> </w:t>
      </w:r>
      <w:r w:rsidR="00E837C2" w:rsidRPr="003C15F1">
        <w:rPr>
          <w:rStyle w:val="ts-alignment-element"/>
          <w:sz w:val="22"/>
          <w:szCs w:val="22"/>
          <w:lang w:val="es-ES"/>
        </w:rPr>
        <w:t>que</w:t>
      </w:r>
      <w:r w:rsidR="00E837C2" w:rsidRPr="003C15F1">
        <w:rPr>
          <w:sz w:val="22"/>
          <w:szCs w:val="22"/>
          <w:lang w:val="es-ES"/>
        </w:rPr>
        <w:t xml:space="preserve"> </w:t>
      </w:r>
      <w:r w:rsidR="00E837C2" w:rsidRPr="003C15F1">
        <w:rPr>
          <w:rStyle w:val="ts-alignment-element"/>
          <w:sz w:val="22"/>
          <w:szCs w:val="22"/>
          <w:lang w:val="es-ES"/>
        </w:rPr>
        <w:t>debemos</w:t>
      </w:r>
      <w:r w:rsidR="00E837C2" w:rsidRPr="003C15F1">
        <w:rPr>
          <w:sz w:val="22"/>
          <w:szCs w:val="22"/>
          <w:lang w:val="es-ES"/>
        </w:rPr>
        <w:t xml:space="preserve"> </w:t>
      </w:r>
      <w:r w:rsidR="00E837C2" w:rsidRPr="003C15F1">
        <w:rPr>
          <w:rStyle w:val="ts-alignment-element"/>
          <w:sz w:val="22"/>
          <w:szCs w:val="22"/>
          <w:lang w:val="es-ES"/>
        </w:rPr>
        <w:t>actuar</w:t>
      </w:r>
      <w:r w:rsidRPr="003C15F1">
        <w:rPr>
          <w:rStyle w:val="ts-alignment-element"/>
          <w:sz w:val="22"/>
          <w:szCs w:val="22"/>
          <w:lang w:val="es-ES"/>
        </w:rPr>
        <w:t xml:space="preserve"> ante </w:t>
      </w:r>
      <w:r w:rsidR="00E837C2" w:rsidRPr="003C15F1">
        <w:rPr>
          <w:rStyle w:val="ts-alignment-element"/>
          <w:sz w:val="22"/>
          <w:szCs w:val="22"/>
          <w:lang w:val="es-ES"/>
        </w:rPr>
        <w:t>la</w:t>
      </w:r>
      <w:r w:rsidR="00E837C2" w:rsidRPr="003C15F1">
        <w:rPr>
          <w:sz w:val="22"/>
          <w:szCs w:val="22"/>
          <w:lang w:val="es-ES"/>
        </w:rPr>
        <w:t xml:space="preserve"> </w:t>
      </w:r>
      <w:r w:rsidR="00E837C2" w:rsidRPr="003C15F1">
        <w:rPr>
          <w:rStyle w:val="ts-alignment-element"/>
          <w:sz w:val="22"/>
          <w:szCs w:val="22"/>
          <w:lang w:val="es-ES"/>
        </w:rPr>
        <w:t>cruda</w:t>
      </w:r>
      <w:r w:rsidR="00E837C2" w:rsidRPr="003C15F1">
        <w:rPr>
          <w:sz w:val="22"/>
          <w:szCs w:val="22"/>
          <w:lang w:val="es-ES"/>
        </w:rPr>
        <w:t xml:space="preserve"> </w:t>
      </w:r>
      <w:r w:rsidR="00E837C2" w:rsidRPr="003C15F1">
        <w:rPr>
          <w:rStyle w:val="ts-alignment-element"/>
          <w:sz w:val="22"/>
          <w:szCs w:val="22"/>
          <w:lang w:val="es-ES"/>
        </w:rPr>
        <w:t>realidad</w:t>
      </w:r>
      <w:r w:rsidR="00E837C2" w:rsidRPr="003C15F1">
        <w:rPr>
          <w:sz w:val="22"/>
          <w:szCs w:val="22"/>
          <w:lang w:val="es-ES"/>
        </w:rPr>
        <w:t xml:space="preserve"> </w:t>
      </w:r>
      <w:r w:rsidR="00E837C2" w:rsidRPr="003C15F1">
        <w:rPr>
          <w:rStyle w:val="ts-alignment-element"/>
          <w:sz w:val="22"/>
          <w:szCs w:val="22"/>
          <w:lang w:val="es-ES"/>
        </w:rPr>
        <w:t>que</w:t>
      </w:r>
      <w:r w:rsidR="00E837C2" w:rsidRPr="003C15F1">
        <w:rPr>
          <w:sz w:val="22"/>
          <w:szCs w:val="22"/>
          <w:lang w:val="es-ES"/>
        </w:rPr>
        <w:t xml:space="preserve"> </w:t>
      </w:r>
      <w:r w:rsidR="00E837C2" w:rsidRPr="003C15F1">
        <w:rPr>
          <w:rStyle w:val="ts-alignment-element"/>
          <w:sz w:val="22"/>
          <w:szCs w:val="22"/>
          <w:lang w:val="es-ES"/>
        </w:rPr>
        <w:t>ahora</w:t>
      </w:r>
      <w:r w:rsidR="00E837C2" w:rsidRPr="003C15F1">
        <w:rPr>
          <w:sz w:val="22"/>
          <w:szCs w:val="22"/>
          <w:lang w:val="es-ES"/>
        </w:rPr>
        <w:t xml:space="preserve"> </w:t>
      </w:r>
      <w:r w:rsidR="00E837C2" w:rsidRPr="003C15F1">
        <w:rPr>
          <w:rStyle w:val="ts-alignment-element"/>
          <w:sz w:val="22"/>
          <w:szCs w:val="22"/>
          <w:lang w:val="es-ES"/>
        </w:rPr>
        <w:t>enfrentamos</w:t>
      </w:r>
      <w:r w:rsidR="00E837C2" w:rsidRPr="003C15F1">
        <w:rPr>
          <w:sz w:val="22"/>
          <w:szCs w:val="22"/>
          <w:lang w:val="es-ES"/>
        </w:rPr>
        <w:t xml:space="preserve"> </w:t>
      </w:r>
      <w:r w:rsidR="00E837C2" w:rsidRPr="003C15F1">
        <w:rPr>
          <w:rStyle w:val="ts-alignment-element"/>
          <w:sz w:val="22"/>
          <w:szCs w:val="22"/>
          <w:lang w:val="es-ES"/>
        </w:rPr>
        <w:t>en</w:t>
      </w:r>
      <w:r w:rsidR="00E837C2" w:rsidRPr="003C15F1">
        <w:rPr>
          <w:sz w:val="22"/>
          <w:szCs w:val="22"/>
          <w:lang w:val="es-ES"/>
        </w:rPr>
        <w:t xml:space="preserve"> </w:t>
      </w:r>
      <w:r w:rsidR="00E837C2" w:rsidRPr="003C15F1">
        <w:rPr>
          <w:rStyle w:val="ts-alignment-element"/>
          <w:sz w:val="22"/>
          <w:szCs w:val="22"/>
          <w:lang w:val="es-ES"/>
        </w:rPr>
        <w:t>lo</w:t>
      </w:r>
      <w:r w:rsidR="00E837C2" w:rsidRPr="003C15F1">
        <w:rPr>
          <w:sz w:val="22"/>
          <w:szCs w:val="22"/>
          <w:lang w:val="es-ES"/>
        </w:rPr>
        <w:t xml:space="preserve"> </w:t>
      </w:r>
      <w:r w:rsidR="00E837C2" w:rsidRPr="003C15F1">
        <w:rPr>
          <w:rStyle w:val="ts-alignment-element"/>
          <w:sz w:val="22"/>
          <w:szCs w:val="22"/>
          <w:lang w:val="es-ES"/>
        </w:rPr>
        <w:t>que</w:t>
      </w:r>
      <w:r w:rsidR="00E837C2" w:rsidRPr="003C15F1">
        <w:rPr>
          <w:sz w:val="22"/>
          <w:szCs w:val="22"/>
          <w:lang w:val="es-ES"/>
        </w:rPr>
        <w:t xml:space="preserve"> </w:t>
      </w:r>
      <w:r w:rsidR="00E837C2" w:rsidRPr="003C15F1">
        <w:rPr>
          <w:rStyle w:val="ts-alignment-element"/>
          <w:sz w:val="22"/>
          <w:szCs w:val="22"/>
          <w:lang w:val="es-ES"/>
        </w:rPr>
        <w:t>respecta</w:t>
      </w:r>
      <w:r w:rsidR="00E837C2" w:rsidRPr="003C15F1">
        <w:rPr>
          <w:sz w:val="22"/>
          <w:szCs w:val="22"/>
          <w:lang w:val="es-ES"/>
        </w:rPr>
        <w:t xml:space="preserve"> </w:t>
      </w:r>
      <w:r w:rsidR="00E837C2" w:rsidRPr="003C15F1">
        <w:rPr>
          <w:rStyle w:val="ts-alignment-element"/>
          <w:sz w:val="22"/>
          <w:szCs w:val="22"/>
          <w:lang w:val="es-ES"/>
        </w:rPr>
        <w:t>a</w:t>
      </w:r>
      <w:r w:rsidR="00E837C2" w:rsidRPr="003C15F1">
        <w:rPr>
          <w:sz w:val="22"/>
          <w:szCs w:val="22"/>
          <w:lang w:val="es-ES"/>
        </w:rPr>
        <w:t xml:space="preserve"> </w:t>
      </w:r>
      <w:r w:rsidR="00E837C2" w:rsidRPr="003C15F1">
        <w:rPr>
          <w:rStyle w:val="ts-alignment-element"/>
          <w:sz w:val="22"/>
          <w:szCs w:val="22"/>
          <w:lang w:val="es-ES"/>
        </w:rPr>
        <w:t>la</w:t>
      </w:r>
      <w:r w:rsidR="00E837C2" w:rsidRPr="003C15F1">
        <w:rPr>
          <w:sz w:val="22"/>
          <w:szCs w:val="22"/>
          <w:lang w:val="es-ES"/>
        </w:rPr>
        <w:t xml:space="preserve"> </w:t>
      </w:r>
      <w:r w:rsidR="00E837C2" w:rsidRPr="003C15F1">
        <w:rPr>
          <w:rStyle w:val="ts-alignment-element"/>
          <w:sz w:val="22"/>
          <w:szCs w:val="22"/>
          <w:lang w:val="es-ES"/>
        </w:rPr>
        <w:t>educación</w:t>
      </w:r>
      <w:r w:rsidR="00E837C2" w:rsidRPr="003C15F1">
        <w:rPr>
          <w:sz w:val="22"/>
          <w:szCs w:val="22"/>
          <w:lang w:val="es-ES"/>
        </w:rPr>
        <w:t xml:space="preserve"> </w:t>
      </w:r>
      <w:r w:rsidR="00E837C2" w:rsidRPr="003C15F1">
        <w:rPr>
          <w:rStyle w:val="ts-alignment-element"/>
          <w:sz w:val="22"/>
          <w:szCs w:val="22"/>
          <w:lang w:val="es-ES"/>
        </w:rPr>
        <w:t>en</w:t>
      </w:r>
      <w:r w:rsidR="00E837C2" w:rsidRPr="003C15F1">
        <w:rPr>
          <w:sz w:val="22"/>
          <w:szCs w:val="22"/>
          <w:lang w:val="es-ES"/>
        </w:rPr>
        <w:t xml:space="preserve"> </w:t>
      </w:r>
      <w:r w:rsidR="00E837C2" w:rsidRPr="003C15F1">
        <w:rPr>
          <w:rStyle w:val="ts-alignment-element"/>
          <w:sz w:val="22"/>
          <w:szCs w:val="22"/>
          <w:lang w:val="es-ES"/>
        </w:rPr>
        <w:t>nuestra</w:t>
      </w:r>
      <w:r w:rsidR="00E837C2" w:rsidRPr="003C15F1">
        <w:rPr>
          <w:sz w:val="22"/>
          <w:szCs w:val="22"/>
          <w:lang w:val="es-ES"/>
        </w:rPr>
        <w:t xml:space="preserve"> </w:t>
      </w:r>
      <w:r w:rsidR="00E837C2" w:rsidRPr="003C15F1">
        <w:rPr>
          <w:rStyle w:val="ts-alignment-element"/>
          <w:sz w:val="22"/>
          <w:szCs w:val="22"/>
          <w:lang w:val="es-ES"/>
        </w:rPr>
        <w:t>región.</w:t>
      </w:r>
      <w:r w:rsidR="00E837C2" w:rsidRPr="003C15F1">
        <w:rPr>
          <w:sz w:val="22"/>
          <w:szCs w:val="22"/>
          <w:lang w:val="es-ES"/>
        </w:rPr>
        <w:t xml:space="preserve"> Las </w:t>
      </w:r>
      <w:r w:rsidR="00E837C2" w:rsidRPr="003C15F1">
        <w:rPr>
          <w:rStyle w:val="ts-alignment-element"/>
          <w:sz w:val="22"/>
          <w:szCs w:val="22"/>
          <w:lang w:val="es-ES"/>
        </w:rPr>
        <w:t>actividades</w:t>
      </w:r>
      <w:r w:rsidR="00E837C2" w:rsidRPr="003C15F1">
        <w:rPr>
          <w:sz w:val="22"/>
          <w:szCs w:val="22"/>
          <w:lang w:val="es-ES"/>
        </w:rPr>
        <w:t xml:space="preserve"> de </w:t>
      </w:r>
      <w:r w:rsidR="00E837C2" w:rsidRPr="003C15F1">
        <w:rPr>
          <w:rStyle w:val="ts-alignment-element"/>
          <w:sz w:val="22"/>
          <w:szCs w:val="22"/>
          <w:lang w:val="es-ES"/>
        </w:rPr>
        <w:t>la</w:t>
      </w:r>
      <w:r w:rsidR="00E837C2" w:rsidRPr="003C15F1">
        <w:rPr>
          <w:sz w:val="22"/>
          <w:szCs w:val="22"/>
          <w:lang w:val="es-ES"/>
        </w:rPr>
        <w:t xml:space="preserve"> </w:t>
      </w:r>
      <w:r w:rsidR="00E837C2" w:rsidRPr="003C15F1">
        <w:rPr>
          <w:rStyle w:val="ts-alignment-element"/>
          <w:sz w:val="22"/>
          <w:szCs w:val="22"/>
          <w:lang w:val="es-ES"/>
        </w:rPr>
        <w:t>SEDI</w:t>
      </w:r>
      <w:r w:rsidR="00E837C2" w:rsidRPr="003C15F1">
        <w:rPr>
          <w:sz w:val="22"/>
          <w:szCs w:val="22"/>
          <w:lang w:val="es-ES"/>
        </w:rPr>
        <w:t xml:space="preserve"> </w:t>
      </w:r>
      <w:r w:rsidR="00E837C2" w:rsidRPr="003C15F1">
        <w:rPr>
          <w:rStyle w:val="ts-alignment-element"/>
          <w:sz w:val="22"/>
          <w:szCs w:val="22"/>
          <w:lang w:val="es-ES"/>
        </w:rPr>
        <w:t>con</w:t>
      </w:r>
      <w:r w:rsidR="00E837C2" w:rsidRPr="003C15F1">
        <w:rPr>
          <w:sz w:val="22"/>
          <w:szCs w:val="22"/>
          <w:lang w:val="es-ES"/>
        </w:rPr>
        <w:t xml:space="preserve"> </w:t>
      </w:r>
      <w:r w:rsidR="00E837C2" w:rsidRPr="003C15F1">
        <w:rPr>
          <w:rStyle w:val="ts-alignment-element"/>
          <w:sz w:val="22"/>
          <w:szCs w:val="22"/>
          <w:lang w:val="es-ES"/>
        </w:rPr>
        <w:t>las</w:t>
      </w:r>
      <w:r w:rsidR="00E837C2" w:rsidRPr="003C15F1">
        <w:rPr>
          <w:sz w:val="22"/>
          <w:szCs w:val="22"/>
          <w:lang w:val="es-ES"/>
        </w:rPr>
        <w:t xml:space="preserve"> </w:t>
      </w:r>
      <w:r w:rsidR="00E837C2" w:rsidRPr="003C15F1">
        <w:rPr>
          <w:rStyle w:val="ts-alignment-element"/>
          <w:sz w:val="22"/>
          <w:szCs w:val="22"/>
          <w:lang w:val="es-ES"/>
        </w:rPr>
        <w:t>autoridades</w:t>
      </w:r>
      <w:r w:rsidR="00E837C2" w:rsidRPr="003C15F1">
        <w:rPr>
          <w:sz w:val="22"/>
          <w:szCs w:val="22"/>
          <w:lang w:val="es-ES"/>
        </w:rPr>
        <w:t xml:space="preserve"> </w:t>
      </w:r>
      <w:proofErr w:type="gramStart"/>
      <w:r w:rsidR="00E837C2" w:rsidRPr="003C15F1">
        <w:rPr>
          <w:rStyle w:val="ts-alignment-element"/>
          <w:sz w:val="22"/>
          <w:szCs w:val="22"/>
          <w:lang w:val="es-ES"/>
        </w:rPr>
        <w:t>sectoriales,</w:t>
      </w:r>
      <w:proofErr w:type="gramEnd"/>
      <w:r w:rsidR="00E837C2" w:rsidRPr="003C15F1">
        <w:rPr>
          <w:sz w:val="22"/>
          <w:szCs w:val="22"/>
          <w:lang w:val="es-ES"/>
        </w:rPr>
        <w:t xml:space="preserve"> </w:t>
      </w:r>
      <w:r w:rsidR="00E837C2" w:rsidRPr="003C15F1">
        <w:rPr>
          <w:rStyle w:val="ts-alignment-element"/>
          <w:sz w:val="22"/>
          <w:szCs w:val="22"/>
          <w:lang w:val="es-ES"/>
        </w:rPr>
        <w:t>abordaron</w:t>
      </w:r>
      <w:r w:rsidR="00E837C2" w:rsidRPr="003C15F1">
        <w:rPr>
          <w:sz w:val="22"/>
          <w:szCs w:val="22"/>
          <w:lang w:val="es-ES"/>
        </w:rPr>
        <w:t xml:space="preserve"> </w:t>
      </w:r>
      <w:r w:rsidR="00E837C2" w:rsidRPr="003C15F1">
        <w:rPr>
          <w:rStyle w:val="ts-alignment-element"/>
          <w:sz w:val="22"/>
          <w:szCs w:val="22"/>
          <w:lang w:val="es-ES"/>
        </w:rPr>
        <w:t>los</w:t>
      </w:r>
      <w:r w:rsidR="00E837C2" w:rsidRPr="003C15F1">
        <w:rPr>
          <w:sz w:val="22"/>
          <w:szCs w:val="22"/>
          <w:lang w:val="es-ES"/>
        </w:rPr>
        <w:t xml:space="preserve"> </w:t>
      </w:r>
      <w:r w:rsidR="00E837C2" w:rsidRPr="003C15F1">
        <w:rPr>
          <w:rStyle w:val="ts-alignment-element"/>
          <w:sz w:val="22"/>
          <w:szCs w:val="22"/>
          <w:lang w:val="es-ES"/>
        </w:rPr>
        <w:t>temas</w:t>
      </w:r>
      <w:r w:rsidR="00E837C2" w:rsidRPr="003C15F1">
        <w:rPr>
          <w:sz w:val="22"/>
          <w:szCs w:val="22"/>
          <w:lang w:val="es-ES"/>
        </w:rPr>
        <w:t xml:space="preserve"> </w:t>
      </w:r>
      <w:r w:rsidR="00E837C2" w:rsidRPr="003C15F1">
        <w:rPr>
          <w:rStyle w:val="ts-alignment-element"/>
          <w:sz w:val="22"/>
          <w:szCs w:val="22"/>
          <w:lang w:val="es-ES"/>
        </w:rPr>
        <w:t>de</w:t>
      </w:r>
      <w:r w:rsidR="00E837C2" w:rsidRPr="003C15F1">
        <w:rPr>
          <w:sz w:val="22"/>
          <w:szCs w:val="22"/>
          <w:lang w:val="es-ES"/>
        </w:rPr>
        <w:t xml:space="preserve"> </w:t>
      </w:r>
      <w:r w:rsidR="00E837C2" w:rsidRPr="003C15F1">
        <w:rPr>
          <w:rStyle w:val="ts-alignment-element"/>
          <w:sz w:val="22"/>
          <w:szCs w:val="22"/>
          <w:lang w:val="es-ES"/>
        </w:rPr>
        <w:t>inclusión</w:t>
      </w:r>
      <w:r w:rsidR="00E837C2" w:rsidRPr="003C15F1">
        <w:rPr>
          <w:sz w:val="22"/>
          <w:szCs w:val="22"/>
          <w:lang w:val="es-ES"/>
        </w:rPr>
        <w:t xml:space="preserve"> </w:t>
      </w:r>
      <w:r w:rsidR="00E837C2" w:rsidRPr="003C15F1">
        <w:rPr>
          <w:rStyle w:val="ts-alignment-element"/>
          <w:sz w:val="22"/>
          <w:szCs w:val="22"/>
          <w:lang w:val="es-ES"/>
        </w:rPr>
        <w:t>y</w:t>
      </w:r>
      <w:r w:rsidR="00E837C2" w:rsidRPr="003C15F1">
        <w:rPr>
          <w:sz w:val="22"/>
          <w:szCs w:val="22"/>
          <w:lang w:val="es-ES"/>
        </w:rPr>
        <w:t xml:space="preserve"> </w:t>
      </w:r>
      <w:r w:rsidR="00E837C2" w:rsidRPr="003C15F1">
        <w:rPr>
          <w:rStyle w:val="ts-alignment-element"/>
          <w:sz w:val="22"/>
          <w:szCs w:val="22"/>
          <w:lang w:val="es-ES"/>
        </w:rPr>
        <w:t>equidad</w:t>
      </w:r>
      <w:r w:rsidR="00E837C2" w:rsidRPr="003C15F1">
        <w:rPr>
          <w:sz w:val="22"/>
          <w:szCs w:val="22"/>
          <w:lang w:val="es-ES"/>
        </w:rPr>
        <w:t xml:space="preserve"> </w:t>
      </w:r>
      <w:r w:rsidR="00E837C2" w:rsidRPr="003C15F1">
        <w:rPr>
          <w:rStyle w:val="ts-alignment-element"/>
          <w:sz w:val="22"/>
          <w:szCs w:val="22"/>
          <w:lang w:val="es-ES"/>
        </w:rPr>
        <w:t>en</w:t>
      </w:r>
      <w:r w:rsidR="00E837C2" w:rsidRPr="003C15F1">
        <w:rPr>
          <w:sz w:val="22"/>
          <w:szCs w:val="22"/>
          <w:lang w:val="es-ES"/>
        </w:rPr>
        <w:t xml:space="preserve"> </w:t>
      </w:r>
      <w:r w:rsidR="00E837C2" w:rsidRPr="003C15F1">
        <w:rPr>
          <w:rStyle w:val="ts-alignment-element"/>
          <w:sz w:val="22"/>
          <w:szCs w:val="22"/>
          <w:lang w:val="es-ES"/>
        </w:rPr>
        <w:t>la</w:t>
      </w:r>
      <w:r w:rsidR="00E837C2" w:rsidRPr="003C15F1">
        <w:rPr>
          <w:sz w:val="22"/>
          <w:szCs w:val="22"/>
          <w:lang w:val="es-ES"/>
        </w:rPr>
        <w:t xml:space="preserve"> </w:t>
      </w:r>
      <w:r w:rsidR="00E837C2" w:rsidRPr="003C15F1">
        <w:rPr>
          <w:rStyle w:val="ts-alignment-element"/>
          <w:sz w:val="22"/>
          <w:szCs w:val="22"/>
          <w:lang w:val="es-ES"/>
        </w:rPr>
        <w:t>educación</w:t>
      </w:r>
      <w:r w:rsidR="00E837C2" w:rsidRPr="003C15F1">
        <w:rPr>
          <w:sz w:val="22"/>
          <w:szCs w:val="22"/>
          <w:lang w:val="es-ES"/>
        </w:rPr>
        <w:t xml:space="preserve"> </w:t>
      </w:r>
      <w:r w:rsidR="00E837C2" w:rsidRPr="003C15F1">
        <w:rPr>
          <w:rStyle w:val="ts-alignment-element"/>
          <w:sz w:val="22"/>
          <w:szCs w:val="22"/>
          <w:lang w:val="es-ES"/>
        </w:rPr>
        <w:t>con</w:t>
      </w:r>
      <w:r w:rsidR="00E837C2" w:rsidRPr="003C15F1">
        <w:rPr>
          <w:sz w:val="22"/>
          <w:szCs w:val="22"/>
          <w:lang w:val="es-ES"/>
        </w:rPr>
        <w:t xml:space="preserve"> </w:t>
      </w:r>
      <w:r w:rsidR="00E837C2" w:rsidRPr="003C15F1">
        <w:rPr>
          <w:rStyle w:val="ts-alignment-element"/>
          <w:sz w:val="22"/>
          <w:szCs w:val="22"/>
          <w:lang w:val="es-ES"/>
        </w:rPr>
        <w:t>el</w:t>
      </w:r>
      <w:r w:rsidR="00E837C2" w:rsidRPr="003C15F1">
        <w:rPr>
          <w:sz w:val="22"/>
          <w:szCs w:val="22"/>
          <w:lang w:val="es-ES"/>
        </w:rPr>
        <w:t xml:space="preserve"> </w:t>
      </w:r>
      <w:r w:rsidR="00E837C2" w:rsidRPr="003C15F1">
        <w:rPr>
          <w:rStyle w:val="ts-alignment-element"/>
          <w:sz w:val="22"/>
          <w:szCs w:val="22"/>
          <w:lang w:val="es-ES"/>
        </w:rPr>
        <w:t>objetivo</w:t>
      </w:r>
      <w:r w:rsidR="00E837C2" w:rsidRPr="003C15F1">
        <w:rPr>
          <w:sz w:val="22"/>
          <w:szCs w:val="22"/>
          <w:lang w:val="es-ES"/>
        </w:rPr>
        <w:t xml:space="preserve"> </w:t>
      </w:r>
      <w:r w:rsidR="00E837C2" w:rsidRPr="003C15F1">
        <w:rPr>
          <w:rStyle w:val="ts-alignment-element"/>
          <w:sz w:val="22"/>
          <w:szCs w:val="22"/>
          <w:lang w:val="es-ES"/>
        </w:rPr>
        <w:t>de</w:t>
      </w:r>
      <w:r w:rsidR="00E837C2" w:rsidRPr="003C15F1">
        <w:rPr>
          <w:sz w:val="22"/>
          <w:szCs w:val="22"/>
          <w:lang w:val="es-ES"/>
        </w:rPr>
        <w:t xml:space="preserve"> </w:t>
      </w:r>
      <w:r w:rsidR="00E837C2" w:rsidRPr="003C15F1">
        <w:rPr>
          <w:rStyle w:val="ts-alignment-element"/>
          <w:sz w:val="22"/>
          <w:szCs w:val="22"/>
          <w:lang w:val="es-ES"/>
        </w:rPr>
        <w:t>compartir</w:t>
      </w:r>
      <w:r w:rsidR="00E837C2" w:rsidRPr="003C15F1">
        <w:rPr>
          <w:sz w:val="22"/>
          <w:szCs w:val="22"/>
          <w:lang w:val="es-ES"/>
        </w:rPr>
        <w:t xml:space="preserve"> </w:t>
      </w:r>
      <w:r w:rsidR="00E837C2" w:rsidRPr="003C15F1">
        <w:rPr>
          <w:rStyle w:val="ts-alignment-element"/>
          <w:sz w:val="22"/>
          <w:szCs w:val="22"/>
          <w:lang w:val="es-ES"/>
        </w:rPr>
        <w:t>políticas</w:t>
      </w:r>
      <w:r w:rsidR="00E837C2" w:rsidRPr="003C15F1">
        <w:rPr>
          <w:sz w:val="22"/>
          <w:szCs w:val="22"/>
          <w:lang w:val="es-ES"/>
        </w:rPr>
        <w:t xml:space="preserve"> </w:t>
      </w:r>
      <w:r w:rsidR="00E837C2" w:rsidRPr="003C15F1">
        <w:rPr>
          <w:rStyle w:val="ts-alignment-element"/>
          <w:sz w:val="22"/>
          <w:szCs w:val="22"/>
          <w:lang w:val="es-ES"/>
        </w:rPr>
        <w:t>educativas,</w:t>
      </w:r>
      <w:r w:rsidR="00E837C2" w:rsidRPr="003C15F1">
        <w:rPr>
          <w:sz w:val="22"/>
          <w:szCs w:val="22"/>
          <w:lang w:val="es-ES"/>
        </w:rPr>
        <w:t xml:space="preserve"> </w:t>
      </w:r>
      <w:r w:rsidR="00E837C2" w:rsidRPr="003C15F1">
        <w:rPr>
          <w:rStyle w:val="ts-alignment-element"/>
          <w:sz w:val="22"/>
          <w:szCs w:val="22"/>
          <w:lang w:val="es-ES"/>
        </w:rPr>
        <w:t>regulaciones,</w:t>
      </w:r>
      <w:r w:rsidR="00A55BEA" w:rsidRPr="003C15F1">
        <w:rPr>
          <w:sz w:val="22"/>
          <w:szCs w:val="22"/>
          <w:lang w:val="es-ES"/>
        </w:rPr>
        <w:t xml:space="preserve"> </w:t>
      </w:r>
      <w:r w:rsidR="00A55BEA" w:rsidRPr="003C15F1">
        <w:rPr>
          <w:rStyle w:val="ts-alignment-element"/>
          <w:sz w:val="22"/>
          <w:szCs w:val="22"/>
          <w:lang w:val="es-ES"/>
        </w:rPr>
        <w:t>herramientas</w:t>
      </w:r>
      <w:r w:rsidR="00A55BEA" w:rsidRPr="003C15F1">
        <w:rPr>
          <w:sz w:val="22"/>
          <w:szCs w:val="22"/>
          <w:lang w:val="es-ES"/>
        </w:rPr>
        <w:t xml:space="preserve"> </w:t>
      </w:r>
      <w:r w:rsidR="00A55BEA" w:rsidRPr="003C15F1">
        <w:rPr>
          <w:rStyle w:val="ts-alignment-element"/>
          <w:sz w:val="22"/>
          <w:szCs w:val="22"/>
          <w:lang w:val="es-ES"/>
        </w:rPr>
        <w:t>y</w:t>
      </w:r>
      <w:r w:rsidR="00A55BEA" w:rsidRPr="003C15F1">
        <w:rPr>
          <w:sz w:val="22"/>
          <w:szCs w:val="22"/>
          <w:lang w:val="es-ES"/>
        </w:rPr>
        <w:t xml:space="preserve"> </w:t>
      </w:r>
      <w:r w:rsidR="00A55BEA" w:rsidRPr="003C15F1">
        <w:rPr>
          <w:rStyle w:val="ts-alignment-element"/>
          <w:sz w:val="22"/>
          <w:szCs w:val="22"/>
          <w:lang w:val="es-ES"/>
        </w:rPr>
        <w:t>experiencias</w:t>
      </w:r>
      <w:r w:rsidR="00A55BEA" w:rsidRPr="003C15F1">
        <w:rPr>
          <w:sz w:val="22"/>
          <w:szCs w:val="22"/>
          <w:lang w:val="es-ES"/>
        </w:rPr>
        <w:t xml:space="preserve"> </w:t>
      </w:r>
      <w:r w:rsidR="00A55BEA" w:rsidRPr="003C15F1">
        <w:rPr>
          <w:rStyle w:val="ts-alignment-element"/>
          <w:sz w:val="22"/>
          <w:szCs w:val="22"/>
          <w:lang w:val="es-ES"/>
        </w:rPr>
        <w:t>de</w:t>
      </w:r>
      <w:r w:rsidR="00A55BEA" w:rsidRPr="003C15F1">
        <w:rPr>
          <w:sz w:val="22"/>
          <w:szCs w:val="22"/>
          <w:lang w:val="es-ES"/>
        </w:rPr>
        <w:t xml:space="preserve"> </w:t>
      </w:r>
      <w:r w:rsidR="00A55BEA" w:rsidRPr="003C15F1">
        <w:rPr>
          <w:rStyle w:val="ts-alignment-element"/>
          <w:sz w:val="22"/>
          <w:szCs w:val="22"/>
          <w:lang w:val="es-ES"/>
        </w:rPr>
        <w:t>los</w:t>
      </w:r>
      <w:r w:rsidR="00A55BEA" w:rsidRPr="003C15F1">
        <w:rPr>
          <w:sz w:val="22"/>
          <w:szCs w:val="22"/>
          <w:lang w:val="es-ES"/>
        </w:rPr>
        <w:t xml:space="preserve"> </w:t>
      </w:r>
      <w:r w:rsidR="00A55BEA" w:rsidRPr="003C15F1">
        <w:rPr>
          <w:rStyle w:val="ts-alignment-element"/>
          <w:sz w:val="22"/>
          <w:szCs w:val="22"/>
          <w:lang w:val="es-ES"/>
        </w:rPr>
        <w:t>países</w:t>
      </w:r>
      <w:r w:rsidR="00A55BEA" w:rsidRPr="003C15F1">
        <w:rPr>
          <w:sz w:val="22"/>
          <w:szCs w:val="22"/>
          <w:lang w:val="es-ES"/>
        </w:rPr>
        <w:t xml:space="preserve"> </w:t>
      </w:r>
      <w:r w:rsidR="00A55BEA" w:rsidRPr="003C15F1">
        <w:rPr>
          <w:rStyle w:val="ts-alignment-element"/>
          <w:sz w:val="22"/>
          <w:szCs w:val="22"/>
          <w:lang w:val="es-ES"/>
        </w:rPr>
        <w:t>de</w:t>
      </w:r>
      <w:r w:rsidR="00A55BEA" w:rsidRPr="003C15F1">
        <w:rPr>
          <w:sz w:val="22"/>
          <w:szCs w:val="22"/>
          <w:lang w:val="es-ES"/>
        </w:rPr>
        <w:t xml:space="preserve"> </w:t>
      </w:r>
      <w:r w:rsidR="00A55BEA" w:rsidRPr="003C15F1">
        <w:rPr>
          <w:rStyle w:val="ts-alignment-element"/>
          <w:sz w:val="22"/>
          <w:szCs w:val="22"/>
          <w:lang w:val="es-ES"/>
        </w:rPr>
        <w:t>la</w:t>
      </w:r>
      <w:r w:rsidR="00A55BEA" w:rsidRPr="003C15F1">
        <w:rPr>
          <w:sz w:val="22"/>
          <w:szCs w:val="22"/>
          <w:lang w:val="es-ES"/>
        </w:rPr>
        <w:t xml:space="preserve"> región </w:t>
      </w:r>
      <w:r w:rsidR="00A55BEA" w:rsidRPr="003C15F1">
        <w:rPr>
          <w:rStyle w:val="ts-alignment-element"/>
          <w:sz w:val="22"/>
          <w:szCs w:val="22"/>
          <w:lang w:val="es-ES"/>
        </w:rPr>
        <w:t>para</w:t>
      </w:r>
      <w:r w:rsidR="00A55BEA" w:rsidRPr="003C15F1">
        <w:rPr>
          <w:sz w:val="22"/>
          <w:szCs w:val="22"/>
          <w:lang w:val="es-ES"/>
        </w:rPr>
        <w:t xml:space="preserve"> </w:t>
      </w:r>
      <w:r w:rsidR="00A55BEA" w:rsidRPr="003C15F1">
        <w:rPr>
          <w:rStyle w:val="ts-alignment-element"/>
          <w:sz w:val="22"/>
          <w:szCs w:val="22"/>
          <w:lang w:val="es-ES"/>
        </w:rPr>
        <w:t>la</w:t>
      </w:r>
      <w:r w:rsidR="00A55BEA" w:rsidRPr="003C15F1">
        <w:rPr>
          <w:sz w:val="22"/>
          <w:szCs w:val="22"/>
          <w:lang w:val="es-ES"/>
        </w:rPr>
        <w:t xml:space="preserve"> </w:t>
      </w:r>
      <w:r w:rsidR="00A55BEA" w:rsidRPr="003C15F1">
        <w:rPr>
          <w:rStyle w:val="ts-alignment-element"/>
          <w:sz w:val="22"/>
          <w:szCs w:val="22"/>
          <w:lang w:val="es-ES"/>
        </w:rPr>
        <w:t>promoción</w:t>
      </w:r>
      <w:r w:rsidR="00A55BEA" w:rsidRPr="003C15F1">
        <w:rPr>
          <w:sz w:val="22"/>
          <w:szCs w:val="22"/>
          <w:lang w:val="es-ES"/>
        </w:rPr>
        <w:t xml:space="preserve"> </w:t>
      </w:r>
      <w:r w:rsidR="00A55BEA" w:rsidRPr="003C15F1">
        <w:rPr>
          <w:rStyle w:val="ts-alignment-element"/>
          <w:sz w:val="22"/>
          <w:szCs w:val="22"/>
          <w:lang w:val="es-ES"/>
        </w:rPr>
        <w:t>de</w:t>
      </w:r>
      <w:r w:rsidR="00A55BEA" w:rsidRPr="003C15F1">
        <w:rPr>
          <w:sz w:val="22"/>
          <w:szCs w:val="22"/>
          <w:lang w:val="es-ES"/>
        </w:rPr>
        <w:t xml:space="preserve"> </w:t>
      </w:r>
      <w:r w:rsidR="00A55BEA" w:rsidRPr="003C15F1">
        <w:rPr>
          <w:rStyle w:val="ts-alignment-element"/>
          <w:sz w:val="22"/>
          <w:szCs w:val="22"/>
          <w:lang w:val="es-ES"/>
        </w:rPr>
        <w:t>una</w:t>
      </w:r>
      <w:r w:rsidR="00A55BEA" w:rsidRPr="003C15F1">
        <w:rPr>
          <w:sz w:val="22"/>
          <w:szCs w:val="22"/>
          <w:lang w:val="es-ES"/>
        </w:rPr>
        <w:t xml:space="preserve"> </w:t>
      </w:r>
      <w:r w:rsidR="00A55BEA" w:rsidRPr="003C15F1">
        <w:rPr>
          <w:rStyle w:val="ts-alignment-element"/>
          <w:sz w:val="22"/>
          <w:szCs w:val="22"/>
          <w:lang w:val="es-ES"/>
        </w:rPr>
        <w:t>educación</w:t>
      </w:r>
      <w:r w:rsidR="00A55BEA" w:rsidRPr="003C15F1">
        <w:rPr>
          <w:sz w:val="22"/>
          <w:szCs w:val="22"/>
          <w:lang w:val="es-ES"/>
        </w:rPr>
        <w:t xml:space="preserve"> </w:t>
      </w:r>
      <w:r w:rsidR="00A55BEA" w:rsidRPr="003C15F1">
        <w:rPr>
          <w:rStyle w:val="ts-alignment-element"/>
          <w:sz w:val="22"/>
          <w:szCs w:val="22"/>
          <w:lang w:val="es-ES"/>
        </w:rPr>
        <w:t>de</w:t>
      </w:r>
      <w:r w:rsidR="00A55BEA" w:rsidRPr="003C15F1">
        <w:rPr>
          <w:sz w:val="22"/>
          <w:szCs w:val="22"/>
          <w:lang w:val="es-ES"/>
        </w:rPr>
        <w:t xml:space="preserve"> </w:t>
      </w:r>
      <w:r w:rsidR="00A55BEA" w:rsidRPr="003C15F1">
        <w:rPr>
          <w:rStyle w:val="ts-alignment-element"/>
          <w:sz w:val="22"/>
          <w:szCs w:val="22"/>
          <w:lang w:val="es-ES"/>
        </w:rPr>
        <w:t>calidad,</w:t>
      </w:r>
      <w:r w:rsidR="00A55BEA" w:rsidRPr="003C15F1">
        <w:rPr>
          <w:sz w:val="22"/>
          <w:szCs w:val="22"/>
          <w:lang w:val="es-ES"/>
        </w:rPr>
        <w:t xml:space="preserve"> </w:t>
      </w:r>
      <w:r w:rsidR="00A55BEA" w:rsidRPr="003C15F1">
        <w:rPr>
          <w:rStyle w:val="ts-alignment-element"/>
          <w:sz w:val="22"/>
          <w:szCs w:val="22"/>
          <w:lang w:val="es-ES"/>
        </w:rPr>
        <w:t>inclusiva</w:t>
      </w:r>
      <w:r w:rsidR="00A55BEA" w:rsidRPr="003C15F1">
        <w:rPr>
          <w:sz w:val="22"/>
          <w:szCs w:val="22"/>
          <w:lang w:val="es-ES"/>
        </w:rPr>
        <w:t xml:space="preserve"> </w:t>
      </w:r>
      <w:r w:rsidR="00A55BEA" w:rsidRPr="003C15F1">
        <w:rPr>
          <w:rStyle w:val="ts-alignment-element"/>
          <w:sz w:val="22"/>
          <w:szCs w:val="22"/>
          <w:lang w:val="es-ES"/>
        </w:rPr>
        <w:t>y</w:t>
      </w:r>
      <w:r w:rsidR="00A55BEA" w:rsidRPr="003C15F1">
        <w:rPr>
          <w:sz w:val="22"/>
          <w:szCs w:val="22"/>
          <w:lang w:val="es-ES"/>
        </w:rPr>
        <w:t xml:space="preserve"> </w:t>
      </w:r>
      <w:r w:rsidR="00A55BEA" w:rsidRPr="003C15F1">
        <w:rPr>
          <w:rStyle w:val="ts-alignment-element"/>
          <w:sz w:val="22"/>
          <w:szCs w:val="22"/>
          <w:lang w:val="es-ES"/>
        </w:rPr>
        <w:t>equitativa</w:t>
      </w:r>
      <w:r w:rsidR="00A55BEA" w:rsidRPr="003C15F1">
        <w:rPr>
          <w:sz w:val="22"/>
          <w:szCs w:val="22"/>
          <w:lang w:val="es-ES"/>
        </w:rPr>
        <w:t xml:space="preserve"> </w:t>
      </w:r>
      <w:r w:rsidR="00A55BEA" w:rsidRPr="003C15F1">
        <w:rPr>
          <w:rStyle w:val="ts-alignment-element"/>
          <w:sz w:val="22"/>
          <w:szCs w:val="22"/>
          <w:lang w:val="es-ES"/>
        </w:rPr>
        <w:t>en</w:t>
      </w:r>
      <w:r w:rsidR="00A55BEA" w:rsidRPr="003C15F1">
        <w:rPr>
          <w:sz w:val="22"/>
          <w:szCs w:val="22"/>
          <w:lang w:val="es-ES"/>
        </w:rPr>
        <w:t xml:space="preserve"> </w:t>
      </w:r>
      <w:r w:rsidR="00A55BEA" w:rsidRPr="003C15F1">
        <w:rPr>
          <w:rStyle w:val="ts-alignment-element"/>
          <w:sz w:val="22"/>
          <w:szCs w:val="22"/>
          <w:lang w:val="es-ES"/>
        </w:rPr>
        <w:t>contextos</w:t>
      </w:r>
      <w:r w:rsidR="00A55BEA" w:rsidRPr="003C15F1">
        <w:rPr>
          <w:sz w:val="22"/>
          <w:szCs w:val="22"/>
          <w:lang w:val="es-ES"/>
        </w:rPr>
        <w:t xml:space="preserve"> </w:t>
      </w:r>
      <w:r w:rsidR="00A55BEA" w:rsidRPr="003C15F1">
        <w:rPr>
          <w:rStyle w:val="ts-alignment-element"/>
          <w:sz w:val="22"/>
          <w:szCs w:val="22"/>
          <w:lang w:val="es-ES"/>
        </w:rPr>
        <w:t>de</w:t>
      </w:r>
      <w:r w:rsidR="00A55BEA" w:rsidRPr="003C15F1">
        <w:rPr>
          <w:sz w:val="22"/>
          <w:szCs w:val="22"/>
          <w:lang w:val="es-ES"/>
        </w:rPr>
        <w:t xml:space="preserve"> </w:t>
      </w:r>
      <w:r w:rsidR="00A55BEA" w:rsidRPr="003C15F1">
        <w:rPr>
          <w:rStyle w:val="ts-alignment-element"/>
          <w:sz w:val="22"/>
          <w:szCs w:val="22"/>
          <w:lang w:val="es-ES"/>
        </w:rPr>
        <w:t>cambio</w:t>
      </w:r>
      <w:r w:rsidRPr="003C15F1">
        <w:rPr>
          <w:rStyle w:val="ts-alignment-element"/>
          <w:sz w:val="22"/>
          <w:szCs w:val="22"/>
          <w:lang w:val="es-ES"/>
        </w:rPr>
        <w:t xml:space="preserve">. </w:t>
      </w:r>
    </w:p>
    <w:p w14:paraId="740837AE" w14:textId="77777777" w:rsidR="004A0493" w:rsidRPr="003C15F1" w:rsidRDefault="004A0493" w:rsidP="003C15F1">
      <w:pPr>
        <w:tabs>
          <w:tab w:val="left" w:pos="720"/>
          <w:tab w:val="left" w:pos="1440"/>
          <w:tab w:val="left" w:pos="9270"/>
        </w:tabs>
        <w:ind w:right="-540"/>
        <w:jc w:val="both"/>
        <w:rPr>
          <w:rStyle w:val="ts-alignment-element"/>
          <w:sz w:val="22"/>
          <w:szCs w:val="22"/>
          <w:lang w:val="es-ES"/>
        </w:rPr>
      </w:pPr>
    </w:p>
    <w:p w14:paraId="00C0E363" w14:textId="2B3118C1" w:rsidR="007D6A6D" w:rsidRPr="003C15F1" w:rsidRDefault="007D6A6D" w:rsidP="003C15F1">
      <w:pPr>
        <w:ind w:firstLine="709"/>
        <w:jc w:val="both"/>
        <w:rPr>
          <w:bCs/>
          <w:sz w:val="22"/>
          <w:szCs w:val="22"/>
          <w:lang w:val="es-CO"/>
        </w:rPr>
      </w:pPr>
      <w:r w:rsidRPr="003C15F1">
        <w:rPr>
          <w:sz w:val="22"/>
          <w:szCs w:val="22"/>
          <w:lang w:val="es"/>
        </w:rPr>
        <w:tab/>
      </w:r>
      <w:bookmarkStart w:id="4" w:name="_Hlk94626262"/>
      <w:r w:rsidRPr="003C15F1">
        <w:rPr>
          <w:sz w:val="22"/>
          <w:szCs w:val="22"/>
          <w:lang w:val="es"/>
        </w:rPr>
        <w:t xml:space="preserve">Reconociendo que la pandemia aceleró la economía digital y que el comercio electrónico reforzó la necesidad de desarrollar habilidades y capacitación en los sectores y tecnologías impulsados por la innovación, la SEDI </w:t>
      </w:r>
      <w:r w:rsidR="004A0493" w:rsidRPr="003C15F1">
        <w:rPr>
          <w:sz w:val="22"/>
          <w:szCs w:val="22"/>
          <w:lang w:val="es"/>
        </w:rPr>
        <w:t>apoy</w:t>
      </w:r>
      <w:r w:rsidRPr="003C15F1">
        <w:rPr>
          <w:sz w:val="22"/>
          <w:szCs w:val="22"/>
          <w:lang w:val="es"/>
        </w:rPr>
        <w:t>ó</w:t>
      </w:r>
      <w:r w:rsidR="004A0493" w:rsidRPr="003C15F1">
        <w:rPr>
          <w:sz w:val="22"/>
          <w:szCs w:val="22"/>
          <w:lang w:val="es"/>
        </w:rPr>
        <w:t xml:space="preserve"> el diseño de políticas y programas orientad</w:t>
      </w:r>
      <w:r w:rsidRPr="003C15F1">
        <w:rPr>
          <w:sz w:val="22"/>
          <w:szCs w:val="22"/>
          <w:lang w:val="es"/>
        </w:rPr>
        <w:t>o</w:t>
      </w:r>
      <w:r w:rsidR="004A0493" w:rsidRPr="003C15F1">
        <w:rPr>
          <w:sz w:val="22"/>
          <w:szCs w:val="22"/>
          <w:lang w:val="es"/>
        </w:rPr>
        <w:t>s a mejorar el acceso a la ciencia, la innovación y la tecnología a fin de</w:t>
      </w:r>
      <w:r w:rsidR="00397964" w:rsidRPr="003C15F1">
        <w:rPr>
          <w:sz w:val="22"/>
          <w:szCs w:val="22"/>
          <w:lang w:val="es"/>
        </w:rPr>
        <w:t xml:space="preserve"> apoyar </w:t>
      </w:r>
      <w:r w:rsidR="00397964" w:rsidRPr="003C15F1">
        <w:rPr>
          <w:sz w:val="22"/>
          <w:szCs w:val="22"/>
          <w:lang w:val="es-US"/>
        </w:rPr>
        <w:t xml:space="preserve">la transformación digital en los Estados Miembros, el cierre de las brechas digitales y de oportunidades; y </w:t>
      </w:r>
      <w:r w:rsidR="004A0493" w:rsidRPr="003C15F1">
        <w:rPr>
          <w:sz w:val="22"/>
          <w:szCs w:val="22"/>
          <w:lang w:val="es"/>
        </w:rPr>
        <w:t>mejorar la situación económica y social</w:t>
      </w:r>
      <w:r w:rsidRPr="003C15F1">
        <w:rPr>
          <w:sz w:val="22"/>
          <w:szCs w:val="22"/>
          <w:lang w:val="es"/>
        </w:rPr>
        <w:t xml:space="preserve"> de los jóvenes, l</w:t>
      </w:r>
      <w:r w:rsidR="004A0493" w:rsidRPr="003C15F1">
        <w:rPr>
          <w:sz w:val="22"/>
          <w:szCs w:val="22"/>
          <w:lang w:val="es"/>
        </w:rPr>
        <w:t>as mujeres y la población en situación de vulnerabilidad.</w:t>
      </w:r>
      <w:r w:rsidRPr="003C15F1">
        <w:rPr>
          <w:sz w:val="22"/>
          <w:szCs w:val="22"/>
          <w:lang w:val="es"/>
        </w:rPr>
        <w:t xml:space="preserve">  En este sentido, o</w:t>
      </w:r>
      <w:proofErr w:type="spellStart"/>
      <w:r w:rsidRPr="003C15F1">
        <w:rPr>
          <w:rStyle w:val="ts-alignment-element"/>
          <w:sz w:val="22"/>
          <w:szCs w:val="22"/>
          <w:lang w:val="es-ES"/>
        </w:rPr>
        <w:t>tro</w:t>
      </w:r>
      <w:proofErr w:type="spellEnd"/>
      <w:r w:rsidRPr="003C15F1">
        <w:rPr>
          <w:rStyle w:val="ts-alignment-element"/>
          <w:sz w:val="22"/>
          <w:szCs w:val="22"/>
          <w:lang w:val="es-ES"/>
        </w:rPr>
        <w:t xml:space="preserve"> logro en 2021 que la SEDI se complace en resaltar es el lanzamiento de la primera </w:t>
      </w:r>
      <w:r w:rsidRPr="003C15F1">
        <w:rPr>
          <w:sz w:val="22"/>
          <w:szCs w:val="22"/>
          <w:lang w:val="es-CO"/>
        </w:rPr>
        <w:t xml:space="preserve">Academia Juvenil de Ciencias y Tecnologías Transformadoras de las Américas. </w:t>
      </w:r>
      <w:bookmarkEnd w:id="4"/>
    </w:p>
    <w:p w14:paraId="6E8F8AEB" w14:textId="749D8FFB" w:rsidR="009C1AA8" w:rsidRPr="003C15F1" w:rsidRDefault="00A55BEA" w:rsidP="003C15F1">
      <w:pPr>
        <w:ind w:firstLine="709"/>
        <w:jc w:val="both"/>
        <w:rPr>
          <w:rStyle w:val="ts-alignment-element"/>
          <w:sz w:val="22"/>
          <w:szCs w:val="22"/>
          <w:lang w:val="es-ES"/>
        </w:rPr>
      </w:pPr>
      <w:r w:rsidRPr="003C15F1">
        <w:rPr>
          <w:rStyle w:val="ts-alignment-element"/>
          <w:sz w:val="22"/>
          <w:szCs w:val="22"/>
          <w:lang w:val="es-ES"/>
        </w:rPr>
        <w:lastRenderedPageBreak/>
        <w:t>En</w:t>
      </w:r>
      <w:r w:rsidRPr="003C15F1">
        <w:rPr>
          <w:sz w:val="22"/>
          <w:szCs w:val="22"/>
          <w:lang w:val="es-ES"/>
        </w:rPr>
        <w:t xml:space="preserve"> </w:t>
      </w:r>
      <w:r w:rsidRPr="003C15F1">
        <w:rPr>
          <w:rStyle w:val="ts-alignment-element"/>
          <w:sz w:val="22"/>
          <w:szCs w:val="22"/>
          <w:lang w:val="es-ES"/>
        </w:rPr>
        <w:t>un</w:t>
      </w:r>
      <w:r w:rsidRPr="003C15F1">
        <w:rPr>
          <w:sz w:val="22"/>
          <w:szCs w:val="22"/>
          <w:lang w:val="es-ES"/>
        </w:rPr>
        <w:t xml:space="preserve"> </w:t>
      </w:r>
      <w:r w:rsidRPr="003C15F1">
        <w:rPr>
          <w:rStyle w:val="ts-alignment-element"/>
          <w:sz w:val="22"/>
          <w:szCs w:val="22"/>
          <w:lang w:val="es-ES"/>
        </w:rPr>
        <w:t>escenario</w:t>
      </w:r>
      <w:r w:rsidRPr="003C15F1">
        <w:rPr>
          <w:sz w:val="22"/>
          <w:szCs w:val="22"/>
          <w:lang w:val="es-ES"/>
        </w:rPr>
        <w:t xml:space="preserve"> </w:t>
      </w:r>
      <w:r w:rsidRPr="003C15F1">
        <w:rPr>
          <w:rStyle w:val="ts-alignment-element"/>
          <w:sz w:val="22"/>
          <w:szCs w:val="22"/>
          <w:lang w:val="es-ES"/>
        </w:rPr>
        <w:t>de</w:t>
      </w:r>
      <w:r w:rsidRPr="003C15F1">
        <w:rPr>
          <w:sz w:val="22"/>
          <w:szCs w:val="22"/>
          <w:lang w:val="es-ES"/>
        </w:rPr>
        <w:t xml:space="preserve"> </w:t>
      </w:r>
      <w:r w:rsidRPr="003C15F1">
        <w:rPr>
          <w:rStyle w:val="ts-alignment-element"/>
          <w:sz w:val="22"/>
          <w:szCs w:val="22"/>
          <w:lang w:val="es-ES"/>
        </w:rPr>
        <w:t>disminución</w:t>
      </w:r>
      <w:r w:rsidRPr="003C15F1">
        <w:rPr>
          <w:sz w:val="22"/>
          <w:szCs w:val="22"/>
          <w:lang w:val="es-ES"/>
        </w:rPr>
        <w:t xml:space="preserve"> </w:t>
      </w:r>
      <w:r w:rsidRPr="003C15F1">
        <w:rPr>
          <w:rStyle w:val="ts-alignment-element"/>
          <w:sz w:val="22"/>
          <w:szCs w:val="22"/>
          <w:lang w:val="es-ES"/>
        </w:rPr>
        <w:t>de</w:t>
      </w:r>
      <w:r w:rsidRPr="003C15F1">
        <w:rPr>
          <w:sz w:val="22"/>
          <w:szCs w:val="22"/>
          <w:lang w:val="es-ES"/>
        </w:rPr>
        <w:t xml:space="preserve"> </w:t>
      </w:r>
      <w:r w:rsidRPr="003C15F1">
        <w:rPr>
          <w:rStyle w:val="ts-alignment-element"/>
          <w:sz w:val="22"/>
          <w:szCs w:val="22"/>
          <w:lang w:val="es-ES"/>
        </w:rPr>
        <w:t>recursos,</w:t>
      </w:r>
      <w:r w:rsidRPr="003C15F1">
        <w:rPr>
          <w:sz w:val="22"/>
          <w:szCs w:val="22"/>
          <w:lang w:val="es-ES"/>
        </w:rPr>
        <w:t xml:space="preserve"> </w:t>
      </w:r>
      <w:r w:rsidRPr="003C15F1">
        <w:rPr>
          <w:rStyle w:val="ts-alignment-element"/>
          <w:sz w:val="22"/>
          <w:szCs w:val="22"/>
          <w:lang w:val="es-ES"/>
        </w:rPr>
        <w:t>gran</w:t>
      </w:r>
      <w:r w:rsidRPr="003C15F1">
        <w:rPr>
          <w:sz w:val="22"/>
          <w:szCs w:val="22"/>
          <w:lang w:val="es-ES"/>
        </w:rPr>
        <w:t xml:space="preserve"> </w:t>
      </w:r>
      <w:r w:rsidRPr="003C15F1">
        <w:rPr>
          <w:rStyle w:val="ts-alignment-element"/>
          <w:sz w:val="22"/>
          <w:szCs w:val="22"/>
          <w:lang w:val="es-ES"/>
        </w:rPr>
        <w:t>parte</w:t>
      </w:r>
      <w:r w:rsidRPr="003C15F1">
        <w:rPr>
          <w:sz w:val="22"/>
          <w:szCs w:val="22"/>
          <w:lang w:val="es-ES"/>
        </w:rPr>
        <w:t xml:space="preserve"> </w:t>
      </w:r>
      <w:r w:rsidRPr="003C15F1">
        <w:rPr>
          <w:rStyle w:val="ts-alignment-element"/>
          <w:sz w:val="22"/>
          <w:szCs w:val="22"/>
          <w:lang w:val="es-ES"/>
        </w:rPr>
        <w:t>del</w:t>
      </w:r>
      <w:r w:rsidRPr="003C15F1">
        <w:rPr>
          <w:sz w:val="22"/>
          <w:szCs w:val="22"/>
          <w:lang w:val="es-ES"/>
        </w:rPr>
        <w:t xml:space="preserve"> </w:t>
      </w:r>
      <w:r w:rsidRPr="003C15F1">
        <w:rPr>
          <w:rStyle w:val="ts-alignment-element"/>
          <w:sz w:val="22"/>
          <w:szCs w:val="22"/>
          <w:lang w:val="es-ES"/>
        </w:rPr>
        <w:t>trabajo</w:t>
      </w:r>
      <w:r w:rsidRPr="003C15F1">
        <w:rPr>
          <w:sz w:val="22"/>
          <w:szCs w:val="22"/>
          <w:lang w:val="es-ES"/>
        </w:rPr>
        <w:t xml:space="preserve"> </w:t>
      </w:r>
      <w:r w:rsidRPr="003C15F1">
        <w:rPr>
          <w:rStyle w:val="ts-alignment-element"/>
          <w:sz w:val="22"/>
          <w:szCs w:val="22"/>
          <w:lang w:val="es-ES"/>
        </w:rPr>
        <w:t>de</w:t>
      </w:r>
      <w:r w:rsidRPr="003C15F1">
        <w:rPr>
          <w:sz w:val="22"/>
          <w:szCs w:val="22"/>
          <w:lang w:val="es-ES"/>
        </w:rPr>
        <w:t xml:space="preserve"> la </w:t>
      </w:r>
      <w:r w:rsidRPr="003C15F1">
        <w:rPr>
          <w:rStyle w:val="ts-alignment-element"/>
          <w:sz w:val="22"/>
          <w:szCs w:val="22"/>
          <w:lang w:val="es-ES"/>
        </w:rPr>
        <w:t>SEDI</w:t>
      </w:r>
      <w:r w:rsidRPr="003C15F1">
        <w:rPr>
          <w:sz w:val="22"/>
          <w:szCs w:val="22"/>
          <w:lang w:val="es-ES"/>
        </w:rPr>
        <w:t xml:space="preserve"> </w:t>
      </w:r>
      <w:r w:rsidRPr="003C15F1">
        <w:rPr>
          <w:rStyle w:val="ts-alignment-element"/>
          <w:sz w:val="22"/>
          <w:szCs w:val="22"/>
          <w:lang w:val="es-ES"/>
        </w:rPr>
        <w:t>se</w:t>
      </w:r>
      <w:r w:rsidRPr="003C15F1">
        <w:rPr>
          <w:sz w:val="22"/>
          <w:szCs w:val="22"/>
          <w:lang w:val="es-ES"/>
        </w:rPr>
        <w:t xml:space="preserve"> </w:t>
      </w:r>
      <w:r w:rsidRPr="003C15F1">
        <w:rPr>
          <w:rStyle w:val="ts-alignment-element"/>
          <w:sz w:val="22"/>
          <w:szCs w:val="22"/>
          <w:lang w:val="es-ES"/>
        </w:rPr>
        <w:t>financia</w:t>
      </w:r>
      <w:r w:rsidRPr="003C15F1">
        <w:rPr>
          <w:sz w:val="22"/>
          <w:szCs w:val="22"/>
          <w:lang w:val="es-ES"/>
        </w:rPr>
        <w:t xml:space="preserve"> </w:t>
      </w:r>
      <w:r w:rsidRPr="003C15F1">
        <w:rPr>
          <w:rStyle w:val="ts-alignment-element"/>
          <w:sz w:val="22"/>
          <w:szCs w:val="22"/>
          <w:lang w:val="es-ES"/>
        </w:rPr>
        <w:t>con</w:t>
      </w:r>
      <w:r w:rsidRPr="003C15F1">
        <w:rPr>
          <w:sz w:val="22"/>
          <w:szCs w:val="22"/>
          <w:lang w:val="es-ES"/>
        </w:rPr>
        <w:t xml:space="preserve"> </w:t>
      </w:r>
      <w:r w:rsidRPr="003C15F1">
        <w:rPr>
          <w:rStyle w:val="ts-alignment-element"/>
          <w:sz w:val="22"/>
          <w:szCs w:val="22"/>
          <w:lang w:val="es-ES"/>
        </w:rPr>
        <w:t>contribuciones</w:t>
      </w:r>
      <w:r w:rsidRPr="003C15F1">
        <w:rPr>
          <w:sz w:val="22"/>
          <w:szCs w:val="22"/>
          <w:lang w:val="es-ES"/>
        </w:rPr>
        <w:t xml:space="preserve"> </w:t>
      </w:r>
      <w:r w:rsidRPr="003C15F1">
        <w:rPr>
          <w:rStyle w:val="ts-alignment-element"/>
          <w:sz w:val="22"/>
          <w:szCs w:val="22"/>
          <w:lang w:val="es-ES"/>
        </w:rPr>
        <w:t>voluntarias</w:t>
      </w:r>
      <w:r w:rsidRPr="003C15F1">
        <w:rPr>
          <w:sz w:val="22"/>
          <w:szCs w:val="22"/>
          <w:lang w:val="es-ES"/>
        </w:rPr>
        <w:t xml:space="preserve"> </w:t>
      </w:r>
      <w:r w:rsidRPr="003C15F1">
        <w:rPr>
          <w:rStyle w:val="ts-alignment-element"/>
          <w:sz w:val="22"/>
          <w:szCs w:val="22"/>
          <w:lang w:val="es-ES"/>
        </w:rPr>
        <w:t>de</w:t>
      </w:r>
      <w:r w:rsidRPr="003C15F1">
        <w:rPr>
          <w:sz w:val="22"/>
          <w:szCs w:val="22"/>
          <w:lang w:val="es-ES"/>
        </w:rPr>
        <w:t xml:space="preserve"> </w:t>
      </w:r>
      <w:r w:rsidRPr="003C15F1">
        <w:rPr>
          <w:rStyle w:val="ts-alignment-element"/>
          <w:sz w:val="22"/>
          <w:szCs w:val="22"/>
          <w:lang w:val="es-ES"/>
        </w:rPr>
        <w:t>los</w:t>
      </w:r>
      <w:r w:rsidRPr="003C15F1">
        <w:rPr>
          <w:sz w:val="22"/>
          <w:szCs w:val="22"/>
          <w:lang w:val="es-ES"/>
        </w:rPr>
        <w:t xml:space="preserve"> </w:t>
      </w:r>
      <w:r w:rsidRPr="003C15F1">
        <w:rPr>
          <w:rStyle w:val="ts-alignment-element"/>
          <w:sz w:val="22"/>
          <w:szCs w:val="22"/>
          <w:lang w:val="es-ES"/>
        </w:rPr>
        <w:t>Estados</w:t>
      </w:r>
      <w:r w:rsidRPr="003C15F1">
        <w:rPr>
          <w:sz w:val="22"/>
          <w:szCs w:val="22"/>
          <w:lang w:val="es-ES"/>
        </w:rPr>
        <w:t xml:space="preserve"> </w:t>
      </w:r>
      <w:r w:rsidRPr="003C15F1">
        <w:rPr>
          <w:rStyle w:val="ts-alignment-element"/>
          <w:sz w:val="22"/>
          <w:szCs w:val="22"/>
          <w:lang w:val="es-ES"/>
        </w:rPr>
        <w:t>Miembros</w:t>
      </w:r>
      <w:r w:rsidRPr="003C15F1">
        <w:rPr>
          <w:sz w:val="22"/>
          <w:szCs w:val="22"/>
          <w:lang w:val="es-ES"/>
        </w:rPr>
        <w:t xml:space="preserve"> </w:t>
      </w:r>
      <w:r w:rsidRPr="003C15F1">
        <w:rPr>
          <w:rStyle w:val="ts-alignment-element"/>
          <w:sz w:val="22"/>
          <w:szCs w:val="22"/>
          <w:lang w:val="es-ES"/>
        </w:rPr>
        <w:t>y</w:t>
      </w:r>
      <w:r w:rsidRPr="003C15F1">
        <w:rPr>
          <w:sz w:val="22"/>
          <w:szCs w:val="22"/>
          <w:lang w:val="es-ES"/>
        </w:rPr>
        <w:t xml:space="preserve"> </w:t>
      </w:r>
      <w:r w:rsidRPr="003C15F1">
        <w:rPr>
          <w:rStyle w:val="ts-alignment-element"/>
          <w:sz w:val="22"/>
          <w:szCs w:val="22"/>
          <w:lang w:val="es-ES"/>
        </w:rPr>
        <w:t>otros</w:t>
      </w:r>
      <w:r w:rsidRPr="003C15F1">
        <w:rPr>
          <w:sz w:val="22"/>
          <w:szCs w:val="22"/>
          <w:lang w:val="es-ES"/>
        </w:rPr>
        <w:t xml:space="preserve"> donantes</w:t>
      </w:r>
      <w:r w:rsidR="0075432C" w:rsidRPr="003C15F1">
        <w:rPr>
          <w:rStyle w:val="ts-alignment-element-highlighted"/>
          <w:sz w:val="22"/>
          <w:szCs w:val="22"/>
          <w:lang w:val="es-ES"/>
        </w:rPr>
        <w:t xml:space="preserve">. </w:t>
      </w:r>
      <w:r w:rsidR="0075432C" w:rsidRPr="003C15F1">
        <w:rPr>
          <w:sz w:val="22"/>
          <w:szCs w:val="22"/>
          <w:lang w:val="es-ES"/>
        </w:rPr>
        <w:t xml:space="preserve">La </w:t>
      </w:r>
      <w:r w:rsidRPr="003C15F1">
        <w:rPr>
          <w:rStyle w:val="ts-alignment-element"/>
          <w:sz w:val="22"/>
          <w:szCs w:val="22"/>
          <w:lang w:val="es-ES"/>
        </w:rPr>
        <w:t>reciente</w:t>
      </w:r>
      <w:r w:rsidRPr="003C15F1">
        <w:rPr>
          <w:sz w:val="22"/>
          <w:szCs w:val="22"/>
          <w:lang w:val="es-ES"/>
        </w:rPr>
        <w:t xml:space="preserve"> </w:t>
      </w:r>
      <w:r w:rsidRPr="003C15F1">
        <w:rPr>
          <w:rStyle w:val="ts-alignment-element"/>
          <w:sz w:val="22"/>
          <w:szCs w:val="22"/>
          <w:lang w:val="es-ES"/>
        </w:rPr>
        <w:t>disminución</w:t>
      </w:r>
      <w:r w:rsidRPr="003C15F1">
        <w:rPr>
          <w:sz w:val="22"/>
          <w:szCs w:val="22"/>
          <w:lang w:val="es-ES"/>
        </w:rPr>
        <w:t xml:space="preserve"> </w:t>
      </w:r>
      <w:r w:rsidRPr="003C15F1">
        <w:rPr>
          <w:rStyle w:val="ts-alignment-element"/>
          <w:sz w:val="22"/>
          <w:szCs w:val="22"/>
          <w:lang w:val="es-ES"/>
        </w:rPr>
        <w:t>de</w:t>
      </w:r>
      <w:r w:rsidRPr="003C15F1">
        <w:rPr>
          <w:sz w:val="22"/>
          <w:szCs w:val="22"/>
          <w:lang w:val="es-ES"/>
        </w:rPr>
        <w:t xml:space="preserve"> </w:t>
      </w:r>
      <w:r w:rsidRPr="003C15F1">
        <w:rPr>
          <w:rStyle w:val="ts-alignment-element"/>
          <w:sz w:val="22"/>
          <w:szCs w:val="22"/>
          <w:lang w:val="es-ES"/>
        </w:rPr>
        <w:t>los</w:t>
      </w:r>
      <w:r w:rsidR="0075432C" w:rsidRPr="003C15F1">
        <w:rPr>
          <w:rStyle w:val="ts-alignment-element"/>
          <w:sz w:val="22"/>
          <w:szCs w:val="22"/>
          <w:lang w:val="es-ES"/>
        </w:rPr>
        <w:t xml:space="preserve"> recursos para el </w:t>
      </w:r>
      <w:r w:rsidRPr="003C15F1">
        <w:rPr>
          <w:rStyle w:val="ts-alignment-element"/>
          <w:sz w:val="22"/>
          <w:szCs w:val="22"/>
          <w:lang w:val="es-ES"/>
        </w:rPr>
        <w:t>desarrollo</w:t>
      </w:r>
      <w:r w:rsidRPr="003C15F1">
        <w:rPr>
          <w:sz w:val="22"/>
          <w:szCs w:val="22"/>
          <w:lang w:val="es-ES"/>
        </w:rPr>
        <w:t xml:space="preserve"> </w:t>
      </w:r>
      <w:r w:rsidRPr="003C15F1">
        <w:rPr>
          <w:rStyle w:val="ts-alignment-element"/>
          <w:sz w:val="22"/>
          <w:szCs w:val="22"/>
          <w:lang w:val="es-ES"/>
        </w:rPr>
        <w:t>para</w:t>
      </w:r>
      <w:r w:rsidRPr="003C15F1">
        <w:rPr>
          <w:sz w:val="22"/>
          <w:szCs w:val="22"/>
          <w:lang w:val="es-ES"/>
        </w:rPr>
        <w:t xml:space="preserve"> </w:t>
      </w:r>
      <w:r w:rsidRPr="003C15F1">
        <w:rPr>
          <w:rStyle w:val="ts-alignment-element"/>
          <w:sz w:val="22"/>
          <w:szCs w:val="22"/>
          <w:lang w:val="es-ES"/>
        </w:rPr>
        <w:t>la</w:t>
      </w:r>
      <w:r w:rsidRPr="003C15F1">
        <w:rPr>
          <w:sz w:val="22"/>
          <w:szCs w:val="22"/>
          <w:lang w:val="es-ES"/>
        </w:rPr>
        <w:t xml:space="preserve"> </w:t>
      </w:r>
      <w:r w:rsidRPr="003C15F1">
        <w:rPr>
          <w:rStyle w:val="ts-alignment-element"/>
          <w:sz w:val="22"/>
          <w:szCs w:val="22"/>
          <w:lang w:val="es-ES"/>
        </w:rPr>
        <w:t>región</w:t>
      </w:r>
      <w:r w:rsidRPr="003C15F1">
        <w:rPr>
          <w:sz w:val="22"/>
          <w:szCs w:val="22"/>
          <w:lang w:val="es-ES"/>
        </w:rPr>
        <w:t xml:space="preserve"> </w:t>
      </w:r>
      <w:r w:rsidRPr="003C15F1">
        <w:rPr>
          <w:rStyle w:val="ts-alignment-element"/>
          <w:sz w:val="22"/>
          <w:szCs w:val="22"/>
          <w:lang w:val="es-ES"/>
        </w:rPr>
        <w:t>de</w:t>
      </w:r>
      <w:r w:rsidRPr="003C15F1">
        <w:rPr>
          <w:sz w:val="22"/>
          <w:szCs w:val="22"/>
          <w:lang w:val="es-ES"/>
        </w:rPr>
        <w:t xml:space="preserve"> </w:t>
      </w:r>
      <w:r w:rsidRPr="003C15F1">
        <w:rPr>
          <w:rStyle w:val="ts-alignment-element"/>
          <w:sz w:val="22"/>
          <w:szCs w:val="22"/>
          <w:lang w:val="es-ES"/>
        </w:rPr>
        <w:t>América</w:t>
      </w:r>
      <w:r w:rsidRPr="003C15F1">
        <w:rPr>
          <w:sz w:val="22"/>
          <w:szCs w:val="22"/>
          <w:lang w:val="es-ES"/>
        </w:rPr>
        <w:t xml:space="preserve"> </w:t>
      </w:r>
      <w:r w:rsidRPr="003C15F1">
        <w:rPr>
          <w:rStyle w:val="ts-alignment-element"/>
          <w:sz w:val="22"/>
          <w:szCs w:val="22"/>
          <w:lang w:val="es-ES"/>
        </w:rPr>
        <w:t>Latina</w:t>
      </w:r>
      <w:r w:rsidRPr="003C15F1">
        <w:rPr>
          <w:sz w:val="22"/>
          <w:szCs w:val="22"/>
          <w:lang w:val="es-ES"/>
        </w:rPr>
        <w:t xml:space="preserve"> </w:t>
      </w:r>
      <w:r w:rsidRPr="003C15F1">
        <w:rPr>
          <w:rStyle w:val="ts-alignment-element"/>
          <w:sz w:val="22"/>
          <w:szCs w:val="22"/>
          <w:lang w:val="es-ES"/>
        </w:rPr>
        <w:t>y</w:t>
      </w:r>
      <w:r w:rsidRPr="003C15F1">
        <w:rPr>
          <w:sz w:val="22"/>
          <w:szCs w:val="22"/>
          <w:lang w:val="es-ES"/>
        </w:rPr>
        <w:t xml:space="preserve"> </w:t>
      </w:r>
      <w:r w:rsidRPr="003C15F1">
        <w:rPr>
          <w:rStyle w:val="ts-alignment-element"/>
          <w:sz w:val="22"/>
          <w:szCs w:val="22"/>
          <w:lang w:val="es-ES"/>
        </w:rPr>
        <w:t>el</w:t>
      </w:r>
      <w:r w:rsidRPr="003C15F1">
        <w:rPr>
          <w:sz w:val="22"/>
          <w:szCs w:val="22"/>
          <w:lang w:val="es-ES"/>
        </w:rPr>
        <w:t xml:space="preserve"> </w:t>
      </w:r>
      <w:r w:rsidRPr="003C15F1">
        <w:rPr>
          <w:rStyle w:val="ts-alignment-element"/>
          <w:sz w:val="22"/>
          <w:szCs w:val="22"/>
          <w:lang w:val="es-ES"/>
        </w:rPr>
        <w:t>Caribe,</w:t>
      </w:r>
      <w:r w:rsidRPr="003C15F1">
        <w:rPr>
          <w:sz w:val="22"/>
          <w:szCs w:val="22"/>
          <w:lang w:val="es-ES"/>
        </w:rPr>
        <w:t xml:space="preserve"> </w:t>
      </w:r>
      <w:r w:rsidRPr="003C15F1">
        <w:rPr>
          <w:rStyle w:val="ts-alignment-element"/>
          <w:sz w:val="22"/>
          <w:szCs w:val="22"/>
          <w:lang w:val="es-ES"/>
        </w:rPr>
        <w:t>entre</w:t>
      </w:r>
      <w:r w:rsidRPr="003C15F1">
        <w:rPr>
          <w:sz w:val="22"/>
          <w:szCs w:val="22"/>
          <w:lang w:val="es-ES"/>
        </w:rPr>
        <w:t xml:space="preserve"> </w:t>
      </w:r>
      <w:r w:rsidRPr="003C15F1">
        <w:rPr>
          <w:rStyle w:val="ts-alignment-element"/>
          <w:sz w:val="22"/>
          <w:szCs w:val="22"/>
          <w:lang w:val="es-ES"/>
        </w:rPr>
        <w:t>los</w:t>
      </w:r>
      <w:r w:rsidRPr="003C15F1">
        <w:rPr>
          <w:sz w:val="22"/>
          <w:szCs w:val="22"/>
          <w:lang w:val="es-ES"/>
        </w:rPr>
        <w:t xml:space="preserve"> </w:t>
      </w:r>
      <w:r w:rsidRPr="003C15F1">
        <w:rPr>
          <w:rStyle w:val="ts-alignment-element"/>
          <w:sz w:val="22"/>
          <w:szCs w:val="22"/>
          <w:lang w:val="es-ES"/>
        </w:rPr>
        <w:t>principales</w:t>
      </w:r>
      <w:r w:rsidRPr="003C15F1">
        <w:rPr>
          <w:sz w:val="22"/>
          <w:szCs w:val="22"/>
          <w:lang w:val="es-ES"/>
        </w:rPr>
        <w:t xml:space="preserve"> </w:t>
      </w:r>
      <w:r w:rsidRPr="003C15F1">
        <w:rPr>
          <w:rStyle w:val="ts-alignment-element"/>
          <w:sz w:val="22"/>
          <w:szCs w:val="22"/>
          <w:lang w:val="es-ES"/>
        </w:rPr>
        <w:t>donantes,</w:t>
      </w:r>
      <w:r w:rsidRPr="003C15F1">
        <w:rPr>
          <w:sz w:val="22"/>
          <w:szCs w:val="22"/>
          <w:lang w:val="es-ES"/>
        </w:rPr>
        <w:t xml:space="preserve"> </w:t>
      </w:r>
      <w:r w:rsidRPr="003C15F1">
        <w:rPr>
          <w:rStyle w:val="ts-alignment-element"/>
          <w:sz w:val="22"/>
          <w:szCs w:val="22"/>
          <w:lang w:val="es-ES"/>
        </w:rPr>
        <w:t>ha</w:t>
      </w:r>
      <w:r w:rsidRPr="003C15F1">
        <w:rPr>
          <w:sz w:val="22"/>
          <w:szCs w:val="22"/>
          <w:lang w:val="es-ES"/>
        </w:rPr>
        <w:t xml:space="preserve"> </w:t>
      </w:r>
      <w:r w:rsidRPr="003C15F1">
        <w:rPr>
          <w:rStyle w:val="ts-alignment-element"/>
          <w:sz w:val="22"/>
          <w:szCs w:val="22"/>
          <w:lang w:val="es-ES"/>
        </w:rPr>
        <w:t>presentado</w:t>
      </w:r>
      <w:r w:rsidRPr="003C15F1">
        <w:rPr>
          <w:sz w:val="22"/>
          <w:szCs w:val="22"/>
          <w:lang w:val="es-ES"/>
        </w:rPr>
        <w:t xml:space="preserve"> </w:t>
      </w:r>
      <w:r w:rsidRPr="003C15F1">
        <w:rPr>
          <w:rStyle w:val="ts-alignment-element"/>
          <w:sz w:val="22"/>
          <w:szCs w:val="22"/>
          <w:lang w:val="es-ES"/>
        </w:rPr>
        <w:t>a</w:t>
      </w:r>
      <w:r w:rsidRPr="003C15F1">
        <w:rPr>
          <w:sz w:val="22"/>
          <w:szCs w:val="22"/>
          <w:lang w:val="es-ES"/>
        </w:rPr>
        <w:t xml:space="preserve"> </w:t>
      </w:r>
      <w:r w:rsidRPr="003C15F1">
        <w:rPr>
          <w:rStyle w:val="ts-alignment-element"/>
          <w:sz w:val="22"/>
          <w:szCs w:val="22"/>
          <w:lang w:val="es-ES"/>
        </w:rPr>
        <w:t>la</w:t>
      </w:r>
      <w:r w:rsidRPr="003C15F1">
        <w:rPr>
          <w:sz w:val="22"/>
          <w:szCs w:val="22"/>
          <w:lang w:val="es-ES"/>
        </w:rPr>
        <w:t xml:space="preserve"> </w:t>
      </w:r>
      <w:r w:rsidRPr="003C15F1">
        <w:rPr>
          <w:rStyle w:val="ts-alignment-element"/>
          <w:sz w:val="22"/>
          <w:szCs w:val="22"/>
          <w:lang w:val="es-ES"/>
        </w:rPr>
        <w:t>Secretaría</w:t>
      </w:r>
      <w:r w:rsidRPr="003C15F1">
        <w:rPr>
          <w:sz w:val="22"/>
          <w:szCs w:val="22"/>
          <w:lang w:val="es-ES"/>
        </w:rPr>
        <w:t xml:space="preserve"> </w:t>
      </w:r>
      <w:r w:rsidRPr="003C15F1">
        <w:rPr>
          <w:rStyle w:val="ts-alignment-element"/>
          <w:sz w:val="22"/>
          <w:szCs w:val="22"/>
          <w:lang w:val="es-ES"/>
        </w:rPr>
        <w:t>el</w:t>
      </w:r>
      <w:r w:rsidRPr="003C15F1">
        <w:rPr>
          <w:sz w:val="22"/>
          <w:szCs w:val="22"/>
          <w:lang w:val="es-ES"/>
        </w:rPr>
        <w:t xml:space="preserve"> </w:t>
      </w:r>
      <w:r w:rsidRPr="003C15F1">
        <w:rPr>
          <w:rStyle w:val="ts-alignment-element"/>
          <w:sz w:val="22"/>
          <w:szCs w:val="22"/>
          <w:lang w:val="es-ES"/>
        </w:rPr>
        <w:t>desafío</w:t>
      </w:r>
      <w:r w:rsidRPr="003C15F1">
        <w:rPr>
          <w:sz w:val="22"/>
          <w:szCs w:val="22"/>
          <w:lang w:val="es-ES"/>
        </w:rPr>
        <w:t xml:space="preserve"> </w:t>
      </w:r>
      <w:r w:rsidRPr="003C15F1">
        <w:rPr>
          <w:rStyle w:val="ts-alignment-element"/>
          <w:sz w:val="22"/>
          <w:szCs w:val="22"/>
          <w:lang w:val="es-ES"/>
        </w:rPr>
        <w:t>de</w:t>
      </w:r>
      <w:r w:rsidRPr="003C15F1">
        <w:rPr>
          <w:sz w:val="22"/>
          <w:szCs w:val="22"/>
          <w:lang w:val="es-ES"/>
        </w:rPr>
        <w:t xml:space="preserve"> </w:t>
      </w:r>
      <w:r w:rsidRPr="003C15F1">
        <w:rPr>
          <w:rStyle w:val="ts-alignment-element"/>
          <w:sz w:val="22"/>
          <w:szCs w:val="22"/>
          <w:lang w:val="es-ES"/>
        </w:rPr>
        <w:t>recursos</w:t>
      </w:r>
      <w:r w:rsidRPr="003C15F1">
        <w:rPr>
          <w:sz w:val="22"/>
          <w:szCs w:val="22"/>
          <w:lang w:val="es-ES"/>
        </w:rPr>
        <w:t xml:space="preserve"> </w:t>
      </w:r>
      <w:r w:rsidRPr="003C15F1">
        <w:rPr>
          <w:rStyle w:val="ts-alignment-element"/>
          <w:sz w:val="22"/>
          <w:szCs w:val="22"/>
          <w:lang w:val="es-ES"/>
        </w:rPr>
        <w:t>inadecuados</w:t>
      </w:r>
      <w:r w:rsidRPr="003C15F1">
        <w:rPr>
          <w:sz w:val="22"/>
          <w:szCs w:val="22"/>
          <w:lang w:val="es-ES"/>
        </w:rPr>
        <w:t xml:space="preserve"> </w:t>
      </w:r>
      <w:r w:rsidRPr="003C15F1">
        <w:rPr>
          <w:rStyle w:val="ts-alignment-element"/>
          <w:sz w:val="22"/>
          <w:szCs w:val="22"/>
          <w:lang w:val="es-ES"/>
        </w:rPr>
        <w:t>que</w:t>
      </w:r>
      <w:r w:rsidRPr="003C15F1">
        <w:rPr>
          <w:sz w:val="22"/>
          <w:szCs w:val="22"/>
          <w:lang w:val="es-ES"/>
        </w:rPr>
        <w:t xml:space="preserve"> </w:t>
      </w:r>
      <w:r w:rsidRPr="003C15F1">
        <w:rPr>
          <w:rStyle w:val="ts-alignment-element"/>
          <w:sz w:val="22"/>
          <w:szCs w:val="22"/>
          <w:lang w:val="es-ES"/>
        </w:rPr>
        <w:t>ha</w:t>
      </w:r>
      <w:r w:rsidRPr="003C15F1">
        <w:rPr>
          <w:sz w:val="22"/>
          <w:szCs w:val="22"/>
          <w:lang w:val="es-ES"/>
        </w:rPr>
        <w:t xml:space="preserve"> </w:t>
      </w:r>
      <w:r w:rsidRPr="003C15F1">
        <w:rPr>
          <w:rStyle w:val="ts-alignment-element"/>
          <w:sz w:val="22"/>
          <w:szCs w:val="22"/>
          <w:lang w:val="es-ES"/>
        </w:rPr>
        <w:t>impactado</w:t>
      </w:r>
      <w:r w:rsidRPr="003C15F1">
        <w:rPr>
          <w:sz w:val="22"/>
          <w:szCs w:val="22"/>
          <w:lang w:val="es-ES"/>
        </w:rPr>
        <w:t xml:space="preserve"> </w:t>
      </w:r>
      <w:r w:rsidRPr="003C15F1">
        <w:rPr>
          <w:rStyle w:val="ts-alignment-element"/>
          <w:sz w:val="22"/>
          <w:szCs w:val="22"/>
          <w:lang w:val="es-ES"/>
        </w:rPr>
        <w:t>negativamente</w:t>
      </w:r>
      <w:r w:rsidRPr="003C15F1">
        <w:rPr>
          <w:sz w:val="22"/>
          <w:szCs w:val="22"/>
          <w:lang w:val="es-ES"/>
        </w:rPr>
        <w:t xml:space="preserve"> </w:t>
      </w:r>
      <w:r w:rsidRPr="003C15F1">
        <w:rPr>
          <w:rStyle w:val="ts-alignment-element"/>
          <w:sz w:val="22"/>
          <w:szCs w:val="22"/>
          <w:lang w:val="es-ES"/>
        </w:rPr>
        <w:t>su</w:t>
      </w:r>
      <w:r w:rsidRPr="003C15F1">
        <w:rPr>
          <w:sz w:val="22"/>
          <w:szCs w:val="22"/>
          <w:lang w:val="es-ES"/>
        </w:rPr>
        <w:t xml:space="preserve"> </w:t>
      </w:r>
      <w:r w:rsidRPr="003C15F1">
        <w:rPr>
          <w:rStyle w:val="ts-alignment-element"/>
          <w:sz w:val="22"/>
          <w:szCs w:val="22"/>
          <w:lang w:val="es-ES"/>
        </w:rPr>
        <w:t>capacidad</w:t>
      </w:r>
      <w:r w:rsidRPr="003C15F1">
        <w:rPr>
          <w:sz w:val="22"/>
          <w:szCs w:val="22"/>
          <w:lang w:val="es-ES"/>
        </w:rPr>
        <w:t xml:space="preserve"> </w:t>
      </w:r>
      <w:r w:rsidRPr="003C15F1">
        <w:rPr>
          <w:rStyle w:val="ts-alignment-element"/>
          <w:sz w:val="22"/>
          <w:szCs w:val="22"/>
          <w:lang w:val="es-ES"/>
        </w:rPr>
        <w:t>para</w:t>
      </w:r>
      <w:r w:rsidRPr="003C15F1">
        <w:rPr>
          <w:sz w:val="22"/>
          <w:szCs w:val="22"/>
          <w:lang w:val="es-ES"/>
        </w:rPr>
        <w:t xml:space="preserve"> </w:t>
      </w:r>
      <w:r w:rsidRPr="003C15F1">
        <w:rPr>
          <w:rStyle w:val="ts-alignment-element"/>
          <w:sz w:val="22"/>
          <w:szCs w:val="22"/>
          <w:lang w:val="es-ES"/>
        </w:rPr>
        <w:t>responder</w:t>
      </w:r>
      <w:r w:rsidRPr="003C15F1">
        <w:rPr>
          <w:sz w:val="22"/>
          <w:szCs w:val="22"/>
          <w:lang w:val="es-ES"/>
        </w:rPr>
        <w:t xml:space="preserve"> </w:t>
      </w:r>
      <w:r w:rsidRPr="003C15F1">
        <w:rPr>
          <w:rStyle w:val="ts-alignment-element"/>
          <w:sz w:val="22"/>
          <w:szCs w:val="22"/>
          <w:lang w:val="es-ES"/>
        </w:rPr>
        <w:t>plenamente</w:t>
      </w:r>
      <w:r w:rsidRPr="003C15F1">
        <w:rPr>
          <w:sz w:val="22"/>
          <w:szCs w:val="22"/>
          <w:lang w:val="es-ES"/>
        </w:rPr>
        <w:t xml:space="preserve"> </w:t>
      </w:r>
      <w:r w:rsidRPr="003C15F1">
        <w:rPr>
          <w:rStyle w:val="ts-alignment-element"/>
          <w:sz w:val="22"/>
          <w:szCs w:val="22"/>
          <w:lang w:val="es-ES"/>
        </w:rPr>
        <w:t>a</w:t>
      </w:r>
      <w:r w:rsidRPr="003C15F1">
        <w:rPr>
          <w:sz w:val="22"/>
          <w:szCs w:val="22"/>
          <w:lang w:val="es-ES"/>
        </w:rPr>
        <w:t xml:space="preserve"> </w:t>
      </w:r>
      <w:r w:rsidRPr="003C15F1">
        <w:rPr>
          <w:rStyle w:val="ts-alignment-element"/>
          <w:sz w:val="22"/>
          <w:szCs w:val="22"/>
          <w:lang w:val="es-ES"/>
        </w:rPr>
        <w:t>las</w:t>
      </w:r>
      <w:r w:rsidRPr="003C15F1">
        <w:rPr>
          <w:sz w:val="22"/>
          <w:szCs w:val="22"/>
          <w:lang w:val="es-ES"/>
        </w:rPr>
        <w:t xml:space="preserve"> </w:t>
      </w:r>
      <w:r w:rsidRPr="003C15F1">
        <w:rPr>
          <w:rStyle w:val="ts-alignment-element"/>
          <w:sz w:val="22"/>
          <w:szCs w:val="22"/>
          <w:lang w:val="es-ES"/>
        </w:rPr>
        <w:t>necesidades</w:t>
      </w:r>
      <w:r w:rsidRPr="003C15F1">
        <w:rPr>
          <w:sz w:val="22"/>
          <w:szCs w:val="22"/>
          <w:lang w:val="es-ES"/>
        </w:rPr>
        <w:t xml:space="preserve"> </w:t>
      </w:r>
      <w:r w:rsidRPr="003C15F1">
        <w:rPr>
          <w:rStyle w:val="ts-alignment-element"/>
          <w:sz w:val="22"/>
          <w:szCs w:val="22"/>
          <w:lang w:val="es-ES"/>
        </w:rPr>
        <w:t>emergentes</w:t>
      </w:r>
      <w:r w:rsidRPr="003C15F1">
        <w:rPr>
          <w:sz w:val="22"/>
          <w:szCs w:val="22"/>
          <w:lang w:val="es-ES"/>
        </w:rPr>
        <w:t xml:space="preserve"> </w:t>
      </w:r>
      <w:r w:rsidRPr="003C15F1">
        <w:rPr>
          <w:rStyle w:val="ts-alignment-element"/>
          <w:sz w:val="22"/>
          <w:szCs w:val="22"/>
          <w:lang w:val="es-ES"/>
        </w:rPr>
        <w:t>de</w:t>
      </w:r>
      <w:r w:rsidRPr="003C15F1">
        <w:rPr>
          <w:sz w:val="22"/>
          <w:szCs w:val="22"/>
          <w:lang w:val="es-ES"/>
        </w:rPr>
        <w:t xml:space="preserve"> </w:t>
      </w:r>
      <w:r w:rsidRPr="003C15F1">
        <w:rPr>
          <w:rStyle w:val="ts-alignment-element"/>
          <w:sz w:val="22"/>
          <w:szCs w:val="22"/>
          <w:lang w:val="es-ES"/>
        </w:rPr>
        <w:t>los</w:t>
      </w:r>
      <w:r w:rsidRPr="003C15F1">
        <w:rPr>
          <w:sz w:val="22"/>
          <w:szCs w:val="22"/>
          <w:lang w:val="es-ES"/>
        </w:rPr>
        <w:t xml:space="preserve"> </w:t>
      </w:r>
      <w:r w:rsidRPr="003C15F1">
        <w:rPr>
          <w:rStyle w:val="ts-alignment-element"/>
          <w:sz w:val="22"/>
          <w:szCs w:val="22"/>
          <w:lang w:val="es-ES"/>
        </w:rPr>
        <w:t>Estados Miembros.</w:t>
      </w:r>
      <w:r w:rsidRPr="003C15F1">
        <w:rPr>
          <w:sz w:val="22"/>
          <w:szCs w:val="22"/>
          <w:lang w:val="es-ES"/>
        </w:rPr>
        <w:t xml:space="preserve"> </w:t>
      </w:r>
      <w:r w:rsidRPr="003C15F1">
        <w:rPr>
          <w:rStyle w:val="ts-alignment-element"/>
          <w:sz w:val="22"/>
          <w:szCs w:val="22"/>
          <w:lang w:val="es-ES"/>
        </w:rPr>
        <w:t>Por</w:t>
      </w:r>
      <w:r w:rsidRPr="003C15F1">
        <w:rPr>
          <w:sz w:val="22"/>
          <w:szCs w:val="22"/>
          <w:lang w:val="es-ES"/>
        </w:rPr>
        <w:t xml:space="preserve"> </w:t>
      </w:r>
      <w:r w:rsidRPr="003C15F1">
        <w:rPr>
          <w:rStyle w:val="ts-alignment-element"/>
          <w:sz w:val="22"/>
          <w:szCs w:val="22"/>
          <w:lang w:val="es-ES"/>
        </w:rPr>
        <w:t>esta</w:t>
      </w:r>
      <w:r w:rsidRPr="003C15F1">
        <w:rPr>
          <w:sz w:val="22"/>
          <w:szCs w:val="22"/>
          <w:lang w:val="es-ES"/>
        </w:rPr>
        <w:t xml:space="preserve"> </w:t>
      </w:r>
      <w:r w:rsidRPr="003C15F1">
        <w:rPr>
          <w:rStyle w:val="ts-alignment-element"/>
          <w:sz w:val="22"/>
          <w:szCs w:val="22"/>
          <w:lang w:val="es-ES"/>
        </w:rPr>
        <w:t>razón,</w:t>
      </w:r>
      <w:r w:rsidRPr="003C15F1">
        <w:rPr>
          <w:sz w:val="22"/>
          <w:szCs w:val="22"/>
          <w:lang w:val="es-ES"/>
        </w:rPr>
        <w:t xml:space="preserve"> la </w:t>
      </w:r>
      <w:r w:rsidRPr="003C15F1">
        <w:rPr>
          <w:rStyle w:val="ts-alignment-element"/>
          <w:sz w:val="22"/>
          <w:szCs w:val="22"/>
          <w:lang w:val="es-ES"/>
        </w:rPr>
        <w:t>movilización</w:t>
      </w:r>
      <w:r w:rsidRPr="003C15F1">
        <w:rPr>
          <w:sz w:val="22"/>
          <w:szCs w:val="22"/>
          <w:lang w:val="es-ES"/>
        </w:rPr>
        <w:t xml:space="preserve"> </w:t>
      </w:r>
      <w:r w:rsidRPr="003C15F1">
        <w:rPr>
          <w:rStyle w:val="ts-alignment-element"/>
          <w:sz w:val="22"/>
          <w:szCs w:val="22"/>
          <w:lang w:val="es-ES"/>
        </w:rPr>
        <w:t>de</w:t>
      </w:r>
      <w:r w:rsidRPr="003C15F1">
        <w:rPr>
          <w:sz w:val="22"/>
          <w:szCs w:val="22"/>
          <w:lang w:val="es-ES"/>
        </w:rPr>
        <w:t xml:space="preserve"> </w:t>
      </w:r>
      <w:r w:rsidRPr="003C15F1">
        <w:rPr>
          <w:rStyle w:val="ts-alignment-element"/>
          <w:sz w:val="22"/>
          <w:szCs w:val="22"/>
          <w:lang w:val="es-ES"/>
        </w:rPr>
        <w:t>recursos</w:t>
      </w:r>
      <w:r w:rsidRPr="003C15F1">
        <w:rPr>
          <w:sz w:val="22"/>
          <w:szCs w:val="22"/>
          <w:lang w:val="es-ES"/>
        </w:rPr>
        <w:t xml:space="preserve"> </w:t>
      </w:r>
      <w:r w:rsidRPr="003C15F1">
        <w:rPr>
          <w:rStyle w:val="ts-alignment-element"/>
          <w:sz w:val="22"/>
          <w:szCs w:val="22"/>
          <w:lang w:val="es-ES"/>
        </w:rPr>
        <w:t>sigue</w:t>
      </w:r>
      <w:r w:rsidRPr="003C15F1">
        <w:rPr>
          <w:sz w:val="22"/>
          <w:szCs w:val="22"/>
          <w:lang w:val="es-ES"/>
        </w:rPr>
        <w:t xml:space="preserve"> </w:t>
      </w:r>
      <w:r w:rsidRPr="003C15F1">
        <w:rPr>
          <w:rStyle w:val="ts-alignment-element"/>
          <w:sz w:val="22"/>
          <w:szCs w:val="22"/>
          <w:lang w:val="es-ES"/>
        </w:rPr>
        <w:t>siendo</w:t>
      </w:r>
      <w:r w:rsidRPr="003C15F1">
        <w:rPr>
          <w:sz w:val="22"/>
          <w:szCs w:val="22"/>
          <w:lang w:val="es-ES"/>
        </w:rPr>
        <w:t xml:space="preserve"> </w:t>
      </w:r>
      <w:r w:rsidRPr="003C15F1">
        <w:rPr>
          <w:rStyle w:val="ts-alignment-element"/>
          <w:sz w:val="22"/>
          <w:szCs w:val="22"/>
          <w:lang w:val="es-ES"/>
        </w:rPr>
        <w:t>un</w:t>
      </w:r>
      <w:r w:rsidRPr="003C15F1">
        <w:rPr>
          <w:sz w:val="22"/>
          <w:szCs w:val="22"/>
          <w:lang w:val="es-ES"/>
        </w:rPr>
        <w:t xml:space="preserve"> </w:t>
      </w:r>
      <w:r w:rsidRPr="003C15F1">
        <w:rPr>
          <w:rStyle w:val="ts-alignment-element"/>
          <w:sz w:val="22"/>
          <w:szCs w:val="22"/>
          <w:lang w:val="es-ES"/>
        </w:rPr>
        <w:t>componente</w:t>
      </w:r>
      <w:r w:rsidRPr="003C15F1">
        <w:rPr>
          <w:sz w:val="22"/>
          <w:szCs w:val="22"/>
          <w:lang w:val="es-ES"/>
        </w:rPr>
        <w:t xml:space="preserve"> </w:t>
      </w:r>
      <w:r w:rsidRPr="003C15F1">
        <w:rPr>
          <w:rStyle w:val="ts-alignment-element"/>
          <w:sz w:val="22"/>
          <w:szCs w:val="22"/>
          <w:lang w:val="es-ES"/>
        </w:rPr>
        <w:t>clave</w:t>
      </w:r>
      <w:r w:rsidRPr="003C15F1">
        <w:rPr>
          <w:sz w:val="22"/>
          <w:szCs w:val="22"/>
          <w:lang w:val="es-ES"/>
        </w:rPr>
        <w:t xml:space="preserve"> </w:t>
      </w:r>
      <w:r w:rsidRPr="003C15F1">
        <w:rPr>
          <w:rStyle w:val="ts-alignment-element"/>
          <w:sz w:val="22"/>
          <w:szCs w:val="22"/>
          <w:lang w:val="es-ES"/>
        </w:rPr>
        <w:t>del</w:t>
      </w:r>
      <w:r w:rsidRPr="003C15F1">
        <w:rPr>
          <w:sz w:val="22"/>
          <w:szCs w:val="22"/>
          <w:lang w:val="es-ES"/>
        </w:rPr>
        <w:t xml:space="preserve"> </w:t>
      </w:r>
      <w:r w:rsidRPr="003C15F1">
        <w:rPr>
          <w:rStyle w:val="ts-alignment-element"/>
          <w:sz w:val="22"/>
          <w:szCs w:val="22"/>
          <w:lang w:val="es-ES"/>
        </w:rPr>
        <w:t>trabajo</w:t>
      </w:r>
      <w:r w:rsidRPr="003C15F1">
        <w:rPr>
          <w:sz w:val="22"/>
          <w:szCs w:val="22"/>
          <w:lang w:val="es-ES"/>
        </w:rPr>
        <w:t xml:space="preserve"> </w:t>
      </w:r>
      <w:r w:rsidRPr="003C15F1">
        <w:rPr>
          <w:rStyle w:val="ts-alignment-element"/>
          <w:sz w:val="22"/>
          <w:szCs w:val="22"/>
          <w:lang w:val="es-ES"/>
        </w:rPr>
        <w:t>de</w:t>
      </w:r>
      <w:r w:rsidRPr="003C15F1">
        <w:rPr>
          <w:sz w:val="22"/>
          <w:szCs w:val="22"/>
          <w:lang w:val="es-ES"/>
        </w:rPr>
        <w:t xml:space="preserve"> </w:t>
      </w:r>
      <w:r w:rsidRPr="003C15F1">
        <w:rPr>
          <w:rStyle w:val="ts-alignment-element"/>
          <w:sz w:val="22"/>
          <w:szCs w:val="22"/>
          <w:lang w:val="es-ES"/>
        </w:rPr>
        <w:t>SEDI</w:t>
      </w:r>
      <w:r w:rsidRPr="003C15F1">
        <w:rPr>
          <w:sz w:val="22"/>
          <w:szCs w:val="22"/>
          <w:lang w:val="es-ES"/>
        </w:rPr>
        <w:t xml:space="preserve"> </w:t>
      </w:r>
      <w:r w:rsidRPr="003C15F1">
        <w:rPr>
          <w:rStyle w:val="ts-alignment-element"/>
          <w:sz w:val="22"/>
          <w:szCs w:val="22"/>
          <w:lang w:val="es-ES"/>
        </w:rPr>
        <w:t>y</w:t>
      </w:r>
      <w:r w:rsidRPr="003C15F1">
        <w:rPr>
          <w:sz w:val="22"/>
          <w:szCs w:val="22"/>
          <w:lang w:val="es-ES"/>
        </w:rPr>
        <w:t xml:space="preserve"> </w:t>
      </w:r>
      <w:r w:rsidR="005F0669" w:rsidRPr="003C15F1">
        <w:rPr>
          <w:sz w:val="22"/>
          <w:szCs w:val="22"/>
          <w:lang w:val="es-ES"/>
        </w:rPr>
        <w:t xml:space="preserve">en ese sentido, </w:t>
      </w:r>
      <w:r w:rsidRPr="003C15F1">
        <w:rPr>
          <w:rStyle w:val="ts-alignment-element"/>
          <w:sz w:val="22"/>
          <w:szCs w:val="22"/>
          <w:lang w:val="es-ES"/>
        </w:rPr>
        <w:t>ha</w:t>
      </w:r>
      <w:r w:rsidRPr="003C15F1">
        <w:rPr>
          <w:sz w:val="22"/>
          <w:szCs w:val="22"/>
          <w:lang w:val="es-ES"/>
        </w:rPr>
        <w:t xml:space="preserve"> </w:t>
      </w:r>
      <w:r w:rsidRPr="003C15F1">
        <w:rPr>
          <w:rStyle w:val="ts-alignment-element"/>
          <w:sz w:val="22"/>
          <w:szCs w:val="22"/>
          <w:lang w:val="es-ES"/>
        </w:rPr>
        <w:t>buscado</w:t>
      </w:r>
      <w:r w:rsidRPr="003C15F1">
        <w:rPr>
          <w:sz w:val="22"/>
          <w:szCs w:val="22"/>
          <w:lang w:val="es-ES"/>
        </w:rPr>
        <w:t xml:space="preserve"> </w:t>
      </w:r>
      <w:r w:rsidRPr="003C15F1">
        <w:rPr>
          <w:rStyle w:val="ts-alignment-element"/>
          <w:sz w:val="22"/>
          <w:szCs w:val="22"/>
          <w:lang w:val="es-ES"/>
        </w:rPr>
        <w:t>la</w:t>
      </w:r>
      <w:r w:rsidRPr="003C15F1">
        <w:rPr>
          <w:sz w:val="22"/>
          <w:szCs w:val="22"/>
          <w:lang w:val="es-ES"/>
        </w:rPr>
        <w:t xml:space="preserve"> </w:t>
      </w:r>
      <w:r w:rsidRPr="003C15F1">
        <w:rPr>
          <w:rStyle w:val="ts-alignment-element"/>
          <w:sz w:val="22"/>
          <w:szCs w:val="22"/>
          <w:lang w:val="es-ES"/>
        </w:rPr>
        <w:t>asociación</w:t>
      </w:r>
      <w:r w:rsidRPr="003C15F1">
        <w:rPr>
          <w:sz w:val="22"/>
          <w:szCs w:val="22"/>
          <w:lang w:val="es-ES"/>
        </w:rPr>
        <w:t xml:space="preserve"> </w:t>
      </w:r>
      <w:r w:rsidRPr="003C15F1">
        <w:rPr>
          <w:rStyle w:val="ts-alignment-element"/>
          <w:sz w:val="22"/>
          <w:szCs w:val="22"/>
          <w:lang w:val="es-ES"/>
        </w:rPr>
        <w:t>con</w:t>
      </w:r>
      <w:r w:rsidRPr="003C15F1">
        <w:rPr>
          <w:sz w:val="22"/>
          <w:szCs w:val="22"/>
          <w:lang w:val="es-ES"/>
        </w:rPr>
        <w:t xml:space="preserve"> </w:t>
      </w:r>
      <w:r w:rsidRPr="003C15F1">
        <w:rPr>
          <w:rStyle w:val="ts-alignment-element"/>
          <w:sz w:val="22"/>
          <w:szCs w:val="22"/>
          <w:lang w:val="es-ES"/>
        </w:rPr>
        <w:t>los</w:t>
      </w:r>
      <w:r w:rsidRPr="003C15F1">
        <w:rPr>
          <w:sz w:val="22"/>
          <w:szCs w:val="22"/>
          <w:lang w:val="es-ES"/>
        </w:rPr>
        <w:t xml:space="preserve"> </w:t>
      </w:r>
      <w:r w:rsidRPr="003C15F1">
        <w:rPr>
          <w:rStyle w:val="ts-alignment-element"/>
          <w:sz w:val="22"/>
          <w:szCs w:val="22"/>
          <w:lang w:val="es-ES"/>
        </w:rPr>
        <w:t>principales</w:t>
      </w:r>
      <w:r w:rsidRPr="003C15F1">
        <w:rPr>
          <w:sz w:val="22"/>
          <w:szCs w:val="22"/>
          <w:lang w:val="es-ES"/>
        </w:rPr>
        <w:t xml:space="preserve"> </w:t>
      </w:r>
      <w:r w:rsidRPr="003C15F1">
        <w:rPr>
          <w:rStyle w:val="ts-alignment-element"/>
          <w:sz w:val="22"/>
          <w:szCs w:val="22"/>
          <w:lang w:val="es-ES"/>
        </w:rPr>
        <w:t>actores</w:t>
      </w:r>
      <w:r w:rsidRPr="003C15F1">
        <w:rPr>
          <w:sz w:val="22"/>
          <w:szCs w:val="22"/>
          <w:lang w:val="es-ES"/>
        </w:rPr>
        <w:t xml:space="preserve"> </w:t>
      </w:r>
      <w:r w:rsidRPr="003C15F1">
        <w:rPr>
          <w:rStyle w:val="ts-alignment-element"/>
          <w:sz w:val="22"/>
          <w:szCs w:val="22"/>
          <w:lang w:val="es-ES"/>
        </w:rPr>
        <w:t>internacionales</w:t>
      </w:r>
      <w:r w:rsidRPr="003C15F1">
        <w:rPr>
          <w:sz w:val="22"/>
          <w:szCs w:val="22"/>
          <w:lang w:val="es-ES"/>
        </w:rPr>
        <w:t xml:space="preserve"> </w:t>
      </w:r>
      <w:r w:rsidRPr="003C15F1">
        <w:rPr>
          <w:rStyle w:val="ts-alignment-element"/>
          <w:sz w:val="22"/>
          <w:szCs w:val="22"/>
          <w:lang w:val="es-ES"/>
        </w:rPr>
        <w:t>y</w:t>
      </w:r>
      <w:r w:rsidRPr="003C15F1">
        <w:rPr>
          <w:sz w:val="22"/>
          <w:szCs w:val="22"/>
          <w:lang w:val="es-ES"/>
        </w:rPr>
        <w:t xml:space="preserve"> </w:t>
      </w:r>
      <w:r w:rsidRPr="003C15F1">
        <w:rPr>
          <w:rStyle w:val="ts-alignment-element"/>
          <w:sz w:val="22"/>
          <w:szCs w:val="22"/>
          <w:lang w:val="es-ES"/>
        </w:rPr>
        <w:t>regionales</w:t>
      </w:r>
      <w:r w:rsidRPr="003C15F1">
        <w:rPr>
          <w:sz w:val="22"/>
          <w:szCs w:val="22"/>
          <w:lang w:val="es-ES"/>
        </w:rPr>
        <w:t xml:space="preserve"> </w:t>
      </w:r>
      <w:r w:rsidRPr="003C15F1">
        <w:rPr>
          <w:rStyle w:val="ts-alignment-element"/>
          <w:sz w:val="22"/>
          <w:szCs w:val="22"/>
          <w:lang w:val="es-ES"/>
        </w:rPr>
        <w:t>como</w:t>
      </w:r>
      <w:r w:rsidRPr="003C15F1">
        <w:rPr>
          <w:sz w:val="22"/>
          <w:szCs w:val="22"/>
          <w:lang w:val="es-ES"/>
        </w:rPr>
        <w:t xml:space="preserve"> </w:t>
      </w:r>
      <w:r w:rsidRPr="003C15F1">
        <w:rPr>
          <w:rStyle w:val="ts-alignment-element"/>
          <w:sz w:val="22"/>
          <w:szCs w:val="22"/>
          <w:lang w:val="es-ES"/>
        </w:rPr>
        <w:t>IBM,</w:t>
      </w:r>
      <w:r w:rsidRPr="003C15F1">
        <w:rPr>
          <w:sz w:val="22"/>
          <w:szCs w:val="22"/>
          <w:lang w:val="es-ES"/>
        </w:rPr>
        <w:t xml:space="preserve"> </w:t>
      </w:r>
      <w:r w:rsidRPr="003C15F1">
        <w:rPr>
          <w:rStyle w:val="ts-alignment-element"/>
          <w:sz w:val="22"/>
          <w:szCs w:val="22"/>
          <w:lang w:val="es-ES"/>
        </w:rPr>
        <w:t>Amazon,</w:t>
      </w:r>
      <w:r w:rsidRPr="003C15F1">
        <w:rPr>
          <w:sz w:val="22"/>
          <w:szCs w:val="22"/>
          <w:lang w:val="es-ES"/>
        </w:rPr>
        <w:t xml:space="preserve"> </w:t>
      </w:r>
      <w:r w:rsidRPr="003C15F1">
        <w:rPr>
          <w:rStyle w:val="ts-alignment-element"/>
          <w:sz w:val="22"/>
          <w:szCs w:val="22"/>
          <w:lang w:val="es-ES"/>
        </w:rPr>
        <w:t>Facebook,</w:t>
      </w:r>
      <w:r w:rsidRPr="003C15F1">
        <w:rPr>
          <w:sz w:val="22"/>
          <w:szCs w:val="22"/>
          <w:lang w:val="es-ES"/>
        </w:rPr>
        <w:t xml:space="preserve"> </w:t>
      </w:r>
      <w:r w:rsidRPr="003C15F1">
        <w:rPr>
          <w:rStyle w:val="ts-alignment-element"/>
          <w:sz w:val="22"/>
          <w:szCs w:val="22"/>
          <w:lang w:val="es-ES"/>
        </w:rPr>
        <w:t>el</w:t>
      </w:r>
      <w:r w:rsidRPr="003C15F1">
        <w:rPr>
          <w:sz w:val="22"/>
          <w:szCs w:val="22"/>
          <w:lang w:val="es-ES"/>
        </w:rPr>
        <w:t xml:space="preserve"> </w:t>
      </w:r>
      <w:r w:rsidRPr="003C15F1">
        <w:rPr>
          <w:rStyle w:val="ts-alignment-element"/>
          <w:sz w:val="22"/>
          <w:szCs w:val="22"/>
          <w:lang w:val="es-ES"/>
        </w:rPr>
        <w:t>BID,</w:t>
      </w:r>
      <w:r w:rsidRPr="003C15F1">
        <w:rPr>
          <w:sz w:val="22"/>
          <w:szCs w:val="22"/>
          <w:lang w:val="es-ES"/>
        </w:rPr>
        <w:t xml:space="preserve"> </w:t>
      </w:r>
      <w:r w:rsidRPr="003C15F1">
        <w:rPr>
          <w:rStyle w:val="ts-alignment-element"/>
          <w:sz w:val="22"/>
          <w:szCs w:val="22"/>
          <w:lang w:val="es-ES"/>
        </w:rPr>
        <w:t>GDF,</w:t>
      </w:r>
      <w:r w:rsidRPr="003C15F1">
        <w:rPr>
          <w:sz w:val="22"/>
          <w:szCs w:val="22"/>
          <w:lang w:val="es-ES"/>
        </w:rPr>
        <w:t xml:space="preserve"> </w:t>
      </w:r>
      <w:r w:rsidRPr="00D0039D">
        <w:rPr>
          <w:rStyle w:val="ts-alignment-element"/>
          <w:sz w:val="22"/>
          <w:szCs w:val="22"/>
          <w:lang w:val="es-ES"/>
        </w:rPr>
        <w:t>la</w:t>
      </w:r>
      <w:r w:rsidRPr="003C15F1">
        <w:rPr>
          <w:i/>
          <w:iCs/>
          <w:sz w:val="22"/>
          <w:szCs w:val="22"/>
          <w:lang w:val="es-ES"/>
        </w:rPr>
        <w:t xml:space="preserve"> </w:t>
      </w:r>
      <w:r w:rsidR="005F0669" w:rsidRPr="003C15F1">
        <w:rPr>
          <w:i/>
          <w:iCs/>
          <w:sz w:val="22"/>
          <w:szCs w:val="22"/>
          <w:lang w:val="es-ES"/>
        </w:rPr>
        <w:t>Swiss Agency for Cooperation and Development</w:t>
      </w:r>
      <w:r w:rsidRPr="003C15F1">
        <w:rPr>
          <w:rStyle w:val="ts-alignment-element"/>
          <w:sz w:val="22"/>
          <w:szCs w:val="22"/>
          <w:lang w:val="es-ES"/>
        </w:rPr>
        <w:t>,</w:t>
      </w:r>
      <w:r w:rsidRPr="003C15F1">
        <w:rPr>
          <w:sz w:val="22"/>
          <w:szCs w:val="22"/>
          <w:lang w:val="es-ES"/>
        </w:rPr>
        <w:t xml:space="preserve"> </w:t>
      </w:r>
      <w:r w:rsidRPr="003C15F1">
        <w:rPr>
          <w:rStyle w:val="ts-alignment-element"/>
          <w:sz w:val="22"/>
          <w:szCs w:val="22"/>
          <w:lang w:val="es-ES"/>
        </w:rPr>
        <w:t>sociedades</w:t>
      </w:r>
      <w:r w:rsidRPr="003C15F1">
        <w:rPr>
          <w:sz w:val="22"/>
          <w:szCs w:val="22"/>
          <w:lang w:val="es-ES"/>
        </w:rPr>
        <w:t xml:space="preserve"> </w:t>
      </w:r>
      <w:r w:rsidRPr="003C15F1">
        <w:rPr>
          <w:rStyle w:val="ts-alignment-element"/>
          <w:sz w:val="22"/>
          <w:szCs w:val="22"/>
          <w:lang w:val="es-ES"/>
        </w:rPr>
        <w:t>de</w:t>
      </w:r>
      <w:r w:rsidRPr="003C15F1">
        <w:rPr>
          <w:sz w:val="22"/>
          <w:szCs w:val="22"/>
          <w:lang w:val="es-ES"/>
        </w:rPr>
        <w:t xml:space="preserve"> </w:t>
      </w:r>
      <w:r w:rsidRPr="003C15F1">
        <w:rPr>
          <w:rStyle w:val="ts-alignment-element"/>
          <w:sz w:val="22"/>
          <w:szCs w:val="22"/>
          <w:lang w:val="es-ES"/>
        </w:rPr>
        <w:t>Internet,</w:t>
      </w:r>
      <w:r w:rsidRPr="003C15F1">
        <w:rPr>
          <w:sz w:val="22"/>
          <w:szCs w:val="22"/>
          <w:lang w:val="es-ES"/>
        </w:rPr>
        <w:t xml:space="preserve"> </w:t>
      </w:r>
      <w:r w:rsidRPr="003C15F1">
        <w:rPr>
          <w:rStyle w:val="ts-alignment-element"/>
          <w:sz w:val="22"/>
          <w:szCs w:val="22"/>
          <w:lang w:val="es-ES"/>
        </w:rPr>
        <w:t>la</w:t>
      </w:r>
      <w:r w:rsidRPr="003C15F1">
        <w:rPr>
          <w:sz w:val="22"/>
          <w:szCs w:val="22"/>
          <w:lang w:val="es-ES"/>
        </w:rPr>
        <w:t xml:space="preserve"> </w:t>
      </w:r>
      <w:r w:rsidRPr="003C15F1">
        <w:rPr>
          <w:rStyle w:val="ts-alignment-element"/>
          <w:sz w:val="22"/>
          <w:szCs w:val="22"/>
          <w:lang w:val="es-ES"/>
        </w:rPr>
        <w:t>Fundación</w:t>
      </w:r>
      <w:r w:rsidRPr="003C15F1">
        <w:rPr>
          <w:sz w:val="22"/>
          <w:szCs w:val="22"/>
          <w:lang w:val="es-ES"/>
        </w:rPr>
        <w:t xml:space="preserve"> </w:t>
      </w:r>
      <w:r w:rsidRPr="003C15F1">
        <w:rPr>
          <w:rStyle w:val="ts-alignment-element"/>
          <w:sz w:val="22"/>
          <w:szCs w:val="22"/>
          <w:lang w:val="es-ES"/>
        </w:rPr>
        <w:t>Espacial,</w:t>
      </w:r>
      <w:r w:rsidRPr="003C15F1">
        <w:rPr>
          <w:sz w:val="22"/>
          <w:szCs w:val="22"/>
          <w:lang w:val="es-ES"/>
        </w:rPr>
        <w:t xml:space="preserve"> </w:t>
      </w:r>
      <w:r w:rsidRPr="003C15F1">
        <w:rPr>
          <w:rStyle w:val="ts-alignment-element"/>
          <w:sz w:val="22"/>
          <w:szCs w:val="22"/>
          <w:lang w:val="es-ES"/>
        </w:rPr>
        <w:t>el</w:t>
      </w:r>
      <w:r w:rsidRPr="003C15F1">
        <w:rPr>
          <w:sz w:val="22"/>
          <w:szCs w:val="22"/>
          <w:lang w:val="es-ES"/>
        </w:rPr>
        <w:t xml:space="preserve"> </w:t>
      </w:r>
      <w:r w:rsidRPr="003C15F1">
        <w:rPr>
          <w:rStyle w:val="ts-alignment-element"/>
          <w:sz w:val="22"/>
          <w:szCs w:val="22"/>
          <w:lang w:val="es-ES"/>
        </w:rPr>
        <w:t>Departamento</w:t>
      </w:r>
      <w:r w:rsidRPr="003C15F1">
        <w:rPr>
          <w:sz w:val="22"/>
          <w:szCs w:val="22"/>
          <w:lang w:val="es-ES"/>
        </w:rPr>
        <w:t xml:space="preserve"> </w:t>
      </w:r>
      <w:r w:rsidRPr="003C15F1">
        <w:rPr>
          <w:rStyle w:val="ts-alignment-element"/>
          <w:sz w:val="22"/>
          <w:szCs w:val="22"/>
          <w:lang w:val="es-ES"/>
        </w:rPr>
        <w:t>de</w:t>
      </w:r>
      <w:r w:rsidRPr="003C15F1">
        <w:rPr>
          <w:sz w:val="22"/>
          <w:szCs w:val="22"/>
          <w:lang w:val="es-ES"/>
        </w:rPr>
        <w:t xml:space="preserve"> </w:t>
      </w:r>
      <w:r w:rsidRPr="003C15F1">
        <w:rPr>
          <w:rStyle w:val="ts-alignment-element"/>
          <w:sz w:val="22"/>
          <w:szCs w:val="22"/>
          <w:lang w:val="es-ES"/>
        </w:rPr>
        <w:t>Comercio</w:t>
      </w:r>
      <w:r w:rsidRPr="003C15F1">
        <w:rPr>
          <w:sz w:val="22"/>
          <w:szCs w:val="22"/>
          <w:lang w:val="es-ES"/>
        </w:rPr>
        <w:t xml:space="preserve"> </w:t>
      </w:r>
      <w:r w:rsidRPr="003C15F1">
        <w:rPr>
          <w:rStyle w:val="ts-alignment-element"/>
          <w:sz w:val="22"/>
          <w:szCs w:val="22"/>
          <w:lang w:val="es-ES"/>
        </w:rPr>
        <w:t>de</w:t>
      </w:r>
      <w:r w:rsidRPr="003C15F1">
        <w:rPr>
          <w:sz w:val="22"/>
          <w:szCs w:val="22"/>
          <w:lang w:val="es-ES"/>
        </w:rPr>
        <w:t xml:space="preserve"> </w:t>
      </w:r>
      <w:r w:rsidRPr="003C15F1">
        <w:rPr>
          <w:rStyle w:val="ts-alignment-element"/>
          <w:sz w:val="22"/>
          <w:szCs w:val="22"/>
          <w:lang w:val="es-ES"/>
        </w:rPr>
        <w:t>los</w:t>
      </w:r>
      <w:r w:rsidRPr="003C15F1">
        <w:rPr>
          <w:sz w:val="22"/>
          <w:szCs w:val="22"/>
          <w:lang w:val="es-ES"/>
        </w:rPr>
        <w:t xml:space="preserve"> </w:t>
      </w:r>
      <w:r w:rsidRPr="003C15F1">
        <w:rPr>
          <w:rStyle w:val="ts-alignment-element"/>
          <w:sz w:val="22"/>
          <w:szCs w:val="22"/>
          <w:lang w:val="es-ES"/>
        </w:rPr>
        <w:t>Estados</w:t>
      </w:r>
      <w:r w:rsidRPr="003C15F1">
        <w:rPr>
          <w:sz w:val="22"/>
          <w:szCs w:val="22"/>
          <w:lang w:val="es-ES"/>
        </w:rPr>
        <w:t xml:space="preserve"> </w:t>
      </w:r>
      <w:r w:rsidRPr="003C15F1">
        <w:rPr>
          <w:rStyle w:val="ts-alignment-element"/>
          <w:sz w:val="22"/>
          <w:szCs w:val="22"/>
          <w:lang w:val="es-ES"/>
        </w:rPr>
        <w:t>Unidos</w:t>
      </w:r>
      <w:r w:rsidRPr="003C15F1">
        <w:rPr>
          <w:sz w:val="22"/>
          <w:szCs w:val="22"/>
          <w:lang w:val="es-ES"/>
        </w:rPr>
        <w:t xml:space="preserve"> </w:t>
      </w:r>
      <w:r w:rsidRPr="003C15F1">
        <w:rPr>
          <w:rStyle w:val="ts-alignment-element"/>
          <w:sz w:val="22"/>
          <w:szCs w:val="22"/>
          <w:lang w:val="es-ES"/>
        </w:rPr>
        <w:t>e</w:t>
      </w:r>
      <w:r w:rsidRPr="003C15F1">
        <w:rPr>
          <w:sz w:val="22"/>
          <w:szCs w:val="22"/>
          <w:lang w:val="es-ES"/>
        </w:rPr>
        <w:t xml:space="preserve"> </w:t>
      </w:r>
      <w:r w:rsidRPr="003C15F1">
        <w:rPr>
          <w:rStyle w:val="ts-alignment-element"/>
          <w:sz w:val="22"/>
          <w:szCs w:val="22"/>
          <w:lang w:val="es-ES"/>
        </w:rPr>
        <w:t>instituciones</w:t>
      </w:r>
      <w:r w:rsidRPr="003C15F1">
        <w:rPr>
          <w:sz w:val="22"/>
          <w:szCs w:val="22"/>
          <w:lang w:val="es-ES"/>
        </w:rPr>
        <w:t xml:space="preserve"> </w:t>
      </w:r>
      <w:r w:rsidRPr="003C15F1">
        <w:rPr>
          <w:rStyle w:val="ts-alignment-element"/>
          <w:sz w:val="22"/>
          <w:szCs w:val="22"/>
          <w:lang w:val="es-ES"/>
        </w:rPr>
        <w:t>académicas</w:t>
      </w:r>
      <w:r w:rsidRPr="003C15F1">
        <w:rPr>
          <w:sz w:val="22"/>
          <w:szCs w:val="22"/>
          <w:lang w:val="es-ES"/>
        </w:rPr>
        <w:t xml:space="preserve"> </w:t>
      </w:r>
      <w:r w:rsidRPr="003C15F1">
        <w:rPr>
          <w:rStyle w:val="ts-alignment-element"/>
          <w:sz w:val="22"/>
          <w:szCs w:val="22"/>
          <w:lang w:val="es-ES"/>
        </w:rPr>
        <w:t>líderes</w:t>
      </w:r>
      <w:r w:rsidRPr="003C15F1">
        <w:rPr>
          <w:sz w:val="22"/>
          <w:szCs w:val="22"/>
          <w:lang w:val="es-ES"/>
        </w:rPr>
        <w:t xml:space="preserve"> </w:t>
      </w:r>
      <w:r w:rsidRPr="003C15F1">
        <w:rPr>
          <w:rStyle w:val="ts-alignment-element"/>
          <w:sz w:val="22"/>
          <w:szCs w:val="22"/>
          <w:lang w:val="es-ES"/>
        </w:rPr>
        <w:t>como</w:t>
      </w:r>
      <w:r w:rsidRPr="003C15F1">
        <w:rPr>
          <w:sz w:val="22"/>
          <w:szCs w:val="22"/>
          <w:lang w:val="es-ES"/>
        </w:rPr>
        <w:t xml:space="preserve"> </w:t>
      </w:r>
      <w:r w:rsidR="002A2194" w:rsidRPr="003C15F1">
        <w:rPr>
          <w:sz w:val="22"/>
          <w:szCs w:val="22"/>
          <w:lang w:val="es-ES"/>
        </w:rPr>
        <w:t xml:space="preserve">la Universidad </w:t>
      </w:r>
      <w:r w:rsidRPr="003C15F1">
        <w:rPr>
          <w:rStyle w:val="ts-alignment-element"/>
          <w:sz w:val="22"/>
          <w:szCs w:val="22"/>
          <w:lang w:val="es-ES"/>
        </w:rPr>
        <w:t>Texas</w:t>
      </w:r>
      <w:r w:rsidRPr="003C15F1">
        <w:rPr>
          <w:sz w:val="22"/>
          <w:szCs w:val="22"/>
          <w:lang w:val="es-ES"/>
        </w:rPr>
        <w:t xml:space="preserve"> A&amp;M</w:t>
      </w:r>
      <w:r w:rsidRPr="003C15F1">
        <w:rPr>
          <w:rStyle w:val="ts-alignment-element"/>
          <w:sz w:val="22"/>
          <w:szCs w:val="22"/>
          <w:lang w:val="es-ES"/>
        </w:rPr>
        <w:t>,</w:t>
      </w:r>
      <w:r w:rsidRPr="003C15F1">
        <w:rPr>
          <w:sz w:val="22"/>
          <w:szCs w:val="22"/>
          <w:lang w:val="es-ES"/>
        </w:rPr>
        <w:t xml:space="preserve"> </w:t>
      </w:r>
      <w:r w:rsidRPr="003C15F1">
        <w:rPr>
          <w:rStyle w:val="ts-alignment-element"/>
          <w:sz w:val="22"/>
          <w:szCs w:val="22"/>
          <w:lang w:val="es-ES"/>
        </w:rPr>
        <w:t>Univer</w:t>
      </w:r>
      <w:r w:rsidR="002A2194" w:rsidRPr="003C15F1">
        <w:rPr>
          <w:rStyle w:val="ts-alignment-element"/>
          <w:sz w:val="22"/>
          <w:szCs w:val="22"/>
          <w:lang w:val="es-ES"/>
        </w:rPr>
        <w:t>sidad de</w:t>
      </w:r>
      <w:r w:rsidRPr="003C15F1">
        <w:rPr>
          <w:sz w:val="22"/>
          <w:szCs w:val="22"/>
          <w:lang w:val="es-ES"/>
        </w:rPr>
        <w:t xml:space="preserve"> </w:t>
      </w:r>
      <w:r w:rsidRPr="003C15F1">
        <w:rPr>
          <w:rStyle w:val="ts-alignment-element"/>
          <w:sz w:val="22"/>
          <w:szCs w:val="22"/>
          <w:lang w:val="es-ES"/>
        </w:rPr>
        <w:t>California</w:t>
      </w:r>
      <w:r w:rsidRPr="003C15F1">
        <w:rPr>
          <w:sz w:val="22"/>
          <w:szCs w:val="22"/>
          <w:lang w:val="es-ES"/>
        </w:rPr>
        <w:t xml:space="preserve"> </w:t>
      </w:r>
      <w:r w:rsidRPr="003C15F1">
        <w:rPr>
          <w:rStyle w:val="ts-alignment-element"/>
          <w:sz w:val="22"/>
          <w:szCs w:val="22"/>
          <w:lang w:val="es-ES"/>
        </w:rPr>
        <w:t>Riverside,</w:t>
      </w:r>
      <w:r w:rsidRPr="003C15F1">
        <w:rPr>
          <w:sz w:val="22"/>
          <w:szCs w:val="22"/>
          <w:lang w:val="es-ES"/>
        </w:rPr>
        <w:t xml:space="preserve"> </w:t>
      </w:r>
      <w:r w:rsidRPr="003C15F1">
        <w:rPr>
          <w:rStyle w:val="ts-alignment-element"/>
          <w:sz w:val="22"/>
          <w:szCs w:val="22"/>
          <w:lang w:val="es-ES"/>
        </w:rPr>
        <w:t>Universidad</w:t>
      </w:r>
      <w:r w:rsidRPr="003C15F1">
        <w:rPr>
          <w:sz w:val="22"/>
          <w:szCs w:val="22"/>
          <w:lang w:val="es-ES"/>
        </w:rPr>
        <w:t xml:space="preserve"> </w:t>
      </w:r>
      <w:r w:rsidRPr="003C15F1">
        <w:rPr>
          <w:rStyle w:val="ts-alignment-element"/>
          <w:sz w:val="22"/>
          <w:szCs w:val="22"/>
          <w:lang w:val="es-ES"/>
        </w:rPr>
        <w:t>de</w:t>
      </w:r>
      <w:r w:rsidRPr="003C15F1">
        <w:rPr>
          <w:sz w:val="22"/>
          <w:szCs w:val="22"/>
          <w:lang w:val="es-ES"/>
        </w:rPr>
        <w:t xml:space="preserve"> </w:t>
      </w:r>
      <w:r w:rsidRPr="003C15F1">
        <w:rPr>
          <w:rStyle w:val="ts-alignment-element"/>
          <w:sz w:val="22"/>
          <w:szCs w:val="22"/>
          <w:lang w:val="es-ES"/>
        </w:rPr>
        <w:t>Chicago,</w:t>
      </w:r>
      <w:r w:rsidRPr="003C15F1">
        <w:rPr>
          <w:sz w:val="22"/>
          <w:szCs w:val="22"/>
          <w:lang w:val="es-ES"/>
        </w:rPr>
        <w:t xml:space="preserve"> </w:t>
      </w:r>
      <w:r w:rsidRPr="003C15F1">
        <w:rPr>
          <w:rStyle w:val="ts-alignment-element"/>
          <w:sz w:val="22"/>
          <w:szCs w:val="22"/>
          <w:lang w:val="es-ES"/>
        </w:rPr>
        <w:t>Universidad</w:t>
      </w:r>
      <w:r w:rsidRPr="003C15F1">
        <w:rPr>
          <w:sz w:val="22"/>
          <w:szCs w:val="22"/>
          <w:lang w:val="es-ES"/>
        </w:rPr>
        <w:t xml:space="preserve"> </w:t>
      </w:r>
      <w:r w:rsidRPr="003C15F1">
        <w:rPr>
          <w:rStyle w:val="ts-alignment-element"/>
          <w:sz w:val="22"/>
          <w:szCs w:val="22"/>
          <w:lang w:val="es-ES"/>
        </w:rPr>
        <w:t>de</w:t>
      </w:r>
      <w:r w:rsidRPr="003C15F1">
        <w:rPr>
          <w:sz w:val="22"/>
          <w:szCs w:val="22"/>
          <w:lang w:val="es-ES"/>
        </w:rPr>
        <w:t xml:space="preserve"> </w:t>
      </w:r>
      <w:r w:rsidRPr="003C15F1">
        <w:rPr>
          <w:rStyle w:val="ts-alignment-element"/>
          <w:sz w:val="22"/>
          <w:szCs w:val="22"/>
          <w:lang w:val="es-ES"/>
        </w:rPr>
        <w:t>Duke, y</w:t>
      </w:r>
      <w:r w:rsidRPr="003C15F1">
        <w:rPr>
          <w:sz w:val="22"/>
          <w:szCs w:val="22"/>
          <w:lang w:val="es-ES"/>
        </w:rPr>
        <w:t xml:space="preserve"> </w:t>
      </w:r>
      <w:r w:rsidRPr="003C15F1">
        <w:rPr>
          <w:rStyle w:val="ts-alignment-element"/>
          <w:sz w:val="22"/>
          <w:szCs w:val="22"/>
          <w:lang w:val="es-ES"/>
        </w:rPr>
        <w:t>much</w:t>
      </w:r>
      <w:r w:rsidR="002A2194" w:rsidRPr="003C15F1">
        <w:rPr>
          <w:rStyle w:val="ts-alignment-element"/>
          <w:sz w:val="22"/>
          <w:szCs w:val="22"/>
          <w:lang w:val="es-ES"/>
        </w:rPr>
        <w:t>a</w:t>
      </w:r>
      <w:r w:rsidRPr="003C15F1">
        <w:rPr>
          <w:rStyle w:val="ts-alignment-element"/>
          <w:sz w:val="22"/>
          <w:szCs w:val="22"/>
          <w:lang w:val="es-ES"/>
        </w:rPr>
        <w:t>s</w:t>
      </w:r>
      <w:r w:rsidRPr="003C15F1">
        <w:rPr>
          <w:sz w:val="22"/>
          <w:szCs w:val="22"/>
          <w:lang w:val="es-ES"/>
        </w:rPr>
        <w:t xml:space="preserve"> </w:t>
      </w:r>
      <w:r w:rsidRPr="003C15F1">
        <w:rPr>
          <w:rStyle w:val="ts-alignment-element"/>
          <w:sz w:val="22"/>
          <w:szCs w:val="22"/>
          <w:lang w:val="es-ES"/>
        </w:rPr>
        <w:t>otr</w:t>
      </w:r>
      <w:r w:rsidR="002A2194" w:rsidRPr="003C15F1">
        <w:rPr>
          <w:rStyle w:val="ts-alignment-element"/>
          <w:sz w:val="22"/>
          <w:szCs w:val="22"/>
          <w:lang w:val="es-ES"/>
        </w:rPr>
        <w:t>a</w:t>
      </w:r>
      <w:r w:rsidRPr="003C15F1">
        <w:rPr>
          <w:rStyle w:val="ts-alignment-element"/>
          <w:sz w:val="22"/>
          <w:szCs w:val="22"/>
          <w:lang w:val="es-ES"/>
        </w:rPr>
        <w:t>s,</w:t>
      </w:r>
      <w:r w:rsidRPr="003C15F1">
        <w:rPr>
          <w:sz w:val="22"/>
          <w:szCs w:val="22"/>
          <w:lang w:val="es-ES"/>
        </w:rPr>
        <w:t xml:space="preserve"> </w:t>
      </w:r>
      <w:r w:rsidR="002A2194" w:rsidRPr="003C15F1">
        <w:rPr>
          <w:sz w:val="22"/>
          <w:szCs w:val="22"/>
          <w:lang w:val="es-ES"/>
        </w:rPr>
        <w:t xml:space="preserve">que cuentan </w:t>
      </w:r>
      <w:r w:rsidRPr="003C15F1">
        <w:rPr>
          <w:rStyle w:val="ts-alignment-element"/>
          <w:sz w:val="22"/>
          <w:szCs w:val="22"/>
          <w:lang w:val="es-ES"/>
        </w:rPr>
        <w:t>con</w:t>
      </w:r>
      <w:r w:rsidRPr="003C15F1">
        <w:rPr>
          <w:sz w:val="22"/>
          <w:szCs w:val="22"/>
          <w:lang w:val="es-ES"/>
        </w:rPr>
        <w:t xml:space="preserve"> </w:t>
      </w:r>
      <w:r w:rsidRPr="003C15F1">
        <w:rPr>
          <w:rStyle w:val="ts-alignment-element"/>
          <w:sz w:val="22"/>
          <w:szCs w:val="22"/>
          <w:lang w:val="es-ES"/>
        </w:rPr>
        <w:t>programas</w:t>
      </w:r>
      <w:r w:rsidR="002A2194" w:rsidRPr="003C15F1">
        <w:rPr>
          <w:rStyle w:val="ts-alignment-element"/>
          <w:sz w:val="22"/>
          <w:szCs w:val="22"/>
          <w:lang w:val="es-ES"/>
        </w:rPr>
        <w:t xml:space="preserve"> para el </w:t>
      </w:r>
      <w:r w:rsidRPr="003C15F1">
        <w:rPr>
          <w:rStyle w:val="ts-alignment-element"/>
          <w:sz w:val="22"/>
          <w:szCs w:val="22"/>
          <w:lang w:val="es-ES"/>
        </w:rPr>
        <w:t>empoderamiento</w:t>
      </w:r>
      <w:r w:rsidRPr="003C15F1">
        <w:rPr>
          <w:sz w:val="22"/>
          <w:szCs w:val="22"/>
          <w:lang w:val="es-ES"/>
        </w:rPr>
        <w:t xml:space="preserve"> </w:t>
      </w:r>
      <w:r w:rsidRPr="003C15F1">
        <w:rPr>
          <w:rStyle w:val="ts-alignment-element"/>
          <w:sz w:val="22"/>
          <w:szCs w:val="22"/>
          <w:lang w:val="es-ES"/>
        </w:rPr>
        <w:t>económico</w:t>
      </w:r>
      <w:r w:rsidRPr="003C15F1">
        <w:rPr>
          <w:sz w:val="22"/>
          <w:szCs w:val="22"/>
          <w:lang w:val="es-ES"/>
        </w:rPr>
        <w:t xml:space="preserve"> </w:t>
      </w:r>
      <w:r w:rsidRPr="003C15F1">
        <w:rPr>
          <w:rStyle w:val="ts-alignment-element"/>
          <w:sz w:val="22"/>
          <w:szCs w:val="22"/>
          <w:lang w:val="es-ES"/>
        </w:rPr>
        <w:t>de</w:t>
      </w:r>
      <w:r w:rsidRPr="003C15F1">
        <w:rPr>
          <w:sz w:val="22"/>
          <w:szCs w:val="22"/>
          <w:lang w:val="es-ES"/>
        </w:rPr>
        <w:t xml:space="preserve"> las </w:t>
      </w:r>
      <w:r w:rsidRPr="003C15F1">
        <w:rPr>
          <w:rStyle w:val="ts-alignment-element"/>
          <w:sz w:val="22"/>
          <w:szCs w:val="22"/>
          <w:lang w:val="es-ES"/>
        </w:rPr>
        <w:t>mujeres,</w:t>
      </w:r>
      <w:r w:rsidRPr="003C15F1">
        <w:rPr>
          <w:sz w:val="22"/>
          <w:szCs w:val="22"/>
          <w:lang w:val="es-ES"/>
        </w:rPr>
        <w:t xml:space="preserve"> </w:t>
      </w:r>
      <w:r w:rsidR="002A2194" w:rsidRPr="003C15F1">
        <w:rPr>
          <w:sz w:val="22"/>
          <w:szCs w:val="22"/>
          <w:lang w:val="es-ES"/>
        </w:rPr>
        <w:t xml:space="preserve">la </w:t>
      </w:r>
      <w:r w:rsidRPr="003C15F1">
        <w:rPr>
          <w:rStyle w:val="ts-alignment-element"/>
          <w:sz w:val="22"/>
          <w:szCs w:val="22"/>
          <w:lang w:val="es-ES"/>
        </w:rPr>
        <w:t>transformación</w:t>
      </w:r>
      <w:r w:rsidRPr="003C15F1">
        <w:rPr>
          <w:sz w:val="22"/>
          <w:szCs w:val="22"/>
          <w:lang w:val="es-ES"/>
        </w:rPr>
        <w:t xml:space="preserve"> </w:t>
      </w:r>
      <w:r w:rsidRPr="003C15F1">
        <w:rPr>
          <w:rStyle w:val="ts-alignment-element"/>
          <w:sz w:val="22"/>
          <w:szCs w:val="22"/>
          <w:lang w:val="es-ES"/>
        </w:rPr>
        <w:t>digital,</w:t>
      </w:r>
      <w:r w:rsidRPr="003C15F1">
        <w:rPr>
          <w:sz w:val="22"/>
          <w:szCs w:val="22"/>
          <w:lang w:val="es-ES"/>
        </w:rPr>
        <w:t xml:space="preserve"> </w:t>
      </w:r>
      <w:r w:rsidR="002A2194" w:rsidRPr="003C15F1">
        <w:rPr>
          <w:sz w:val="22"/>
          <w:szCs w:val="22"/>
          <w:lang w:val="es-ES"/>
        </w:rPr>
        <w:t xml:space="preserve">la </w:t>
      </w:r>
      <w:r w:rsidRPr="003C15F1">
        <w:rPr>
          <w:rStyle w:val="ts-alignment-element"/>
          <w:sz w:val="22"/>
          <w:szCs w:val="22"/>
          <w:lang w:val="es-ES"/>
        </w:rPr>
        <w:t>capacitación</w:t>
      </w:r>
      <w:r w:rsidRPr="003C15F1">
        <w:rPr>
          <w:sz w:val="22"/>
          <w:szCs w:val="22"/>
          <w:lang w:val="es-ES"/>
        </w:rPr>
        <w:t xml:space="preserve"> </w:t>
      </w:r>
      <w:r w:rsidRPr="003C15F1">
        <w:rPr>
          <w:rStyle w:val="ts-alignment-element"/>
          <w:sz w:val="22"/>
          <w:szCs w:val="22"/>
          <w:lang w:val="es-ES"/>
        </w:rPr>
        <w:t>de</w:t>
      </w:r>
      <w:r w:rsidRPr="003C15F1">
        <w:rPr>
          <w:sz w:val="22"/>
          <w:szCs w:val="22"/>
          <w:lang w:val="es-ES"/>
        </w:rPr>
        <w:t xml:space="preserve"> </w:t>
      </w:r>
      <w:r w:rsidRPr="003C15F1">
        <w:rPr>
          <w:rStyle w:val="ts-alignment-element"/>
          <w:sz w:val="22"/>
          <w:szCs w:val="22"/>
          <w:lang w:val="es-ES"/>
        </w:rPr>
        <w:t>maestros</w:t>
      </w:r>
      <w:r w:rsidRPr="003C15F1">
        <w:rPr>
          <w:sz w:val="22"/>
          <w:szCs w:val="22"/>
          <w:lang w:val="es-ES"/>
        </w:rPr>
        <w:t xml:space="preserve"> </w:t>
      </w:r>
      <w:r w:rsidRPr="003C15F1">
        <w:rPr>
          <w:rStyle w:val="ts-alignment-element"/>
          <w:sz w:val="22"/>
          <w:szCs w:val="22"/>
          <w:lang w:val="es-ES"/>
        </w:rPr>
        <w:t>STEM,</w:t>
      </w:r>
      <w:r w:rsidRPr="003C15F1">
        <w:rPr>
          <w:sz w:val="22"/>
          <w:szCs w:val="22"/>
          <w:lang w:val="es-ES"/>
        </w:rPr>
        <w:t xml:space="preserve"> </w:t>
      </w:r>
      <w:r w:rsidR="002A2194" w:rsidRPr="003C15F1">
        <w:rPr>
          <w:sz w:val="22"/>
          <w:szCs w:val="22"/>
          <w:lang w:val="es-ES"/>
        </w:rPr>
        <w:t xml:space="preserve">el </w:t>
      </w:r>
      <w:r w:rsidRPr="003C15F1">
        <w:rPr>
          <w:sz w:val="22"/>
          <w:szCs w:val="22"/>
          <w:lang w:val="es-ES"/>
        </w:rPr>
        <w:t>saneamiento de agua</w:t>
      </w:r>
      <w:r w:rsidR="005A4241" w:rsidRPr="003C15F1">
        <w:rPr>
          <w:sz w:val="22"/>
          <w:szCs w:val="22"/>
          <w:lang w:val="es-ES"/>
        </w:rPr>
        <w:t xml:space="preserve">, la </w:t>
      </w:r>
      <w:r w:rsidRPr="003C15F1">
        <w:rPr>
          <w:rStyle w:val="ts-alignment-element"/>
          <w:sz w:val="22"/>
          <w:szCs w:val="22"/>
          <w:lang w:val="es-ES"/>
        </w:rPr>
        <w:t>comercialización</w:t>
      </w:r>
      <w:r w:rsidRPr="003C15F1">
        <w:rPr>
          <w:sz w:val="22"/>
          <w:szCs w:val="22"/>
          <w:lang w:val="es-ES"/>
        </w:rPr>
        <w:t xml:space="preserve"> </w:t>
      </w:r>
      <w:r w:rsidRPr="003C15F1">
        <w:rPr>
          <w:rStyle w:val="ts-alignment-element"/>
          <w:sz w:val="22"/>
          <w:szCs w:val="22"/>
          <w:lang w:val="es-ES"/>
        </w:rPr>
        <w:t>y</w:t>
      </w:r>
      <w:r w:rsidRPr="003C15F1">
        <w:rPr>
          <w:sz w:val="22"/>
          <w:szCs w:val="22"/>
          <w:lang w:val="es-ES"/>
        </w:rPr>
        <w:t xml:space="preserve"> </w:t>
      </w:r>
      <w:r w:rsidRPr="003C15F1">
        <w:rPr>
          <w:rStyle w:val="ts-alignment-element"/>
          <w:sz w:val="22"/>
          <w:szCs w:val="22"/>
          <w:lang w:val="es-ES"/>
        </w:rPr>
        <w:t>transferencia</w:t>
      </w:r>
      <w:r w:rsidRPr="003C15F1">
        <w:rPr>
          <w:sz w:val="22"/>
          <w:szCs w:val="22"/>
          <w:lang w:val="es-ES"/>
        </w:rPr>
        <w:t xml:space="preserve"> </w:t>
      </w:r>
      <w:r w:rsidRPr="003C15F1">
        <w:rPr>
          <w:rStyle w:val="ts-alignment-element"/>
          <w:sz w:val="22"/>
          <w:szCs w:val="22"/>
          <w:lang w:val="es-ES"/>
        </w:rPr>
        <w:t>de</w:t>
      </w:r>
      <w:r w:rsidRPr="003C15F1">
        <w:rPr>
          <w:sz w:val="22"/>
          <w:szCs w:val="22"/>
          <w:lang w:val="es-ES"/>
        </w:rPr>
        <w:t xml:space="preserve"> </w:t>
      </w:r>
      <w:r w:rsidRPr="003C15F1">
        <w:rPr>
          <w:rStyle w:val="ts-alignment-element"/>
          <w:sz w:val="22"/>
          <w:szCs w:val="22"/>
          <w:lang w:val="es-ES"/>
        </w:rPr>
        <w:t>tecnología,</w:t>
      </w:r>
      <w:r w:rsidRPr="003C15F1">
        <w:rPr>
          <w:sz w:val="22"/>
          <w:szCs w:val="22"/>
          <w:lang w:val="es-ES"/>
        </w:rPr>
        <w:t xml:space="preserve"> </w:t>
      </w:r>
      <w:r w:rsidR="002A2194" w:rsidRPr="003C15F1">
        <w:rPr>
          <w:sz w:val="22"/>
          <w:szCs w:val="22"/>
          <w:lang w:val="es-ES"/>
        </w:rPr>
        <w:t xml:space="preserve">la </w:t>
      </w:r>
      <w:r w:rsidRPr="003C15F1">
        <w:rPr>
          <w:rStyle w:val="ts-alignment-element"/>
          <w:sz w:val="22"/>
          <w:szCs w:val="22"/>
          <w:lang w:val="es-ES"/>
        </w:rPr>
        <w:t>digitalización</w:t>
      </w:r>
      <w:r w:rsidRPr="003C15F1">
        <w:rPr>
          <w:sz w:val="22"/>
          <w:szCs w:val="22"/>
          <w:lang w:val="es-ES"/>
        </w:rPr>
        <w:t xml:space="preserve"> </w:t>
      </w:r>
      <w:r w:rsidRPr="003C15F1">
        <w:rPr>
          <w:rStyle w:val="ts-alignment-element"/>
          <w:sz w:val="22"/>
          <w:szCs w:val="22"/>
          <w:lang w:val="es-ES"/>
        </w:rPr>
        <w:t>de</w:t>
      </w:r>
      <w:r w:rsidRPr="003C15F1">
        <w:rPr>
          <w:sz w:val="22"/>
          <w:szCs w:val="22"/>
          <w:lang w:val="es-ES"/>
        </w:rPr>
        <w:t xml:space="preserve"> </w:t>
      </w:r>
      <w:r w:rsidRPr="003C15F1">
        <w:rPr>
          <w:rStyle w:val="ts-alignment-element"/>
          <w:sz w:val="22"/>
          <w:szCs w:val="22"/>
          <w:lang w:val="es-ES"/>
        </w:rPr>
        <w:t>pequeñas</w:t>
      </w:r>
      <w:r w:rsidRPr="003C15F1">
        <w:rPr>
          <w:sz w:val="22"/>
          <w:szCs w:val="22"/>
          <w:lang w:val="es-ES"/>
        </w:rPr>
        <w:t xml:space="preserve"> </w:t>
      </w:r>
      <w:r w:rsidRPr="003C15F1">
        <w:rPr>
          <w:rStyle w:val="ts-alignment-element"/>
          <w:sz w:val="22"/>
          <w:szCs w:val="22"/>
          <w:lang w:val="es-ES"/>
        </w:rPr>
        <w:t>empresas,</w:t>
      </w:r>
      <w:r w:rsidRPr="003C15F1">
        <w:rPr>
          <w:sz w:val="22"/>
          <w:szCs w:val="22"/>
          <w:lang w:val="es-ES"/>
        </w:rPr>
        <w:t xml:space="preserve"> </w:t>
      </w:r>
      <w:r w:rsidR="002A2194" w:rsidRPr="003C15F1">
        <w:rPr>
          <w:sz w:val="22"/>
          <w:szCs w:val="22"/>
          <w:lang w:val="es-ES"/>
        </w:rPr>
        <w:t xml:space="preserve">la </w:t>
      </w:r>
      <w:r w:rsidRPr="003C15F1">
        <w:rPr>
          <w:rStyle w:val="ts-alignment-element"/>
          <w:sz w:val="22"/>
          <w:szCs w:val="22"/>
          <w:lang w:val="es-ES"/>
        </w:rPr>
        <w:t>transición</w:t>
      </w:r>
      <w:r w:rsidRPr="003C15F1">
        <w:rPr>
          <w:sz w:val="22"/>
          <w:szCs w:val="22"/>
          <w:lang w:val="es-ES"/>
        </w:rPr>
        <w:t xml:space="preserve"> </w:t>
      </w:r>
      <w:r w:rsidRPr="003C15F1">
        <w:rPr>
          <w:rStyle w:val="ts-alignment-element"/>
          <w:sz w:val="22"/>
          <w:szCs w:val="22"/>
          <w:lang w:val="es-ES"/>
        </w:rPr>
        <w:t>energética</w:t>
      </w:r>
      <w:r w:rsidR="002A2194" w:rsidRPr="003C15F1">
        <w:rPr>
          <w:rStyle w:val="ts-alignment-element"/>
          <w:sz w:val="22"/>
          <w:szCs w:val="22"/>
          <w:lang w:val="es-ES"/>
        </w:rPr>
        <w:t>.</w:t>
      </w:r>
    </w:p>
    <w:p w14:paraId="5F89039E" w14:textId="77777777" w:rsidR="009C1AA8" w:rsidRPr="003C15F1" w:rsidRDefault="009C1AA8" w:rsidP="003C15F1">
      <w:pPr>
        <w:jc w:val="both"/>
        <w:rPr>
          <w:rStyle w:val="ts-alignment-element"/>
          <w:sz w:val="22"/>
          <w:szCs w:val="22"/>
          <w:lang w:val="es-ES"/>
        </w:rPr>
      </w:pPr>
    </w:p>
    <w:p w14:paraId="58F235FB" w14:textId="34C84FD8" w:rsidR="00A55BEA" w:rsidRPr="003C15F1" w:rsidRDefault="0075432C" w:rsidP="003C15F1">
      <w:pPr>
        <w:ind w:firstLine="720"/>
        <w:jc w:val="both"/>
        <w:rPr>
          <w:color w:val="000000" w:themeColor="text1"/>
          <w:sz w:val="22"/>
          <w:szCs w:val="22"/>
          <w:lang w:val="es-US"/>
        </w:rPr>
      </w:pPr>
      <w:r w:rsidRPr="003C15F1">
        <w:rPr>
          <w:sz w:val="22"/>
          <w:szCs w:val="22"/>
          <w:lang w:val="es-ES"/>
        </w:rPr>
        <w:t>E</w:t>
      </w:r>
      <w:r w:rsidRPr="003C15F1">
        <w:rPr>
          <w:rStyle w:val="ts-alignment-element"/>
          <w:sz w:val="22"/>
          <w:szCs w:val="22"/>
          <w:lang w:val="es-ES"/>
        </w:rPr>
        <w:t xml:space="preserve">ste </w:t>
      </w:r>
      <w:r w:rsidRPr="003C15F1">
        <w:rPr>
          <w:sz w:val="22"/>
          <w:szCs w:val="22"/>
          <w:lang w:val="es-ES"/>
        </w:rPr>
        <w:t>i</w:t>
      </w:r>
      <w:r w:rsidRPr="003C15F1">
        <w:rPr>
          <w:rStyle w:val="ts-alignment-element"/>
          <w:sz w:val="22"/>
          <w:szCs w:val="22"/>
          <w:lang w:val="es-ES"/>
        </w:rPr>
        <w:t xml:space="preserve">nforme </w:t>
      </w:r>
      <w:r w:rsidRPr="003C15F1">
        <w:rPr>
          <w:sz w:val="22"/>
          <w:szCs w:val="22"/>
          <w:lang w:val="es-ES"/>
        </w:rPr>
        <w:t>c</w:t>
      </w:r>
      <w:r w:rsidRPr="003C15F1">
        <w:rPr>
          <w:rStyle w:val="ts-alignment-element"/>
          <w:sz w:val="22"/>
          <w:szCs w:val="22"/>
          <w:lang w:val="es-ES"/>
        </w:rPr>
        <w:t xml:space="preserve">orrespondiente </w:t>
      </w:r>
      <w:r w:rsidRPr="003C15F1">
        <w:rPr>
          <w:sz w:val="22"/>
          <w:szCs w:val="22"/>
          <w:lang w:val="es-ES"/>
        </w:rPr>
        <w:t>a</w:t>
      </w:r>
      <w:r w:rsidRPr="003C15F1">
        <w:rPr>
          <w:rStyle w:val="ts-alignment-element"/>
          <w:sz w:val="22"/>
          <w:szCs w:val="22"/>
          <w:lang w:val="es-ES"/>
        </w:rPr>
        <w:t xml:space="preserve"> </w:t>
      </w:r>
      <w:r w:rsidRPr="003C15F1">
        <w:rPr>
          <w:sz w:val="22"/>
          <w:szCs w:val="22"/>
          <w:lang w:val="es-ES"/>
        </w:rPr>
        <w:t>l</w:t>
      </w:r>
      <w:r w:rsidRPr="003C15F1">
        <w:rPr>
          <w:rStyle w:val="ts-alignment-element"/>
          <w:sz w:val="22"/>
          <w:szCs w:val="22"/>
          <w:lang w:val="es-ES"/>
        </w:rPr>
        <w:t xml:space="preserve">as </w:t>
      </w:r>
      <w:r w:rsidRPr="003C15F1">
        <w:rPr>
          <w:sz w:val="22"/>
          <w:szCs w:val="22"/>
          <w:lang w:val="es-ES"/>
        </w:rPr>
        <w:t>a</w:t>
      </w:r>
      <w:r w:rsidRPr="003C15F1">
        <w:rPr>
          <w:rStyle w:val="ts-alignment-element"/>
          <w:sz w:val="22"/>
          <w:szCs w:val="22"/>
          <w:lang w:val="es-ES"/>
        </w:rPr>
        <w:t xml:space="preserve">ctividades </w:t>
      </w:r>
      <w:r w:rsidRPr="003C15F1">
        <w:rPr>
          <w:sz w:val="22"/>
          <w:szCs w:val="22"/>
          <w:lang w:val="es-ES"/>
        </w:rPr>
        <w:t>d</w:t>
      </w:r>
      <w:r w:rsidRPr="003C15F1">
        <w:rPr>
          <w:rStyle w:val="ts-alignment-element"/>
          <w:sz w:val="22"/>
          <w:szCs w:val="22"/>
          <w:lang w:val="es-ES"/>
        </w:rPr>
        <w:t xml:space="preserve">el </w:t>
      </w:r>
      <w:r w:rsidRPr="003C15F1">
        <w:rPr>
          <w:sz w:val="22"/>
          <w:szCs w:val="22"/>
          <w:lang w:val="es-ES"/>
        </w:rPr>
        <w:t>a</w:t>
      </w:r>
      <w:r w:rsidRPr="003C15F1">
        <w:rPr>
          <w:rStyle w:val="ts-alignment-element"/>
          <w:sz w:val="22"/>
          <w:szCs w:val="22"/>
          <w:lang w:val="es-ES"/>
        </w:rPr>
        <w:t xml:space="preserve">ño </w:t>
      </w:r>
      <w:r w:rsidRPr="003C15F1">
        <w:rPr>
          <w:sz w:val="22"/>
          <w:szCs w:val="22"/>
          <w:lang w:val="es-ES"/>
        </w:rPr>
        <w:t>2</w:t>
      </w:r>
      <w:r w:rsidRPr="003C15F1">
        <w:rPr>
          <w:rStyle w:val="ts-alignment-element"/>
          <w:sz w:val="22"/>
          <w:szCs w:val="22"/>
          <w:lang w:val="es-ES"/>
        </w:rPr>
        <w:t xml:space="preserve">021 </w:t>
      </w:r>
      <w:r w:rsidRPr="003C15F1">
        <w:rPr>
          <w:sz w:val="22"/>
          <w:szCs w:val="22"/>
          <w:lang w:val="es-ES"/>
        </w:rPr>
        <w:t>i</w:t>
      </w:r>
      <w:r w:rsidRPr="003C15F1">
        <w:rPr>
          <w:rStyle w:val="ts-alignment-element"/>
          <w:sz w:val="22"/>
          <w:szCs w:val="22"/>
          <w:lang w:val="es-ES"/>
        </w:rPr>
        <w:t xml:space="preserve">ncluye </w:t>
      </w:r>
      <w:r w:rsidRPr="003C15F1">
        <w:rPr>
          <w:sz w:val="22"/>
          <w:szCs w:val="22"/>
          <w:lang w:val="es-ES"/>
        </w:rPr>
        <w:t>l</w:t>
      </w:r>
      <w:r w:rsidRPr="003C15F1">
        <w:rPr>
          <w:rStyle w:val="ts-alignment-element"/>
          <w:sz w:val="22"/>
          <w:szCs w:val="22"/>
          <w:lang w:val="es-ES"/>
        </w:rPr>
        <w:t xml:space="preserve">os resultados alcanzados por la SEDI </w:t>
      </w:r>
      <w:r w:rsidRPr="003C15F1">
        <w:rPr>
          <w:sz w:val="22"/>
          <w:szCs w:val="22"/>
          <w:lang w:val="es-ES"/>
        </w:rPr>
        <w:t>e</w:t>
      </w:r>
      <w:r w:rsidRPr="003C15F1">
        <w:rPr>
          <w:rStyle w:val="ts-alignment-element"/>
          <w:sz w:val="22"/>
          <w:szCs w:val="22"/>
          <w:lang w:val="es-ES"/>
        </w:rPr>
        <w:t xml:space="preserve">n </w:t>
      </w:r>
      <w:r w:rsidRPr="003C15F1">
        <w:rPr>
          <w:sz w:val="22"/>
          <w:szCs w:val="22"/>
          <w:lang w:val="es-ES"/>
        </w:rPr>
        <w:t>c</w:t>
      </w:r>
      <w:r w:rsidRPr="003C15F1">
        <w:rPr>
          <w:rStyle w:val="ts-alignment-element"/>
          <w:sz w:val="22"/>
          <w:szCs w:val="22"/>
          <w:lang w:val="es-ES"/>
        </w:rPr>
        <w:t xml:space="preserve">ada </w:t>
      </w:r>
      <w:r w:rsidRPr="003C15F1">
        <w:rPr>
          <w:sz w:val="22"/>
          <w:szCs w:val="22"/>
          <w:lang w:val="es-ES"/>
        </w:rPr>
        <w:t>u</w:t>
      </w:r>
      <w:r w:rsidRPr="003C15F1">
        <w:rPr>
          <w:rStyle w:val="ts-alignment-element"/>
          <w:sz w:val="22"/>
          <w:szCs w:val="22"/>
          <w:lang w:val="es-ES"/>
        </w:rPr>
        <w:t xml:space="preserve">na </w:t>
      </w:r>
      <w:r w:rsidRPr="003C15F1">
        <w:rPr>
          <w:sz w:val="22"/>
          <w:szCs w:val="22"/>
          <w:lang w:val="es-ES"/>
        </w:rPr>
        <w:t>d</w:t>
      </w:r>
      <w:r w:rsidRPr="003C15F1">
        <w:rPr>
          <w:rStyle w:val="ts-alignment-element"/>
          <w:sz w:val="22"/>
          <w:szCs w:val="22"/>
          <w:lang w:val="es-ES"/>
        </w:rPr>
        <w:t xml:space="preserve">e </w:t>
      </w:r>
      <w:r w:rsidRPr="003C15F1">
        <w:rPr>
          <w:sz w:val="22"/>
          <w:szCs w:val="22"/>
          <w:lang w:val="es-ES"/>
        </w:rPr>
        <w:t>l</w:t>
      </w:r>
      <w:r w:rsidRPr="003C15F1">
        <w:rPr>
          <w:rStyle w:val="ts-alignment-element"/>
          <w:sz w:val="22"/>
          <w:szCs w:val="22"/>
          <w:lang w:val="es-ES"/>
        </w:rPr>
        <w:t xml:space="preserve">as </w:t>
      </w:r>
      <w:r w:rsidRPr="003C15F1">
        <w:rPr>
          <w:sz w:val="22"/>
          <w:szCs w:val="22"/>
          <w:lang w:val="es-ES"/>
        </w:rPr>
        <w:t>l</w:t>
      </w:r>
      <w:r w:rsidRPr="003C15F1">
        <w:rPr>
          <w:rStyle w:val="ts-alignment-element"/>
          <w:sz w:val="22"/>
          <w:szCs w:val="22"/>
          <w:lang w:val="es-ES"/>
        </w:rPr>
        <w:t xml:space="preserve">íneas </w:t>
      </w:r>
      <w:r w:rsidRPr="003C15F1">
        <w:rPr>
          <w:sz w:val="22"/>
          <w:szCs w:val="22"/>
          <w:lang w:val="es-ES"/>
        </w:rPr>
        <w:t>e</w:t>
      </w:r>
      <w:r w:rsidRPr="003C15F1">
        <w:rPr>
          <w:rStyle w:val="ts-alignment-element"/>
          <w:sz w:val="22"/>
          <w:szCs w:val="22"/>
          <w:lang w:val="es-ES"/>
        </w:rPr>
        <w:t xml:space="preserve">stratégicas </w:t>
      </w:r>
      <w:r w:rsidRPr="003C15F1">
        <w:rPr>
          <w:sz w:val="22"/>
          <w:szCs w:val="22"/>
          <w:lang w:val="es-ES"/>
        </w:rPr>
        <w:t>y</w:t>
      </w:r>
      <w:r w:rsidRPr="003C15F1">
        <w:rPr>
          <w:rStyle w:val="ts-alignment-element"/>
          <w:sz w:val="22"/>
          <w:szCs w:val="22"/>
          <w:lang w:val="es-ES"/>
        </w:rPr>
        <w:t xml:space="preserve"> </w:t>
      </w:r>
      <w:r w:rsidRPr="003C15F1">
        <w:rPr>
          <w:sz w:val="22"/>
          <w:szCs w:val="22"/>
          <w:lang w:val="es-ES"/>
        </w:rPr>
        <w:t>o</w:t>
      </w:r>
      <w:r w:rsidRPr="003C15F1">
        <w:rPr>
          <w:rStyle w:val="ts-alignment-element"/>
          <w:sz w:val="22"/>
          <w:szCs w:val="22"/>
          <w:lang w:val="es-ES"/>
        </w:rPr>
        <w:t xml:space="preserve">bjetivos </w:t>
      </w:r>
      <w:r w:rsidRPr="003C15F1">
        <w:rPr>
          <w:sz w:val="22"/>
          <w:szCs w:val="22"/>
          <w:lang w:val="es-ES"/>
        </w:rPr>
        <w:t>e</w:t>
      </w:r>
      <w:r w:rsidRPr="003C15F1">
        <w:rPr>
          <w:rStyle w:val="ts-alignment-element"/>
          <w:sz w:val="22"/>
          <w:szCs w:val="22"/>
          <w:lang w:val="es-ES"/>
        </w:rPr>
        <w:t xml:space="preserve">n </w:t>
      </w:r>
      <w:r w:rsidRPr="003C15F1">
        <w:rPr>
          <w:sz w:val="22"/>
          <w:szCs w:val="22"/>
          <w:lang w:val="es-ES"/>
        </w:rPr>
        <w:t>e</w:t>
      </w:r>
      <w:r w:rsidRPr="003C15F1">
        <w:rPr>
          <w:rStyle w:val="ts-alignment-element"/>
          <w:sz w:val="22"/>
          <w:szCs w:val="22"/>
          <w:lang w:val="es-ES"/>
        </w:rPr>
        <w:t xml:space="preserve">l </w:t>
      </w:r>
      <w:r w:rsidRPr="003C15F1">
        <w:rPr>
          <w:sz w:val="22"/>
          <w:szCs w:val="22"/>
          <w:lang w:val="es-ES"/>
        </w:rPr>
        <w:t>p</w:t>
      </w:r>
      <w:r w:rsidRPr="003C15F1">
        <w:rPr>
          <w:rStyle w:val="ts-alignment-element"/>
          <w:sz w:val="22"/>
          <w:szCs w:val="22"/>
          <w:lang w:val="es-ES"/>
        </w:rPr>
        <w:t xml:space="preserve">ilar </w:t>
      </w:r>
      <w:r w:rsidRPr="003C15F1">
        <w:rPr>
          <w:sz w:val="22"/>
          <w:szCs w:val="22"/>
          <w:lang w:val="es-ES"/>
        </w:rPr>
        <w:t>d</w:t>
      </w:r>
      <w:r w:rsidRPr="003C15F1">
        <w:rPr>
          <w:rStyle w:val="ts-alignment-element"/>
          <w:sz w:val="22"/>
          <w:szCs w:val="22"/>
          <w:lang w:val="es-ES"/>
        </w:rPr>
        <w:t xml:space="preserve">e </w:t>
      </w:r>
      <w:r w:rsidRPr="003C15F1">
        <w:rPr>
          <w:sz w:val="22"/>
          <w:szCs w:val="22"/>
          <w:lang w:val="es-ES"/>
        </w:rPr>
        <w:t>d</w:t>
      </w:r>
      <w:r w:rsidRPr="003C15F1">
        <w:rPr>
          <w:rStyle w:val="ts-alignment-element"/>
          <w:sz w:val="22"/>
          <w:szCs w:val="22"/>
          <w:lang w:val="es-ES"/>
        </w:rPr>
        <w:t xml:space="preserve">esarrollo </w:t>
      </w:r>
      <w:r w:rsidRPr="003C15F1">
        <w:rPr>
          <w:sz w:val="22"/>
          <w:szCs w:val="22"/>
          <w:lang w:val="es-ES"/>
        </w:rPr>
        <w:t>d</w:t>
      </w:r>
      <w:r w:rsidRPr="003C15F1">
        <w:rPr>
          <w:rStyle w:val="ts-alignment-element"/>
          <w:sz w:val="22"/>
          <w:szCs w:val="22"/>
          <w:lang w:val="es-ES"/>
        </w:rPr>
        <w:t xml:space="preserve">el </w:t>
      </w:r>
      <w:r w:rsidRPr="003C15F1">
        <w:rPr>
          <w:sz w:val="22"/>
          <w:szCs w:val="22"/>
          <w:lang w:val="es-ES"/>
        </w:rPr>
        <w:t>P</w:t>
      </w:r>
      <w:r w:rsidRPr="003C15F1">
        <w:rPr>
          <w:rStyle w:val="ts-alignment-element"/>
          <w:sz w:val="22"/>
          <w:szCs w:val="22"/>
          <w:lang w:val="es-ES"/>
        </w:rPr>
        <w:t xml:space="preserve">lan </w:t>
      </w:r>
      <w:r w:rsidRPr="003C15F1">
        <w:rPr>
          <w:sz w:val="22"/>
          <w:szCs w:val="22"/>
          <w:lang w:val="es-ES"/>
        </w:rPr>
        <w:t>E</w:t>
      </w:r>
      <w:r w:rsidRPr="003C15F1">
        <w:rPr>
          <w:rStyle w:val="ts-alignment-element"/>
          <w:sz w:val="22"/>
          <w:szCs w:val="22"/>
          <w:lang w:val="es-ES"/>
        </w:rPr>
        <w:t xml:space="preserve">stratégico </w:t>
      </w:r>
      <w:r w:rsidRPr="003C15F1">
        <w:rPr>
          <w:sz w:val="22"/>
          <w:szCs w:val="22"/>
          <w:lang w:val="es-ES"/>
        </w:rPr>
        <w:t>I</w:t>
      </w:r>
      <w:r w:rsidRPr="003C15F1">
        <w:rPr>
          <w:rStyle w:val="ts-alignment-element"/>
          <w:sz w:val="22"/>
          <w:szCs w:val="22"/>
          <w:lang w:val="es-ES"/>
        </w:rPr>
        <w:t xml:space="preserve">ntegral </w:t>
      </w:r>
      <w:r w:rsidRPr="003C15F1">
        <w:rPr>
          <w:sz w:val="22"/>
          <w:szCs w:val="22"/>
          <w:lang w:val="es-ES"/>
        </w:rPr>
        <w:t>d</w:t>
      </w:r>
      <w:r w:rsidRPr="003C15F1">
        <w:rPr>
          <w:rStyle w:val="ts-alignment-element"/>
          <w:sz w:val="22"/>
          <w:szCs w:val="22"/>
          <w:lang w:val="es-ES"/>
        </w:rPr>
        <w:t xml:space="preserve">e </w:t>
      </w:r>
      <w:r w:rsidRPr="003C15F1">
        <w:rPr>
          <w:sz w:val="22"/>
          <w:szCs w:val="22"/>
          <w:lang w:val="es-ES"/>
        </w:rPr>
        <w:t>l</w:t>
      </w:r>
      <w:r w:rsidRPr="003C15F1">
        <w:rPr>
          <w:rStyle w:val="ts-alignment-element"/>
          <w:sz w:val="22"/>
          <w:szCs w:val="22"/>
          <w:lang w:val="es-ES"/>
        </w:rPr>
        <w:t xml:space="preserve">a </w:t>
      </w:r>
      <w:r w:rsidRPr="003C15F1">
        <w:rPr>
          <w:sz w:val="22"/>
          <w:szCs w:val="22"/>
          <w:lang w:val="es-ES"/>
        </w:rPr>
        <w:t>O</w:t>
      </w:r>
      <w:r w:rsidRPr="003C15F1">
        <w:rPr>
          <w:rStyle w:val="ts-alignment-element"/>
          <w:sz w:val="22"/>
          <w:szCs w:val="22"/>
          <w:lang w:val="es-ES"/>
        </w:rPr>
        <w:t xml:space="preserve">rganización. </w:t>
      </w:r>
      <w:r w:rsidRPr="003C15F1">
        <w:rPr>
          <w:sz w:val="22"/>
          <w:szCs w:val="22"/>
          <w:lang w:val="es-ES"/>
        </w:rPr>
        <w:t>[</w:t>
      </w:r>
      <w:r w:rsidRPr="003C15F1">
        <w:rPr>
          <w:rStyle w:val="ts-alignment-element"/>
          <w:sz w:val="22"/>
          <w:szCs w:val="22"/>
          <w:lang w:val="es-ES"/>
        </w:rPr>
        <w:t xml:space="preserve">AG/RES. </w:t>
      </w:r>
      <w:r w:rsidRPr="003C15F1">
        <w:rPr>
          <w:sz w:val="22"/>
          <w:szCs w:val="22"/>
          <w:lang w:val="es-ES"/>
        </w:rPr>
        <w:t>1</w:t>
      </w:r>
      <w:r w:rsidRPr="003C15F1">
        <w:rPr>
          <w:rStyle w:val="ts-alignment-element"/>
          <w:sz w:val="22"/>
          <w:szCs w:val="22"/>
          <w:lang w:val="es-ES"/>
        </w:rPr>
        <w:t xml:space="preserve"> </w:t>
      </w:r>
      <w:r w:rsidRPr="003C15F1">
        <w:rPr>
          <w:sz w:val="22"/>
          <w:szCs w:val="22"/>
          <w:lang w:val="es-ES"/>
        </w:rPr>
        <w:t>(</w:t>
      </w:r>
      <w:r w:rsidRPr="003C15F1">
        <w:rPr>
          <w:rStyle w:val="ts-alignment-element"/>
          <w:sz w:val="22"/>
          <w:szCs w:val="22"/>
          <w:lang w:val="es-ES"/>
        </w:rPr>
        <w:t>LI-E/16)]</w:t>
      </w:r>
    </w:p>
    <w:p w14:paraId="79307D3C" w14:textId="12F55910" w:rsidR="008C61A6" w:rsidRDefault="008C61A6" w:rsidP="003C15F1">
      <w:pPr>
        <w:pStyle w:val="BodyA"/>
        <w:jc w:val="both"/>
        <w:rPr>
          <w:rFonts w:cs="Times New Roman"/>
          <w:b/>
          <w:bCs/>
          <w:sz w:val="22"/>
          <w:szCs w:val="22"/>
          <w:lang w:val="es-US"/>
        </w:rPr>
      </w:pPr>
    </w:p>
    <w:p w14:paraId="696674CE" w14:textId="77777777" w:rsidR="003C15F1" w:rsidRPr="003C15F1" w:rsidRDefault="003C15F1" w:rsidP="003C15F1">
      <w:pPr>
        <w:pStyle w:val="BodyA"/>
        <w:jc w:val="both"/>
        <w:rPr>
          <w:rFonts w:cs="Times New Roman"/>
          <w:b/>
          <w:bCs/>
          <w:sz w:val="22"/>
          <w:szCs w:val="22"/>
          <w:lang w:val="es-US"/>
        </w:rPr>
      </w:pPr>
    </w:p>
    <w:p w14:paraId="544154DE" w14:textId="77777777" w:rsidR="008C61A6" w:rsidRPr="003C15F1" w:rsidRDefault="008C61A6" w:rsidP="003C15F1">
      <w:pPr>
        <w:pStyle w:val="Body"/>
        <w:jc w:val="center"/>
        <w:rPr>
          <w:b/>
          <w:bCs/>
          <w:sz w:val="22"/>
          <w:szCs w:val="22"/>
          <w:lang w:val="es-ES"/>
        </w:rPr>
      </w:pPr>
      <w:bookmarkStart w:id="5" w:name="_Hlk87344925"/>
      <w:r w:rsidRPr="003C15F1">
        <w:rPr>
          <w:b/>
          <w:bCs/>
          <w:sz w:val="22"/>
          <w:szCs w:val="22"/>
          <w:lang w:val="es-ES_tradnl"/>
        </w:rPr>
        <w:t>LÍNEA ESTRATÉGICA 1: PROMOVER ECONOMÍAS INCLUYENTES Y COMPETITIVAS</w:t>
      </w:r>
      <w:bookmarkEnd w:id="5"/>
    </w:p>
    <w:p w14:paraId="69619C0B" w14:textId="77777777" w:rsidR="008C61A6" w:rsidRPr="003C15F1" w:rsidRDefault="008C61A6" w:rsidP="003C15F1">
      <w:pPr>
        <w:pStyle w:val="Body"/>
        <w:jc w:val="both"/>
        <w:rPr>
          <w:sz w:val="22"/>
          <w:szCs w:val="22"/>
          <w:lang w:val="es-ES_tradnl"/>
        </w:rPr>
      </w:pPr>
    </w:p>
    <w:p w14:paraId="60AC3234" w14:textId="5BA98F8F" w:rsidR="008C61A6" w:rsidRPr="003C15F1" w:rsidRDefault="008C61A6" w:rsidP="003C15F1">
      <w:pPr>
        <w:pStyle w:val="Body"/>
        <w:ind w:firstLine="720"/>
        <w:jc w:val="both"/>
        <w:rPr>
          <w:sz w:val="22"/>
          <w:szCs w:val="22"/>
          <w:lang w:val="es-ES"/>
        </w:rPr>
      </w:pPr>
      <w:r w:rsidRPr="003C15F1">
        <w:rPr>
          <w:sz w:val="22"/>
          <w:szCs w:val="22"/>
          <w:lang w:val="es-ES_tradnl"/>
        </w:rPr>
        <w:t xml:space="preserve">La pandemia ha acelerado la adopción de nuevas tecnologías y exacerbado la brecha digital para las MIPYMES. Millones de </w:t>
      </w:r>
      <w:proofErr w:type="spellStart"/>
      <w:r w:rsidRPr="003C15F1">
        <w:rPr>
          <w:sz w:val="22"/>
          <w:szCs w:val="22"/>
          <w:lang w:val="es-ES_tradnl"/>
        </w:rPr>
        <w:t>ell</w:t>
      </w:r>
      <w:proofErr w:type="spellEnd"/>
      <w:r w:rsidRPr="003C15F1">
        <w:rPr>
          <w:sz w:val="22"/>
          <w:szCs w:val="22"/>
          <w:lang w:val="es-ES"/>
        </w:rPr>
        <w:t>a</w:t>
      </w:r>
      <w:r w:rsidRPr="003C15F1">
        <w:rPr>
          <w:sz w:val="22"/>
          <w:szCs w:val="22"/>
          <w:lang w:val="es-ES_tradnl"/>
        </w:rPr>
        <w:t>s tuvieron que cerrar porque no podían acceder a las plataformas digitales para aprovechar las nuevas oportunidades económicas. La Alianza OEA-WhatsApp Business para MIPYMES y el Programa del Centro de Desarrollo de Pequeñas Empresas del Caribe han brindado a las autoridades e instituciones de apoyo a las MIPYMES oportunidades de desarrollo de capacidades y herramientas simples, confiables y seguras para brindarles a las MIPYMES una entrada a la digitalización para conectarse con sus clientes y llegar a nuevos mercados. Adicionalmente, la SEDI lanzó el proyecto “Mujeres económicamente empoderadas para sociedades equitativas y resilientes” y el Programa #Ella Hace Historia para aumentar la participación de las mujeres en la economía digital. Otras iniciativas han apoyado el intercambio de conocimientos sobre las medidas adoptadas por los Estados miembros para mitigar el impacto económico de la pandemia (el Centro de Información en línea MIPYME y los Boletines OEA-MIPYME), han contribuido a identificar herramientas y nuevas políticas para fortalecer el ecosistema de las MIPYMES en los Estados Miembros (</w:t>
      </w:r>
      <w:r w:rsidRPr="003C15F1">
        <w:rPr>
          <w:sz w:val="22"/>
          <w:szCs w:val="22"/>
          <w:shd w:val="clear" w:color="auto" w:fill="FFFFFF"/>
          <w:lang w:val="es-ES_tradnl"/>
        </w:rPr>
        <w:t xml:space="preserve">el Acelerador de Ideas COVID-19 de la RIAC), han </w:t>
      </w:r>
      <w:r w:rsidRPr="003C15F1">
        <w:rPr>
          <w:sz w:val="22"/>
          <w:szCs w:val="22"/>
          <w:lang w:val="es-ES_tradnl"/>
        </w:rPr>
        <w:t>inspirado el desarrollo e implementación de proyectos colaborativos (Programa ACE y Prospecta Américas) y han brindado apoyo a los profesionales y emprendedores por medio de sesiones de tutoría con expertos y líderes para ayudar a acelerar sus soluciones, tecnologías, productos y servicios innovadores “desde la idea hasta el mercado”(dos plataformas virtuales: “COMCYT Central” y “COMUNITT”). La SEDI también lanzó el Diálogo de Turismo Indígena de las Américas, una red de 100 líderes indígenas y organizaciones de la industria del turismo en las Américas, para impulsar la acción colaborativa en apoyo del desarrollo y el crecimiento sostenible de las comunidades indígenas en las Américas.</w:t>
      </w:r>
    </w:p>
    <w:p w14:paraId="1EAA05CC" w14:textId="6BD1C376" w:rsidR="003C15F1" w:rsidRDefault="003C15F1" w:rsidP="003C15F1">
      <w:pPr>
        <w:pStyle w:val="BodyA"/>
        <w:jc w:val="both"/>
        <w:rPr>
          <w:rFonts w:cs="Times New Roman"/>
          <w:b/>
          <w:bCs/>
          <w:sz w:val="22"/>
          <w:szCs w:val="22"/>
          <w:lang w:val="es-ES_tradnl"/>
        </w:rPr>
      </w:pPr>
      <w:r>
        <w:rPr>
          <w:rFonts w:cs="Times New Roman"/>
          <w:b/>
          <w:bCs/>
          <w:sz w:val="22"/>
          <w:szCs w:val="22"/>
          <w:lang w:val="es-ES_tradnl"/>
        </w:rPr>
        <w:br w:type="page"/>
      </w:r>
    </w:p>
    <w:p w14:paraId="7D81E803" w14:textId="45C6E9F3" w:rsidR="008C61A6" w:rsidRPr="003C15F1" w:rsidRDefault="008C61A6" w:rsidP="003C15F1">
      <w:pPr>
        <w:pStyle w:val="BodyA"/>
        <w:jc w:val="both"/>
        <w:rPr>
          <w:rFonts w:cs="Times New Roman"/>
          <w:sz w:val="22"/>
          <w:szCs w:val="22"/>
          <w:lang w:val="es-ES"/>
        </w:rPr>
      </w:pPr>
      <w:r w:rsidRPr="003C15F1">
        <w:rPr>
          <w:rFonts w:cs="Times New Roman"/>
          <w:b/>
          <w:bCs/>
          <w:sz w:val="22"/>
          <w:szCs w:val="22"/>
          <w:lang w:val="es-US"/>
        </w:rPr>
        <w:lastRenderedPageBreak/>
        <w:t>OBJETIVO 1.1</w:t>
      </w:r>
      <w:r w:rsidR="00502C13" w:rsidRPr="003C15F1">
        <w:rPr>
          <w:rFonts w:cs="Times New Roman"/>
          <w:b/>
          <w:bCs/>
          <w:sz w:val="22"/>
          <w:szCs w:val="22"/>
          <w:lang w:val="es-US"/>
        </w:rPr>
        <w:t xml:space="preserve">:  </w:t>
      </w:r>
      <w:r w:rsidRPr="003C15F1">
        <w:rPr>
          <w:rFonts w:cs="Times New Roman"/>
          <w:b/>
          <w:bCs/>
          <w:sz w:val="22"/>
          <w:szCs w:val="22"/>
          <w:lang w:val="es-ES_tradnl"/>
        </w:rPr>
        <w:t xml:space="preserve">Aumentar la capacidad de las instituciones en los Estados Miembros que apoyan la </w:t>
      </w:r>
      <w:proofErr w:type="spellStart"/>
      <w:r w:rsidRPr="003C15F1">
        <w:rPr>
          <w:rFonts w:cs="Times New Roman"/>
          <w:b/>
          <w:bCs/>
          <w:sz w:val="22"/>
          <w:szCs w:val="22"/>
          <w:lang w:val="es-ES_tradnl"/>
        </w:rPr>
        <w:t>implementació</w:t>
      </w:r>
      <w:proofErr w:type="spellEnd"/>
      <w:r w:rsidRPr="003C15F1">
        <w:rPr>
          <w:rFonts w:cs="Times New Roman"/>
          <w:b/>
          <w:bCs/>
          <w:sz w:val="22"/>
          <w:szCs w:val="22"/>
          <w:lang w:val="nl-NL"/>
        </w:rPr>
        <w:t>n de pol</w:t>
      </w:r>
      <w:proofErr w:type="spellStart"/>
      <w:r w:rsidRPr="003C15F1">
        <w:rPr>
          <w:rFonts w:cs="Times New Roman"/>
          <w:b/>
          <w:bCs/>
          <w:sz w:val="22"/>
          <w:szCs w:val="22"/>
          <w:lang w:val="es-ES_tradnl"/>
        </w:rPr>
        <w:t>íticas</w:t>
      </w:r>
      <w:proofErr w:type="spellEnd"/>
      <w:r w:rsidRPr="003C15F1">
        <w:rPr>
          <w:rFonts w:cs="Times New Roman"/>
          <w:b/>
          <w:bCs/>
          <w:sz w:val="22"/>
          <w:szCs w:val="22"/>
          <w:lang w:val="es-ES_tradnl"/>
        </w:rPr>
        <w:t xml:space="preserve"> y programas que fomenten la productividad, el </w:t>
      </w:r>
      <w:proofErr w:type="spellStart"/>
      <w:r w:rsidRPr="003C15F1">
        <w:rPr>
          <w:rFonts w:cs="Times New Roman"/>
          <w:b/>
          <w:bCs/>
          <w:sz w:val="22"/>
          <w:szCs w:val="22"/>
          <w:lang w:val="es-ES_tradnl"/>
        </w:rPr>
        <w:t>emprendedurismo</w:t>
      </w:r>
      <w:proofErr w:type="spellEnd"/>
      <w:r w:rsidRPr="003C15F1">
        <w:rPr>
          <w:rFonts w:cs="Times New Roman"/>
          <w:b/>
          <w:bCs/>
          <w:sz w:val="22"/>
          <w:szCs w:val="22"/>
          <w:lang w:val="es-ES_tradnl"/>
        </w:rPr>
        <w:t>, la innovación e internacionalización de las micro, pequeñas y medianas empresas (</w:t>
      </w:r>
      <w:r w:rsidR="00502C13" w:rsidRPr="003C15F1">
        <w:rPr>
          <w:rFonts w:cs="Times New Roman"/>
          <w:b/>
          <w:bCs/>
          <w:sz w:val="22"/>
          <w:szCs w:val="22"/>
          <w:lang w:val="es-ES_tradnl"/>
        </w:rPr>
        <w:t>MIPYMES</w:t>
      </w:r>
      <w:r w:rsidRPr="003C15F1">
        <w:rPr>
          <w:rFonts w:cs="Times New Roman"/>
          <w:b/>
          <w:bCs/>
          <w:sz w:val="22"/>
          <w:szCs w:val="22"/>
          <w:lang w:val="es-ES_tradnl"/>
        </w:rPr>
        <w:t>), así como de las cooperativas y otras unidades de producción.</w:t>
      </w:r>
    </w:p>
    <w:p w14:paraId="7BAEB4C5" w14:textId="7BAD1528" w:rsidR="008C61A6" w:rsidRPr="003C15F1" w:rsidRDefault="008C61A6" w:rsidP="003C15F1">
      <w:pPr>
        <w:pStyle w:val="BodyA"/>
        <w:rPr>
          <w:rFonts w:cs="Times New Roman"/>
          <w:sz w:val="22"/>
          <w:szCs w:val="22"/>
          <w:lang w:val="es-ES_tradnl"/>
        </w:rPr>
      </w:pPr>
    </w:p>
    <w:p w14:paraId="7859E92B" w14:textId="76E2C869" w:rsidR="008C61A6" w:rsidRPr="003C15F1" w:rsidRDefault="008C61A6" w:rsidP="003C15F1">
      <w:pPr>
        <w:pStyle w:val="BodyA"/>
        <w:ind w:firstLine="720"/>
        <w:rPr>
          <w:rFonts w:cs="Times New Roman"/>
          <w:b/>
          <w:bCs/>
          <w:sz w:val="22"/>
          <w:szCs w:val="22"/>
          <w:lang w:val="es-ES"/>
        </w:rPr>
      </w:pPr>
      <w:r w:rsidRPr="003C15F1">
        <w:rPr>
          <w:rFonts w:cs="Times New Roman"/>
          <w:b/>
          <w:bCs/>
          <w:sz w:val="22"/>
          <w:szCs w:val="22"/>
          <w:lang w:val="es-ES_tradnl"/>
        </w:rPr>
        <w:t>Sé</w:t>
      </w:r>
      <w:r w:rsidRPr="003C15F1">
        <w:rPr>
          <w:rFonts w:cs="Times New Roman"/>
          <w:b/>
          <w:bCs/>
          <w:sz w:val="22"/>
          <w:szCs w:val="22"/>
          <w:lang w:val="it-IT"/>
        </w:rPr>
        <w:t>ptimo Di</w:t>
      </w:r>
      <w:r w:rsidRPr="003C15F1">
        <w:rPr>
          <w:rFonts w:cs="Times New Roman"/>
          <w:b/>
          <w:bCs/>
          <w:sz w:val="22"/>
          <w:szCs w:val="22"/>
          <w:lang w:val="es-ES_tradnl"/>
        </w:rPr>
        <w:t>á</w:t>
      </w:r>
      <w:r w:rsidRPr="003C15F1">
        <w:rPr>
          <w:rFonts w:cs="Times New Roman"/>
          <w:b/>
          <w:bCs/>
          <w:sz w:val="22"/>
          <w:szCs w:val="22"/>
          <w:lang w:val="pt-PT"/>
        </w:rPr>
        <w:t>logo Interamericano de Altas Autoridades de M</w:t>
      </w:r>
      <w:r w:rsidR="00502C13" w:rsidRPr="003C15F1">
        <w:rPr>
          <w:rFonts w:cs="Times New Roman"/>
          <w:b/>
          <w:bCs/>
          <w:sz w:val="22"/>
          <w:szCs w:val="22"/>
          <w:lang w:val="pt-PT"/>
        </w:rPr>
        <w:t>IPYMES</w:t>
      </w:r>
    </w:p>
    <w:p w14:paraId="2C52FD59" w14:textId="3110053A" w:rsidR="008C61A6" w:rsidRPr="003C15F1" w:rsidRDefault="008C61A6" w:rsidP="00FF59F0">
      <w:pPr>
        <w:pStyle w:val="BodyA"/>
        <w:numPr>
          <w:ilvl w:val="0"/>
          <w:numId w:val="6"/>
        </w:numPr>
        <w:ind w:left="1440" w:hanging="720"/>
        <w:jc w:val="both"/>
        <w:rPr>
          <w:rFonts w:cs="Times New Roman"/>
          <w:sz w:val="22"/>
          <w:szCs w:val="22"/>
          <w:lang w:val="es-ES_tradnl"/>
        </w:rPr>
      </w:pPr>
      <w:r w:rsidRPr="003C15F1">
        <w:rPr>
          <w:rFonts w:cs="Times New Roman"/>
          <w:sz w:val="22"/>
          <w:szCs w:val="22"/>
          <w:lang w:val="es-ES_tradnl"/>
        </w:rPr>
        <w:t xml:space="preserve">Se convocó </w:t>
      </w:r>
      <w:r w:rsidRPr="003C15F1">
        <w:rPr>
          <w:rFonts w:cs="Times New Roman"/>
          <w:sz w:val="22"/>
          <w:szCs w:val="22"/>
          <w:lang w:val="it-IT"/>
        </w:rPr>
        <w:t>el S</w:t>
      </w:r>
      <w:r w:rsidRPr="003C15F1">
        <w:rPr>
          <w:rFonts w:cs="Times New Roman"/>
          <w:sz w:val="22"/>
          <w:szCs w:val="22"/>
          <w:lang w:val="es-ES_tradnl"/>
        </w:rPr>
        <w:t>é</w:t>
      </w:r>
      <w:r w:rsidRPr="003C15F1">
        <w:rPr>
          <w:rFonts w:cs="Times New Roman"/>
          <w:sz w:val="22"/>
          <w:szCs w:val="22"/>
          <w:lang w:val="it-IT"/>
        </w:rPr>
        <w:t>ptimo Di</w:t>
      </w:r>
      <w:proofErr w:type="spellStart"/>
      <w:r w:rsidRPr="003C15F1">
        <w:rPr>
          <w:rFonts w:cs="Times New Roman"/>
          <w:sz w:val="22"/>
          <w:szCs w:val="22"/>
          <w:lang w:val="es-ES_tradnl"/>
        </w:rPr>
        <w:t>álogo</w:t>
      </w:r>
      <w:proofErr w:type="spellEnd"/>
      <w:r w:rsidRPr="003C15F1">
        <w:rPr>
          <w:rFonts w:cs="Times New Roman"/>
          <w:sz w:val="22"/>
          <w:szCs w:val="22"/>
          <w:lang w:val="es-ES_tradnl"/>
        </w:rPr>
        <w:t xml:space="preserve"> Interamericano de Altas Autoridades de MIPYMES, realizado virtualmente del 9 al 10 de septiembre de 2021, bajo el liderazgo del Gobierno de Chile y con la participación de 30 Estados Miembros, para enfocarse en políticas públicas, programas y soluciones para la </w:t>
      </w:r>
      <w:proofErr w:type="spellStart"/>
      <w:r w:rsidRPr="003C15F1">
        <w:rPr>
          <w:rFonts w:cs="Times New Roman"/>
          <w:sz w:val="22"/>
          <w:szCs w:val="22"/>
          <w:lang w:val="es-ES_tradnl"/>
        </w:rPr>
        <w:t>recuperació</w:t>
      </w:r>
      <w:proofErr w:type="spellEnd"/>
      <w:r w:rsidRPr="003C15F1">
        <w:rPr>
          <w:rFonts w:cs="Times New Roman"/>
          <w:sz w:val="22"/>
          <w:szCs w:val="22"/>
          <w:lang w:val="it-IT"/>
        </w:rPr>
        <w:t>n econ</w:t>
      </w:r>
      <w:proofErr w:type="spellStart"/>
      <w:r w:rsidRPr="003C15F1">
        <w:rPr>
          <w:rFonts w:cs="Times New Roman"/>
          <w:sz w:val="22"/>
          <w:szCs w:val="22"/>
          <w:lang w:val="es-ES_tradnl"/>
        </w:rPr>
        <w:t>ómica</w:t>
      </w:r>
      <w:proofErr w:type="spellEnd"/>
      <w:r w:rsidRPr="003C15F1">
        <w:rPr>
          <w:rFonts w:cs="Times New Roman"/>
          <w:sz w:val="22"/>
          <w:szCs w:val="22"/>
          <w:lang w:val="es-ES_tradnl"/>
        </w:rPr>
        <w:t xml:space="preserve"> de las </w:t>
      </w:r>
      <w:proofErr w:type="spellStart"/>
      <w:r w:rsidRPr="003C15F1">
        <w:rPr>
          <w:rFonts w:cs="Times New Roman"/>
          <w:sz w:val="22"/>
          <w:szCs w:val="22"/>
          <w:lang w:val="es-ES_tradnl"/>
        </w:rPr>
        <w:t>MIPYMEs</w:t>
      </w:r>
      <w:proofErr w:type="spellEnd"/>
      <w:r w:rsidRPr="003C15F1">
        <w:rPr>
          <w:rFonts w:cs="Times New Roman"/>
          <w:sz w:val="22"/>
          <w:szCs w:val="22"/>
          <w:lang w:val="es-ES_tradnl"/>
        </w:rPr>
        <w:t xml:space="preserve"> post-COVID. Durante el Diálogo se identificaron áreas prioritarias de acción por los Estados </w:t>
      </w:r>
      <w:r w:rsidR="00424258" w:rsidRPr="003C15F1">
        <w:rPr>
          <w:rFonts w:cs="Times New Roman"/>
          <w:sz w:val="22"/>
          <w:szCs w:val="22"/>
          <w:lang w:val="es-ES_tradnl"/>
        </w:rPr>
        <w:t>M</w:t>
      </w:r>
      <w:r w:rsidRPr="003C15F1">
        <w:rPr>
          <w:rFonts w:cs="Times New Roman"/>
          <w:sz w:val="22"/>
          <w:szCs w:val="22"/>
          <w:lang w:val="es-ES_tradnl"/>
        </w:rPr>
        <w:t>iembros para apoyar la recuperación de las MIPYMES mediante el intercambio de buenas prácticas y experiencias sobre: ​​1) soluciones financieras que incluyan una perspectiva de género; 2) digitalización, comercio electrónico y otras soluciones tecnológicas; 3) servicios de mensajería y envío internacional; y 4) empoderamiento económico de la mujer.</w:t>
      </w:r>
    </w:p>
    <w:p w14:paraId="06CE1A60" w14:textId="77777777" w:rsidR="008C61A6" w:rsidRPr="003C15F1" w:rsidRDefault="008C61A6" w:rsidP="003C15F1">
      <w:pPr>
        <w:pStyle w:val="BodyA"/>
        <w:jc w:val="both"/>
        <w:rPr>
          <w:rFonts w:cs="Times New Roman"/>
          <w:sz w:val="22"/>
          <w:szCs w:val="22"/>
          <w:lang w:val="es-ES_tradnl"/>
        </w:rPr>
      </w:pPr>
    </w:p>
    <w:p w14:paraId="2BD67C97" w14:textId="77777777" w:rsidR="008C61A6" w:rsidRPr="003C15F1" w:rsidRDefault="008C61A6" w:rsidP="003C15F1">
      <w:pPr>
        <w:pStyle w:val="BodyA"/>
        <w:ind w:firstLine="720"/>
        <w:rPr>
          <w:rFonts w:cs="Times New Roman"/>
          <w:b/>
          <w:bCs/>
          <w:sz w:val="22"/>
          <w:szCs w:val="22"/>
          <w:lang w:val="es-ES_tradnl"/>
        </w:rPr>
      </w:pPr>
      <w:r w:rsidRPr="003C15F1">
        <w:rPr>
          <w:rFonts w:cs="Times New Roman"/>
          <w:b/>
          <w:bCs/>
          <w:sz w:val="22"/>
          <w:szCs w:val="22"/>
          <w:lang w:val="es-ES_tradnl"/>
        </w:rPr>
        <w:t>Programa de Digitalización de MIPYMES de la OEA</w:t>
      </w:r>
    </w:p>
    <w:p w14:paraId="5E766AAB" w14:textId="6A086A62" w:rsidR="008C61A6" w:rsidRPr="003C15F1" w:rsidRDefault="008C61A6" w:rsidP="00FF59F0">
      <w:pPr>
        <w:pStyle w:val="BodyA"/>
        <w:numPr>
          <w:ilvl w:val="0"/>
          <w:numId w:val="6"/>
        </w:numPr>
        <w:ind w:left="1440" w:hanging="720"/>
        <w:jc w:val="both"/>
        <w:rPr>
          <w:rFonts w:cs="Times New Roman"/>
          <w:sz w:val="22"/>
          <w:szCs w:val="22"/>
          <w:lang w:val="es-ES_tradnl"/>
        </w:rPr>
      </w:pPr>
      <w:r w:rsidRPr="003C15F1">
        <w:rPr>
          <w:rFonts w:cs="Times New Roman"/>
          <w:sz w:val="22"/>
          <w:szCs w:val="22"/>
          <w:lang w:val="es-ES_tradnl"/>
        </w:rPr>
        <w:t xml:space="preserve">Se lanzó junto a Facebook (Meta) el Programa </w:t>
      </w:r>
      <w:r w:rsidRPr="003C15F1">
        <w:rPr>
          <w:rFonts w:cs="Times New Roman"/>
          <w:sz w:val="22"/>
          <w:szCs w:val="22"/>
          <w:shd w:val="clear" w:color="auto" w:fill="FFFFFF"/>
          <w:lang w:val="es-ES_tradnl"/>
        </w:rPr>
        <w:t>#</w:t>
      </w:r>
      <w:hyperlink r:id="rId7" w:history="1">
        <w:r w:rsidRPr="003C15F1">
          <w:rPr>
            <w:rStyle w:val="Hyperlink0"/>
            <w:rFonts w:cs="Times New Roman"/>
            <w:sz w:val="22"/>
            <w:szCs w:val="22"/>
          </w:rPr>
          <w:t>EllaHaceHistoria</w:t>
        </w:r>
      </w:hyperlink>
      <w:r w:rsidRPr="003C15F1">
        <w:rPr>
          <w:rFonts w:cs="Times New Roman"/>
          <w:sz w:val="22"/>
          <w:szCs w:val="22"/>
          <w:shd w:val="clear" w:color="auto" w:fill="FFFFFF"/>
          <w:lang w:val="es-ES_tradnl"/>
        </w:rPr>
        <w:t xml:space="preserve"> </w:t>
      </w:r>
      <w:r w:rsidRPr="003C15F1">
        <w:rPr>
          <w:rFonts w:cs="Times New Roman"/>
          <w:sz w:val="22"/>
          <w:szCs w:val="22"/>
          <w:lang w:val="es-ES_tradnl"/>
        </w:rPr>
        <w:t>para liberar el potencial de las mujeres emprendedoras. La plataforma ofrece un espacio de aprendizaje y crecimiento y estímulo que permite a las mujeres acceder a recursos de aprendizaje gratuitos, diseñados específicamente para las MIPYMES dirigidas por mujeres. Incluye herramientas de gestión financiera y resiliencia empresarial, habilidades digitales y mejores prácticas de WhatsApp for Business.</w:t>
      </w:r>
    </w:p>
    <w:p w14:paraId="5FE63267" w14:textId="77777777" w:rsidR="006A4EAB" w:rsidRPr="003C15F1" w:rsidRDefault="006A4EAB" w:rsidP="003C15F1">
      <w:pPr>
        <w:pStyle w:val="BodyA"/>
        <w:ind w:left="1440"/>
        <w:jc w:val="both"/>
        <w:rPr>
          <w:rFonts w:cs="Times New Roman"/>
          <w:sz w:val="22"/>
          <w:szCs w:val="22"/>
          <w:lang w:val="es-ES_tradnl"/>
        </w:rPr>
      </w:pPr>
    </w:p>
    <w:p w14:paraId="5D24F8C4" w14:textId="1D287C7A" w:rsidR="00424258" w:rsidRPr="003C15F1" w:rsidRDefault="008C61A6" w:rsidP="00FF59F0">
      <w:pPr>
        <w:pStyle w:val="BodyA"/>
        <w:numPr>
          <w:ilvl w:val="0"/>
          <w:numId w:val="6"/>
        </w:numPr>
        <w:ind w:left="1440" w:hanging="720"/>
        <w:jc w:val="both"/>
        <w:rPr>
          <w:rFonts w:cs="Times New Roman"/>
          <w:sz w:val="22"/>
          <w:szCs w:val="22"/>
          <w:lang w:val="es-ES_tradnl"/>
        </w:rPr>
      </w:pPr>
      <w:r w:rsidRPr="003C15F1">
        <w:rPr>
          <w:rFonts w:cs="Times New Roman"/>
          <w:sz w:val="22"/>
          <w:szCs w:val="22"/>
          <w:lang w:val="es-ES_tradnl"/>
        </w:rPr>
        <w:t>Se impartieron seis programas de capacitación virtual personalizados directamente a las MIPYMES y un programa de capacitación de capacitadores para más de 500 autoridades de MIPYMES e instituciones de apoyo a través de la Alianza OEA-WhatsApp Business para MIPYMES para fortalecer la resiliencia de las MIPYMES y la recuperación después de la pandemia.</w:t>
      </w:r>
    </w:p>
    <w:p w14:paraId="5BC1A63F" w14:textId="77777777" w:rsidR="006A4EAB" w:rsidRPr="003C15F1" w:rsidRDefault="006A4EAB" w:rsidP="003C15F1">
      <w:pPr>
        <w:rPr>
          <w:sz w:val="22"/>
          <w:szCs w:val="22"/>
          <w:lang w:val="es-ES_tradnl"/>
        </w:rPr>
      </w:pPr>
    </w:p>
    <w:p w14:paraId="60450586" w14:textId="2F11AD45" w:rsidR="008C61A6" w:rsidRPr="003C15F1" w:rsidRDefault="008C61A6" w:rsidP="00FF59F0">
      <w:pPr>
        <w:pStyle w:val="BodyA"/>
        <w:numPr>
          <w:ilvl w:val="0"/>
          <w:numId w:val="6"/>
        </w:numPr>
        <w:ind w:left="1440" w:hanging="720"/>
        <w:jc w:val="both"/>
        <w:rPr>
          <w:rFonts w:cs="Times New Roman"/>
          <w:sz w:val="22"/>
          <w:szCs w:val="22"/>
          <w:lang w:val="es-ES_tradnl"/>
        </w:rPr>
      </w:pPr>
      <w:r w:rsidRPr="003C15F1">
        <w:rPr>
          <w:rFonts w:cs="Times New Roman"/>
          <w:sz w:val="22"/>
          <w:szCs w:val="22"/>
          <w:lang w:val="es-ES_tradnl"/>
        </w:rPr>
        <w:t xml:space="preserve">En asociación con la agencia del Gobierno de Chile que ayuda a las micro y pequeñas empresas SERCOTEC, se compartieron mejores prácticas de Chile sobre </w:t>
      </w:r>
      <w:r w:rsidR="00424258" w:rsidRPr="003C15F1">
        <w:rPr>
          <w:rFonts w:cs="Times New Roman"/>
          <w:sz w:val="22"/>
          <w:szCs w:val="22"/>
          <w:rtl/>
          <w:lang w:val="ar-SA"/>
        </w:rPr>
        <w:t>"</w:t>
      </w:r>
      <w:r w:rsidRPr="003C15F1">
        <w:rPr>
          <w:rFonts w:cs="Times New Roman"/>
          <w:sz w:val="22"/>
          <w:szCs w:val="22"/>
          <w:lang w:val="es-ES_tradnl"/>
        </w:rPr>
        <w:t>Internacionalización de las MIPYMES: Cómo abrir espacios en nuevos mercados</w:t>
      </w:r>
      <w:r w:rsidR="00424258" w:rsidRPr="003C15F1">
        <w:rPr>
          <w:rFonts w:cs="Times New Roman"/>
          <w:sz w:val="22"/>
          <w:szCs w:val="22"/>
          <w:lang w:val="es-ES_tradnl"/>
        </w:rPr>
        <w:t xml:space="preserve">, </w:t>
      </w:r>
      <w:r w:rsidRPr="003C15F1">
        <w:rPr>
          <w:rFonts w:cs="Times New Roman"/>
          <w:sz w:val="22"/>
          <w:szCs w:val="22"/>
          <w:rtl/>
          <w:lang w:val="ar-SA"/>
        </w:rPr>
        <w:t>“</w:t>
      </w:r>
      <w:r w:rsidRPr="003C15F1">
        <w:rPr>
          <w:rFonts w:cs="Times New Roman"/>
          <w:sz w:val="22"/>
          <w:szCs w:val="22"/>
          <w:lang w:val="es-ES_tradnl"/>
        </w:rPr>
        <w:t>Procesos digitales - Negocios inteligentes</w:t>
      </w:r>
      <w:r w:rsidR="00424258" w:rsidRPr="003C15F1">
        <w:rPr>
          <w:rFonts w:cs="Times New Roman"/>
          <w:sz w:val="22"/>
          <w:szCs w:val="22"/>
          <w:lang w:val="es-ES_tradnl"/>
        </w:rPr>
        <w:t>”</w:t>
      </w:r>
      <w:r w:rsidRPr="003C15F1">
        <w:rPr>
          <w:rFonts w:cs="Times New Roman"/>
          <w:sz w:val="22"/>
          <w:szCs w:val="22"/>
          <w:lang w:val="es-ES_tradnl"/>
        </w:rPr>
        <w:t xml:space="preserve"> y </w:t>
      </w:r>
      <w:r w:rsidR="00424258" w:rsidRPr="003C15F1">
        <w:rPr>
          <w:rFonts w:cs="Times New Roman"/>
          <w:sz w:val="22"/>
          <w:szCs w:val="22"/>
          <w:rtl/>
          <w:lang w:val="es-ES_tradnl"/>
        </w:rPr>
        <w:t>"</w:t>
      </w:r>
      <w:r w:rsidRPr="003C15F1">
        <w:rPr>
          <w:rFonts w:cs="Times New Roman"/>
          <w:sz w:val="22"/>
          <w:szCs w:val="22"/>
          <w:lang w:val="es-ES_tradnl"/>
        </w:rPr>
        <w:t>Sostenibilidad y economía circular</w:t>
      </w:r>
      <w:r w:rsidR="00424258" w:rsidRPr="003C15F1">
        <w:rPr>
          <w:rFonts w:cs="Times New Roman"/>
          <w:sz w:val="22"/>
          <w:szCs w:val="22"/>
          <w:lang w:val="es-ES_tradnl"/>
        </w:rPr>
        <w:t>”.</w:t>
      </w:r>
    </w:p>
    <w:p w14:paraId="52F1C151" w14:textId="77777777" w:rsidR="008C61A6" w:rsidRPr="003C15F1" w:rsidRDefault="008C61A6" w:rsidP="003C15F1">
      <w:pPr>
        <w:pStyle w:val="BodyA"/>
        <w:rPr>
          <w:rFonts w:cs="Times New Roman"/>
          <w:sz w:val="22"/>
          <w:szCs w:val="22"/>
          <w:lang w:val="es-ES_tradnl"/>
        </w:rPr>
      </w:pPr>
    </w:p>
    <w:p w14:paraId="1F921FE3" w14:textId="77777777" w:rsidR="008C61A6" w:rsidRPr="003C15F1" w:rsidRDefault="008C61A6" w:rsidP="003C15F1">
      <w:pPr>
        <w:pStyle w:val="BodyA"/>
        <w:ind w:firstLine="720"/>
        <w:rPr>
          <w:rFonts w:cs="Times New Roman"/>
          <w:b/>
          <w:bCs/>
          <w:sz w:val="22"/>
          <w:szCs w:val="22"/>
          <w:lang w:val="es-ES"/>
        </w:rPr>
      </w:pPr>
      <w:r w:rsidRPr="003C15F1">
        <w:rPr>
          <w:rFonts w:cs="Times New Roman"/>
          <w:b/>
          <w:bCs/>
          <w:sz w:val="22"/>
          <w:szCs w:val="22"/>
          <w:lang w:val="es-ES_tradnl"/>
        </w:rPr>
        <w:t>Empoderamiento económico de la</w:t>
      </w:r>
      <w:r w:rsidRPr="003C15F1">
        <w:rPr>
          <w:rFonts w:cs="Times New Roman"/>
          <w:b/>
          <w:bCs/>
          <w:sz w:val="22"/>
          <w:szCs w:val="22"/>
          <w:lang w:val="es-ES"/>
        </w:rPr>
        <w:t>s</w:t>
      </w:r>
      <w:r w:rsidRPr="003C15F1">
        <w:rPr>
          <w:rFonts w:cs="Times New Roman"/>
          <w:b/>
          <w:bCs/>
          <w:sz w:val="22"/>
          <w:szCs w:val="22"/>
          <w:lang w:val="es-ES_tradnl"/>
        </w:rPr>
        <w:t xml:space="preserve"> mujer</w:t>
      </w:r>
      <w:r w:rsidRPr="003C15F1">
        <w:rPr>
          <w:rFonts w:cs="Times New Roman"/>
          <w:b/>
          <w:bCs/>
          <w:sz w:val="22"/>
          <w:szCs w:val="22"/>
          <w:lang w:val="es-ES"/>
        </w:rPr>
        <w:t>es</w:t>
      </w:r>
    </w:p>
    <w:p w14:paraId="43DE0AAD" w14:textId="06BAC817" w:rsidR="008C61A6" w:rsidRPr="003C15F1" w:rsidRDefault="008C61A6" w:rsidP="00FF59F0">
      <w:pPr>
        <w:pStyle w:val="BodyA"/>
        <w:numPr>
          <w:ilvl w:val="0"/>
          <w:numId w:val="8"/>
        </w:numPr>
        <w:ind w:left="1440" w:hanging="720"/>
        <w:jc w:val="both"/>
        <w:rPr>
          <w:rFonts w:cs="Times New Roman"/>
          <w:sz w:val="22"/>
          <w:szCs w:val="22"/>
          <w:lang w:val="es-ES_tradnl"/>
        </w:rPr>
      </w:pPr>
      <w:r w:rsidRPr="003C15F1">
        <w:rPr>
          <w:rFonts w:cs="Times New Roman"/>
          <w:sz w:val="22"/>
          <w:szCs w:val="22"/>
          <w:lang w:val="es-ES_tradnl"/>
        </w:rPr>
        <w:t>Se l</w:t>
      </w:r>
      <w:r w:rsidRPr="003C15F1">
        <w:rPr>
          <w:rFonts w:cs="Times New Roman"/>
          <w:sz w:val="22"/>
          <w:szCs w:val="22"/>
          <w:lang w:val="it-IT"/>
        </w:rPr>
        <w:t>anz</w:t>
      </w:r>
      <w:proofErr w:type="spellStart"/>
      <w:r w:rsidRPr="003C15F1">
        <w:rPr>
          <w:rFonts w:cs="Times New Roman"/>
          <w:sz w:val="22"/>
          <w:szCs w:val="22"/>
          <w:lang w:val="es-ES_tradnl"/>
        </w:rPr>
        <w:t>ó</w:t>
      </w:r>
      <w:proofErr w:type="spellEnd"/>
      <w:r w:rsidRPr="003C15F1">
        <w:rPr>
          <w:rFonts w:cs="Times New Roman"/>
          <w:sz w:val="22"/>
          <w:szCs w:val="22"/>
          <w:lang w:val="es-ES_tradnl"/>
        </w:rPr>
        <w:t xml:space="preserve"> el proyecto </w:t>
      </w:r>
      <w:r w:rsidR="00424258" w:rsidRPr="003C15F1">
        <w:rPr>
          <w:rFonts w:cs="Times New Roman"/>
          <w:sz w:val="22"/>
          <w:szCs w:val="22"/>
          <w:rtl/>
          <w:lang w:val="ar-SA"/>
        </w:rPr>
        <w:t>"</w:t>
      </w:r>
      <w:r w:rsidRPr="003C15F1">
        <w:rPr>
          <w:rFonts w:cs="Times New Roman"/>
          <w:sz w:val="22"/>
          <w:szCs w:val="22"/>
          <w:lang w:val="es-ES_tradnl"/>
        </w:rPr>
        <w:t>Mujeres económicamente empoderadas para sociedades equitativas y resilientes”</w:t>
      </w:r>
      <w:r w:rsidRPr="003C15F1">
        <w:rPr>
          <w:rFonts w:cs="Times New Roman"/>
          <w:sz w:val="22"/>
          <w:szCs w:val="22"/>
          <w:lang w:val="it-IT"/>
        </w:rPr>
        <w:t>, co</w:t>
      </w:r>
      <w:r w:rsidRPr="003C15F1">
        <w:rPr>
          <w:rFonts w:cs="Times New Roman"/>
          <w:sz w:val="22"/>
          <w:szCs w:val="22"/>
          <w:lang w:val="es-ES_tradnl"/>
        </w:rPr>
        <w:t xml:space="preserve">n financiamiento de la Misión Permanente de los Estados Unidos ante la OEA, para mejorar la capacidad de las mujeres para funcionar de manera efectiva en la economía, construir medios de vida sostenibles y aumentar su participación en la </w:t>
      </w:r>
      <w:proofErr w:type="spellStart"/>
      <w:r w:rsidRPr="003C15F1">
        <w:rPr>
          <w:rFonts w:cs="Times New Roman"/>
          <w:sz w:val="22"/>
          <w:szCs w:val="22"/>
          <w:lang w:val="es-ES_tradnl"/>
        </w:rPr>
        <w:t>formulació</w:t>
      </w:r>
      <w:proofErr w:type="spellEnd"/>
      <w:r w:rsidRPr="003C15F1">
        <w:rPr>
          <w:rFonts w:cs="Times New Roman"/>
          <w:sz w:val="22"/>
          <w:szCs w:val="22"/>
          <w:lang w:val="nl-NL"/>
        </w:rPr>
        <w:t>n de pol</w:t>
      </w:r>
      <w:proofErr w:type="spellStart"/>
      <w:r w:rsidRPr="003C15F1">
        <w:rPr>
          <w:rFonts w:cs="Times New Roman"/>
          <w:sz w:val="22"/>
          <w:szCs w:val="22"/>
          <w:lang w:val="es-ES_tradnl"/>
        </w:rPr>
        <w:t>íticas</w:t>
      </w:r>
      <w:proofErr w:type="spellEnd"/>
      <w:r w:rsidRPr="003C15F1">
        <w:rPr>
          <w:rFonts w:cs="Times New Roman"/>
          <w:sz w:val="22"/>
          <w:szCs w:val="22"/>
          <w:lang w:val="es-ES_tradnl"/>
        </w:rPr>
        <w:t xml:space="preserve"> y el liderazgo dentro de sus sociedades.</w:t>
      </w:r>
    </w:p>
    <w:p w14:paraId="384C6611" w14:textId="77777777" w:rsidR="008C61A6" w:rsidRPr="003C15F1" w:rsidRDefault="008C61A6" w:rsidP="003C15F1">
      <w:pPr>
        <w:pStyle w:val="BodyA"/>
        <w:rPr>
          <w:rFonts w:cs="Times New Roman"/>
          <w:sz w:val="22"/>
          <w:szCs w:val="22"/>
          <w:lang w:val="es-ES_tradnl"/>
        </w:rPr>
      </w:pPr>
    </w:p>
    <w:p w14:paraId="65F45E22" w14:textId="77777777" w:rsidR="008C61A6" w:rsidRPr="003C15F1" w:rsidRDefault="008C61A6" w:rsidP="003C15F1">
      <w:pPr>
        <w:pStyle w:val="Body"/>
        <w:ind w:firstLine="720"/>
        <w:jc w:val="both"/>
        <w:rPr>
          <w:b/>
          <w:bCs/>
          <w:sz w:val="22"/>
          <w:szCs w:val="22"/>
          <w:lang w:val="es-ES"/>
        </w:rPr>
      </w:pPr>
      <w:r w:rsidRPr="003C15F1">
        <w:rPr>
          <w:b/>
          <w:bCs/>
          <w:sz w:val="22"/>
          <w:szCs w:val="22"/>
          <w:lang w:val="es-ES_tradnl"/>
        </w:rPr>
        <w:t>Programa de Centros de Desarrollo de Pequeñas Empresas del Caribe (SBDC)</w:t>
      </w:r>
    </w:p>
    <w:p w14:paraId="6ACC34E3" w14:textId="2F1394D5" w:rsidR="008C61A6" w:rsidRPr="003C15F1" w:rsidRDefault="008C61A6" w:rsidP="00FF59F0">
      <w:pPr>
        <w:pStyle w:val="ListParagraph"/>
        <w:numPr>
          <w:ilvl w:val="0"/>
          <w:numId w:val="8"/>
        </w:numPr>
        <w:pBdr>
          <w:top w:val="nil"/>
          <w:left w:val="nil"/>
          <w:bottom w:val="nil"/>
          <w:right w:val="nil"/>
          <w:between w:val="nil"/>
          <w:bar w:val="nil"/>
        </w:pBdr>
        <w:ind w:left="1440" w:hanging="720"/>
        <w:jc w:val="both"/>
        <w:rPr>
          <w:sz w:val="22"/>
          <w:szCs w:val="22"/>
          <w:lang w:val="es-ES_tradnl"/>
        </w:rPr>
      </w:pPr>
      <w:r w:rsidRPr="003C15F1">
        <w:rPr>
          <w:sz w:val="22"/>
          <w:szCs w:val="22"/>
          <w:lang w:val="es-ES_tradnl"/>
        </w:rPr>
        <w:t xml:space="preserve">En asociación con la organización sin fines de lucro Ten </w:t>
      </w:r>
      <w:proofErr w:type="spellStart"/>
      <w:r w:rsidRPr="003C15F1">
        <w:rPr>
          <w:sz w:val="22"/>
          <w:szCs w:val="22"/>
          <w:lang w:val="es-ES_tradnl"/>
        </w:rPr>
        <w:t>Habitat</w:t>
      </w:r>
      <w:proofErr w:type="spellEnd"/>
      <w:r w:rsidRPr="003C15F1">
        <w:rPr>
          <w:sz w:val="22"/>
          <w:szCs w:val="22"/>
          <w:lang w:val="es-ES_tradnl"/>
        </w:rPr>
        <w:t xml:space="preserve">, se organizó una serie de programas de aceleración en línea con duración de 14 días, como una respuesta directa a las consecuencias que experimentan los propietarios de pequeñas empresas afectados por la pandemia de COVID-19 para brindar apoyo intensivo a las MIPYMES </w:t>
      </w:r>
      <w:r w:rsidRPr="003C15F1">
        <w:rPr>
          <w:sz w:val="22"/>
          <w:szCs w:val="22"/>
          <w:lang w:val="es-ES_tradnl"/>
        </w:rPr>
        <w:lastRenderedPageBreak/>
        <w:t xml:space="preserve">a través de varios enfoques de entrenamiento y </w:t>
      </w:r>
      <w:proofErr w:type="spellStart"/>
      <w:r w:rsidRPr="003C15F1">
        <w:rPr>
          <w:sz w:val="22"/>
          <w:szCs w:val="22"/>
          <w:lang w:val="es-ES_tradnl"/>
        </w:rPr>
        <w:t>mentorias</w:t>
      </w:r>
      <w:proofErr w:type="spellEnd"/>
      <w:r w:rsidRPr="003C15F1">
        <w:rPr>
          <w:sz w:val="22"/>
          <w:szCs w:val="22"/>
          <w:lang w:val="es-ES_tradnl"/>
        </w:rPr>
        <w:t>. Las aceleradoras estaban dirigidas principalmente a empresas del sector turístico, creativo y agroindustrial o de procesamiento de productos agrícolas, dado el enorme impacto que la pandemia ha provocado en estos sectores en la región del Caribe. Un total de 90 MIPYMES participaron y completaron con éxito los tres entrenamientos intensivos de los aceleradores. Más de la mitad de los 55 participantes representaban empresas propiedad de mujeres.</w:t>
      </w:r>
    </w:p>
    <w:p w14:paraId="1D416FF8" w14:textId="77777777" w:rsidR="006A4EAB" w:rsidRPr="003C15F1" w:rsidRDefault="006A4EAB" w:rsidP="003C15F1">
      <w:pPr>
        <w:pBdr>
          <w:top w:val="nil"/>
          <w:left w:val="nil"/>
          <w:bottom w:val="nil"/>
          <w:right w:val="nil"/>
          <w:between w:val="nil"/>
          <w:bar w:val="nil"/>
        </w:pBdr>
        <w:jc w:val="both"/>
        <w:rPr>
          <w:sz w:val="22"/>
          <w:szCs w:val="22"/>
          <w:lang w:val="es-ES_tradnl"/>
        </w:rPr>
      </w:pPr>
    </w:p>
    <w:p w14:paraId="3715CFF1" w14:textId="39F4F1D4" w:rsidR="008C61A6" w:rsidRDefault="008C61A6" w:rsidP="00FF59F0">
      <w:pPr>
        <w:pStyle w:val="ListParagraph"/>
        <w:numPr>
          <w:ilvl w:val="0"/>
          <w:numId w:val="8"/>
        </w:numPr>
        <w:pBdr>
          <w:top w:val="nil"/>
          <w:left w:val="nil"/>
          <w:bottom w:val="nil"/>
          <w:right w:val="nil"/>
          <w:between w:val="nil"/>
          <w:bar w:val="nil"/>
        </w:pBdr>
        <w:ind w:left="1440" w:hanging="720"/>
        <w:jc w:val="both"/>
        <w:rPr>
          <w:sz w:val="22"/>
          <w:szCs w:val="22"/>
          <w:lang w:val="es-ES_tradnl"/>
        </w:rPr>
      </w:pPr>
      <w:r w:rsidRPr="003C15F1">
        <w:rPr>
          <w:sz w:val="22"/>
          <w:szCs w:val="22"/>
          <w:lang w:val="es-ES_tradnl"/>
        </w:rPr>
        <w:t>Se ofreció, junto con la Universidad de Texas en San Antonio (UTSA), un programa de capacitación en línea diseñado para ayudar a 103 directores y asesores existentes de los SBDC del Caribe a guiar a sus clientes a través del proceso de supervivencia y recuperación en respuesta a la pandemia de COVID-19. La serie de capacitación incluyó sesiones de talleres en línea de 2 horas que buscaban abordar las siguientes áreas temáticas:</w:t>
      </w:r>
    </w:p>
    <w:p w14:paraId="3D82FFD9" w14:textId="77777777" w:rsidR="006420D2" w:rsidRPr="006420D2" w:rsidRDefault="006420D2" w:rsidP="006420D2">
      <w:pPr>
        <w:pStyle w:val="ListParagraph"/>
        <w:rPr>
          <w:sz w:val="22"/>
          <w:szCs w:val="22"/>
          <w:lang w:val="es-ES_tradnl"/>
        </w:rPr>
      </w:pPr>
    </w:p>
    <w:p w14:paraId="0AA1DA17" w14:textId="556E47AA" w:rsidR="008C61A6" w:rsidRPr="003C15F1" w:rsidRDefault="008C61A6" w:rsidP="00FF59F0">
      <w:pPr>
        <w:pStyle w:val="ListParagraph"/>
        <w:numPr>
          <w:ilvl w:val="1"/>
          <w:numId w:val="28"/>
        </w:numPr>
        <w:pBdr>
          <w:top w:val="nil"/>
          <w:left w:val="nil"/>
          <w:bottom w:val="nil"/>
          <w:right w:val="nil"/>
          <w:between w:val="nil"/>
          <w:bar w:val="nil"/>
        </w:pBdr>
        <w:ind w:left="1440" w:hanging="360"/>
        <w:jc w:val="both"/>
        <w:rPr>
          <w:sz w:val="22"/>
          <w:szCs w:val="22"/>
          <w:lang w:val="es-ES_tradnl"/>
        </w:rPr>
      </w:pPr>
      <w:r w:rsidRPr="003C15F1">
        <w:rPr>
          <w:sz w:val="22"/>
          <w:szCs w:val="22"/>
          <w:lang w:val="es-ES_tradnl"/>
        </w:rPr>
        <w:t>Adaptación de los procesos internos del SBDC (2 sesiones);</w:t>
      </w:r>
    </w:p>
    <w:p w14:paraId="7E3865EA" w14:textId="02C02E43" w:rsidR="008C61A6" w:rsidRPr="003C15F1" w:rsidRDefault="008C61A6" w:rsidP="00FF59F0">
      <w:pPr>
        <w:pStyle w:val="ListParagraph"/>
        <w:numPr>
          <w:ilvl w:val="1"/>
          <w:numId w:val="28"/>
        </w:numPr>
        <w:pBdr>
          <w:top w:val="nil"/>
          <w:left w:val="nil"/>
          <w:bottom w:val="nil"/>
          <w:right w:val="nil"/>
          <w:between w:val="nil"/>
          <w:bar w:val="nil"/>
        </w:pBdr>
        <w:ind w:left="1440" w:hanging="360"/>
        <w:jc w:val="both"/>
        <w:rPr>
          <w:sz w:val="22"/>
          <w:szCs w:val="22"/>
          <w:lang w:val="es-ES_tradnl"/>
        </w:rPr>
      </w:pPr>
      <w:r w:rsidRPr="003C15F1">
        <w:rPr>
          <w:sz w:val="22"/>
          <w:szCs w:val="22"/>
          <w:lang w:val="es-ES_tradnl"/>
        </w:rPr>
        <w:t xml:space="preserve">Mejores prácticas de servicio al cliente para clientes de </w:t>
      </w:r>
      <w:proofErr w:type="spellStart"/>
      <w:r w:rsidRPr="003C15F1">
        <w:rPr>
          <w:i/>
          <w:iCs/>
          <w:sz w:val="22"/>
          <w:szCs w:val="22"/>
          <w:lang w:val="es-ES_tradnl"/>
        </w:rPr>
        <w:t>start</w:t>
      </w:r>
      <w:proofErr w:type="spellEnd"/>
      <w:r w:rsidRPr="003C15F1">
        <w:rPr>
          <w:i/>
          <w:iCs/>
          <w:sz w:val="22"/>
          <w:szCs w:val="22"/>
          <w:lang w:val="es-ES_tradnl"/>
        </w:rPr>
        <w:t>-ups</w:t>
      </w:r>
      <w:r w:rsidRPr="003C15F1">
        <w:rPr>
          <w:sz w:val="22"/>
          <w:szCs w:val="22"/>
          <w:lang w:val="es-ES_tradnl"/>
        </w:rPr>
        <w:t>;</w:t>
      </w:r>
    </w:p>
    <w:p w14:paraId="54AABFBD" w14:textId="21BB6A3A" w:rsidR="008C61A6" w:rsidRPr="003C15F1" w:rsidRDefault="008C61A6" w:rsidP="00FF59F0">
      <w:pPr>
        <w:pStyle w:val="ListParagraph"/>
        <w:numPr>
          <w:ilvl w:val="1"/>
          <w:numId w:val="28"/>
        </w:numPr>
        <w:pBdr>
          <w:top w:val="nil"/>
          <w:left w:val="nil"/>
          <w:bottom w:val="nil"/>
          <w:right w:val="nil"/>
          <w:between w:val="nil"/>
          <w:bar w:val="nil"/>
        </w:pBdr>
        <w:ind w:left="1440" w:hanging="360"/>
        <w:jc w:val="both"/>
        <w:rPr>
          <w:sz w:val="22"/>
          <w:szCs w:val="22"/>
          <w:lang w:val="es-ES_tradnl"/>
        </w:rPr>
      </w:pPr>
      <w:r w:rsidRPr="003C15F1">
        <w:rPr>
          <w:sz w:val="22"/>
          <w:szCs w:val="22"/>
          <w:lang w:val="es-ES_tradnl"/>
        </w:rPr>
        <w:t>Prestación de servicios de alto valor para clientes comerciales establecidos;</w:t>
      </w:r>
    </w:p>
    <w:p w14:paraId="358A87B5" w14:textId="72BC6572" w:rsidR="008C61A6" w:rsidRPr="003C15F1" w:rsidRDefault="008C61A6" w:rsidP="00FF59F0">
      <w:pPr>
        <w:pStyle w:val="ListParagraph"/>
        <w:numPr>
          <w:ilvl w:val="1"/>
          <w:numId w:val="28"/>
        </w:numPr>
        <w:pBdr>
          <w:top w:val="nil"/>
          <w:left w:val="nil"/>
          <w:bottom w:val="nil"/>
          <w:right w:val="nil"/>
          <w:between w:val="nil"/>
          <w:bar w:val="nil"/>
        </w:pBdr>
        <w:ind w:left="1440" w:hanging="360"/>
        <w:jc w:val="both"/>
        <w:rPr>
          <w:sz w:val="22"/>
          <w:szCs w:val="22"/>
          <w:lang w:val="es-ES_tradnl"/>
        </w:rPr>
      </w:pPr>
      <w:r w:rsidRPr="003C15F1">
        <w:rPr>
          <w:sz w:val="22"/>
          <w:szCs w:val="22"/>
          <w:lang w:val="es-ES_tradnl"/>
        </w:rPr>
        <w:t>Gestión de las relaciones con las partes interesadas;</w:t>
      </w:r>
    </w:p>
    <w:p w14:paraId="1E8500A0" w14:textId="362E4A48" w:rsidR="008C61A6" w:rsidRPr="003C15F1" w:rsidRDefault="008C61A6" w:rsidP="00FF59F0">
      <w:pPr>
        <w:pStyle w:val="ListParagraph"/>
        <w:numPr>
          <w:ilvl w:val="1"/>
          <w:numId w:val="28"/>
        </w:numPr>
        <w:pBdr>
          <w:top w:val="nil"/>
          <w:left w:val="nil"/>
          <w:bottom w:val="nil"/>
          <w:right w:val="nil"/>
          <w:between w:val="nil"/>
          <w:bar w:val="nil"/>
        </w:pBdr>
        <w:ind w:left="1440" w:hanging="360"/>
        <w:jc w:val="both"/>
        <w:rPr>
          <w:sz w:val="22"/>
          <w:szCs w:val="22"/>
          <w:lang w:val="es-ES_tradnl"/>
        </w:rPr>
      </w:pPr>
      <w:r w:rsidRPr="003C15F1">
        <w:rPr>
          <w:sz w:val="22"/>
          <w:szCs w:val="22"/>
          <w:lang w:val="es-ES_tradnl"/>
        </w:rPr>
        <w:t>Gestión de recursos humanos SBDC.</w:t>
      </w:r>
    </w:p>
    <w:p w14:paraId="6F75B3BE" w14:textId="408CC08C" w:rsidR="008C61A6" w:rsidRPr="003C15F1" w:rsidRDefault="008C61A6" w:rsidP="003C15F1">
      <w:pPr>
        <w:pStyle w:val="Body"/>
        <w:jc w:val="both"/>
        <w:rPr>
          <w:sz w:val="22"/>
          <w:szCs w:val="22"/>
          <w:lang w:val="es-ES"/>
        </w:rPr>
      </w:pPr>
    </w:p>
    <w:p w14:paraId="117D7404" w14:textId="3BFC9AE0" w:rsidR="008C61A6" w:rsidRPr="003C15F1" w:rsidRDefault="008C61A6" w:rsidP="00FF59F0">
      <w:pPr>
        <w:pStyle w:val="ListParagraph"/>
        <w:numPr>
          <w:ilvl w:val="0"/>
          <w:numId w:val="10"/>
        </w:numPr>
        <w:pBdr>
          <w:top w:val="nil"/>
          <w:left w:val="nil"/>
          <w:bottom w:val="nil"/>
          <w:right w:val="nil"/>
          <w:between w:val="nil"/>
          <w:bar w:val="nil"/>
        </w:pBdr>
        <w:tabs>
          <w:tab w:val="left" w:pos="720"/>
        </w:tabs>
        <w:ind w:left="1440" w:hanging="810"/>
        <w:jc w:val="both"/>
        <w:rPr>
          <w:sz w:val="22"/>
          <w:szCs w:val="22"/>
          <w:lang w:val="es-ES_tradnl"/>
        </w:rPr>
      </w:pPr>
      <w:r w:rsidRPr="003C15F1">
        <w:rPr>
          <w:sz w:val="22"/>
          <w:szCs w:val="22"/>
          <w:lang w:val="es-ES_tradnl"/>
        </w:rPr>
        <w:t>Impacto económico: se iniciaron 1223 nuevos negocios; 1061 puestos de trabajo creados y 11,996 puestos de trabajo apoyados a través de intervenciones de los SBDC; $ 55,947,708.59 en ingresos por ventas y $ 5,364,041.91 en ganancias generadas; 12 expansiones comerciales; y $ 1,068,956.83 en aportes de capital apalancados a través de préstamos y capital en seis estados miembros del Caribe.</w:t>
      </w:r>
    </w:p>
    <w:p w14:paraId="6E7207BA" w14:textId="77777777" w:rsidR="006A4EAB" w:rsidRPr="006420D2" w:rsidRDefault="006A4EAB" w:rsidP="006420D2">
      <w:pPr>
        <w:pBdr>
          <w:top w:val="nil"/>
          <w:left w:val="nil"/>
          <w:bottom w:val="nil"/>
          <w:right w:val="nil"/>
          <w:between w:val="nil"/>
          <w:bar w:val="nil"/>
        </w:pBdr>
        <w:tabs>
          <w:tab w:val="left" w:pos="720"/>
        </w:tabs>
        <w:ind w:left="630"/>
        <w:jc w:val="both"/>
        <w:rPr>
          <w:sz w:val="22"/>
          <w:szCs w:val="22"/>
          <w:lang w:val="es-ES_tradnl"/>
        </w:rPr>
      </w:pPr>
    </w:p>
    <w:p w14:paraId="14D877D3" w14:textId="7695DDFC" w:rsidR="008C61A6" w:rsidRPr="003C15F1" w:rsidRDefault="008C61A6" w:rsidP="00FF59F0">
      <w:pPr>
        <w:pStyle w:val="ListParagraph"/>
        <w:numPr>
          <w:ilvl w:val="0"/>
          <w:numId w:val="10"/>
        </w:numPr>
        <w:pBdr>
          <w:top w:val="nil"/>
          <w:left w:val="nil"/>
          <w:bottom w:val="nil"/>
          <w:right w:val="nil"/>
          <w:between w:val="nil"/>
          <w:bar w:val="nil"/>
        </w:pBdr>
        <w:tabs>
          <w:tab w:val="left" w:pos="720"/>
        </w:tabs>
        <w:ind w:left="1440" w:hanging="720"/>
        <w:jc w:val="both"/>
        <w:rPr>
          <w:sz w:val="22"/>
          <w:szCs w:val="22"/>
          <w:lang w:val="es-ES_tradnl"/>
        </w:rPr>
      </w:pPr>
      <w:r w:rsidRPr="003C15F1">
        <w:rPr>
          <w:sz w:val="22"/>
          <w:szCs w:val="22"/>
          <w:lang w:val="es-ES_tradnl"/>
        </w:rPr>
        <w:t>Se realizaron consultas en el contexto de la Fase IV del programa SBDC con las Misiones Permanentes e instituciones asociadas clave que serían fundamentales en la coordinación y ejecución del programa en los nuevos países beneficiarios Brasil, Ecuador y Uruguay.</w:t>
      </w:r>
    </w:p>
    <w:p w14:paraId="4F79A03C" w14:textId="77777777" w:rsidR="008C61A6" w:rsidRPr="003C15F1" w:rsidRDefault="008C61A6" w:rsidP="003C15F1">
      <w:pPr>
        <w:pStyle w:val="BodyA"/>
        <w:jc w:val="both"/>
        <w:rPr>
          <w:rFonts w:cs="Times New Roman"/>
          <w:sz w:val="22"/>
          <w:szCs w:val="22"/>
          <w:lang w:val="es-ES_tradnl"/>
        </w:rPr>
      </w:pPr>
    </w:p>
    <w:p w14:paraId="423832E7" w14:textId="77777777" w:rsidR="008C61A6" w:rsidRPr="003C15F1" w:rsidRDefault="008C61A6" w:rsidP="003C15F1">
      <w:pPr>
        <w:pStyle w:val="BodyA"/>
        <w:ind w:firstLine="720"/>
        <w:jc w:val="both"/>
        <w:rPr>
          <w:rFonts w:cs="Times New Roman"/>
          <w:b/>
          <w:bCs/>
          <w:sz w:val="22"/>
          <w:szCs w:val="22"/>
          <w:lang w:val="es-ES_tradnl"/>
        </w:rPr>
      </w:pPr>
      <w:r w:rsidRPr="003C15F1">
        <w:rPr>
          <w:rFonts w:cs="Times New Roman"/>
          <w:b/>
          <w:bCs/>
          <w:sz w:val="22"/>
          <w:szCs w:val="22"/>
          <w:lang w:val="es-ES_tradnl"/>
        </w:rPr>
        <w:t>Sistema de Información de Comercio Exterior de la OEA (SICE)</w:t>
      </w:r>
    </w:p>
    <w:p w14:paraId="0105A8F4" w14:textId="0F44D405" w:rsidR="008C61A6" w:rsidRPr="003C15F1" w:rsidRDefault="008C61A6" w:rsidP="00FF59F0">
      <w:pPr>
        <w:pStyle w:val="BodyA"/>
        <w:numPr>
          <w:ilvl w:val="0"/>
          <w:numId w:val="12"/>
        </w:numPr>
        <w:ind w:left="1440" w:hanging="720"/>
        <w:jc w:val="both"/>
        <w:rPr>
          <w:rFonts w:cs="Times New Roman"/>
          <w:sz w:val="22"/>
          <w:szCs w:val="22"/>
          <w:lang w:val="es-ES_tradnl"/>
        </w:rPr>
      </w:pPr>
      <w:r w:rsidRPr="003C15F1">
        <w:rPr>
          <w:rFonts w:cs="Times New Roman"/>
          <w:sz w:val="22"/>
          <w:szCs w:val="22"/>
          <w:lang w:val="es-ES_tradnl"/>
        </w:rPr>
        <w:t xml:space="preserve">Se actualizó el Centro de intercambio de información en línea para las </w:t>
      </w:r>
      <w:proofErr w:type="spellStart"/>
      <w:r w:rsidRPr="003C15F1">
        <w:rPr>
          <w:rFonts w:cs="Times New Roman"/>
          <w:sz w:val="22"/>
          <w:szCs w:val="22"/>
          <w:lang w:val="es-ES_tradnl"/>
        </w:rPr>
        <w:t>MIPYMEs</w:t>
      </w:r>
      <w:proofErr w:type="spellEnd"/>
      <w:r w:rsidRPr="003C15F1">
        <w:rPr>
          <w:rFonts w:cs="Times New Roman"/>
          <w:sz w:val="22"/>
          <w:szCs w:val="22"/>
          <w:lang w:val="es-ES_tradnl"/>
        </w:rPr>
        <w:t xml:space="preserve"> y se publicaron 11 ediciones especiales del Boletín MIPYME de la OEA para mejorar el intercambio de buenas prácticas, iniciativas de cooperación horizontal, políticas, programas y proyectos que apoyan al sector de las </w:t>
      </w:r>
      <w:proofErr w:type="spellStart"/>
      <w:r w:rsidRPr="003C15F1">
        <w:rPr>
          <w:rFonts w:cs="Times New Roman"/>
          <w:sz w:val="22"/>
          <w:szCs w:val="22"/>
          <w:lang w:val="es-ES_tradnl"/>
        </w:rPr>
        <w:t>MIPYMEs</w:t>
      </w:r>
      <w:proofErr w:type="spellEnd"/>
      <w:r w:rsidRPr="003C15F1">
        <w:rPr>
          <w:rFonts w:cs="Times New Roman"/>
          <w:sz w:val="22"/>
          <w:szCs w:val="22"/>
          <w:lang w:val="es-ES_tradnl"/>
        </w:rPr>
        <w:t xml:space="preserve"> en los Estados miembros de la OEA.</w:t>
      </w:r>
    </w:p>
    <w:p w14:paraId="5E867A36" w14:textId="77777777" w:rsidR="006A4EAB" w:rsidRPr="003C15F1" w:rsidRDefault="006A4EAB" w:rsidP="003C15F1">
      <w:pPr>
        <w:pStyle w:val="BodyA"/>
        <w:jc w:val="both"/>
        <w:rPr>
          <w:rFonts w:cs="Times New Roman"/>
          <w:sz w:val="22"/>
          <w:szCs w:val="22"/>
          <w:lang w:val="es-ES_tradnl"/>
        </w:rPr>
      </w:pPr>
    </w:p>
    <w:p w14:paraId="512F54BB" w14:textId="77777777" w:rsidR="008C61A6" w:rsidRPr="003C15F1" w:rsidRDefault="008C61A6" w:rsidP="00FF59F0">
      <w:pPr>
        <w:pStyle w:val="BodyA"/>
        <w:numPr>
          <w:ilvl w:val="0"/>
          <w:numId w:val="12"/>
        </w:numPr>
        <w:ind w:left="1440" w:hanging="720"/>
        <w:jc w:val="both"/>
        <w:rPr>
          <w:rFonts w:cs="Times New Roman"/>
          <w:sz w:val="22"/>
          <w:szCs w:val="22"/>
          <w:lang w:val="es-ES_tradnl"/>
        </w:rPr>
      </w:pPr>
      <w:r w:rsidRPr="003C15F1">
        <w:rPr>
          <w:rFonts w:cs="Times New Roman"/>
          <w:sz w:val="22"/>
          <w:szCs w:val="22"/>
          <w:lang w:val="es-ES_tradnl"/>
        </w:rPr>
        <w:t>Portal de política comercial en línea (SICE) mejorado: más de 37.000 documentos oficiales y 37 millones de visitas.</w:t>
      </w:r>
    </w:p>
    <w:p w14:paraId="1FD27DB4" w14:textId="5E561AE5" w:rsidR="006420D2" w:rsidRDefault="006420D2" w:rsidP="003C15F1">
      <w:pPr>
        <w:pStyle w:val="BodyA"/>
        <w:jc w:val="both"/>
        <w:rPr>
          <w:rFonts w:cs="Times New Roman"/>
          <w:sz w:val="22"/>
          <w:szCs w:val="22"/>
          <w:lang w:val="es-ES_tradnl"/>
        </w:rPr>
      </w:pPr>
      <w:r>
        <w:rPr>
          <w:rFonts w:cs="Times New Roman"/>
          <w:sz w:val="22"/>
          <w:szCs w:val="22"/>
          <w:lang w:val="es-ES_tradnl"/>
        </w:rPr>
        <w:br w:type="page"/>
      </w:r>
    </w:p>
    <w:p w14:paraId="692D1351" w14:textId="2E99EB57" w:rsidR="008C61A6" w:rsidRPr="003C15F1" w:rsidRDefault="008C61A6" w:rsidP="003C15F1">
      <w:pPr>
        <w:pStyle w:val="Body"/>
        <w:jc w:val="both"/>
        <w:rPr>
          <w:b/>
          <w:bCs/>
          <w:sz w:val="22"/>
          <w:szCs w:val="22"/>
          <w:lang w:val="es-ES"/>
        </w:rPr>
      </w:pPr>
      <w:r w:rsidRPr="003C15F1">
        <w:rPr>
          <w:b/>
          <w:bCs/>
          <w:sz w:val="22"/>
          <w:szCs w:val="22"/>
          <w:lang w:val="es-ES_tradnl"/>
        </w:rPr>
        <w:lastRenderedPageBreak/>
        <w:t>OBJETIVO 1.2</w:t>
      </w:r>
      <w:r w:rsidR="006A4EAB" w:rsidRPr="003C15F1">
        <w:rPr>
          <w:b/>
          <w:bCs/>
          <w:sz w:val="22"/>
          <w:szCs w:val="22"/>
          <w:lang w:val="es-ES_tradnl"/>
        </w:rPr>
        <w:t xml:space="preserve">:  </w:t>
      </w:r>
      <w:r w:rsidRPr="003C15F1">
        <w:rPr>
          <w:b/>
          <w:bCs/>
          <w:sz w:val="22"/>
          <w:szCs w:val="22"/>
          <w:lang w:val="es-ES_tradnl"/>
        </w:rPr>
        <w:t xml:space="preserve">Incrementar la cooperación regional, el intercambio de conocimientos, la transferencia de tecnología en términos y condiciones mutuamente acordados y la colaboración intersectorial en y entre los Estados Miembros en materia de competitividad, productividad e innovación </w:t>
      </w:r>
    </w:p>
    <w:p w14:paraId="5D894A4F" w14:textId="77777777" w:rsidR="00456C6E" w:rsidRPr="003C15F1" w:rsidRDefault="00456C6E" w:rsidP="003C15F1">
      <w:pPr>
        <w:pStyle w:val="Body"/>
        <w:jc w:val="both"/>
        <w:rPr>
          <w:b/>
          <w:bCs/>
          <w:sz w:val="22"/>
          <w:szCs w:val="22"/>
          <w:lang w:val="es-ES_tradnl"/>
        </w:rPr>
      </w:pPr>
    </w:p>
    <w:p w14:paraId="34A78DE6" w14:textId="18B11BEE" w:rsidR="008C61A6" w:rsidRPr="003C15F1" w:rsidRDefault="008C61A6" w:rsidP="003C15F1">
      <w:pPr>
        <w:pStyle w:val="Body"/>
        <w:ind w:left="720"/>
        <w:jc w:val="both"/>
        <w:rPr>
          <w:b/>
          <w:bCs/>
          <w:sz w:val="22"/>
          <w:szCs w:val="22"/>
          <w:lang w:val="es-ES"/>
        </w:rPr>
      </w:pPr>
      <w:r w:rsidRPr="003C15F1">
        <w:rPr>
          <w:b/>
          <w:bCs/>
          <w:sz w:val="22"/>
          <w:szCs w:val="22"/>
          <w:lang w:val="es-ES_tradnl"/>
        </w:rPr>
        <w:t>Foro de Competitividad de las Américas (FCA) y Red Interamericana de Competitividad (RIAC)</w:t>
      </w:r>
    </w:p>
    <w:p w14:paraId="1AFB720C" w14:textId="49398E12" w:rsidR="008C61A6" w:rsidRPr="003C15F1" w:rsidRDefault="008C61A6" w:rsidP="00FF59F0">
      <w:pPr>
        <w:pStyle w:val="ListParagraph"/>
        <w:numPr>
          <w:ilvl w:val="0"/>
          <w:numId w:val="14"/>
        </w:numPr>
        <w:pBdr>
          <w:top w:val="nil"/>
          <w:left w:val="nil"/>
          <w:bottom w:val="nil"/>
          <w:right w:val="nil"/>
          <w:between w:val="nil"/>
          <w:bar w:val="nil"/>
        </w:pBdr>
        <w:ind w:left="1440" w:hanging="720"/>
        <w:jc w:val="both"/>
        <w:rPr>
          <w:sz w:val="22"/>
          <w:szCs w:val="22"/>
          <w:lang w:val="es-ES_tradnl"/>
        </w:rPr>
      </w:pPr>
      <w:r w:rsidRPr="003C15F1">
        <w:rPr>
          <w:sz w:val="22"/>
          <w:szCs w:val="22"/>
          <w:lang w:val="es-ES_tradnl"/>
        </w:rPr>
        <w:t xml:space="preserve">El XI Foro de Competitividad de las Américas (FCA) y la Reunión de </w:t>
      </w:r>
      <w:proofErr w:type="gramStart"/>
      <w:r w:rsidRPr="003C15F1">
        <w:rPr>
          <w:sz w:val="22"/>
          <w:szCs w:val="22"/>
          <w:lang w:val="es-ES_tradnl"/>
        </w:rPr>
        <w:t>Ministros</w:t>
      </w:r>
      <w:proofErr w:type="gramEnd"/>
      <w:r w:rsidRPr="003C15F1">
        <w:rPr>
          <w:sz w:val="22"/>
          <w:szCs w:val="22"/>
          <w:lang w:val="es-ES_tradnl"/>
        </w:rPr>
        <w:t xml:space="preserve"> y Altas Autoridades de Competitividad celebrados virtualmente los días 25 y 26 de febrero de 2021, se enfocaron en las prioridades para una recuperación post-COVID. El FCA convocó a 600 participantes, incluyendo </w:t>
      </w:r>
      <w:r w:rsidR="00AF4B80" w:rsidRPr="003C15F1">
        <w:rPr>
          <w:sz w:val="22"/>
          <w:szCs w:val="22"/>
          <w:lang w:val="es-ES_tradnl"/>
        </w:rPr>
        <w:t>ministros</w:t>
      </w:r>
      <w:r w:rsidRPr="003C15F1">
        <w:rPr>
          <w:sz w:val="22"/>
          <w:szCs w:val="22"/>
          <w:lang w:val="es-ES_tradnl"/>
        </w:rPr>
        <w:t xml:space="preserve"> y </w:t>
      </w:r>
      <w:r w:rsidR="00AF4B80" w:rsidRPr="003C15F1">
        <w:rPr>
          <w:sz w:val="22"/>
          <w:szCs w:val="22"/>
          <w:lang w:val="es-ES_tradnl"/>
        </w:rPr>
        <w:t>a</w:t>
      </w:r>
      <w:r w:rsidRPr="003C15F1">
        <w:rPr>
          <w:sz w:val="22"/>
          <w:szCs w:val="22"/>
          <w:lang w:val="es-ES_tradnl"/>
        </w:rPr>
        <w:t xml:space="preserve">ltas </w:t>
      </w:r>
      <w:r w:rsidR="00AF4B80" w:rsidRPr="003C15F1">
        <w:rPr>
          <w:sz w:val="22"/>
          <w:szCs w:val="22"/>
          <w:lang w:val="es-ES_tradnl"/>
        </w:rPr>
        <w:t>a</w:t>
      </w:r>
      <w:r w:rsidRPr="003C15F1">
        <w:rPr>
          <w:sz w:val="22"/>
          <w:szCs w:val="22"/>
          <w:lang w:val="es-ES_tradnl"/>
        </w:rPr>
        <w:t xml:space="preserve">utoridades de 32 Estados Miembros de la OEA, </w:t>
      </w:r>
      <w:r w:rsidR="00AF4B80" w:rsidRPr="003C15F1">
        <w:rPr>
          <w:sz w:val="22"/>
          <w:szCs w:val="22"/>
          <w:lang w:val="es-ES_tradnl"/>
        </w:rPr>
        <w:t>e</w:t>
      </w:r>
      <w:r w:rsidRPr="003C15F1">
        <w:rPr>
          <w:sz w:val="22"/>
          <w:szCs w:val="22"/>
          <w:lang w:val="es-ES_tradnl"/>
        </w:rPr>
        <w:t xml:space="preserve">jecutivos </w:t>
      </w:r>
      <w:r w:rsidR="00AF4B80" w:rsidRPr="003C15F1">
        <w:rPr>
          <w:sz w:val="22"/>
          <w:szCs w:val="22"/>
          <w:lang w:val="es-ES_tradnl"/>
        </w:rPr>
        <w:t>s</w:t>
      </w:r>
      <w:r w:rsidRPr="003C15F1">
        <w:rPr>
          <w:sz w:val="22"/>
          <w:szCs w:val="22"/>
          <w:lang w:val="es-ES_tradnl"/>
        </w:rPr>
        <w:t xml:space="preserve">enior del </w:t>
      </w:r>
      <w:r w:rsidR="00AF4B80" w:rsidRPr="003C15F1">
        <w:rPr>
          <w:sz w:val="22"/>
          <w:szCs w:val="22"/>
          <w:lang w:val="es-ES_tradnl"/>
        </w:rPr>
        <w:t>s</w:t>
      </w:r>
      <w:r w:rsidRPr="003C15F1">
        <w:rPr>
          <w:sz w:val="22"/>
          <w:szCs w:val="22"/>
          <w:lang w:val="es-ES_tradnl"/>
        </w:rPr>
        <w:t xml:space="preserve">ector </w:t>
      </w:r>
      <w:r w:rsidR="00AF4B80" w:rsidRPr="003C15F1">
        <w:rPr>
          <w:sz w:val="22"/>
          <w:szCs w:val="22"/>
          <w:lang w:val="es-ES_tradnl"/>
        </w:rPr>
        <w:t>p</w:t>
      </w:r>
      <w:r w:rsidRPr="003C15F1">
        <w:rPr>
          <w:sz w:val="22"/>
          <w:szCs w:val="22"/>
          <w:lang w:val="es-ES_tradnl"/>
        </w:rPr>
        <w:t xml:space="preserve">rivado y expertos regionales de los sectores público, privado y académico. Los Estados Miembros compartieron 15 buenas prácticas e identificaron prioridades para la recuperación post-COVID en las Américas para reducir la vulnerabilidad y construir resiliencia a corto y largo plazo, con acciones en torno a la: i) transformación digital y competitividad de las </w:t>
      </w:r>
      <w:proofErr w:type="spellStart"/>
      <w:r w:rsidRPr="003C15F1">
        <w:rPr>
          <w:sz w:val="22"/>
          <w:szCs w:val="22"/>
          <w:lang w:val="es-ES_tradnl"/>
        </w:rPr>
        <w:t>MIPYMEs</w:t>
      </w:r>
      <w:proofErr w:type="spellEnd"/>
      <w:r w:rsidRPr="003C15F1">
        <w:rPr>
          <w:sz w:val="22"/>
          <w:szCs w:val="22"/>
          <w:lang w:val="es-ES_tradnl"/>
        </w:rPr>
        <w:t xml:space="preserve"> y ciudadanía, </w:t>
      </w:r>
      <w:proofErr w:type="spellStart"/>
      <w:r w:rsidRPr="003C15F1">
        <w:rPr>
          <w:sz w:val="22"/>
          <w:szCs w:val="22"/>
          <w:lang w:val="es-ES_tradnl"/>
        </w:rPr>
        <w:t>ii</w:t>
      </w:r>
      <w:proofErr w:type="spellEnd"/>
      <w:r w:rsidRPr="003C15F1">
        <w:rPr>
          <w:sz w:val="22"/>
          <w:szCs w:val="22"/>
          <w:lang w:val="es-ES_tradnl"/>
        </w:rPr>
        <w:t xml:space="preserve">) desarrollo empresarial con base en la innovación y empoderamiento de emprendedores; </w:t>
      </w:r>
      <w:proofErr w:type="spellStart"/>
      <w:r w:rsidRPr="003C15F1">
        <w:rPr>
          <w:sz w:val="22"/>
          <w:szCs w:val="22"/>
          <w:lang w:val="es-ES_tradnl"/>
        </w:rPr>
        <w:t>iii</w:t>
      </w:r>
      <w:proofErr w:type="spellEnd"/>
      <w:r w:rsidRPr="003C15F1">
        <w:rPr>
          <w:sz w:val="22"/>
          <w:szCs w:val="22"/>
          <w:lang w:val="es-ES_tradnl"/>
        </w:rPr>
        <w:t xml:space="preserve">) mejora del entorno regulatorio, facilitación del comercio y las cadenas regionales de valor; y, </w:t>
      </w:r>
      <w:proofErr w:type="spellStart"/>
      <w:r w:rsidRPr="003C15F1">
        <w:rPr>
          <w:sz w:val="22"/>
          <w:szCs w:val="22"/>
          <w:lang w:val="es-ES_tradnl"/>
        </w:rPr>
        <w:t>iv</w:t>
      </w:r>
      <w:proofErr w:type="spellEnd"/>
      <w:r w:rsidRPr="003C15F1">
        <w:rPr>
          <w:sz w:val="22"/>
          <w:szCs w:val="22"/>
          <w:lang w:val="es-ES_tradnl"/>
        </w:rPr>
        <w:t>) adaptación al cambio climático y recuperación post-COVID.</w:t>
      </w:r>
    </w:p>
    <w:p w14:paraId="3B52EBE5" w14:textId="77777777" w:rsidR="008C61A6" w:rsidRPr="003C15F1" w:rsidRDefault="008C61A6" w:rsidP="006420D2">
      <w:pPr>
        <w:pStyle w:val="BodyA"/>
        <w:jc w:val="both"/>
        <w:rPr>
          <w:rFonts w:cs="Times New Roman"/>
          <w:sz w:val="22"/>
          <w:szCs w:val="22"/>
          <w:lang w:val="es-ES_tradnl"/>
        </w:rPr>
      </w:pPr>
    </w:p>
    <w:p w14:paraId="773094DB" w14:textId="77777777" w:rsidR="008C61A6" w:rsidRPr="003C15F1" w:rsidRDefault="008C61A6" w:rsidP="003C15F1">
      <w:pPr>
        <w:pStyle w:val="Body"/>
        <w:ind w:firstLine="720"/>
        <w:jc w:val="both"/>
        <w:rPr>
          <w:b/>
          <w:bCs/>
          <w:sz w:val="22"/>
          <w:szCs w:val="22"/>
          <w:lang w:val="es-ES"/>
        </w:rPr>
      </w:pPr>
      <w:r w:rsidRPr="003C15F1">
        <w:rPr>
          <w:b/>
          <w:bCs/>
          <w:sz w:val="22"/>
          <w:szCs w:val="22"/>
          <w:lang w:val="es-ES_tradnl"/>
        </w:rPr>
        <w:t>Intercambios para la Competitividad de las Américas (ACE)</w:t>
      </w:r>
    </w:p>
    <w:p w14:paraId="1DCB83DB" w14:textId="093E9E81" w:rsidR="008C61A6" w:rsidRPr="003C15F1" w:rsidRDefault="008C61A6" w:rsidP="00FF59F0">
      <w:pPr>
        <w:pStyle w:val="ListParagraph"/>
        <w:numPr>
          <w:ilvl w:val="0"/>
          <w:numId w:val="14"/>
        </w:numPr>
        <w:pBdr>
          <w:top w:val="nil"/>
          <w:left w:val="nil"/>
          <w:bottom w:val="nil"/>
          <w:right w:val="nil"/>
          <w:between w:val="nil"/>
          <w:bar w:val="nil"/>
        </w:pBdr>
        <w:ind w:left="1440" w:hanging="720"/>
        <w:jc w:val="both"/>
        <w:rPr>
          <w:sz w:val="22"/>
          <w:szCs w:val="22"/>
          <w:lang w:val="es-ES_tradnl"/>
        </w:rPr>
      </w:pPr>
      <w:r w:rsidRPr="003C15F1">
        <w:rPr>
          <w:sz w:val="22"/>
          <w:szCs w:val="22"/>
          <w:lang w:val="es-ES_tradnl"/>
        </w:rPr>
        <w:t xml:space="preserve">Se compartieron más de 70 buenas prácticas sobre recuperación económica ante </w:t>
      </w:r>
      <w:r w:rsidR="00AF4B80" w:rsidRPr="003C15F1">
        <w:rPr>
          <w:sz w:val="22"/>
          <w:szCs w:val="22"/>
          <w:lang w:val="es-ES_tradnl"/>
        </w:rPr>
        <w:t>la</w:t>
      </w:r>
      <w:r w:rsidRPr="003C15F1">
        <w:rPr>
          <w:sz w:val="22"/>
          <w:szCs w:val="22"/>
          <w:lang w:val="es-ES_tradnl"/>
        </w:rPr>
        <w:t xml:space="preserve"> COVID-19 por parte de centros de innovación e investigación y grupos industriales en Denver y en los Condados de El Paso y Jefferson en Colorado, Estados Unidos, durante el </w:t>
      </w:r>
      <w:r w:rsidR="00AF4B80" w:rsidRPr="003C15F1">
        <w:rPr>
          <w:sz w:val="22"/>
          <w:szCs w:val="22"/>
          <w:lang w:val="es-ES_tradnl"/>
        </w:rPr>
        <w:t xml:space="preserve">XIII </w:t>
      </w:r>
      <w:r w:rsidRPr="003C15F1">
        <w:rPr>
          <w:sz w:val="22"/>
          <w:szCs w:val="22"/>
          <w:lang w:val="es-ES_tradnl"/>
        </w:rPr>
        <w:t>Intercambio para la Competitividad de las Américas (ACE), del cual surgieron más de 30 oportunidades de colaboración concretas entre 37 líderes de los sectores privado, público y académico de los Estados Miembros de la OEA.</w:t>
      </w:r>
    </w:p>
    <w:p w14:paraId="238E2A6C" w14:textId="77777777" w:rsidR="008C61A6" w:rsidRPr="003C15F1" w:rsidRDefault="008C61A6" w:rsidP="003C15F1">
      <w:pPr>
        <w:pStyle w:val="Body"/>
        <w:jc w:val="both"/>
        <w:rPr>
          <w:sz w:val="22"/>
          <w:szCs w:val="22"/>
          <w:lang w:val="es-ES_tradnl"/>
        </w:rPr>
      </w:pPr>
    </w:p>
    <w:p w14:paraId="1FFE3E1D" w14:textId="08AEDBEC" w:rsidR="008C61A6" w:rsidRPr="006420D2" w:rsidRDefault="008C61A6" w:rsidP="00FF59F0">
      <w:pPr>
        <w:pStyle w:val="ListParagraph"/>
        <w:numPr>
          <w:ilvl w:val="0"/>
          <w:numId w:val="14"/>
        </w:numPr>
        <w:pBdr>
          <w:top w:val="nil"/>
          <w:left w:val="nil"/>
          <w:bottom w:val="nil"/>
          <w:right w:val="nil"/>
          <w:between w:val="nil"/>
          <w:bar w:val="nil"/>
        </w:pBdr>
        <w:ind w:left="1440" w:hanging="720"/>
        <w:jc w:val="both"/>
        <w:rPr>
          <w:b/>
          <w:bCs/>
          <w:sz w:val="22"/>
          <w:szCs w:val="22"/>
          <w:lang w:val="es-ES_tradnl"/>
        </w:rPr>
      </w:pPr>
      <w:r w:rsidRPr="003C15F1">
        <w:rPr>
          <w:sz w:val="22"/>
          <w:szCs w:val="22"/>
          <w:lang w:val="es-ES_tradnl"/>
        </w:rPr>
        <w:t>El programa ACE inspiró el desarrollo e implementación de cinco proyectos colaborativos que se iniciaron a través de la Red del ACE:</w:t>
      </w:r>
    </w:p>
    <w:p w14:paraId="6A88DA9E" w14:textId="77777777" w:rsidR="006420D2" w:rsidRPr="006420D2" w:rsidRDefault="006420D2" w:rsidP="006420D2">
      <w:pPr>
        <w:pStyle w:val="ListParagraph"/>
        <w:rPr>
          <w:b/>
          <w:bCs/>
          <w:sz w:val="22"/>
          <w:szCs w:val="22"/>
          <w:lang w:val="es-ES_tradnl"/>
        </w:rPr>
      </w:pPr>
    </w:p>
    <w:p w14:paraId="77A19FF2" w14:textId="6431BC35" w:rsidR="008C61A6" w:rsidRPr="003C15F1" w:rsidRDefault="008C61A6" w:rsidP="00FF59F0">
      <w:pPr>
        <w:pStyle w:val="ListParagraph"/>
        <w:numPr>
          <w:ilvl w:val="0"/>
          <w:numId w:val="29"/>
        </w:numPr>
        <w:pBdr>
          <w:top w:val="nil"/>
          <w:left w:val="nil"/>
          <w:bottom w:val="nil"/>
          <w:right w:val="nil"/>
          <w:between w:val="nil"/>
          <w:bar w:val="nil"/>
        </w:pBdr>
        <w:ind w:left="1800"/>
        <w:jc w:val="both"/>
        <w:rPr>
          <w:b/>
          <w:bCs/>
          <w:sz w:val="22"/>
          <w:szCs w:val="22"/>
          <w:lang w:val="es-ES_tradnl"/>
        </w:rPr>
      </w:pPr>
      <w:r w:rsidRPr="003C15F1">
        <w:rPr>
          <w:sz w:val="22"/>
          <w:szCs w:val="22"/>
          <w:lang w:val="es-ES_tradnl"/>
        </w:rPr>
        <w:t xml:space="preserve">Imagine </w:t>
      </w:r>
      <w:proofErr w:type="spellStart"/>
      <w:r w:rsidRPr="003C15F1">
        <w:rPr>
          <w:sz w:val="22"/>
          <w:szCs w:val="22"/>
          <w:lang w:val="es-ES_tradnl"/>
        </w:rPr>
        <w:t>Lab</w:t>
      </w:r>
      <w:proofErr w:type="spellEnd"/>
      <w:r w:rsidRPr="003C15F1">
        <w:rPr>
          <w:sz w:val="22"/>
          <w:szCs w:val="22"/>
          <w:lang w:val="es-ES_tradnl"/>
        </w:rPr>
        <w:t xml:space="preserve"> Chile expandió su programa de mentorías empresariales a través de </w:t>
      </w:r>
      <w:r w:rsidR="00456C6E" w:rsidRPr="003C15F1">
        <w:rPr>
          <w:sz w:val="22"/>
          <w:szCs w:val="22"/>
          <w:lang w:val="es-ES_tradnl"/>
        </w:rPr>
        <w:t>Latinoamérica</w:t>
      </w:r>
      <w:r w:rsidRPr="003C15F1">
        <w:rPr>
          <w:sz w:val="22"/>
          <w:szCs w:val="22"/>
          <w:lang w:val="es-ES_tradnl"/>
        </w:rPr>
        <w:t xml:space="preserve">. Actualmente, el programa ofrece mentorías a </w:t>
      </w:r>
      <w:proofErr w:type="spellStart"/>
      <w:r w:rsidRPr="003C15F1">
        <w:rPr>
          <w:sz w:val="22"/>
          <w:szCs w:val="22"/>
          <w:lang w:val="es-ES_tradnl"/>
        </w:rPr>
        <w:t>PYMEs</w:t>
      </w:r>
      <w:proofErr w:type="spellEnd"/>
      <w:r w:rsidRPr="003C15F1">
        <w:rPr>
          <w:sz w:val="22"/>
          <w:szCs w:val="22"/>
          <w:lang w:val="es-ES_tradnl"/>
        </w:rPr>
        <w:t xml:space="preserve"> en Chile, Argentina, Bolivia, Perú, Ecuador, Colombia y Panamá.</w:t>
      </w:r>
    </w:p>
    <w:p w14:paraId="0E81F6B6" w14:textId="749CB589" w:rsidR="008C61A6" w:rsidRPr="003C15F1" w:rsidRDefault="008C61A6" w:rsidP="00FF59F0">
      <w:pPr>
        <w:pStyle w:val="ListParagraph"/>
        <w:numPr>
          <w:ilvl w:val="0"/>
          <w:numId w:val="29"/>
        </w:numPr>
        <w:pBdr>
          <w:top w:val="nil"/>
          <w:left w:val="nil"/>
          <w:bottom w:val="nil"/>
          <w:right w:val="nil"/>
          <w:between w:val="nil"/>
          <w:bar w:val="nil"/>
        </w:pBdr>
        <w:ind w:left="1800"/>
        <w:jc w:val="both"/>
        <w:rPr>
          <w:b/>
          <w:bCs/>
          <w:sz w:val="22"/>
          <w:szCs w:val="22"/>
          <w:lang w:val="es-ES_tradnl"/>
        </w:rPr>
      </w:pPr>
      <w:r w:rsidRPr="003C15F1">
        <w:rPr>
          <w:sz w:val="22"/>
          <w:szCs w:val="22"/>
          <w:lang w:val="es-ES_tradnl"/>
        </w:rPr>
        <w:t xml:space="preserve">Una </w:t>
      </w:r>
      <w:proofErr w:type="gramStart"/>
      <w:r w:rsidRPr="003C15F1">
        <w:rPr>
          <w:sz w:val="22"/>
          <w:szCs w:val="22"/>
          <w:lang w:val="es-ES_tradnl"/>
        </w:rPr>
        <w:t>startup colombiana</w:t>
      </w:r>
      <w:proofErr w:type="gramEnd"/>
      <w:r w:rsidRPr="003C15F1">
        <w:rPr>
          <w:sz w:val="22"/>
          <w:szCs w:val="22"/>
          <w:lang w:val="es-ES_tradnl"/>
        </w:rPr>
        <w:t xml:space="preserve"> del sector de las telecomunicaciones, </w:t>
      </w:r>
      <w:proofErr w:type="spellStart"/>
      <w:r w:rsidRPr="003C15F1">
        <w:rPr>
          <w:sz w:val="22"/>
          <w:szCs w:val="22"/>
          <w:lang w:val="es-ES_tradnl"/>
        </w:rPr>
        <w:t>Vozy</w:t>
      </w:r>
      <w:proofErr w:type="spellEnd"/>
      <w:r w:rsidRPr="003C15F1">
        <w:rPr>
          <w:sz w:val="22"/>
          <w:szCs w:val="22"/>
          <w:lang w:val="es-ES_tradnl"/>
        </w:rPr>
        <w:t>, fue acelerada en Puerto Rico, Estados Unidos, y se registró como empresa en Estados Unidos. Creó sucursales subsidiarias en México y Colombia y, actualmente, tiene más de 100 agentes comerciales en Puerto Rico, Estados Unidos, España, Chile, Argentina y en otros países.</w:t>
      </w:r>
    </w:p>
    <w:p w14:paraId="2AE257E5" w14:textId="3D09DCEA" w:rsidR="008C61A6" w:rsidRDefault="008C61A6" w:rsidP="00FF59F0">
      <w:pPr>
        <w:pStyle w:val="ListParagraph"/>
        <w:numPr>
          <w:ilvl w:val="0"/>
          <w:numId w:val="29"/>
        </w:numPr>
        <w:pBdr>
          <w:top w:val="nil"/>
          <w:left w:val="nil"/>
          <w:bottom w:val="nil"/>
          <w:right w:val="nil"/>
          <w:between w:val="nil"/>
          <w:bar w:val="nil"/>
        </w:pBdr>
        <w:ind w:left="1800"/>
        <w:jc w:val="both"/>
        <w:rPr>
          <w:sz w:val="22"/>
          <w:szCs w:val="22"/>
          <w:lang w:val="es-ES_tradnl"/>
        </w:rPr>
      </w:pPr>
      <w:r w:rsidRPr="003C15F1">
        <w:rPr>
          <w:sz w:val="22"/>
          <w:szCs w:val="22"/>
          <w:lang w:val="es-ES_tradnl"/>
        </w:rPr>
        <w:t xml:space="preserve">BRAVA, un laboratorio de soluciones para la equidad de </w:t>
      </w:r>
      <w:proofErr w:type="gramStart"/>
      <w:r w:rsidRPr="003C15F1">
        <w:rPr>
          <w:sz w:val="22"/>
          <w:szCs w:val="22"/>
          <w:lang w:val="es-ES_tradnl"/>
        </w:rPr>
        <w:t>género,</w:t>
      </w:r>
      <w:proofErr w:type="gramEnd"/>
      <w:r w:rsidRPr="003C15F1">
        <w:rPr>
          <w:sz w:val="22"/>
          <w:szCs w:val="22"/>
          <w:lang w:val="es-ES_tradnl"/>
        </w:rPr>
        <w:t xml:space="preserve"> fue creado y comenzó operaciones en Montevideo, Uruguay. Más de 600 personas y 30 compañías han recibido capacitación relacionada </w:t>
      </w:r>
      <w:r w:rsidR="00456C6E" w:rsidRPr="003C15F1">
        <w:rPr>
          <w:sz w:val="22"/>
          <w:szCs w:val="22"/>
          <w:lang w:val="es-ES_tradnl"/>
        </w:rPr>
        <w:t xml:space="preserve">con el </w:t>
      </w:r>
      <w:r w:rsidRPr="003C15F1">
        <w:rPr>
          <w:sz w:val="22"/>
          <w:szCs w:val="22"/>
          <w:lang w:val="es-ES_tradnl"/>
        </w:rPr>
        <w:t>desarrollo económico inclusivo y en estrategias y mecanismos de equidad de género.</w:t>
      </w:r>
    </w:p>
    <w:p w14:paraId="4852B360" w14:textId="092FADD1" w:rsidR="008C61A6" w:rsidRPr="003C15F1" w:rsidRDefault="008C61A6" w:rsidP="00FF59F0">
      <w:pPr>
        <w:pStyle w:val="ListParagraph"/>
        <w:numPr>
          <w:ilvl w:val="0"/>
          <w:numId w:val="29"/>
        </w:numPr>
        <w:pBdr>
          <w:top w:val="nil"/>
          <w:left w:val="nil"/>
          <w:bottom w:val="nil"/>
          <w:right w:val="nil"/>
          <w:between w:val="nil"/>
          <w:bar w:val="nil"/>
        </w:pBdr>
        <w:ind w:left="1800"/>
        <w:jc w:val="both"/>
        <w:rPr>
          <w:b/>
          <w:bCs/>
          <w:sz w:val="22"/>
          <w:szCs w:val="22"/>
          <w:lang w:val="es-ES_tradnl"/>
        </w:rPr>
      </w:pPr>
      <w:r w:rsidRPr="003C15F1">
        <w:rPr>
          <w:sz w:val="22"/>
          <w:szCs w:val="22"/>
          <w:lang w:val="es-ES_tradnl"/>
        </w:rPr>
        <w:t>La Agencia Nacional de Investigación e Innovación (ANII) de Uruguay lanzó Proyecta Uruguay para ofrecer sesiones de mentorías, acceso a inversionistas y acceso a capital semilla a empresas. El programa ha atraído a 12 startups de base tecnológica a Uruguay.</w:t>
      </w:r>
    </w:p>
    <w:p w14:paraId="7EE60840" w14:textId="77777777" w:rsidR="003C15F1" w:rsidRPr="003C15F1" w:rsidRDefault="003C15F1" w:rsidP="003C15F1">
      <w:pPr>
        <w:pStyle w:val="ListParagraph"/>
        <w:rPr>
          <w:b/>
          <w:bCs/>
          <w:sz w:val="22"/>
          <w:szCs w:val="22"/>
          <w:lang w:val="es-ES_tradnl"/>
        </w:rPr>
      </w:pPr>
    </w:p>
    <w:p w14:paraId="27B832C8" w14:textId="77777777" w:rsidR="008C61A6" w:rsidRPr="003C15F1" w:rsidRDefault="008C61A6" w:rsidP="00FF59F0">
      <w:pPr>
        <w:pStyle w:val="ListParagraph"/>
        <w:numPr>
          <w:ilvl w:val="0"/>
          <w:numId w:val="29"/>
        </w:numPr>
        <w:pBdr>
          <w:top w:val="nil"/>
          <w:left w:val="nil"/>
          <w:bottom w:val="nil"/>
          <w:right w:val="nil"/>
          <w:between w:val="nil"/>
          <w:bar w:val="nil"/>
        </w:pBdr>
        <w:ind w:left="1800"/>
        <w:jc w:val="both"/>
        <w:rPr>
          <w:b/>
          <w:bCs/>
          <w:sz w:val="22"/>
          <w:szCs w:val="22"/>
          <w:lang w:val="es-ES_tradnl"/>
        </w:rPr>
      </w:pPr>
      <w:r w:rsidRPr="003C15F1">
        <w:rPr>
          <w:sz w:val="22"/>
          <w:szCs w:val="22"/>
          <w:lang w:val="es-ES_tradnl"/>
        </w:rPr>
        <w:t xml:space="preserve">El proyecto </w:t>
      </w:r>
      <w:r w:rsidRPr="003C15F1">
        <w:rPr>
          <w:b/>
          <w:bCs/>
          <w:sz w:val="22"/>
          <w:szCs w:val="22"/>
          <w:lang w:val="es-ES_tradnl"/>
        </w:rPr>
        <w:t>Otras Iniciativas para un Empoderamiento Sostenible</w:t>
      </w:r>
      <w:r w:rsidRPr="003C15F1">
        <w:rPr>
          <w:sz w:val="22"/>
          <w:szCs w:val="22"/>
          <w:lang w:val="es-ES_tradnl"/>
        </w:rPr>
        <w:t xml:space="preserve"> (RISE, por sus siglas en inglés) que se llevó a cabo en Trinidad y Tobago enfocado en apoyar el empoderamiento de empresas lideradas por mujeres fue clave para el lanzamiento de la Academia para Mujeres Emprendedoras (La Academia AWE, por sus siglas en inglés) en colaboración con la Embajada de los Estados Unidos en Trinidad y Tobago. </w:t>
      </w:r>
    </w:p>
    <w:p w14:paraId="6080F261" w14:textId="77777777" w:rsidR="008C61A6" w:rsidRPr="003C15F1" w:rsidRDefault="008C61A6" w:rsidP="003C15F1">
      <w:pPr>
        <w:pStyle w:val="ListParagraph"/>
        <w:ind w:left="1440"/>
        <w:jc w:val="both"/>
        <w:rPr>
          <w:b/>
          <w:bCs/>
          <w:sz w:val="22"/>
          <w:szCs w:val="22"/>
          <w:lang w:val="es-ES_tradnl"/>
        </w:rPr>
      </w:pPr>
    </w:p>
    <w:p w14:paraId="4DDF5744" w14:textId="1604D3FF" w:rsidR="008C61A6" w:rsidRPr="003C15F1" w:rsidRDefault="008C61A6" w:rsidP="00FF59F0">
      <w:pPr>
        <w:pStyle w:val="Body"/>
        <w:numPr>
          <w:ilvl w:val="0"/>
          <w:numId w:val="14"/>
        </w:numPr>
        <w:ind w:left="1440" w:hanging="720"/>
        <w:jc w:val="both"/>
        <w:rPr>
          <w:sz w:val="22"/>
          <w:szCs w:val="22"/>
          <w:lang w:val="es-ES_tradnl"/>
        </w:rPr>
      </w:pPr>
      <w:r w:rsidRPr="003C15F1">
        <w:rPr>
          <w:sz w:val="22"/>
          <w:szCs w:val="22"/>
          <w:shd w:val="clear" w:color="auto" w:fill="FFFFFF"/>
          <w:lang w:val="es-ES_tradnl"/>
        </w:rPr>
        <w:t xml:space="preserve">Se compartieron más de 260 iniciativas de 26 países en el Acelerador de Ideas COVID-19 de la RIAC sobre herramientas tecnológicas, soluciones sanitarias, iniciativas de apoyo empresarial y planes de respuesta económica y recuperación implementados por los Estados Miembros en respuesta a la pandemia. </w:t>
      </w:r>
    </w:p>
    <w:p w14:paraId="0C23B85A" w14:textId="77777777" w:rsidR="008C61A6" w:rsidRPr="003C15F1" w:rsidRDefault="008C61A6" w:rsidP="003C15F1">
      <w:pPr>
        <w:pStyle w:val="BodyA"/>
        <w:jc w:val="both"/>
        <w:rPr>
          <w:rFonts w:cs="Times New Roman"/>
          <w:sz w:val="22"/>
          <w:szCs w:val="22"/>
          <w:lang w:val="es-ES_tradnl"/>
        </w:rPr>
      </w:pPr>
    </w:p>
    <w:p w14:paraId="516416B5" w14:textId="77777777" w:rsidR="008C61A6" w:rsidRPr="003C15F1" w:rsidRDefault="008C61A6" w:rsidP="003C15F1">
      <w:pPr>
        <w:pStyle w:val="Body"/>
        <w:ind w:firstLine="720"/>
        <w:jc w:val="both"/>
        <w:rPr>
          <w:b/>
          <w:bCs/>
          <w:sz w:val="22"/>
          <w:szCs w:val="22"/>
          <w:lang w:val="es-ES"/>
        </w:rPr>
      </w:pPr>
      <w:r w:rsidRPr="003C15F1">
        <w:rPr>
          <w:b/>
          <w:bCs/>
          <w:sz w:val="22"/>
          <w:szCs w:val="22"/>
          <w:lang w:val="es-ES_tradnl"/>
        </w:rPr>
        <w:t>Grupo de Expertos sobre Competitividad Subnacional (GTECS)</w:t>
      </w:r>
    </w:p>
    <w:p w14:paraId="07C7F892" w14:textId="6B3EB3B1" w:rsidR="008C61A6" w:rsidRPr="003C15F1" w:rsidRDefault="008C61A6" w:rsidP="00FF59F0">
      <w:pPr>
        <w:pStyle w:val="BodyA"/>
        <w:numPr>
          <w:ilvl w:val="0"/>
          <w:numId w:val="16"/>
        </w:numPr>
        <w:ind w:left="1440" w:hanging="720"/>
        <w:jc w:val="both"/>
        <w:rPr>
          <w:rFonts w:cs="Times New Roman"/>
          <w:sz w:val="22"/>
          <w:szCs w:val="22"/>
          <w:lang w:val="es-ES_tradnl"/>
        </w:rPr>
      </w:pPr>
      <w:r w:rsidRPr="003C15F1">
        <w:rPr>
          <w:rFonts w:cs="Times New Roman"/>
          <w:sz w:val="22"/>
          <w:szCs w:val="22"/>
          <w:shd w:val="clear" w:color="auto" w:fill="FFFFFF"/>
          <w:lang w:val="es-ES_tradnl"/>
        </w:rPr>
        <w:t>Se compartieron múltiples mejores prácticas por medio del Grupo de Trabajo en Indicadores y el Grupo de Trabajo en Permisos de Construcción</w:t>
      </w:r>
    </w:p>
    <w:p w14:paraId="5F808496" w14:textId="77777777" w:rsidR="001E639E" w:rsidRPr="003C15F1" w:rsidRDefault="001E639E" w:rsidP="003C15F1">
      <w:pPr>
        <w:pStyle w:val="BodyA"/>
        <w:ind w:left="1440"/>
        <w:jc w:val="both"/>
        <w:rPr>
          <w:rFonts w:cs="Times New Roman"/>
          <w:sz w:val="22"/>
          <w:szCs w:val="22"/>
          <w:lang w:val="es-ES_tradnl"/>
        </w:rPr>
      </w:pPr>
    </w:p>
    <w:p w14:paraId="1D97B236" w14:textId="49056989" w:rsidR="008C61A6" w:rsidRPr="003C15F1" w:rsidRDefault="008C61A6" w:rsidP="00FF59F0">
      <w:pPr>
        <w:pStyle w:val="BodyA"/>
        <w:numPr>
          <w:ilvl w:val="0"/>
          <w:numId w:val="16"/>
        </w:numPr>
        <w:ind w:left="1440" w:hanging="720"/>
        <w:jc w:val="both"/>
        <w:rPr>
          <w:rFonts w:cs="Times New Roman"/>
          <w:sz w:val="22"/>
          <w:szCs w:val="22"/>
          <w:lang w:val="es-ES_tradnl"/>
        </w:rPr>
      </w:pPr>
      <w:r w:rsidRPr="003C15F1">
        <w:rPr>
          <w:rFonts w:cs="Times New Roman"/>
          <w:sz w:val="22"/>
          <w:szCs w:val="22"/>
          <w:shd w:val="clear" w:color="auto" w:fill="FFFFFF"/>
          <w:lang w:val="es-ES_tradnl"/>
        </w:rPr>
        <w:t>El GTECS, en colaboración con lideres del sector privado, elaboró y presentó en el FCA el</w:t>
      </w:r>
      <w:r w:rsidR="001E639E" w:rsidRPr="003C15F1">
        <w:rPr>
          <w:rFonts w:cs="Times New Roman"/>
          <w:sz w:val="22"/>
          <w:szCs w:val="22"/>
          <w:shd w:val="clear" w:color="auto" w:fill="FFFFFF"/>
          <w:lang w:val="es-ES_tradnl"/>
        </w:rPr>
        <w:t xml:space="preserve"> documento </w:t>
      </w:r>
      <w:r w:rsidRPr="003C15F1">
        <w:rPr>
          <w:rFonts w:cs="Times New Roman"/>
          <w:sz w:val="22"/>
          <w:szCs w:val="22"/>
          <w:shd w:val="clear" w:color="auto" w:fill="FFFFFF"/>
          <w:lang w:val="es-ES_tradnl"/>
        </w:rPr>
        <w:t>“Transformación digital, reactivación económica y empleo en América Latina y el Caribe post COVID-19”; como una guía de políticas públicas en transformación digital para los Estados Miembros de la OEA.</w:t>
      </w:r>
    </w:p>
    <w:p w14:paraId="5F9C8BCB" w14:textId="77777777" w:rsidR="008C61A6" w:rsidRPr="003C15F1" w:rsidRDefault="008C61A6" w:rsidP="003C15F1">
      <w:pPr>
        <w:pStyle w:val="BodyA"/>
        <w:jc w:val="both"/>
        <w:rPr>
          <w:rFonts w:cs="Times New Roman"/>
          <w:sz w:val="22"/>
          <w:szCs w:val="22"/>
          <w:lang w:val="es-ES_tradnl"/>
        </w:rPr>
      </w:pPr>
    </w:p>
    <w:p w14:paraId="13ABE435" w14:textId="5869E35F" w:rsidR="008C61A6" w:rsidRPr="003C15F1" w:rsidRDefault="008C61A6" w:rsidP="003C15F1">
      <w:pPr>
        <w:pStyle w:val="Body"/>
        <w:jc w:val="both"/>
        <w:rPr>
          <w:b/>
          <w:bCs/>
          <w:sz w:val="22"/>
          <w:szCs w:val="22"/>
          <w:lang w:val="es-ES"/>
        </w:rPr>
      </w:pPr>
      <w:r w:rsidRPr="003C15F1">
        <w:rPr>
          <w:b/>
          <w:bCs/>
          <w:sz w:val="22"/>
          <w:szCs w:val="22"/>
          <w:lang w:val="es-ES_tradnl"/>
        </w:rPr>
        <w:t>OBJETIVO 1.3</w:t>
      </w:r>
      <w:r w:rsidR="001E639E" w:rsidRPr="003C15F1">
        <w:rPr>
          <w:b/>
          <w:bCs/>
          <w:sz w:val="22"/>
          <w:szCs w:val="22"/>
          <w:lang w:val="es-ES_tradnl"/>
        </w:rPr>
        <w:t xml:space="preserve">:  </w:t>
      </w:r>
      <w:r w:rsidRPr="003C15F1">
        <w:rPr>
          <w:b/>
          <w:bCs/>
          <w:sz w:val="22"/>
          <w:szCs w:val="22"/>
          <w:lang w:val="es-ES_tradnl"/>
        </w:rPr>
        <w:t xml:space="preserve">Incrementar la cooperación para fortalecer las capacidades institucionales de los Estados Miembros de incorporar innovación y tecnología transformadoras para generar valor agregado y diversificación de sus economías de forma sostenible e incluyente </w:t>
      </w:r>
    </w:p>
    <w:p w14:paraId="464F597D" w14:textId="77777777" w:rsidR="001E639E" w:rsidRPr="003C15F1" w:rsidRDefault="001E639E" w:rsidP="003C15F1">
      <w:pPr>
        <w:pStyle w:val="Body"/>
        <w:jc w:val="both"/>
        <w:rPr>
          <w:b/>
          <w:bCs/>
          <w:sz w:val="22"/>
          <w:szCs w:val="22"/>
          <w:lang w:val="es-ES_tradnl"/>
        </w:rPr>
      </w:pPr>
    </w:p>
    <w:p w14:paraId="79D13281" w14:textId="680FEEF7" w:rsidR="008C61A6" w:rsidRPr="003C15F1" w:rsidRDefault="008C61A6" w:rsidP="003C15F1">
      <w:pPr>
        <w:pStyle w:val="Body"/>
        <w:ind w:left="720"/>
        <w:jc w:val="both"/>
        <w:rPr>
          <w:b/>
          <w:bCs/>
          <w:sz w:val="22"/>
          <w:szCs w:val="22"/>
          <w:lang w:val="es-ES"/>
        </w:rPr>
      </w:pPr>
      <w:r w:rsidRPr="003C15F1">
        <w:rPr>
          <w:b/>
          <w:bCs/>
          <w:sz w:val="22"/>
          <w:szCs w:val="22"/>
          <w:lang w:val="es-ES_tradnl"/>
        </w:rPr>
        <w:t>Ciencia, tecnología e innovación (CTI)</w:t>
      </w:r>
    </w:p>
    <w:p w14:paraId="268B2D07" w14:textId="1A301808" w:rsidR="008C61A6" w:rsidRPr="003C15F1" w:rsidRDefault="001E639E" w:rsidP="00FF59F0">
      <w:pPr>
        <w:pStyle w:val="Body"/>
        <w:numPr>
          <w:ilvl w:val="0"/>
          <w:numId w:val="25"/>
        </w:numPr>
        <w:ind w:left="1440" w:hanging="720"/>
        <w:jc w:val="both"/>
        <w:rPr>
          <w:sz w:val="22"/>
          <w:szCs w:val="22"/>
          <w:lang w:val="es-ES"/>
        </w:rPr>
      </w:pPr>
      <w:r w:rsidRPr="003C15F1">
        <w:rPr>
          <w:sz w:val="22"/>
          <w:szCs w:val="22"/>
          <w:lang w:val="es-ES_tradnl"/>
        </w:rPr>
        <w:t>Organizó</w:t>
      </w:r>
      <w:r w:rsidR="008C61A6" w:rsidRPr="003C15F1">
        <w:rPr>
          <w:sz w:val="22"/>
          <w:szCs w:val="22"/>
          <w:lang w:val="es-ES_tradnl"/>
        </w:rPr>
        <w:t xml:space="preserve"> la VI Reunión de </w:t>
      </w:r>
      <w:proofErr w:type="gramStart"/>
      <w:r w:rsidR="008C61A6" w:rsidRPr="003C15F1">
        <w:rPr>
          <w:sz w:val="22"/>
          <w:szCs w:val="22"/>
          <w:lang w:val="es-ES_tradnl"/>
        </w:rPr>
        <w:t>Ministros</w:t>
      </w:r>
      <w:proofErr w:type="gramEnd"/>
      <w:r w:rsidR="008C61A6" w:rsidRPr="003C15F1">
        <w:rPr>
          <w:sz w:val="22"/>
          <w:szCs w:val="22"/>
          <w:lang w:val="es-ES_tradnl"/>
        </w:rPr>
        <w:t xml:space="preserve"> y Altas Autoridades de Ciencia y Tecnología realizada virtualmente del 7 al 8 de diciembre de 2021, </w:t>
      </w:r>
      <w:r w:rsidRPr="003C15F1">
        <w:rPr>
          <w:sz w:val="22"/>
          <w:szCs w:val="22"/>
          <w:lang w:val="es-ES_tradnl"/>
        </w:rPr>
        <w:t xml:space="preserve">que adoptó </w:t>
      </w:r>
      <w:r w:rsidR="008C61A6" w:rsidRPr="003C15F1">
        <w:rPr>
          <w:sz w:val="22"/>
          <w:szCs w:val="22"/>
          <w:lang w:val="es-ES_tradnl"/>
        </w:rPr>
        <w:t>la Declaración de Jamaica “Aprovechando el Poder de la Ciencia y las Tecnologías Transformadoras para Impulsar Nuestras Comunidades Hacia el Futuro”. Los temas de la Reunión Ministerial incluyeron: la cooperación regional en ciencia y tecnología para acelerar la recuperación postpandemia COVID-19; abordar la brecha de habilidades de los jóvenes frente a la economía digital y la preparación para la industria 4.0; promover la inclusión de mujeres, comunidades rurales e indígenas y otras poblaciones en situación de vulnerabilidad; la prospectiva tecnológica como insumo para la toma de decisiones de políticas públicas, y la colaboración público-privada-académica efectiva para mejorar la calidad de vida y apoyar a las micro, pequeñas y medianas empresas (MIPYMES) a través de la CTI.</w:t>
      </w:r>
    </w:p>
    <w:p w14:paraId="444B2622" w14:textId="77777777" w:rsidR="008C61A6" w:rsidRPr="003C15F1" w:rsidRDefault="008C61A6" w:rsidP="003C15F1">
      <w:pPr>
        <w:pStyle w:val="Body"/>
        <w:ind w:left="1440" w:hanging="1080"/>
        <w:jc w:val="both"/>
        <w:rPr>
          <w:sz w:val="22"/>
          <w:szCs w:val="22"/>
          <w:lang w:val="es-ES"/>
        </w:rPr>
      </w:pPr>
    </w:p>
    <w:p w14:paraId="1202AFDC" w14:textId="1BF33F6A" w:rsidR="008C61A6" w:rsidRPr="00B54C80" w:rsidRDefault="008C61A6" w:rsidP="00FF59F0">
      <w:pPr>
        <w:pStyle w:val="Body"/>
        <w:numPr>
          <w:ilvl w:val="0"/>
          <w:numId w:val="25"/>
        </w:numPr>
        <w:ind w:left="1440" w:hanging="720"/>
        <w:jc w:val="both"/>
        <w:rPr>
          <w:sz w:val="22"/>
          <w:szCs w:val="22"/>
          <w:lang w:val="es-ES"/>
        </w:rPr>
      </w:pPr>
      <w:r w:rsidRPr="003C15F1">
        <w:rPr>
          <w:sz w:val="22"/>
          <w:szCs w:val="22"/>
          <w:lang w:val="es-ES_tradnl"/>
        </w:rPr>
        <w:t xml:space="preserve">Dos sesiones estratégicas de Prospecta Américas realizadas virtualmente los 27 y 28 de octubre de 2021, sobre </w:t>
      </w:r>
      <w:proofErr w:type="spellStart"/>
      <w:r w:rsidRPr="003C15F1">
        <w:rPr>
          <w:i/>
          <w:iCs/>
          <w:sz w:val="22"/>
          <w:szCs w:val="22"/>
          <w:lang w:val="es-ES_tradnl"/>
        </w:rPr>
        <w:t>Blockchain</w:t>
      </w:r>
      <w:proofErr w:type="spellEnd"/>
      <w:r w:rsidRPr="003C15F1">
        <w:rPr>
          <w:sz w:val="22"/>
          <w:szCs w:val="22"/>
          <w:lang w:val="es-ES_tradnl"/>
        </w:rPr>
        <w:t xml:space="preserve"> e Inteligencia Artificial y Robótica, en colaboración con la Misión Permanente de México ante la OEA, el </w:t>
      </w:r>
      <w:r w:rsidR="00576F4D" w:rsidRPr="003C15F1">
        <w:rPr>
          <w:sz w:val="22"/>
          <w:szCs w:val="22"/>
          <w:lang w:val="es-ES_tradnl"/>
        </w:rPr>
        <w:t>Consejo Nacional de Ciencia y Tecnología (</w:t>
      </w:r>
      <w:r w:rsidRPr="003C15F1">
        <w:rPr>
          <w:sz w:val="22"/>
          <w:szCs w:val="22"/>
          <w:lang w:val="es-ES_tradnl"/>
        </w:rPr>
        <w:t>CONACYT</w:t>
      </w:r>
      <w:r w:rsidR="00576F4D" w:rsidRPr="003C15F1">
        <w:rPr>
          <w:sz w:val="22"/>
          <w:szCs w:val="22"/>
          <w:lang w:val="es-ES_tradnl"/>
        </w:rPr>
        <w:t>)</w:t>
      </w:r>
      <w:r w:rsidRPr="003C15F1">
        <w:rPr>
          <w:sz w:val="22"/>
          <w:szCs w:val="22"/>
          <w:lang w:val="es-ES_tradnl"/>
        </w:rPr>
        <w:t xml:space="preserve"> de México y el Estado de Hidalgo, México.</w:t>
      </w:r>
    </w:p>
    <w:p w14:paraId="3B464C50" w14:textId="77777777" w:rsidR="00B54C80" w:rsidRDefault="00B54C80" w:rsidP="00B54C80">
      <w:pPr>
        <w:pStyle w:val="ListParagraph"/>
        <w:rPr>
          <w:sz w:val="22"/>
          <w:szCs w:val="22"/>
          <w:lang w:val="es-ES"/>
        </w:rPr>
      </w:pPr>
    </w:p>
    <w:p w14:paraId="737A742E" w14:textId="52596E6D" w:rsidR="008C61A6" w:rsidRPr="003C15F1" w:rsidRDefault="008C61A6" w:rsidP="00FF59F0">
      <w:pPr>
        <w:pStyle w:val="Body"/>
        <w:numPr>
          <w:ilvl w:val="1"/>
          <w:numId w:val="25"/>
        </w:numPr>
        <w:ind w:left="1800"/>
        <w:jc w:val="both"/>
        <w:rPr>
          <w:sz w:val="22"/>
          <w:szCs w:val="22"/>
          <w:lang w:val="es-ES"/>
        </w:rPr>
      </w:pPr>
      <w:r w:rsidRPr="003C15F1">
        <w:rPr>
          <w:sz w:val="22"/>
          <w:szCs w:val="22"/>
          <w:lang w:val="es-ES_tradnl"/>
        </w:rPr>
        <w:t xml:space="preserve">Se apoyó el lanzamiento de dos estudios regionales de prospectiva tecnológica en el marco de Prospecta Américas en colaboración con MINCIENCIAS Colombia, uno sobre “El futuro del trabajo en América Latina”, dirigido por el Centro de </w:t>
      </w:r>
      <w:r w:rsidRPr="003C15F1">
        <w:rPr>
          <w:sz w:val="22"/>
          <w:szCs w:val="22"/>
          <w:lang w:val="es-ES_tradnl"/>
        </w:rPr>
        <w:lastRenderedPageBreak/>
        <w:t>Pensamiento Estratégico y Prospectiva de la Universidad Externado de Colombia, y el otro sobre “Prospectiva Agroalimentaria en América Latina y el Caribe”, dirigido por la Red Abierta de Prospectiva e Innovación del Programa Iberoamericano de Ciencia y Tecnología para el Desarrollo (CYTED).</w:t>
      </w:r>
    </w:p>
    <w:p w14:paraId="01B8C96F" w14:textId="77777777" w:rsidR="001E639E" w:rsidRPr="003C15F1" w:rsidRDefault="001E639E" w:rsidP="006420D2">
      <w:pPr>
        <w:pStyle w:val="Body"/>
        <w:jc w:val="both"/>
        <w:rPr>
          <w:sz w:val="22"/>
          <w:szCs w:val="22"/>
          <w:lang w:val="es-ES"/>
        </w:rPr>
      </w:pPr>
    </w:p>
    <w:p w14:paraId="3BC7F85B" w14:textId="5DF0A5D5" w:rsidR="008C61A6" w:rsidRPr="003C15F1" w:rsidRDefault="008C61A6" w:rsidP="00FF59F0">
      <w:pPr>
        <w:pStyle w:val="NoSpacing"/>
        <w:numPr>
          <w:ilvl w:val="0"/>
          <w:numId w:val="26"/>
        </w:numPr>
        <w:pBdr>
          <w:top w:val="nil"/>
          <w:left w:val="nil"/>
          <w:bottom w:val="nil"/>
          <w:right w:val="nil"/>
          <w:between w:val="nil"/>
          <w:bar w:val="nil"/>
        </w:pBdr>
        <w:ind w:left="1440" w:hanging="720"/>
        <w:jc w:val="both"/>
        <w:rPr>
          <w:rFonts w:ascii="Times New Roman" w:eastAsia="Times New Roman" w:hAnsi="Times New Roman"/>
          <w:shd w:val="clear" w:color="auto" w:fill="FFFFFF"/>
        </w:rPr>
      </w:pPr>
      <w:r w:rsidRPr="003C15F1">
        <w:rPr>
          <w:rFonts w:ascii="Times New Roman" w:hAnsi="Times New Roman"/>
          <w:shd w:val="clear" w:color="auto" w:fill="FFFFFF"/>
        </w:rPr>
        <w:t xml:space="preserve">Cincuenta buenas prácticas y experiencias compartidas con más de 500 participantes de 24 países durante 6 sesiones temáticas de la </w:t>
      </w:r>
      <w:r w:rsidR="00576F4D" w:rsidRPr="003C15F1">
        <w:rPr>
          <w:rFonts w:ascii="Times New Roman" w:hAnsi="Times New Roman"/>
          <w:shd w:val="clear" w:color="auto" w:fill="FFFFFF"/>
        </w:rPr>
        <w:t>Comisión Interamericana de Ciencia y Tecnología (</w:t>
      </w:r>
      <w:r w:rsidRPr="003C15F1">
        <w:rPr>
          <w:rFonts w:ascii="Times New Roman" w:hAnsi="Times New Roman"/>
          <w:shd w:val="clear" w:color="auto" w:fill="FFFFFF"/>
        </w:rPr>
        <w:t>COMCYT</w:t>
      </w:r>
      <w:r w:rsidR="00576F4D" w:rsidRPr="003C15F1">
        <w:rPr>
          <w:rFonts w:ascii="Times New Roman" w:hAnsi="Times New Roman"/>
          <w:shd w:val="clear" w:color="auto" w:fill="FFFFFF"/>
        </w:rPr>
        <w:t xml:space="preserve">) </w:t>
      </w:r>
      <w:r w:rsidRPr="003C15F1">
        <w:rPr>
          <w:rFonts w:ascii="Times New Roman" w:hAnsi="Times New Roman"/>
          <w:shd w:val="clear" w:color="auto" w:fill="FFFFFF"/>
        </w:rPr>
        <w:t>realizadas entre abril y junio de 2021 sobre: Innovación y Emprendimiento en las Américas; Políticas de Inteligencia Artificial en las Américas; Innovación Inclusiva y Mujeres en STEM; Ingeniería de Impacto; Infraestructura Nacional de la Calidad como Pilar del Desarrollo Sostenible y Bioeconomía: Intercambio de Buenas Prácticas y Prioridades.</w:t>
      </w:r>
    </w:p>
    <w:p w14:paraId="7416C4E7" w14:textId="77777777" w:rsidR="00576F4D" w:rsidRPr="003C15F1" w:rsidRDefault="00576F4D" w:rsidP="003C15F1">
      <w:pPr>
        <w:pStyle w:val="NoSpacing"/>
        <w:pBdr>
          <w:top w:val="nil"/>
          <w:left w:val="nil"/>
          <w:bottom w:val="nil"/>
          <w:right w:val="nil"/>
          <w:between w:val="nil"/>
          <w:bar w:val="nil"/>
        </w:pBdr>
        <w:ind w:left="1440"/>
        <w:jc w:val="both"/>
        <w:rPr>
          <w:rFonts w:ascii="Times New Roman" w:eastAsia="Times New Roman" w:hAnsi="Times New Roman"/>
          <w:shd w:val="clear" w:color="auto" w:fill="FFFFFF"/>
        </w:rPr>
      </w:pPr>
    </w:p>
    <w:p w14:paraId="018F876A" w14:textId="77777777" w:rsidR="008C61A6" w:rsidRPr="003C15F1" w:rsidRDefault="008C61A6" w:rsidP="00FF59F0">
      <w:pPr>
        <w:pStyle w:val="NoSpacing"/>
        <w:numPr>
          <w:ilvl w:val="0"/>
          <w:numId w:val="26"/>
        </w:numPr>
        <w:pBdr>
          <w:top w:val="nil"/>
          <w:left w:val="nil"/>
          <w:bottom w:val="nil"/>
          <w:right w:val="nil"/>
          <w:between w:val="nil"/>
          <w:bar w:val="nil"/>
        </w:pBdr>
        <w:ind w:left="1440" w:hanging="720"/>
        <w:jc w:val="both"/>
        <w:rPr>
          <w:rFonts w:ascii="Times New Roman" w:eastAsia="Times New Roman" w:hAnsi="Times New Roman"/>
          <w:shd w:val="clear" w:color="auto" w:fill="FFFFFF"/>
        </w:rPr>
      </w:pPr>
      <w:r w:rsidRPr="003C15F1">
        <w:rPr>
          <w:rFonts w:ascii="Times New Roman" w:hAnsi="Times New Roman"/>
          <w:shd w:val="clear" w:color="auto" w:fill="FFFFFF"/>
        </w:rPr>
        <w:t>Dos plataformas virtuales [“COMCYT Central” y “COMUNITT” (en colaboración con la Universidad de California Riverside)] creadas para apoyar a profesionales y emprendedores de las Américas a través de sesiones de mentoría con expertos y líderes del Programa OAS-</w:t>
      </w:r>
      <w:proofErr w:type="gramStart"/>
      <w:r w:rsidRPr="003C15F1">
        <w:rPr>
          <w:rFonts w:ascii="Times New Roman" w:hAnsi="Times New Roman"/>
          <w:shd w:val="clear" w:color="auto" w:fill="FFFFFF"/>
        </w:rPr>
        <w:t>HUB</w:t>
      </w:r>
      <w:proofErr w:type="gramEnd"/>
      <w:r w:rsidRPr="003C15F1">
        <w:rPr>
          <w:rFonts w:ascii="Times New Roman" w:hAnsi="Times New Roman"/>
          <w:shd w:val="clear" w:color="auto" w:fill="FFFFFF"/>
        </w:rPr>
        <w:t>®, con el fin de acelerar sus soluciones, tecnologías, productos y servicios innovadores “desde la idea hasta el mercado”. Asimismo, abordar algunos de los desafíos más importantes en las comunidades de las Américas a través de la tecnología y contribuir a la diversificación de las economías de la región.</w:t>
      </w:r>
    </w:p>
    <w:p w14:paraId="08532F5B" w14:textId="77777777" w:rsidR="00576F4D" w:rsidRPr="003C15F1" w:rsidRDefault="00576F4D" w:rsidP="003C15F1">
      <w:pPr>
        <w:pStyle w:val="NoSpacing"/>
        <w:pBdr>
          <w:top w:val="nil"/>
          <w:left w:val="nil"/>
          <w:bottom w:val="nil"/>
          <w:right w:val="nil"/>
          <w:between w:val="nil"/>
          <w:bar w:val="nil"/>
        </w:pBdr>
        <w:ind w:left="1440"/>
        <w:jc w:val="both"/>
        <w:rPr>
          <w:rFonts w:ascii="Times New Roman" w:eastAsia="Times New Roman" w:hAnsi="Times New Roman"/>
          <w:shd w:val="clear" w:color="auto" w:fill="FFFFFF"/>
        </w:rPr>
      </w:pPr>
    </w:p>
    <w:p w14:paraId="7A4AA480" w14:textId="7A4C76DE" w:rsidR="008C61A6" w:rsidRPr="003C15F1" w:rsidRDefault="008C61A6" w:rsidP="00FF59F0">
      <w:pPr>
        <w:pStyle w:val="NoSpacing"/>
        <w:numPr>
          <w:ilvl w:val="0"/>
          <w:numId w:val="26"/>
        </w:numPr>
        <w:pBdr>
          <w:top w:val="nil"/>
          <w:left w:val="nil"/>
          <w:bottom w:val="nil"/>
          <w:right w:val="nil"/>
          <w:between w:val="nil"/>
          <w:bar w:val="nil"/>
        </w:pBdr>
        <w:ind w:left="1440" w:hanging="720"/>
        <w:jc w:val="both"/>
        <w:rPr>
          <w:rFonts w:ascii="Times New Roman" w:eastAsia="Times New Roman" w:hAnsi="Times New Roman"/>
          <w:shd w:val="clear" w:color="auto" w:fill="FFFFFF"/>
        </w:rPr>
      </w:pPr>
      <w:r w:rsidRPr="003C15F1">
        <w:rPr>
          <w:rFonts w:ascii="Times New Roman" w:hAnsi="Times New Roman"/>
        </w:rPr>
        <w:t>En colaboración con los miembros y socios estratégicos del Grupo de Trabajo 2 de la COMCYT, se convocaron 3 conferencias regionales sobre educación en ingeniería (LACCEI, ACOFI y LEIRD), las cuales permitieron el intercambio de buenas prácticas y talleres capacitación en educación en ingeniería a más de 1200 profesionales y estudiantes de ingeniería de las Américas.</w:t>
      </w:r>
    </w:p>
    <w:p w14:paraId="5CEA2EFA" w14:textId="77777777" w:rsidR="00576F4D" w:rsidRPr="00240925" w:rsidRDefault="00576F4D" w:rsidP="003C15F1">
      <w:pPr>
        <w:pStyle w:val="ListParagraph"/>
        <w:rPr>
          <w:rFonts w:eastAsia="Times New Roman"/>
          <w:sz w:val="22"/>
          <w:szCs w:val="22"/>
          <w:shd w:val="clear" w:color="auto" w:fill="FFFFFF"/>
          <w:lang w:val="es-US"/>
        </w:rPr>
      </w:pPr>
    </w:p>
    <w:p w14:paraId="1C95CF25" w14:textId="4FC16E32" w:rsidR="008C61A6" w:rsidRPr="003C15F1" w:rsidRDefault="008C61A6" w:rsidP="00FF59F0">
      <w:pPr>
        <w:pStyle w:val="NoSpacing"/>
        <w:numPr>
          <w:ilvl w:val="0"/>
          <w:numId w:val="26"/>
        </w:numPr>
        <w:pBdr>
          <w:top w:val="nil"/>
          <w:left w:val="nil"/>
          <w:bottom w:val="nil"/>
          <w:right w:val="nil"/>
          <w:between w:val="nil"/>
          <w:bar w:val="nil"/>
        </w:pBdr>
        <w:ind w:left="1440" w:hanging="720"/>
        <w:jc w:val="both"/>
        <w:rPr>
          <w:rFonts w:ascii="Times New Roman" w:eastAsia="Times New Roman" w:hAnsi="Times New Roman"/>
          <w:shd w:val="clear" w:color="auto" w:fill="FFFFFF"/>
        </w:rPr>
      </w:pPr>
      <w:r w:rsidRPr="003C15F1">
        <w:rPr>
          <w:rFonts w:ascii="Times New Roman" w:hAnsi="Times New Roman"/>
        </w:rPr>
        <w:t>Se apoyaron eventos virtuales destacando las contribuciones científicas e intelectuales de las mujeres en</w:t>
      </w:r>
      <w:r w:rsidR="00576F4D" w:rsidRPr="003C15F1">
        <w:rPr>
          <w:rFonts w:ascii="Times New Roman" w:hAnsi="Times New Roman"/>
        </w:rPr>
        <w:t xml:space="preserve"> ciencia, tecnología, ingeniería y matemáticas (</w:t>
      </w:r>
      <w:r w:rsidRPr="003C15F1">
        <w:rPr>
          <w:rFonts w:ascii="Times New Roman" w:hAnsi="Times New Roman"/>
        </w:rPr>
        <w:t>STEM</w:t>
      </w:r>
      <w:r w:rsidR="00576F4D" w:rsidRPr="003C15F1">
        <w:rPr>
          <w:rFonts w:ascii="Times New Roman" w:hAnsi="Times New Roman"/>
        </w:rPr>
        <w:t>)</w:t>
      </w:r>
      <w:r w:rsidRPr="003C15F1">
        <w:rPr>
          <w:rFonts w:ascii="Times New Roman" w:hAnsi="Times New Roman"/>
        </w:rPr>
        <w:t>, con organizaciones como la Cátedra Abierta Latinoamericana “Matilda y las Mujeres en Ingeniería” y la Cátedra Regional UNESCO – Mujer, Ciencia y Tecnología en América Latina, con sede en FLACSO, Argentina.</w:t>
      </w:r>
    </w:p>
    <w:p w14:paraId="3A387B35" w14:textId="77777777" w:rsidR="008C61A6" w:rsidRPr="003C15F1" w:rsidRDefault="008C61A6" w:rsidP="003C15F1">
      <w:pPr>
        <w:pStyle w:val="BodyA"/>
        <w:jc w:val="both"/>
        <w:rPr>
          <w:rFonts w:cs="Times New Roman"/>
          <w:sz w:val="22"/>
          <w:szCs w:val="22"/>
          <w:lang w:val="es-ES_tradnl"/>
        </w:rPr>
      </w:pPr>
    </w:p>
    <w:p w14:paraId="23DB8602" w14:textId="06E189E6" w:rsidR="008C61A6" w:rsidRPr="003C15F1" w:rsidRDefault="008C61A6" w:rsidP="003C15F1">
      <w:pPr>
        <w:pStyle w:val="Body"/>
        <w:jc w:val="both"/>
        <w:rPr>
          <w:b/>
          <w:bCs/>
          <w:sz w:val="22"/>
          <w:szCs w:val="22"/>
          <w:lang w:val="es-ES"/>
        </w:rPr>
      </w:pPr>
      <w:bookmarkStart w:id="6" w:name="_Hlk87344903"/>
      <w:r w:rsidRPr="003C15F1">
        <w:rPr>
          <w:b/>
          <w:bCs/>
          <w:sz w:val="22"/>
          <w:szCs w:val="22"/>
          <w:lang w:val="es-ES_tradnl"/>
        </w:rPr>
        <w:t>OBJETIVO 1.4</w:t>
      </w:r>
      <w:r w:rsidR="00576F4D" w:rsidRPr="003C15F1">
        <w:rPr>
          <w:b/>
          <w:bCs/>
          <w:sz w:val="22"/>
          <w:szCs w:val="22"/>
          <w:lang w:val="es-ES_tradnl"/>
        </w:rPr>
        <w:t xml:space="preserve">:  </w:t>
      </w:r>
      <w:r w:rsidRPr="003C15F1">
        <w:rPr>
          <w:b/>
          <w:bCs/>
          <w:sz w:val="22"/>
          <w:szCs w:val="22"/>
          <w:lang w:val="es-ES_tradnl"/>
        </w:rPr>
        <w:t>Apoyar a los Estados miembros en el fortalecimiento de las capacidades de las instituciones que fomentan la generación de actividades económicas sostenibles en los sectores del turismo y la cultura.</w:t>
      </w:r>
      <w:bookmarkEnd w:id="6"/>
    </w:p>
    <w:p w14:paraId="37B0C7D4" w14:textId="77777777" w:rsidR="008C61A6" w:rsidRPr="003C15F1" w:rsidRDefault="008C61A6" w:rsidP="003C15F1">
      <w:pPr>
        <w:pStyle w:val="Body"/>
        <w:jc w:val="both"/>
        <w:rPr>
          <w:b/>
          <w:bCs/>
          <w:sz w:val="22"/>
          <w:szCs w:val="22"/>
          <w:lang w:val="es-ES_tradnl"/>
        </w:rPr>
      </w:pPr>
    </w:p>
    <w:p w14:paraId="13EEE656" w14:textId="77777777" w:rsidR="008C61A6" w:rsidRPr="003C15F1" w:rsidRDefault="008C61A6" w:rsidP="003C15F1">
      <w:pPr>
        <w:pStyle w:val="Body"/>
        <w:ind w:firstLine="720"/>
        <w:jc w:val="both"/>
        <w:rPr>
          <w:b/>
          <w:bCs/>
          <w:sz w:val="22"/>
          <w:szCs w:val="22"/>
        </w:rPr>
      </w:pPr>
      <w:r w:rsidRPr="003C15F1">
        <w:rPr>
          <w:b/>
          <w:bCs/>
          <w:sz w:val="22"/>
          <w:szCs w:val="22"/>
          <w:lang w:val="es-ES_tradnl"/>
        </w:rPr>
        <w:t>Cultura y Turismo</w:t>
      </w:r>
    </w:p>
    <w:p w14:paraId="4F072E4F" w14:textId="77777777" w:rsidR="008C61A6" w:rsidRPr="003C15F1" w:rsidRDefault="008C61A6" w:rsidP="00FF59F0">
      <w:pPr>
        <w:pStyle w:val="ListParagraph"/>
        <w:numPr>
          <w:ilvl w:val="0"/>
          <w:numId w:val="18"/>
        </w:numPr>
        <w:pBdr>
          <w:top w:val="nil"/>
          <w:left w:val="nil"/>
          <w:bottom w:val="nil"/>
          <w:right w:val="nil"/>
          <w:between w:val="nil"/>
          <w:bar w:val="nil"/>
        </w:pBdr>
        <w:tabs>
          <w:tab w:val="left" w:pos="1440"/>
        </w:tabs>
        <w:ind w:left="1440" w:hanging="720"/>
        <w:jc w:val="both"/>
        <w:rPr>
          <w:sz w:val="22"/>
          <w:szCs w:val="22"/>
          <w:lang w:val="es-ES_tradnl"/>
        </w:rPr>
      </w:pPr>
      <w:r w:rsidRPr="003C15F1">
        <w:rPr>
          <w:sz w:val="22"/>
          <w:szCs w:val="22"/>
          <w:lang w:val="es-ES_tradnl"/>
        </w:rPr>
        <w:t>En el marco del Plan de Trabajo de la Comisión Interamericana de Cultura (CIC), se compartieron 30 buenas prácticas con los Estados Miembros en los siguientes temas: fortalecimiento de las industrias creativas y culturales desde la articulación y complementariedad institucional; directrices para la creación de cuentas satélite de cultura; promoción y protección de las expresiones culturales en el ámbito local; posicionamiento del sector de la cultura en las agendas públicas para promover el desarrollo sostenible y “Conmemoración de la Libertad: Abolición de la Esclavitud en las Américas”.</w:t>
      </w:r>
    </w:p>
    <w:p w14:paraId="618867F6" w14:textId="77777777" w:rsidR="008C61A6" w:rsidRPr="003C15F1" w:rsidRDefault="008C61A6" w:rsidP="003C15F1">
      <w:pPr>
        <w:pStyle w:val="ListParagraph"/>
        <w:jc w:val="both"/>
        <w:rPr>
          <w:sz w:val="22"/>
          <w:szCs w:val="22"/>
          <w:lang w:val="es-ES_tradnl"/>
        </w:rPr>
      </w:pPr>
    </w:p>
    <w:p w14:paraId="49092B59" w14:textId="21400C25" w:rsidR="008C61A6" w:rsidRPr="003C15F1" w:rsidRDefault="008C61A6" w:rsidP="00FF59F0">
      <w:pPr>
        <w:pStyle w:val="ListParagraph"/>
        <w:numPr>
          <w:ilvl w:val="0"/>
          <w:numId w:val="18"/>
        </w:numPr>
        <w:pBdr>
          <w:top w:val="nil"/>
          <w:left w:val="nil"/>
          <w:bottom w:val="nil"/>
          <w:right w:val="nil"/>
          <w:between w:val="nil"/>
          <w:bar w:val="nil"/>
        </w:pBdr>
        <w:ind w:left="1440" w:hanging="720"/>
        <w:jc w:val="both"/>
        <w:rPr>
          <w:sz w:val="22"/>
          <w:szCs w:val="22"/>
          <w:lang w:val="es-ES_tradnl"/>
        </w:rPr>
      </w:pPr>
      <w:r w:rsidRPr="003C15F1">
        <w:rPr>
          <w:sz w:val="22"/>
          <w:szCs w:val="22"/>
          <w:lang w:val="es-ES_tradnl"/>
        </w:rPr>
        <w:lastRenderedPageBreak/>
        <w:t xml:space="preserve">Se </w:t>
      </w:r>
      <w:r w:rsidR="00B32961" w:rsidRPr="003C15F1">
        <w:rPr>
          <w:sz w:val="22"/>
          <w:szCs w:val="22"/>
          <w:lang w:val="es-ES_tradnl"/>
        </w:rPr>
        <w:t>organizó</w:t>
      </w:r>
      <w:r w:rsidRPr="003C15F1">
        <w:rPr>
          <w:sz w:val="22"/>
          <w:szCs w:val="22"/>
          <w:lang w:val="es-ES_tradnl"/>
        </w:rPr>
        <w:t xml:space="preserve"> a la </w:t>
      </w:r>
      <w:r w:rsidR="00B32961" w:rsidRPr="003C15F1">
        <w:rPr>
          <w:sz w:val="22"/>
          <w:szCs w:val="22"/>
          <w:lang w:val="es-ES_tradnl"/>
        </w:rPr>
        <w:t>S</w:t>
      </w:r>
      <w:r w:rsidRPr="003C15F1">
        <w:rPr>
          <w:sz w:val="22"/>
          <w:szCs w:val="22"/>
          <w:lang w:val="es-ES_tradnl"/>
        </w:rPr>
        <w:t xml:space="preserve">exta </w:t>
      </w:r>
      <w:r w:rsidR="00B32961" w:rsidRPr="003C15F1">
        <w:rPr>
          <w:sz w:val="22"/>
          <w:szCs w:val="22"/>
          <w:lang w:val="es-ES_tradnl"/>
        </w:rPr>
        <w:t>R</w:t>
      </w:r>
      <w:r w:rsidRPr="003C15F1">
        <w:rPr>
          <w:sz w:val="22"/>
          <w:szCs w:val="22"/>
          <w:lang w:val="es-ES_tradnl"/>
        </w:rPr>
        <w:t xml:space="preserve">eunión </w:t>
      </w:r>
      <w:r w:rsidR="00B32961" w:rsidRPr="003C15F1">
        <w:rPr>
          <w:sz w:val="22"/>
          <w:szCs w:val="22"/>
          <w:lang w:val="es-ES_tradnl"/>
        </w:rPr>
        <w:t>O</w:t>
      </w:r>
      <w:r w:rsidRPr="003C15F1">
        <w:rPr>
          <w:sz w:val="22"/>
          <w:szCs w:val="22"/>
          <w:lang w:val="es-ES_tradnl"/>
        </w:rPr>
        <w:t xml:space="preserve">rdinaria de la Comisión Interamericana de Cultura (CIC) el 27 de abril de 2021, en la que </w:t>
      </w:r>
      <w:r w:rsidR="00B32961" w:rsidRPr="003C15F1">
        <w:rPr>
          <w:sz w:val="22"/>
          <w:szCs w:val="22"/>
          <w:lang w:val="es-ES_tradnl"/>
        </w:rPr>
        <w:t>t</w:t>
      </w:r>
      <w:r w:rsidRPr="003C15F1">
        <w:rPr>
          <w:sz w:val="22"/>
          <w:szCs w:val="22"/>
          <w:lang w:val="es-ES_tradnl"/>
        </w:rPr>
        <w:t xml:space="preserve">reinta y uno (31) Estados </w:t>
      </w:r>
      <w:r w:rsidR="00B32961" w:rsidRPr="003C15F1">
        <w:rPr>
          <w:sz w:val="22"/>
          <w:szCs w:val="22"/>
          <w:lang w:val="es-ES_tradnl"/>
        </w:rPr>
        <w:t>M</w:t>
      </w:r>
      <w:r w:rsidRPr="003C15F1">
        <w:rPr>
          <w:sz w:val="22"/>
          <w:szCs w:val="22"/>
          <w:lang w:val="es-ES_tradnl"/>
        </w:rPr>
        <w:t xml:space="preserve">iembros estuvieron representados.  </w:t>
      </w:r>
      <w:r w:rsidR="00B32961" w:rsidRPr="003C15F1">
        <w:rPr>
          <w:sz w:val="22"/>
          <w:szCs w:val="22"/>
          <w:lang w:val="es-ES_tradnl"/>
        </w:rPr>
        <w:t>Se e</w:t>
      </w:r>
      <w:r w:rsidRPr="003C15F1">
        <w:rPr>
          <w:sz w:val="22"/>
          <w:szCs w:val="22"/>
          <w:lang w:val="es-ES_tradnl"/>
        </w:rPr>
        <w:t xml:space="preserve">valuó los avances e implementación de los mandatos ministeriales y actividades consignadas en el Plan de Trabajo de la CIC y </w:t>
      </w:r>
      <w:r w:rsidR="00B32961" w:rsidRPr="003C15F1">
        <w:rPr>
          <w:sz w:val="22"/>
          <w:szCs w:val="22"/>
          <w:lang w:val="es-ES_tradnl"/>
        </w:rPr>
        <w:t xml:space="preserve">se </w:t>
      </w:r>
      <w:r w:rsidRPr="003C15F1">
        <w:rPr>
          <w:sz w:val="22"/>
          <w:szCs w:val="22"/>
          <w:lang w:val="es-ES_tradnl"/>
        </w:rPr>
        <w:t xml:space="preserve">recibió información actualizada sobre la próxima Reunión Interamericana de </w:t>
      </w:r>
      <w:proofErr w:type="gramStart"/>
      <w:r w:rsidRPr="003C15F1">
        <w:rPr>
          <w:sz w:val="22"/>
          <w:szCs w:val="22"/>
          <w:lang w:val="es-ES_tradnl"/>
        </w:rPr>
        <w:t>Ministros</w:t>
      </w:r>
      <w:proofErr w:type="gramEnd"/>
      <w:r w:rsidRPr="003C15F1">
        <w:rPr>
          <w:sz w:val="22"/>
          <w:szCs w:val="22"/>
          <w:lang w:val="es-ES_tradnl"/>
        </w:rPr>
        <w:t xml:space="preserve"> y Máximas Autoridades de Cultura, a realizarse en 2022 bajo el liderazgo de Guatemala como </w:t>
      </w:r>
      <w:r w:rsidR="00B32961" w:rsidRPr="003C15F1">
        <w:rPr>
          <w:sz w:val="22"/>
          <w:szCs w:val="22"/>
          <w:lang w:val="es-ES_tradnl"/>
        </w:rPr>
        <w:t xml:space="preserve">país </w:t>
      </w:r>
      <w:r w:rsidRPr="003C15F1">
        <w:rPr>
          <w:sz w:val="22"/>
          <w:szCs w:val="22"/>
          <w:lang w:val="es-ES_tradnl"/>
        </w:rPr>
        <w:t xml:space="preserve">anfitrión. </w:t>
      </w:r>
      <w:bookmarkStart w:id="7" w:name="_Hlk87344884"/>
    </w:p>
    <w:p w14:paraId="7FD0CD25" w14:textId="77777777" w:rsidR="008C61A6" w:rsidRPr="006420D2" w:rsidRDefault="008C61A6" w:rsidP="006420D2">
      <w:pPr>
        <w:rPr>
          <w:sz w:val="22"/>
          <w:szCs w:val="22"/>
          <w:lang w:val="es-ES_tradnl"/>
        </w:rPr>
      </w:pPr>
    </w:p>
    <w:p w14:paraId="085B0027" w14:textId="12EA7BF9" w:rsidR="008C61A6" w:rsidRDefault="008C61A6" w:rsidP="00FF59F0">
      <w:pPr>
        <w:pStyle w:val="ListParagraph"/>
        <w:numPr>
          <w:ilvl w:val="0"/>
          <w:numId w:val="18"/>
        </w:numPr>
        <w:pBdr>
          <w:top w:val="nil"/>
          <w:left w:val="nil"/>
          <w:bottom w:val="nil"/>
          <w:right w:val="nil"/>
          <w:between w:val="nil"/>
          <w:bar w:val="nil"/>
        </w:pBdr>
        <w:ind w:left="1440" w:hanging="720"/>
        <w:jc w:val="both"/>
        <w:rPr>
          <w:sz w:val="22"/>
          <w:szCs w:val="22"/>
          <w:lang w:val="es-ES_tradnl"/>
        </w:rPr>
      </w:pPr>
      <w:r w:rsidRPr="003C15F1">
        <w:rPr>
          <w:sz w:val="22"/>
          <w:szCs w:val="22"/>
          <w:lang w:val="es-ES_tradnl"/>
        </w:rPr>
        <w:t>Avance en la ejecución del proyecto Fortalecimiento de la Resiliencia de las Pequeñas Empresas Turísticas del Caribe ante los Desastres.</w:t>
      </w:r>
    </w:p>
    <w:p w14:paraId="235E5C04" w14:textId="77777777" w:rsidR="00B54C80" w:rsidRPr="00B54C80" w:rsidRDefault="00B54C80" w:rsidP="00B54C80">
      <w:pPr>
        <w:pStyle w:val="ListParagraph"/>
        <w:rPr>
          <w:sz w:val="22"/>
          <w:szCs w:val="22"/>
          <w:lang w:val="es-ES_tradnl"/>
        </w:rPr>
      </w:pPr>
    </w:p>
    <w:p w14:paraId="26218773" w14:textId="4BEE39D1" w:rsidR="008C61A6" w:rsidRDefault="008C61A6" w:rsidP="00FF59F0">
      <w:pPr>
        <w:pStyle w:val="ListParagraph"/>
        <w:numPr>
          <w:ilvl w:val="0"/>
          <w:numId w:val="30"/>
        </w:numPr>
        <w:pBdr>
          <w:top w:val="nil"/>
          <w:left w:val="nil"/>
          <w:bottom w:val="nil"/>
          <w:right w:val="nil"/>
          <w:between w:val="nil"/>
          <w:bar w:val="nil"/>
        </w:pBdr>
        <w:ind w:left="1800"/>
        <w:jc w:val="both"/>
        <w:rPr>
          <w:sz w:val="22"/>
          <w:szCs w:val="22"/>
          <w:lang w:val="es-ES_tradnl"/>
        </w:rPr>
      </w:pPr>
      <w:r w:rsidRPr="003C15F1">
        <w:rPr>
          <w:sz w:val="22"/>
          <w:szCs w:val="22"/>
          <w:lang w:val="es-ES_tradnl"/>
        </w:rPr>
        <w:t>Capacidad mejorada en Preparación y Manejo de Emergencias en nueve países del Caribe, con 23 miembros del personal de manejo de emergencias que completaron el Equipo Básico de Respuesta a Emergencias de la Comunidad (CERT).</w:t>
      </w:r>
    </w:p>
    <w:p w14:paraId="6F5611DA" w14:textId="0ED42413" w:rsidR="008C61A6" w:rsidRDefault="008C61A6" w:rsidP="00FF59F0">
      <w:pPr>
        <w:pStyle w:val="ListParagraph"/>
        <w:numPr>
          <w:ilvl w:val="0"/>
          <w:numId w:val="30"/>
        </w:numPr>
        <w:pBdr>
          <w:top w:val="nil"/>
          <w:left w:val="nil"/>
          <w:bottom w:val="nil"/>
          <w:right w:val="nil"/>
          <w:between w:val="nil"/>
          <w:bar w:val="nil"/>
        </w:pBdr>
        <w:ind w:left="1800"/>
        <w:jc w:val="both"/>
        <w:rPr>
          <w:sz w:val="22"/>
          <w:szCs w:val="22"/>
          <w:lang w:val="es-ES_tradnl"/>
        </w:rPr>
      </w:pPr>
      <w:r w:rsidRPr="003C15F1">
        <w:rPr>
          <w:sz w:val="22"/>
          <w:szCs w:val="22"/>
          <w:lang w:val="es-ES_tradnl"/>
        </w:rPr>
        <w:t>En colaboración con la Asociación de Hoteles y Turismo del Caribe (CHTA) se elaboró una Evaluación de Desafíos para la Continuidad Comercial de Pequeñas Empresas de Turismo después de un desastre, y validó los hallazgos de la evaluación a través de un Foro de múltiples partes interesadas con más de 60 participantes de la industria.</w:t>
      </w:r>
    </w:p>
    <w:p w14:paraId="53F7D88C" w14:textId="77777777" w:rsidR="008C61A6" w:rsidRPr="003C15F1" w:rsidRDefault="008C61A6" w:rsidP="00FF59F0">
      <w:pPr>
        <w:pStyle w:val="ListParagraph"/>
        <w:numPr>
          <w:ilvl w:val="0"/>
          <w:numId w:val="30"/>
        </w:numPr>
        <w:pBdr>
          <w:top w:val="nil"/>
          <w:left w:val="nil"/>
          <w:bottom w:val="nil"/>
          <w:right w:val="nil"/>
          <w:between w:val="nil"/>
          <w:bar w:val="nil"/>
        </w:pBdr>
        <w:ind w:left="1800"/>
        <w:jc w:val="both"/>
        <w:rPr>
          <w:sz w:val="22"/>
          <w:szCs w:val="22"/>
          <w:lang w:val="es-ES_tradnl"/>
        </w:rPr>
      </w:pPr>
      <w:r w:rsidRPr="003C15F1">
        <w:rPr>
          <w:sz w:val="22"/>
          <w:szCs w:val="22"/>
          <w:lang w:val="es-ES_tradnl"/>
        </w:rPr>
        <w:t xml:space="preserve">En colaboración con la Universidad de las Indias Occidentales (UWI) a través de su Instituto para el Desarrollo Sostenible y el Centro de Reducción del Riesgo de Desastres, se capacitó a más de 50 propietarios, operadores y personal de pequeñas empresas turísticas para preparar, ejecutar, revisar y actualizar sus planes de contingencia </w:t>
      </w:r>
      <w:proofErr w:type="spellStart"/>
      <w:r w:rsidRPr="003C15F1">
        <w:rPr>
          <w:sz w:val="22"/>
          <w:szCs w:val="22"/>
          <w:lang w:val="es-ES_tradnl"/>
        </w:rPr>
        <w:t>multirriesgos</w:t>
      </w:r>
      <w:proofErr w:type="spellEnd"/>
      <w:r w:rsidRPr="003C15F1">
        <w:rPr>
          <w:sz w:val="22"/>
          <w:szCs w:val="22"/>
          <w:lang w:val="es-ES_tradnl"/>
        </w:rPr>
        <w:t xml:space="preserve"> para la continuidad del negocio.</w:t>
      </w:r>
      <w:bookmarkEnd w:id="7"/>
    </w:p>
    <w:p w14:paraId="663B528A" w14:textId="77777777" w:rsidR="008C61A6" w:rsidRPr="006420D2" w:rsidRDefault="008C61A6" w:rsidP="006420D2">
      <w:pPr>
        <w:jc w:val="both"/>
        <w:rPr>
          <w:sz w:val="22"/>
          <w:szCs w:val="22"/>
          <w:lang w:val="es-ES_tradnl"/>
        </w:rPr>
      </w:pPr>
    </w:p>
    <w:p w14:paraId="0CDA769D" w14:textId="77777777" w:rsidR="008C61A6" w:rsidRPr="003C15F1" w:rsidRDefault="008C61A6" w:rsidP="00FF59F0">
      <w:pPr>
        <w:pStyle w:val="ListParagraph"/>
        <w:numPr>
          <w:ilvl w:val="0"/>
          <w:numId w:val="21"/>
        </w:numPr>
        <w:pBdr>
          <w:top w:val="nil"/>
          <w:left w:val="nil"/>
          <w:bottom w:val="nil"/>
          <w:right w:val="nil"/>
          <w:between w:val="nil"/>
          <w:bar w:val="nil"/>
        </w:pBdr>
        <w:ind w:left="1440" w:hanging="720"/>
        <w:jc w:val="both"/>
        <w:rPr>
          <w:sz w:val="22"/>
          <w:szCs w:val="22"/>
          <w:lang w:val="es-ES_tradnl"/>
        </w:rPr>
      </w:pPr>
      <w:r w:rsidRPr="003C15F1">
        <w:rPr>
          <w:sz w:val="22"/>
          <w:szCs w:val="22"/>
          <w:lang w:val="es-ES_tradnl"/>
        </w:rPr>
        <w:t xml:space="preserve">En asociación con la </w:t>
      </w:r>
      <w:r w:rsidRPr="003C15F1">
        <w:rPr>
          <w:i/>
          <w:iCs/>
          <w:sz w:val="22"/>
          <w:szCs w:val="22"/>
          <w:lang w:val="es-ES_tradnl"/>
        </w:rPr>
        <w:t xml:space="preserve">American Hotel and </w:t>
      </w:r>
      <w:proofErr w:type="spellStart"/>
      <w:r w:rsidRPr="003C15F1">
        <w:rPr>
          <w:i/>
          <w:iCs/>
          <w:sz w:val="22"/>
          <w:szCs w:val="22"/>
          <w:lang w:val="es-ES_tradnl"/>
        </w:rPr>
        <w:t>Lodging</w:t>
      </w:r>
      <w:proofErr w:type="spellEnd"/>
      <w:r w:rsidRPr="003C15F1">
        <w:rPr>
          <w:i/>
          <w:iCs/>
          <w:sz w:val="22"/>
          <w:szCs w:val="22"/>
          <w:lang w:val="es-ES_tradnl"/>
        </w:rPr>
        <w:t xml:space="preserve"> </w:t>
      </w:r>
      <w:proofErr w:type="spellStart"/>
      <w:r w:rsidRPr="003C15F1">
        <w:rPr>
          <w:i/>
          <w:iCs/>
          <w:sz w:val="22"/>
          <w:szCs w:val="22"/>
          <w:lang w:val="es-ES_tradnl"/>
        </w:rPr>
        <w:t>Educational</w:t>
      </w:r>
      <w:proofErr w:type="spellEnd"/>
      <w:r w:rsidRPr="003C15F1">
        <w:rPr>
          <w:i/>
          <w:iCs/>
          <w:sz w:val="22"/>
          <w:szCs w:val="22"/>
          <w:lang w:val="es-ES_tradnl"/>
        </w:rPr>
        <w:t xml:space="preserve"> </w:t>
      </w:r>
      <w:proofErr w:type="spellStart"/>
      <w:r w:rsidRPr="003C15F1">
        <w:rPr>
          <w:i/>
          <w:iCs/>
          <w:sz w:val="22"/>
          <w:szCs w:val="22"/>
          <w:lang w:val="es-ES_tradnl"/>
        </w:rPr>
        <w:t>Institute</w:t>
      </w:r>
      <w:proofErr w:type="spellEnd"/>
      <w:r w:rsidRPr="003C15F1">
        <w:rPr>
          <w:sz w:val="22"/>
          <w:szCs w:val="22"/>
          <w:lang w:val="es-ES_tradnl"/>
        </w:rPr>
        <w:t>, se habilitaron nuevos programas impulsados por la industria y basados en competencias para instituciones vocacionales con empresas de hotelería y turismo y gobiernos, para abordar los desafíos del mercado laboral y las brechas en habilidades.</w:t>
      </w:r>
    </w:p>
    <w:p w14:paraId="34052FE4" w14:textId="77777777" w:rsidR="008C61A6" w:rsidRPr="006420D2" w:rsidRDefault="008C61A6" w:rsidP="006420D2">
      <w:pPr>
        <w:jc w:val="both"/>
        <w:rPr>
          <w:sz w:val="22"/>
          <w:szCs w:val="22"/>
          <w:lang w:val="es-ES_tradnl"/>
        </w:rPr>
      </w:pPr>
    </w:p>
    <w:p w14:paraId="460B02E9" w14:textId="24907A1E" w:rsidR="008C61A6" w:rsidRDefault="008C61A6" w:rsidP="00FF59F0">
      <w:pPr>
        <w:pStyle w:val="ListParagraph"/>
        <w:numPr>
          <w:ilvl w:val="0"/>
          <w:numId w:val="21"/>
        </w:numPr>
        <w:pBdr>
          <w:top w:val="nil"/>
          <w:left w:val="nil"/>
          <w:bottom w:val="nil"/>
          <w:right w:val="nil"/>
          <w:between w:val="nil"/>
          <w:bar w:val="nil"/>
        </w:pBdr>
        <w:ind w:left="1440" w:hanging="720"/>
        <w:jc w:val="both"/>
        <w:rPr>
          <w:sz w:val="22"/>
          <w:szCs w:val="22"/>
          <w:lang w:val="es-ES_tradnl"/>
        </w:rPr>
      </w:pPr>
      <w:r w:rsidRPr="003C15F1">
        <w:rPr>
          <w:sz w:val="22"/>
          <w:szCs w:val="22"/>
          <w:lang w:val="es-ES_tradnl"/>
        </w:rPr>
        <w:t xml:space="preserve">En asociación con el Departamento del Interior de los Estados Unidos y el Instituto Internacional de Estudios Turísticos de la Universidad de George Washington, se estableció el Diálogo de Turismo Indígena de las Américas a través de su lanzamiento durante dos eventos celebrados en el Vigésimo Quinto Congreso Interamericano de </w:t>
      </w:r>
      <w:proofErr w:type="gramStart"/>
      <w:r w:rsidRPr="003C15F1">
        <w:rPr>
          <w:sz w:val="22"/>
          <w:szCs w:val="22"/>
          <w:lang w:val="es-ES_tradnl"/>
        </w:rPr>
        <w:t>Ministros</w:t>
      </w:r>
      <w:proofErr w:type="gramEnd"/>
      <w:r w:rsidRPr="003C15F1">
        <w:rPr>
          <w:sz w:val="22"/>
          <w:szCs w:val="22"/>
          <w:lang w:val="es-ES_tradnl"/>
        </w:rPr>
        <w:t xml:space="preserve"> y Altas Autoridades de Turismo (6 de octubre) y el Día de los Pueblos Indígenas (11 de octubre), respectivamente.</w:t>
      </w:r>
    </w:p>
    <w:p w14:paraId="67083D5A" w14:textId="77777777" w:rsidR="00B54C80" w:rsidRPr="00B54C80" w:rsidRDefault="00B54C80" w:rsidP="00B54C80">
      <w:pPr>
        <w:pStyle w:val="ListParagraph"/>
        <w:rPr>
          <w:sz w:val="22"/>
          <w:szCs w:val="22"/>
          <w:lang w:val="es-ES_tradnl"/>
        </w:rPr>
      </w:pPr>
    </w:p>
    <w:p w14:paraId="3C01BD06" w14:textId="4CB8FAE4" w:rsidR="005F0C49" w:rsidRDefault="008C61A6" w:rsidP="00FF59F0">
      <w:pPr>
        <w:pStyle w:val="ListParagraph"/>
        <w:numPr>
          <w:ilvl w:val="0"/>
          <w:numId w:val="31"/>
        </w:numPr>
        <w:ind w:left="1800"/>
        <w:jc w:val="both"/>
        <w:rPr>
          <w:sz w:val="22"/>
          <w:szCs w:val="22"/>
          <w:lang w:val="es-ES_tradnl"/>
        </w:rPr>
      </w:pPr>
      <w:r w:rsidRPr="003C15F1">
        <w:rPr>
          <w:sz w:val="22"/>
          <w:szCs w:val="22"/>
          <w:lang w:val="es-ES_tradnl"/>
        </w:rPr>
        <w:t>El Diálogo es una red de 100 líderes indígenas y organizaciones de la industria del turismo en las Américas constituido para intercambiar ideas, experiencias y fomentar el diálogo para impulsar la colaboración en apoyo del desarrollo y el crecimiento sostenible de las comunidades indígenas en las Américas. Las prioridades actuales del Diálogo incluyen: 1) Recuperación de Covid-19; 2) Creación de capacidades, sostenibilidad y tecnología; y 3) Respeto, representación e inclusión en la planificación y desarrollo en el gobierno y la industria.</w:t>
      </w:r>
    </w:p>
    <w:p w14:paraId="6F7DCF2C" w14:textId="77777777" w:rsidR="006420D2" w:rsidRPr="003C15F1" w:rsidRDefault="006420D2" w:rsidP="006420D2">
      <w:pPr>
        <w:pStyle w:val="ListParagraph"/>
        <w:ind w:left="1800"/>
        <w:jc w:val="both"/>
        <w:rPr>
          <w:sz w:val="22"/>
          <w:szCs w:val="22"/>
          <w:lang w:val="es-ES_tradnl"/>
        </w:rPr>
      </w:pPr>
    </w:p>
    <w:p w14:paraId="6CBF6517" w14:textId="2957DE20" w:rsidR="008C61A6" w:rsidRPr="003C15F1" w:rsidRDefault="008C61A6" w:rsidP="00FF59F0">
      <w:pPr>
        <w:pStyle w:val="ListParagraph"/>
        <w:numPr>
          <w:ilvl w:val="0"/>
          <w:numId w:val="24"/>
        </w:numPr>
        <w:pBdr>
          <w:top w:val="nil"/>
          <w:left w:val="nil"/>
          <w:bottom w:val="nil"/>
          <w:right w:val="nil"/>
          <w:between w:val="nil"/>
          <w:bar w:val="nil"/>
        </w:pBdr>
        <w:ind w:left="1440" w:hanging="720"/>
        <w:jc w:val="both"/>
        <w:rPr>
          <w:sz w:val="22"/>
          <w:szCs w:val="22"/>
          <w:lang w:val="es-ES_tradnl"/>
        </w:rPr>
      </w:pPr>
      <w:r w:rsidRPr="003C15F1">
        <w:rPr>
          <w:sz w:val="22"/>
          <w:szCs w:val="22"/>
          <w:lang w:val="es-ES_tradnl"/>
        </w:rPr>
        <w:t xml:space="preserve">Se </w:t>
      </w:r>
      <w:r w:rsidR="005F0C49" w:rsidRPr="003C15F1">
        <w:rPr>
          <w:sz w:val="22"/>
          <w:szCs w:val="22"/>
          <w:lang w:val="es-ES_tradnl"/>
        </w:rPr>
        <w:t xml:space="preserve">organizaron </w:t>
      </w:r>
      <w:r w:rsidRPr="003C15F1">
        <w:rPr>
          <w:sz w:val="22"/>
          <w:szCs w:val="22"/>
          <w:lang w:val="es-ES_tradnl"/>
        </w:rPr>
        <w:t>la Tercera y Cuarta Reuniones Extraordinarias de la</w:t>
      </w:r>
      <w:r w:rsidR="0026729E" w:rsidRPr="003C15F1">
        <w:rPr>
          <w:sz w:val="22"/>
          <w:szCs w:val="22"/>
          <w:lang w:val="es-ES_tradnl"/>
        </w:rPr>
        <w:t xml:space="preserve"> Comisión Interamericana de Turismo (</w:t>
      </w:r>
      <w:r w:rsidRPr="003C15F1">
        <w:rPr>
          <w:sz w:val="22"/>
          <w:szCs w:val="22"/>
          <w:lang w:val="es-ES_tradnl"/>
        </w:rPr>
        <w:t>CITUR</w:t>
      </w:r>
      <w:r w:rsidR="0026729E" w:rsidRPr="003C15F1">
        <w:rPr>
          <w:sz w:val="22"/>
          <w:szCs w:val="22"/>
          <w:lang w:val="es-ES_tradnl"/>
        </w:rPr>
        <w:t>)</w:t>
      </w:r>
      <w:r w:rsidRPr="003C15F1">
        <w:rPr>
          <w:sz w:val="22"/>
          <w:szCs w:val="22"/>
          <w:lang w:val="es-ES_tradnl"/>
        </w:rPr>
        <w:t xml:space="preserve"> los días 26 de marzo de 2021 y el 28 de junio de 2021,</w:t>
      </w:r>
      <w:r w:rsidR="005F0C49" w:rsidRPr="003C15F1">
        <w:rPr>
          <w:sz w:val="22"/>
          <w:szCs w:val="22"/>
          <w:lang w:val="es-ES_tradnl"/>
        </w:rPr>
        <w:t xml:space="preserve"> </w:t>
      </w:r>
      <w:r w:rsidRPr="003C15F1">
        <w:rPr>
          <w:sz w:val="22"/>
          <w:szCs w:val="22"/>
          <w:lang w:val="es-ES_tradnl"/>
        </w:rPr>
        <w:t>con la asistencia de</w:t>
      </w:r>
      <w:r w:rsidR="0026729E" w:rsidRPr="003C15F1">
        <w:rPr>
          <w:sz w:val="22"/>
          <w:szCs w:val="22"/>
          <w:lang w:val="es-ES_tradnl"/>
        </w:rPr>
        <w:t xml:space="preserve"> representantes</w:t>
      </w:r>
      <w:r w:rsidRPr="003C15F1">
        <w:rPr>
          <w:sz w:val="22"/>
          <w:szCs w:val="22"/>
          <w:lang w:val="es-ES_tradnl"/>
        </w:rPr>
        <w:t xml:space="preserve"> 30 y 22 Estados </w:t>
      </w:r>
      <w:r w:rsidR="0026729E" w:rsidRPr="003C15F1">
        <w:rPr>
          <w:sz w:val="22"/>
          <w:szCs w:val="22"/>
          <w:lang w:val="es-ES_tradnl"/>
        </w:rPr>
        <w:t>M</w:t>
      </w:r>
      <w:r w:rsidRPr="003C15F1">
        <w:rPr>
          <w:sz w:val="22"/>
          <w:szCs w:val="22"/>
          <w:lang w:val="es-ES_tradnl"/>
        </w:rPr>
        <w:t xml:space="preserve">iembros, respectivamente. </w:t>
      </w:r>
      <w:r w:rsidRPr="003C15F1">
        <w:rPr>
          <w:sz w:val="22"/>
          <w:szCs w:val="22"/>
          <w:lang w:val="es-ES_tradnl"/>
        </w:rPr>
        <w:lastRenderedPageBreak/>
        <w:t xml:space="preserve">Estas </w:t>
      </w:r>
      <w:r w:rsidR="0026729E" w:rsidRPr="003C15F1">
        <w:rPr>
          <w:sz w:val="22"/>
          <w:szCs w:val="22"/>
          <w:lang w:val="es-ES_tradnl"/>
        </w:rPr>
        <w:t>R</w:t>
      </w:r>
      <w:r w:rsidRPr="003C15F1">
        <w:rPr>
          <w:sz w:val="22"/>
          <w:szCs w:val="22"/>
          <w:lang w:val="es-ES_tradnl"/>
        </w:rPr>
        <w:t xml:space="preserve">euniones sirvieron de foro a los Estados </w:t>
      </w:r>
      <w:r w:rsidR="0026729E" w:rsidRPr="003C15F1">
        <w:rPr>
          <w:sz w:val="22"/>
          <w:szCs w:val="22"/>
          <w:lang w:val="es-ES_tradnl"/>
        </w:rPr>
        <w:t>M</w:t>
      </w:r>
      <w:r w:rsidRPr="003C15F1">
        <w:rPr>
          <w:sz w:val="22"/>
          <w:szCs w:val="22"/>
          <w:lang w:val="es-ES_tradnl"/>
        </w:rPr>
        <w:t xml:space="preserve">iembros para revisar los avances de los Grupos de Trabajo de la CITUR, discutir medidas para abordar el impacto de la pandemia y reactivar el sector de viajes y turismo, así como para prepararse para el período </w:t>
      </w:r>
      <w:proofErr w:type="spellStart"/>
      <w:r w:rsidRPr="003C15F1">
        <w:rPr>
          <w:sz w:val="22"/>
          <w:szCs w:val="22"/>
          <w:lang w:val="es-ES_tradnl"/>
        </w:rPr>
        <w:t>pospandémico</w:t>
      </w:r>
      <w:proofErr w:type="spellEnd"/>
      <w:r w:rsidRPr="003C15F1">
        <w:rPr>
          <w:sz w:val="22"/>
          <w:szCs w:val="22"/>
          <w:lang w:val="es-ES_tradnl"/>
        </w:rPr>
        <w:t>.</w:t>
      </w:r>
    </w:p>
    <w:p w14:paraId="05960D3C" w14:textId="77777777" w:rsidR="008C61A6" w:rsidRPr="003C15F1" w:rsidRDefault="008C61A6" w:rsidP="003C15F1">
      <w:pPr>
        <w:pStyle w:val="ListParagraph"/>
        <w:jc w:val="both"/>
        <w:rPr>
          <w:sz w:val="22"/>
          <w:szCs w:val="22"/>
          <w:lang w:val="es-ES_tradnl"/>
        </w:rPr>
      </w:pPr>
    </w:p>
    <w:p w14:paraId="68865D3C" w14:textId="46A47D63" w:rsidR="008C61A6" w:rsidRPr="003C15F1" w:rsidRDefault="008C61A6" w:rsidP="00FF59F0">
      <w:pPr>
        <w:pStyle w:val="ListParagraph"/>
        <w:numPr>
          <w:ilvl w:val="0"/>
          <w:numId w:val="32"/>
        </w:numPr>
        <w:pBdr>
          <w:top w:val="nil"/>
          <w:left w:val="nil"/>
          <w:bottom w:val="nil"/>
          <w:right w:val="nil"/>
          <w:between w:val="nil"/>
          <w:bar w:val="nil"/>
        </w:pBdr>
        <w:jc w:val="both"/>
        <w:rPr>
          <w:sz w:val="22"/>
          <w:szCs w:val="22"/>
          <w:lang w:val="es-ES_tradnl"/>
        </w:rPr>
      </w:pPr>
      <w:r w:rsidRPr="003C15F1">
        <w:rPr>
          <w:sz w:val="22"/>
          <w:szCs w:val="22"/>
          <w:lang w:val="es-ES_tradnl"/>
        </w:rPr>
        <w:t xml:space="preserve">Se </w:t>
      </w:r>
      <w:r w:rsidR="0026729E" w:rsidRPr="003C15F1">
        <w:rPr>
          <w:sz w:val="22"/>
          <w:szCs w:val="22"/>
          <w:lang w:val="es-ES_tradnl"/>
        </w:rPr>
        <w:t>organizó e</w:t>
      </w:r>
      <w:r w:rsidRPr="003C15F1">
        <w:rPr>
          <w:sz w:val="22"/>
          <w:szCs w:val="22"/>
          <w:lang w:val="es-ES_tradnl"/>
        </w:rPr>
        <w:t xml:space="preserve">l XXV Congreso Interamericano de </w:t>
      </w:r>
      <w:proofErr w:type="gramStart"/>
      <w:r w:rsidRPr="003C15F1">
        <w:rPr>
          <w:sz w:val="22"/>
          <w:szCs w:val="22"/>
          <w:lang w:val="es-ES_tradnl"/>
        </w:rPr>
        <w:t>Ministros</w:t>
      </w:r>
      <w:proofErr w:type="gramEnd"/>
      <w:r w:rsidRPr="003C15F1">
        <w:rPr>
          <w:sz w:val="22"/>
          <w:szCs w:val="22"/>
          <w:lang w:val="es-ES_tradnl"/>
        </w:rPr>
        <w:t xml:space="preserve"> y Altas Autoridades de Turismo, celebrado virtualmente el 6 de octubre de 2021, </w:t>
      </w:r>
      <w:r w:rsidR="0026729E" w:rsidRPr="003C15F1">
        <w:rPr>
          <w:sz w:val="22"/>
          <w:szCs w:val="22"/>
          <w:lang w:val="es-ES_tradnl"/>
        </w:rPr>
        <w:t xml:space="preserve">que </w:t>
      </w:r>
      <w:r w:rsidRPr="003C15F1">
        <w:rPr>
          <w:sz w:val="22"/>
          <w:szCs w:val="22"/>
          <w:lang w:val="es-ES_tradnl"/>
        </w:rPr>
        <w:t>adoptó la Declaración de Paraguay: documento: CIDI</w:t>
      </w:r>
      <w:r w:rsidR="0026729E" w:rsidRPr="003C15F1">
        <w:rPr>
          <w:sz w:val="22"/>
          <w:szCs w:val="22"/>
          <w:lang w:val="es-ES_tradnl"/>
        </w:rPr>
        <w:t>/</w:t>
      </w:r>
      <w:r w:rsidRPr="003C15F1">
        <w:rPr>
          <w:sz w:val="22"/>
          <w:szCs w:val="22"/>
          <w:lang w:val="es-ES_tradnl"/>
        </w:rPr>
        <w:t>TUR-XXV/DEC.1/2</w:t>
      </w:r>
      <w:r w:rsidR="00BB148C" w:rsidRPr="003C15F1">
        <w:rPr>
          <w:sz w:val="22"/>
          <w:szCs w:val="22"/>
          <w:lang w:val="es-ES_tradnl"/>
        </w:rPr>
        <w:t xml:space="preserve"> sobre e</w:t>
      </w:r>
      <w:r w:rsidRPr="003C15F1">
        <w:rPr>
          <w:sz w:val="22"/>
          <w:szCs w:val="22"/>
          <w:lang w:val="es-ES_tradnl"/>
        </w:rPr>
        <w:t xml:space="preserve">l tema de la </w:t>
      </w:r>
      <w:r w:rsidR="00BB148C" w:rsidRPr="003C15F1">
        <w:rPr>
          <w:sz w:val="22"/>
          <w:szCs w:val="22"/>
          <w:lang w:val="es-ES_tradnl"/>
        </w:rPr>
        <w:t>R</w:t>
      </w:r>
      <w:r w:rsidRPr="003C15F1">
        <w:rPr>
          <w:sz w:val="22"/>
          <w:szCs w:val="22"/>
          <w:lang w:val="es-ES_tradnl"/>
        </w:rPr>
        <w:t xml:space="preserve">eunión </w:t>
      </w:r>
      <w:r w:rsidR="00BB148C" w:rsidRPr="003C15F1">
        <w:rPr>
          <w:sz w:val="22"/>
          <w:szCs w:val="22"/>
          <w:lang w:val="es-ES_tradnl"/>
        </w:rPr>
        <w:t>“</w:t>
      </w:r>
      <w:r w:rsidRPr="003C15F1">
        <w:rPr>
          <w:sz w:val="22"/>
          <w:szCs w:val="22"/>
          <w:lang w:val="es-ES_tradnl"/>
        </w:rPr>
        <w:t>Hacia la reconstrucción y reactivación del turismo post COVID-19</w:t>
      </w:r>
      <w:r w:rsidR="00BB148C" w:rsidRPr="003C15F1">
        <w:rPr>
          <w:sz w:val="22"/>
          <w:szCs w:val="22"/>
          <w:lang w:val="es-ES_tradnl"/>
        </w:rPr>
        <w:t>”</w:t>
      </w:r>
      <w:r w:rsidRPr="003C15F1">
        <w:rPr>
          <w:sz w:val="22"/>
          <w:szCs w:val="22"/>
          <w:lang w:val="es-ES_tradnl"/>
        </w:rPr>
        <w:t xml:space="preserve">. Ministros y autoridades de alto nivel de treinta 30 </w:t>
      </w:r>
      <w:r w:rsidR="00BB148C" w:rsidRPr="003C15F1">
        <w:rPr>
          <w:sz w:val="22"/>
          <w:szCs w:val="22"/>
          <w:lang w:val="es-ES_tradnl"/>
        </w:rPr>
        <w:t>E</w:t>
      </w:r>
      <w:r w:rsidRPr="003C15F1">
        <w:rPr>
          <w:sz w:val="22"/>
          <w:szCs w:val="22"/>
          <w:lang w:val="es-ES_tradnl"/>
        </w:rPr>
        <w:t xml:space="preserve">stados </w:t>
      </w:r>
      <w:r w:rsidR="00BB148C" w:rsidRPr="003C15F1">
        <w:rPr>
          <w:sz w:val="22"/>
          <w:szCs w:val="22"/>
          <w:lang w:val="es-ES_tradnl"/>
        </w:rPr>
        <w:t>M</w:t>
      </w:r>
      <w:r w:rsidRPr="003C15F1">
        <w:rPr>
          <w:sz w:val="22"/>
          <w:szCs w:val="22"/>
          <w:lang w:val="es-ES_tradnl"/>
        </w:rPr>
        <w:t>iembros compartieron estrategias para mitigar los efectos adversos de</w:t>
      </w:r>
      <w:r w:rsidR="00BB148C" w:rsidRPr="003C15F1">
        <w:rPr>
          <w:sz w:val="22"/>
          <w:szCs w:val="22"/>
          <w:lang w:val="es-ES_tradnl"/>
        </w:rPr>
        <w:t xml:space="preserve"> </w:t>
      </w:r>
      <w:r w:rsidRPr="003C15F1">
        <w:rPr>
          <w:sz w:val="22"/>
          <w:szCs w:val="22"/>
          <w:lang w:val="es-ES_tradnl"/>
        </w:rPr>
        <w:t>l</w:t>
      </w:r>
      <w:r w:rsidR="00BB148C" w:rsidRPr="003C15F1">
        <w:rPr>
          <w:sz w:val="22"/>
          <w:szCs w:val="22"/>
          <w:lang w:val="es-ES_tradnl"/>
        </w:rPr>
        <w:t>a</w:t>
      </w:r>
      <w:r w:rsidRPr="003C15F1">
        <w:rPr>
          <w:sz w:val="22"/>
          <w:szCs w:val="22"/>
          <w:lang w:val="es-ES_tradnl"/>
        </w:rPr>
        <w:t xml:space="preserve"> COVID-19 en el turismo y sus iniciativas relacionadas con el turismo pos</w:t>
      </w:r>
      <w:r w:rsidR="00BB148C" w:rsidRPr="003C15F1">
        <w:rPr>
          <w:sz w:val="22"/>
          <w:szCs w:val="22"/>
          <w:lang w:val="es-ES_tradnl"/>
        </w:rPr>
        <w:t>t-</w:t>
      </w:r>
      <w:r w:rsidRPr="003C15F1">
        <w:rPr>
          <w:sz w:val="22"/>
          <w:szCs w:val="22"/>
          <w:lang w:val="es-ES_tradnl"/>
        </w:rPr>
        <w:t xml:space="preserve">COVID-19. </w:t>
      </w:r>
      <w:r w:rsidR="00BB148C" w:rsidRPr="003C15F1">
        <w:rPr>
          <w:sz w:val="22"/>
          <w:szCs w:val="22"/>
          <w:lang w:val="es-ES_tradnl"/>
        </w:rPr>
        <w:t xml:space="preserve">El Congreso aceptó el ofrecimiento del </w:t>
      </w:r>
      <w:r w:rsidRPr="003C15F1">
        <w:rPr>
          <w:sz w:val="22"/>
          <w:szCs w:val="22"/>
          <w:lang w:val="es-ES_tradnl"/>
        </w:rPr>
        <w:t xml:space="preserve">Ecuador </w:t>
      </w:r>
      <w:r w:rsidR="00BB148C" w:rsidRPr="003C15F1">
        <w:rPr>
          <w:sz w:val="22"/>
          <w:szCs w:val="22"/>
          <w:lang w:val="es-ES_tradnl"/>
        </w:rPr>
        <w:t>para</w:t>
      </w:r>
      <w:r w:rsidRPr="003C15F1">
        <w:rPr>
          <w:sz w:val="22"/>
          <w:szCs w:val="22"/>
          <w:lang w:val="es-ES_tradnl"/>
        </w:rPr>
        <w:t xml:space="preserve"> ser sede del XXVI Congreso Interamericano de </w:t>
      </w:r>
      <w:proofErr w:type="gramStart"/>
      <w:r w:rsidRPr="003C15F1">
        <w:rPr>
          <w:sz w:val="22"/>
          <w:szCs w:val="22"/>
          <w:lang w:val="es-ES_tradnl"/>
        </w:rPr>
        <w:t>Ministros</w:t>
      </w:r>
      <w:proofErr w:type="gramEnd"/>
      <w:r w:rsidRPr="003C15F1">
        <w:rPr>
          <w:sz w:val="22"/>
          <w:szCs w:val="22"/>
          <w:lang w:val="es-ES_tradnl"/>
        </w:rPr>
        <w:t xml:space="preserve"> y Altas Autoridades de Turismo en 2024.</w:t>
      </w:r>
    </w:p>
    <w:p w14:paraId="05B3A79C" w14:textId="77777777" w:rsidR="008C61A6" w:rsidRPr="003C15F1" w:rsidRDefault="008C61A6" w:rsidP="003C15F1">
      <w:pPr>
        <w:pStyle w:val="ListParagraph"/>
        <w:rPr>
          <w:sz w:val="22"/>
          <w:szCs w:val="22"/>
          <w:lang w:val="es-ES_tradnl"/>
        </w:rPr>
      </w:pPr>
    </w:p>
    <w:p w14:paraId="5831B2DC" w14:textId="785C6C75" w:rsidR="008C61A6" w:rsidRPr="003C15F1" w:rsidRDefault="008C61A6" w:rsidP="00FF59F0">
      <w:pPr>
        <w:pStyle w:val="ListParagraph"/>
        <w:numPr>
          <w:ilvl w:val="0"/>
          <w:numId w:val="24"/>
        </w:numPr>
        <w:pBdr>
          <w:top w:val="nil"/>
          <w:left w:val="nil"/>
          <w:bottom w:val="nil"/>
          <w:right w:val="nil"/>
          <w:between w:val="nil"/>
          <w:bar w:val="nil"/>
        </w:pBdr>
        <w:ind w:left="1440" w:hanging="720"/>
        <w:jc w:val="both"/>
        <w:rPr>
          <w:sz w:val="22"/>
          <w:szCs w:val="22"/>
          <w:lang w:val="es-ES_tradnl"/>
        </w:rPr>
      </w:pPr>
      <w:r w:rsidRPr="003C15F1">
        <w:rPr>
          <w:sz w:val="22"/>
          <w:szCs w:val="22"/>
          <w:lang w:val="es-ES_tradnl"/>
        </w:rPr>
        <w:t xml:space="preserve">Se asoció con el Banco Interamericano de Desarrollo y la Organización Mundial de Turismo (OMT) para apoyar a los Estados </w:t>
      </w:r>
      <w:r w:rsidR="00BB148C" w:rsidRPr="003C15F1">
        <w:rPr>
          <w:sz w:val="22"/>
          <w:szCs w:val="22"/>
          <w:lang w:val="es-ES_tradnl"/>
        </w:rPr>
        <w:t>M</w:t>
      </w:r>
      <w:r w:rsidRPr="003C15F1">
        <w:rPr>
          <w:sz w:val="22"/>
          <w:szCs w:val="22"/>
          <w:lang w:val="es-ES_tradnl"/>
        </w:rPr>
        <w:t>iembros en temas relacionados con los “Protocolos de Bioseguridad para el sector turístico”, que incluye el desarrollo de una serie de recomendaciones regionales para guiar en el diseño, implementación y, sobre todo, actualizar los protocolos de bioseguridad en hospedaje, transporte local, aeropuertos, puertos y playas, siguiendo las orientaciones de la evidencia científica más reciente.</w:t>
      </w:r>
    </w:p>
    <w:p w14:paraId="665B046B" w14:textId="1C4822A6" w:rsidR="001373CB" w:rsidRPr="003C15F1" w:rsidRDefault="001373CB" w:rsidP="003C15F1">
      <w:pPr>
        <w:jc w:val="both"/>
        <w:rPr>
          <w:color w:val="000000" w:themeColor="text1"/>
          <w:sz w:val="22"/>
          <w:szCs w:val="22"/>
          <w:lang w:val="es-ES_tradnl"/>
        </w:rPr>
      </w:pPr>
    </w:p>
    <w:p w14:paraId="00EA2A8A" w14:textId="749C65E7" w:rsidR="008C61A6" w:rsidRPr="003C15F1" w:rsidRDefault="00D1526D" w:rsidP="003C15F1">
      <w:pPr>
        <w:pBdr>
          <w:top w:val="nil"/>
          <w:left w:val="nil"/>
          <w:bottom w:val="nil"/>
          <w:right w:val="nil"/>
          <w:between w:val="nil"/>
        </w:pBdr>
        <w:ind w:right="-29" w:firstLine="360"/>
        <w:rPr>
          <w:b/>
          <w:bCs/>
          <w:color w:val="000000" w:themeColor="text1"/>
          <w:sz w:val="22"/>
          <w:szCs w:val="22"/>
          <w:lang w:val="es-MX"/>
        </w:rPr>
      </w:pPr>
      <w:r w:rsidRPr="003C15F1">
        <w:rPr>
          <w:b/>
          <w:bCs/>
          <w:color w:val="000000" w:themeColor="text1"/>
          <w:sz w:val="22"/>
          <w:szCs w:val="22"/>
          <w:lang w:val="es-MX"/>
        </w:rPr>
        <w:t xml:space="preserve">La Secretaría de la </w:t>
      </w:r>
      <w:r w:rsidR="008C61A6" w:rsidRPr="003C15F1">
        <w:rPr>
          <w:b/>
          <w:bCs/>
          <w:color w:val="000000" w:themeColor="text1"/>
          <w:sz w:val="22"/>
          <w:szCs w:val="22"/>
          <w:lang w:val="es-MX"/>
        </w:rPr>
        <w:t>Comisión Interamericana de Puertos (CIP)</w:t>
      </w:r>
    </w:p>
    <w:p w14:paraId="326E9D9E" w14:textId="77777777" w:rsidR="008C61A6" w:rsidRPr="003C15F1" w:rsidRDefault="008C61A6" w:rsidP="006420D2">
      <w:pPr>
        <w:pBdr>
          <w:top w:val="nil"/>
          <w:left w:val="nil"/>
          <w:bottom w:val="nil"/>
          <w:right w:val="nil"/>
          <w:between w:val="nil"/>
        </w:pBdr>
        <w:ind w:right="-29"/>
        <w:rPr>
          <w:b/>
          <w:bCs/>
          <w:color w:val="000000" w:themeColor="text1"/>
          <w:sz w:val="22"/>
          <w:szCs w:val="22"/>
          <w:lang w:val="es-MX"/>
        </w:rPr>
      </w:pPr>
    </w:p>
    <w:p w14:paraId="58A173B1" w14:textId="440431BD" w:rsidR="008C61A6" w:rsidRPr="003C15F1" w:rsidRDefault="00BB148C" w:rsidP="00FF59F0">
      <w:pPr>
        <w:pStyle w:val="NoSpacing"/>
        <w:numPr>
          <w:ilvl w:val="0"/>
          <w:numId w:val="27"/>
        </w:numPr>
        <w:ind w:left="1440" w:hanging="720"/>
        <w:jc w:val="both"/>
        <w:rPr>
          <w:rFonts w:ascii="Times New Roman" w:hAnsi="Times New Roman"/>
          <w:lang w:val="es-MX"/>
        </w:rPr>
      </w:pPr>
      <w:r w:rsidRPr="003C15F1">
        <w:rPr>
          <w:rFonts w:ascii="Times New Roman" w:hAnsi="Times New Roman"/>
          <w:lang w:val="es-MX"/>
        </w:rPr>
        <w:t xml:space="preserve">Organizó </w:t>
      </w:r>
      <w:r w:rsidR="008C61A6" w:rsidRPr="003C15F1">
        <w:rPr>
          <w:rFonts w:ascii="Times New Roman" w:hAnsi="Times New Roman"/>
          <w:lang w:val="es-MX"/>
        </w:rPr>
        <w:t xml:space="preserve">la XII Reunión Ordinaria de la </w:t>
      </w:r>
      <w:r w:rsidR="00D1526D" w:rsidRPr="003C15F1">
        <w:rPr>
          <w:rFonts w:ascii="Times New Roman" w:hAnsi="Times New Roman"/>
          <w:lang w:val="es-MX"/>
        </w:rPr>
        <w:t>Comisión Interamericana de Puertos (</w:t>
      </w:r>
      <w:r w:rsidR="008C61A6" w:rsidRPr="003C15F1">
        <w:rPr>
          <w:rFonts w:ascii="Times New Roman" w:hAnsi="Times New Roman"/>
          <w:lang w:val="es-MX"/>
        </w:rPr>
        <w:t>CIP</w:t>
      </w:r>
      <w:r w:rsidR="00D1526D" w:rsidRPr="003C15F1">
        <w:rPr>
          <w:rFonts w:ascii="Times New Roman" w:hAnsi="Times New Roman"/>
          <w:lang w:val="es-MX"/>
        </w:rPr>
        <w:t xml:space="preserve">) </w:t>
      </w:r>
      <w:r w:rsidR="008C61A6" w:rsidRPr="003C15F1">
        <w:rPr>
          <w:rFonts w:ascii="Times New Roman" w:hAnsi="Times New Roman"/>
          <w:lang w:val="es-MX"/>
        </w:rPr>
        <w:t xml:space="preserve">y la XXI Reunión de su Comité Ejecutivo (CECIP) </w:t>
      </w:r>
      <w:r w:rsidRPr="003C15F1">
        <w:rPr>
          <w:rFonts w:ascii="Times New Roman" w:hAnsi="Times New Roman"/>
          <w:lang w:val="es-MX"/>
        </w:rPr>
        <w:t xml:space="preserve">celebradas de manera virtual, el </w:t>
      </w:r>
      <w:r w:rsidR="00D1526D" w:rsidRPr="003C15F1">
        <w:rPr>
          <w:rFonts w:ascii="Times New Roman" w:hAnsi="Times New Roman"/>
          <w:lang w:val="es-MX"/>
        </w:rPr>
        <w:t xml:space="preserve">19 de mayo de 2021, que </w:t>
      </w:r>
      <w:r w:rsidR="008C61A6" w:rsidRPr="003C15F1">
        <w:rPr>
          <w:rFonts w:ascii="Times New Roman" w:hAnsi="Times New Roman"/>
          <w:lang w:val="es-MX"/>
        </w:rPr>
        <w:t xml:space="preserve">aprobó la Resolución de Buenos Aires y su correspondiente Plan de Acción 2021-2023, el presupuesto operativo 2021-2022, los informes de actividades de los seis (6) Comités Técnicos Consultivos y el informe de la Secretaría de la CIP. Significativamente, en esta reunión se eligieron de manera unánime a las nuevas autoridades </w:t>
      </w:r>
      <w:r w:rsidR="00D1526D" w:rsidRPr="003C15F1">
        <w:rPr>
          <w:rFonts w:ascii="Times New Roman" w:hAnsi="Times New Roman"/>
          <w:lang w:val="es-MX"/>
        </w:rPr>
        <w:t xml:space="preserve">del </w:t>
      </w:r>
      <w:r w:rsidR="008C61A6" w:rsidRPr="003C15F1">
        <w:rPr>
          <w:rFonts w:ascii="Times New Roman" w:hAnsi="Times New Roman"/>
          <w:lang w:val="es-MX"/>
        </w:rPr>
        <w:t>CECIP.</w:t>
      </w:r>
    </w:p>
    <w:p w14:paraId="44E0229B" w14:textId="77777777" w:rsidR="008C61A6" w:rsidRPr="003C15F1" w:rsidRDefault="008C61A6" w:rsidP="003C15F1">
      <w:pPr>
        <w:pStyle w:val="NoSpacing"/>
        <w:ind w:left="1440" w:hanging="720"/>
        <w:jc w:val="both"/>
        <w:rPr>
          <w:rFonts w:ascii="Times New Roman" w:hAnsi="Times New Roman"/>
          <w:lang w:val="es-MX"/>
        </w:rPr>
      </w:pPr>
    </w:p>
    <w:p w14:paraId="659C799C" w14:textId="77777777" w:rsidR="008C61A6" w:rsidRPr="003C15F1" w:rsidRDefault="008C61A6" w:rsidP="00FF59F0">
      <w:pPr>
        <w:pStyle w:val="NoSpacing"/>
        <w:numPr>
          <w:ilvl w:val="0"/>
          <w:numId w:val="27"/>
        </w:numPr>
        <w:ind w:left="1440" w:hanging="720"/>
        <w:jc w:val="both"/>
        <w:rPr>
          <w:rFonts w:ascii="Times New Roman" w:hAnsi="Times New Roman"/>
          <w:lang w:val="es-MX"/>
        </w:rPr>
      </w:pPr>
      <w:r w:rsidRPr="003C15F1">
        <w:rPr>
          <w:rFonts w:ascii="Times New Roman" w:hAnsi="Times New Roman"/>
          <w:lang w:val="es-MX"/>
        </w:rPr>
        <w:t>Desarrolló la Guía Verde para Puertos, en español e inglés, que brinda recomendaciones prácticas sobre cómo operar un puerto de manera ambientalmente sostenible y cómo obtener la certificación como puerto "verde".</w:t>
      </w:r>
    </w:p>
    <w:p w14:paraId="3EF245B1" w14:textId="77777777" w:rsidR="008C61A6" w:rsidRPr="003C15F1" w:rsidRDefault="008C61A6" w:rsidP="003C15F1">
      <w:pPr>
        <w:pStyle w:val="NoSpacing"/>
        <w:ind w:left="1440" w:hanging="720"/>
        <w:jc w:val="both"/>
        <w:rPr>
          <w:rFonts w:ascii="Times New Roman" w:hAnsi="Times New Roman"/>
          <w:lang w:val="es-MX"/>
        </w:rPr>
      </w:pPr>
    </w:p>
    <w:p w14:paraId="6F685FFB" w14:textId="77777777" w:rsidR="008C61A6" w:rsidRPr="003C15F1" w:rsidRDefault="008C61A6" w:rsidP="00FF59F0">
      <w:pPr>
        <w:pStyle w:val="NoSpacing"/>
        <w:numPr>
          <w:ilvl w:val="0"/>
          <w:numId w:val="27"/>
        </w:numPr>
        <w:ind w:left="1440" w:hanging="720"/>
        <w:jc w:val="both"/>
        <w:rPr>
          <w:rFonts w:ascii="Times New Roman" w:hAnsi="Times New Roman"/>
          <w:lang w:val="es-MX"/>
        </w:rPr>
      </w:pPr>
      <w:r w:rsidRPr="003C15F1">
        <w:rPr>
          <w:rFonts w:ascii="Times New Roman" w:hAnsi="Times New Roman"/>
          <w:lang w:val="es-MX"/>
        </w:rPr>
        <w:t xml:space="preserve">Publicó y difundió la más reciente edición de la Revista CIP (Volumen 31) sobre “Herramientas tecnológicas aplicadas a la nueva gobernanza portuaria” que ofrece un análisis experto sobre los nuevos parámetros de la gobernanza portuaria específicamente durante la pandemia de COVID-19, legislación portuaria, PCS, entre otros. </w:t>
      </w:r>
    </w:p>
    <w:p w14:paraId="1237015E" w14:textId="77777777" w:rsidR="008C61A6" w:rsidRPr="003C15F1" w:rsidRDefault="008C61A6" w:rsidP="003C15F1">
      <w:pPr>
        <w:pStyle w:val="NoSpacing"/>
        <w:ind w:left="720"/>
        <w:jc w:val="both"/>
        <w:rPr>
          <w:rFonts w:ascii="Times New Roman" w:hAnsi="Times New Roman"/>
          <w:lang w:val="es-MX"/>
        </w:rPr>
      </w:pPr>
    </w:p>
    <w:p w14:paraId="633C3D40" w14:textId="0D766048" w:rsidR="008C61A6" w:rsidRPr="003C15F1" w:rsidRDefault="008C61A6" w:rsidP="00FF59F0">
      <w:pPr>
        <w:pStyle w:val="NoSpacing"/>
        <w:numPr>
          <w:ilvl w:val="0"/>
          <w:numId w:val="27"/>
        </w:numPr>
        <w:ind w:left="1440" w:hanging="720"/>
        <w:jc w:val="both"/>
        <w:rPr>
          <w:rFonts w:ascii="Times New Roman" w:hAnsi="Times New Roman"/>
          <w:lang w:val="es-MX"/>
        </w:rPr>
      </w:pPr>
      <w:r w:rsidRPr="003C15F1">
        <w:rPr>
          <w:rFonts w:ascii="Times New Roman" w:hAnsi="Times New Roman"/>
          <w:lang w:val="es-MX"/>
        </w:rPr>
        <w:t>Publicó y difundió 12 ediciones del boletín informativo "Novedades de la CIP" que incluye notas sobre eventos, publicaciones y artículos de relevancia a miembros de la comunidad CIP.</w:t>
      </w:r>
    </w:p>
    <w:p w14:paraId="1906B2BE" w14:textId="77777777" w:rsidR="008C61A6" w:rsidRPr="003C15F1" w:rsidRDefault="008C61A6" w:rsidP="003C15F1">
      <w:pPr>
        <w:pStyle w:val="ListParagraph"/>
        <w:ind w:left="1440" w:hanging="720"/>
        <w:rPr>
          <w:sz w:val="22"/>
          <w:szCs w:val="22"/>
          <w:lang w:val="es-MX"/>
        </w:rPr>
      </w:pPr>
    </w:p>
    <w:p w14:paraId="3103EB7B" w14:textId="77777777" w:rsidR="008C61A6" w:rsidRPr="003C15F1" w:rsidRDefault="008C61A6" w:rsidP="00FF59F0">
      <w:pPr>
        <w:pStyle w:val="NoSpacing"/>
        <w:numPr>
          <w:ilvl w:val="0"/>
          <w:numId w:val="27"/>
        </w:numPr>
        <w:ind w:left="1440" w:hanging="720"/>
        <w:jc w:val="both"/>
        <w:rPr>
          <w:rFonts w:ascii="Times New Roman" w:hAnsi="Times New Roman"/>
          <w:lang w:val="es-MX"/>
        </w:rPr>
      </w:pPr>
      <w:r w:rsidRPr="003C15F1">
        <w:rPr>
          <w:rFonts w:ascii="Times New Roman" w:hAnsi="Times New Roman"/>
          <w:lang w:val="es-MX"/>
        </w:rPr>
        <w:lastRenderedPageBreak/>
        <w:t xml:space="preserve">Publicó y difundió la Séptima Edición del Boletín Informativo Digital sobre Responsabilidad Social, Equidad de Género y Empoderamiento de la Mujer, elaborada por la Autoridad Portuaria Nacional (APN) del Perú en su calidad de </w:t>
      </w:r>
      <w:proofErr w:type="gramStart"/>
      <w:r w:rsidRPr="003C15F1">
        <w:rPr>
          <w:rFonts w:ascii="Times New Roman" w:hAnsi="Times New Roman"/>
          <w:lang w:val="es-MX"/>
        </w:rPr>
        <w:t>Presidente</w:t>
      </w:r>
      <w:proofErr w:type="gramEnd"/>
      <w:r w:rsidRPr="003C15F1">
        <w:rPr>
          <w:rFonts w:ascii="Times New Roman" w:hAnsi="Times New Roman"/>
          <w:lang w:val="es-MX"/>
        </w:rPr>
        <w:t xml:space="preserve"> del Comité Técnico Consultivo (CTC) sobre los temas mencionados, con la contribución de material de nuestra comunidad portuaria</w:t>
      </w:r>
    </w:p>
    <w:p w14:paraId="7E6D99F5" w14:textId="77777777" w:rsidR="008C61A6" w:rsidRPr="003C15F1" w:rsidRDefault="008C61A6" w:rsidP="003C15F1">
      <w:pPr>
        <w:pStyle w:val="NoSpacing"/>
        <w:ind w:left="1440" w:hanging="720"/>
        <w:jc w:val="both"/>
        <w:rPr>
          <w:rFonts w:ascii="Times New Roman" w:hAnsi="Times New Roman"/>
          <w:lang w:val="es-MX"/>
        </w:rPr>
      </w:pPr>
    </w:p>
    <w:p w14:paraId="4DB848C2" w14:textId="77777777" w:rsidR="008C61A6" w:rsidRPr="003C15F1" w:rsidRDefault="008C61A6" w:rsidP="00FF59F0">
      <w:pPr>
        <w:pStyle w:val="NoSpacing"/>
        <w:numPr>
          <w:ilvl w:val="0"/>
          <w:numId w:val="27"/>
        </w:numPr>
        <w:ind w:left="1440" w:hanging="720"/>
        <w:jc w:val="both"/>
        <w:rPr>
          <w:rFonts w:ascii="Times New Roman" w:hAnsi="Times New Roman"/>
          <w:lang w:val="es-MX"/>
        </w:rPr>
      </w:pPr>
      <w:r w:rsidRPr="003C15F1">
        <w:rPr>
          <w:rFonts w:ascii="Times New Roman" w:hAnsi="Times New Roman"/>
          <w:lang w:val="es-MX"/>
        </w:rPr>
        <w:t>Gestionó el mantenimiento y actualización del Portal CIP, el cual es una herramienta tanto para las 34 Autoridades Portuarias Nacionales de los Estados Miembros de la OEA como para al sector privado por medio de los Miembros Asociados y Socios Estratégicos de la CIP. Asimismo, el portal contó con 16K usuarios en el año, lo cual representa un incremento del 45.5% al año anterior.</w:t>
      </w:r>
    </w:p>
    <w:p w14:paraId="31CC24F3" w14:textId="77777777" w:rsidR="008C61A6" w:rsidRPr="003C15F1" w:rsidRDefault="008C61A6" w:rsidP="003C15F1">
      <w:pPr>
        <w:pStyle w:val="NoSpacing"/>
        <w:ind w:left="720"/>
        <w:jc w:val="both"/>
        <w:rPr>
          <w:rFonts w:ascii="Times New Roman" w:hAnsi="Times New Roman"/>
          <w:lang w:val="es-MX"/>
        </w:rPr>
      </w:pPr>
    </w:p>
    <w:p w14:paraId="7FB25C62" w14:textId="2CC2C681" w:rsidR="008C61A6" w:rsidRPr="003C15F1" w:rsidRDefault="00F11F59" w:rsidP="00FF59F0">
      <w:pPr>
        <w:pStyle w:val="NoSpacing"/>
        <w:numPr>
          <w:ilvl w:val="0"/>
          <w:numId w:val="27"/>
        </w:numPr>
        <w:ind w:left="1440" w:hanging="720"/>
        <w:jc w:val="both"/>
        <w:rPr>
          <w:rFonts w:ascii="Times New Roman" w:hAnsi="Times New Roman"/>
          <w:lang w:val="es-MX"/>
        </w:rPr>
      </w:pPr>
      <w:r w:rsidRPr="003C15F1">
        <w:rPr>
          <w:rFonts w:ascii="Times New Roman" w:hAnsi="Times New Roman"/>
          <w:lang w:val="es-MX"/>
        </w:rPr>
        <w:t xml:space="preserve">Apoyó a la CIP en el otorgamiento de </w:t>
      </w:r>
      <w:r w:rsidR="008C61A6" w:rsidRPr="003C15F1">
        <w:rPr>
          <w:rFonts w:ascii="Times New Roman" w:hAnsi="Times New Roman"/>
          <w:lang w:val="es-MX"/>
        </w:rPr>
        <w:t xml:space="preserve">cuatro (4) Premios Marítimos de las Américas y tres (3) menciones honoríficas a instituciones públicas y privadas de Ecuador, Estados Unidos, Jamaica, México y Perú por prácticas destacadas en las categorías de Relación Puerto-Ciudad, Gestión de Desastres en Puertos y/o Terminales, Digitalización, Automatización y Transformación Tecnológica y Mujer Sobresaliente en el Sector Portuario. </w:t>
      </w:r>
    </w:p>
    <w:p w14:paraId="788F2132" w14:textId="77777777" w:rsidR="008C61A6" w:rsidRPr="003C15F1" w:rsidRDefault="008C61A6" w:rsidP="003C15F1">
      <w:pPr>
        <w:pStyle w:val="NoSpacing"/>
        <w:ind w:left="1440" w:hanging="720"/>
        <w:jc w:val="both"/>
        <w:rPr>
          <w:rFonts w:ascii="Times New Roman" w:hAnsi="Times New Roman"/>
          <w:lang w:val="es-MX"/>
        </w:rPr>
      </w:pPr>
    </w:p>
    <w:p w14:paraId="25F97646" w14:textId="343EA39A" w:rsidR="008C61A6" w:rsidRPr="003C15F1" w:rsidRDefault="00F11F59" w:rsidP="00FF59F0">
      <w:pPr>
        <w:pStyle w:val="NoSpacing"/>
        <w:numPr>
          <w:ilvl w:val="0"/>
          <w:numId w:val="27"/>
        </w:numPr>
        <w:ind w:left="1440" w:hanging="720"/>
        <w:jc w:val="both"/>
        <w:rPr>
          <w:rFonts w:ascii="Times New Roman" w:hAnsi="Times New Roman"/>
          <w:lang w:val="es-MX"/>
        </w:rPr>
      </w:pPr>
      <w:r w:rsidRPr="003C15F1">
        <w:rPr>
          <w:rFonts w:ascii="Times New Roman" w:hAnsi="Times New Roman"/>
          <w:lang w:val="es-MX"/>
        </w:rPr>
        <w:t xml:space="preserve">Apoyó a la CIP en el otorgamiento de </w:t>
      </w:r>
      <w:r w:rsidR="008C61A6" w:rsidRPr="003C15F1">
        <w:rPr>
          <w:rFonts w:ascii="Times New Roman" w:hAnsi="Times New Roman"/>
          <w:lang w:val="es-MX"/>
        </w:rPr>
        <w:t xml:space="preserve">cuatro (4) Premios a la Excelencia Portuaria, en colaboración con la Asociación Americana de Autoridades Portuarias (AAPA), a instituciones públicas y privadas de Brazil, Colombia, Jamaica y Perú por prácticas exitosas en las categorías de Alianzas Público- Privadas, Desarrollo de Infraestructura Portuaria, Respuesta ante la Pandemia COVID-19 y Tecnología e Innovación. </w:t>
      </w:r>
    </w:p>
    <w:p w14:paraId="6E3B1FB0" w14:textId="77777777" w:rsidR="008C61A6" w:rsidRPr="003C15F1" w:rsidRDefault="008C61A6" w:rsidP="003C15F1">
      <w:pPr>
        <w:pStyle w:val="NoSpacing"/>
        <w:ind w:left="1440" w:hanging="720"/>
        <w:jc w:val="both"/>
        <w:rPr>
          <w:rFonts w:ascii="Times New Roman" w:hAnsi="Times New Roman"/>
          <w:lang w:val="es-MX"/>
        </w:rPr>
      </w:pPr>
    </w:p>
    <w:p w14:paraId="6D3B8EFB" w14:textId="2531085F" w:rsidR="008C61A6" w:rsidRPr="003C15F1" w:rsidRDefault="008C61A6" w:rsidP="00FF59F0">
      <w:pPr>
        <w:pStyle w:val="NoSpacing"/>
        <w:numPr>
          <w:ilvl w:val="0"/>
          <w:numId w:val="27"/>
        </w:numPr>
        <w:ind w:left="1440" w:hanging="720"/>
        <w:jc w:val="both"/>
        <w:rPr>
          <w:rFonts w:ascii="Times New Roman" w:hAnsi="Times New Roman"/>
          <w:lang w:val="es-MX"/>
        </w:rPr>
      </w:pPr>
      <w:r w:rsidRPr="003C15F1">
        <w:rPr>
          <w:rFonts w:ascii="Times New Roman" w:hAnsi="Times New Roman"/>
          <w:lang w:val="es-MX"/>
        </w:rPr>
        <w:t>Realizó, en colaboración con la Asociación Norteamericana para la Protección del Medioambiente Marino (NAMEPA, por sus siglas en ingl</w:t>
      </w:r>
      <w:r w:rsidR="00F11F59" w:rsidRPr="003C15F1">
        <w:rPr>
          <w:rFonts w:ascii="Times New Roman" w:hAnsi="Times New Roman"/>
          <w:lang w:val="es-MX"/>
        </w:rPr>
        <w:t>é</w:t>
      </w:r>
      <w:r w:rsidRPr="003C15F1">
        <w:rPr>
          <w:rFonts w:ascii="Times New Roman" w:hAnsi="Times New Roman"/>
          <w:lang w:val="es-MX"/>
        </w:rPr>
        <w:t xml:space="preserve">s), el concurso de arte para estudiantes de kínder al duodécimo grado sobre la protección del medioambiente marino y difundió </w:t>
      </w:r>
      <w:r w:rsidR="00F11F59" w:rsidRPr="003C15F1">
        <w:rPr>
          <w:rFonts w:ascii="Times New Roman" w:hAnsi="Times New Roman"/>
          <w:lang w:val="es-MX"/>
        </w:rPr>
        <w:t xml:space="preserve">el </w:t>
      </w:r>
      <w:r w:rsidRPr="003C15F1">
        <w:rPr>
          <w:rFonts w:ascii="Times New Roman" w:hAnsi="Times New Roman"/>
          <w:lang w:val="es-MX"/>
        </w:rPr>
        <w:t>calendario 2022</w:t>
      </w:r>
      <w:r w:rsidR="00F11F59" w:rsidRPr="003C15F1">
        <w:rPr>
          <w:rFonts w:ascii="Times New Roman" w:hAnsi="Times New Roman"/>
          <w:lang w:val="es-MX"/>
        </w:rPr>
        <w:t xml:space="preserve"> con el diseño ganador a la comunidad de la CIP.</w:t>
      </w:r>
    </w:p>
    <w:p w14:paraId="20E930B1" w14:textId="77777777" w:rsidR="008C61A6" w:rsidRPr="00240925" w:rsidRDefault="008C61A6" w:rsidP="003C15F1">
      <w:pPr>
        <w:pStyle w:val="NoSpacing"/>
        <w:jc w:val="both"/>
        <w:rPr>
          <w:rFonts w:ascii="Times New Roman" w:hAnsi="Times New Roman"/>
          <w:lang w:val="es-US"/>
        </w:rPr>
      </w:pPr>
    </w:p>
    <w:p w14:paraId="2CFDB35E" w14:textId="025F4873" w:rsidR="008C61A6" w:rsidRPr="003C15F1" w:rsidRDefault="008C61A6" w:rsidP="00FF59F0">
      <w:pPr>
        <w:pStyle w:val="NoSpacing"/>
        <w:numPr>
          <w:ilvl w:val="0"/>
          <w:numId w:val="27"/>
        </w:numPr>
        <w:ind w:left="1440" w:hanging="720"/>
        <w:jc w:val="both"/>
        <w:rPr>
          <w:rFonts w:ascii="Times New Roman" w:hAnsi="Times New Roman"/>
          <w:lang w:val="es-MX"/>
        </w:rPr>
      </w:pPr>
      <w:r w:rsidRPr="003C15F1">
        <w:rPr>
          <w:rFonts w:ascii="Times New Roman" w:hAnsi="Times New Roman"/>
          <w:lang w:val="es-MX"/>
        </w:rPr>
        <w:t xml:space="preserve">Participó como ponente experto en siete (7) eventos virtuales portuarios, tanto con enfoque en América Latina como el Caribe, presentando las tendencias y desafíos actuales del sector portuario </w:t>
      </w:r>
      <w:r w:rsidR="000B4FBC" w:rsidRPr="003C15F1">
        <w:rPr>
          <w:rFonts w:ascii="Times New Roman" w:hAnsi="Times New Roman"/>
          <w:lang w:val="es-MX"/>
        </w:rPr>
        <w:t xml:space="preserve">en el </w:t>
      </w:r>
      <w:proofErr w:type="gramStart"/>
      <w:r w:rsidR="000B4FBC" w:rsidRPr="003C15F1">
        <w:rPr>
          <w:rFonts w:ascii="Times New Roman" w:hAnsi="Times New Roman"/>
          <w:lang w:val="es-MX"/>
        </w:rPr>
        <w:t>H</w:t>
      </w:r>
      <w:r w:rsidRPr="003C15F1">
        <w:rPr>
          <w:rFonts w:ascii="Times New Roman" w:hAnsi="Times New Roman"/>
          <w:lang w:val="es-MX"/>
        </w:rPr>
        <w:t>emisferio</w:t>
      </w:r>
      <w:proofErr w:type="gramEnd"/>
      <w:r w:rsidRPr="003C15F1">
        <w:rPr>
          <w:rFonts w:ascii="Times New Roman" w:hAnsi="Times New Roman"/>
          <w:lang w:val="es-MX"/>
        </w:rPr>
        <w:t xml:space="preserve">. </w:t>
      </w:r>
    </w:p>
    <w:p w14:paraId="1BD6F86A" w14:textId="77777777" w:rsidR="008C61A6" w:rsidRPr="003C15F1" w:rsidRDefault="008C61A6" w:rsidP="006420D2">
      <w:pPr>
        <w:pStyle w:val="NoSpacing"/>
        <w:jc w:val="both"/>
        <w:rPr>
          <w:rFonts w:ascii="Times New Roman" w:hAnsi="Times New Roman"/>
          <w:lang w:val="es-MX"/>
        </w:rPr>
      </w:pPr>
    </w:p>
    <w:p w14:paraId="2104B721" w14:textId="77777777" w:rsidR="008C61A6" w:rsidRPr="003C15F1" w:rsidRDefault="008C61A6" w:rsidP="00FF59F0">
      <w:pPr>
        <w:pStyle w:val="NoSpacing"/>
        <w:numPr>
          <w:ilvl w:val="0"/>
          <w:numId w:val="27"/>
        </w:numPr>
        <w:ind w:left="1440" w:hanging="720"/>
        <w:jc w:val="both"/>
        <w:rPr>
          <w:rFonts w:ascii="Times New Roman" w:hAnsi="Times New Roman"/>
          <w:lang w:val="es-MX"/>
        </w:rPr>
      </w:pPr>
      <w:r w:rsidRPr="003C15F1">
        <w:rPr>
          <w:rFonts w:ascii="Times New Roman" w:hAnsi="Times New Roman"/>
          <w:lang w:val="es-MX"/>
        </w:rPr>
        <w:t>Participó como profesor invitado y experto en la maestría sobre Gestión Logística de Aduanas y Puertos de la Universidad de Santo Domingo, República Dominicana.</w:t>
      </w:r>
    </w:p>
    <w:p w14:paraId="332F2EAB" w14:textId="40F86DCF" w:rsidR="00EE266A" w:rsidRPr="00240925" w:rsidRDefault="00EE266A" w:rsidP="006420D2">
      <w:pPr>
        <w:contextualSpacing/>
        <w:rPr>
          <w:rFonts w:eastAsia="Cambria"/>
          <w:b/>
          <w:bCs/>
          <w:color w:val="000000" w:themeColor="text1"/>
          <w:sz w:val="22"/>
          <w:szCs w:val="22"/>
          <w:lang w:val="es-US"/>
        </w:rPr>
      </w:pPr>
      <w:bookmarkStart w:id="8" w:name="_Toc353953882"/>
    </w:p>
    <w:p w14:paraId="1599714C" w14:textId="77777777" w:rsidR="006420D2" w:rsidRPr="00240925" w:rsidRDefault="006420D2" w:rsidP="006420D2">
      <w:pPr>
        <w:contextualSpacing/>
        <w:rPr>
          <w:rFonts w:eastAsia="Cambria"/>
          <w:b/>
          <w:bCs/>
          <w:color w:val="000000" w:themeColor="text1"/>
          <w:sz w:val="22"/>
          <w:szCs w:val="22"/>
          <w:lang w:val="es-US"/>
        </w:rPr>
      </w:pPr>
    </w:p>
    <w:p w14:paraId="0AECF77F" w14:textId="1DB81876" w:rsidR="00EE266A" w:rsidRPr="003C15F1" w:rsidRDefault="00EE266A" w:rsidP="003C15F1">
      <w:pPr>
        <w:jc w:val="center"/>
        <w:rPr>
          <w:b/>
          <w:sz w:val="22"/>
          <w:szCs w:val="22"/>
          <w:lang w:val="es-ES"/>
        </w:rPr>
      </w:pPr>
      <w:r w:rsidRPr="003C15F1">
        <w:rPr>
          <w:b/>
          <w:bCs/>
          <w:sz w:val="22"/>
          <w:szCs w:val="22"/>
          <w:lang w:val="es-US"/>
        </w:rPr>
        <w:t xml:space="preserve">LÍNEA ESTRATÉGICA 2: Fortalecer la implementación de los objetivos de desarrollo sostenible de conformidad con el Programa Interamericano para el Desarrollo Sostenible </w:t>
      </w:r>
      <w:r w:rsidRPr="003C15F1">
        <w:rPr>
          <w:b/>
          <w:sz w:val="22"/>
          <w:szCs w:val="22"/>
          <w:lang w:val="es-ES"/>
        </w:rPr>
        <w:t>2016-2021 (PIDS)</w:t>
      </w:r>
    </w:p>
    <w:p w14:paraId="3A8F2B47" w14:textId="77777777" w:rsidR="00EE266A" w:rsidRPr="003C15F1" w:rsidRDefault="00EE266A" w:rsidP="006420D2">
      <w:pPr>
        <w:rPr>
          <w:b/>
          <w:bCs/>
          <w:sz w:val="22"/>
          <w:szCs w:val="22"/>
          <w:lang w:val="es-US"/>
        </w:rPr>
      </w:pPr>
    </w:p>
    <w:p w14:paraId="3FDF830D" w14:textId="5A5473C4" w:rsidR="00EE266A" w:rsidRPr="003C15F1" w:rsidRDefault="00EE266A" w:rsidP="003C15F1">
      <w:pPr>
        <w:ind w:firstLine="720"/>
        <w:jc w:val="both"/>
        <w:rPr>
          <w:sz w:val="22"/>
          <w:szCs w:val="22"/>
          <w:lang w:val="es-US"/>
        </w:rPr>
      </w:pPr>
      <w:r w:rsidRPr="003C15F1">
        <w:rPr>
          <w:sz w:val="22"/>
          <w:szCs w:val="22"/>
          <w:lang w:val="es-US"/>
        </w:rPr>
        <w:t>El Departamento de Desarrollo Sostenible de la SEDI trabajó en la integración de la resiliencia y la gestión del riesgo de desastres, con especial atención a actividades y proyectos orientados en la recuperación de la pandemia, en todas las áreas estratégicas del Programa Interamericano para el Desarrollo Sostenible (PIDS). Los esfuerzos para la movilización de fondos se centraron en la gestión transfronteriza de cuencas y biosferas, la energía renovable y las energías de transición, la resiliencia a nivel comunitario, la continuidad de la actividad comercial y la planificación de contingencias.</w:t>
      </w:r>
    </w:p>
    <w:p w14:paraId="08A640FF" w14:textId="7AC332FD" w:rsidR="00EE266A" w:rsidRPr="003C15F1" w:rsidRDefault="00EE266A" w:rsidP="003C15F1">
      <w:pPr>
        <w:jc w:val="both"/>
        <w:rPr>
          <w:b/>
          <w:bCs/>
          <w:sz w:val="22"/>
          <w:szCs w:val="22"/>
          <w:lang w:val="es-US"/>
        </w:rPr>
      </w:pPr>
      <w:r w:rsidRPr="003C15F1">
        <w:rPr>
          <w:b/>
          <w:bCs/>
          <w:sz w:val="22"/>
          <w:szCs w:val="22"/>
          <w:lang w:val="es-US"/>
        </w:rPr>
        <w:lastRenderedPageBreak/>
        <w:t>OBJETIVO 2.1</w:t>
      </w:r>
      <w:r w:rsidR="00295271" w:rsidRPr="003C15F1">
        <w:rPr>
          <w:b/>
          <w:bCs/>
          <w:sz w:val="22"/>
          <w:szCs w:val="22"/>
          <w:lang w:val="es-US"/>
        </w:rPr>
        <w:t xml:space="preserve">:  </w:t>
      </w:r>
      <w:r w:rsidRPr="003C15F1">
        <w:rPr>
          <w:b/>
          <w:bCs/>
          <w:sz w:val="22"/>
          <w:szCs w:val="22"/>
          <w:lang w:val="es-US"/>
        </w:rPr>
        <w:t xml:space="preserve">Fomentar las capacidades de los Estados Miembros en la gestión del riesgo de desastres de acuerdo con los objetivos y bases para la acción estipulados en la sección 3.1 del PIDS </w:t>
      </w:r>
    </w:p>
    <w:p w14:paraId="6D183666" w14:textId="2D8814DD" w:rsidR="00EE266A" w:rsidRPr="003C15F1" w:rsidRDefault="00EE266A" w:rsidP="003C15F1">
      <w:pPr>
        <w:jc w:val="both"/>
        <w:rPr>
          <w:b/>
          <w:bCs/>
          <w:sz w:val="22"/>
          <w:szCs w:val="22"/>
          <w:lang w:val="es-US"/>
        </w:rPr>
      </w:pPr>
      <w:r w:rsidRPr="003C15F1">
        <w:rPr>
          <w:b/>
          <w:bCs/>
          <w:sz w:val="22"/>
          <w:szCs w:val="22"/>
          <w:lang w:val="es-US"/>
        </w:rPr>
        <w:t>Gestión de riesgo y adaptación al cambio climático</w:t>
      </w:r>
    </w:p>
    <w:p w14:paraId="58952CFD" w14:textId="77777777" w:rsidR="00295271" w:rsidRPr="003C15F1" w:rsidRDefault="00295271" w:rsidP="003C15F1">
      <w:pPr>
        <w:jc w:val="both"/>
        <w:rPr>
          <w:b/>
          <w:bCs/>
          <w:sz w:val="22"/>
          <w:szCs w:val="22"/>
          <w:lang w:val="es-US"/>
        </w:rPr>
      </w:pPr>
    </w:p>
    <w:p w14:paraId="54EBD6FF" w14:textId="535FA834" w:rsidR="00EE266A" w:rsidRPr="003C15F1" w:rsidRDefault="00EE266A" w:rsidP="003C15F1">
      <w:pPr>
        <w:ind w:left="1440" w:hanging="720"/>
        <w:jc w:val="both"/>
        <w:rPr>
          <w:sz w:val="22"/>
          <w:szCs w:val="22"/>
          <w:lang w:val="es-US"/>
        </w:rPr>
      </w:pPr>
      <w:r w:rsidRPr="003C15F1">
        <w:rPr>
          <w:sz w:val="22"/>
          <w:szCs w:val="22"/>
          <w:lang w:val="es-US"/>
        </w:rPr>
        <w:t>•</w:t>
      </w:r>
      <w:r w:rsidRPr="003C15F1">
        <w:rPr>
          <w:sz w:val="22"/>
          <w:szCs w:val="22"/>
          <w:lang w:val="es-US"/>
        </w:rPr>
        <w:tab/>
        <w:t xml:space="preserve">Se dio seguimiento a las recomendaciones contenidas en el documento CIDI/CPD/doc.200/20 rev.3 adoptado en el </w:t>
      </w:r>
      <w:r w:rsidR="00295271" w:rsidRPr="003C15F1">
        <w:rPr>
          <w:sz w:val="22"/>
          <w:szCs w:val="22"/>
          <w:lang w:val="es-US"/>
        </w:rPr>
        <w:t>q</w:t>
      </w:r>
      <w:r w:rsidRPr="003C15F1">
        <w:rPr>
          <w:sz w:val="22"/>
          <w:szCs w:val="22"/>
          <w:lang w:val="es-US"/>
        </w:rPr>
        <w:t xml:space="preserve">uincuagésimo </w:t>
      </w:r>
      <w:r w:rsidR="00295271" w:rsidRPr="003C15F1">
        <w:rPr>
          <w:sz w:val="22"/>
          <w:szCs w:val="22"/>
          <w:lang w:val="es-US"/>
        </w:rPr>
        <w:t>p</w:t>
      </w:r>
      <w:r w:rsidRPr="003C15F1">
        <w:rPr>
          <w:sz w:val="22"/>
          <w:szCs w:val="22"/>
          <w:lang w:val="es-US"/>
        </w:rPr>
        <w:t xml:space="preserve">eríodo </w:t>
      </w:r>
      <w:r w:rsidR="00295271" w:rsidRPr="003C15F1">
        <w:rPr>
          <w:sz w:val="22"/>
          <w:szCs w:val="22"/>
          <w:lang w:val="es-US"/>
        </w:rPr>
        <w:t>o</w:t>
      </w:r>
      <w:r w:rsidRPr="003C15F1">
        <w:rPr>
          <w:sz w:val="22"/>
          <w:szCs w:val="22"/>
          <w:lang w:val="es-US"/>
        </w:rPr>
        <w:t xml:space="preserve">rdinario de </w:t>
      </w:r>
      <w:r w:rsidR="00295271" w:rsidRPr="003C15F1">
        <w:rPr>
          <w:sz w:val="22"/>
          <w:szCs w:val="22"/>
          <w:lang w:val="es-US"/>
        </w:rPr>
        <w:t>s</w:t>
      </w:r>
      <w:r w:rsidRPr="003C15F1">
        <w:rPr>
          <w:sz w:val="22"/>
          <w:szCs w:val="22"/>
          <w:lang w:val="es-US"/>
        </w:rPr>
        <w:t xml:space="preserve">esiones de la Asamblea General, mediante AG/RES. 2955 (L-O/20). </w:t>
      </w:r>
    </w:p>
    <w:p w14:paraId="76A3DCDC" w14:textId="3BB7F517" w:rsidR="00EE266A" w:rsidRPr="003C15F1" w:rsidRDefault="00EE266A" w:rsidP="003C15F1">
      <w:pPr>
        <w:ind w:left="1440" w:hanging="720"/>
        <w:jc w:val="both"/>
        <w:rPr>
          <w:sz w:val="22"/>
          <w:szCs w:val="22"/>
          <w:lang w:val="es-US"/>
        </w:rPr>
      </w:pPr>
      <w:r w:rsidRPr="003C15F1">
        <w:rPr>
          <w:sz w:val="22"/>
          <w:szCs w:val="22"/>
          <w:lang w:val="es-US"/>
        </w:rPr>
        <w:t>•</w:t>
      </w:r>
      <w:r w:rsidRPr="003C15F1">
        <w:rPr>
          <w:sz w:val="22"/>
          <w:szCs w:val="22"/>
          <w:lang w:val="es-US"/>
        </w:rPr>
        <w:tab/>
        <w:t xml:space="preserve">Se desarrolló una propuesta para mejorar la base de datos en línea de la Red Interamericana de Mitigación de Desastres (RIMD) y se coordinó su contenido junto con la Junta Interamericana de Defensa (JID). </w:t>
      </w:r>
    </w:p>
    <w:p w14:paraId="1B424F25" w14:textId="77777777" w:rsidR="00B20807" w:rsidRPr="003C15F1" w:rsidRDefault="00B20807" w:rsidP="003C15F1">
      <w:pPr>
        <w:jc w:val="both"/>
        <w:rPr>
          <w:sz w:val="22"/>
          <w:szCs w:val="22"/>
          <w:lang w:val="es-US"/>
        </w:rPr>
      </w:pPr>
    </w:p>
    <w:p w14:paraId="075CD72A" w14:textId="59E30579" w:rsidR="00EE266A" w:rsidRPr="003C15F1" w:rsidRDefault="00EE266A" w:rsidP="003C15F1">
      <w:pPr>
        <w:ind w:left="1440" w:hanging="720"/>
        <w:jc w:val="both"/>
        <w:rPr>
          <w:sz w:val="22"/>
          <w:szCs w:val="22"/>
          <w:lang w:val="es-US"/>
        </w:rPr>
      </w:pPr>
      <w:r w:rsidRPr="003C15F1">
        <w:rPr>
          <w:sz w:val="22"/>
          <w:szCs w:val="22"/>
          <w:lang w:val="es-US"/>
        </w:rPr>
        <w:t>•</w:t>
      </w:r>
      <w:r w:rsidRPr="003C15F1">
        <w:rPr>
          <w:sz w:val="22"/>
          <w:szCs w:val="22"/>
          <w:lang w:val="es-US"/>
        </w:rPr>
        <w:tab/>
        <w:t>Se apoyó al presidente del Comité Interamericano para la Reducción de Desastres Naturales (CIDRN) en sus esfuerzos de coordinación con socios del Comité dentro del Sistema de Naciones Unidas, la Comunidad Internacional sobre Gestión del Riesgo de Desastres, las IFI y los Bancos de Desarrollo, y las OIG subregionales especializadas, entre otras organizaciones pertinentes.</w:t>
      </w:r>
    </w:p>
    <w:p w14:paraId="7555D449" w14:textId="77777777" w:rsidR="00B20807" w:rsidRPr="003C15F1" w:rsidRDefault="00B20807" w:rsidP="003C15F1">
      <w:pPr>
        <w:ind w:left="1440" w:hanging="720"/>
        <w:jc w:val="both"/>
        <w:rPr>
          <w:sz w:val="22"/>
          <w:szCs w:val="22"/>
          <w:lang w:val="es-US"/>
        </w:rPr>
      </w:pPr>
    </w:p>
    <w:p w14:paraId="0FB727D3" w14:textId="78BDF2D8" w:rsidR="00EE266A" w:rsidRPr="003C15F1" w:rsidRDefault="00EE266A" w:rsidP="003C15F1">
      <w:pPr>
        <w:ind w:left="1440" w:hanging="720"/>
        <w:jc w:val="both"/>
        <w:rPr>
          <w:sz w:val="22"/>
          <w:szCs w:val="22"/>
          <w:lang w:val="es-US"/>
        </w:rPr>
      </w:pPr>
      <w:r w:rsidRPr="003C15F1">
        <w:rPr>
          <w:sz w:val="22"/>
          <w:szCs w:val="22"/>
          <w:lang w:val="es-US"/>
        </w:rPr>
        <w:t>•</w:t>
      </w:r>
      <w:r w:rsidRPr="003C15F1">
        <w:rPr>
          <w:sz w:val="22"/>
          <w:szCs w:val="22"/>
          <w:lang w:val="es-US"/>
        </w:rPr>
        <w:tab/>
        <w:t>Como Secretaría Técnica se brindó apoyo al grupo de trabajo para la elaboración y adopción de la Carta Empresarial Interamericana y a las resoluciones relacionadas con temas de Desarrollo Sostenible y la Gestión del Riesgo de Desastres, elaboradas por la Comisión de Políticas de Cooperación Solidaria para el Desarrollo del CIDI y la Comisión de Seguridad Hemisférica.</w:t>
      </w:r>
    </w:p>
    <w:p w14:paraId="2A1A5243" w14:textId="77777777" w:rsidR="00B20807" w:rsidRPr="003C15F1" w:rsidRDefault="00B20807" w:rsidP="003C15F1">
      <w:pPr>
        <w:ind w:left="1440" w:hanging="720"/>
        <w:jc w:val="both"/>
        <w:rPr>
          <w:sz w:val="22"/>
          <w:szCs w:val="22"/>
          <w:lang w:val="es-US"/>
        </w:rPr>
      </w:pPr>
    </w:p>
    <w:p w14:paraId="007F7AA9" w14:textId="75FBD237" w:rsidR="00EE266A" w:rsidRPr="003C15F1" w:rsidRDefault="00EE266A" w:rsidP="003C15F1">
      <w:pPr>
        <w:ind w:left="1440" w:hanging="720"/>
        <w:jc w:val="both"/>
        <w:rPr>
          <w:sz w:val="22"/>
          <w:szCs w:val="22"/>
          <w:lang w:val="es-US"/>
        </w:rPr>
      </w:pPr>
      <w:r w:rsidRPr="003C15F1">
        <w:rPr>
          <w:sz w:val="22"/>
          <w:szCs w:val="22"/>
          <w:lang w:val="es-US"/>
        </w:rPr>
        <w:t>•</w:t>
      </w:r>
      <w:r w:rsidRPr="003C15F1">
        <w:rPr>
          <w:sz w:val="22"/>
          <w:szCs w:val="22"/>
          <w:lang w:val="es-US"/>
        </w:rPr>
        <w:tab/>
        <w:t xml:space="preserve">Se incrementó la capacidad en preparación y gestión de emergencias en nueve (9) países del Caribe, con 23 miembros del personal de gestión de emergencias que han completado el curso de Equipos Básicos de Respuesta a Emergencias de la Comunidad (CERT) como parte del proyecto </w:t>
      </w:r>
      <w:r w:rsidR="00B20807" w:rsidRPr="003C15F1">
        <w:rPr>
          <w:sz w:val="22"/>
          <w:szCs w:val="22"/>
          <w:lang w:val="es-US"/>
        </w:rPr>
        <w:t>“</w:t>
      </w:r>
      <w:r w:rsidRPr="003C15F1">
        <w:rPr>
          <w:sz w:val="22"/>
          <w:szCs w:val="22"/>
          <w:lang w:val="es-US"/>
        </w:rPr>
        <w:t>Construyendo la resiliencia de las pequeñas empresas turísticas en el Caribe ante los desastres</w:t>
      </w:r>
      <w:r w:rsidR="00B20807" w:rsidRPr="003C15F1">
        <w:rPr>
          <w:sz w:val="22"/>
          <w:szCs w:val="22"/>
          <w:lang w:val="es-US"/>
        </w:rPr>
        <w:t>”</w:t>
      </w:r>
      <w:r w:rsidRPr="003C15F1">
        <w:rPr>
          <w:sz w:val="22"/>
          <w:szCs w:val="22"/>
          <w:lang w:val="es-US"/>
        </w:rPr>
        <w:t>.</w:t>
      </w:r>
    </w:p>
    <w:p w14:paraId="03AA69CD" w14:textId="77777777" w:rsidR="00B20807" w:rsidRPr="003C15F1" w:rsidRDefault="00B20807" w:rsidP="003C15F1">
      <w:pPr>
        <w:ind w:left="1440" w:hanging="720"/>
        <w:jc w:val="both"/>
        <w:rPr>
          <w:sz w:val="22"/>
          <w:szCs w:val="22"/>
          <w:lang w:val="es-US"/>
        </w:rPr>
      </w:pPr>
    </w:p>
    <w:p w14:paraId="359150EE" w14:textId="77777777" w:rsidR="00EE266A" w:rsidRPr="003C15F1" w:rsidRDefault="00EE266A" w:rsidP="00FF59F0">
      <w:pPr>
        <w:pStyle w:val="ListParagraph"/>
        <w:numPr>
          <w:ilvl w:val="0"/>
          <w:numId w:val="33"/>
        </w:numPr>
        <w:ind w:hanging="360"/>
        <w:contextualSpacing/>
        <w:jc w:val="both"/>
        <w:rPr>
          <w:sz w:val="22"/>
          <w:szCs w:val="22"/>
          <w:lang w:val="es-US"/>
        </w:rPr>
      </w:pPr>
      <w:r w:rsidRPr="003C15F1">
        <w:rPr>
          <w:sz w:val="22"/>
          <w:szCs w:val="22"/>
          <w:lang w:val="es-US"/>
        </w:rPr>
        <w:t xml:space="preserve">Se llevó a cabo una evaluación holística integrada sobre los desafíos y barreras para la continuidad de los negocios de las pequeñas empresas turísticas en el Caribe después de sufrir un desastre. Participaron más de 1.200 empresas y funcionarios gubernamentales de catorce (14) países del Caribe. </w:t>
      </w:r>
    </w:p>
    <w:p w14:paraId="22DA8265" w14:textId="77777777" w:rsidR="00EE266A" w:rsidRPr="003C15F1" w:rsidRDefault="00EE266A" w:rsidP="003C15F1">
      <w:pPr>
        <w:pStyle w:val="ListParagraph"/>
        <w:ind w:left="1440" w:hanging="720"/>
        <w:jc w:val="both"/>
        <w:rPr>
          <w:sz w:val="22"/>
          <w:szCs w:val="22"/>
          <w:lang w:val="es-US"/>
        </w:rPr>
      </w:pPr>
    </w:p>
    <w:p w14:paraId="33C92A05" w14:textId="77777777" w:rsidR="00EE266A" w:rsidRPr="003C15F1" w:rsidRDefault="00EE266A" w:rsidP="00FF59F0">
      <w:pPr>
        <w:pStyle w:val="ListParagraph"/>
        <w:numPr>
          <w:ilvl w:val="0"/>
          <w:numId w:val="33"/>
        </w:numPr>
        <w:ind w:hanging="360"/>
        <w:contextualSpacing/>
        <w:jc w:val="both"/>
        <w:rPr>
          <w:sz w:val="22"/>
          <w:szCs w:val="22"/>
          <w:lang w:val="es-US"/>
        </w:rPr>
      </w:pPr>
      <w:r w:rsidRPr="003C15F1">
        <w:rPr>
          <w:sz w:val="22"/>
          <w:szCs w:val="22"/>
          <w:lang w:val="es-US"/>
        </w:rPr>
        <w:t xml:space="preserve">Se lanzó una convocatoria de propuestas para una capacitación nacional básica CERT para crear equipos comunitarios de respuesta a emergencias en al menos una comunidad, como parte del proyecto “Construyendo la resiliencia de las pequeñas empresas turísticas en el Caribe ante los desastres”. Cinco (5) países presentaron propuestas para impartir capacitación a 30 miembros de la comunidad por cada sesión. </w:t>
      </w:r>
    </w:p>
    <w:p w14:paraId="475DC6AD" w14:textId="77777777" w:rsidR="00EE266A" w:rsidRPr="003C15F1" w:rsidRDefault="00EE266A" w:rsidP="003C15F1">
      <w:pPr>
        <w:pStyle w:val="ListParagraph"/>
        <w:ind w:left="1440" w:hanging="720"/>
        <w:jc w:val="both"/>
        <w:rPr>
          <w:sz w:val="22"/>
          <w:szCs w:val="22"/>
          <w:lang w:val="es-US"/>
        </w:rPr>
      </w:pPr>
    </w:p>
    <w:p w14:paraId="739BB1E9" w14:textId="77777777" w:rsidR="00EE266A" w:rsidRPr="003C15F1" w:rsidRDefault="00EE266A" w:rsidP="00FF59F0">
      <w:pPr>
        <w:pStyle w:val="ListParagraph"/>
        <w:numPr>
          <w:ilvl w:val="0"/>
          <w:numId w:val="33"/>
        </w:numPr>
        <w:ind w:hanging="360"/>
        <w:contextualSpacing/>
        <w:jc w:val="both"/>
        <w:rPr>
          <w:sz w:val="22"/>
          <w:szCs w:val="22"/>
          <w:lang w:val="es-US"/>
        </w:rPr>
      </w:pPr>
      <w:r w:rsidRPr="003C15F1">
        <w:rPr>
          <w:sz w:val="22"/>
          <w:szCs w:val="22"/>
          <w:lang w:val="es-US"/>
        </w:rPr>
        <w:t>Se brindó asistencia técnica a más de cincuenta y cinco (55) propietarios, operadores y personal de pequeñas empresas turísticas en la planificación de contingencia sobre continuidad de negocios / riesgos múltiples en países del Caribe, como parte del proyecto “Construyendo la resiliencia de las pequeñas empresas turísticas en el Caribe ante desastres”, financiado por el USOAS.</w:t>
      </w:r>
    </w:p>
    <w:p w14:paraId="37053A65" w14:textId="77777777" w:rsidR="00EE266A" w:rsidRPr="003C15F1" w:rsidRDefault="00EE266A" w:rsidP="003C15F1">
      <w:pPr>
        <w:pStyle w:val="ListParagraph"/>
        <w:ind w:left="1440" w:hanging="720"/>
        <w:jc w:val="both"/>
        <w:rPr>
          <w:sz w:val="22"/>
          <w:szCs w:val="22"/>
          <w:lang w:val="es-US"/>
        </w:rPr>
      </w:pPr>
    </w:p>
    <w:p w14:paraId="5E9E0D2E" w14:textId="50A75153" w:rsidR="00EE266A" w:rsidRPr="003C15F1" w:rsidRDefault="00EE266A" w:rsidP="00FF59F0">
      <w:pPr>
        <w:pStyle w:val="ListParagraph"/>
        <w:numPr>
          <w:ilvl w:val="0"/>
          <w:numId w:val="33"/>
        </w:numPr>
        <w:ind w:hanging="360"/>
        <w:contextualSpacing/>
        <w:jc w:val="both"/>
        <w:rPr>
          <w:sz w:val="22"/>
          <w:szCs w:val="22"/>
          <w:lang w:val="es-US"/>
        </w:rPr>
      </w:pPr>
      <w:r w:rsidRPr="003C15F1">
        <w:rPr>
          <w:sz w:val="22"/>
          <w:szCs w:val="22"/>
          <w:lang w:val="es-US"/>
        </w:rPr>
        <w:t xml:space="preserve">Se ofreció un seminario en línea sobre Derecho Internacional de Respuesta a Desastres bajo el tema: </w:t>
      </w:r>
      <w:r w:rsidR="00B20807" w:rsidRPr="003C15F1">
        <w:rPr>
          <w:sz w:val="22"/>
          <w:szCs w:val="22"/>
          <w:lang w:val="es-US"/>
        </w:rPr>
        <w:t>“</w:t>
      </w:r>
      <w:r w:rsidRPr="003C15F1">
        <w:rPr>
          <w:sz w:val="22"/>
          <w:szCs w:val="22"/>
          <w:lang w:val="es-US"/>
        </w:rPr>
        <w:t>Construyendo Capacidad Nacional para la Gestión de Desastres</w:t>
      </w:r>
      <w:r w:rsidR="00B20807" w:rsidRPr="003C15F1">
        <w:rPr>
          <w:sz w:val="22"/>
          <w:szCs w:val="22"/>
          <w:lang w:val="es-US"/>
        </w:rPr>
        <w:t>”</w:t>
      </w:r>
      <w:r w:rsidRPr="003C15F1">
        <w:rPr>
          <w:sz w:val="22"/>
          <w:szCs w:val="22"/>
          <w:lang w:val="es-US"/>
        </w:rPr>
        <w:t xml:space="preserve">, en colaboración con </w:t>
      </w:r>
      <w:r w:rsidRPr="003C15F1">
        <w:rPr>
          <w:sz w:val="22"/>
          <w:szCs w:val="22"/>
          <w:lang w:val="es-US"/>
        </w:rPr>
        <w:lastRenderedPageBreak/>
        <w:t xml:space="preserve">la Federación Internacional de Sociedades de la Cruz Roja y de la Medialuna Roja (FICR) y </w:t>
      </w:r>
      <w:r w:rsidRPr="003C15F1">
        <w:rPr>
          <w:i/>
          <w:iCs/>
          <w:sz w:val="22"/>
          <w:szCs w:val="22"/>
          <w:lang w:val="es-US"/>
        </w:rPr>
        <w:t xml:space="preserve">Amazon Web </w:t>
      </w:r>
      <w:proofErr w:type="spellStart"/>
      <w:r w:rsidRPr="003C15F1">
        <w:rPr>
          <w:i/>
          <w:iCs/>
          <w:sz w:val="22"/>
          <w:szCs w:val="22"/>
          <w:lang w:val="es-US"/>
        </w:rPr>
        <w:t>Services</w:t>
      </w:r>
      <w:proofErr w:type="spellEnd"/>
      <w:r w:rsidRPr="003C15F1">
        <w:rPr>
          <w:sz w:val="22"/>
          <w:szCs w:val="22"/>
          <w:lang w:val="es-US"/>
        </w:rPr>
        <w:t xml:space="preserve"> (AWS) para apoyar a los Estados Miembros de la OEA en el Istmo Centroamericano en sus esfuerzos por facilitar la respuesta internacional a desastres y la asistencia humanitaria.</w:t>
      </w:r>
    </w:p>
    <w:p w14:paraId="706C8B67" w14:textId="77777777" w:rsidR="00EE266A" w:rsidRPr="003C15F1" w:rsidRDefault="00EE266A" w:rsidP="003C15F1">
      <w:pPr>
        <w:pStyle w:val="ListParagraph"/>
        <w:ind w:left="1440" w:hanging="720"/>
        <w:jc w:val="both"/>
        <w:rPr>
          <w:sz w:val="22"/>
          <w:szCs w:val="22"/>
          <w:lang w:val="es-US"/>
        </w:rPr>
      </w:pPr>
    </w:p>
    <w:p w14:paraId="0F2CEBA0" w14:textId="03508603" w:rsidR="00EE266A" w:rsidRPr="003C15F1" w:rsidRDefault="00EE266A" w:rsidP="00FF59F0">
      <w:pPr>
        <w:pStyle w:val="ListParagraph"/>
        <w:numPr>
          <w:ilvl w:val="0"/>
          <w:numId w:val="33"/>
        </w:numPr>
        <w:ind w:left="1440" w:hanging="720"/>
        <w:contextualSpacing/>
        <w:jc w:val="both"/>
        <w:rPr>
          <w:sz w:val="22"/>
          <w:szCs w:val="22"/>
          <w:lang w:val="es-US"/>
        </w:rPr>
      </w:pPr>
      <w:r w:rsidRPr="003C15F1">
        <w:rPr>
          <w:sz w:val="22"/>
          <w:szCs w:val="22"/>
          <w:lang w:val="es-US"/>
        </w:rPr>
        <w:t>Se facilitó la entrega de kits COVID-19 a través del Programa OEA-Cascos Blancos, como parte de la asistencia de cascos blancos argentinos a Centroamérica y el Caribe.</w:t>
      </w:r>
    </w:p>
    <w:p w14:paraId="6744CC69" w14:textId="77777777" w:rsidR="00295271" w:rsidRPr="003C15F1" w:rsidRDefault="00295271" w:rsidP="003C15F1">
      <w:pPr>
        <w:pStyle w:val="ListParagraph"/>
        <w:rPr>
          <w:sz w:val="22"/>
          <w:szCs w:val="22"/>
          <w:lang w:val="es-US"/>
        </w:rPr>
      </w:pPr>
    </w:p>
    <w:p w14:paraId="495820AE" w14:textId="623C914E" w:rsidR="00EE266A" w:rsidRPr="003C15F1" w:rsidRDefault="00EE266A" w:rsidP="003C15F1">
      <w:pPr>
        <w:jc w:val="both"/>
        <w:rPr>
          <w:b/>
          <w:bCs/>
          <w:sz w:val="22"/>
          <w:szCs w:val="22"/>
          <w:lang w:val="es-US"/>
        </w:rPr>
      </w:pPr>
      <w:r w:rsidRPr="003C15F1">
        <w:rPr>
          <w:b/>
          <w:bCs/>
          <w:sz w:val="22"/>
          <w:szCs w:val="22"/>
          <w:lang w:val="es-US"/>
        </w:rPr>
        <w:t>OBJECTIVE 2.2</w:t>
      </w:r>
      <w:r w:rsidR="00B20807" w:rsidRPr="003C15F1">
        <w:rPr>
          <w:b/>
          <w:bCs/>
          <w:sz w:val="22"/>
          <w:szCs w:val="22"/>
          <w:lang w:val="es-US"/>
        </w:rPr>
        <w:t xml:space="preserve">:  </w:t>
      </w:r>
      <w:r w:rsidRPr="003C15F1">
        <w:rPr>
          <w:b/>
          <w:bCs/>
          <w:sz w:val="22"/>
          <w:szCs w:val="22"/>
          <w:lang w:val="es-US"/>
        </w:rPr>
        <w:t>Fomentar las capacidades de los Estados Miembros en la gestión sostenible de los ecosistemas de acuerdo con los objetivos y bases para la acción estipulados en la sección 3.2 del PIDS.</w:t>
      </w:r>
    </w:p>
    <w:p w14:paraId="489F5166" w14:textId="77777777" w:rsidR="00B20807" w:rsidRPr="003C15F1" w:rsidRDefault="00B20807" w:rsidP="003C15F1">
      <w:pPr>
        <w:ind w:left="1440" w:hanging="720"/>
        <w:jc w:val="both"/>
        <w:rPr>
          <w:b/>
          <w:bCs/>
          <w:sz w:val="22"/>
          <w:szCs w:val="22"/>
          <w:lang w:val="es-US"/>
        </w:rPr>
      </w:pPr>
    </w:p>
    <w:p w14:paraId="54EA9EF5" w14:textId="77777777" w:rsidR="00EE266A" w:rsidRPr="003C15F1" w:rsidRDefault="00EE266A" w:rsidP="00FF59F0">
      <w:pPr>
        <w:pStyle w:val="ListParagraph"/>
        <w:numPr>
          <w:ilvl w:val="0"/>
          <w:numId w:val="36"/>
        </w:numPr>
        <w:ind w:left="1440" w:hanging="720"/>
        <w:contextualSpacing/>
        <w:jc w:val="both"/>
        <w:rPr>
          <w:sz w:val="22"/>
          <w:szCs w:val="22"/>
          <w:lang w:val="es-US"/>
        </w:rPr>
      </w:pPr>
      <w:r w:rsidRPr="003C15F1">
        <w:rPr>
          <w:sz w:val="22"/>
          <w:szCs w:val="22"/>
          <w:lang w:val="es-US"/>
        </w:rPr>
        <w:t xml:space="preserve">Este objetivo, que se encuentra bajo el área estratégica 3.2 del PIDS, está contemplado en todos los programas y proyectos de la SEDI/DDS. La gestión sostenible de ecosistemas es en especial un objetivo integral y es un componente de todos los proyectos de la Gestión Integrada de Recursos hídricos, como por ejemplo en el manejo de cuencas transfronterizas del proyecto Cuenca del Plata, o el manejo de biósferas transfronterizas, como en el caso del proyecto La Fraternidad, que contempla la gestión de una biósfera trinacional en la región del Trifinio. De la misma forma, todos los esfuerzos en el área de la energía sostenible, en especial en la promoción de energías renovables, políticas de transición y eficiencia energética, contribuyen a la gestión sostenible de los ecosistemas, sus recursos naturales y los servicios ecológicos. Todos los esfuerzos hacia el desarrollo de la resiliencia comunitaria y la gestión de riesgo de desastres contribuyen con este objetivo.  </w:t>
      </w:r>
    </w:p>
    <w:p w14:paraId="47E0FE7C" w14:textId="77777777" w:rsidR="00EE266A" w:rsidRPr="003C15F1" w:rsidRDefault="00EE266A" w:rsidP="003C15F1">
      <w:pPr>
        <w:jc w:val="both"/>
        <w:rPr>
          <w:sz w:val="22"/>
          <w:szCs w:val="22"/>
          <w:lang w:val="es-US"/>
        </w:rPr>
      </w:pPr>
    </w:p>
    <w:p w14:paraId="1D8FC0F4" w14:textId="2BFEAF8D" w:rsidR="00EE266A" w:rsidRPr="003C15F1" w:rsidRDefault="00EE266A" w:rsidP="003C15F1">
      <w:pPr>
        <w:jc w:val="both"/>
        <w:rPr>
          <w:b/>
          <w:bCs/>
          <w:sz w:val="22"/>
          <w:szCs w:val="22"/>
          <w:lang w:val="es-US"/>
        </w:rPr>
      </w:pPr>
      <w:r w:rsidRPr="003C15F1">
        <w:rPr>
          <w:b/>
          <w:bCs/>
          <w:sz w:val="22"/>
          <w:szCs w:val="22"/>
          <w:lang w:val="es-US"/>
        </w:rPr>
        <w:t>OBJETIVO 2.3</w:t>
      </w:r>
      <w:r w:rsidR="00504FA8" w:rsidRPr="003C15F1">
        <w:rPr>
          <w:b/>
          <w:bCs/>
          <w:sz w:val="22"/>
          <w:szCs w:val="22"/>
          <w:lang w:val="es-US"/>
        </w:rPr>
        <w:t xml:space="preserve">:  </w:t>
      </w:r>
      <w:r w:rsidRPr="003C15F1">
        <w:rPr>
          <w:b/>
          <w:bCs/>
          <w:sz w:val="22"/>
          <w:szCs w:val="22"/>
          <w:lang w:val="es-US"/>
        </w:rPr>
        <w:t>Fomentar las capacidades de los Estados Miembros en la gestión integrada de los recursos hídricos de acuerdo con los objetivos y bases para la acción estipulados en la sección 3.3 del PIDS</w:t>
      </w:r>
    </w:p>
    <w:p w14:paraId="64A17DBA" w14:textId="77777777" w:rsidR="00504FA8" w:rsidRPr="003C15F1" w:rsidRDefault="00504FA8" w:rsidP="003C15F1">
      <w:pPr>
        <w:jc w:val="both"/>
        <w:rPr>
          <w:b/>
          <w:bCs/>
          <w:sz w:val="22"/>
          <w:szCs w:val="22"/>
          <w:lang w:val="es-US"/>
        </w:rPr>
      </w:pPr>
    </w:p>
    <w:p w14:paraId="2EEA0551" w14:textId="77777777" w:rsidR="00EE266A" w:rsidRPr="003C15F1" w:rsidRDefault="00EE266A" w:rsidP="003C15F1">
      <w:pPr>
        <w:ind w:firstLine="720"/>
        <w:jc w:val="both"/>
        <w:rPr>
          <w:b/>
          <w:bCs/>
          <w:sz w:val="22"/>
          <w:szCs w:val="22"/>
          <w:lang w:val="es-US"/>
        </w:rPr>
      </w:pPr>
      <w:r w:rsidRPr="003C15F1">
        <w:rPr>
          <w:b/>
          <w:bCs/>
          <w:sz w:val="22"/>
          <w:szCs w:val="22"/>
          <w:lang w:val="es-US"/>
        </w:rPr>
        <w:t>Gestión integrada de recursos hídricos</w:t>
      </w:r>
    </w:p>
    <w:p w14:paraId="62DAC280" w14:textId="77777777" w:rsidR="00EE266A" w:rsidRPr="003C15F1" w:rsidRDefault="00EE266A" w:rsidP="00FF59F0">
      <w:pPr>
        <w:pStyle w:val="ListParagraph"/>
        <w:numPr>
          <w:ilvl w:val="0"/>
          <w:numId w:val="33"/>
        </w:numPr>
        <w:ind w:hanging="360"/>
        <w:contextualSpacing/>
        <w:jc w:val="both"/>
        <w:rPr>
          <w:sz w:val="22"/>
          <w:szCs w:val="22"/>
          <w:lang w:val="es-US"/>
        </w:rPr>
      </w:pPr>
      <w:r w:rsidRPr="003C15F1">
        <w:rPr>
          <w:sz w:val="22"/>
          <w:szCs w:val="22"/>
          <w:lang w:val="es-US"/>
        </w:rPr>
        <w:t xml:space="preserve">Se completó la presentación y aprobación de una donación de 4,8 millones de dólares del Fondo para el Medio Ambiente Mundial (FMAM), a través del Programa de las Naciones Unidas para el Medio Ambiente (PNUMA), para fomentar la seguridad hídrica en la región de Trifinio (El Salvador, Honduras y Guatemala). </w:t>
      </w:r>
    </w:p>
    <w:p w14:paraId="7D648CAD" w14:textId="77777777" w:rsidR="00EE266A" w:rsidRPr="003C15F1" w:rsidRDefault="00EE266A" w:rsidP="003C15F1">
      <w:pPr>
        <w:pStyle w:val="ListParagraph"/>
        <w:ind w:left="1440" w:hanging="720"/>
        <w:jc w:val="both"/>
        <w:rPr>
          <w:sz w:val="22"/>
          <w:szCs w:val="22"/>
          <w:lang w:val="es-US"/>
        </w:rPr>
      </w:pPr>
    </w:p>
    <w:p w14:paraId="1575C36F" w14:textId="77777777" w:rsidR="00EE266A" w:rsidRPr="003C15F1" w:rsidRDefault="00EE266A" w:rsidP="00FF59F0">
      <w:pPr>
        <w:pStyle w:val="ListParagraph"/>
        <w:numPr>
          <w:ilvl w:val="0"/>
          <w:numId w:val="33"/>
        </w:numPr>
        <w:ind w:hanging="360"/>
        <w:contextualSpacing/>
        <w:jc w:val="both"/>
        <w:rPr>
          <w:sz w:val="22"/>
          <w:szCs w:val="22"/>
          <w:lang w:val="es-US"/>
        </w:rPr>
      </w:pPr>
      <w:r w:rsidRPr="003C15F1">
        <w:rPr>
          <w:sz w:val="22"/>
          <w:szCs w:val="22"/>
          <w:lang w:val="es-US"/>
        </w:rPr>
        <w:t>Se continuó con la ejecución del proyecto de la Cuenca del Plata, implementado mediante una donación de US$2 millones obtenida a través del FMAM para la implementación del Plan de Acción Estratégico (PAE) que busca acelerar las acciones en las áreas prioritarias de seguridad hídrica, resiliencia climática y salud de los ecosistemas, incluido el desarrollo de una cartera de proyectos multisectoriales a corto plazo para toda la cuenca.</w:t>
      </w:r>
    </w:p>
    <w:p w14:paraId="61D73318" w14:textId="77777777" w:rsidR="00EE266A" w:rsidRPr="003C15F1" w:rsidRDefault="00EE266A" w:rsidP="003C15F1">
      <w:pPr>
        <w:pStyle w:val="ListParagraph"/>
        <w:ind w:left="1440" w:hanging="720"/>
        <w:jc w:val="both"/>
        <w:rPr>
          <w:sz w:val="22"/>
          <w:szCs w:val="22"/>
          <w:lang w:val="es-US"/>
        </w:rPr>
      </w:pPr>
    </w:p>
    <w:p w14:paraId="17CFFB49" w14:textId="11586713" w:rsidR="00EE266A" w:rsidRPr="003C15F1" w:rsidRDefault="00EE266A" w:rsidP="00FF59F0">
      <w:pPr>
        <w:pStyle w:val="ListParagraph"/>
        <w:numPr>
          <w:ilvl w:val="0"/>
          <w:numId w:val="33"/>
        </w:numPr>
        <w:ind w:hanging="360"/>
        <w:contextualSpacing/>
        <w:jc w:val="both"/>
        <w:rPr>
          <w:sz w:val="22"/>
          <w:szCs w:val="22"/>
          <w:lang w:val="es-US"/>
        </w:rPr>
      </w:pPr>
      <w:r w:rsidRPr="003C15F1">
        <w:rPr>
          <w:sz w:val="22"/>
          <w:szCs w:val="22"/>
          <w:lang w:val="es-US"/>
        </w:rPr>
        <w:t>Se desarrolló una propuesta para la Gestión Sostenible y Resiliente al Clima de los Ecosistemas Altoandinos (</w:t>
      </w:r>
      <w:proofErr w:type="spellStart"/>
      <w:r w:rsidRPr="003C15F1">
        <w:rPr>
          <w:sz w:val="22"/>
          <w:szCs w:val="22"/>
          <w:lang w:val="es-US"/>
        </w:rPr>
        <w:t>Hame</w:t>
      </w:r>
      <w:proofErr w:type="spellEnd"/>
      <w:r w:rsidRPr="003C15F1">
        <w:rPr>
          <w:sz w:val="22"/>
          <w:szCs w:val="22"/>
          <w:lang w:val="es-US"/>
        </w:rPr>
        <w:t>), una iniciativa regional (Bolivia, Colombia, Ecuador y Perú) por una contribución de US$ 5.147.825 de la Agencia Suiza para el Desarrollo y la Cooperación (COSUDE) la cual fue otorgada.</w:t>
      </w:r>
    </w:p>
    <w:p w14:paraId="20E7D1A6" w14:textId="77777777" w:rsidR="00EE266A" w:rsidRPr="003C15F1" w:rsidRDefault="00EE266A" w:rsidP="003C15F1">
      <w:pPr>
        <w:pStyle w:val="ListParagraph"/>
        <w:ind w:left="1440" w:hanging="720"/>
        <w:jc w:val="both"/>
        <w:rPr>
          <w:sz w:val="22"/>
          <w:szCs w:val="22"/>
          <w:lang w:val="es-US"/>
        </w:rPr>
      </w:pPr>
    </w:p>
    <w:p w14:paraId="786294A2" w14:textId="77777777" w:rsidR="00EE266A" w:rsidRPr="003C15F1" w:rsidRDefault="00EE266A" w:rsidP="00FF59F0">
      <w:pPr>
        <w:pStyle w:val="ListParagraph"/>
        <w:numPr>
          <w:ilvl w:val="0"/>
          <w:numId w:val="33"/>
        </w:numPr>
        <w:ind w:hanging="360"/>
        <w:contextualSpacing/>
        <w:jc w:val="both"/>
        <w:rPr>
          <w:sz w:val="22"/>
          <w:szCs w:val="22"/>
          <w:lang w:val="es-US"/>
        </w:rPr>
      </w:pPr>
      <w:r w:rsidRPr="003C15F1">
        <w:rPr>
          <w:sz w:val="22"/>
          <w:szCs w:val="22"/>
          <w:lang w:val="es-US"/>
        </w:rPr>
        <w:t xml:space="preserve">Los fondos de USAID Haití para los proyectos </w:t>
      </w:r>
      <w:proofErr w:type="spellStart"/>
      <w:r w:rsidRPr="003C15F1">
        <w:rPr>
          <w:i/>
          <w:iCs/>
          <w:sz w:val="22"/>
          <w:szCs w:val="22"/>
          <w:lang w:val="es-US"/>
        </w:rPr>
        <w:t>Community</w:t>
      </w:r>
      <w:proofErr w:type="spellEnd"/>
      <w:r w:rsidRPr="003C15F1">
        <w:rPr>
          <w:i/>
          <w:iCs/>
          <w:sz w:val="22"/>
          <w:szCs w:val="22"/>
          <w:lang w:val="es-US"/>
        </w:rPr>
        <w:t xml:space="preserve"> </w:t>
      </w:r>
      <w:proofErr w:type="spellStart"/>
      <w:r w:rsidRPr="003C15F1">
        <w:rPr>
          <w:i/>
          <w:iCs/>
          <w:sz w:val="22"/>
          <w:szCs w:val="22"/>
          <w:lang w:val="es-US"/>
        </w:rPr>
        <w:t>Driven</w:t>
      </w:r>
      <w:proofErr w:type="spellEnd"/>
      <w:r w:rsidRPr="003C15F1">
        <w:rPr>
          <w:i/>
          <w:iCs/>
          <w:sz w:val="22"/>
          <w:szCs w:val="22"/>
          <w:lang w:val="es-US"/>
        </w:rPr>
        <w:t xml:space="preserve"> Development</w:t>
      </w:r>
      <w:r w:rsidRPr="003C15F1">
        <w:rPr>
          <w:sz w:val="22"/>
          <w:szCs w:val="22"/>
          <w:lang w:val="es-US"/>
        </w:rPr>
        <w:t xml:space="preserve"> (CDD) y </w:t>
      </w:r>
      <w:r w:rsidRPr="003C15F1">
        <w:rPr>
          <w:i/>
          <w:iCs/>
          <w:sz w:val="22"/>
          <w:szCs w:val="22"/>
          <w:lang w:val="es-US"/>
        </w:rPr>
        <w:t xml:space="preserve">Small </w:t>
      </w:r>
      <w:proofErr w:type="spellStart"/>
      <w:r w:rsidRPr="003C15F1">
        <w:rPr>
          <w:i/>
          <w:iCs/>
          <w:sz w:val="22"/>
          <w:szCs w:val="22"/>
          <w:lang w:val="es-US"/>
        </w:rPr>
        <w:t>Grants</w:t>
      </w:r>
      <w:proofErr w:type="spellEnd"/>
      <w:r w:rsidRPr="003C15F1">
        <w:rPr>
          <w:i/>
          <w:iCs/>
          <w:sz w:val="22"/>
          <w:szCs w:val="22"/>
          <w:lang w:val="es-US"/>
        </w:rPr>
        <w:t xml:space="preserve"> </w:t>
      </w:r>
      <w:proofErr w:type="spellStart"/>
      <w:r w:rsidRPr="003C15F1">
        <w:rPr>
          <w:i/>
          <w:iCs/>
          <w:sz w:val="22"/>
          <w:szCs w:val="22"/>
          <w:lang w:val="es-US"/>
        </w:rPr>
        <w:t>Facility</w:t>
      </w:r>
      <w:proofErr w:type="spellEnd"/>
      <w:r w:rsidRPr="003C15F1">
        <w:rPr>
          <w:sz w:val="22"/>
          <w:szCs w:val="22"/>
          <w:lang w:val="es-US"/>
        </w:rPr>
        <w:t xml:space="preserve"> (SGF) se transfirieron a la SEDI/DDS. Al extender el acuerdo con </w:t>
      </w:r>
      <w:r w:rsidRPr="003C15F1">
        <w:rPr>
          <w:sz w:val="22"/>
          <w:szCs w:val="22"/>
          <w:lang w:val="es-US"/>
        </w:rPr>
        <w:lastRenderedPageBreak/>
        <w:t xml:space="preserve">USAID, el proyecto CDD fue reprogramado con el objetivo general de desarrollar la resiliencia del sector del agua y un enfoque de gestión integrada de los recursos hídricos. Se espera recibir una contribución adicional de US$ 2.300.00 para comenzar a ejecutar en el 2022.   </w:t>
      </w:r>
    </w:p>
    <w:p w14:paraId="78ED080E" w14:textId="77777777" w:rsidR="00EE266A" w:rsidRPr="003C15F1" w:rsidRDefault="00EE266A" w:rsidP="003C15F1">
      <w:pPr>
        <w:pStyle w:val="ListParagraph"/>
        <w:ind w:left="1440" w:hanging="720"/>
        <w:jc w:val="both"/>
        <w:rPr>
          <w:sz w:val="22"/>
          <w:szCs w:val="22"/>
          <w:lang w:val="es-US"/>
        </w:rPr>
      </w:pPr>
    </w:p>
    <w:p w14:paraId="385AEF02" w14:textId="4F6A2F61" w:rsidR="00EE266A" w:rsidRPr="003C15F1" w:rsidRDefault="00EE266A" w:rsidP="00FF59F0">
      <w:pPr>
        <w:pStyle w:val="ListParagraph"/>
        <w:numPr>
          <w:ilvl w:val="0"/>
          <w:numId w:val="33"/>
        </w:numPr>
        <w:ind w:hanging="360"/>
        <w:contextualSpacing/>
        <w:jc w:val="both"/>
        <w:rPr>
          <w:sz w:val="22"/>
          <w:szCs w:val="22"/>
          <w:lang w:val="es-US"/>
        </w:rPr>
      </w:pPr>
      <w:r w:rsidRPr="003C15F1">
        <w:rPr>
          <w:sz w:val="22"/>
          <w:szCs w:val="22"/>
          <w:lang w:val="es-US"/>
        </w:rPr>
        <w:t xml:space="preserve">SEDI/DDS se asoció con el Banco Interamericano de Desarrollo (BID), el Programa de las Naciones Unidas para el Medio Ambiente (PNUMA), la </w:t>
      </w:r>
      <w:r w:rsidRPr="003C15F1">
        <w:rPr>
          <w:i/>
          <w:iCs/>
          <w:sz w:val="22"/>
          <w:szCs w:val="22"/>
          <w:lang w:val="es-US"/>
        </w:rPr>
        <w:t xml:space="preserve">Deutsche </w:t>
      </w:r>
      <w:proofErr w:type="spellStart"/>
      <w:r w:rsidRPr="003C15F1">
        <w:rPr>
          <w:i/>
          <w:iCs/>
          <w:sz w:val="22"/>
          <w:szCs w:val="22"/>
          <w:lang w:val="es-US"/>
        </w:rPr>
        <w:t>Gesellschaft</w:t>
      </w:r>
      <w:proofErr w:type="spellEnd"/>
      <w:r w:rsidRPr="003C15F1">
        <w:rPr>
          <w:i/>
          <w:iCs/>
          <w:sz w:val="22"/>
          <w:szCs w:val="22"/>
          <w:lang w:val="es-US"/>
        </w:rPr>
        <w:t xml:space="preserve"> </w:t>
      </w:r>
      <w:proofErr w:type="spellStart"/>
      <w:r w:rsidRPr="003C15F1">
        <w:rPr>
          <w:i/>
          <w:iCs/>
          <w:sz w:val="22"/>
          <w:szCs w:val="22"/>
          <w:lang w:val="es-US"/>
        </w:rPr>
        <w:t>für</w:t>
      </w:r>
      <w:proofErr w:type="spellEnd"/>
      <w:r w:rsidRPr="003C15F1">
        <w:rPr>
          <w:i/>
          <w:iCs/>
          <w:sz w:val="22"/>
          <w:szCs w:val="22"/>
          <w:lang w:val="es-US"/>
        </w:rPr>
        <w:t xml:space="preserve"> </w:t>
      </w:r>
      <w:proofErr w:type="spellStart"/>
      <w:r w:rsidRPr="003C15F1">
        <w:rPr>
          <w:i/>
          <w:iCs/>
          <w:sz w:val="22"/>
          <w:szCs w:val="22"/>
          <w:lang w:val="es-US"/>
        </w:rPr>
        <w:t>Internationale</w:t>
      </w:r>
      <w:proofErr w:type="spellEnd"/>
      <w:r w:rsidRPr="003C15F1">
        <w:rPr>
          <w:i/>
          <w:iCs/>
          <w:sz w:val="22"/>
          <w:szCs w:val="22"/>
          <w:lang w:val="es-US"/>
        </w:rPr>
        <w:t xml:space="preserve"> </w:t>
      </w:r>
      <w:proofErr w:type="spellStart"/>
      <w:r w:rsidRPr="003C15F1">
        <w:rPr>
          <w:i/>
          <w:iCs/>
          <w:sz w:val="22"/>
          <w:szCs w:val="22"/>
          <w:lang w:val="es-US"/>
        </w:rPr>
        <w:t>Zusammenarbeit</w:t>
      </w:r>
      <w:proofErr w:type="spellEnd"/>
      <w:r w:rsidRPr="003C15F1">
        <w:rPr>
          <w:i/>
          <w:iCs/>
          <w:sz w:val="22"/>
          <w:szCs w:val="22"/>
          <w:lang w:val="es-US"/>
        </w:rPr>
        <w:t xml:space="preserve"> </w:t>
      </w:r>
      <w:r w:rsidRPr="003C15F1">
        <w:rPr>
          <w:sz w:val="22"/>
          <w:szCs w:val="22"/>
          <w:lang w:val="es-US"/>
        </w:rPr>
        <w:t xml:space="preserve">(GIZ) y la Secretaría del Convenio de Cartagena (CAR/RCU), en la ejecución del proyecto del FMAM </w:t>
      </w:r>
      <w:r w:rsidR="00504FA8" w:rsidRPr="003C15F1">
        <w:rPr>
          <w:sz w:val="22"/>
          <w:szCs w:val="22"/>
          <w:lang w:val="es-US"/>
        </w:rPr>
        <w:t>“</w:t>
      </w:r>
      <w:r w:rsidRPr="003C15F1">
        <w:rPr>
          <w:sz w:val="22"/>
          <w:szCs w:val="22"/>
          <w:lang w:val="es-US"/>
        </w:rPr>
        <w:t>El Fondo Regional del Caribe para la Gestión de Aguas Residuales (</w:t>
      </w:r>
      <w:proofErr w:type="spellStart"/>
      <w:r w:rsidRPr="003C15F1">
        <w:rPr>
          <w:sz w:val="22"/>
          <w:szCs w:val="22"/>
          <w:lang w:val="es-US"/>
        </w:rPr>
        <w:t>CReW</w:t>
      </w:r>
      <w:proofErr w:type="spellEnd"/>
      <w:r w:rsidRPr="003C15F1">
        <w:rPr>
          <w:sz w:val="22"/>
          <w:szCs w:val="22"/>
          <w:lang w:val="es-US"/>
        </w:rPr>
        <w:t>+)</w:t>
      </w:r>
      <w:r w:rsidR="00504FA8" w:rsidRPr="003C15F1">
        <w:rPr>
          <w:sz w:val="22"/>
          <w:szCs w:val="22"/>
          <w:lang w:val="es-US"/>
        </w:rPr>
        <w:t>”</w:t>
      </w:r>
      <w:r w:rsidRPr="003C15F1">
        <w:rPr>
          <w:sz w:val="22"/>
          <w:szCs w:val="22"/>
          <w:lang w:val="es-US"/>
        </w:rPr>
        <w:t>, con una contribución de USD 15M, para implementarse en la Región del Gran Caribe:  Barbados, Beli</w:t>
      </w:r>
      <w:r w:rsidR="00504FA8" w:rsidRPr="003C15F1">
        <w:rPr>
          <w:sz w:val="22"/>
          <w:szCs w:val="22"/>
          <w:lang w:val="es-US"/>
        </w:rPr>
        <w:t>z</w:t>
      </w:r>
      <w:r w:rsidRPr="003C15F1">
        <w:rPr>
          <w:sz w:val="22"/>
          <w:szCs w:val="22"/>
          <w:lang w:val="es-US"/>
        </w:rPr>
        <w:t>e, Colombia, Costa Rica, Cuba, Granada, Guatemala, Guyana, Honduras, Jamaica, México, Panamá, República Dominicana, Saint Kitts y Nevis, Santa Lucía, San Vicente y las Granadinas, Suriname y Trinidad y Tobago. SEDI/DDS es responsable de la coordinación general del proyecto y en Barbados lidera el desarrollo de una Estrategia Nacional de Comunicaciones (y el Plan de Implementación Asociado) para la Gestión Integrada del Agua y las Aguas Residuales (IWWM) y la evaluación del entorno propicio necesario para un Fondo Rotatorio de Aguas Residuales y el Desarrollo de un mecanismo de Cofinanciación/Fondo Rotatorio para apoyar la adopción de programas de tratamiento y reutilización de aguas residuales.</w:t>
      </w:r>
    </w:p>
    <w:p w14:paraId="138FE530" w14:textId="77777777" w:rsidR="00EE266A" w:rsidRPr="003C15F1" w:rsidRDefault="00EE266A" w:rsidP="003C15F1">
      <w:pPr>
        <w:pStyle w:val="ListParagraph"/>
        <w:ind w:left="1440" w:hanging="720"/>
        <w:jc w:val="both"/>
        <w:rPr>
          <w:sz w:val="22"/>
          <w:szCs w:val="22"/>
          <w:lang w:val="es-US"/>
        </w:rPr>
      </w:pPr>
    </w:p>
    <w:p w14:paraId="12582487" w14:textId="5735DBCF" w:rsidR="00EE266A" w:rsidRPr="003C15F1" w:rsidRDefault="00EE266A" w:rsidP="00FF59F0">
      <w:pPr>
        <w:pStyle w:val="ListParagraph"/>
        <w:numPr>
          <w:ilvl w:val="0"/>
          <w:numId w:val="33"/>
        </w:numPr>
        <w:ind w:hanging="360"/>
        <w:contextualSpacing/>
        <w:jc w:val="both"/>
        <w:rPr>
          <w:sz w:val="22"/>
          <w:szCs w:val="22"/>
          <w:lang w:val="es-US"/>
        </w:rPr>
      </w:pPr>
      <w:r w:rsidRPr="003C15F1">
        <w:rPr>
          <w:sz w:val="22"/>
          <w:szCs w:val="22"/>
          <w:lang w:val="es-US"/>
        </w:rPr>
        <w:t xml:space="preserve">SEDI/DDS junto con el Banco Interamericano de Desarrollo (BID) y en colaboración con los </w:t>
      </w:r>
      <w:r w:rsidR="00504FA8" w:rsidRPr="003C15F1">
        <w:rPr>
          <w:sz w:val="22"/>
          <w:szCs w:val="22"/>
          <w:lang w:val="es-US"/>
        </w:rPr>
        <w:t>G</w:t>
      </w:r>
      <w:r w:rsidRPr="003C15F1">
        <w:rPr>
          <w:sz w:val="22"/>
          <w:szCs w:val="22"/>
          <w:lang w:val="es-US"/>
        </w:rPr>
        <w:t xml:space="preserve">obiernos de Costa Rica, Jamaica y Uruguay emprendieron la iniciativa regional </w:t>
      </w:r>
      <w:r w:rsidR="00504FA8" w:rsidRPr="003C15F1">
        <w:rPr>
          <w:sz w:val="22"/>
          <w:szCs w:val="22"/>
          <w:lang w:val="es-US"/>
        </w:rPr>
        <w:t>“</w:t>
      </w:r>
      <w:r w:rsidRPr="003C15F1">
        <w:rPr>
          <w:sz w:val="22"/>
          <w:szCs w:val="22"/>
          <w:lang w:val="es-US"/>
        </w:rPr>
        <w:t>Programa de Acción Climática para el Desarrollo en América Latina y el Caribe: una propuesta integral basada en las mejores prácticas de la región</w:t>
      </w:r>
      <w:r w:rsidR="00504FA8" w:rsidRPr="003C15F1">
        <w:rPr>
          <w:sz w:val="22"/>
          <w:szCs w:val="22"/>
          <w:lang w:val="es-US"/>
        </w:rPr>
        <w:t>”</w:t>
      </w:r>
      <w:r w:rsidRPr="003C15F1">
        <w:rPr>
          <w:sz w:val="22"/>
          <w:szCs w:val="22"/>
          <w:lang w:val="es-US"/>
        </w:rPr>
        <w:t xml:space="preserve">. Este enfoque regional busca promover actividades y herramientas de acción climática para el logro de Contribuciones Nacionales Determinadas (CND). </w:t>
      </w:r>
    </w:p>
    <w:p w14:paraId="5A7E0A76" w14:textId="77777777" w:rsidR="00EE266A" w:rsidRPr="003C15F1" w:rsidRDefault="00EE266A" w:rsidP="003C15F1">
      <w:pPr>
        <w:pStyle w:val="ListParagraph"/>
        <w:ind w:left="1440" w:hanging="720"/>
        <w:jc w:val="both"/>
        <w:rPr>
          <w:sz w:val="22"/>
          <w:szCs w:val="22"/>
          <w:lang w:val="es-US"/>
        </w:rPr>
      </w:pPr>
    </w:p>
    <w:p w14:paraId="30642C48" w14:textId="1309C728" w:rsidR="00EE266A" w:rsidRPr="003C15F1" w:rsidRDefault="00EE266A" w:rsidP="00FF59F0">
      <w:pPr>
        <w:pStyle w:val="ListParagraph"/>
        <w:numPr>
          <w:ilvl w:val="0"/>
          <w:numId w:val="33"/>
        </w:numPr>
        <w:ind w:hanging="360"/>
        <w:contextualSpacing/>
        <w:jc w:val="both"/>
        <w:rPr>
          <w:sz w:val="22"/>
          <w:szCs w:val="22"/>
          <w:lang w:val="es-US"/>
        </w:rPr>
      </w:pPr>
      <w:r w:rsidRPr="003C15F1">
        <w:rPr>
          <w:sz w:val="22"/>
          <w:szCs w:val="22"/>
          <w:lang w:val="es-US"/>
        </w:rPr>
        <w:t xml:space="preserve">Se publicó la guía </w:t>
      </w:r>
      <w:r w:rsidR="00504FA8" w:rsidRPr="003C15F1">
        <w:rPr>
          <w:sz w:val="22"/>
          <w:szCs w:val="22"/>
          <w:lang w:val="es-US"/>
        </w:rPr>
        <w:t>“</w:t>
      </w:r>
      <w:r w:rsidRPr="003C15F1">
        <w:rPr>
          <w:sz w:val="22"/>
          <w:szCs w:val="22"/>
          <w:lang w:val="es-US"/>
        </w:rPr>
        <w:t>Igualdad de Género y Agua en las Américas: Consideraciones y Lineamientos para la incorporación del Enfoque de Género en los programas, planes, proyectos y actividades de Gestión del Agua</w:t>
      </w:r>
      <w:r w:rsidR="00504FA8" w:rsidRPr="003C15F1">
        <w:rPr>
          <w:sz w:val="22"/>
          <w:szCs w:val="22"/>
          <w:lang w:val="es-US"/>
        </w:rPr>
        <w:t>”</w:t>
      </w:r>
      <w:r w:rsidRPr="003C15F1">
        <w:rPr>
          <w:sz w:val="22"/>
          <w:szCs w:val="22"/>
          <w:lang w:val="es-US"/>
        </w:rPr>
        <w:t xml:space="preserve">.  </w:t>
      </w:r>
    </w:p>
    <w:p w14:paraId="0E0390B7" w14:textId="77777777" w:rsidR="00EE266A" w:rsidRPr="003C15F1" w:rsidRDefault="00EE266A" w:rsidP="003C15F1">
      <w:pPr>
        <w:pStyle w:val="ListParagraph"/>
        <w:ind w:left="1440" w:hanging="720"/>
        <w:jc w:val="both"/>
        <w:rPr>
          <w:sz w:val="22"/>
          <w:szCs w:val="22"/>
          <w:lang w:val="es-US"/>
        </w:rPr>
      </w:pPr>
    </w:p>
    <w:p w14:paraId="39D365B1" w14:textId="767DDB2B" w:rsidR="00EE266A" w:rsidRPr="003C15F1" w:rsidRDefault="00EE266A" w:rsidP="00FF59F0">
      <w:pPr>
        <w:pStyle w:val="ListParagraph"/>
        <w:numPr>
          <w:ilvl w:val="0"/>
          <w:numId w:val="33"/>
        </w:numPr>
        <w:ind w:hanging="360"/>
        <w:contextualSpacing/>
        <w:jc w:val="both"/>
        <w:rPr>
          <w:sz w:val="22"/>
          <w:szCs w:val="22"/>
          <w:lang w:val="es-US"/>
        </w:rPr>
      </w:pPr>
      <w:r w:rsidRPr="003C15F1">
        <w:rPr>
          <w:sz w:val="22"/>
          <w:szCs w:val="22"/>
          <w:lang w:val="es-US"/>
        </w:rPr>
        <w:t xml:space="preserve">Se desarrolló una publicación sobre </w:t>
      </w:r>
      <w:r w:rsidR="00504FA8" w:rsidRPr="003C15F1">
        <w:rPr>
          <w:sz w:val="22"/>
          <w:szCs w:val="22"/>
          <w:lang w:val="es-US"/>
        </w:rPr>
        <w:t>“</w:t>
      </w:r>
      <w:r w:rsidRPr="003C15F1">
        <w:rPr>
          <w:sz w:val="22"/>
          <w:szCs w:val="22"/>
          <w:lang w:val="es-US"/>
        </w:rPr>
        <w:t>Cuencas Transfronterizas: Agua y Paz en las Américas: Metodología para el diagnóstico de cooperación y resiliencia transfronteriza</w:t>
      </w:r>
      <w:r w:rsidR="00504FA8" w:rsidRPr="003C15F1">
        <w:rPr>
          <w:sz w:val="22"/>
          <w:szCs w:val="22"/>
          <w:lang w:val="es-US"/>
        </w:rPr>
        <w:t>”</w:t>
      </w:r>
      <w:r w:rsidRPr="003C15F1">
        <w:rPr>
          <w:sz w:val="22"/>
          <w:szCs w:val="22"/>
          <w:lang w:val="es-US"/>
        </w:rPr>
        <w:t>, que se publicará en el año 2022.</w:t>
      </w:r>
    </w:p>
    <w:p w14:paraId="7DF10D64" w14:textId="77777777" w:rsidR="00EE266A" w:rsidRPr="003C15F1" w:rsidRDefault="00EE266A" w:rsidP="003C15F1">
      <w:pPr>
        <w:jc w:val="both"/>
        <w:rPr>
          <w:sz w:val="22"/>
          <w:szCs w:val="22"/>
          <w:lang w:val="es-US"/>
        </w:rPr>
      </w:pPr>
    </w:p>
    <w:p w14:paraId="239BAA38" w14:textId="511BFE52" w:rsidR="00EE266A" w:rsidRPr="003C15F1" w:rsidRDefault="00EE266A" w:rsidP="003C15F1">
      <w:pPr>
        <w:jc w:val="both"/>
        <w:rPr>
          <w:b/>
          <w:bCs/>
          <w:sz w:val="22"/>
          <w:szCs w:val="22"/>
          <w:lang w:val="es-US"/>
        </w:rPr>
      </w:pPr>
      <w:r w:rsidRPr="003C15F1">
        <w:rPr>
          <w:b/>
          <w:bCs/>
          <w:sz w:val="22"/>
          <w:szCs w:val="22"/>
          <w:lang w:val="es-US"/>
        </w:rPr>
        <w:t>OBJETIVO 2.4</w:t>
      </w:r>
      <w:r w:rsidR="00504FA8" w:rsidRPr="003C15F1">
        <w:rPr>
          <w:b/>
          <w:bCs/>
          <w:sz w:val="22"/>
          <w:szCs w:val="22"/>
          <w:lang w:val="es-US"/>
        </w:rPr>
        <w:t xml:space="preserve">:  </w:t>
      </w:r>
      <w:r w:rsidRPr="003C15F1">
        <w:rPr>
          <w:b/>
          <w:bCs/>
          <w:sz w:val="22"/>
          <w:szCs w:val="22"/>
          <w:lang w:val="es-US"/>
        </w:rPr>
        <w:t>Fomentar las capacidades de los Estados Miembros en el tema de ciudades y comunidades sostenibles de acuerdo con los objetivos y bases para la acción estipulados en la sección 3.4 del PIDS</w:t>
      </w:r>
    </w:p>
    <w:p w14:paraId="39F86189" w14:textId="77777777" w:rsidR="00504FA8" w:rsidRPr="003C15F1" w:rsidRDefault="00504FA8" w:rsidP="003C15F1">
      <w:pPr>
        <w:jc w:val="both"/>
        <w:rPr>
          <w:b/>
          <w:bCs/>
          <w:sz w:val="22"/>
          <w:szCs w:val="22"/>
          <w:lang w:val="es-US"/>
        </w:rPr>
      </w:pPr>
    </w:p>
    <w:p w14:paraId="25DDE79C" w14:textId="0777113B" w:rsidR="00EE266A" w:rsidRPr="003C15F1" w:rsidRDefault="00EE266A" w:rsidP="00FF59F0">
      <w:pPr>
        <w:pStyle w:val="ListParagraph"/>
        <w:numPr>
          <w:ilvl w:val="3"/>
          <w:numId w:val="37"/>
        </w:numPr>
        <w:ind w:left="1440" w:hanging="720"/>
        <w:jc w:val="both"/>
        <w:rPr>
          <w:sz w:val="22"/>
          <w:szCs w:val="22"/>
          <w:lang w:val="es-US"/>
        </w:rPr>
      </w:pPr>
      <w:r w:rsidRPr="003C15F1">
        <w:rPr>
          <w:sz w:val="22"/>
          <w:szCs w:val="22"/>
          <w:lang w:val="es-US"/>
        </w:rPr>
        <w:t>Este objetivo también se aborda como un objetivo general en todos los programas y proyectos de la SEDI/DDS dado que los mismos se implementan en comunidades urbanas con cuencas transfronterizas y unidades regionales de gestión y planificación. Asimismo, la Alianza de Energía y Clima de las Américas (ECPA) y el Programa de Gestión de Riesgo de desastres contribuyen a cumplir los objetivos de ciudades y comunidades sostenibles.</w:t>
      </w:r>
    </w:p>
    <w:p w14:paraId="449771E1" w14:textId="77777777" w:rsidR="00504FA8" w:rsidRPr="003C15F1" w:rsidRDefault="00504FA8" w:rsidP="003C15F1">
      <w:pPr>
        <w:ind w:left="1440" w:hanging="720"/>
        <w:jc w:val="both"/>
        <w:rPr>
          <w:sz w:val="22"/>
          <w:szCs w:val="22"/>
          <w:lang w:val="es-US"/>
        </w:rPr>
      </w:pPr>
    </w:p>
    <w:p w14:paraId="4D0B072A" w14:textId="77777777" w:rsidR="00EE266A" w:rsidRPr="00B54C80" w:rsidRDefault="00EE266A" w:rsidP="00FF59F0">
      <w:pPr>
        <w:pStyle w:val="ListParagraph"/>
        <w:numPr>
          <w:ilvl w:val="0"/>
          <w:numId w:val="35"/>
        </w:numPr>
        <w:ind w:left="1440" w:hanging="720"/>
        <w:contextualSpacing/>
        <w:jc w:val="both"/>
        <w:rPr>
          <w:sz w:val="22"/>
          <w:szCs w:val="22"/>
          <w:lang w:val="es-US"/>
        </w:rPr>
      </w:pPr>
      <w:r w:rsidRPr="00B54C80">
        <w:rPr>
          <w:sz w:val="22"/>
          <w:szCs w:val="22"/>
          <w:lang w:val="es-US"/>
        </w:rPr>
        <w:t xml:space="preserve">Se continuaron los esfuerzos de movilización de financiamiento para la implementación de cursos abiertos en línea sobre comunidades urbanas sostenibles, revisado durante el año 2020, el cual busca brindar a los jóvenes las herramientas y </w:t>
      </w:r>
      <w:r w:rsidRPr="00B54C80">
        <w:rPr>
          <w:sz w:val="22"/>
          <w:szCs w:val="22"/>
          <w:lang w:val="es-US"/>
        </w:rPr>
        <w:lastRenderedPageBreak/>
        <w:t xml:space="preserve">conocimientos necesarios para influir en los cambios, prácticas y hábitos culturales y en las políticas públicas para lograr comunidades sostenibles y resilientes. </w:t>
      </w:r>
    </w:p>
    <w:p w14:paraId="3B1EB8A4" w14:textId="77777777" w:rsidR="00EE266A" w:rsidRPr="00B54C80" w:rsidRDefault="00EE266A" w:rsidP="003C15F1">
      <w:pPr>
        <w:pStyle w:val="ListParagraph"/>
        <w:ind w:left="0"/>
        <w:jc w:val="both"/>
        <w:rPr>
          <w:sz w:val="22"/>
          <w:szCs w:val="22"/>
          <w:lang w:val="es-US"/>
        </w:rPr>
      </w:pPr>
    </w:p>
    <w:p w14:paraId="249E3203" w14:textId="12FF2884" w:rsidR="00EE266A" w:rsidRPr="003C15F1" w:rsidRDefault="00EE266A" w:rsidP="003C15F1">
      <w:pPr>
        <w:jc w:val="both"/>
        <w:rPr>
          <w:b/>
          <w:bCs/>
          <w:sz w:val="22"/>
          <w:szCs w:val="22"/>
          <w:lang w:val="es-US"/>
        </w:rPr>
      </w:pPr>
      <w:r w:rsidRPr="00B54C80">
        <w:rPr>
          <w:b/>
          <w:bCs/>
          <w:sz w:val="22"/>
          <w:szCs w:val="22"/>
          <w:lang w:val="es-US"/>
        </w:rPr>
        <w:t>OBJETIVO 2.5</w:t>
      </w:r>
      <w:r w:rsidR="00504FA8" w:rsidRPr="00B54C80">
        <w:rPr>
          <w:b/>
          <w:bCs/>
          <w:sz w:val="22"/>
          <w:szCs w:val="22"/>
          <w:lang w:val="es-US"/>
        </w:rPr>
        <w:t xml:space="preserve">:  </w:t>
      </w:r>
      <w:r w:rsidRPr="00B54C80">
        <w:rPr>
          <w:b/>
          <w:bCs/>
          <w:sz w:val="22"/>
          <w:szCs w:val="22"/>
          <w:lang w:val="es-US"/>
        </w:rPr>
        <w:t>Fomentar las capacidades de los Estados Miembros en la gestión sostenible de la energía, priorizando la promoción de energías limpias, renovables y ambientalmente sustentables y la eficiencia energética de acuerdo con los objetivos y bases para la acción estipulados en la sección 3.</w:t>
      </w:r>
      <w:r w:rsidRPr="003C15F1">
        <w:rPr>
          <w:b/>
          <w:bCs/>
          <w:sz w:val="22"/>
          <w:szCs w:val="22"/>
          <w:lang w:val="es-US"/>
        </w:rPr>
        <w:t>5 del PIDS</w:t>
      </w:r>
    </w:p>
    <w:p w14:paraId="5E6F53D9" w14:textId="77777777" w:rsidR="00504FA8" w:rsidRPr="003C15F1" w:rsidRDefault="00504FA8" w:rsidP="003C15F1">
      <w:pPr>
        <w:jc w:val="both"/>
        <w:rPr>
          <w:b/>
          <w:bCs/>
          <w:sz w:val="22"/>
          <w:szCs w:val="22"/>
          <w:lang w:val="es-US"/>
        </w:rPr>
      </w:pPr>
    </w:p>
    <w:p w14:paraId="63F16D09" w14:textId="77777777" w:rsidR="00EE266A" w:rsidRPr="003C15F1" w:rsidRDefault="00EE266A" w:rsidP="003C15F1">
      <w:pPr>
        <w:ind w:firstLine="720"/>
        <w:jc w:val="both"/>
        <w:rPr>
          <w:b/>
          <w:bCs/>
          <w:sz w:val="22"/>
          <w:szCs w:val="22"/>
          <w:lang w:val="es-US"/>
        </w:rPr>
      </w:pPr>
      <w:r w:rsidRPr="003C15F1">
        <w:rPr>
          <w:b/>
          <w:bCs/>
          <w:sz w:val="22"/>
          <w:szCs w:val="22"/>
          <w:lang w:val="es-US"/>
        </w:rPr>
        <w:t>Alianza de Energía y Clima de las Américas (ECPA)</w:t>
      </w:r>
    </w:p>
    <w:p w14:paraId="3FF0EB34" w14:textId="3C9A2596" w:rsidR="00EE266A" w:rsidRPr="003C15F1" w:rsidRDefault="00EE266A" w:rsidP="00FF59F0">
      <w:pPr>
        <w:pStyle w:val="ListParagraph"/>
        <w:numPr>
          <w:ilvl w:val="0"/>
          <w:numId w:val="33"/>
        </w:numPr>
        <w:ind w:hanging="360"/>
        <w:contextualSpacing/>
        <w:jc w:val="both"/>
        <w:rPr>
          <w:sz w:val="22"/>
          <w:szCs w:val="22"/>
          <w:lang w:val="es-US"/>
        </w:rPr>
      </w:pPr>
      <w:r w:rsidRPr="003C15F1">
        <w:rPr>
          <w:sz w:val="22"/>
          <w:szCs w:val="22"/>
          <w:lang w:val="es-US"/>
        </w:rPr>
        <w:t>Se convocaron nueve (9) diálogos virtuales entre el sector público y privado centrados en la flexibilidad de la red, el gas natural y la integración. Los diálogos se centraron en las recomendaciones de políticas presentadas por el sector privado a los jefes de Estado en la VIII Cumbre de las Américas celebrada en Lima en abril de 2018, así como en las recomendaciones para abordar los efectos de la pandemia causada por l</w:t>
      </w:r>
      <w:r w:rsidR="00C93E36" w:rsidRPr="003C15F1">
        <w:rPr>
          <w:sz w:val="22"/>
          <w:szCs w:val="22"/>
          <w:lang w:val="es-US"/>
        </w:rPr>
        <w:t>a</w:t>
      </w:r>
      <w:r w:rsidRPr="003C15F1">
        <w:rPr>
          <w:sz w:val="22"/>
          <w:szCs w:val="22"/>
          <w:lang w:val="es-US"/>
        </w:rPr>
        <w:t xml:space="preserve"> COVID-19.</w:t>
      </w:r>
    </w:p>
    <w:p w14:paraId="187C0A2D" w14:textId="77777777" w:rsidR="00EE266A" w:rsidRPr="003C15F1" w:rsidRDefault="00EE266A" w:rsidP="003C15F1">
      <w:pPr>
        <w:pStyle w:val="ListParagraph"/>
        <w:ind w:left="1440" w:hanging="720"/>
        <w:jc w:val="both"/>
        <w:rPr>
          <w:sz w:val="22"/>
          <w:szCs w:val="22"/>
          <w:lang w:val="es-US"/>
        </w:rPr>
      </w:pPr>
    </w:p>
    <w:p w14:paraId="699F237B" w14:textId="77777777" w:rsidR="00EE266A" w:rsidRPr="003C15F1" w:rsidRDefault="00EE266A" w:rsidP="00FF59F0">
      <w:pPr>
        <w:pStyle w:val="ListParagraph"/>
        <w:numPr>
          <w:ilvl w:val="0"/>
          <w:numId w:val="33"/>
        </w:numPr>
        <w:ind w:hanging="360"/>
        <w:contextualSpacing/>
        <w:jc w:val="both"/>
        <w:rPr>
          <w:sz w:val="22"/>
          <w:szCs w:val="22"/>
          <w:lang w:val="es-US"/>
        </w:rPr>
      </w:pPr>
      <w:r w:rsidRPr="003C15F1">
        <w:rPr>
          <w:sz w:val="22"/>
          <w:szCs w:val="22"/>
          <w:lang w:val="es-US"/>
        </w:rPr>
        <w:t xml:space="preserve">La Alianza fue anfitriona de la serie de capacitaciones Transformación Energética en Islas, como parte del Foro de Energías Renovables del Caribe (CREF). La serie de capacitaciones reunió a expertos en energía, formuladores de políticas, reguladores, funcionarios de servicios públicos y el sector privado para aprender sobre las herramientas y metodologías desarrolladas por varios laboratorios nacionales de los Estados Unidos, a través de la Iniciativa de Transiciones Energéticas del Departamento de Energía de dicho país, para apoyar la transformación del sector energético. Las sesiones incluyeron los temas: (1) fundamentos de los sistemas de energía eléctrica, incluyendo la gobernanza y las consideraciones institucionales para la resiliencia; (2) enfoques para identificar la infraestructura crítica y los objetivos operativos, (3) requisitos para fortalecer procesos de adquisición y (4) elementos financieros para mejorar la viabilidad económica de los proyectos. </w:t>
      </w:r>
    </w:p>
    <w:p w14:paraId="19211C4C" w14:textId="77777777" w:rsidR="00EE266A" w:rsidRPr="003C15F1" w:rsidRDefault="00EE266A" w:rsidP="003C15F1">
      <w:pPr>
        <w:pStyle w:val="ListParagraph"/>
        <w:ind w:left="1440" w:hanging="720"/>
        <w:jc w:val="both"/>
        <w:rPr>
          <w:sz w:val="22"/>
          <w:szCs w:val="22"/>
          <w:lang w:val="es-US"/>
        </w:rPr>
      </w:pPr>
    </w:p>
    <w:p w14:paraId="264757B1" w14:textId="77777777" w:rsidR="00EE266A" w:rsidRPr="003C15F1" w:rsidRDefault="00EE266A" w:rsidP="00FF59F0">
      <w:pPr>
        <w:pStyle w:val="ListParagraph"/>
        <w:numPr>
          <w:ilvl w:val="0"/>
          <w:numId w:val="33"/>
        </w:numPr>
        <w:ind w:hanging="360"/>
        <w:contextualSpacing/>
        <w:jc w:val="both"/>
        <w:rPr>
          <w:sz w:val="22"/>
          <w:szCs w:val="22"/>
          <w:lang w:val="es-US"/>
        </w:rPr>
      </w:pPr>
      <w:r w:rsidRPr="003C15F1">
        <w:rPr>
          <w:sz w:val="22"/>
          <w:szCs w:val="22"/>
          <w:lang w:val="es-US"/>
        </w:rPr>
        <w:t>Se organizaron cuatro (4) diálogos de alto nivel sobre energía en colaboración con la Secretaría Nacional de Energía de Panamá. Los responsables de las políticas energéticas y los líderes de la industria energética en las Américas discutieron temas clave relacionados con el avance de las transiciones energéticas y el desarrollo bajo en carbono en las Américas.</w:t>
      </w:r>
    </w:p>
    <w:p w14:paraId="19FBF11A" w14:textId="77777777" w:rsidR="00EE266A" w:rsidRPr="003C15F1" w:rsidRDefault="00EE266A" w:rsidP="003C15F1">
      <w:pPr>
        <w:pStyle w:val="ListParagraph"/>
        <w:ind w:left="1440" w:hanging="720"/>
        <w:jc w:val="both"/>
        <w:rPr>
          <w:sz w:val="22"/>
          <w:szCs w:val="22"/>
          <w:lang w:val="es-US"/>
        </w:rPr>
      </w:pPr>
    </w:p>
    <w:p w14:paraId="715D3714" w14:textId="019212A0" w:rsidR="00EE266A" w:rsidRPr="003C15F1" w:rsidRDefault="00EE266A" w:rsidP="00FF59F0">
      <w:pPr>
        <w:pStyle w:val="ListParagraph"/>
        <w:numPr>
          <w:ilvl w:val="0"/>
          <w:numId w:val="33"/>
        </w:numPr>
        <w:ind w:left="1440" w:hanging="720"/>
        <w:contextualSpacing/>
        <w:jc w:val="both"/>
        <w:rPr>
          <w:sz w:val="22"/>
          <w:szCs w:val="22"/>
          <w:lang w:val="es-US"/>
        </w:rPr>
      </w:pPr>
      <w:r w:rsidRPr="003C15F1">
        <w:rPr>
          <w:sz w:val="22"/>
          <w:szCs w:val="22"/>
          <w:lang w:val="es-US"/>
        </w:rPr>
        <w:t xml:space="preserve">Se desarrolló un proyecto destinado a intercambiar experiencias, mejores prácticas y lecciones aprendidas en la medición de la calidad del aire y el monitoreo del ozono. </w:t>
      </w:r>
    </w:p>
    <w:p w14:paraId="6747A156" w14:textId="77777777" w:rsidR="00C93E36" w:rsidRPr="003C15F1" w:rsidRDefault="00C93E36" w:rsidP="003C15F1">
      <w:pPr>
        <w:pStyle w:val="ListParagraph"/>
        <w:rPr>
          <w:sz w:val="22"/>
          <w:szCs w:val="22"/>
          <w:lang w:val="es-US"/>
        </w:rPr>
      </w:pPr>
    </w:p>
    <w:p w14:paraId="3BE24D54" w14:textId="77777777" w:rsidR="00C93E36" w:rsidRPr="003C15F1" w:rsidRDefault="00EE266A" w:rsidP="00FF59F0">
      <w:pPr>
        <w:pStyle w:val="ListParagraph"/>
        <w:numPr>
          <w:ilvl w:val="0"/>
          <w:numId w:val="33"/>
        </w:numPr>
        <w:ind w:left="1440" w:hanging="720"/>
        <w:contextualSpacing/>
        <w:jc w:val="both"/>
        <w:rPr>
          <w:sz w:val="22"/>
          <w:szCs w:val="22"/>
          <w:lang w:val="es-US"/>
        </w:rPr>
      </w:pPr>
      <w:r w:rsidRPr="003C15F1">
        <w:rPr>
          <w:sz w:val="22"/>
          <w:szCs w:val="22"/>
          <w:lang w:val="es-US"/>
        </w:rPr>
        <w:t xml:space="preserve">Se desarrolló un proyecto de Transparencia y Compromiso Cívico para las Transiciones Energéticas Democráticas en las Américas. El objetivo </w:t>
      </w:r>
      <w:proofErr w:type="gramStart"/>
      <w:r w:rsidRPr="003C15F1">
        <w:rPr>
          <w:sz w:val="22"/>
          <w:szCs w:val="22"/>
          <w:lang w:val="es-US"/>
        </w:rPr>
        <w:t>del mismo</w:t>
      </w:r>
      <w:proofErr w:type="gramEnd"/>
      <w:r w:rsidRPr="003C15F1">
        <w:rPr>
          <w:sz w:val="22"/>
          <w:szCs w:val="22"/>
          <w:lang w:val="es-US"/>
        </w:rPr>
        <w:t xml:space="preserve"> es apoyar los esfuerzos de los Estados Miembros de la OEA para involucrar a las organizaciones de la sociedad civil, las minorías, los grupos marginados y las comunidades vulnerables en el proceso de toma de decisiones para la implementación de una política de energía limpia, la seguridad energética y las estrategias de mitigación y adaptación al cambio climático.</w:t>
      </w:r>
    </w:p>
    <w:p w14:paraId="73BD593E" w14:textId="77777777" w:rsidR="00C93E36" w:rsidRPr="003C15F1" w:rsidRDefault="00C93E36" w:rsidP="003C15F1">
      <w:pPr>
        <w:pStyle w:val="ListParagraph"/>
        <w:rPr>
          <w:sz w:val="22"/>
          <w:szCs w:val="22"/>
          <w:lang w:val="es-US"/>
        </w:rPr>
      </w:pPr>
    </w:p>
    <w:p w14:paraId="29074836" w14:textId="2979ACAE" w:rsidR="00EE266A" w:rsidRPr="003C15F1" w:rsidRDefault="00EE266A" w:rsidP="00FF59F0">
      <w:pPr>
        <w:pStyle w:val="ListParagraph"/>
        <w:numPr>
          <w:ilvl w:val="0"/>
          <w:numId w:val="33"/>
        </w:numPr>
        <w:contextualSpacing/>
        <w:jc w:val="both"/>
        <w:rPr>
          <w:sz w:val="22"/>
          <w:szCs w:val="22"/>
          <w:lang w:val="es-US"/>
        </w:rPr>
      </w:pPr>
      <w:r w:rsidRPr="003C15F1">
        <w:rPr>
          <w:sz w:val="22"/>
          <w:szCs w:val="22"/>
          <w:lang w:val="es-US"/>
        </w:rPr>
        <w:t xml:space="preserve">Panamá anunció la convocatoria de la Quinta Reunión Ministerial de la Alianza de Energía y Clima de las Américas (ECPA), a realizarse el 10 y 11 de febrero de 2022 en la Ciudad de Panamá. La Ministerial de ECPA se centrará en el tema: “Transiciones energéticas justas e inclusivas”. Empresas de energía, emprendedores y otros socios para el desarrollo participarán en el evento, mostrando tecnologías y compartiendo conocimientos, herramientas </w:t>
      </w:r>
      <w:r w:rsidRPr="003C15F1">
        <w:rPr>
          <w:sz w:val="22"/>
          <w:szCs w:val="22"/>
          <w:lang w:val="es-US"/>
        </w:rPr>
        <w:lastRenderedPageBreak/>
        <w:t xml:space="preserve">y mecanismos para avanzar en las transiciones energéticas en las Américas. Durante el año 2021, la Secretaría Nacional de Energía de Panamá organizó varios eventos públicos para desarrollar el Plan de Acción 2022-2024 de la Alianza, que será aprobado en la próxima reunión hemisférica de ministros. </w:t>
      </w:r>
    </w:p>
    <w:p w14:paraId="1769F784" w14:textId="77777777" w:rsidR="00EE266A" w:rsidRPr="003C15F1" w:rsidRDefault="00EE266A" w:rsidP="003C15F1">
      <w:pPr>
        <w:jc w:val="both"/>
        <w:rPr>
          <w:sz w:val="22"/>
          <w:szCs w:val="22"/>
          <w:lang w:val="es-US"/>
        </w:rPr>
      </w:pPr>
    </w:p>
    <w:p w14:paraId="574949C2" w14:textId="679A07A3" w:rsidR="00EE266A" w:rsidRPr="003C15F1" w:rsidRDefault="00EE266A" w:rsidP="003C15F1">
      <w:pPr>
        <w:jc w:val="both"/>
        <w:rPr>
          <w:b/>
          <w:bCs/>
          <w:sz w:val="22"/>
          <w:szCs w:val="22"/>
          <w:lang w:val="es-US"/>
        </w:rPr>
      </w:pPr>
      <w:r w:rsidRPr="003C15F1">
        <w:rPr>
          <w:b/>
          <w:bCs/>
          <w:sz w:val="22"/>
          <w:szCs w:val="22"/>
          <w:lang w:val="es-US"/>
        </w:rPr>
        <w:t>OBJETIVO 2.6</w:t>
      </w:r>
      <w:r w:rsidR="00C93E36" w:rsidRPr="003C15F1">
        <w:rPr>
          <w:b/>
          <w:bCs/>
          <w:sz w:val="22"/>
          <w:szCs w:val="22"/>
          <w:lang w:val="es-US"/>
        </w:rPr>
        <w:t xml:space="preserve">:  </w:t>
      </w:r>
      <w:r w:rsidRPr="003C15F1">
        <w:rPr>
          <w:b/>
          <w:bCs/>
          <w:sz w:val="22"/>
          <w:szCs w:val="22"/>
          <w:lang w:val="es-US"/>
        </w:rPr>
        <w:t xml:space="preserve">Fortalecer las capacidades de los Estados Miembros para alcanzar instituciones eficientes, eficaces, responsables e inclusivas para el desarrollo sostenible de acuerdo con los objetivos y bases para la acción estipulados en la sección 3.6 del PIDS   </w:t>
      </w:r>
    </w:p>
    <w:p w14:paraId="1B23DFC5" w14:textId="77777777" w:rsidR="00C93E36" w:rsidRPr="003C15F1" w:rsidRDefault="00C93E36" w:rsidP="003C15F1">
      <w:pPr>
        <w:jc w:val="both"/>
        <w:rPr>
          <w:b/>
          <w:bCs/>
          <w:sz w:val="22"/>
          <w:szCs w:val="22"/>
          <w:lang w:val="es-US"/>
        </w:rPr>
      </w:pPr>
    </w:p>
    <w:p w14:paraId="319F8A45" w14:textId="77777777" w:rsidR="00EE266A" w:rsidRPr="003C15F1" w:rsidRDefault="00EE266A" w:rsidP="003C15F1">
      <w:pPr>
        <w:ind w:firstLine="720"/>
        <w:jc w:val="both"/>
        <w:rPr>
          <w:b/>
          <w:bCs/>
          <w:sz w:val="22"/>
          <w:szCs w:val="22"/>
          <w:lang w:val="es-US"/>
        </w:rPr>
      </w:pPr>
      <w:r w:rsidRPr="003C15F1">
        <w:rPr>
          <w:b/>
          <w:bCs/>
          <w:sz w:val="22"/>
          <w:szCs w:val="22"/>
          <w:lang w:val="es-US"/>
        </w:rPr>
        <w:t>Fortalecimiento de las capacidades institucionales para el desarrollo sostenible</w:t>
      </w:r>
    </w:p>
    <w:p w14:paraId="50883708" w14:textId="5A8169A2" w:rsidR="00EE266A" w:rsidRPr="003C15F1" w:rsidRDefault="00EE266A" w:rsidP="00FF59F0">
      <w:pPr>
        <w:pStyle w:val="ListParagraph"/>
        <w:numPr>
          <w:ilvl w:val="0"/>
          <w:numId w:val="33"/>
        </w:numPr>
        <w:ind w:hanging="360"/>
        <w:contextualSpacing/>
        <w:jc w:val="both"/>
        <w:rPr>
          <w:sz w:val="22"/>
          <w:szCs w:val="22"/>
          <w:lang w:val="es-US"/>
        </w:rPr>
      </w:pPr>
      <w:r w:rsidRPr="003C15F1">
        <w:rPr>
          <w:sz w:val="22"/>
          <w:szCs w:val="22"/>
          <w:lang w:val="es-US"/>
        </w:rPr>
        <w:t xml:space="preserve">Se preparó y presentó el </w:t>
      </w:r>
      <w:r w:rsidR="00C93E36" w:rsidRPr="003C15F1">
        <w:rPr>
          <w:sz w:val="22"/>
          <w:szCs w:val="22"/>
          <w:lang w:val="es-US"/>
        </w:rPr>
        <w:t>Octavo</w:t>
      </w:r>
      <w:r w:rsidRPr="003C15F1">
        <w:rPr>
          <w:sz w:val="22"/>
          <w:szCs w:val="22"/>
          <w:lang w:val="es-US"/>
        </w:rPr>
        <w:t xml:space="preserve"> Informe de Evaluación del Programa de Cooperación Ambiental (ECP) del CAFTA-DR al Consejo de Asuntos Ambientales del CAFTA-DR, que muestra los resultados, experiencias exitosas, desafíos y recomendaciones del ECP, en las áreas de:</w:t>
      </w:r>
    </w:p>
    <w:p w14:paraId="14B41011" w14:textId="77777777" w:rsidR="00EE266A" w:rsidRPr="003C15F1" w:rsidRDefault="00EE266A" w:rsidP="003C15F1">
      <w:pPr>
        <w:pStyle w:val="ListParagraph"/>
        <w:ind w:left="0"/>
        <w:jc w:val="both"/>
        <w:rPr>
          <w:sz w:val="22"/>
          <w:szCs w:val="22"/>
          <w:lang w:val="es-US"/>
        </w:rPr>
      </w:pPr>
    </w:p>
    <w:p w14:paraId="5AD90DB4" w14:textId="77777777" w:rsidR="00EE266A" w:rsidRPr="003C15F1" w:rsidRDefault="00EE266A" w:rsidP="00FF59F0">
      <w:pPr>
        <w:pStyle w:val="ListParagraph"/>
        <w:numPr>
          <w:ilvl w:val="0"/>
          <w:numId w:val="38"/>
        </w:numPr>
        <w:tabs>
          <w:tab w:val="left" w:pos="2160"/>
        </w:tabs>
        <w:ind w:hanging="360"/>
        <w:contextualSpacing/>
        <w:jc w:val="both"/>
        <w:rPr>
          <w:sz w:val="22"/>
          <w:szCs w:val="22"/>
          <w:lang w:val="es-US"/>
        </w:rPr>
      </w:pPr>
      <w:r w:rsidRPr="003C15F1">
        <w:rPr>
          <w:sz w:val="22"/>
          <w:szCs w:val="22"/>
          <w:lang w:val="es-US"/>
        </w:rPr>
        <w:t>Fortalecimiento de la capacidad institucional para el cumplimiento y la aplicación efectivos de la legislación ambiental</w:t>
      </w:r>
    </w:p>
    <w:p w14:paraId="53EF8EB4" w14:textId="77777777" w:rsidR="00EE266A" w:rsidRPr="003C15F1" w:rsidRDefault="00EE266A" w:rsidP="00FF59F0">
      <w:pPr>
        <w:pStyle w:val="ListParagraph"/>
        <w:numPr>
          <w:ilvl w:val="0"/>
          <w:numId w:val="38"/>
        </w:numPr>
        <w:tabs>
          <w:tab w:val="left" w:pos="2160"/>
        </w:tabs>
        <w:ind w:hanging="360"/>
        <w:contextualSpacing/>
        <w:jc w:val="both"/>
        <w:rPr>
          <w:sz w:val="22"/>
          <w:szCs w:val="22"/>
          <w:lang w:val="es-US"/>
        </w:rPr>
      </w:pPr>
      <w:r w:rsidRPr="003C15F1">
        <w:rPr>
          <w:sz w:val="22"/>
          <w:szCs w:val="22"/>
          <w:lang w:val="es-US"/>
        </w:rPr>
        <w:t>Creación de capacidad para combatir el comercio ilegal de vida silvestre</w:t>
      </w:r>
    </w:p>
    <w:p w14:paraId="284260D7" w14:textId="77777777" w:rsidR="00EE266A" w:rsidRPr="003C15F1" w:rsidRDefault="00EE266A" w:rsidP="00FF59F0">
      <w:pPr>
        <w:pStyle w:val="ListParagraph"/>
        <w:numPr>
          <w:ilvl w:val="0"/>
          <w:numId w:val="38"/>
        </w:numPr>
        <w:tabs>
          <w:tab w:val="left" w:pos="2160"/>
        </w:tabs>
        <w:ind w:hanging="360"/>
        <w:contextualSpacing/>
        <w:jc w:val="both"/>
        <w:rPr>
          <w:sz w:val="22"/>
          <w:szCs w:val="22"/>
          <w:lang w:val="es-US"/>
        </w:rPr>
      </w:pPr>
      <w:r w:rsidRPr="003C15F1">
        <w:rPr>
          <w:sz w:val="22"/>
          <w:szCs w:val="22"/>
          <w:lang w:val="es-US"/>
        </w:rPr>
        <w:t>Desarrollo de normas de calidad del aire, incluidos los sistemas de monitoreo del aire urbano</w:t>
      </w:r>
    </w:p>
    <w:p w14:paraId="1589DC98" w14:textId="77777777" w:rsidR="00EE266A" w:rsidRPr="003C15F1" w:rsidRDefault="00EE266A" w:rsidP="00FF59F0">
      <w:pPr>
        <w:pStyle w:val="ListParagraph"/>
        <w:numPr>
          <w:ilvl w:val="0"/>
          <w:numId w:val="38"/>
        </w:numPr>
        <w:tabs>
          <w:tab w:val="left" w:pos="2160"/>
        </w:tabs>
        <w:ind w:hanging="360"/>
        <w:contextualSpacing/>
        <w:jc w:val="both"/>
        <w:rPr>
          <w:sz w:val="22"/>
          <w:szCs w:val="22"/>
          <w:lang w:val="es-US"/>
        </w:rPr>
      </w:pPr>
      <w:r w:rsidRPr="003C15F1">
        <w:rPr>
          <w:sz w:val="22"/>
          <w:szCs w:val="22"/>
          <w:lang w:val="es-US"/>
        </w:rPr>
        <w:t>Fortalecimiento de la gestión de aguas residuales y residuos sólidos</w:t>
      </w:r>
    </w:p>
    <w:p w14:paraId="64E06771" w14:textId="77777777" w:rsidR="00EE266A" w:rsidRPr="003C15F1" w:rsidRDefault="00EE266A" w:rsidP="00FF59F0">
      <w:pPr>
        <w:pStyle w:val="ListParagraph"/>
        <w:numPr>
          <w:ilvl w:val="0"/>
          <w:numId w:val="38"/>
        </w:numPr>
        <w:tabs>
          <w:tab w:val="left" w:pos="2160"/>
        </w:tabs>
        <w:ind w:hanging="360"/>
        <w:contextualSpacing/>
        <w:jc w:val="both"/>
        <w:rPr>
          <w:sz w:val="22"/>
          <w:szCs w:val="22"/>
          <w:lang w:val="es-US"/>
        </w:rPr>
      </w:pPr>
      <w:r w:rsidRPr="003C15F1">
        <w:rPr>
          <w:sz w:val="22"/>
          <w:szCs w:val="22"/>
          <w:lang w:val="es-US"/>
        </w:rPr>
        <w:t>Fortalecimiento de la capacidad para realizar evaluaciones de impacto ambiental (EIA)</w:t>
      </w:r>
    </w:p>
    <w:p w14:paraId="0FED4B0C" w14:textId="77777777" w:rsidR="00EE266A" w:rsidRPr="003C15F1" w:rsidRDefault="00EE266A" w:rsidP="00FF59F0">
      <w:pPr>
        <w:pStyle w:val="ListParagraph"/>
        <w:numPr>
          <w:ilvl w:val="0"/>
          <w:numId w:val="38"/>
        </w:numPr>
        <w:tabs>
          <w:tab w:val="left" w:pos="2160"/>
        </w:tabs>
        <w:ind w:hanging="360"/>
        <w:contextualSpacing/>
        <w:jc w:val="both"/>
        <w:rPr>
          <w:sz w:val="22"/>
          <w:szCs w:val="22"/>
          <w:lang w:val="es-US"/>
        </w:rPr>
      </w:pPr>
      <w:r w:rsidRPr="003C15F1">
        <w:rPr>
          <w:sz w:val="22"/>
          <w:szCs w:val="22"/>
          <w:lang w:val="es-US"/>
        </w:rPr>
        <w:t xml:space="preserve">Promoción de la conservación de los ecosistemas marinos y costeros </w:t>
      </w:r>
    </w:p>
    <w:p w14:paraId="1D64BB8A" w14:textId="77777777" w:rsidR="00EE266A" w:rsidRPr="003C15F1" w:rsidRDefault="00EE266A" w:rsidP="00FF59F0">
      <w:pPr>
        <w:pStyle w:val="ListParagraph"/>
        <w:numPr>
          <w:ilvl w:val="0"/>
          <w:numId w:val="38"/>
        </w:numPr>
        <w:tabs>
          <w:tab w:val="left" w:pos="2160"/>
        </w:tabs>
        <w:ind w:hanging="360"/>
        <w:contextualSpacing/>
        <w:jc w:val="both"/>
        <w:rPr>
          <w:sz w:val="22"/>
          <w:szCs w:val="22"/>
          <w:lang w:val="es-US"/>
        </w:rPr>
      </w:pPr>
      <w:r w:rsidRPr="003C15F1">
        <w:rPr>
          <w:sz w:val="22"/>
          <w:szCs w:val="22"/>
          <w:lang w:val="es-US"/>
        </w:rPr>
        <w:t>Fomentar la participación y aumentar el conocimiento de la sociedad civil sobre la legislación ambiental</w:t>
      </w:r>
    </w:p>
    <w:p w14:paraId="3C7B6F1B" w14:textId="77777777" w:rsidR="00EE266A" w:rsidRPr="003C15F1" w:rsidRDefault="00EE266A" w:rsidP="003C15F1">
      <w:pPr>
        <w:pStyle w:val="ListParagraph"/>
        <w:jc w:val="both"/>
        <w:rPr>
          <w:sz w:val="22"/>
          <w:szCs w:val="22"/>
          <w:lang w:val="es-US"/>
        </w:rPr>
      </w:pPr>
    </w:p>
    <w:p w14:paraId="66622DB5" w14:textId="77777777" w:rsidR="00EE266A" w:rsidRPr="003C15F1" w:rsidRDefault="00EE266A" w:rsidP="00FF59F0">
      <w:pPr>
        <w:pStyle w:val="ListParagraph"/>
        <w:numPr>
          <w:ilvl w:val="1"/>
          <w:numId w:val="34"/>
        </w:numPr>
        <w:ind w:left="1440" w:hanging="360"/>
        <w:contextualSpacing/>
        <w:jc w:val="both"/>
        <w:rPr>
          <w:sz w:val="22"/>
          <w:szCs w:val="22"/>
          <w:lang w:val="es-US"/>
        </w:rPr>
      </w:pPr>
      <w:r w:rsidRPr="003C15F1">
        <w:rPr>
          <w:sz w:val="22"/>
          <w:szCs w:val="22"/>
          <w:lang w:val="es-US"/>
        </w:rPr>
        <w:t>Se brindó asistencia técnica y administrativa a la Secretaría del Acuerdo de Promoción Comercial entre los Estados Unidos y el Perú (TPA Estados Unidos-Perú) para presentaciones sobre Asuntos de Observancia Ambiental, y en la recepción y procesamiento de presentaciones públicas relacionadas con fallas de una Parte para hacer cumplir efectivamente sus leyes ambientales.</w:t>
      </w:r>
    </w:p>
    <w:p w14:paraId="5F805CDB" w14:textId="77777777" w:rsidR="00EE266A" w:rsidRPr="003C15F1" w:rsidRDefault="00EE266A" w:rsidP="003C15F1">
      <w:pPr>
        <w:pStyle w:val="ListParagraph"/>
        <w:ind w:left="1440" w:hanging="720"/>
        <w:jc w:val="both"/>
        <w:rPr>
          <w:sz w:val="22"/>
          <w:szCs w:val="22"/>
          <w:lang w:val="es-US"/>
        </w:rPr>
      </w:pPr>
    </w:p>
    <w:p w14:paraId="5A77312C" w14:textId="4FF53776" w:rsidR="00EE266A" w:rsidRPr="003C15F1" w:rsidRDefault="00EE266A" w:rsidP="00FF59F0">
      <w:pPr>
        <w:pStyle w:val="ListParagraph"/>
        <w:numPr>
          <w:ilvl w:val="1"/>
          <w:numId w:val="34"/>
        </w:numPr>
        <w:ind w:left="1440" w:hanging="360"/>
        <w:contextualSpacing/>
        <w:jc w:val="both"/>
        <w:rPr>
          <w:sz w:val="22"/>
          <w:szCs w:val="22"/>
          <w:lang w:val="es-US"/>
        </w:rPr>
      </w:pPr>
      <w:r w:rsidRPr="003C15F1">
        <w:rPr>
          <w:sz w:val="22"/>
          <w:szCs w:val="22"/>
          <w:lang w:val="es-US"/>
        </w:rPr>
        <w:t xml:space="preserve">Se elaboró una propuesta de proyecto "Creación de capacidad de los organismos nacionales de ejecución del FMAM en América Latina y el Caribe", en colaboración con la Secretaría del FMAM y como parte de su Programa de Apoyo al País. Esta propuesta de proyecto se está examinando para la </w:t>
      </w:r>
      <w:r w:rsidR="005C69DD" w:rsidRPr="003C15F1">
        <w:rPr>
          <w:sz w:val="22"/>
          <w:szCs w:val="22"/>
          <w:lang w:val="es-US"/>
        </w:rPr>
        <w:t>octava</w:t>
      </w:r>
      <w:r w:rsidRPr="003C15F1">
        <w:rPr>
          <w:sz w:val="22"/>
          <w:szCs w:val="22"/>
          <w:lang w:val="es-US"/>
        </w:rPr>
        <w:t xml:space="preserve"> reposición del FMAM.</w:t>
      </w:r>
    </w:p>
    <w:p w14:paraId="02BB9DB8" w14:textId="0BE87E15" w:rsidR="00B54C80" w:rsidRDefault="00B54C80" w:rsidP="00B54C80">
      <w:pPr>
        <w:contextualSpacing/>
        <w:rPr>
          <w:rFonts w:eastAsia="Cambria"/>
          <w:b/>
          <w:bCs/>
          <w:color w:val="000000" w:themeColor="text1"/>
          <w:sz w:val="22"/>
          <w:szCs w:val="22"/>
          <w:lang w:val="es-US"/>
        </w:rPr>
      </w:pPr>
      <w:r>
        <w:rPr>
          <w:rFonts w:eastAsia="Cambria"/>
          <w:b/>
          <w:bCs/>
          <w:color w:val="000000" w:themeColor="text1"/>
          <w:sz w:val="22"/>
          <w:szCs w:val="22"/>
          <w:lang w:val="es-US"/>
        </w:rPr>
        <w:br w:type="page"/>
      </w:r>
    </w:p>
    <w:p w14:paraId="6C4F96BB" w14:textId="77777777" w:rsidR="005C69DD" w:rsidRPr="003C15F1" w:rsidRDefault="005C69DD" w:rsidP="003C15F1">
      <w:pPr>
        <w:jc w:val="center"/>
        <w:rPr>
          <w:b/>
          <w:bCs/>
          <w:noProof/>
          <w:sz w:val="22"/>
          <w:szCs w:val="22"/>
          <w:lang w:val="es-US"/>
        </w:rPr>
      </w:pPr>
      <w:r w:rsidRPr="003C15F1">
        <w:rPr>
          <w:b/>
          <w:sz w:val="22"/>
          <w:szCs w:val="22"/>
          <w:lang w:val="es-US"/>
        </w:rPr>
        <w:lastRenderedPageBreak/>
        <w:t>LÍNEA ESTRATÉGICA 3:  PROMOVER LA EDUCACIÓN Y EL DESARROLLO HUMANO EN LAS AMÉRICAS</w:t>
      </w:r>
    </w:p>
    <w:p w14:paraId="445687F5" w14:textId="77777777" w:rsidR="005C69DD" w:rsidRPr="003C15F1" w:rsidRDefault="005C69DD" w:rsidP="003C15F1">
      <w:pPr>
        <w:tabs>
          <w:tab w:val="left" w:pos="720"/>
        </w:tabs>
        <w:contextualSpacing/>
        <w:jc w:val="both"/>
        <w:rPr>
          <w:noProof/>
          <w:sz w:val="22"/>
          <w:szCs w:val="22"/>
          <w:lang w:val="es-US"/>
        </w:rPr>
      </w:pPr>
      <w:r w:rsidRPr="003C15F1">
        <w:rPr>
          <w:sz w:val="22"/>
          <w:szCs w:val="22"/>
          <w:lang w:val="es-US"/>
        </w:rPr>
        <w:t xml:space="preserve"> </w:t>
      </w:r>
    </w:p>
    <w:p w14:paraId="46AA9DF1" w14:textId="48BE4315" w:rsidR="005C69DD" w:rsidRPr="003C15F1" w:rsidRDefault="005C69DD" w:rsidP="003C15F1">
      <w:pPr>
        <w:ind w:firstLine="720"/>
        <w:jc w:val="both"/>
        <w:rPr>
          <w:sz w:val="22"/>
          <w:szCs w:val="22"/>
          <w:lang w:val="es-US"/>
        </w:rPr>
      </w:pPr>
      <w:r w:rsidRPr="003C15F1">
        <w:rPr>
          <w:sz w:val="22"/>
          <w:szCs w:val="22"/>
          <w:lang w:val="es-US"/>
        </w:rPr>
        <w:t xml:space="preserve">La Asamblea General de la Organización de los Estados Americanos, mediante resolución AG/RES. 2955 (LO/20), instruyó a la SEDI a iniciar la planificación de la segunda fase de la Agenda Educativa Interamericana. En este sentido, bajo el liderazgo de las Autoridades de la </w:t>
      </w:r>
      <w:r w:rsidR="00316EB1" w:rsidRPr="003C15F1">
        <w:rPr>
          <w:sz w:val="22"/>
          <w:szCs w:val="22"/>
          <w:lang w:val="es-US"/>
        </w:rPr>
        <w:t>Comisión Interamericana de educación (</w:t>
      </w:r>
      <w:r w:rsidRPr="003C15F1">
        <w:rPr>
          <w:sz w:val="22"/>
          <w:szCs w:val="22"/>
          <w:lang w:val="es-US"/>
        </w:rPr>
        <w:t>CIE</w:t>
      </w:r>
      <w:r w:rsidR="00316EB1" w:rsidRPr="003C15F1">
        <w:rPr>
          <w:sz w:val="22"/>
          <w:szCs w:val="22"/>
          <w:lang w:val="es-US"/>
        </w:rPr>
        <w:t>)</w:t>
      </w:r>
      <w:r w:rsidRPr="003C15F1">
        <w:rPr>
          <w:sz w:val="22"/>
          <w:szCs w:val="22"/>
          <w:lang w:val="es-US"/>
        </w:rPr>
        <w:t xml:space="preserve">, </w:t>
      </w:r>
      <w:proofErr w:type="gramStart"/>
      <w:r w:rsidRPr="003C15F1">
        <w:rPr>
          <w:sz w:val="22"/>
          <w:szCs w:val="22"/>
          <w:lang w:val="es-US"/>
        </w:rPr>
        <w:t>los diálogo</w:t>
      </w:r>
      <w:proofErr w:type="gramEnd"/>
      <w:r w:rsidRPr="003C15F1">
        <w:rPr>
          <w:sz w:val="22"/>
          <w:szCs w:val="22"/>
          <w:lang w:val="es-US"/>
        </w:rPr>
        <w:t xml:space="preserve"> entre ministerios de educación realizados en 2021 adquirieron una dinámica que se consolidó en la IX Reunión Ordinaria de la CIE, realizada en noviembre de 2021, donde</w:t>
      </w:r>
      <w:r w:rsidR="00316EB1" w:rsidRPr="003C15F1">
        <w:rPr>
          <w:sz w:val="22"/>
          <w:szCs w:val="22"/>
          <w:lang w:val="es-US"/>
        </w:rPr>
        <w:t xml:space="preserve"> representantes de</w:t>
      </w:r>
      <w:r w:rsidRPr="003C15F1">
        <w:rPr>
          <w:sz w:val="22"/>
          <w:szCs w:val="22"/>
          <w:lang w:val="es-US"/>
        </w:rPr>
        <w:t xml:space="preserve"> 28 países adoptaron la Metodología para la Construcción de la Segunda Fase de la Agenda Educativa Interamericana (AEI) contenida en el documento CIDI/CIE/</w:t>
      </w:r>
      <w:proofErr w:type="spellStart"/>
      <w:r w:rsidRPr="003C15F1">
        <w:rPr>
          <w:sz w:val="22"/>
          <w:szCs w:val="22"/>
          <w:lang w:val="es-US"/>
        </w:rPr>
        <w:t>doc</w:t>
      </w:r>
      <w:proofErr w:type="spellEnd"/>
      <w:r w:rsidRPr="003C15F1">
        <w:rPr>
          <w:sz w:val="22"/>
          <w:szCs w:val="22"/>
          <w:lang w:val="es-US"/>
        </w:rPr>
        <w:t xml:space="preserve"> .9/21. La </w:t>
      </w:r>
      <w:r w:rsidR="00316EB1" w:rsidRPr="003C15F1">
        <w:rPr>
          <w:sz w:val="22"/>
          <w:szCs w:val="22"/>
          <w:lang w:val="es-US"/>
        </w:rPr>
        <w:t>M</w:t>
      </w:r>
      <w:r w:rsidRPr="003C15F1">
        <w:rPr>
          <w:sz w:val="22"/>
          <w:szCs w:val="22"/>
          <w:lang w:val="es-US"/>
        </w:rPr>
        <w:t>etodología refleja el proceso llevado a cabo para la generación de consensos y la construcción colectiva de las necesidades y urgencias que afectan a la región en términos de continuidad educativa; todo con un enfoque especial en poblaciones en condiciones de vulnerabilidad y de acuerdo con los temas tratados en los diálogo</w:t>
      </w:r>
      <w:r w:rsidR="00316EB1" w:rsidRPr="003C15F1">
        <w:rPr>
          <w:sz w:val="22"/>
          <w:szCs w:val="22"/>
          <w:lang w:val="es-US"/>
        </w:rPr>
        <w:t>s</w:t>
      </w:r>
      <w:r w:rsidRPr="003C15F1">
        <w:rPr>
          <w:sz w:val="22"/>
          <w:szCs w:val="22"/>
          <w:lang w:val="es-US"/>
        </w:rPr>
        <w:t xml:space="preserve"> realizados durante los últimos 18 meses.</w:t>
      </w:r>
    </w:p>
    <w:p w14:paraId="1A79FB86" w14:textId="77777777" w:rsidR="005C69DD" w:rsidRPr="003C15F1" w:rsidRDefault="005C69DD" w:rsidP="003C15F1">
      <w:pPr>
        <w:ind w:firstLine="720"/>
        <w:jc w:val="both"/>
        <w:rPr>
          <w:sz w:val="22"/>
          <w:szCs w:val="22"/>
          <w:lang w:val="es-US"/>
        </w:rPr>
      </w:pPr>
    </w:p>
    <w:p w14:paraId="54B2F668" w14:textId="0CBD707A" w:rsidR="005C69DD" w:rsidRPr="003C15F1" w:rsidRDefault="005C69DD" w:rsidP="003C15F1">
      <w:pPr>
        <w:ind w:firstLine="18"/>
        <w:jc w:val="both"/>
        <w:rPr>
          <w:b/>
          <w:bCs/>
          <w:noProof/>
          <w:sz w:val="22"/>
          <w:szCs w:val="22"/>
          <w:lang w:val="es-US"/>
        </w:rPr>
      </w:pPr>
      <w:r w:rsidRPr="003C15F1">
        <w:rPr>
          <w:b/>
          <w:sz w:val="22"/>
          <w:szCs w:val="22"/>
          <w:lang w:val="es-US"/>
        </w:rPr>
        <w:t>OBJETIVO 3.1</w:t>
      </w:r>
      <w:r w:rsidR="00316EB1" w:rsidRPr="003C15F1">
        <w:rPr>
          <w:b/>
          <w:sz w:val="22"/>
          <w:szCs w:val="22"/>
          <w:lang w:val="es-US"/>
        </w:rPr>
        <w:t xml:space="preserve">:  </w:t>
      </w:r>
      <w:r w:rsidRPr="003C15F1">
        <w:rPr>
          <w:b/>
          <w:sz w:val="22"/>
          <w:szCs w:val="22"/>
          <w:lang w:val="es-US"/>
        </w:rPr>
        <w:t xml:space="preserve">Fortalecer la capacidad institucional de los Estados Miembros para proveer una educación de calidad, inclusiva y con equidad </w:t>
      </w:r>
    </w:p>
    <w:p w14:paraId="70A3CC7E" w14:textId="6873D37A" w:rsidR="005C69DD" w:rsidRPr="003C15F1" w:rsidRDefault="005C69DD" w:rsidP="003C15F1">
      <w:pPr>
        <w:ind w:firstLine="18"/>
        <w:jc w:val="both"/>
        <w:rPr>
          <w:b/>
          <w:bCs/>
          <w:noProof/>
          <w:sz w:val="22"/>
          <w:szCs w:val="22"/>
          <w:lang w:val="es-US"/>
        </w:rPr>
      </w:pPr>
    </w:p>
    <w:p w14:paraId="56E9005F" w14:textId="77777777" w:rsidR="005C69DD" w:rsidRPr="003C15F1" w:rsidRDefault="005C69DD" w:rsidP="003C15F1">
      <w:pPr>
        <w:ind w:left="720"/>
        <w:jc w:val="both"/>
        <w:rPr>
          <w:b/>
          <w:bCs/>
          <w:iCs/>
          <w:noProof/>
          <w:sz w:val="22"/>
          <w:szCs w:val="22"/>
          <w:lang w:val="es-US"/>
        </w:rPr>
      </w:pPr>
      <w:r w:rsidRPr="003C15F1">
        <w:rPr>
          <w:b/>
          <w:sz w:val="22"/>
          <w:szCs w:val="22"/>
          <w:lang w:val="es-US"/>
        </w:rPr>
        <w:t>Agenda Educativa Interamericana e implementación del P</w:t>
      </w:r>
      <w:proofErr w:type="spellStart"/>
      <w:r w:rsidRPr="003C15F1">
        <w:rPr>
          <w:b/>
          <w:sz w:val="22"/>
          <w:szCs w:val="22"/>
          <w:lang w:val="es-CR"/>
        </w:rPr>
        <w:t>lan</w:t>
      </w:r>
      <w:proofErr w:type="spellEnd"/>
      <w:r w:rsidRPr="003C15F1">
        <w:rPr>
          <w:b/>
          <w:sz w:val="22"/>
          <w:szCs w:val="22"/>
          <w:lang w:val="es-CR"/>
        </w:rPr>
        <w:t xml:space="preserve"> de Trabajo de la Comisión Interamericana de Educación 2019-2022</w:t>
      </w:r>
    </w:p>
    <w:p w14:paraId="3E9BA489" w14:textId="30D851D6" w:rsidR="005C69DD" w:rsidRPr="003C15F1" w:rsidRDefault="005C69DD" w:rsidP="003C15F1">
      <w:pPr>
        <w:numPr>
          <w:ilvl w:val="0"/>
          <w:numId w:val="1"/>
        </w:numPr>
        <w:ind w:left="1440" w:hanging="720"/>
        <w:jc w:val="both"/>
        <w:rPr>
          <w:noProof/>
          <w:sz w:val="22"/>
          <w:szCs w:val="22"/>
          <w:lang w:val="es-US"/>
        </w:rPr>
      </w:pPr>
      <w:r w:rsidRPr="003C15F1">
        <w:rPr>
          <w:sz w:val="22"/>
          <w:szCs w:val="22"/>
          <w:lang w:val="es-US"/>
        </w:rPr>
        <w:t>Se llevó a cabo un diálogo virtual sobre inclusión y equidad en la educación en el marco del proyecto #13 del Plan de Trabajo de la</w:t>
      </w:r>
      <w:r w:rsidR="0077360E" w:rsidRPr="003C15F1">
        <w:rPr>
          <w:sz w:val="22"/>
          <w:szCs w:val="22"/>
          <w:lang w:val="es-US"/>
        </w:rPr>
        <w:t xml:space="preserve"> Comisión Interamericana de Educación (</w:t>
      </w:r>
      <w:r w:rsidRPr="003C15F1">
        <w:rPr>
          <w:sz w:val="22"/>
          <w:szCs w:val="22"/>
          <w:lang w:val="es-US"/>
        </w:rPr>
        <w:t>CIE</w:t>
      </w:r>
      <w:r w:rsidR="0077360E" w:rsidRPr="003C15F1">
        <w:rPr>
          <w:sz w:val="22"/>
          <w:szCs w:val="22"/>
          <w:lang w:val="es-US"/>
        </w:rPr>
        <w:t>)</w:t>
      </w:r>
      <w:r w:rsidRPr="003C15F1">
        <w:rPr>
          <w:sz w:val="22"/>
          <w:szCs w:val="22"/>
          <w:lang w:val="es-US"/>
        </w:rPr>
        <w:t xml:space="preserve"> con el objetivo de compartir políticas educativas, normativas, herramientas y experiencias de los países de la región para la promoción de una educación de calidad enmarcada en la inclusión y la equidad en contextos de cambio.</w:t>
      </w:r>
    </w:p>
    <w:p w14:paraId="5EF91DF4" w14:textId="77777777" w:rsidR="0077360E" w:rsidRPr="003C15F1" w:rsidRDefault="0077360E" w:rsidP="003C15F1">
      <w:pPr>
        <w:ind w:left="1440"/>
        <w:jc w:val="both"/>
        <w:rPr>
          <w:noProof/>
          <w:sz w:val="22"/>
          <w:szCs w:val="22"/>
          <w:lang w:val="es-US"/>
        </w:rPr>
      </w:pPr>
    </w:p>
    <w:p w14:paraId="7403F1DC" w14:textId="15FF0B3C" w:rsidR="005C69DD" w:rsidRPr="003C15F1" w:rsidRDefault="005C69DD" w:rsidP="003C15F1">
      <w:pPr>
        <w:numPr>
          <w:ilvl w:val="0"/>
          <w:numId w:val="1"/>
        </w:numPr>
        <w:ind w:left="1440" w:hanging="720"/>
        <w:jc w:val="both"/>
        <w:rPr>
          <w:noProof/>
          <w:sz w:val="22"/>
          <w:szCs w:val="22"/>
          <w:lang w:val="es-US"/>
        </w:rPr>
      </w:pPr>
      <w:r w:rsidRPr="003C15F1">
        <w:rPr>
          <w:sz w:val="22"/>
          <w:szCs w:val="22"/>
          <w:lang w:val="es-US"/>
        </w:rPr>
        <w:t>Se generó una mesa de trabajo virtual en el marco del proyecto #17 del Plan de Trabajo de la CIE que tuvo el objetivo de promover nuevas visiones acerca del desarrollo de habilidades comunicativas de los estudiantes a través de lenguas extranjeras, autóctonas y viso-gestuales.</w:t>
      </w:r>
    </w:p>
    <w:p w14:paraId="71B9A6C9" w14:textId="77777777" w:rsidR="0077360E" w:rsidRPr="003C15F1" w:rsidRDefault="0077360E" w:rsidP="003C15F1">
      <w:pPr>
        <w:pStyle w:val="ListParagraph"/>
        <w:rPr>
          <w:noProof/>
          <w:sz w:val="22"/>
          <w:szCs w:val="22"/>
          <w:lang w:val="es-US"/>
        </w:rPr>
      </w:pPr>
    </w:p>
    <w:p w14:paraId="566279CF" w14:textId="0D819FDF" w:rsidR="005C69DD" w:rsidRPr="003C15F1" w:rsidRDefault="005C69DD" w:rsidP="003C15F1">
      <w:pPr>
        <w:numPr>
          <w:ilvl w:val="0"/>
          <w:numId w:val="1"/>
        </w:numPr>
        <w:ind w:left="1440" w:hanging="720"/>
        <w:jc w:val="both"/>
        <w:rPr>
          <w:noProof/>
          <w:sz w:val="22"/>
          <w:szCs w:val="22"/>
          <w:lang w:val="es-US"/>
        </w:rPr>
      </w:pPr>
      <w:r w:rsidRPr="003C15F1">
        <w:rPr>
          <w:noProof/>
          <w:sz w:val="22"/>
          <w:szCs w:val="22"/>
          <w:lang w:val="es-US"/>
        </w:rPr>
        <w:t>Se generaron sinergias y se identificaron oportunidades para la colaboración y cooperación entre los Estados Miembro, así como con las instituciones regionales para la implementación de las iniciativas en educación y desarrollo humano como resultado de la Reunión Ordinaria del</w:t>
      </w:r>
      <w:r w:rsidR="00D37A42" w:rsidRPr="003C15F1">
        <w:rPr>
          <w:noProof/>
          <w:sz w:val="22"/>
          <w:szCs w:val="22"/>
          <w:lang w:val="es-US"/>
        </w:rPr>
        <w:t xml:space="preserve"> Consejo Interamericano para el Desarrollo Integral (</w:t>
      </w:r>
      <w:r w:rsidRPr="003C15F1">
        <w:rPr>
          <w:noProof/>
          <w:sz w:val="22"/>
          <w:szCs w:val="22"/>
          <w:lang w:val="es-US"/>
        </w:rPr>
        <w:t>CIDI</w:t>
      </w:r>
      <w:r w:rsidR="00D37A42" w:rsidRPr="003C15F1">
        <w:rPr>
          <w:noProof/>
          <w:sz w:val="22"/>
          <w:szCs w:val="22"/>
          <w:lang w:val="es-US"/>
        </w:rPr>
        <w:t>)</w:t>
      </w:r>
      <w:r w:rsidRPr="003C15F1">
        <w:rPr>
          <w:noProof/>
          <w:sz w:val="22"/>
          <w:szCs w:val="22"/>
          <w:lang w:val="es-US"/>
        </w:rPr>
        <w:t xml:space="preserve"> </w:t>
      </w:r>
      <w:r w:rsidR="0077360E" w:rsidRPr="003C15F1">
        <w:rPr>
          <w:noProof/>
          <w:sz w:val="22"/>
          <w:szCs w:val="22"/>
          <w:lang w:val="es-US"/>
        </w:rPr>
        <w:t xml:space="preserve">celebrada </w:t>
      </w:r>
      <w:r w:rsidRPr="003C15F1">
        <w:rPr>
          <w:noProof/>
          <w:sz w:val="22"/>
          <w:szCs w:val="22"/>
          <w:lang w:val="es-US"/>
        </w:rPr>
        <w:t>en mayo</w:t>
      </w:r>
      <w:r w:rsidR="0077360E" w:rsidRPr="003C15F1">
        <w:rPr>
          <w:noProof/>
          <w:sz w:val="22"/>
          <w:szCs w:val="22"/>
          <w:lang w:val="es-US"/>
        </w:rPr>
        <w:t xml:space="preserve"> de 2021</w:t>
      </w:r>
      <w:r w:rsidRPr="003C15F1">
        <w:rPr>
          <w:noProof/>
          <w:sz w:val="22"/>
          <w:szCs w:val="22"/>
          <w:lang w:val="es-US"/>
        </w:rPr>
        <w:t>, que tuvo como tema promover la Propuesta Hemisférica de Acción para la Continuidad de la Educación bajo los Efectos de la Pandemia del Coronavirus (PHACE).</w:t>
      </w:r>
    </w:p>
    <w:p w14:paraId="30FC3EF2" w14:textId="77777777" w:rsidR="0077360E" w:rsidRPr="003C15F1" w:rsidRDefault="0077360E" w:rsidP="003C15F1">
      <w:pPr>
        <w:pStyle w:val="ListParagraph"/>
        <w:rPr>
          <w:noProof/>
          <w:sz w:val="22"/>
          <w:szCs w:val="22"/>
          <w:lang w:val="es-US"/>
        </w:rPr>
      </w:pPr>
    </w:p>
    <w:p w14:paraId="1AE7E1D4" w14:textId="0EDEB530" w:rsidR="005C69DD" w:rsidRPr="003C15F1" w:rsidRDefault="005C69DD" w:rsidP="003C15F1">
      <w:pPr>
        <w:numPr>
          <w:ilvl w:val="0"/>
          <w:numId w:val="1"/>
        </w:numPr>
        <w:ind w:left="1440" w:hanging="720"/>
        <w:jc w:val="both"/>
        <w:rPr>
          <w:noProof/>
          <w:sz w:val="22"/>
          <w:szCs w:val="22"/>
          <w:lang w:val="es-US"/>
        </w:rPr>
      </w:pPr>
      <w:r w:rsidRPr="003C15F1">
        <w:rPr>
          <w:noProof/>
          <w:sz w:val="22"/>
          <w:szCs w:val="22"/>
          <w:lang w:val="es-US"/>
        </w:rPr>
        <w:t>En colaboración con OIT/Cinterfor y la Organización de las Naciones Unidas para la Educación, la Ciencia y la Cultura (UNESCO) se promovió el curso taller “Avanzando hacia un Marco Regional de Cualificaciones (MRC)</w:t>
      </w:r>
      <w:r w:rsidR="00D37A42" w:rsidRPr="003C15F1">
        <w:rPr>
          <w:noProof/>
          <w:sz w:val="22"/>
          <w:szCs w:val="22"/>
          <w:lang w:val="es-US"/>
        </w:rPr>
        <w:t xml:space="preserve">” y </w:t>
      </w:r>
      <w:r w:rsidRPr="003C15F1">
        <w:rPr>
          <w:noProof/>
          <w:sz w:val="22"/>
          <w:szCs w:val="22"/>
          <w:lang w:val="es-US"/>
        </w:rPr>
        <w:t>para el desarrollo de capacidades en equipos nacionales sobre el concepto y viabilidad de un MRC en el marco de nuevas políticas públicas de empleo y formación de conformidad con el proyecto #21 del Plan de Trabajo de la CIE.</w:t>
      </w:r>
    </w:p>
    <w:p w14:paraId="077FC20A" w14:textId="77777777" w:rsidR="00D37A42" w:rsidRPr="003C15F1" w:rsidRDefault="00D37A42" w:rsidP="003C15F1">
      <w:pPr>
        <w:pStyle w:val="ListParagraph"/>
        <w:rPr>
          <w:noProof/>
          <w:sz w:val="22"/>
          <w:szCs w:val="22"/>
          <w:lang w:val="es-US"/>
        </w:rPr>
      </w:pPr>
    </w:p>
    <w:p w14:paraId="4CCF3D82" w14:textId="4B43A9BD" w:rsidR="005C69DD" w:rsidRPr="003C15F1" w:rsidRDefault="005C69DD" w:rsidP="003C15F1">
      <w:pPr>
        <w:numPr>
          <w:ilvl w:val="0"/>
          <w:numId w:val="1"/>
        </w:numPr>
        <w:ind w:left="1440" w:hanging="720"/>
        <w:jc w:val="both"/>
        <w:rPr>
          <w:noProof/>
          <w:sz w:val="22"/>
          <w:szCs w:val="22"/>
          <w:lang w:val="es-US"/>
        </w:rPr>
      </w:pPr>
      <w:r w:rsidRPr="003C15F1">
        <w:rPr>
          <w:noProof/>
          <w:sz w:val="22"/>
          <w:szCs w:val="22"/>
          <w:lang w:val="es-US"/>
        </w:rPr>
        <w:t xml:space="preserve">Se dio continuidad al trabajo conjunto con la Organización Panamericana de la Salud en el marco del proyecto #4 del Plan de Trabajo de la CIE mediante la realización de </w:t>
      </w:r>
      <w:r w:rsidRPr="003C15F1">
        <w:rPr>
          <w:noProof/>
          <w:sz w:val="22"/>
          <w:szCs w:val="22"/>
          <w:lang w:val="es-US"/>
        </w:rPr>
        <w:lastRenderedPageBreak/>
        <w:t>dos diálgos virtuales sobre “Promoción de habilidades para una vida sana a través de la Educación Física y Nutricional en las escuelas” y Políticas y Programas sobre la aplicación de los Reglamentos y Normas aplicables a los alimentos en el ámbito escolar”.</w:t>
      </w:r>
    </w:p>
    <w:p w14:paraId="364886C7" w14:textId="77777777" w:rsidR="00D37A42" w:rsidRPr="003C15F1" w:rsidRDefault="00D37A42" w:rsidP="003C15F1">
      <w:pPr>
        <w:pStyle w:val="ListParagraph"/>
        <w:rPr>
          <w:noProof/>
          <w:sz w:val="22"/>
          <w:szCs w:val="22"/>
          <w:lang w:val="es-US"/>
        </w:rPr>
      </w:pPr>
    </w:p>
    <w:p w14:paraId="4577869B" w14:textId="77777777" w:rsidR="005C69DD" w:rsidRPr="003C15F1" w:rsidRDefault="005C69DD" w:rsidP="003C15F1">
      <w:pPr>
        <w:numPr>
          <w:ilvl w:val="0"/>
          <w:numId w:val="1"/>
        </w:numPr>
        <w:ind w:left="1440" w:hanging="720"/>
        <w:jc w:val="both"/>
        <w:rPr>
          <w:noProof/>
          <w:sz w:val="22"/>
          <w:szCs w:val="22"/>
          <w:lang w:val="es-US"/>
        </w:rPr>
      </w:pPr>
      <w:r w:rsidRPr="003C15F1">
        <w:rPr>
          <w:noProof/>
          <w:sz w:val="22"/>
          <w:szCs w:val="22"/>
          <w:lang w:val="es-US"/>
        </w:rPr>
        <w:t>Se elaboraron documentos de sistematización de los diálogos sobre políticas públicas realizados en 2020 y en 2021 que recopilan las contribuciones de los países con respecto a las lecciones aprendidas, los desafíos enfrentados y las experiencias locales sobre temas de gran relevancia para la región. Estos documentos fueron validados por las autoridades y funcionarios de los países participantes en los respectivos diálogos.</w:t>
      </w:r>
    </w:p>
    <w:p w14:paraId="1573D51B" w14:textId="29D56C2C" w:rsidR="005C69DD" w:rsidRPr="003C15F1" w:rsidRDefault="005C69DD" w:rsidP="003C15F1">
      <w:pPr>
        <w:numPr>
          <w:ilvl w:val="0"/>
          <w:numId w:val="1"/>
        </w:numPr>
        <w:ind w:left="1440" w:hanging="720"/>
        <w:jc w:val="both"/>
        <w:rPr>
          <w:noProof/>
          <w:sz w:val="22"/>
          <w:szCs w:val="22"/>
          <w:lang w:val="es-US"/>
        </w:rPr>
      </w:pPr>
      <w:r w:rsidRPr="003C15F1">
        <w:rPr>
          <w:noProof/>
          <w:sz w:val="22"/>
          <w:szCs w:val="22"/>
          <w:lang w:val="es-US"/>
        </w:rPr>
        <w:t>Se lanzó un p</w:t>
      </w:r>
      <w:proofErr w:type="spellStart"/>
      <w:r w:rsidRPr="003C15F1">
        <w:rPr>
          <w:rStyle w:val="normaltextrun"/>
          <w:color w:val="000000"/>
          <w:sz w:val="22"/>
          <w:szCs w:val="22"/>
          <w:shd w:val="clear" w:color="auto" w:fill="FFFFFF"/>
          <w:lang w:val="es-US"/>
        </w:rPr>
        <w:t>rograma</w:t>
      </w:r>
      <w:proofErr w:type="spellEnd"/>
      <w:r w:rsidRPr="003C15F1">
        <w:rPr>
          <w:rStyle w:val="normaltextrun"/>
          <w:color w:val="000000"/>
          <w:sz w:val="22"/>
          <w:szCs w:val="22"/>
          <w:shd w:val="clear" w:color="auto" w:fill="FFFFFF"/>
          <w:lang w:val="es-US"/>
        </w:rPr>
        <w:t xml:space="preserve"> de capacitación</w:t>
      </w:r>
      <w:r w:rsidR="00814A5D" w:rsidRPr="003C15F1">
        <w:rPr>
          <w:rStyle w:val="normaltextrun"/>
          <w:color w:val="000000"/>
          <w:sz w:val="22"/>
          <w:szCs w:val="22"/>
          <w:shd w:val="clear" w:color="auto" w:fill="FFFFFF"/>
          <w:lang w:val="es-US"/>
        </w:rPr>
        <w:t xml:space="preserve"> </w:t>
      </w:r>
      <w:r w:rsidRPr="003C15F1">
        <w:rPr>
          <w:rStyle w:val="normaltextrun"/>
          <w:color w:val="000000"/>
          <w:sz w:val="22"/>
          <w:szCs w:val="22"/>
          <w:shd w:val="clear" w:color="auto" w:fill="FFFFFF"/>
          <w:lang w:val="es-US"/>
        </w:rPr>
        <w:t>en el marco</w:t>
      </w:r>
      <w:r w:rsidR="00814A5D" w:rsidRPr="003C15F1">
        <w:rPr>
          <w:rStyle w:val="normaltextrun"/>
          <w:color w:val="000000"/>
          <w:sz w:val="22"/>
          <w:szCs w:val="22"/>
          <w:shd w:val="clear" w:color="auto" w:fill="FFFFFF"/>
          <w:lang w:val="es-US"/>
        </w:rPr>
        <w:t xml:space="preserve"> </w:t>
      </w:r>
      <w:r w:rsidRPr="003C15F1">
        <w:rPr>
          <w:rStyle w:val="normaltextrun"/>
          <w:color w:val="000000"/>
          <w:sz w:val="22"/>
          <w:szCs w:val="22"/>
          <w:shd w:val="clear" w:color="auto" w:fill="FFFFFF"/>
          <w:lang w:val="es-US"/>
        </w:rPr>
        <w:t>de la colaboración entre</w:t>
      </w:r>
      <w:r w:rsidR="00814A5D" w:rsidRPr="003C15F1">
        <w:rPr>
          <w:rStyle w:val="normaltextrun"/>
          <w:color w:val="000000"/>
          <w:sz w:val="22"/>
          <w:szCs w:val="22"/>
          <w:shd w:val="clear" w:color="auto" w:fill="FFFFFF"/>
          <w:lang w:val="es-US"/>
        </w:rPr>
        <w:t xml:space="preserve"> </w:t>
      </w:r>
      <w:r w:rsidRPr="003C15F1">
        <w:rPr>
          <w:rStyle w:val="normaltextrun"/>
          <w:color w:val="000000"/>
          <w:sz w:val="22"/>
          <w:szCs w:val="22"/>
          <w:shd w:val="clear" w:color="auto" w:fill="FFFFFF"/>
          <w:lang w:val="es-US"/>
        </w:rPr>
        <w:t>la Sociedad de Internet (Internet</w:t>
      </w:r>
      <w:r w:rsidR="00814A5D" w:rsidRPr="003C15F1">
        <w:rPr>
          <w:rStyle w:val="normaltextrun"/>
          <w:color w:val="000000"/>
          <w:sz w:val="22"/>
          <w:szCs w:val="22"/>
          <w:shd w:val="clear" w:color="auto" w:fill="FFFFFF"/>
          <w:lang w:val="es-US"/>
        </w:rPr>
        <w:t xml:space="preserve"> </w:t>
      </w:r>
      <w:proofErr w:type="spellStart"/>
      <w:r w:rsidRPr="003C15F1">
        <w:rPr>
          <w:rStyle w:val="normaltextrun"/>
          <w:color w:val="000000"/>
          <w:sz w:val="22"/>
          <w:szCs w:val="22"/>
          <w:shd w:val="clear" w:color="auto" w:fill="FFFFFF"/>
          <w:lang w:val="es-US"/>
        </w:rPr>
        <w:t>Society</w:t>
      </w:r>
      <w:proofErr w:type="spellEnd"/>
      <w:r w:rsidRPr="003C15F1">
        <w:rPr>
          <w:rStyle w:val="normaltextrun"/>
          <w:color w:val="000000"/>
          <w:sz w:val="22"/>
          <w:szCs w:val="22"/>
          <w:shd w:val="clear" w:color="auto" w:fill="FFFFFF"/>
          <w:lang w:val="es-US"/>
        </w:rPr>
        <w:t>-ISOC) y la Organización de</w:t>
      </w:r>
      <w:r w:rsidR="00814A5D" w:rsidRPr="003C15F1">
        <w:rPr>
          <w:rStyle w:val="normaltextrun"/>
          <w:color w:val="000000"/>
          <w:sz w:val="22"/>
          <w:szCs w:val="22"/>
          <w:shd w:val="clear" w:color="auto" w:fill="FFFFFF"/>
          <w:lang w:val="es-US"/>
        </w:rPr>
        <w:t xml:space="preserve"> los </w:t>
      </w:r>
      <w:r w:rsidRPr="003C15F1">
        <w:rPr>
          <w:rStyle w:val="normaltextrun"/>
          <w:color w:val="000000"/>
          <w:sz w:val="22"/>
          <w:szCs w:val="22"/>
          <w:shd w:val="clear" w:color="auto" w:fill="FFFFFF"/>
          <w:lang w:val="es-US"/>
        </w:rPr>
        <w:t>Estados</w:t>
      </w:r>
      <w:r w:rsidR="00814A5D" w:rsidRPr="003C15F1">
        <w:rPr>
          <w:rStyle w:val="normaltextrun"/>
          <w:color w:val="000000"/>
          <w:sz w:val="22"/>
          <w:szCs w:val="22"/>
          <w:shd w:val="clear" w:color="auto" w:fill="FFFFFF"/>
          <w:lang w:val="es-US"/>
        </w:rPr>
        <w:t xml:space="preserve"> </w:t>
      </w:r>
      <w:r w:rsidRPr="003C15F1">
        <w:rPr>
          <w:rStyle w:val="normaltextrun"/>
          <w:color w:val="000000"/>
          <w:sz w:val="22"/>
          <w:szCs w:val="22"/>
          <w:shd w:val="clear" w:color="auto" w:fill="FFFFFF"/>
          <w:lang w:val="es-US"/>
        </w:rPr>
        <w:t>Americanos (OEA)</w:t>
      </w:r>
      <w:r w:rsidR="00814A5D" w:rsidRPr="003C15F1">
        <w:rPr>
          <w:rStyle w:val="normaltextrun"/>
          <w:color w:val="000000"/>
          <w:sz w:val="22"/>
          <w:szCs w:val="22"/>
          <w:shd w:val="clear" w:color="auto" w:fill="FFFFFF"/>
          <w:lang w:val="es-US"/>
        </w:rPr>
        <w:t xml:space="preserve"> </w:t>
      </w:r>
      <w:r w:rsidRPr="003C15F1">
        <w:rPr>
          <w:rStyle w:val="normaltextrun"/>
          <w:color w:val="000000"/>
          <w:sz w:val="22"/>
          <w:szCs w:val="22"/>
          <w:shd w:val="clear" w:color="auto" w:fill="FFFFFF"/>
          <w:lang w:val="es-US"/>
        </w:rPr>
        <w:t>a través del Departamento de Desarrollo Humano, Educación y Empleo (DDHEE). Este programa</w:t>
      </w:r>
      <w:r w:rsidR="00814A5D" w:rsidRPr="003C15F1">
        <w:rPr>
          <w:rStyle w:val="normaltextrun"/>
          <w:color w:val="000000"/>
          <w:sz w:val="22"/>
          <w:szCs w:val="22"/>
          <w:shd w:val="clear" w:color="auto" w:fill="FFFFFF"/>
          <w:lang w:val="es-US"/>
        </w:rPr>
        <w:t xml:space="preserve"> </w:t>
      </w:r>
      <w:r w:rsidRPr="003C15F1">
        <w:rPr>
          <w:rStyle w:val="normaltextrun"/>
          <w:color w:val="000000"/>
          <w:sz w:val="22"/>
          <w:szCs w:val="22"/>
          <w:shd w:val="clear" w:color="auto" w:fill="FFFFFF"/>
          <w:lang w:val="es-US"/>
        </w:rPr>
        <w:t>se conformó de cinco cursos virtuales en temas asociados a la integración de internet y gobernanza a nivel de políticas públicas, programas y/o proyectos.</w:t>
      </w:r>
    </w:p>
    <w:p w14:paraId="17C33CC3" w14:textId="77777777" w:rsidR="005C69DD" w:rsidRPr="003C15F1" w:rsidRDefault="005C69DD" w:rsidP="003C15F1">
      <w:pPr>
        <w:jc w:val="both"/>
        <w:rPr>
          <w:noProof/>
          <w:sz w:val="22"/>
          <w:szCs w:val="22"/>
          <w:lang w:val="es-US"/>
        </w:rPr>
      </w:pPr>
    </w:p>
    <w:p w14:paraId="37FEB10C" w14:textId="1547B6AC" w:rsidR="005C69DD" w:rsidRPr="003C15F1" w:rsidRDefault="005C69DD" w:rsidP="003C15F1">
      <w:pPr>
        <w:jc w:val="both"/>
        <w:rPr>
          <w:b/>
          <w:bCs/>
          <w:noProof/>
          <w:sz w:val="22"/>
          <w:szCs w:val="22"/>
          <w:lang w:val="es-US"/>
        </w:rPr>
      </w:pPr>
      <w:r w:rsidRPr="003C15F1">
        <w:rPr>
          <w:b/>
          <w:sz w:val="22"/>
          <w:szCs w:val="22"/>
          <w:lang w:val="es-US"/>
        </w:rPr>
        <w:t>OBJETIVO 3.2</w:t>
      </w:r>
      <w:r w:rsidR="00D37A42" w:rsidRPr="003C15F1">
        <w:rPr>
          <w:b/>
          <w:sz w:val="22"/>
          <w:szCs w:val="22"/>
          <w:lang w:val="es-US"/>
        </w:rPr>
        <w:t>:  F</w:t>
      </w:r>
      <w:r w:rsidRPr="003C15F1">
        <w:rPr>
          <w:b/>
          <w:sz w:val="22"/>
          <w:szCs w:val="22"/>
          <w:lang w:val="es-US"/>
        </w:rPr>
        <w:t xml:space="preserve">ortalecer la profesión docente en los Estados Miembros mediante la generación de mayores oportunidades de formación </w:t>
      </w:r>
    </w:p>
    <w:p w14:paraId="40DAF9A4" w14:textId="77777777" w:rsidR="005C69DD" w:rsidRPr="003C15F1" w:rsidRDefault="005C69DD" w:rsidP="003C15F1">
      <w:pPr>
        <w:contextualSpacing/>
        <w:jc w:val="both"/>
        <w:rPr>
          <w:rFonts w:eastAsia="Cambria"/>
          <w:b/>
          <w:noProof/>
          <w:sz w:val="22"/>
          <w:szCs w:val="22"/>
          <w:lang w:val="es-US"/>
        </w:rPr>
      </w:pPr>
    </w:p>
    <w:p w14:paraId="2BA7F214" w14:textId="77777777" w:rsidR="005C69DD" w:rsidRPr="003C15F1" w:rsidRDefault="005C69DD" w:rsidP="003C15F1">
      <w:pPr>
        <w:ind w:firstLine="360"/>
        <w:jc w:val="both"/>
        <w:rPr>
          <w:b/>
          <w:sz w:val="22"/>
          <w:szCs w:val="22"/>
          <w:lang w:val="es-US"/>
        </w:rPr>
      </w:pPr>
      <w:r w:rsidRPr="003C15F1">
        <w:rPr>
          <w:b/>
          <w:sz w:val="22"/>
          <w:szCs w:val="22"/>
          <w:lang w:val="es-US"/>
        </w:rPr>
        <w:t>Red Interamericana de Educación Docente (RIED)</w:t>
      </w:r>
    </w:p>
    <w:p w14:paraId="64FEB983" w14:textId="6B201B6A" w:rsidR="005C69DD" w:rsidRPr="003C15F1" w:rsidRDefault="005C69DD" w:rsidP="003C15F1">
      <w:pPr>
        <w:numPr>
          <w:ilvl w:val="0"/>
          <w:numId w:val="1"/>
        </w:numPr>
        <w:ind w:left="1440" w:hanging="720"/>
        <w:jc w:val="both"/>
        <w:rPr>
          <w:noProof/>
          <w:sz w:val="22"/>
          <w:szCs w:val="22"/>
          <w:lang w:val="es-US"/>
        </w:rPr>
      </w:pPr>
      <w:r w:rsidRPr="003C15F1">
        <w:rPr>
          <w:noProof/>
          <w:sz w:val="22"/>
          <w:szCs w:val="22"/>
          <w:lang w:val="es-US"/>
        </w:rPr>
        <w:t>Se mejoró la capacidad de 57 instituciones de formación docente en la región para brindar educación docente STEM (ciencia, tecnología, ingeniería y matemáticas) de calidad a través de colaboraciones multilaterales respaldadas por cerca de US</w:t>
      </w:r>
      <w:r w:rsidR="00814A5D" w:rsidRPr="003C15F1">
        <w:rPr>
          <w:noProof/>
          <w:sz w:val="22"/>
          <w:szCs w:val="22"/>
          <w:lang w:val="es-US"/>
        </w:rPr>
        <w:t>$</w:t>
      </w:r>
      <w:r w:rsidRPr="003C15F1">
        <w:rPr>
          <w:noProof/>
          <w:sz w:val="22"/>
          <w:szCs w:val="22"/>
          <w:lang w:val="es-US"/>
        </w:rPr>
        <w:t xml:space="preserve">500.000 en beneficios y premios financieros a 26 </w:t>
      </w:r>
      <w:r w:rsidR="00D37A42" w:rsidRPr="003C15F1">
        <w:rPr>
          <w:noProof/>
          <w:sz w:val="22"/>
          <w:szCs w:val="22"/>
          <w:lang w:val="es-US"/>
        </w:rPr>
        <w:t>E</w:t>
      </w:r>
      <w:r w:rsidRPr="003C15F1">
        <w:rPr>
          <w:noProof/>
          <w:sz w:val="22"/>
          <w:szCs w:val="22"/>
          <w:lang w:val="es-US"/>
        </w:rPr>
        <w:t xml:space="preserve">stados </w:t>
      </w:r>
      <w:r w:rsidR="00D37A42" w:rsidRPr="003C15F1">
        <w:rPr>
          <w:noProof/>
          <w:sz w:val="22"/>
          <w:szCs w:val="22"/>
          <w:lang w:val="es-US"/>
        </w:rPr>
        <w:t>M</w:t>
      </w:r>
      <w:r w:rsidRPr="003C15F1">
        <w:rPr>
          <w:noProof/>
          <w:sz w:val="22"/>
          <w:szCs w:val="22"/>
          <w:lang w:val="es-US"/>
        </w:rPr>
        <w:t xml:space="preserve">iembros. </w:t>
      </w:r>
    </w:p>
    <w:p w14:paraId="4B20A1E8" w14:textId="77777777" w:rsidR="00D37A42" w:rsidRPr="003C15F1" w:rsidRDefault="00D37A42" w:rsidP="003C15F1">
      <w:pPr>
        <w:ind w:left="1440"/>
        <w:jc w:val="both"/>
        <w:rPr>
          <w:noProof/>
          <w:sz w:val="22"/>
          <w:szCs w:val="22"/>
          <w:lang w:val="es-US"/>
        </w:rPr>
      </w:pPr>
    </w:p>
    <w:p w14:paraId="33EDE643" w14:textId="72BF910A" w:rsidR="00D37A42" w:rsidRPr="00240925" w:rsidRDefault="005C69DD" w:rsidP="003C15F1">
      <w:pPr>
        <w:numPr>
          <w:ilvl w:val="0"/>
          <w:numId w:val="1"/>
        </w:numPr>
        <w:ind w:left="1440" w:hanging="720"/>
        <w:jc w:val="both"/>
        <w:rPr>
          <w:noProof/>
          <w:sz w:val="22"/>
          <w:szCs w:val="22"/>
          <w:lang w:val="es-US"/>
        </w:rPr>
      </w:pPr>
      <w:r w:rsidRPr="003C15F1">
        <w:rPr>
          <w:noProof/>
          <w:sz w:val="22"/>
          <w:szCs w:val="22"/>
          <w:lang w:val="es-US"/>
        </w:rPr>
        <w:t xml:space="preserve">Se mejoró la capacidad de más de 237,000 educadores STEM de 34 </w:t>
      </w:r>
      <w:r w:rsidR="00D37A42" w:rsidRPr="003C15F1">
        <w:rPr>
          <w:noProof/>
          <w:sz w:val="22"/>
          <w:szCs w:val="22"/>
          <w:lang w:val="es-US"/>
        </w:rPr>
        <w:t>E</w:t>
      </w:r>
      <w:r w:rsidRPr="003C15F1">
        <w:rPr>
          <w:noProof/>
          <w:sz w:val="22"/>
          <w:szCs w:val="22"/>
          <w:lang w:val="es-US"/>
        </w:rPr>
        <w:t xml:space="preserve">stados </w:t>
      </w:r>
      <w:r w:rsidR="00D37A42" w:rsidRPr="003C15F1">
        <w:rPr>
          <w:noProof/>
          <w:sz w:val="22"/>
          <w:szCs w:val="22"/>
          <w:lang w:val="es-US"/>
        </w:rPr>
        <w:t>M</w:t>
      </w:r>
      <w:r w:rsidRPr="003C15F1">
        <w:rPr>
          <w:noProof/>
          <w:sz w:val="22"/>
          <w:szCs w:val="22"/>
          <w:lang w:val="es-US"/>
        </w:rPr>
        <w:t xml:space="preserve">iembros (incluidas capacitaciones presenciales de 3,288 educadores) para brindar educación STEM de calidad a sus estudiantes. </w:t>
      </w:r>
    </w:p>
    <w:p w14:paraId="4BD4FEA9" w14:textId="77777777" w:rsidR="00D37A42" w:rsidRPr="00240925" w:rsidRDefault="00D37A42" w:rsidP="003C15F1">
      <w:pPr>
        <w:pStyle w:val="ListParagraph"/>
        <w:rPr>
          <w:noProof/>
          <w:sz w:val="22"/>
          <w:szCs w:val="22"/>
          <w:lang w:val="es-US"/>
        </w:rPr>
      </w:pPr>
    </w:p>
    <w:p w14:paraId="2CD6BA12" w14:textId="77777777" w:rsidR="005C69DD" w:rsidRPr="003C15F1" w:rsidRDefault="005C69DD" w:rsidP="003C15F1">
      <w:pPr>
        <w:numPr>
          <w:ilvl w:val="0"/>
          <w:numId w:val="1"/>
        </w:numPr>
        <w:ind w:left="1440" w:hanging="720"/>
        <w:jc w:val="both"/>
        <w:rPr>
          <w:noProof/>
          <w:sz w:val="22"/>
          <w:szCs w:val="22"/>
          <w:lang w:val="es-US"/>
        </w:rPr>
      </w:pPr>
      <w:r w:rsidRPr="003C15F1">
        <w:rPr>
          <w:noProof/>
          <w:sz w:val="22"/>
          <w:szCs w:val="22"/>
          <w:lang w:val="es-US"/>
        </w:rPr>
        <w:t>Se consolidaron y se difundiendro estrategias efectivas en la formación docente STEM a través de la ejecución de una Sesión Virtual de Póster, Seminario Virtual y publicaciones sobre prácticas efectivas de formación docente STEM.</w:t>
      </w:r>
    </w:p>
    <w:p w14:paraId="44AD092C" w14:textId="77777777" w:rsidR="005C69DD" w:rsidRPr="003C15F1" w:rsidRDefault="005C69DD" w:rsidP="003C15F1">
      <w:pPr>
        <w:jc w:val="both"/>
        <w:rPr>
          <w:rFonts w:eastAsia="Calibri"/>
          <w:strike/>
          <w:noProof/>
          <w:sz w:val="22"/>
          <w:szCs w:val="22"/>
          <w:lang w:val="es-US"/>
        </w:rPr>
      </w:pPr>
    </w:p>
    <w:p w14:paraId="3D45C583" w14:textId="77777777" w:rsidR="005C69DD" w:rsidRPr="003C15F1" w:rsidRDefault="005C69DD" w:rsidP="003C15F1">
      <w:pPr>
        <w:ind w:firstLine="720"/>
        <w:jc w:val="both"/>
        <w:rPr>
          <w:rFonts w:eastAsia="Calibri"/>
          <w:b/>
          <w:bCs/>
          <w:iCs/>
          <w:noProof/>
          <w:sz w:val="22"/>
          <w:szCs w:val="22"/>
        </w:rPr>
      </w:pPr>
      <w:r w:rsidRPr="003C15F1">
        <w:rPr>
          <w:b/>
          <w:sz w:val="22"/>
          <w:szCs w:val="22"/>
        </w:rPr>
        <w:t xml:space="preserve">Portal </w:t>
      </w:r>
      <w:proofErr w:type="spellStart"/>
      <w:r w:rsidRPr="003C15F1">
        <w:rPr>
          <w:b/>
          <w:sz w:val="22"/>
          <w:szCs w:val="22"/>
        </w:rPr>
        <w:t>Educativo</w:t>
      </w:r>
      <w:proofErr w:type="spellEnd"/>
      <w:r w:rsidRPr="003C15F1">
        <w:rPr>
          <w:b/>
          <w:sz w:val="22"/>
          <w:szCs w:val="22"/>
        </w:rPr>
        <w:t xml:space="preserve"> de las </w:t>
      </w:r>
      <w:proofErr w:type="spellStart"/>
      <w:r w:rsidRPr="003C15F1">
        <w:rPr>
          <w:b/>
          <w:sz w:val="22"/>
          <w:szCs w:val="22"/>
        </w:rPr>
        <w:t>Américas</w:t>
      </w:r>
      <w:proofErr w:type="spellEnd"/>
    </w:p>
    <w:p w14:paraId="38B6F4FA" w14:textId="77777777" w:rsidR="005C69DD" w:rsidRPr="003C15F1" w:rsidRDefault="005C69DD" w:rsidP="003C15F1">
      <w:pPr>
        <w:ind w:left="1440"/>
        <w:jc w:val="both"/>
        <w:rPr>
          <w:rFonts w:eastAsia="Calibri"/>
          <w:noProof/>
          <w:sz w:val="22"/>
          <w:szCs w:val="22"/>
        </w:rPr>
      </w:pPr>
    </w:p>
    <w:p w14:paraId="5DE0F21C" w14:textId="22ADECB1" w:rsidR="005C69DD" w:rsidRPr="003C15F1" w:rsidRDefault="005C69DD" w:rsidP="003C15F1">
      <w:pPr>
        <w:numPr>
          <w:ilvl w:val="0"/>
          <w:numId w:val="2"/>
        </w:numPr>
        <w:ind w:left="1440" w:hanging="720"/>
        <w:jc w:val="both"/>
        <w:rPr>
          <w:sz w:val="22"/>
          <w:szCs w:val="22"/>
          <w:lang w:val="es-US"/>
        </w:rPr>
      </w:pPr>
      <w:r w:rsidRPr="003C15F1">
        <w:rPr>
          <w:sz w:val="22"/>
          <w:szCs w:val="22"/>
          <w:lang w:val="es-US"/>
        </w:rPr>
        <w:t xml:space="preserve">416 ciudadanos de 22 </w:t>
      </w:r>
      <w:r w:rsidR="00D37A42" w:rsidRPr="003C15F1">
        <w:rPr>
          <w:sz w:val="22"/>
          <w:szCs w:val="22"/>
          <w:lang w:val="es-US"/>
        </w:rPr>
        <w:t>E</w:t>
      </w:r>
      <w:r w:rsidRPr="003C15F1">
        <w:rPr>
          <w:sz w:val="22"/>
          <w:szCs w:val="22"/>
          <w:lang w:val="es-US"/>
        </w:rPr>
        <w:t xml:space="preserve">stados </w:t>
      </w:r>
      <w:r w:rsidR="00D37A42" w:rsidRPr="003C15F1">
        <w:rPr>
          <w:sz w:val="22"/>
          <w:szCs w:val="22"/>
          <w:lang w:val="es-US"/>
        </w:rPr>
        <w:t>M</w:t>
      </w:r>
      <w:r w:rsidRPr="003C15F1">
        <w:rPr>
          <w:sz w:val="22"/>
          <w:szCs w:val="22"/>
          <w:lang w:val="es-US"/>
        </w:rPr>
        <w:t>iembros de la OEA se beneficiaron con becas descuento para cursos y diplomaturas dictadas en el Aula Virtual del Portal Educativo de las Américas (PEA).</w:t>
      </w:r>
    </w:p>
    <w:p w14:paraId="055E0FA1" w14:textId="77777777" w:rsidR="00D37A42" w:rsidRPr="003C15F1" w:rsidRDefault="00D37A42" w:rsidP="003C15F1">
      <w:pPr>
        <w:ind w:left="1440"/>
        <w:jc w:val="both"/>
        <w:rPr>
          <w:sz w:val="22"/>
          <w:szCs w:val="22"/>
          <w:lang w:val="es-US"/>
        </w:rPr>
      </w:pPr>
    </w:p>
    <w:p w14:paraId="4A6C2566" w14:textId="2E6D8218" w:rsidR="00D37A42" w:rsidRPr="003C15F1" w:rsidRDefault="005C69DD" w:rsidP="003C15F1">
      <w:pPr>
        <w:pStyle w:val="ListParagraph"/>
        <w:numPr>
          <w:ilvl w:val="0"/>
          <w:numId w:val="2"/>
        </w:numPr>
        <w:ind w:left="1440" w:hanging="720"/>
        <w:jc w:val="both"/>
        <w:rPr>
          <w:rFonts w:eastAsia="Symbol"/>
          <w:sz w:val="22"/>
          <w:szCs w:val="22"/>
          <w:lang w:val="es-US"/>
        </w:rPr>
      </w:pPr>
      <w:r w:rsidRPr="003C15F1">
        <w:rPr>
          <w:rFonts w:eastAsia="Times New Roman"/>
          <w:sz w:val="22"/>
          <w:szCs w:val="22"/>
          <w:lang w:val="es-US"/>
        </w:rPr>
        <w:t xml:space="preserve">156 personas tuvieron acceso gratuito a cursos </w:t>
      </w:r>
      <w:proofErr w:type="spellStart"/>
      <w:r w:rsidRPr="003C15F1">
        <w:rPr>
          <w:rFonts w:eastAsia="Times New Roman"/>
          <w:sz w:val="22"/>
          <w:szCs w:val="22"/>
          <w:lang w:val="es-US"/>
        </w:rPr>
        <w:t>c</w:t>
      </w:r>
      <w:r w:rsidR="00D37A42" w:rsidRPr="003C15F1">
        <w:rPr>
          <w:rFonts w:eastAsia="Times New Roman"/>
          <w:sz w:val="22"/>
          <w:szCs w:val="22"/>
          <w:lang w:val="es-US"/>
        </w:rPr>
        <w:t>u</w:t>
      </w:r>
      <w:r w:rsidRPr="003C15F1">
        <w:rPr>
          <w:rFonts w:eastAsia="Times New Roman"/>
          <w:sz w:val="22"/>
          <w:szCs w:val="22"/>
          <w:lang w:val="es-US"/>
        </w:rPr>
        <w:t>rsos</w:t>
      </w:r>
      <w:proofErr w:type="spellEnd"/>
      <w:r w:rsidRPr="003C15F1">
        <w:rPr>
          <w:rFonts w:eastAsia="Times New Roman"/>
          <w:sz w:val="22"/>
          <w:szCs w:val="22"/>
          <w:lang w:val="es-US"/>
        </w:rPr>
        <w:t xml:space="preserve"> cortos, abiertos, autoadministrados (MOOC) del PEA en temas de género y Educación STEM</w:t>
      </w:r>
    </w:p>
    <w:p w14:paraId="31E39671" w14:textId="77777777" w:rsidR="00D37A42" w:rsidRPr="003C15F1" w:rsidRDefault="00D37A42" w:rsidP="003C15F1">
      <w:pPr>
        <w:pStyle w:val="ListParagraph"/>
        <w:rPr>
          <w:rFonts w:eastAsia="Times New Roman"/>
          <w:sz w:val="22"/>
          <w:szCs w:val="22"/>
          <w:lang w:val="es-US"/>
        </w:rPr>
      </w:pPr>
    </w:p>
    <w:p w14:paraId="51D25A48" w14:textId="340B19E9" w:rsidR="005C69DD" w:rsidRPr="003C15F1" w:rsidRDefault="005C69DD" w:rsidP="003C15F1">
      <w:pPr>
        <w:pStyle w:val="ListParagraph"/>
        <w:numPr>
          <w:ilvl w:val="0"/>
          <w:numId w:val="2"/>
        </w:numPr>
        <w:ind w:left="1440" w:hanging="720"/>
        <w:jc w:val="both"/>
        <w:rPr>
          <w:rFonts w:eastAsia="Symbol"/>
          <w:sz w:val="22"/>
          <w:szCs w:val="22"/>
          <w:lang w:val="es-US"/>
        </w:rPr>
      </w:pPr>
      <w:r w:rsidRPr="003C15F1">
        <w:rPr>
          <w:rFonts w:eastAsia="Times New Roman"/>
          <w:sz w:val="22"/>
          <w:szCs w:val="22"/>
          <w:lang w:val="es-US"/>
        </w:rPr>
        <w:t>Gracias a alianzas con socios estratégicos dentro de la organización se produjeron 7 cursos virtuales en diferentes áreas del conocimiento. Algunos resultados de dichas alianzas</w:t>
      </w:r>
      <w:r w:rsidR="00C44829" w:rsidRPr="003C15F1">
        <w:rPr>
          <w:rFonts w:eastAsia="Times New Roman"/>
          <w:sz w:val="22"/>
          <w:szCs w:val="22"/>
          <w:lang w:val="es-US"/>
        </w:rPr>
        <w:t>:</w:t>
      </w:r>
    </w:p>
    <w:p w14:paraId="0DDE6403" w14:textId="77777777" w:rsidR="005C69DD" w:rsidRPr="003C15F1" w:rsidRDefault="005C69DD" w:rsidP="00FF59F0">
      <w:pPr>
        <w:pStyle w:val="ListParagraph"/>
        <w:numPr>
          <w:ilvl w:val="1"/>
          <w:numId w:val="39"/>
        </w:numPr>
        <w:ind w:left="2160" w:hanging="720"/>
        <w:jc w:val="both"/>
        <w:rPr>
          <w:rFonts w:eastAsia="Symbol"/>
          <w:sz w:val="22"/>
          <w:szCs w:val="22"/>
          <w:lang w:val="es-US"/>
        </w:rPr>
      </w:pPr>
      <w:r w:rsidRPr="003C15F1">
        <w:rPr>
          <w:rFonts w:eastAsia="Times New Roman"/>
          <w:sz w:val="22"/>
          <w:szCs w:val="22"/>
          <w:lang w:val="es-US"/>
        </w:rPr>
        <w:t>1,061 personas capacitadas en temas de derechos humanos (alianza con la CIDH)</w:t>
      </w:r>
    </w:p>
    <w:p w14:paraId="27AF7120" w14:textId="77777777" w:rsidR="005C69DD" w:rsidRPr="003C15F1" w:rsidRDefault="005C69DD" w:rsidP="00FF59F0">
      <w:pPr>
        <w:pStyle w:val="ListParagraph"/>
        <w:numPr>
          <w:ilvl w:val="1"/>
          <w:numId w:val="39"/>
        </w:numPr>
        <w:ind w:left="2160" w:hanging="720"/>
        <w:jc w:val="both"/>
        <w:rPr>
          <w:sz w:val="22"/>
          <w:szCs w:val="22"/>
          <w:lang w:val="es-US"/>
        </w:rPr>
      </w:pPr>
      <w:r w:rsidRPr="003C15F1">
        <w:rPr>
          <w:rFonts w:eastAsia="Times New Roman"/>
          <w:sz w:val="22"/>
          <w:szCs w:val="22"/>
          <w:lang w:val="es-US"/>
        </w:rPr>
        <w:lastRenderedPageBreak/>
        <w:t>101 personas capacitadas en atención a víctimas de violencia armada (alianza con la SSM-OEA)</w:t>
      </w:r>
    </w:p>
    <w:p w14:paraId="1093AEA5" w14:textId="68BF2532" w:rsidR="005C69DD" w:rsidRPr="003C15F1" w:rsidRDefault="005C69DD" w:rsidP="00FF59F0">
      <w:pPr>
        <w:pStyle w:val="ListParagraph"/>
        <w:numPr>
          <w:ilvl w:val="1"/>
          <w:numId w:val="39"/>
        </w:numPr>
        <w:ind w:left="2160" w:hanging="720"/>
        <w:jc w:val="both"/>
        <w:rPr>
          <w:sz w:val="22"/>
          <w:szCs w:val="22"/>
          <w:lang w:val="es-US"/>
        </w:rPr>
      </w:pPr>
      <w:r w:rsidRPr="003C15F1">
        <w:rPr>
          <w:rFonts w:eastAsia="Times New Roman"/>
          <w:sz w:val="22"/>
          <w:szCs w:val="22"/>
          <w:lang w:val="es-US"/>
        </w:rPr>
        <w:t>50 personas capacitadas en prevención de violencia de género en el trabajo (Alianza con la RIAL y CIM)</w:t>
      </w:r>
    </w:p>
    <w:p w14:paraId="0802E149" w14:textId="77777777" w:rsidR="00C44829" w:rsidRPr="00B54C80" w:rsidRDefault="00C44829" w:rsidP="00B54C80">
      <w:pPr>
        <w:jc w:val="both"/>
        <w:rPr>
          <w:sz w:val="22"/>
          <w:szCs w:val="22"/>
          <w:lang w:val="es-US"/>
        </w:rPr>
      </w:pPr>
    </w:p>
    <w:p w14:paraId="0C9FB780" w14:textId="34FBA04D" w:rsidR="005C69DD" w:rsidRPr="003C15F1" w:rsidRDefault="005C69DD" w:rsidP="003C15F1">
      <w:pPr>
        <w:pStyle w:val="ListParagraph"/>
        <w:numPr>
          <w:ilvl w:val="0"/>
          <w:numId w:val="2"/>
        </w:numPr>
        <w:ind w:left="1530" w:hanging="810"/>
        <w:jc w:val="both"/>
        <w:rPr>
          <w:sz w:val="22"/>
          <w:szCs w:val="22"/>
          <w:lang w:val="es-US"/>
        </w:rPr>
      </w:pPr>
      <w:r w:rsidRPr="003C15F1">
        <w:rPr>
          <w:color w:val="000000" w:themeColor="text1"/>
          <w:sz w:val="22"/>
          <w:szCs w:val="22"/>
          <w:lang w:val="es"/>
        </w:rPr>
        <w:t xml:space="preserve"> </w:t>
      </w:r>
      <w:r w:rsidRPr="003C15F1">
        <w:rPr>
          <w:rFonts w:eastAsia="Times New Roman"/>
          <w:sz w:val="22"/>
          <w:szCs w:val="22"/>
          <w:lang w:val="es-US"/>
        </w:rPr>
        <w:t>En el marco del programa de educación digital OEA-</w:t>
      </w:r>
      <w:proofErr w:type="spellStart"/>
      <w:r w:rsidRPr="003C15F1">
        <w:rPr>
          <w:rFonts w:eastAsia="Times New Roman"/>
          <w:sz w:val="22"/>
          <w:szCs w:val="22"/>
          <w:lang w:val="es-US"/>
        </w:rPr>
        <w:t>ProFuturo</w:t>
      </w:r>
      <w:proofErr w:type="spellEnd"/>
      <w:r w:rsidRPr="003C15F1">
        <w:rPr>
          <w:rFonts w:eastAsia="Times New Roman"/>
          <w:sz w:val="22"/>
          <w:szCs w:val="22"/>
          <w:lang w:val="es-US"/>
        </w:rPr>
        <w:t xml:space="preserve">, se brindó capacitación a 72 docentes y funcionarios de Ministerios de Educación para el uso del equipo tecnológico y sistema de gestión de aprendizaje </w:t>
      </w:r>
      <w:proofErr w:type="spellStart"/>
      <w:r w:rsidRPr="003C15F1">
        <w:rPr>
          <w:rFonts w:eastAsia="Times New Roman"/>
          <w:sz w:val="22"/>
          <w:szCs w:val="22"/>
          <w:lang w:val="es-US"/>
        </w:rPr>
        <w:t>ProFuturo</w:t>
      </w:r>
      <w:proofErr w:type="spellEnd"/>
      <w:r w:rsidRPr="003C15F1">
        <w:rPr>
          <w:rFonts w:eastAsia="Times New Roman"/>
          <w:sz w:val="22"/>
          <w:szCs w:val="22"/>
          <w:lang w:val="es-US"/>
        </w:rPr>
        <w:t xml:space="preserve"> otorgado a 92 escuelas primarias de Las Bahamas, Barbados, Beli</w:t>
      </w:r>
      <w:r w:rsidR="00C44829" w:rsidRPr="003C15F1">
        <w:rPr>
          <w:rFonts w:eastAsia="Times New Roman"/>
          <w:sz w:val="22"/>
          <w:szCs w:val="22"/>
          <w:lang w:val="es-US"/>
        </w:rPr>
        <w:t>z</w:t>
      </w:r>
      <w:r w:rsidRPr="003C15F1">
        <w:rPr>
          <w:rFonts w:eastAsia="Times New Roman"/>
          <w:sz w:val="22"/>
          <w:szCs w:val="22"/>
          <w:lang w:val="es-US"/>
        </w:rPr>
        <w:t>e, Guyana y Santa Lucía. También se han capacitado a más de 1.400 docentes en innovación e integración de las TIC en el aula. De igual forma, se formaron 60 personas representantes de más de 10 organizaciones de la sociedad civil (OSC) de Latinoamérica en el curso “Alianzas innovadoras para la sostenibilidad”.</w:t>
      </w:r>
    </w:p>
    <w:p w14:paraId="664F6EE2" w14:textId="77777777" w:rsidR="005C69DD" w:rsidRPr="003C15F1" w:rsidRDefault="005C69DD" w:rsidP="003C15F1">
      <w:pPr>
        <w:jc w:val="both"/>
        <w:rPr>
          <w:rFonts w:eastAsia="Calibri"/>
          <w:noProof/>
          <w:sz w:val="22"/>
          <w:szCs w:val="22"/>
          <w:lang w:val="es-US"/>
        </w:rPr>
      </w:pPr>
    </w:p>
    <w:p w14:paraId="105DB596" w14:textId="2F8ED32A" w:rsidR="005C69DD" w:rsidRPr="003C15F1" w:rsidRDefault="005C69DD" w:rsidP="003C15F1">
      <w:pPr>
        <w:ind w:firstLine="18"/>
        <w:jc w:val="both"/>
        <w:rPr>
          <w:b/>
          <w:bCs/>
          <w:noProof/>
          <w:sz w:val="22"/>
          <w:szCs w:val="22"/>
          <w:lang w:val="es-US"/>
        </w:rPr>
      </w:pPr>
      <w:r w:rsidRPr="003C15F1">
        <w:rPr>
          <w:b/>
          <w:sz w:val="22"/>
          <w:szCs w:val="22"/>
          <w:lang w:val="es-US"/>
        </w:rPr>
        <w:t>OBJETIVO 3.3</w:t>
      </w:r>
      <w:r w:rsidR="00C44829" w:rsidRPr="003C15F1">
        <w:rPr>
          <w:b/>
          <w:sz w:val="22"/>
          <w:szCs w:val="22"/>
          <w:lang w:val="es-US"/>
        </w:rPr>
        <w:t>:  F</w:t>
      </w:r>
      <w:r w:rsidRPr="003C15F1">
        <w:rPr>
          <w:b/>
          <w:sz w:val="22"/>
          <w:szCs w:val="22"/>
          <w:lang w:val="es-US"/>
        </w:rPr>
        <w:t xml:space="preserve">ortalecer la capacidad institucional de los Estados Miembros para proveer una atención integral de la primera infancia </w:t>
      </w:r>
    </w:p>
    <w:p w14:paraId="760BFB07" w14:textId="77777777" w:rsidR="005C69DD" w:rsidRPr="003C15F1" w:rsidRDefault="005C69DD" w:rsidP="003C15F1">
      <w:pPr>
        <w:contextualSpacing/>
        <w:jc w:val="both"/>
        <w:rPr>
          <w:rFonts w:eastAsia="Cambria"/>
          <w:noProof/>
          <w:sz w:val="22"/>
          <w:szCs w:val="22"/>
          <w:lang w:val="es-US"/>
        </w:rPr>
      </w:pPr>
    </w:p>
    <w:p w14:paraId="44AA3CF2" w14:textId="77777777" w:rsidR="005C69DD" w:rsidRPr="003C15F1" w:rsidRDefault="005C69DD" w:rsidP="003C15F1">
      <w:pPr>
        <w:numPr>
          <w:ilvl w:val="0"/>
          <w:numId w:val="3"/>
        </w:numPr>
        <w:ind w:left="1440" w:hanging="720"/>
        <w:contextualSpacing/>
        <w:jc w:val="both"/>
        <w:rPr>
          <w:rFonts w:eastAsia="Cambria"/>
          <w:noProof/>
          <w:sz w:val="22"/>
          <w:szCs w:val="22"/>
          <w:lang w:val="es-US"/>
        </w:rPr>
      </w:pPr>
      <w:r w:rsidRPr="003C15F1">
        <w:rPr>
          <w:sz w:val="22"/>
          <w:szCs w:val="22"/>
          <w:lang w:val="es-US"/>
        </w:rPr>
        <w:t>Se firmó un acuerdo de copatrocinio con la Universidad de las Indias Occidentales para brindar 19 becas para el año académico 2021-2022 a nacionales de los Estados Miembros anglófonos del Caribe inscritos en el diplomado en Desarrollo de la Primera Infancia y Estudios de la Familia.</w:t>
      </w:r>
    </w:p>
    <w:p w14:paraId="51F0DE10" w14:textId="06FA7B1D" w:rsidR="005C69DD" w:rsidRPr="003C15F1" w:rsidRDefault="005C69DD" w:rsidP="003C15F1">
      <w:pPr>
        <w:ind w:firstLine="18"/>
        <w:jc w:val="both"/>
        <w:rPr>
          <w:noProof/>
          <w:sz w:val="22"/>
          <w:szCs w:val="22"/>
          <w:lang w:val="es-US"/>
        </w:rPr>
      </w:pPr>
    </w:p>
    <w:p w14:paraId="2083F6F6" w14:textId="7FBED74A" w:rsidR="005C69DD" w:rsidRPr="003C15F1" w:rsidRDefault="005C69DD" w:rsidP="003C15F1">
      <w:pPr>
        <w:ind w:firstLine="18"/>
        <w:jc w:val="both"/>
        <w:rPr>
          <w:b/>
          <w:bCs/>
          <w:noProof/>
          <w:sz w:val="22"/>
          <w:szCs w:val="22"/>
          <w:lang w:val="es-US"/>
        </w:rPr>
      </w:pPr>
      <w:r w:rsidRPr="003C15F1">
        <w:rPr>
          <w:b/>
          <w:sz w:val="22"/>
          <w:szCs w:val="22"/>
          <w:lang w:val="es-US"/>
        </w:rPr>
        <w:t>OBJETIVO 3.4</w:t>
      </w:r>
      <w:r w:rsidR="00C44829" w:rsidRPr="003C15F1">
        <w:rPr>
          <w:b/>
          <w:sz w:val="22"/>
          <w:szCs w:val="22"/>
          <w:lang w:val="es-US"/>
        </w:rPr>
        <w:t>:  F</w:t>
      </w:r>
      <w:r w:rsidRPr="003C15F1">
        <w:rPr>
          <w:b/>
          <w:sz w:val="22"/>
          <w:szCs w:val="22"/>
          <w:lang w:val="es-US"/>
        </w:rPr>
        <w:t xml:space="preserve">omentar el acceso en los Estados Miembros a oportunidades educativas de calidad, inclusivas y equitativas en todos los niveles, todas las modalidades y en los cuatro idiomas oficiales de la Organización </w:t>
      </w:r>
    </w:p>
    <w:p w14:paraId="01A60B78" w14:textId="77777777" w:rsidR="005C69DD" w:rsidRPr="003C15F1" w:rsidRDefault="005C69DD" w:rsidP="003C15F1">
      <w:pPr>
        <w:ind w:firstLine="18"/>
        <w:jc w:val="both"/>
        <w:rPr>
          <w:b/>
          <w:bCs/>
          <w:noProof/>
          <w:sz w:val="22"/>
          <w:szCs w:val="22"/>
          <w:lang w:val="es-US"/>
        </w:rPr>
      </w:pPr>
    </w:p>
    <w:p w14:paraId="5A12B4BD" w14:textId="77777777" w:rsidR="005C69DD" w:rsidRPr="003C15F1" w:rsidRDefault="005C69DD" w:rsidP="003C15F1">
      <w:pPr>
        <w:ind w:firstLine="720"/>
        <w:jc w:val="both"/>
        <w:rPr>
          <w:rFonts w:eastAsia="Calibri"/>
          <w:b/>
          <w:bCs/>
          <w:iCs/>
          <w:noProof/>
          <w:sz w:val="22"/>
          <w:szCs w:val="22"/>
          <w:lang w:val="es-US"/>
        </w:rPr>
      </w:pPr>
      <w:r w:rsidRPr="003C15F1">
        <w:rPr>
          <w:b/>
          <w:sz w:val="22"/>
          <w:szCs w:val="22"/>
          <w:lang w:val="es-US"/>
        </w:rPr>
        <w:t>Programas de Becas y Capacitación de la OEA</w:t>
      </w:r>
    </w:p>
    <w:p w14:paraId="68EB5EBD" w14:textId="2203B967" w:rsidR="005C69DD" w:rsidRPr="003C15F1" w:rsidRDefault="005C69DD" w:rsidP="003C15F1">
      <w:pPr>
        <w:numPr>
          <w:ilvl w:val="0"/>
          <w:numId w:val="3"/>
        </w:numPr>
        <w:ind w:left="1440" w:hanging="720"/>
        <w:jc w:val="both"/>
        <w:rPr>
          <w:noProof/>
          <w:sz w:val="22"/>
          <w:szCs w:val="22"/>
          <w:lang w:val="es-US"/>
        </w:rPr>
      </w:pPr>
      <w:r w:rsidRPr="003C15F1">
        <w:rPr>
          <w:sz w:val="22"/>
          <w:szCs w:val="22"/>
          <w:lang w:val="es-US"/>
        </w:rPr>
        <w:t>Se concedieron 3,131 becas a ciudadanos necesitados de 34 Estados Miembros, en alianza con diversas instituciones regionales e internacionales</w:t>
      </w:r>
    </w:p>
    <w:p w14:paraId="289E6036" w14:textId="77777777" w:rsidR="005C69DD" w:rsidRPr="003C15F1" w:rsidRDefault="005C69DD" w:rsidP="00FF59F0">
      <w:pPr>
        <w:numPr>
          <w:ilvl w:val="1"/>
          <w:numId w:val="40"/>
        </w:numPr>
        <w:ind w:left="1500" w:hanging="360"/>
        <w:jc w:val="both"/>
        <w:rPr>
          <w:noProof/>
          <w:sz w:val="22"/>
          <w:szCs w:val="22"/>
          <w:lang w:val="es-US"/>
        </w:rPr>
      </w:pPr>
      <w:r w:rsidRPr="003C15F1">
        <w:rPr>
          <w:sz w:val="22"/>
          <w:szCs w:val="22"/>
          <w:lang w:val="es-US"/>
        </w:rPr>
        <w:t>Modalidad: 87% en línea; 13% tradicional/híbrido</w:t>
      </w:r>
    </w:p>
    <w:p w14:paraId="5EDDD281" w14:textId="6F2FD971" w:rsidR="005C69DD" w:rsidRPr="003C15F1" w:rsidRDefault="005C69DD" w:rsidP="00FF59F0">
      <w:pPr>
        <w:numPr>
          <w:ilvl w:val="1"/>
          <w:numId w:val="40"/>
        </w:numPr>
        <w:ind w:left="1500" w:hanging="360"/>
        <w:jc w:val="both"/>
        <w:rPr>
          <w:noProof/>
          <w:sz w:val="22"/>
          <w:szCs w:val="22"/>
          <w:lang w:val="es-US"/>
        </w:rPr>
      </w:pPr>
      <w:r w:rsidRPr="003C15F1">
        <w:rPr>
          <w:sz w:val="22"/>
          <w:szCs w:val="22"/>
          <w:lang w:val="es-US"/>
        </w:rPr>
        <w:t>Nivel de estudios: 84% maestría; 9% certificado; 5% doctorado; 2% licenciatura</w:t>
      </w:r>
    </w:p>
    <w:p w14:paraId="7EE1855D" w14:textId="74DCE5C8" w:rsidR="005C69DD" w:rsidRPr="003C15F1" w:rsidRDefault="005C69DD" w:rsidP="00FF59F0">
      <w:pPr>
        <w:numPr>
          <w:ilvl w:val="1"/>
          <w:numId w:val="40"/>
        </w:numPr>
        <w:ind w:left="1440" w:hanging="360"/>
        <w:jc w:val="both"/>
        <w:rPr>
          <w:sz w:val="22"/>
          <w:szCs w:val="22"/>
        </w:rPr>
      </w:pPr>
      <w:proofErr w:type="spellStart"/>
      <w:r w:rsidRPr="003C15F1">
        <w:rPr>
          <w:sz w:val="22"/>
          <w:szCs w:val="22"/>
        </w:rPr>
        <w:t>Sexo</w:t>
      </w:r>
      <w:proofErr w:type="spellEnd"/>
      <w:r w:rsidRPr="003C15F1">
        <w:rPr>
          <w:sz w:val="22"/>
          <w:szCs w:val="22"/>
        </w:rPr>
        <w:t xml:space="preserve">: 52% hombres; 48% </w:t>
      </w:r>
      <w:proofErr w:type="spellStart"/>
      <w:r w:rsidRPr="003C15F1">
        <w:rPr>
          <w:sz w:val="22"/>
          <w:szCs w:val="22"/>
        </w:rPr>
        <w:t>mujeres</w:t>
      </w:r>
      <w:proofErr w:type="spellEnd"/>
    </w:p>
    <w:p w14:paraId="59680E35" w14:textId="77777777" w:rsidR="00C44829" w:rsidRPr="003C15F1" w:rsidRDefault="00C44829" w:rsidP="003C15F1">
      <w:pPr>
        <w:ind w:left="1440"/>
        <w:jc w:val="both"/>
        <w:rPr>
          <w:sz w:val="22"/>
          <w:szCs w:val="22"/>
        </w:rPr>
      </w:pPr>
    </w:p>
    <w:p w14:paraId="2CC62D35" w14:textId="5EBB5683" w:rsidR="005C69DD" w:rsidRPr="003C15F1" w:rsidRDefault="005C69DD" w:rsidP="003C15F1">
      <w:pPr>
        <w:numPr>
          <w:ilvl w:val="0"/>
          <w:numId w:val="3"/>
        </w:numPr>
        <w:tabs>
          <w:tab w:val="left" w:pos="1440"/>
        </w:tabs>
        <w:ind w:left="1440" w:hanging="720"/>
        <w:jc w:val="both"/>
        <w:rPr>
          <w:sz w:val="22"/>
          <w:szCs w:val="22"/>
          <w:lang w:val="es-US"/>
        </w:rPr>
      </w:pPr>
      <w:r w:rsidRPr="003C15F1">
        <w:rPr>
          <w:noProof/>
          <w:sz w:val="22"/>
          <w:szCs w:val="22"/>
          <w:lang w:val="es-US"/>
        </w:rPr>
        <w:t xml:space="preserve">Ofreciendo más de 11,000 becas a través de alianzas con instituciones clave, con Soluciones Integrales de Formación y Gestión (STRUCTURALIA) en España, </w:t>
      </w:r>
      <w:r w:rsidRPr="003C15F1">
        <w:rPr>
          <w:i/>
          <w:iCs/>
          <w:sz w:val="22"/>
          <w:szCs w:val="22"/>
          <w:lang w:val="es-US"/>
        </w:rPr>
        <w:t xml:space="preserve">Marconi International </w:t>
      </w:r>
      <w:proofErr w:type="spellStart"/>
      <w:r w:rsidRPr="003C15F1">
        <w:rPr>
          <w:i/>
          <w:iCs/>
          <w:sz w:val="22"/>
          <w:szCs w:val="22"/>
          <w:lang w:val="es-US"/>
        </w:rPr>
        <w:t>University</w:t>
      </w:r>
      <w:proofErr w:type="spellEnd"/>
      <w:r w:rsidRPr="003C15F1">
        <w:rPr>
          <w:noProof/>
          <w:sz w:val="22"/>
          <w:szCs w:val="22"/>
          <w:lang w:val="es-US"/>
        </w:rPr>
        <w:t xml:space="preserve"> en los Estados Unidos y Formato Educativo Escuela de Negocios en España.</w:t>
      </w:r>
    </w:p>
    <w:p w14:paraId="53F2CB43" w14:textId="77777777" w:rsidR="00EC2592" w:rsidRPr="003C15F1" w:rsidRDefault="00EC2592" w:rsidP="003C15F1">
      <w:pPr>
        <w:tabs>
          <w:tab w:val="left" w:pos="1440"/>
        </w:tabs>
        <w:ind w:left="1440"/>
        <w:jc w:val="both"/>
        <w:rPr>
          <w:sz w:val="22"/>
          <w:szCs w:val="22"/>
          <w:lang w:val="es-US"/>
        </w:rPr>
      </w:pPr>
    </w:p>
    <w:p w14:paraId="49C11DCC" w14:textId="246CA3DB" w:rsidR="005C69DD" w:rsidRPr="003C15F1" w:rsidRDefault="005C69DD" w:rsidP="003C15F1">
      <w:pPr>
        <w:numPr>
          <w:ilvl w:val="0"/>
          <w:numId w:val="3"/>
        </w:numPr>
        <w:tabs>
          <w:tab w:val="left" w:pos="1440"/>
        </w:tabs>
        <w:ind w:left="1440" w:hanging="720"/>
        <w:jc w:val="both"/>
        <w:rPr>
          <w:sz w:val="22"/>
          <w:szCs w:val="22"/>
          <w:lang w:val="es-MX"/>
        </w:rPr>
      </w:pPr>
      <w:r w:rsidRPr="003C15F1">
        <w:rPr>
          <w:rFonts w:eastAsia="Cambria"/>
          <w:sz w:val="22"/>
          <w:szCs w:val="22"/>
          <w:lang w:val="es-MX"/>
        </w:rPr>
        <w:t xml:space="preserve"> </w:t>
      </w:r>
      <w:r w:rsidRPr="003C15F1">
        <w:rPr>
          <w:rFonts w:eastAsia="Cambria"/>
          <w:noProof/>
          <w:sz w:val="22"/>
          <w:szCs w:val="22"/>
          <w:lang w:val="es-MX"/>
        </w:rPr>
        <w:t>El programa PAEC Chile 2021 realizará su comité de selección en el primer trimestre del año y los beneficiarios serán seleccionados en marzo de 2022.</w:t>
      </w:r>
    </w:p>
    <w:p w14:paraId="29655B02" w14:textId="77777777" w:rsidR="00EC2592" w:rsidRPr="003C15F1" w:rsidRDefault="00EC2592" w:rsidP="003C15F1">
      <w:pPr>
        <w:pStyle w:val="ListParagraph"/>
        <w:rPr>
          <w:sz w:val="22"/>
          <w:szCs w:val="22"/>
          <w:lang w:val="es-MX"/>
        </w:rPr>
      </w:pPr>
    </w:p>
    <w:p w14:paraId="10A10942" w14:textId="30612D79" w:rsidR="005C69DD" w:rsidRPr="003C15F1" w:rsidRDefault="005C69DD" w:rsidP="003C15F1">
      <w:pPr>
        <w:numPr>
          <w:ilvl w:val="0"/>
          <w:numId w:val="3"/>
        </w:numPr>
        <w:tabs>
          <w:tab w:val="left" w:pos="1440"/>
        </w:tabs>
        <w:ind w:left="1440" w:hanging="720"/>
        <w:jc w:val="both"/>
        <w:rPr>
          <w:noProof/>
          <w:sz w:val="22"/>
          <w:szCs w:val="22"/>
          <w:lang w:val="es-CR"/>
        </w:rPr>
      </w:pPr>
      <w:r w:rsidRPr="003C15F1">
        <w:rPr>
          <w:noProof/>
          <w:sz w:val="22"/>
          <w:szCs w:val="22"/>
          <w:lang w:val="es-US"/>
        </w:rPr>
        <w:t>Con la participación de socios clave, el DDHEE ha aumentado los números de becas y oportunidades de capacitación ofrecidas a los ciudadanos de CARICOM en 2,400 nuevas ofertas para estudios de pregrado y posgrado en línea en el ciclo 2020-2021.</w:t>
      </w:r>
    </w:p>
    <w:p w14:paraId="5D2DFC87" w14:textId="77777777" w:rsidR="00EC2592" w:rsidRPr="003C15F1" w:rsidRDefault="00EC2592" w:rsidP="003C15F1">
      <w:pPr>
        <w:pStyle w:val="ListParagraph"/>
        <w:rPr>
          <w:noProof/>
          <w:sz w:val="22"/>
          <w:szCs w:val="22"/>
          <w:lang w:val="es-CR"/>
        </w:rPr>
      </w:pPr>
    </w:p>
    <w:p w14:paraId="0CECDCE8" w14:textId="483DB989" w:rsidR="005C69DD" w:rsidRPr="003C15F1" w:rsidRDefault="005C69DD" w:rsidP="003C15F1">
      <w:pPr>
        <w:numPr>
          <w:ilvl w:val="0"/>
          <w:numId w:val="3"/>
        </w:numPr>
        <w:tabs>
          <w:tab w:val="left" w:pos="1440"/>
        </w:tabs>
        <w:ind w:left="1440" w:hanging="720"/>
        <w:jc w:val="both"/>
        <w:rPr>
          <w:color w:val="000000" w:themeColor="text1"/>
          <w:sz w:val="22"/>
          <w:szCs w:val="22"/>
          <w:lang w:val="es-CR"/>
        </w:rPr>
      </w:pPr>
      <w:r w:rsidRPr="003C15F1">
        <w:rPr>
          <w:noProof/>
          <w:sz w:val="22"/>
          <w:szCs w:val="22"/>
          <w:lang w:val="es-US"/>
        </w:rPr>
        <w:t xml:space="preserve">El Comité de Selección de Cursos de Desarrollo Profesional, del Programa de Becas de Desarrollo Profesional, clasificó 29 propuestas de cursos preseleccionados (de un total de 58 propuestas recibidas) de 13 instituciones diferentes ubicadas en cinco países </w:t>
      </w:r>
      <w:r w:rsidRPr="003C15F1">
        <w:rPr>
          <w:noProof/>
          <w:sz w:val="22"/>
          <w:szCs w:val="22"/>
          <w:lang w:val="es-US"/>
        </w:rPr>
        <w:lastRenderedPageBreak/>
        <w:t>miembros de la OEA (Chile, Colombia, México, Perú y Estados Unidos) y dos países observadores permanentes de la OEA (Italia y España). Dos se impartirán en inglés, en las áreas de energías renovables, necesarias para el desarrollo económico y sostenible de la región y con alto potencial de empleabilidad; dos cursos seleccionados en el área de educación, permitirán a los docentes adaptar sus clases a nuevas modalidades con propuestas educativas innovadoras y metodologías diferentes. Uno de los cursos seleccionados ayudará a los profesionales a incluir un enfoque de género en sus programas y proyectos, brindando así a los países y sus instituciones elementos para superar las desigualdades históricas. Y los dos últimos cursos seleccionados ayudarán a los participantes a actualizar sus conocimientos sobre las tecnologías de última generación que se están desarrollando actualmente para el tratamiento del agua, y el marco internacional para la gestión del riesgo de desastres y el cambio climático. Estos cursos se implementarán entre marzo y junio de 2022.</w:t>
      </w:r>
    </w:p>
    <w:p w14:paraId="0303853B" w14:textId="77777777" w:rsidR="00EC2592" w:rsidRPr="003C15F1" w:rsidRDefault="00EC2592" w:rsidP="00B54C80">
      <w:pPr>
        <w:tabs>
          <w:tab w:val="left" w:pos="1440"/>
        </w:tabs>
        <w:ind w:left="720"/>
        <w:jc w:val="both"/>
        <w:rPr>
          <w:color w:val="000000" w:themeColor="text1"/>
          <w:sz w:val="22"/>
          <w:szCs w:val="22"/>
          <w:lang w:val="es-CR"/>
        </w:rPr>
      </w:pPr>
    </w:p>
    <w:p w14:paraId="75E35F09" w14:textId="5C781CEF" w:rsidR="005C69DD" w:rsidRPr="003C15F1" w:rsidRDefault="005C69DD" w:rsidP="003C15F1">
      <w:pPr>
        <w:numPr>
          <w:ilvl w:val="0"/>
          <w:numId w:val="3"/>
        </w:numPr>
        <w:ind w:left="1440" w:hanging="720"/>
        <w:jc w:val="both"/>
        <w:rPr>
          <w:color w:val="000000" w:themeColor="text1"/>
          <w:sz w:val="22"/>
          <w:szCs w:val="22"/>
          <w:lang w:val="es-CR"/>
        </w:rPr>
      </w:pPr>
      <w:r w:rsidRPr="003C15F1">
        <w:rPr>
          <w:color w:val="000000" w:themeColor="text1"/>
          <w:sz w:val="22"/>
          <w:szCs w:val="22"/>
          <w:lang w:val="es-US"/>
        </w:rPr>
        <w:t xml:space="preserve">El Programa de Becas Académicas recibió solicitudes de becas de 31 </w:t>
      </w:r>
      <w:r w:rsidR="00EC2592" w:rsidRPr="003C15F1">
        <w:rPr>
          <w:color w:val="000000" w:themeColor="text1"/>
          <w:sz w:val="22"/>
          <w:szCs w:val="22"/>
          <w:lang w:val="es-US"/>
        </w:rPr>
        <w:t>E</w:t>
      </w:r>
      <w:r w:rsidRPr="003C15F1">
        <w:rPr>
          <w:color w:val="000000" w:themeColor="text1"/>
          <w:sz w:val="22"/>
          <w:szCs w:val="22"/>
          <w:lang w:val="es-US"/>
        </w:rPr>
        <w:t xml:space="preserve">stados </w:t>
      </w:r>
      <w:r w:rsidR="00EC2592" w:rsidRPr="003C15F1">
        <w:rPr>
          <w:color w:val="000000" w:themeColor="text1"/>
          <w:sz w:val="22"/>
          <w:szCs w:val="22"/>
          <w:lang w:val="es-US"/>
        </w:rPr>
        <w:t>M</w:t>
      </w:r>
      <w:r w:rsidRPr="003C15F1">
        <w:rPr>
          <w:color w:val="000000" w:themeColor="text1"/>
          <w:sz w:val="22"/>
          <w:szCs w:val="22"/>
          <w:lang w:val="es-US"/>
        </w:rPr>
        <w:t>iembros en respuesta a la Convocatoria 2021. El Comité de Selección Ad Hoc evaluó y clasificó en orden de prelación las 104 solicitudes elegibles, lo cual llevó al ofrecimiento de 37 becas. 29 becas de posgrado y 8 becas de grado fueron otorgadas. Las Becas Académicas son otorgadas para los dos últimos años de estudios de grado a ciudadanos del Caribe angloparlante y Surinam</w:t>
      </w:r>
      <w:r w:rsidR="00EC2592" w:rsidRPr="003C15F1">
        <w:rPr>
          <w:color w:val="000000" w:themeColor="text1"/>
          <w:sz w:val="22"/>
          <w:szCs w:val="22"/>
          <w:lang w:val="es-US"/>
        </w:rPr>
        <w:t>e</w:t>
      </w:r>
      <w:r w:rsidRPr="003C15F1">
        <w:rPr>
          <w:color w:val="000000" w:themeColor="text1"/>
          <w:sz w:val="22"/>
          <w:szCs w:val="22"/>
          <w:lang w:val="es-US"/>
        </w:rPr>
        <w:t>. Las becas de pos</w:t>
      </w:r>
      <w:r w:rsidR="00EC2592" w:rsidRPr="003C15F1">
        <w:rPr>
          <w:color w:val="000000" w:themeColor="text1"/>
          <w:sz w:val="22"/>
          <w:szCs w:val="22"/>
          <w:lang w:val="es-US"/>
        </w:rPr>
        <w:t>t</w:t>
      </w:r>
      <w:r w:rsidRPr="003C15F1">
        <w:rPr>
          <w:color w:val="000000" w:themeColor="text1"/>
          <w:sz w:val="22"/>
          <w:szCs w:val="22"/>
          <w:lang w:val="es-US"/>
        </w:rPr>
        <w:t xml:space="preserve">grado son otorgadas a ciudadanos de todos los </w:t>
      </w:r>
      <w:r w:rsidR="00EC2592" w:rsidRPr="003C15F1">
        <w:rPr>
          <w:color w:val="000000" w:themeColor="text1"/>
          <w:sz w:val="22"/>
          <w:szCs w:val="22"/>
          <w:lang w:val="es-US"/>
        </w:rPr>
        <w:t>E</w:t>
      </w:r>
      <w:r w:rsidRPr="003C15F1">
        <w:rPr>
          <w:color w:val="000000" w:themeColor="text1"/>
          <w:sz w:val="22"/>
          <w:szCs w:val="22"/>
          <w:lang w:val="es-US"/>
        </w:rPr>
        <w:t xml:space="preserve">stados </w:t>
      </w:r>
      <w:r w:rsidR="00EC2592" w:rsidRPr="003C15F1">
        <w:rPr>
          <w:color w:val="000000" w:themeColor="text1"/>
          <w:sz w:val="22"/>
          <w:szCs w:val="22"/>
          <w:lang w:val="es-US"/>
        </w:rPr>
        <w:t>M</w:t>
      </w:r>
      <w:r w:rsidRPr="003C15F1">
        <w:rPr>
          <w:color w:val="000000" w:themeColor="text1"/>
          <w:sz w:val="22"/>
          <w:szCs w:val="22"/>
          <w:lang w:val="es-US"/>
        </w:rPr>
        <w:t>iembros para estudios de</w:t>
      </w:r>
      <w:r w:rsidR="00EC2592" w:rsidRPr="003C15F1">
        <w:rPr>
          <w:color w:val="000000" w:themeColor="text1"/>
          <w:sz w:val="22"/>
          <w:szCs w:val="22"/>
          <w:lang w:val="es-US"/>
        </w:rPr>
        <w:t xml:space="preserve"> m</w:t>
      </w:r>
      <w:r w:rsidRPr="003C15F1">
        <w:rPr>
          <w:color w:val="000000" w:themeColor="text1"/>
          <w:sz w:val="22"/>
          <w:szCs w:val="22"/>
          <w:lang w:val="es-US"/>
        </w:rPr>
        <w:t>aestrías, doctorados e investigación de pos</w:t>
      </w:r>
      <w:r w:rsidR="00EC2592" w:rsidRPr="003C15F1">
        <w:rPr>
          <w:color w:val="000000" w:themeColor="text1"/>
          <w:sz w:val="22"/>
          <w:szCs w:val="22"/>
          <w:lang w:val="es-US"/>
        </w:rPr>
        <w:t>t</w:t>
      </w:r>
      <w:r w:rsidRPr="003C15F1">
        <w:rPr>
          <w:color w:val="000000" w:themeColor="text1"/>
          <w:sz w:val="22"/>
          <w:szCs w:val="22"/>
          <w:lang w:val="es-US"/>
        </w:rPr>
        <w:t xml:space="preserve">grado. Los becarios reciben hasta US$10,000 por año académico, por un máximo de dos años académicos, para llevar a cabo estudios en instituciones académicas de impecable reputación en los </w:t>
      </w:r>
      <w:r w:rsidR="00EC2592" w:rsidRPr="003C15F1">
        <w:rPr>
          <w:color w:val="000000" w:themeColor="text1"/>
          <w:sz w:val="22"/>
          <w:szCs w:val="22"/>
          <w:lang w:val="es-US"/>
        </w:rPr>
        <w:t>E</w:t>
      </w:r>
      <w:r w:rsidRPr="003C15F1">
        <w:rPr>
          <w:color w:val="000000" w:themeColor="text1"/>
          <w:sz w:val="22"/>
          <w:szCs w:val="22"/>
          <w:lang w:val="es-US"/>
        </w:rPr>
        <w:t xml:space="preserve">stados </w:t>
      </w:r>
      <w:r w:rsidR="00EC2592" w:rsidRPr="003C15F1">
        <w:rPr>
          <w:color w:val="000000" w:themeColor="text1"/>
          <w:sz w:val="22"/>
          <w:szCs w:val="22"/>
          <w:lang w:val="es-US"/>
        </w:rPr>
        <w:t>M</w:t>
      </w:r>
      <w:r w:rsidRPr="003C15F1">
        <w:rPr>
          <w:color w:val="000000" w:themeColor="text1"/>
          <w:sz w:val="22"/>
          <w:szCs w:val="22"/>
          <w:lang w:val="es-US"/>
        </w:rPr>
        <w:t>iembros de la OEA en las modalidades presencial, virtual o semipresencial. Se otorgaron un total de 37 becas.</w:t>
      </w:r>
    </w:p>
    <w:p w14:paraId="5A6E0B28" w14:textId="77777777" w:rsidR="005C69DD" w:rsidRPr="003C15F1" w:rsidRDefault="005C69DD" w:rsidP="003C15F1">
      <w:pPr>
        <w:contextualSpacing/>
        <w:jc w:val="both"/>
        <w:rPr>
          <w:rFonts w:eastAsia="Cambria"/>
          <w:noProof/>
          <w:sz w:val="22"/>
          <w:szCs w:val="22"/>
          <w:lang w:val="es-US"/>
        </w:rPr>
      </w:pPr>
    </w:p>
    <w:p w14:paraId="4AAEE17C" w14:textId="77777777" w:rsidR="005C69DD" w:rsidRPr="003C15F1" w:rsidRDefault="005C69DD" w:rsidP="003C15F1">
      <w:pPr>
        <w:ind w:firstLine="360"/>
        <w:contextualSpacing/>
        <w:jc w:val="both"/>
        <w:rPr>
          <w:rFonts w:eastAsia="Calibri"/>
          <w:b/>
          <w:bCs/>
          <w:noProof/>
          <w:sz w:val="22"/>
          <w:szCs w:val="22"/>
          <w:lang w:val="es-US"/>
        </w:rPr>
      </w:pPr>
      <w:r w:rsidRPr="003C15F1">
        <w:rPr>
          <w:b/>
          <w:bCs/>
          <w:sz w:val="22"/>
          <w:szCs w:val="22"/>
          <w:lang w:val="es-US"/>
        </w:rPr>
        <w:t>Fondo Panamericano Leo S. Rowe (Fondo Rowe</w:t>
      </w:r>
    </w:p>
    <w:p w14:paraId="401FA0B4" w14:textId="194AC168" w:rsidR="005C69DD" w:rsidRPr="003C15F1" w:rsidRDefault="005C69DD" w:rsidP="003C15F1">
      <w:pPr>
        <w:numPr>
          <w:ilvl w:val="0"/>
          <w:numId w:val="3"/>
        </w:numPr>
        <w:ind w:left="1440" w:hanging="720"/>
        <w:jc w:val="both"/>
        <w:rPr>
          <w:rFonts w:eastAsia="Cambria"/>
          <w:noProof/>
          <w:sz w:val="22"/>
          <w:szCs w:val="22"/>
          <w:lang w:val="es-US"/>
        </w:rPr>
      </w:pPr>
      <w:r w:rsidRPr="003C15F1">
        <w:rPr>
          <w:sz w:val="22"/>
          <w:szCs w:val="22"/>
          <w:lang w:val="es-US"/>
        </w:rPr>
        <w:t>Se administró una cartera de inversiones de US$22.9</w:t>
      </w:r>
    </w:p>
    <w:p w14:paraId="5CA3A317" w14:textId="77777777" w:rsidR="00EC2592" w:rsidRPr="003C15F1" w:rsidRDefault="00EC2592" w:rsidP="003C15F1">
      <w:pPr>
        <w:ind w:left="1440"/>
        <w:jc w:val="both"/>
        <w:rPr>
          <w:rFonts w:eastAsia="Cambria"/>
          <w:noProof/>
          <w:sz w:val="22"/>
          <w:szCs w:val="22"/>
          <w:lang w:val="es-US"/>
        </w:rPr>
      </w:pPr>
    </w:p>
    <w:p w14:paraId="1864F3D5" w14:textId="6D9B0586" w:rsidR="005C69DD" w:rsidRPr="003C15F1" w:rsidRDefault="005C69DD" w:rsidP="003C15F1">
      <w:pPr>
        <w:numPr>
          <w:ilvl w:val="0"/>
          <w:numId w:val="3"/>
        </w:numPr>
        <w:ind w:left="1440" w:hanging="720"/>
        <w:jc w:val="both"/>
        <w:rPr>
          <w:noProof/>
          <w:sz w:val="22"/>
          <w:szCs w:val="22"/>
          <w:lang w:val="es-US"/>
        </w:rPr>
      </w:pPr>
      <w:r w:rsidRPr="003C15F1">
        <w:rPr>
          <w:sz w:val="22"/>
          <w:szCs w:val="22"/>
          <w:lang w:val="es-US"/>
        </w:rPr>
        <w:t xml:space="preserve"> Se gestionaron 369 cuentas de préstamos por valor de US$2.25 millones, con una tasa de morosidad de un digito.</w:t>
      </w:r>
    </w:p>
    <w:p w14:paraId="07CA641E" w14:textId="77777777" w:rsidR="00EC2592" w:rsidRPr="003C15F1" w:rsidRDefault="00EC2592" w:rsidP="003C15F1">
      <w:pPr>
        <w:pStyle w:val="ListParagraph"/>
        <w:rPr>
          <w:noProof/>
          <w:sz w:val="22"/>
          <w:szCs w:val="22"/>
          <w:lang w:val="es-US"/>
        </w:rPr>
      </w:pPr>
    </w:p>
    <w:p w14:paraId="54610BD5" w14:textId="63EA7025" w:rsidR="00814A5D" w:rsidRPr="003C15F1" w:rsidRDefault="005C69DD" w:rsidP="003C15F1">
      <w:pPr>
        <w:numPr>
          <w:ilvl w:val="0"/>
          <w:numId w:val="3"/>
        </w:numPr>
        <w:ind w:left="1440" w:hanging="720"/>
        <w:jc w:val="both"/>
        <w:rPr>
          <w:noProof/>
          <w:sz w:val="22"/>
          <w:szCs w:val="22"/>
          <w:lang w:val="es-US"/>
        </w:rPr>
      </w:pPr>
      <w:r w:rsidRPr="003C15F1">
        <w:rPr>
          <w:sz w:val="22"/>
          <w:szCs w:val="22"/>
          <w:lang w:val="es-US"/>
        </w:rPr>
        <w:t>Se otorgó US$610,563 en ayuda financiera apoyando a ciudadanos de 20 de los 32 países elegibles miembros de la OEA</w:t>
      </w:r>
      <w:r w:rsidR="00814A5D" w:rsidRPr="003C15F1">
        <w:rPr>
          <w:sz w:val="22"/>
          <w:szCs w:val="22"/>
          <w:lang w:val="es-US"/>
        </w:rPr>
        <w:t>.</w:t>
      </w:r>
    </w:p>
    <w:p w14:paraId="2A0FD24E" w14:textId="77777777" w:rsidR="00814A5D" w:rsidRPr="003C15F1" w:rsidRDefault="00814A5D" w:rsidP="003C15F1">
      <w:pPr>
        <w:pStyle w:val="ListParagraph"/>
        <w:rPr>
          <w:sz w:val="22"/>
          <w:szCs w:val="22"/>
          <w:lang w:val="es-US"/>
        </w:rPr>
      </w:pPr>
    </w:p>
    <w:p w14:paraId="16E26454" w14:textId="7F78B267" w:rsidR="005C69DD" w:rsidRPr="003C15F1" w:rsidRDefault="005C69DD" w:rsidP="003C15F1">
      <w:pPr>
        <w:numPr>
          <w:ilvl w:val="0"/>
          <w:numId w:val="3"/>
        </w:numPr>
        <w:ind w:left="1440" w:hanging="720"/>
        <w:jc w:val="both"/>
        <w:rPr>
          <w:noProof/>
          <w:sz w:val="22"/>
          <w:szCs w:val="22"/>
          <w:lang w:val="es-US"/>
        </w:rPr>
      </w:pPr>
      <w:r w:rsidRPr="003C15F1">
        <w:rPr>
          <w:sz w:val="22"/>
          <w:szCs w:val="22"/>
          <w:lang w:val="es-US"/>
        </w:rPr>
        <w:t>Se contribuyó financieramente a casi 100 estudiantes internacionales de América Latina y el Caribe a cubrir gastos de matrícula/vivienda de estudios en universidades en los Estados Unidos</w:t>
      </w:r>
    </w:p>
    <w:p w14:paraId="062F9574" w14:textId="77777777" w:rsidR="005C69DD" w:rsidRPr="003C15F1" w:rsidRDefault="005C69DD" w:rsidP="00B54C80">
      <w:pPr>
        <w:numPr>
          <w:ilvl w:val="2"/>
          <w:numId w:val="3"/>
        </w:numPr>
        <w:ind w:hanging="720"/>
        <w:jc w:val="both"/>
        <w:rPr>
          <w:sz w:val="22"/>
          <w:szCs w:val="22"/>
          <w:lang w:val="es-US"/>
        </w:rPr>
      </w:pPr>
      <w:r w:rsidRPr="003C15F1">
        <w:rPr>
          <w:sz w:val="22"/>
          <w:szCs w:val="22"/>
          <w:lang w:val="es-US"/>
        </w:rPr>
        <w:t xml:space="preserve">70.2% estudios de posgrado (maestría y doctorado) </w:t>
      </w:r>
    </w:p>
    <w:p w14:paraId="6A8539B0" w14:textId="77777777" w:rsidR="005C69DD" w:rsidRPr="003C15F1" w:rsidRDefault="005C69DD" w:rsidP="00B54C80">
      <w:pPr>
        <w:numPr>
          <w:ilvl w:val="2"/>
          <w:numId w:val="3"/>
        </w:numPr>
        <w:ind w:hanging="720"/>
        <w:jc w:val="both"/>
        <w:rPr>
          <w:sz w:val="22"/>
          <w:szCs w:val="22"/>
        </w:rPr>
      </w:pPr>
      <w:r w:rsidRPr="003C15F1">
        <w:rPr>
          <w:sz w:val="22"/>
          <w:szCs w:val="22"/>
        </w:rPr>
        <w:t>52.4</w:t>
      </w:r>
      <w:proofErr w:type="gramStart"/>
      <w:r w:rsidRPr="003C15F1">
        <w:rPr>
          <w:sz w:val="22"/>
          <w:szCs w:val="22"/>
        </w:rPr>
        <w:t xml:space="preserve">%  </w:t>
      </w:r>
      <w:proofErr w:type="spellStart"/>
      <w:r w:rsidRPr="003C15F1">
        <w:rPr>
          <w:sz w:val="22"/>
          <w:szCs w:val="22"/>
        </w:rPr>
        <w:t>mujeres</w:t>
      </w:r>
      <w:proofErr w:type="spellEnd"/>
      <w:proofErr w:type="gramEnd"/>
    </w:p>
    <w:p w14:paraId="1402F7C5" w14:textId="69358B23" w:rsidR="005C69DD" w:rsidRPr="003C15F1" w:rsidRDefault="005C69DD" w:rsidP="00B54C80">
      <w:pPr>
        <w:numPr>
          <w:ilvl w:val="2"/>
          <w:numId w:val="3"/>
        </w:numPr>
        <w:ind w:hanging="720"/>
        <w:jc w:val="both"/>
        <w:rPr>
          <w:sz w:val="22"/>
          <w:szCs w:val="22"/>
        </w:rPr>
      </w:pPr>
      <w:r w:rsidRPr="003C15F1">
        <w:rPr>
          <w:sz w:val="22"/>
          <w:szCs w:val="22"/>
        </w:rPr>
        <w:t xml:space="preserve">100% </w:t>
      </w:r>
      <w:proofErr w:type="spellStart"/>
      <w:r w:rsidRPr="003C15F1">
        <w:rPr>
          <w:sz w:val="22"/>
          <w:szCs w:val="22"/>
        </w:rPr>
        <w:t>presencial</w:t>
      </w:r>
      <w:proofErr w:type="spellEnd"/>
    </w:p>
    <w:p w14:paraId="4627A677" w14:textId="377CB19C" w:rsidR="00814A5D" w:rsidRPr="003C15F1" w:rsidRDefault="00814A5D" w:rsidP="003C15F1">
      <w:pPr>
        <w:ind w:left="1440"/>
        <w:jc w:val="both"/>
        <w:rPr>
          <w:sz w:val="22"/>
          <w:szCs w:val="22"/>
        </w:rPr>
      </w:pPr>
    </w:p>
    <w:p w14:paraId="50E80A72" w14:textId="02986213" w:rsidR="005C69DD" w:rsidRPr="003C15F1" w:rsidRDefault="005C69DD" w:rsidP="00FF59F0">
      <w:pPr>
        <w:pStyle w:val="ListParagraph"/>
        <w:numPr>
          <w:ilvl w:val="0"/>
          <w:numId w:val="41"/>
        </w:numPr>
        <w:ind w:left="1440" w:hanging="720"/>
        <w:jc w:val="both"/>
        <w:rPr>
          <w:noProof/>
          <w:sz w:val="22"/>
          <w:szCs w:val="22"/>
          <w:lang w:val="es-US"/>
        </w:rPr>
      </w:pPr>
      <w:r w:rsidRPr="003C15F1">
        <w:rPr>
          <w:sz w:val="22"/>
          <w:szCs w:val="22"/>
          <w:lang w:val="es-US"/>
        </w:rPr>
        <w:t>Se concedieron préstamos educativos y de emergencia a miembros del personal de la SG/OEA.</w:t>
      </w:r>
    </w:p>
    <w:p w14:paraId="2AF7233C" w14:textId="77777777" w:rsidR="00814A5D" w:rsidRPr="003C15F1" w:rsidRDefault="00814A5D" w:rsidP="003C15F1">
      <w:pPr>
        <w:ind w:left="720"/>
        <w:jc w:val="both"/>
        <w:rPr>
          <w:noProof/>
          <w:sz w:val="22"/>
          <w:szCs w:val="22"/>
          <w:lang w:val="es-US"/>
        </w:rPr>
      </w:pPr>
    </w:p>
    <w:p w14:paraId="70E594FF" w14:textId="180B97D6" w:rsidR="005C69DD" w:rsidRPr="003C15F1" w:rsidRDefault="005C69DD" w:rsidP="003C15F1">
      <w:pPr>
        <w:numPr>
          <w:ilvl w:val="0"/>
          <w:numId w:val="3"/>
        </w:numPr>
        <w:ind w:left="1440" w:hanging="720"/>
        <w:jc w:val="both"/>
        <w:rPr>
          <w:noProof/>
          <w:sz w:val="22"/>
          <w:szCs w:val="22"/>
          <w:lang w:val="es-US"/>
        </w:rPr>
      </w:pPr>
      <w:bookmarkStart w:id="9" w:name="_Hlk61363881"/>
      <w:r w:rsidRPr="003C15F1">
        <w:rPr>
          <w:sz w:val="22"/>
          <w:szCs w:val="22"/>
          <w:lang w:val="es-US"/>
        </w:rPr>
        <w:t>Se brindaron 2 becas de ayuda de emergencia a mujeres de Beli</w:t>
      </w:r>
      <w:r w:rsidR="00814A5D" w:rsidRPr="003C15F1">
        <w:rPr>
          <w:sz w:val="22"/>
          <w:szCs w:val="22"/>
          <w:lang w:val="es-US"/>
        </w:rPr>
        <w:t>z</w:t>
      </w:r>
      <w:r w:rsidRPr="003C15F1">
        <w:rPr>
          <w:sz w:val="22"/>
          <w:szCs w:val="22"/>
          <w:lang w:val="es-US"/>
        </w:rPr>
        <w:t>e y Perú respectivamente para compensar los desafíos financieros creados por la pandemia de COVID-19 mientras culminan sus estudios en los Estados Unidos.</w:t>
      </w:r>
    </w:p>
    <w:p w14:paraId="0FCC98F4" w14:textId="77777777" w:rsidR="00814A5D" w:rsidRPr="003C15F1" w:rsidRDefault="00814A5D" w:rsidP="003C15F1">
      <w:pPr>
        <w:ind w:left="720"/>
        <w:jc w:val="both"/>
        <w:rPr>
          <w:noProof/>
          <w:sz w:val="22"/>
          <w:szCs w:val="22"/>
          <w:lang w:val="es-US"/>
        </w:rPr>
      </w:pPr>
    </w:p>
    <w:bookmarkEnd w:id="9"/>
    <w:p w14:paraId="3291F5D2" w14:textId="3AE809A0" w:rsidR="005C69DD" w:rsidRPr="003C15F1" w:rsidRDefault="005C69DD" w:rsidP="003C15F1">
      <w:pPr>
        <w:numPr>
          <w:ilvl w:val="0"/>
          <w:numId w:val="3"/>
        </w:numPr>
        <w:ind w:left="1440" w:hanging="720"/>
        <w:contextualSpacing/>
        <w:jc w:val="both"/>
        <w:rPr>
          <w:rFonts w:eastAsia="Cambria"/>
          <w:noProof/>
          <w:sz w:val="22"/>
          <w:szCs w:val="22"/>
          <w:lang w:val="es-US"/>
        </w:rPr>
      </w:pPr>
      <w:r w:rsidRPr="003C15F1">
        <w:rPr>
          <w:sz w:val="22"/>
          <w:szCs w:val="22"/>
          <w:lang w:val="es-US"/>
        </w:rPr>
        <w:t xml:space="preserve">Se continuó la campaña de recaudación de fondos </w:t>
      </w:r>
      <w:r w:rsidRPr="003C15F1">
        <w:rPr>
          <w:b/>
          <w:bCs/>
          <w:sz w:val="22"/>
          <w:szCs w:val="22"/>
          <w:lang w:val="es-US"/>
        </w:rPr>
        <w:t xml:space="preserve">Dona a la Educación </w:t>
      </w:r>
      <w:r w:rsidRPr="003C15F1">
        <w:rPr>
          <w:sz w:val="22"/>
          <w:szCs w:val="22"/>
          <w:lang w:val="es-US"/>
        </w:rPr>
        <w:t>a fin de poder ofrecer becas de emergencia suplementarias a la ayuda financiera del Fondo Rowe.</w:t>
      </w:r>
    </w:p>
    <w:p w14:paraId="4BCE1566" w14:textId="77777777" w:rsidR="00814A5D" w:rsidRPr="003C15F1" w:rsidRDefault="00814A5D" w:rsidP="003C15F1">
      <w:pPr>
        <w:pStyle w:val="ListParagraph"/>
        <w:rPr>
          <w:rFonts w:eastAsia="Cambria"/>
          <w:noProof/>
          <w:sz w:val="22"/>
          <w:szCs w:val="22"/>
          <w:lang w:val="es-US"/>
        </w:rPr>
      </w:pPr>
    </w:p>
    <w:p w14:paraId="24904472" w14:textId="3C17D86D" w:rsidR="005C69DD" w:rsidRPr="003C15F1" w:rsidRDefault="005C69DD" w:rsidP="003C15F1">
      <w:pPr>
        <w:numPr>
          <w:ilvl w:val="0"/>
          <w:numId w:val="3"/>
        </w:numPr>
        <w:ind w:left="1440" w:hanging="720"/>
        <w:jc w:val="both"/>
        <w:rPr>
          <w:sz w:val="22"/>
          <w:szCs w:val="22"/>
          <w:lang w:val="es-US"/>
        </w:rPr>
      </w:pPr>
      <w:r w:rsidRPr="003C15F1">
        <w:rPr>
          <w:sz w:val="22"/>
          <w:szCs w:val="22"/>
          <w:lang w:val="es-US"/>
        </w:rPr>
        <w:t xml:space="preserve">En colaboración con otras entidades relacionadas a la educación superior e intercambio, se organizaron </w:t>
      </w:r>
      <w:proofErr w:type="spellStart"/>
      <w:r w:rsidRPr="00B54C80">
        <w:rPr>
          <w:i/>
          <w:iCs/>
          <w:sz w:val="22"/>
          <w:szCs w:val="22"/>
          <w:lang w:val="es-US"/>
        </w:rPr>
        <w:t>webinars</w:t>
      </w:r>
      <w:proofErr w:type="spellEnd"/>
      <w:r w:rsidRPr="00B54C80">
        <w:rPr>
          <w:i/>
          <w:iCs/>
          <w:sz w:val="22"/>
          <w:szCs w:val="22"/>
          <w:lang w:val="es-US"/>
        </w:rPr>
        <w:t xml:space="preserve"> </w:t>
      </w:r>
      <w:r w:rsidRPr="003C15F1">
        <w:rPr>
          <w:sz w:val="22"/>
          <w:szCs w:val="22"/>
          <w:lang w:val="es-US"/>
        </w:rPr>
        <w:t>beneficiando a ciudadanos de siete países miembros de la OEA.</w:t>
      </w:r>
    </w:p>
    <w:p w14:paraId="3855C2B8" w14:textId="77777777" w:rsidR="00814A5D" w:rsidRPr="003C15F1" w:rsidRDefault="00814A5D" w:rsidP="003C15F1">
      <w:pPr>
        <w:pStyle w:val="ListParagraph"/>
        <w:rPr>
          <w:sz w:val="22"/>
          <w:szCs w:val="22"/>
          <w:lang w:val="es-US"/>
        </w:rPr>
      </w:pPr>
    </w:p>
    <w:p w14:paraId="4D9E8402" w14:textId="77777777" w:rsidR="005C69DD" w:rsidRPr="003C15F1" w:rsidRDefault="005C69DD" w:rsidP="003C15F1">
      <w:pPr>
        <w:numPr>
          <w:ilvl w:val="0"/>
          <w:numId w:val="3"/>
        </w:numPr>
        <w:ind w:left="1440" w:hanging="720"/>
        <w:jc w:val="both"/>
        <w:rPr>
          <w:sz w:val="22"/>
          <w:szCs w:val="22"/>
          <w:lang w:val="es-US"/>
        </w:rPr>
      </w:pPr>
      <w:r w:rsidRPr="003C15F1">
        <w:rPr>
          <w:sz w:val="22"/>
          <w:szCs w:val="22"/>
          <w:lang w:val="es-US"/>
        </w:rPr>
        <w:t>Se impartió seminarios sobre principios de las inversiones y factores de riesgo a los miembros del Comité del Fondo Rowe y se compartió noticias relevantes a la industria de la educación superior e intercambio durante la pandemia.</w:t>
      </w:r>
    </w:p>
    <w:p w14:paraId="28AADC38" w14:textId="77777777" w:rsidR="005C69DD" w:rsidRPr="003C15F1" w:rsidRDefault="005C69DD" w:rsidP="003C15F1">
      <w:pPr>
        <w:jc w:val="center"/>
        <w:rPr>
          <w:b/>
          <w:bCs/>
          <w:color w:val="000000" w:themeColor="text1"/>
          <w:sz w:val="22"/>
          <w:szCs w:val="22"/>
          <w:lang w:val="es-US"/>
        </w:rPr>
      </w:pPr>
    </w:p>
    <w:p w14:paraId="77B766F4" w14:textId="33615E35" w:rsidR="00814A5D" w:rsidRPr="003C15F1" w:rsidRDefault="00814A5D" w:rsidP="003C15F1">
      <w:pPr>
        <w:pStyle w:val="NoSpacing"/>
        <w:ind w:firstLine="720"/>
        <w:jc w:val="both"/>
        <w:rPr>
          <w:rFonts w:ascii="Times New Roman" w:hAnsi="Times New Roman"/>
          <w:b/>
          <w:bCs/>
          <w:lang w:val="es-MX"/>
        </w:rPr>
      </w:pPr>
      <w:r w:rsidRPr="003C15F1">
        <w:rPr>
          <w:rFonts w:ascii="Times New Roman" w:hAnsi="Times New Roman"/>
          <w:b/>
          <w:bCs/>
          <w:lang w:val="es-MX"/>
        </w:rPr>
        <w:t>Programa de Becas y Capacitación de la Comisión Interamericana de Puertos</w:t>
      </w:r>
      <w:r w:rsidR="00323D2A" w:rsidRPr="003C15F1">
        <w:rPr>
          <w:rFonts w:ascii="Times New Roman" w:hAnsi="Times New Roman"/>
          <w:b/>
          <w:bCs/>
          <w:lang w:val="es-MX"/>
        </w:rPr>
        <w:t xml:space="preserve"> (CIP)</w:t>
      </w:r>
    </w:p>
    <w:p w14:paraId="51F58DE9" w14:textId="77777777" w:rsidR="00814A5D" w:rsidRPr="003C15F1" w:rsidRDefault="00814A5D" w:rsidP="003C15F1">
      <w:pPr>
        <w:pStyle w:val="NoSpacing"/>
        <w:jc w:val="both"/>
        <w:rPr>
          <w:rFonts w:ascii="Times New Roman" w:hAnsi="Times New Roman"/>
          <w:b/>
          <w:bCs/>
          <w:lang w:val="es-MX"/>
        </w:rPr>
      </w:pPr>
    </w:p>
    <w:p w14:paraId="5451F371" w14:textId="17D3B09A" w:rsidR="00814A5D" w:rsidRPr="003C15F1" w:rsidRDefault="00814A5D" w:rsidP="00FF59F0">
      <w:pPr>
        <w:pStyle w:val="NoSpacing"/>
        <w:numPr>
          <w:ilvl w:val="0"/>
          <w:numId w:val="27"/>
        </w:numPr>
        <w:ind w:left="1440" w:hanging="720"/>
        <w:jc w:val="both"/>
        <w:rPr>
          <w:rFonts w:ascii="Times New Roman" w:hAnsi="Times New Roman"/>
          <w:lang w:val="es-MX"/>
        </w:rPr>
      </w:pPr>
      <w:r w:rsidRPr="003C15F1">
        <w:rPr>
          <w:rFonts w:ascii="Times New Roman" w:hAnsi="Times New Roman"/>
          <w:lang w:val="es-MX"/>
        </w:rPr>
        <w:t>Otorgó 840 becas, con un valor de US$733,570, a personal portuario de 30 Estados Miembros de la OEA para 31 cursos</w:t>
      </w:r>
      <w:r w:rsidR="006F2506" w:rsidRPr="003C15F1">
        <w:rPr>
          <w:rFonts w:ascii="Times New Roman" w:hAnsi="Times New Roman"/>
          <w:lang w:val="es-MX"/>
        </w:rPr>
        <w:t>,</w:t>
      </w:r>
      <w:r w:rsidRPr="003C15F1">
        <w:rPr>
          <w:rFonts w:ascii="Times New Roman" w:hAnsi="Times New Roman"/>
          <w:lang w:val="es-MX"/>
        </w:rPr>
        <w:t xml:space="preserve"> en línea</w:t>
      </w:r>
      <w:r w:rsidR="006F2506" w:rsidRPr="003C15F1">
        <w:rPr>
          <w:rFonts w:ascii="Times New Roman" w:hAnsi="Times New Roman"/>
          <w:lang w:val="es-MX"/>
        </w:rPr>
        <w:t>,</w:t>
      </w:r>
      <w:r w:rsidRPr="003C15F1">
        <w:rPr>
          <w:rFonts w:ascii="Times New Roman" w:hAnsi="Times New Roman"/>
          <w:lang w:val="es-MX"/>
        </w:rPr>
        <w:t xml:space="preserve"> de desarrollo profesional certificados, en temas tales como logística, operaciones portuarias, INCOTERMS 2020, tecnología y digitalización, seguridad portuaria, gestión de riesgo de desastres, competitividad, </w:t>
      </w:r>
      <w:proofErr w:type="spellStart"/>
      <w:r w:rsidR="006F2506" w:rsidRPr="003C15F1">
        <w:rPr>
          <w:rFonts w:ascii="Times New Roman" w:hAnsi="Times New Roman"/>
          <w:lang w:val="es-MX"/>
        </w:rPr>
        <w:t>h</w:t>
      </w:r>
      <w:r w:rsidRPr="003C15F1">
        <w:rPr>
          <w:rFonts w:ascii="Times New Roman" w:hAnsi="Times New Roman"/>
          <w:lang w:val="es-MX"/>
        </w:rPr>
        <w:t>idrovías</w:t>
      </w:r>
      <w:proofErr w:type="spellEnd"/>
      <w:r w:rsidRPr="003C15F1">
        <w:rPr>
          <w:rFonts w:ascii="Times New Roman" w:hAnsi="Times New Roman"/>
          <w:lang w:val="es-MX"/>
        </w:rPr>
        <w:t xml:space="preserve">, entre otros. Además, a través del </w:t>
      </w:r>
      <w:proofErr w:type="spellStart"/>
      <w:r w:rsidRPr="003C15F1">
        <w:rPr>
          <w:rFonts w:ascii="Times New Roman" w:hAnsi="Times New Roman"/>
          <w:lang w:val="es-MX"/>
        </w:rPr>
        <w:t>MoU</w:t>
      </w:r>
      <w:proofErr w:type="spellEnd"/>
      <w:r w:rsidRPr="003C15F1">
        <w:rPr>
          <w:rFonts w:ascii="Times New Roman" w:hAnsi="Times New Roman"/>
          <w:lang w:val="es-MX"/>
        </w:rPr>
        <w:t xml:space="preserve"> entre </w:t>
      </w:r>
      <w:r w:rsidR="00323D2A" w:rsidRPr="003C15F1">
        <w:rPr>
          <w:rFonts w:ascii="Times New Roman" w:hAnsi="Times New Roman"/>
          <w:lang w:val="es-MX"/>
        </w:rPr>
        <w:t>la</w:t>
      </w:r>
      <w:r w:rsidRPr="003C15F1">
        <w:rPr>
          <w:rFonts w:ascii="Times New Roman" w:hAnsi="Times New Roman"/>
          <w:lang w:val="es-MX"/>
        </w:rPr>
        <w:t xml:space="preserve"> CIP y la Asociación de Administración Portuaria del Caribe (PMAC) y la alianza estratégica con la Guardia Costera de los Estados Unidos (USCG), personal portuario de Aruba, Bermuda, Bonaire, St. Ma</w:t>
      </w:r>
      <w:r w:rsidR="00E603DD" w:rsidRPr="003C15F1">
        <w:rPr>
          <w:rFonts w:ascii="Times New Roman" w:hAnsi="Times New Roman"/>
          <w:lang w:val="es-MX"/>
        </w:rPr>
        <w:t>a</w:t>
      </w:r>
      <w:r w:rsidRPr="003C15F1">
        <w:rPr>
          <w:rFonts w:ascii="Times New Roman" w:hAnsi="Times New Roman"/>
          <w:lang w:val="es-MX"/>
        </w:rPr>
        <w:t xml:space="preserve">rten e Islas Turcos y Caicos se vieron beneficiados </w:t>
      </w:r>
      <w:r w:rsidR="00323D2A" w:rsidRPr="003C15F1">
        <w:rPr>
          <w:rFonts w:ascii="Times New Roman" w:hAnsi="Times New Roman"/>
          <w:lang w:val="es-MX"/>
        </w:rPr>
        <w:t>con</w:t>
      </w:r>
      <w:r w:rsidRPr="003C15F1">
        <w:rPr>
          <w:rFonts w:ascii="Times New Roman" w:hAnsi="Times New Roman"/>
          <w:lang w:val="es-MX"/>
        </w:rPr>
        <w:t xml:space="preserve"> estas actividades.</w:t>
      </w:r>
    </w:p>
    <w:p w14:paraId="66F5210C" w14:textId="77777777" w:rsidR="00814A5D" w:rsidRPr="003C15F1" w:rsidRDefault="00814A5D" w:rsidP="003C15F1">
      <w:pPr>
        <w:pStyle w:val="NoSpacing"/>
        <w:ind w:left="1440" w:hanging="720"/>
        <w:jc w:val="both"/>
        <w:rPr>
          <w:rFonts w:ascii="Times New Roman" w:hAnsi="Times New Roman"/>
          <w:lang w:val="es-MX"/>
        </w:rPr>
      </w:pPr>
    </w:p>
    <w:p w14:paraId="6501B1E2" w14:textId="0CCD2C24" w:rsidR="00814A5D" w:rsidRPr="003C15F1" w:rsidRDefault="00814A5D" w:rsidP="00FF59F0">
      <w:pPr>
        <w:pStyle w:val="NoSpacing"/>
        <w:numPr>
          <w:ilvl w:val="0"/>
          <w:numId w:val="27"/>
        </w:numPr>
        <w:ind w:left="1440" w:hanging="720"/>
        <w:jc w:val="both"/>
        <w:rPr>
          <w:rFonts w:ascii="Times New Roman" w:hAnsi="Times New Roman"/>
          <w:lang w:val="es-MX"/>
        </w:rPr>
      </w:pPr>
      <w:r w:rsidRPr="003C15F1">
        <w:rPr>
          <w:rFonts w:ascii="Times New Roman" w:hAnsi="Times New Roman"/>
          <w:lang w:val="es-MX"/>
        </w:rPr>
        <w:t>Expuso a más de 3,000 funcionarios portuarios de 28 Estados Miembros a prácticas exitosas a través de 17</w:t>
      </w:r>
      <w:r w:rsidRPr="003C15F1">
        <w:rPr>
          <w:rFonts w:ascii="Times New Roman" w:hAnsi="Times New Roman"/>
          <w:i/>
          <w:iCs/>
          <w:lang w:val="es-MX"/>
        </w:rPr>
        <w:t xml:space="preserve"> </w:t>
      </w:r>
      <w:proofErr w:type="spellStart"/>
      <w:r w:rsidR="006F2506" w:rsidRPr="003C15F1">
        <w:rPr>
          <w:rFonts w:ascii="Times New Roman" w:hAnsi="Times New Roman"/>
          <w:i/>
          <w:iCs/>
          <w:lang w:val="es-MX"/>
        </w:rPr>
        <w:t>w</w:t>
      </w:r>
      <w:r w:rsidRPr="003C15F1">
        <w:rPr>
          <w:rFonts w:ascii="Times New Roman" w:hAnsi="Times New Roman"/>
          <w:i/>
          <w:iCs/>
          <w:lang w:val="es-MX"/>
        </w:rPr>
        <w:t>ebinars</w:t>
      </w:r>
      <w:proofErr w:type="spellEnd"/>
      <w:r w:rsidRPr="003C15F1">
        <w:rPr>
          <w:rFonts w:ascii="Times New Roman" w:hAnsi="Times New Roman"/>
          <w:lang w:val="es-MX"/>
        </w:rPr>
        <w:t xml:space="preserve"> técnicos organizados en colaboración con ocho (8) socios estratégicos, en temas como seguridad y protección, transformación digital, ventanillas únicas marítimas, alza en el costo de fletes marítimos, la industria de cruceros, sostenibilidad, equidad de género, entre otros. Estos </w:t>
      </w:r>
      <w:proofErr w:type="spellStart"/>
      <w:r w:rsidR="006F2506" w:rsidRPr="003C15F1">
        <w:rPr>
          <w:rFonts w:ascii="Times New Roman" w:hAnsi="Times New Roman"/>
          <w:i/>
          <w:iCs/>
          <w:lang w:val="es-MX"/>
        </w:rPr>
        <w:t>w</w:t>
      </w:r>
      <w:r w:rsidRPr="003C15F1">
        <w:rPr>
          <w:rFonts w:ascii="Times New Roman" w:hAnsi="Times New Roman"/>
          <w:i/>
          <w:iCs/>
          <w:lang w:val="es-MX"/>
        </w:rPr>
        <w:t>ebinars</w:t>
      </w:r>
      <w:proofErr w:type="spellEnd"/>
      <w:r w:rsidRPr="003C15F1">
        <w:rPr>
          <w:rFonts w:ascii="Times New Roman" w:hAnsi="Times New Roman"/>
          <w:lang w:val="es-MX"/>
        </w:rPr>
        <w:t xml:space="preserve"> fueron posibles gracias a la alianza estratégica con </w:t>
      </w:r>
      <w:proofErr w:type="spellStart"/>
      <w:r w:rsidRPr="003C15F1">
        <w:rPr>
          <w:rFonts w:ascii="Times New Roman" w:hAnsi="Times New Roman"/>
          <w:lang w:val="es-MX"/>
        </w:rPr>
        <w:t>Reel</w:t>
      </w:r>
      <w:proofErr w:type="spellEnd"/>
      <w:r w:rsidRPr="003C15F1">
        <w:rPr>
          <w:rFonts w:ascii="Times New Roman" w:hAnsi="Times New Roman"/>
          <w:lang w:val="es-MX"/>
        </w:rPr>
        <w:t xml:space="preserve"> ID.</w:t>
      </w:r>
    </w:p>
    <w:p w14:paraId="7155FB5C" w14:textId="0A98F1F6" w:rsidR="00B54C80" w:rsidRDefault="00B54C80" w:rsidP="00B54C80">
      <w:pPr>
        <w:rPr>
          <w:b/>
          <w:bCs/>
          <w:color w:val="000000" w:themeColor="text1"/>
          <w:sz w:val="22"/>
          <w:szCs w:val="22"/>
          <w:lang w:val="es-MX"/>
        </w:rPr>
      </w:pPr>
    </w:p>
    <w:p w14:paraId="28870F75" w14:textId="77777777" w:rsidR="00B54C80" w:rsidRPr="003C15F1" w:rsidRDefault="00B54C80" w:rsidP="00B54C80">
      <w:pPr>
        <w:rPr>
          <w:b/>
          <w:bCs/>
          <w:color w:val="000000" w:themeColor="text1"/>
          <w:sz w:val="22"/>
          <w:szCs w:val="22"/>
          <w:lang w:val="es-MX"/>
        </w:rPr>
      </w:pPr>
    </w:p>
    <w:p w14:paraId="1AD840C6" w14:textId="14B08FF8" w:rsidR="008D7B6D" w:rsidRPr="003C15F1" w:rsidRDefault="008D7B6D" w:rsidP="003C15F1">
      <w:pPr>
        <w:jc w:val="center"/>
        <w:rPr>
          <w:b/>
          <w:bCs/>
          <w:noProof/>
          <w:sz w:val="22"/>
          <w:szCs w:val="22"/>
          <w:lang w:val="es-US"/>
        </w:rPr>
      </w:pPr>
      <w:r w:rsidRPr="003C15F1">
        <w:rPr>
          <w:b/>
          <w:sz w:val="22"/>
          <w:szCs w:val="22"/>
          <w:lang w:val="es-US"/>
        </w:rPr>
        <w:t>LÍNEA ESTRATÉGICA 4: PROMOVER EL TRABAJO DECENTE, DIGNO Y PRODUCTIVO PARA TODOS</w:t>
      </w:r>
    </w:p>
    <w:p w14:paraId="7539AFE3" w14:textId="77777777" w:rsidR="008D7B6D" w:rsidRPr="003C15F1" w:rsidRDefault="008D7B6D" w:rsidP="003C15F1">
      <w:pPr>
        <w:jc w:val="center"/>
        <w:rPr>
          <w:b/>
          <w:bCs/>
          <w:noProof/>
          <w:sz w:val="22"/>
          <w:szCs w:val="22"/>
          <w:lang w:val="es-US"/>
        </w:rPr>
      </w:pPr>
    </w:p>
    <w:p w14:paraId="411D8E00" w14:textId="551F37EE" w:rsidR="008D7B6D" w:rsidRPr="003C15F1" w:rsidRDefault="008D7B6D" w:rsidP="003C15F1">
      <w:pPr>
        <w:tabs>
          <w:tab w:val="left" w:pos="720"/>
        </w:tabs>
        <w:jc w:val="both"/>
        <w:rPr>
          <w:noProof/>
          <w:sz w:val="22"/>
          <w:szCs w:val="22"/>
          <w:lang w:val="es-US"/>
        </w:rPr>
      </w:pPr>
      <w:r w:rsidRPr="003C15F1">
        <w:rPr>
          <w:sz w:val="22"/>
          <w:szCs w:val="22"/>
          <w:lang w:val="es-US"/>
        </w:rPr>
        <w:tab/>
        <w:t xml:space="preserve">La SEDI refuerza la capacidad de los Estados Miembros para mejorar las condiciones laborales, promover los derechos laborales y crear puestos de trabajo; en esencia, para promover el empleo productivo y el trabajo decente para todos.  La pandemia de </w:t>
      </w:r>
      <w:r w:rsidR="007F7A24" w:rsidRPr="003C15F1">
        <w:rPr>
          <w:sz w:val="22"/>
          <w:szCs w:val="22"/>
          <w:lang w:val="es-US"/>
        </w:rPr>
        <w:t xml:space="preserve">la </w:t>
      </w:r>
      <w:r w:rsidRPr="003C15F1">
        <w:rPr>
          <w:sz w:val="22"/>
          <w:szCs w:val="22"/>
          <w:lang w:val="es-US"/>
        </w:rPr>
        <w:t xml:space="preserve">COVID-19, que ha perturbado los mercados laborales de toda la región y ha empeorado el desempleo, la informalidad y las desigualdades laborales, ha puesto de relieve la importancia de estos objetivos, situándolos en el centro de las políticas de respuesta económicas y sociales.  </w:t>
      </w:r>
      <w:bookmarkStart w:id="10" w:name="_Hlk61364313"/>
      <w:r w:rsidRPr="003C15F1">
        <w:rPr>
          <w:sz w:val="22"/>
          <w:szCs w:val="22"/>
          <w:lang w:val="es-US"/>
        </w:rPr>
        <w:t xml:space="preserve">Desde el inicio de la pandemia, la SEDI ha orientado sus esfuerzos a apoyar a los </w:t>
      </w:r>
      <w:r w:rsidR="007F7A24" w:rsidRPr="003C15F1">
        <w:rPr>
          <w:sz w:val="22"/>
          <w:szCs w:val="22"/>
          <w:lang w:val="es-US"/>
        </w:rPr>
        <w:t>g</w:t>
      </w:r>
      <w:r w:rsidRPr="003C15F1">
        <w:rPr>
          <w:sz w:val="22"/>
          <w:szCs w:val="22"/>
          <w:lang w:val="es-US"/>
        </w:rPr>
        <w:t>obiernos en su respuesta a la crisis, creando al mismo tiempo las condiciones para una recuperación sostenible.</w:t>
      </w:r>
    </w:p>
    <w:p w14:paraId="25DD7DA1" w14:textId="77777777" w:rsidR="008D7B6D" w:rsidRPr="003C15F1" w:rsidRDefault="008D7B6D" w:rsidP="003C15F1">
      <w:pPr>
        <w:tabs>
          <w:tab w:val="left" w:pos="720"/>
        </w:tabs>
        <w:jc w:val="both"/>
        <w:rPr>
          <w:noProof/>
          <w:sz w:val="22"/>
          <w:szCs w:val="22"/>
          <w:lang w:val="es-US"/>
        </w:rPr>
      </w:pPr>
    </w:p>
    <w:bookmarkEnd w:id="10"/>
    <w:p w14:paraId="3D2944FB" w14:textId="2B7AEF03" w:rsidR="008D7B6D" w:rsidRPr="003C15F1" w:rsidRDefault="008D7B6D" w:rsidP="003C15F1">
      <w:pPr>
        <w:tabs>
          <w:tab w:val="left" w:pos="720"/>
        </w:tabs>
        <w:ind w:firstLine="720"/>
        <w:jc w:val="both"/>
        <w:rPr>
          <w:sz w:val="22"/>
          <w:szCs w:val="22"/>
          <w:lang w:val="es-US"/>
        </w:rPr>
      </w:pPr>
      <w:r w:rsidRPr="003C15F1">
        <w:rPr>
          <w:sz w:val="22"/>
          <w:szCs w:val="22"/>
          <w:lang w:val="es-US"/>
        </w:rPr>
        <w:t xml:space="preserve">En 2021, las acciones de la SEDI en esta área continuaron enfocadas en apoyar a los Estados Miembros a abordar los efectos sociales y laborales de la pandemia, en particular, la profundización de las brechas de género, el riesgo de retroceder en materia de erradicación del trabajo infantil, la necesidad de fortalecer la formación y la reconversión laboral, el compromiso de avanzar hacia la protección </w:t>
      </w:r>
      <w:r w:rsidRPr="003C15F1">
        <w:rPr>
          <w:sz w:val="22"/>
          <w:szCs w:val="22"/>
          <w:lang w:val="es-US"/>
        </w:rPr>
        <w:lastRenderedPageBreak/>
        <w:t>social universal y garantizar mecanismos institucionalizados de diálogo entre trabajadores, empleadores y gobiernos.</w:t>
      </w:r>
    </w:p>
    <w:p w14:paraId="73483390" w14:textId="77777777" w:rsidR="008D7B6D" w:rsidRPr="003C15F1" w:rsidRDefault="008D7B6D" w:rsidP="003C15F1">
      <w:pPr>
        <w:tabs>
          <w:tab w:val="left" w:pos="342"/>
        </w:tabs>
        <w:jc w:val="both"/>
        <w:rPr>
          <w:noProof/>
          <w:sz w:val="22"/>
          <w:szCs w:val="22"/>
          <w:lang w:val="es-US"/>
        </w:rPr>
      </w:pPr>
    </w:p>
    <w:p w14:paraId="33EF081C" w14:textId="0D5958B4" w:rsidR="008D7B6D" w:rsidRPr="003C15F1" w:rsidRDefault="008D7B6D" w:rsidP="003C15F1">
      <w:pPr>
        <w:jc w:val="both"/>
        <w:rPr>
          <w:b/>
          <w:bCs/>
          <w:noProof/>
          <w:sz w:val="22"/>
          <w:szCs w:val="22"/>
          <w:lang w:val="es-US"/>
        </w:rPr>
      </w:pPr>
      <w:r w:rsidRPr="003C15F1">
        <w:rPr>
          <w:b/>
          <w:sz w:val="22"/>
          <w:szCs w:val="22"/>
          <w:lang w:val="es-US"/>
        </w:rPr>
        <w:t>OBJETIVO 4.1</w:t>
      </w:r>
      <w:r w:rsidR="007F7A24" w:rsidRPr="003C15F1">
        <w:rPr>
          <w:b/>
          <w:sz w:val="22"/>
          <w:szCs w:val="22"/>
          <w:lang w:val="es-US"/>
        </w:rPr>
        <w:t xml:space="preserve">:  </w:t>
      </w:r>
      <w:r w:rsidRPr="003C15F1">
        <w:rPr>
          <w:b/>
          <w:sz w:val="22"/>
          <w:szCs w:val="22"/>
          <w:lang w:val="es-US"/>
        </w:rPr>
        <w:t>Reforzar las capacidades institucionales de los Estados Miembros para el fortalecimiento de los sistemas de educación y de formación continua que permitan contar con una mejor fuerza laboral</w:t>
      </w:r>
    </w:p>
    <w:p w14:paraId="7416EA1E" w14:textId="53387745" w:rsidR="008D7B6D" w:rsidRPr="003C15F1" w:rsidRDefault="008D7B6D" w:rsidP="003C15F1">
      <w:pPr>
        <w:ind w:left="432" w:hanging="432"/>
        <w:jc w:val="both"/>
        <w:rPr>
          <w:noProof/>
          <w:sz w:val="22"/>
          <w:szCs w:val="22"/>
          <w:lang w:val="es-US"/>
        </w:rPr>
      </w:pPr>
    </w:p>
    <w:p w14:paraId="2E2079D6" w14:textId="351DCE49" w:rsidR="008D7B6D" w:rsidRPr="003C15F1" w:rsidRDefault="008D7B6D" w:rsidP="00FF59F0">
      <w:pPr>
        <w:numPr>
          <w:ilvl w:val="0"/>
          <w:numId w:val="42"/>
        </w:numPr>
        <w:ind w:left="1440" w:hanging="720"/>
        <w:contextualSpacing/>
        <w:jc w:val="both"/>
        <w:rPr>
          <w:color w:val="000000"/>
          <w:sz w:val="22"/>
          <w:szCs w:val="22"/>
          <w:lang w:val="es-US"/>
        </w:rPr>
      </w:pPr>
      <w:r w:rsidRPr="003C15F1">
        <w:rPr>
          <w:color w:val="000000"/>
          <w:sz w:val="22"/>
          <w:szCs w:val="22"/>
          <w:lang w:val="es-US"/>
        </w:rPr>
        <w:t xml:space="preserve">Se </w:t>
      </w:r>
      <w:r w:rsidR="007F7A24" w:rsidRPr="003C15F1">
        <w:rPr>
          <w:color w:val="000000"/>
          <w:sz w:val="22"/>
          <w:szCs w:val="22"/>
          <w:lang w:val="es-US"/>
        </w:rPr>
        <w:t xml:space="preserve">organizó </w:t>
      </w:r>
      <w:r w:rsidRPr="003C15F1">
        <w:rPr>
          <w:color w:val="000000"/>
          <w:sz w:val="22"/>
          <w:szCs w:val="22"/>
          <w:lang w:val="es-US"/>
        </w:rPr>
        <w:t xml:space="preserve">la XXI Conferencia Interamericana de </w:t>
      </w:r>
      <w:proofErr w:type="gramStart"/>
      <w:r w:rsidRPr="003C15F1">
        <w:rPr>
          <w:color w:val="000000"/>
          <w:sz w:val="22"/>
          <w:szCs w:val="22"/>
          <w:lang w:val="es-US"/>
        </w:rPr>
        <w:t>Ministros</w:t>
      </w:r>
      <w:proofErr w:type="gramEnd"/>
      <w:r w:rsidRPr="003C15F1">
        <w:rPr>
          <w:color w:val="000000"/>
          <w:sz w:val="22"/>
          <w:szCs w:val="22"/>
          <w:lang w:val="es-US"/>
        </w:rPr>
        <w:t xml:space="preserve"> de Trabajo (CIMT) del CIDI, cuyo principal resultado es una nueva hoja de ruta para la región con consensos y acciones concretas a adoptar para construir un mundo del trabajo más resiliente y lograr una recuperación sostenible, inclusiva y centrada en las personas.  Dentro de los grandes consensos y compromisos, los </w:t>
      </w:r>
      <w:proofErr w:type="gramStart"/>
      <w:r w:rsidRPr="003C15F1">
        <w:rPr>
          <w:color w:val="000000"/>
          <w:sz w:val="22"/>
          <w:szCs w:val="22"/>
          <w:lang w:val="es-US"/>
        </w:rPr>
        <w:t>Ministros</w:t>
      </w:r>
      <w:proofErr w:type="gramEnd"/>
      <w:r w:rsidRPr="003C15F1">
        <w:rPr>
          <w:color w:val="000000"/>
          <w:sz w:val="22"/>
          <w:szCs w:val="22"/>
          <w:lang w:val="es-US"/>
        </w:rPr>
        <w:t xml:space="preserve"> de Trabajo acordaron mejorar la articulación entre trabajo, educación y formación; promover y facilitar el aprendizaje continuo a lo largo de la vida y la reconversión laboral, y desarrollar habilidades digitales y socioemocionales pertinentes a los cambios en el mundo del trabajo, entre otros.</w:t>
      </w:r>
    </w:p>
    <w:p w14:paraId="795829EF" w14:textId="77777777" w:rsidR="007F7A24" w:rsidRPr="003C15F1" w:rsidRDefault="007F7A24" w:rsidP="003C15F1">
      <w:pPr>
        <w:contextualSpacing/>
        <w:jc w:val="both"/>
        <w:rPr>
          <w:color w:val="000000"/>
          <w:sz w:val="22"/>
          <w:szCs w:val="22"/>
          <w:lang w:val="es-US"/>
        </w:rPr>
      </w:pPr>
    </w:p>
    <w:p w14:paraId="2EEEC0D0" w14:textId="71815A85" w:rsidR="008D7B6D" w:rsidRPr="003C15F1" w:rsidRDefault="008D7B6D" w:rsidP="00FF59F0">
      <w:pPr>
        <w:numPr>
          <w:ilvl w:val="0"/>
          <w:numId w:val="42"/>
        </w:numPr>
        <w:ind w:left="1440" w:hanging="720"/>
        <w:contextualSpacing/>
        <w:jc w:val="both"/>
        <w:rPr>
          <w:color w:val="000000"/>
          <w:sz w:val="22"/>
          <w:szCs w:val="22"/>
          <w:lang w:val="es-US"/>
        </w:rPr>
      </w:pPr>
      <w:r w:rsidRPr="003C15F1">
        <w:rPr>
          <w:color w:val="000000"/>
          <w:sz w:val="22"/>
          <w:szCs w:val="22"/>
          <w:lang w:val="es-US"/>
        </w:rPr>
        <w:t xml:space="preserve">Se continuó promoviendo la colaboración entre Ministerios de Trabajo y Educación con un diálogo entre </w:t>
      </w:r>
      <w:proofErr w:type="gramStart"/>
      <w:r w:rsidRPr="003C15F1">
        <w:rPr>
          <w:color w:val="000000"/>
          <w:sz w:val="22"/>
          <w:szCs w:val="22"/>
          <w:lang w:val="es-US"/>
        </w:rPr>
        <w:t>Ministros</w:t>
      </w:r>
      <w:proofErr w:type="gramEnd"/>
      <w:r w:rsidRPr="003C15F1">
        <w:rPr>
          <w:color w:val="000000"/>
          <w:sz w:val="22"/>
          <w:szCs w:val="22"/>
          <w:lang w:val="es-US"/>
        </w:rPr>
        <w:t xml:space="preserve"> de Trabajo y el Presidente de la Comisión Interamericana de Educación (CIE) en la XXI CIMT en el que se refrendaron algunos de los compromisos señalados en el punto anterior.</w:t>
      </w:r>
    </w:p>
    <w:p w14:paraId="4AC3EE4D" w14:textId="77777777" w:rsidR="007F7A24" w:rsidRPr="003C15F1" w:rsidRDefault="007F7A24" w:rsidP="003C15F1">
      <w:pPr>
        <w:rPr>
          <w:color w:val="000000"/>
          <w:sz w:val="22"/>
          <w:szCs w:val="22"/>
          <w:lang w:val="es-US"/>
        </w:rPr>
      </w:pPr>
    </w:p>
    <w:p w14:paraId="1867BCA3" w14:textId="5999E5F3" w:rsidR="008D7B6D" w:rsidRPr="003C15F1" w:rsidRDefault="008D7B6D" w:rsidP="00FF59F0">
      <w:pPr>
        <w:numPr>
          <w:ilvl w:val="0"/>
          <w:numId w:val="42"/>
        </w:numPr>
        <w:ind w:left="1440" w:hanging="720"/>
        <w:contextualSpacing/>
        <w:jc w:val="both"/>
        <w:rPr>
          <w:color w:val="000000"/>
          <w:sz w:val="22"/>
          <w:szCs w:val="22"/>
          <w:lang w:val="es-US"/>
        </w:rPr>
      </w:pPr>
      <w:r w:rsidRPr="003C15F1">
        <w:rPr>
          <w:color w:val="000000"/>
          <w:sz w:val="22"/>
          <w:szCs w:val="22"/>
          <w:lang w:val="es-US"/>
        </w:rPr>
        <w:t>En alianza con la Organización Internacional del Trabajo (OIT) y la UNESCO, la SEDI continuó trabajando hacia un Marco Regional de Cualificaciones que oriente el diseño y la implementación de marcos nacionales de cualificación.</w:t>
      </w:r>
    </w:p>
    <w:p w14:paraId="00177D4A" w14:textId="77777777" w:rsidR="007F7A24" w:rsidRPr="003C15F1" w:rsidRDefault="007F7A24" w:rsidP="003C15F1">
      <w:pPr>
        <w:contextualSpacing/>
        <w:jc w:val="both"/>
        <w:rPr>
          <w:color w:val="000000"/>
          <w:sz w:val="22"/>
          <w:szCs w:val="22"/>
          <w:lang w:val="es-US"/>
        </w:rPr>
      </w:pPr>
    </w:p>
    <w:p w14:paraId="5EBC8138" w14:textId="77777777" w:rsidR="008D7B6D" w:rsidRPr="003C15F1" w:rsidRDefault="008D7B6D" w:rsidP="00FF59F0">
      <w:pPr>
        <w:numPr>
          <w:ilvl w:val="0"/>
          <w:numId w:val="42"/>
        </w:numPr>
        <w:ind w:left="1440" w:hanging="720"/>
        <w:contextualSpacing/>
        <w:jc w:val="both"/>
        <w:rPr>
          <w:color w:val="000000"/>
          <w:sz w:val="22"/>
          <w:szCs w:val="22"/>
          <w:lang w:val="es-US"/>
        </w:rPr>
      </w:pPr>
      <w:r w:rsidRPr="003C15F1">
        <w:rPr>
          <w:color w:val="000000"/>
          <w:sz w:val="22"/>
          <w:szCs w:val="22"/>
          <w:lang w:val="es-US"/>
        </w:rPr>
        <w:t>Se lanzó el programa de formación con la Sociedad de Internet (</w:t>
      </w:r>
      <w:r w:rsidRPr="003C15F1">
        <w:rPr>
          <w:i/>
          <w:iCs/>
          <w:color w:val="000000"/>
          <w:sz w:val="22"/>
          <w:szCs w:val="22"/>
          <w:lang w:val="es-US"/>
        </w:rPr>
        <w:t xml:space="preserve">Internet </w:t>
      </w:r>
      <w:proofErr w:type="spellStart"/>
      <w:r w:rsidRPr="003C15F1">
        <w:rPr>
          <w:i/>
          <w:iCs/>
          <w:color w:val="000000"/>
          <w:sz w:val="22"/>
          <w:szCs w:val="22"/>
          <w:lang w:val="es-US"/>
        </w:rPr>
        <w:t>Society</w:t>
      </w:r>
      <w:proofErr w:type="spellEnd"/>
      <w:r w:rsidRPr="003C15F1">
        <w:rPr>
          <w:color w:val="000000"/>
          <w:sz w:val="22"/>
          <w:szCs w:val="22"/>
          <w:lang w:val="es-US"/>
        </w:rPr>
        <w:t>) para Ministerios de Educación y Trabajo con miras a desarrollar las habilidades de funcionarios públicos en gobernanza e integración del Internet en políticas públicas.</w:t>
      </w:r>
    </w:p>
    <w:p w14:paraId="00B6308B" w14:textId="77777777" w:rsidR="008D7B6D" w:rsidRPr="003C15F1" w:rsidRDefault="008D7B6D" w:rsidP="003C15F1">
      <w:pPr>
        <w:contextualSpacing/>
        <w:jc w:val="both"/>
        <w:rPr>
          <w:rFonts w:eastAsia="Cambria"/>
          <w:noProof/>
          <w:sz w:val="22"/>
          <w:szCs w:val="22"/>
          <w:lang w:val="es-US"/>
        </w:rPr>
      </w:pPr>
    </w:p>
    <w:p w14:paraId="6870E6E3" w14:textId="7BF56A32" w:rsidR="008D7B6D" w:rsidRPr="003C15F1" w:rsidRDefault="008D7B6D" w:rsidP="003C15F1">
      <w:pPr>
        <w:ind w:firstLine="18"/>
        <w:jc w:val="both"/>
        <w:rPr>
          <w:b/>
          <w:bCs/>
          <w:noProof/>
          <w:sz w:val="22"/>
          <w:szCs w:val="22"/>
          <w:lang w:val="es-US"/>
        </w:rPr>
      </w:pPr>
      <w:r w:rsidRPr="003C15F1">
        <w:rPr>
          <w:b/>
          <w:sz w:val="22"/>
          <w:szCs w:val="22"/>
          <w:lang w:val="es-US"/>
        </w:rPr>
        <w:t>OBJETIVO 4.2</w:t>
      </w:r>
      <w:r w:rsidR="007F7A24" w:rsidRPr="003C15F1">
        <w:rPr>
          <w:b/>
          <w:sz w:val="22"/>
          <w:szCs w:val="22"/>
          <w:lang w:val="es-US"/>
        </w:rPr>
        <w:t xml:space="preserve">:  </w:t>
      </w:r>
      <w:r w:rsidRPr="003C15F1">
        <w:rPr>
          <w:b/>
          <w:sz w:val="22"/>
          <w:szCs w:val="22"/>
          <w:lang w:val="es-US"/>
        </w:rPr>
        <w:t>Reforzar las capacidades institucionales de los Estados Miembros para impulsar condiciones y oportunidades de trabajo equitativas e incluyentes para las poblaciones en situación de vulnerabilidad y todos aquellos grupos que enfrentan mayores desafíos en el mercado de trabajo</w:t>
      </w:r>
    </w:p>
    <w:p w14:paraId="4E567A9E" w14:textId="77777777" w:rsidR="008D7B6D" w:rsidRPr="003C15F1" w:rsidRDefault="008D7B6D" w:rsidP="003C15F1">
      <w:pPr>
        <w:ind w:firstLine="18"/>
        <w:jc w:val="both"/>
        <w:rPr>
          <w:b/>
          <w:bCs/>
          <w:noProof/>
          <w:sz w:val="22"/>
          <w:szCs w:val="22"/>
          <w:lang w:val="es-US"/>
        </w:rPr>
      </w:pPr>
    </w:p>
    <w:p w14:paraId="66AAD0C5" w14:textId="3D85F4C8" w:rsidR="008D7B6D" w:rsidRPr="003C15F1" w:rsidRDefault="008D7B6D" w:rsidP="00FF59F0">
      <w:pPr>
        <w:numPr>
          <w:ilvl w:val="0"/>
          <w:numId w:val="42"/>
        </w:numPr>
        <w:ind w:left="1440" w:hanging="720"/>
        <w:contextualSpacing/>
        <w:jc w:val="both"/>
        <w:rPr>
          <w:color w:val="000000"/>
          <w:sz w:val="22"/>
          <w:szCs w:val="22"/>
          <w:lang w:val="es-US"/>
        </w:rPr>
      </w:pPr>
      <w:r w:rsidRPr="003C15F1">
        <w:rPr>
          <w:color w:val="000000"/>
          <w:sz w:val="22"/>
          <w:szCs w:val="22"/>
          <w:lang w:val="es-US"/>
        </w:rPr>
        <w:t xml:space="preserve">Se continuó consolidando la transversalización del enfoque de género en los Ministerios de Trabajo, asunto que ha cobrado una mayor urgencia considerando que los efectos de la pandemia han tenido un impacto desproporcionado en las mujeres. Se realizaron dos diálogos hemisféricos con la participación de representantes de Ministerios de Trabajo de 25 Estados </w:t>
      </w:r>
      <w:r w:rsidR="003D1AB7" w:rsidRPr="003C15F1">
        <w:rPr>
          <w:color w:val="000000"/>
          <w:sz w:val="22"/>
          <w:szCs w:val="22"/>
          <w:lang w:val="es-US"/>
        </w:rPr>
        <w:t>M</w:t>
      </w:r>
      <w:r w:rsidRPr="003C15F1">
        <w:rPr>
          <w:color w:val="000000"/>
          <w:sz w:val="22"/>
          <w:szCs w:val="22"/>
          <w:lang w:val="es-US"/>
        </w:rPr>
        <w:t>iembros en los que se definieron elementos que debe tener una política de teletrabajo para garantizar que esta nueva forma de trabajo contribuya a lograr la corresponsabilidad de las tareas de cuidado y a cerrar las brechas género en el empleo, y se revisó la situación de las unidades de género. Igualmente, se lanzó un Curso Virtual sobre Violencia de Género en el Trabajo en alianza con la Comisión Interamericana de Mujeres y se desarrolló un Manual de Unidades de Género.</w:t>
      </w:r>
    </w:p>
    <w:p w14:paraId="505E609C" w14:textId="77777777" w:rsidR="003D1AB7" w:rsidRPr="003C15F1" w:rsidRDefault="003D1AB7" w:rsidP="003C15F1">
      <w:pPr>
        <w:ind w:left="1440"/>
        <w:contextualSpacing/>
        <w:jc w:val="both"/>
        <w:rPr>
          <w:color w:val="000000"/>
          <w:sz w:val="22"/>
          <w:szCs w:val="22"/>
          <w:lang w:val="es-US"/>
        </w:rPr>
      </w:pPr>
    </w:p>
    <w:p w14:paraId="4217F972" w14:textId="1199FC82" w:rsidR="008D7B6D" w:rsidRPr="003C15F1" w:rsidRDefault="008D7B6D" w:rsidP="00FF59F0">
      <w:pPr>
        <w:numPr>
          <w:ilvl w:val="0"/>
          <w:numId w:val="42"/>
        </w:numPr>
        <w:ind w:left="1440" w:hanging="720"/>
        <w:contextualSpacing/>
        <w:jc w:val="both"/>
        <w:rPr>
          <w:color w:val="000000"/>
          <w:sz w:val="22"/>
          <w:szCs w:val="22"/>
          <w:lang w:val="es-US"/>
        </w:rPr>
      </w:pPr>
      <w:r w:rsidRPr="003C15F1">
        <w:rPr>
          <w:color w:val="000000"/>
          <w:sz w:val="22"/>
          <w:szCs w:val="22"/>
          <w:lang w:val="es-US"/>
        </w:rPr>
        <w:lastRenderedPageBreak/>
        <w:t xml:space="preserve">Con gran compromiso de los Ministerios de Trabajo, se </w:t>
      </w:r>
      <w:r w:rsidR="003D1AB7" w:rsidRPr="003C15F1">
        <w:rPr>
          <w:color w:val="000000"/>
          <w:sz w:val="22"/>
          <w:szCs w:val="22"/>
          <w:lang w:val="es-US"/>
        </w:rPr>
        <w:t>continuó</w:t>
      </w:r>
      <w:r w:rsidRPr="003C15F1">
        <w:rPr>
          <w:color w:val="000000"/>
          <w:sz w:val="22"/>
          <w:szCs w:val="22"/>
          <w:lang w:val="es-US"/>
        </w:rPr>
        <w:t xml:space="preserve"> profundizando la cooperación laboral. En 2021, los Ministerios de Trabajo de Argentina, Canadá, Chile, Costa Rica, Guatemala, Panamá, Perú y Trinidad y Tobago brindaron y recibieron asesoría técnica para reformular políticas de seguridad social, mejorar su legislación sobre acoso y la violencia laboral, implementar nuevas estrategias para erradicar el trabajo infantil, y fortalecer el diálogo social.</w:t>
      </w:r>
    </w:p>
    <w:p w14:paraId="10CCB45F" w14:textId="77777777" w:rsidR="003D1AB7" w:rsidRPr="003C15F1" w:rsidRDefault="003D1AB7" w:rsidP="003C15F1">
      <w:pPr>
        <w:pStyle w:val="ListParagraph"/>
        <w:rPr>
          <w:color w:val="000000"/>
          <w:sz w:val="22"/>
          <w:szCs w:val="22"/>
          <w:lang w:val="es-US"/>
        </w:rPr>
      </w:pPr>
    </w:p>
    <w:p w14:paraId="2CC96920" w14:textId="0429EE9B" w:rsidR="008D7B6D" w:rsidRPr="003C15F1" w:rsidRDefault="008D7B6D" w:rsidP="00FF59F0">
      <w:pPr>
        <w:numPr>
          <w:ilvl w:val="0"/>
          <w:numId w:val="42"/>
        </w:numPr>
        <w:ind w:left="1440" w:hanging="720"/>
        <w:contextualSpacing/>
        <w:jc w:val="both"/>
        <w:rPr>
          <w:color w:val="000000"/>
          <w:sz w:val="22"/>
          <w:szCs w:val="22"/>
          <w:lang w:val="es-US"/>
        </w:rPr>
      </w:pPr>
      <w:r w:rsidRPr="003C15F1">
        <w:rPr>
          <w:color w:val="000000"/>
          <w:sz w:val="22"/>
          <w:szCs w:val="22"/>
          <w:lang w:val="es-US"/>
        </w:rPr>
        <w:t>Se continuaron actualizando de manera permanente el “Portafolio de Respuestas de Ministerios de Trabajo a COVID-19” y el repositorio de “Guías y Protocolos de Desconfinamiento y Vuelta al Trabajo”, que reúnen más de 490 medidas adoptadas por Ministerios de Trabajo para hacer frente a la crisis, y más de 70 guías de vuelta al trabajo tras el confinamiento.</w:t>
      </w:r>
    </w:p>
    <w:p w14:paraId="6C0D50E0" w14:textId="6068D1F8" w:rsidR="009169A7" w:rsidRPr="00240925" w:rsidRDefault="009169A7" w:rsidP="003C15F1">
      <w:pPr>
        <w:contextualSpacing/>
        <w:jc w:val="both"/>
        <w:rPr>
          <w:color w:val="000000" w:themeColor="text1"/>
          <w:sz w:val="22"/>
          <w:szCs w:val="22"/>
          <w:lang w:val="es-US"/>
        </w:rPr>
      </w:pPr>
    </w:p>
    <w:p w14:paraId="304C0876" w14:textId="77777777" w:rsidR="00B54C80" w:rsidRPr="00240925" w:rsidRDefault="00B54C80" w:rsidP="003C15F1">
      <w:pPr>
        <w:contextualSpacing/>
        <w:jc w:val="both"/>
        <w:rPr>
          <w:color w:val="000000" w:themeColor="text1"/>
          <w:sz w:val="22"/>
          <w:szCs w:val="22"/>
          <w:lang w:val="es-US"/>
        </w:rPr>
      </w:pPr>
    </w:p>
    <w:p w14:paraId="09208805" w14:textId="3002F814" w:rsidR="001373CB" w:rsidRPr="003C15F1" w:rsidRDefault="00500A1C" w:rsidP="003C15F1">
      <w:pPr>
        <w:jc w:val="center"/>
        <w:rPr>
          <w:b/>
          <w:bCs/>
          <w:color w:val="000000" w:themeColor="text1"/>
          <w:sz w:val="22"/>
          <w:szCs w:val="22"/>
          <w:lang w:val="es-US"/>
        </w:rPr>
      </w:pPr>
      <w:r w:rsidRPr="003C15F1">
        <w:rPr>
          <w:b/>
          <w:bCs/>
          <w:color w:val="000000" w:themeColor="text1"/>
          <w:sz w:val="22"/>
          <w:szCs w:val="22"/>
          <w:lang w:val="es-US"/>
        </w:rPr>
        <w:t>LÍNEA ESTRATÉGICA 6</w:t>
      </w:r>
      <w:r w:rsidR="001373CB" w:rsidRPr="003C15F1">
        <w:rPr>
          <w:b/>
          <w:bCs/>
          <w:color w:val="000000" w:themeColor="text1"/>
          <w:sz w:val="22"/>
          <w:szCs w:val="22"/>
          <w:lang w:val="es-US"/>
        </w:rPr>
        <w:t xml:space="preserve">: </w:t>
      </w:r>
      <w:r w:rsidRPr="003C15F1">
        <w:rPr>
          <w:b/>
          <w:bCs/>
          <w:color w:val="000000" w:themeColor="text1"/>
          <w:sz w:val="22"/>
          <w:szCs w:val="22"/>
          <w:lang w:val="es-US"/>
        </w:rPr>
        <w:t>FOMENTAR LA COOPERACIÓN PARA EL DESARROLLO Y LA CREACIÓN DE ALIANZAS</w:t>
      </w:r>
    </w:p>
    <w:p w14:paraId="400ECFFA" w14:textId="311A5FF9" w:rsidR="001373CB" w:rsidRPr="003C15F1" w:rsidRDefault="001373CB" w:rsidP="003C15F1">
      <w:pPr>
        <w:jc w:val="both"/>
        <w:rPr>
          <w:rFonts w:eastAsia="Calibri"/>
          <w:color w:val="000000" w:themeColor="text1"/>
          <w:sz w:val="22"/>
          <w:szCs w:val="22"/>
          <w:highlight w:val="yellow"/>
          <w:lang w:val="es-US"/>
        </w:rPr>
      </w:pPr>
    </w:p>
    <w:p w14:paraId="68835FD3" w14:textId="77777777" w:rsidR="00500A1C" w:rsidRPr="003C15F1" w:rsidRDefault="00500A1C" w:rsidP="003C15F1">
      <w:pPr>
        <w:jc w:val="both"/>
        <w:rPr>
          <w:rFonts w:eastAsia="Calibri"/>
          <w:b/>
          <w:sz w:val="22"/>
          <w:szCs w:val="22"/>
          <w:lang w:val="es-US"/>
        </w:rPr>
      </w:pPr>
      <w:r w:rsidRPr="003C15F1">
        <w:rPr>
          <w:b/>
          <w:sz w:val="22"/>
          <w:szCs w:val="22"/>
          <w:lang w:val="es"/>
        </w:rPr>
        <w:t>El Fondo de Cooperación para el Desarrollo (FCD) de la OEA</w:t>
      </w:r>
    </w:p>
    <w:p w14:paraId="73D15A34" w14:textId="77777777" w:rsidR="00064733" w:rsidRPr="00064733" w:rsidRDefault="00064733" w:rsidP="003C15F1">
      <w:pPr>
        <w:jc w:val="both"/>
        <w:rPr>
          <w:rFonts w:eastAsia="Calibri"/>
          <w:b/>
          <w:sz w:val="22"/>
          <w:szCs w:val="22"/>
          <w:lang w:val="es-US"/>
        </w:rPr>
      </w:pPr>
    </w:p>
    <w:p w14:paraId="787E02BB" w14:textId="1AB3DBCE" w:rsidR="00500A1C" w:rsidRPr="003C15F1" w:rsidRDefault="00500A1C" w:rsidP="003C15F1">
      <w:pPr>
        <w:ind w:firstLine="360"/>
        <w:jc w:val="both"/>
        <w:rPr>
          <w:rFonts w:eastAsia="Calibri"/>
          <w:sz w:val="22"/>
          <w:szCs w:val="22"/>
          <w:lang w:val="es-US"/>
        </w:rPr>
      </w:pPr>
      <w:r w:rsidRPr="003C15F1">
        <w:rPr>
          <w:b/>
          <w:sz w:val="22"/>
          <w:szCs w:val="22"/>
          <w:lang w:val="es"/>
        </w:rPr>
        <w:t>Ciclo de Programación OEA/FCD 2017-2021</w:t>
      </w:r>
    </w:p>
    <w:p w14:paraId="4D92AB76" w14:textId="7DC058D4" w:rsidR="00500A1C" w:rsidRPr="003C15F1" w:rsidRDefault="00500A1C" w:rsidP="00FF59F0">
      <w:pPr>
        <w:pStyle w:val="ListParagraph"/>
        <w:numPr>
          <w:ilvl w:val="0"/>
          <w:numId w:val="57"/>
        </w:numPr>
        <w:ind w:hanging="720"/>
        <w:contextualSpacing/>
        <w:jc w:val="both"/>
        <w:rPr>
          <w:rFonts w:eastAsia="MS PGothic"/>
          <w:kern w:val="24"/>
          <w:sz w:val="22"/>
          <w:szCs w:val="22"/>
          <w:lang w:val="es-US"/>
        </w:rPr>
      </w:pPr>
      <w:r w:rsidRPr="003C15F1">
        <w:rPr>
          <w:color w:val="000000"/>
          <w:kern w:val="24"/>
          <w:sz w:val="22"/>
          <w:szCs w:val="22"/>
          <w:lang w:val="es"/>
        </w:rPr>
        <w:t>La JD/AICD extendió el plazo para implementar los programas del Ciclo de Programación FCD 2017-2021 del 31 de mayo de 2021 al 31 de diciembre de 2021</w:t>
      </w:r>
      <w:r w:rsidRPr="003C15F1">
        <w:rPr>
          <w:kern w:val="24"/>
          <w:sz w:val="22"/>
          <w:szCs w:val="22"/>
          <w:lang w:val="es"/>
        </w:rPr>
        <w:t xml:space="preserve"> dados los desafíos que enfrentaban los Estados Miembros debido a la pandemia de la COVID-19 y otros eventos imprevistos.</w:t>
      </w:r>
    </w:p>
    <w:p w14:paraId="571CAE4E" w14:textId="77777777" w:rsidR="003E04E9" w:rsidRPr="003C15F1" w:rsidRDefault="003E04E9" w:rsidP="003C15F1">
      <w:pPr>
        <w:pStyle w:val="ListParagraph"/>
        <w:ind w:left="1440"/>
        <w:contextualSpacing/>
        <w:jc w:val="both"/>
        <w:rPr>
          <w:rFonts w:eastAsia="MS PGothic"/>
          <w:kern w:val="24"/>
          <w:sz w:val="22"/>
          <w:szCs w:val="22"/>
          <w:lang w:val="es-US"/>
        </w:rPr>
      </w:pPr>
    </w:p>
    <w:p w14:paraId="69CECC55" w14:textId="5B4E951B" w:rsidR="00064733" w:rsidRPr="003C15F1" w:rsidRDefault="00500A1C" w:rsidP="00FF59F0">
      <w:pPr>
        <w:numPr>
          <w:ilvl w:val="3"/>
          <w:numId w:val="4"/>
        </w:numPr>
        <w:tabs>
          <w:tab w:val="left" w:pos="720"/>
        </w:tabs>
        <w:kinsoku w:val="0"/>
        <w:overflowPunct w:val="0"/>
        <w:ind w:left="1440" w:hanging="720"/>
        <w:contextualSpacing/>
        <w:jc w:val="both"/>
        <w:textAlignment w:val="baseline"/>
        <w:rPr>
          <w:rFonts w:eastAsia="Calibri"/>
          <w:sz w:val="22"/>
          <w:szCs w:val="22"/>
          <w:lang w:val="es-US"/>
        </w:rPr>
      </w:pPr>
      <w:r w:rsidRPr="003C15F1">
        <w:rPr>
          <w:color w:val="000000"/>
          <w:kern w:val="24"/>
          <w:sz w:val="22"/>
          <w:szCs w:val="22"/>
          <w:lang w:val="es"/>
        </w:rPr>
        <w:t>La pandemia afectó la implementación de 17 programas del FCD en diferente proporción principalmente porque varios países pasaron por confinamientos nacionales, cierres de negocios y cambios gubernamentales en las prioridades para responder de manera efectiva a la expansión de la COVID-19.</w:t>
      </w:r>
    </w:p>
    <w:p w14:paraId="70BB12EF" w14:textId="77777777" w:rsidR="003E04E9" w:rsidRPr="00064733" w:rsidRDefault="003E04E9" w:rsidP="003C15F1">
      <w:pPr>
        <w:tabs>
          <w:tab w:val="left" w:pos="720"/>
        </w:tabs>
        <w:kinsoku w:val="0"/>
        <w:overflowPunct w:val="0"/>
        <w:ind w:left="1440"/>
        <w:contextualSpacing/>
        <w:jc w:val="both"/>
        <w:textAlignment w:val="baseline"/>
        <w:rPr>
          <w:rFonts w:eastAsia="Calibri"/>
          <w:sz w:val="22"/>
          <w:szCs w:val="22"/>
          <w:lang w:val="es-US"/>
        </w:rPr>
      </w:pPr>
    </w:p>
    <w:p w14:paraId="3D81B9C3" w14:textId="316B6605" w:rsidR="00064733" w:rsidRPr="00064733" w:rsidRDefault="00500A1C" w:rsidP="00FF59F0">
      <w:pPr>
        <w:numPr>
          <w:ilvl w:val="3"/>
          <w:numId w:val="4"/>
        </w:numPr>
        <w:tabs>
          <w:tab w:val="left" w:pos="720"/>
        </w:tabs>
        <w:ind w:left="1440" w:hanging="720"/>
        <w:contextualSpacing/>
        <w:jc w:val="both"/>
        <w:rPr>
          <w:rFonts w:eastAsia="MS PGothic"/>
          <w:color w:val="000000"/>
          <w:kern w:val="24"/>
          <w:sz w:val="22"/>
          <w:szCs w:val="22"/>
          <w:lang w:val="es-US"/>
        </w:rPr>
      </w:pPr>
      <w:r w:rsidRPr="003C15F1">
        <w:rPr>
          <w:color w:val="000000"/>
          <w:kern w:val="24"/>
          <w:sz w:val="22"/>
          <w:szCs w:val="22"/>
          <w:lang w:val="es"/>
        </w:rPr>
        <w:t xml:space="preserve">Establecimiento de alianzas por parte de los países participantes para aumentar la financiación inicial y garantizar la sostenibilidad del Ciclo de Programación que finalizó el 31 de diciembre de 2021: UNICEF, UNESCO y CDB. Además, la asociación de </w:t>
      </w:r>
      <w:r w:rsidR="00680C78" w:rsidRPr="003C15F1">
        <w:rPr>
          <w:color w:val="000000"/>
          <w:kern w:val="24"/>
          <w:sz w:val="22"/>
          <w:szCs w:val="22"/>
          <w:lang w:val="es"/>
        </w:rPr>
        <w:t xml:space="preserve">la </w:t>
      </w:r>
      <w:r w:rsidRPr="003C15F1">
        <w:rPr>
          <w:color w:val="000000"/>
          <w:kern w:val="24"/>
          <w:sz w:val="22"/>
          <w:szCs w:val="22"/>
          <w:lang w:val="es"/>
        </w:rPr>
        <w:t xml:space="preserve">SEDI con </w:t>
      </w:r>
      <w:r w:rsidRPr="003C15F1">
        <w:rPr>
          <w:i/>
          <w:iCs/>
          <w:color w:val="000000"/>
          <w:kern w:val="24"/>
          <w:sz w:val="22"/>
          <w:szCs w:val="22"/>
          <w:lang w:val="es"/>
        </w:rPr>
        <w:t xml:space="preserve">Amazon Web </w:t>
      </w:r>
      <w:proofErr w:type="spellStart"/>
      <w:r w:rsidRPr="003C15F1">
        <w:rPr>
          <w:i/>
          <w:iCs/>
          <w:color w:val="000000"/>
          <w:kern w:val="24"/>
          <w:sz w:val="22"/>
          <w:szCs w:val="22"/>
          <w:lang w:val="es"/>
        </w:rPr>
        <w:t>Services</w:t>
      </w:r>
      <w:proofErr w:type="spellEnd"/>
      <w:r w:rsidRPr="003C15F1">
        <w:rPr>
          <w:color w:val="000000"/>
          <w:kern w:val="24"/>
          <w:sz w:val="22"/>
          <w:szCs w:val="22"/>
          <w:lang w:val="es"/>
        </w:rPr>
        <w:t xml:space="preserve"> (AWS) proporcionó </w:t>
      </w:r>
      <w:r w:rsidR="00680C78" w:rsidRPr="003C15F1">
        <w:rPr>
          <w:color w:val="000000"/>
          <w:kern w:val="24"/>
          <w:sz w:val="22"/>
          <w:szCs w:val="22"/>
          <w:lang w:val="es"/>
        </w:rPr>
        <w:t>apoyo</w:t>
      </w:r>
      <w:r w:rsidRPr="003C15F1">
        <w:rPr>
          <w:color w:val="000000"/>
          <w:kern w:val="24"/>
          <w:sz w:val="22"/>
          <w:szCs w:val="22"/>
          <w:lang w:val="es"/>
        </w:rPr>
        <w:t xml:space="preserve"> y soluciones inmediatas a los programas</w:t>
      </w:r>
      <w:r w:rsidR="00680C78" w:rsidRPr="003C15F1">
        <w:rPr>
          <w:color w:val="000000"/>
          <w:kern w:val="24"/>
          <w:sz w:val="22"/>
          <w:szCs w:val="22"/>
          <w:lang w:val="es"/>
        </w:rPr>
        <w:t xml:space="preserve"> del FCD</w:t>
      </w:r>
      <w:r w:rsidRPr="003C15F1">
        <w:rPr>
          <w:color w:val="000000"/>
          <w:kern w:val="24"/>
          <w:sz w:val="22"/>
          <w:szCs w:val="22"/>
          <w:lang w:val="es"/>
        </w:rPr>
        <w:t xml:space="preserve"> para responder a los desafíos </w:t>
      </w:r>
      <w:r w:rsidR="00680C78" w:rsidRPr="003C15F1">
        <w:rPr>
          <w:color w:val="000000"/>
          <w:kern w:val="24"/>
          <w:sz w:val="22"/>
          <w:szCs w:val="22"/>
          <w:lang w:val="es"/>
        </w:rPr>
        <w:t xml:space="preserve">provocados por </w:t>
      </w:r>
      <w:r w:rsidRPr="003C15F1">
        <w:rPr>
          <w:color w:val="000000"/>
          <w:kern w:val="24"/>
          <w:sz w:val="22"/>
          <w:szCs w:val="22"/>
          <w:lang w:val="es"/>
        </w:rPr>
        <w:t xml:space="preserve">la pandemia de </w:t>
      </w:r>
      <w:r w:rsidR="00680C78" w:rsidRPr="003C15F1">
        <w:rPr>
          <w:color w:val="000000"/>
          <w:kern w:val="24"/>
          <w:sz w:val="22"/>
          <w:szCs w:val="22"/>
          <w:lang w:val="es"/>
        </w:rPr>
        <w:t xml:space="preserve">la </w:t>
      </w:r>
      <w:r w:rsidRPr="003C15F1">
        <w:rPr>
          <w:color w:val="000000"/>
          <w:kern w:val="24"/>
          <w:sz w:val="22"/>
          <w:szCs w:val="22"/>
          <w:lang w:val="es"/>
        </w:rPr>
        <w:t>COVID-19</w:t>
      </w:r>
    </w:p>
    <w:p w14:paraId="34C0425C" w14:textId="77777777" w:rsidR="00064733" w:rsidRPr="00064733" w:rsidRDefault="00064733" w:rsidP="003C15F1">
      <w:pPr>
        <w:tabs>
          <w:tab w:val="left" w:pos="720"/>
        </w:tabs>
        <w:contextualSpacing/>
        <w:jc w:val="both"/>
        <w:rPr>
          <w:rFonts w:eastAsia="MS PGothic"/>
          <w:color w:val="000000"/>
          <w:kern w:val="24"/>
          <w:sz w:val="22"/>
          <w:szCs w:val="22"/>
          <w:lang w:val="es-US"/>
        </w:rPr>
      </w:pPr>
    </w:p>
    <w:p w14:paraId="6B4FE9D5" w14:textId="3BFF0995" w:rsidR="00500A1C" w:rsidRPr="003C15F1" w:rsidRDefault="00500A1C" w:rsidP="003C15F1">
      <w:pPr>
        <w:ind w:firstLine="360"/>
        <w:contextualSpacing/>
        <w:jc w:val="both"/>
        <w:rPr>
          <w:rFonts w:eastAsia="MS PGothic"/>
          <w:b/>
          <w:bCs/>
          <w:kern w:val="24"/>
          <w:sz w:val="22"/>
          <w:szCs w:val="22"/>
          <w:lang w:val="es-US"/>
        </w:rPr>
      </w:pPr>
      <w:r w:rsidRPr="003C15F1">
        <w:rPr>
          <w:b/>
          <w:bCs/>
          <w:kern w:val="24"/>
          <w:sz w:val="22"/>
          <w:szCs w:val="22"/>
          <w:lang w:val="es"/>
        </w:rPr>
        <w:t>Ciclo de Programación OEA/FCD 2021-2024</w:t>
      </w:r>
    </w:p>
    <w:p w14:paraId="41D22AAE" w14:textId="35601875" w:rsidR="00680C78" w:rsidRPr="003C15F1" w:rsidRDefault="00680C78" w:rsidP="00FF59F0">
      <w:pPr>
        <w:pStyle w:val="ListParagraph"/>
        <w:numPr>
          <w:ilvl w:val="0"/>
          <w:numId w:val="58"/>
        </w:numPr>
        <w:ind w:hanging="720"/>
        <w:contextualSpacing/>
        <w:jc w:val="both"/>
        <w:rPr>
          <w:rFonts w:eastAsia="MS PGothic"/>
          <w:kern w:val="24"/>
          <w:sz w:val="22"/>
          <w:szCs w:val="22"/>
          <w:lang w:val="es-US"/>
        </w:rPr>
      </w:pPr>
      <w:r w:rsidRPr="003C15F1">
        <w:rPr>
          <w:sz w:val="22"/>
          <w:szCs w:val="22"/>
          <w:lang w:val="es"/>
        </w:rPr>
        <w:t xml:space="preserve">La </w:t>
      </w:r>
      <w:r w:rsidR="00B54C80">
        <w:rPr>
          <w:sz w:val="22"/>
          <w:szCs w:val="22"/>
          <w:lang w:val="es"/>
        </w:rPr>
        <w:t>JD</w:t>
      </w:r>
      <w:r w:rsidRPr="003C15F1">
        <w:rPr>
          <w:sz w:val="22"/>
          <w:szCs w:val="22"/>
          <w:lang w:val="es"/>
        </w:rPr>
        <w:t>/AICD aprobó la “</w:t>
      </w:r>
      <w:r w:rsidRPr="003C15F1">
        <w:rPr>
          <w:b/>
          <w:bCs/>
          <w:iCs/>
          <w:sz w:val="22"/>
          <w:szCs w:val="22"/>
          <w:lang w:val="es"/>
        </w:rPr>
        <w:t>Resiliencia inclusiva para una recuperación efectiva, con enfoque en la ciencia y la tecnología”</w:t>
      </w:r>
      <w:r w:rsidRPr="003C15F1">
        <w:rPr>
          <w:sz w:val="22"/>
          <w:szCs w:val="22"/>
          <w:lang w:val="es"/>
        </w:rPr>
        <w:t xml:space="preserve"> como área de acción para el ciclo de programación de la</w:t>
      </w:r>
      <w:r w:rsidR="00064733" w:rsidRPr="003C15F1">
        <w:rPr>
          <w:sz w:val="22"/>
          <w:szCs w:val="22"/>
          <w:lang w:val="es-US"/>
        </w:rPr>
        <w:t xml:space="preserve"> OAS/</w:t>
      </w:r>
      <w:r w:rsidRPr="003C15F1">
        <w:rPr>
          <w:sz w:val="22"/>
          <w:szCs w:val="22"/>
          <w:lang w:val="es-US"/>
        </w:rPr>
        <w:t>FCD</w:t>
      </w:r>
      <w:r w:rsidR="00064733" w:rsidRPr="003C15F1">
        <w:rPr>
          <w:sz w:val="22"/>
          <w:szCs w:val="22"/>
          <w:lang w:val="es-US"/>
        </w:rPr>
        <w:t xml:space="preserve"> 2021-2024 (</w:t>
      </w:r>
      <w:hyperlink r:id="rId8" w:history="1">
        <w:r w:rsidR="00064733" w:rsidRPr="003C15F1">
          <w:rPr>
            <w:noProof/>
            <w:color w:val="0563C1" w:themeColor="hyperlink"/>
            <w:sz w:val="22"/>
            <w:szCs w:val="22"/>
            <w:u w:val="single"/>
            <w:lang w:val="es-US"/>
          </w:rPr>
          <w:t>AICD/JD/DE-126/20</w:t>
        </w:r>
      </w:hyperlink>
      <w:r w:rsidR="00064733" w:rsidRPr="003C15F1">
        <w:rPr>
          <w:sz w:val="22"/>
          <w:szCs w:val="22"/>
          <w:lang w:val="es-US"/>
        </w:rPr>
        <w:t xml:space="preserve">) </w:t>
      </w:r>
      <w:r w:rsidRPr="003C15F1">
        <w:rPr>
          <w:sz w:val="22"/>
          <w:szCs w:val="22"/>
          <w:lang w:val="es"/>
        </w:rPr>
        <w:t>con cuatro temas de programa:</w:t>
      </w:r>
    </w:p>
    <w:p w14:paraId="682E539A" w14:textId="3ACCF359" w:rsidR="00064733" w:rsidRPr="00064733" w:rsidRDefault="00064733" w:rsidP="003C15F1">
      <w:pPr>
        <w:ind w:left="1980" w:hanging="540"/>
        <w:contextualSpacing/>
        <w:jc w:val="both"/>
        <w:rPr>
          <w:rFonts w:eastAsia="MS PGothic"/>
          <w:kern w:val="24"/>
          <w:sz w:val="22"/>
          <w:szCs w:val="22"/>
          <w:lang w:val="es-US"/>
        </w:rPr>
      </w:pPr>
      <w:r w:rsidRPr="00064733">
        <w:rPr>
          <w:sz w:val="22"/>
          <w:szCs w:val="22"/>
          <w:lang w:val="es-US"/>
        </w:rPr>
        <w:t>1.</w:t>
      </w:r>
      <w:r w:rsidR="00742E82" w:rsidRPr="003C15F1">
        <w:rPr>
          <w:sz w:val="22"/>
          <w:szCs w:val="22"/>
          <w:lang w:val="es-US"/>
        </w:rPr>
        <w:tab/>
      </w:r>
      <w:r w:rsidR="00680C78" w:rsidRPr="003C15F1">
        <w:rPr>
          <w:kern w:val="24"/>
          <w:sz w:val="22"/>
          <w:szCs w:val="22"/>
          <w:lang w:val="es"/>
        </w:rPr>
        <w:t>Reorganización de las MIPYMES a través de la innovación y la tecnología.</w:t>
      </w:r>
    </w:p>
    <w:p w14:paraId="544A1A8E" w14:textId="3D3FFB38" w:rsidR="00064733" w:rsidRPr="00064733" w:rsidRDefault="00064733" w:rsidP="003C15F1">
      <w:pPr>
        <w:ind w:left="1980" w:hanging="540"/>
        <w:contextualSpacing/>
        <w:jc w:val="both"/>
        <w:rPr>
          <w:rFonts w:eastAsia="MS PGothic"/>
          <w:kern w:val="24"/>
          <w:sz w:val="22"/>
          <w:szCs w:val="22"/>
          <w:lang w:val="es-US"/>
        </w:rPr>
      </w:pPr>
      <w:r w:rsidRPr="00064733">
        <w:rPr>
          <w:sz w:val="22"/>
          <w:szCs w:val="22"/>
          <w:lang w:val="es-US"/>
        </w:rPr>
        <w:t>2.</w:t>
      </w:r>
      <w:r w:rsidR="00742E82" w:rsidRPr="003C15F1">
        <w:rPr>
          <w:rFonts w:eastAsia="MS PGothic"/>
          <w:kern w:val="24"/>
          <w:sz w:val="22"/>
          <w:szCs w:val="22"/>
          <w:lang w:val="es-US"/>
        </w:rPr>
        <w:tab/>
      </w:r>
      <w:r w:rsidR="00680C78" w:rsidRPr="003C15F1">
        <w:rPr>
          <w:kern w:val="24"/>
          <w:sz w:val="22"/>
          <w:szCs w:val="22"/>
          <w:lang w:val="es"/>
        </w:rPr>
        <w:t>Reciclaje innovador para la recuperación del sector turístico y las economías regionales</w:t>
      </w:r>
      <w:r w:rsidRPr="00064733">
        <w:rPr>
          <w:rFonts w:eastAsia="MS PGothic"/>
          <w:kern w:val="24"/>
          <w:sz w:val="22"/>
          <w:szCs w:val="22"/>
          <w:lang w:val="es-US"/>
        </w:rPr>
        <w:t>.</w:t>
      </w:r>
    </w:p>
    <w:p w14:paraId="39E99633" w14:textId="0FC5B80E" w:rsidR="00064733" w:rsidRPr="00064733" w:rsidRDefault="00064733" w:rsidP="003C15F1">
      <w:pPr>
        <w:ind w:left="1980" w:hanging="540"/>
        <w:contextualSpacing/>
        <w:jc w:val="both"/>
        <w:rPr>
          <w:rFonts w:eastAsia="MS PGothic"/>
          <w:kern w:val="24"/>
          <w:sz w:val="22"/>
          <w:szCs w:val="22"/>
          <w:lang w:val="es-US"/>
        </w:rPr>
      </w:pPr>
      <w:r w:rsidRPr="00064733">
        <w:rPr>
          <w:sz w:val="22"/>
          <w:szCs w:val="22"/>
          <w:lang w:val="es-US"/>
        </w:rPr>
        <w:t>3.</w:t>
      </w:r>
      <w:r w:rsidR="00742E82" w:rsidRPr="003C15F1">
        <w:rPr>
          <w:rFonts w:eastAsia="MS PGothic"/>
          <w:kern w:val="24"/>
          <w:sz w:val="22"/>
          <w:szCs w:val="22"/>
          <w:lang w:val="es-US"/>
        </w:rPr>
        <w:tab/>
      </w:r>
      <w:r w:rsidR="00680C78" w:rsidRPr="003C15F1">
        <w:rPr>
          <w:kern w:val="24"/>
          <w:sz w:val="22"/>
          <w:szCs w:val="22"/>
          <w:lang w:val="es"/>
        </w:rPr>
        <w:t>Innovación científica y tecnológica para la construcción de resiliencia</w:t>
      </w:r>
      <w:r w:rsidRPr="00064733">
        <w:rPr>
          <w:rFonts w:eastAsia="MS PGothic"/>
          <w:kern w:val="24"/>
          <w:sz w:val="22"/>
          <w:szCs w:val="22"/>
          <w:lang w:val="es-US"/>
        </w:rPr>
        <w:t>.</w:t>
      </w:r>
    </w:p>
    <w:p w14:paraId="5133E97C" w14:textId="5C5F4E9A" w:rsidR="00064733" w:rsidRPr="00064733" w:rsidRDefault="00064733" w:rsidP="003C15F1">
      <w:pPr>
        <w:ind w:left="1980" w:hanging="540"/>
        <w:contextualSpacing/>
        <w:jc w:val="both"/>
        <w:rPr>
          <w:rFonts w:eastAsia="MS PGothic"/>
          <w:kern w:val="24"/>
          <w:sz w:val="22"/>
          <w:szCs w:val="22"/>
          <w:lang w:val="es-US"/>
        </w:rPr>
      </w:pPr>
      <w:r w:rsidRPr="00064733">
        <w:rPr>
          <w:sz w:val="22"/>
          <w:szCs w:val="22"/>
          <w:lang w:val="es-US"/>
        </w:rPr>
        <w:t>4.</w:t>
      </w:r>
      <w:r w:rsidR="00742E82" w:rsidRPr="003C15F1">
        <w:rPr>
          <w:rFonts w:eastAsia="MS PGothic"/>
          <w:kern w:val="24"/>
          <w:sz w:val="22"/>
          <w:szCs w:val="22"/>
          <w:lang w:val="es-US"/>
        </w:rPr>
        <w:tab/>
      </w:r>
      <w:r w:rsidR="00680C78" w:rsidRPr="003C15F1">
        <w:rPr>
          <w:kern w:val="24"/>
          <w:sz w:val="22"/>
          <w:szCs w:val="22"/>
          <w:lang w:val="es"/>
        </w:rPr>
        <w:t>Ciencia para la toma de decisiones en la planificación del riesgo de desastres</w:t>
      </w:r>
      <w:r w:rsidRPr="00064733">
        <w:rPr>
          <w:rFonts w:eastAsia="MS PGothic"/>
          <w:kern w:val="24"/>
          <w:sz w:val="22"/>
          <w:szCs w:val="22"/>
          <w:lang w:val="es-US"/>
        </w:rPr>
        <w:t>.</w:t>
      </w:r>
    </w:p>
    <w:p w14:paraId="6D3877DF" w14:textId="18647047" w:rsidR="00680C78" w:rsidRPr="003C15F1" w:rsidRDefault="00680C78" w:rsidP="003C15F1">
      <w:pPr>
        <w:ind w:left="1440"/>
        <w:contextualSpacing/>
        <w:jc w:val="both"/>
        <w:rPr>
          <w:color w:val="000000"/>
          <w:sz w:val="22"/>
          <w:szCs w:val="22"/>
          <w:lang w:val="es"/>
        </w:rPr>
      </w:pPr>
      <w:r w:rsidRPr="003C15F1">
        <w:rPr>
          <w:color w:val="000000"/>
          <w:sz w:val="22"/>
          <w:szCs w:val="22"/>
          <w:lang w:val="es"/>
        </w:rPr>
        <w:lastRenderedPageBreak/>
        <w:t>El área de acción y los temas correspondientes fueron aprobados por el CIDI en su reunión ordinaria celebrada el 8 de diciembre de 2020 (</w:t>
      </w:r>
      <w:hyperlink r:id="rId9" w:tgtFrame="_blank" w:history="1">
        <w:r w:rsidRPr="003C15F1">
          <w:rPr>
            <w:color w:val="954F72"/>
            <w:sz w:val="22"/>
            <w:szCs w:val="22"/>
            <w:u w:val="single"/>
            <w:lang w:val="es"/>
          </w:rPr>
          <w:t xml:space="preserve"> CIDI/doc.304/20 rev.1</w:t>
        </w:r>
      </w:hyperlink>
      <w:r w:rsidRPr="003C15F1">
        <w:rPr>
          <w:color w:val="000000"/>
          <w:sz w:val="22"/>
          <w:szCs w:val="22"/>
          <w:lang w:val="es"/>
        </w:rPr>
        <w:t>)</w:t>
      </w:r>
    </w:p>
    <w:p w14:paraId="60341760" w14:textId="77777777" w:rsidR="00E24754" w:rsidRPr="003C15F1" w:rsidRDefault="00E24754" w:rsidP="003C15F1">
      <w:pPr>
        <w:contextualSpacing/>
        <w:jc w:val="both"/>
        <w:rPr>
          <w:rFonts w:eastAsia="MS PGothic"/>
          <w:kern w:val="24"/>
          <w:sz w:val="22"/>
          <w:szCs w:val="22"/>
          <w:lang w:val="es-US"/>
        </w:rPr>
      </w:pPr>
    </w:p>
    <w:p w14:paraId="00E6AE11" w14:textId="4971B7EF" w:rsidR="00680C78" w:rsidRPr="003C15F1" w:rsidRDefault="005C21DB" w:rsidP="00FF59F0">
      <w:pPr>
        <w:pStyle w:val="ListParagraph"/>
        <w:numPr>
          <w:ilvl w:val="3"/>
          <w:numId w:val="4"/>
        </w:numPr>
        <w:ind w:left="1440" w:hanging="720"/>
        <w:contextualSpacing/>
        <w:jc w:val="both"/>
        <w:rPr>
          <w:spacing w:val="-2"/>
          <w:sz w:val="22"/>
          <w:szCs w:val="22"/>
          <w:lang w:val="es-US"/>
        </w:rPr>
      </w:pPr>
      <w:r w:rsidRPr="003C15F1">
        <w:rPr>
          <w:spacing w:val="-2"/>
          <w:sz w:val="22"/>
          <w:szCs w:val="22"/>
          <w:lang w:val="es"/>
        </w:rPr>
        <w:t>La JD</w:t>
      </w:r>
      <w:r w:rsidR="00680C78" w:rsidRPr="003C15F1">
        <w:rPr>
          <w:spacing w:val="-2"/>
          <w:sz w:val="22"/>
          <w:szCs w:val="22"/>
          <w:lang w:val="es"/>
        </w:rPr>
        <w:t>/A</w:t>
      </w:r>
      <w:r w:rsidRPr="003C15F1">
        <w:rPr>
          <w:spacing w:val="-2"/>
          <w:sz w:val="22"/>
          <w:szCs w:val="22"/>
          <w:lang w:val="es"/>
        </w:rPr>
        <w:t>I</w:t>
      </w:r>
      <w:r w:rsidR="00680C78" w:rsidRPr="003C15F1">
        <w:rPr>
          <w:spacing w:val="-2"/>
          <w:sz w:val="22"/>
          <w:szCs w:val="22"/>
          <w:lang w:val="es"/>
        </w:rPr>
        <w:t>CD aprobó el 24 de agosto de 2021 (</w:t>
      </w:r>
      <w:hyperlink r:id="rId10" w:history="1">
        <w:r w:rsidR="00680C78" w:rsidRPr="003C15F1">
          <w:rPr>
            <w:color w:val="0563C1" w:themeColor="hyperlink"/>
            <w:spacing w:val="-2"/>
            <w:sz w:val="22"/>
            <w:szCs w:val="22"/>
            <w:u w:val="single"/>
            <w:lang w:val="es"/>
          </w:rPr>
          <w:t>AICD/JD/DE-130/21</w:t>
        </w:r>
      </w:hyperlink>
      <w:r w:rsidR="00680C78" w:rsidRPr="003C15F1">
        <w:rPr>
          <w:spacing w:val="-2"/>
          <w:sz w:val="22"/>
          <w:szCs w:val="22"/>
          <w:lang w:val="es"/>
        </w:rPr>
        <w:t xml:space="preserve">) el fondo semilla de </w:t>
      </w:r>
      <w:r w:rsidR="00680C78" w:rsidRPr="003C15F1">
        <w:rPr>
          <w:sz w:val="22"/>
          <w:szCs w:val="22"/>
          <w:lang w:val="es"/>
        </w:rPr>
        <w:t>US$1.7 millones y el 2 de noviembre de 2021 (</w:t>
      </w:r>
      <w:hyperlink r:id="rId11" w:history="1">
        <w:r w:rsidR="00680C78" w:rsidRPr="003C15F1">
          <w:rPr>
            <w:color w:val="0563C1" w:themeColor="hyperlink"/>
            <w:sz w:val="22"/>
            <w:szCs w:val="22"/>
            <w:u w:val="single"/>
            <w:lang w:val="es"/>
          </w:rPr>
          <w:t>AICD/JD/DE-131/21</w:t>
        </w:r>
      </w:hyperlink>
      <w:r w:rsidR="00680C78" w:rsidRPr="003C15F1">
        <w:rPr>
          <w:sz w:val="22"/>
          <w:szCs w:val="22"/>
          <w:lang w:val="es"/>
        </w:rPr>
        <w:t xml:space="preserve">) agregó US$100,000 a la semilla aprobada </w:t>
      </w:r>
      <w:r w:rsidRPr="003C15F1">
        <w:rPr>
          <w:sz w:val="22"/>
          <w:szCs w:val="22"/>
          <w:lang w:val="es"/>
        </w:rPr>
        <w:t>para</w:t>
      </w:r>
      <w:r w:rsidR="00680C78" w:rsidRPr="003C15F1">
        <w:rPr>
          <w:sz w:val="22"/>
          <w:szCs w:val="22"/>
          <w:lang w:val="es"/>
        </w:rPr>
        <w:t xml:space="preserve"> un total de US$1.8 millones para el ciclo de programación 2021-2024 como respuesta a la </w:t>
      </w:r>
      <w:r w:rsidR="00680C78" w:rsidRPr="003C15F1">
        <w:rPr>
          <w:kern w:val="24"/>
          <w:sz w:val="22"/>
          <w:szCs w:val="22"/>
          <w:lang w:val="es"/>
        </w:rPr>
        <w:t xml:space="preserve">inclusión de San Vicente y las Granadinas como beneficiario del ciclo del Programa </w:t>
      </w:r>
      <w:r w:rsidRPr="003C15F1">
        <w:rPr>
          <w:kern w:val="24"/>
          <w:sz w:val="22"/>
          <w:szCs w:val="22"/>
          <w:lang w:val="es"/>
        </w:rPr>
        <w:t>FCD</w:t>
      </w:r>
      <w:r w:rsidR="00680C78" w:rsidRPr="003C15F1">
        <w:rPr>
          <w:kern w:val="24"/>
          <w:sz w:val="22"/>
          <w:szCs w:val="22"/>
          <w:lang w:val="es"/>
        </w:rPr>
        <w:t xml:space="preserve"> 2021-2024.</w:t>
      </w:r>
    </w:p>
    <w:p w14:paraId="2AAA218B" w14:textId="77777777" w:rsidR="00E24754" w:rsidRPr="003C15F1" w:rsidRDefault="00E24754" w:rsidP="003C15F1">
      <w:pPr>
        <w:contextualSpacing/>
        <w:jc w:val="both"/>
        <w:rPr>
          <w:spacing w:val="-2"/>
          <w:sz w:val="22"/>
          <w:szCs w:val="22"/>
          <w:lang w:val="es-US"/>
        </w:rPr>
      </w:pPr>
    </w:p>
    <w:p w14:paraId="2A032DA5" w14:textId="7EBA2A47" w:rsidR="00680C78" w:rsidRPr="003C15F1" w:rsidRDefault="00680C78" w:rsidP="00FF59F0">
      <w:pPr>
        <w:pStyle w:val="ListParagraph"/>
        <w:numPr>
          <w:ilvl w:val="3"/>
          <w:numId w:val="4"/>
        </w:numPr>
        <w:ind w:left="1440" w:hanging="720"/>
        <w:contextualSpacing/>
        <w:jc w:val="both"/>
        <w:rPr>
          <w:spacing w:val="-2"/>
          <w:sz w:val="22"/>
          <w:szCs w:val="22"/>
          <w:lang w:val="es-US"/>
        </w:rPr>
      </w:pPr>
      <w:r w:rsidRPr="003C15F1">
        <w:rPr>
          <w:sz w:val="22"/>
          <w:szCs w:val="22"/>
          <w:lang w:val="es"/>
        </w:rPr>
        <w:t>Un total de 18 países son elegibles para participar en el Ciclo de Programación OEA</w:t>
      </w:r>
      <w:r w:rsidR="005C21DB" w:rsidRPr="003C15F1">
        <w:rPr>
          <w:sz w:val="22"/>
          <w:szCs w:val="22"/>
          <w:lang w:val="es"/>
        </w:rPr>
        <w:t xml:space="preserve">/FCD </w:t>
      </w:r>
      <w:r w:rsidRPr="003C15F1">
        <w:rPr>
          <w:sz w:val="22"/>
          <w:szCs w:val="22"/>
          <w:lang w:val="es"/>
        </w:rPr>
        <w:t xml:space="preserve">2021-2024 Ciclo para desarrollar un programa sobre uno de los cuatro temas del programa </w:t>
      </w:r>
      <w:r w:rsidRPr="003C15F1">
        <w:rPr>
          <w:kern w:val="24"/>
          <w:sz w:val="22"/>
          <w:szCs w:val="22"/>
          <w:lang w:val="es"/>
        </w:rPr>
        <w:t>(</w:t>
      </w:r>
      <w:r w:rsidR="005C21DB" w:rsidRPr="003C15F1">
        <w:rPr>
          <w:kern w:val="24"/>
          <w:sz w:val="22"/>
          <w:szCs w:val="22"/>
          <w:lang w:val="es"/>
        </w:rPr>
        <w:t xml:space="preserve">A la </w:t>
      </w:r>
      <w:r w:rsidRPr="003C15F1">
        <w:rPr>
          <w:kern w:val="24"/>
          <w:sz w:val="22"/>
          <w:szCs w:val="22"/>
          <w:lang w:val="es"/>
        </w:rPr>
        <w:t>fecha</w:t>
      </w:r>
      <w:r w:rsidR="005C21DB" w:rsidRPr="003C15F1">
        <w:rPr>
          <w:kern w:val="24"/>
          <w:sz w:val="22"/>
          <w:szCs w:val="22"/>
          <w:lang w:val="es"/>
        </w:rPr>
        <w:t xml:space="preserve"> de este informe</w:t>
      </w:r>
      <w:r w:rsidRPr="003C15F1">
        <w:rPr>
          <w:kern w:val="24"/>
          <w:sz w:val="22"/>
          <w:szCs w:val="22"/>
          <w:lang w:val="es"/>
        </w:rPr>
        <w:t xml:space="preserve"> Nicaragua está pendiente de presentación de la Carta de Confirmación).</w:t>
      </w:r>
    </w:p>
    <w:p w14:paraId="590BC39B" w14:textId="77777777" w:rsidR="00064733" w:rsidRPr="00064733" w:rsidRDefault="00064733" w:rsidP="003C15F1">
      <w:pPr>
        <w:tabs>
          <w:tab w:val="left" w:pos="720"/>
        </w:tabs>
        <w:kinsoku w:val="0"/>
        <w:overflowPunct w:val="0"/>
        <w:contextualSpacing/>
        <w:jc w:val="both"/>
        <w:textAlignment w:val="baseline"/>
        <w:rPr>
          <w:rFonts w:eastAsia="MS PGothic"/>
          <w:kern w:val="24"/>
          <w:sz w:val="22"/>
          <w:szCs w:val="22"/>
          <w:lang w:val="es-US"/>
        </w:rPr>
      </w:pPr>
    </w:p>
    <w:p w14:paraId="400CD3DA" w14:textId="77777777" w:rsidR="00680C78" w:rsidRPr="003C15F1" w:rsidRDefault="00680C78" w:rsidP="003C15F1">
      <w:pPr>
        <w:kinsoku w:val="0"/>
        <w:overflowPunct w:val="0"/>
        <w:ind w:firstLine="720"/>
        <w:contextualSpacing/>
        <w:textAlignment w:val="baseline"/>
        <w:rPr>
          <w:sz w:val="22"/>
          <w:szCs w:val="22"/>
          <w:lang w:val="es-US"/>
        </w:rPr>
      </w:pPr>
      <w:r w:rsidRPr="003C15F1">
        <w:rPr>
          <w:b/>
          <w:bCs/>
          <w:color w:val="000000"/>
          <w:kern w:val="24"/>
          <w:sz w:val="22"/>
          <w:szCs w:val="22"/>
          <w:lang w:val="es"/>
        </w:rPr>
        <w:t>Programa I: Reorganización de las MIPYME a través de la innovación y la tecnología</w:t>
      </w:r>
    </w:p>
    <w:p w14:paraId="34FB19E9" w14:textId="517EBA5B" w:rsidR="005E2AC2" w:rsidRPr="003C15F1" w:rsidRDefault="005E2AC2" w:rsidP="00FF59F0">
      <w:pPr>
        <w:numPr>
          <w:ilvl w:val="0"/>
          <w:numId w:val="43"/>
        </w:numPr>
        <w:tabs>
          <w:tab w:val="num" w:pos="1440"/>
        </w:tabs>
        <w:kinsoku w:val="0"/>
        <w:overflowPunct w:val="0"/>
        <w:ind w:left="1440" w:hanging="720"/>
        <w:contextualSpacing/>
        <w:jc w:val="both"/>
        <w:textAlignment w:val="baseline"/>
        <w:rPr>
          <w:sz w:val="22"/>
          <w:szCs w:val="22"/>
          <w:lang w:val="es-US"/>
        </w:rPr>
      </w:pPr>
      <w:r w:rsidRPr="003C15F1">
        <w:rPr>
          <w:color w:val="000000"/>
          <w:kern w:val="24"/>
          <w:sz w:val="22"/>
          <w:szCs w:val="22"/>
          <w:lang w:val="es"/>
        </w:rPr>
        <w:t xml:space="preserve">Ecuador: Facilitar el acceso a la información y servicios de desarrollo empresarial a través de una plataforma digital que posibilite e impulse la actividad emprendedora, </w:t>
      </w:r>
      <w:proofErr w:type="spellStart"/>
      <w:r w:rsidRPr="003C15F1">
        <w:rPr>
          <w:color w:val="000000"/>
          <w:kern w:val="24"/>
          <w:sz w:val="22"/>
          <w:szCs w:val="22"/>
          <w:lang w:val="es"/>
        </w:rPr>
        <w:t>intraemprendimiento</w:t>
      </w:r>
      <w:proofErr w:type="spellEnd"/>
      <w:r w:rsidRPr="003C15F1">
        <w:rPr>
          <w:color w:val="000000"/>
          <w:kern w:val="24"/>
          <w:sz w:val="22"/>
          <w:szCs w:val="22"/>
          <w:lang w:val="es"/>
        </w:rPr>
        <w:t xml:space="preserve"> o innovación en el país.</w:t>
      </w:r>
    </w:p>
    <w:p w14:paraId="05C0211C" w14:textId="77777777" w:rsidR="005E2AC2" w:rsidRPr="00064733" w:rsidRDefault="005E2AC2" w:rsidP="003C15F1">
      <w:pPr>
        <w:tabs>
          <w:tab w:val="num" w:pos="1440"/>
        </w:tabs>
        <w:kinsoku w:val="0"/>
        <w:overflowPunct w:val="0"/>
        <w:ind w:left="1440"/>
        <w:contextualSpacing/>
        <w:jc w:val="both"/>
        <w:textAlignment w:val="baseline"/>
        <w:rPr>
          <w:sz w:val="22"/>
          <w:szCs w:val="22"/>
          <w:lang w:val="es-US"/>
        </w:rPr>
      </w:pPr>
    </w:p>
    <w:p w14:paraId="5929233F" w14:textId="0102EFCA" w:rsidR="005E2AC2" w:rsidRPr="003C15F1" w:rsidRDefault="005E2AC2" w:rsidP="00FF59F0">
      <w:pPr>
        <w:numPr>
          <w:ilvl w:val="1"/>
          <w:numId w:val="44"/>
        </w:numPr>
        <w:kinsoku w:val="0"/>
        <w:overflowPunct w:val="0"/>
        <w:ind w:hanging="720"/>
        <w:contextualSpacing/>
        <w:jc w:val="both"/>
        <w:textAlignment w:val="baseline"/>
        <w:rPr>
          <w:sz w:val="22"/>
          <w:szCs w:val="22"/>
          <w:lang w:val="es-US"/>
        </w:rPr>
      </w:pPr>
      <w:r w:rsidRPr="003C15F1">
        <w:rPr>
          <w:color w:val="000000"/>
          <w:kern w:val="24"/>
          <w:sz w:val="22"/>
          <w:szCs w:val="22"/>
          <w:lang w:val="es"/>
        </w:rPr>
        <w:t xml:space="preserve">Honduras: Proporcionar habilidades técnicas y financieras para hasta 100 migrantes </w:t>
      </w:r>
      <w:r w:rsidR="00A600F0" w:rsidRPr="003C15F1">
        <w:rPr>
          <w:color w:val="000000"/>
          <w:kern w:val="24"/>
          <w:sz w:val="22"/>
          <w:szCs w:val="22"/>
          <w:lang w:val="es"/>
        </w:rPr>
        <w:t xml:space="preserve">retornantes </w:t>
      </w:r>
      <w:r w:rsidRPr="003C15F1">
        <w:rPr>
          <w:color w:val="000000"/>
          <w:kern w:val="24"/>
          <w:sz w:val="22"/>
          <w:szCs w:val="22"/>
          <w:lang w:val="es"/>
        </w:rPr>
        <w:t>y personas en riesgo de migrar (hombres y mujeres)</w:t>
      </w:r>
    </w:p>
    <w:p w14:paraId="3F21A594" w14:textId="77777777" w:rsidR="005E2AC2" w:rsidRPr="003C15F1" w:rsidRDefault="005E2AC2" w:rsidP="003C15F1">
      <w:pPr>
        <w:kinsoku w:val="0"/>
        <w:overflowPunct w:val="0"/>
        <w:ind w:left="1440"/>
        <w:contextualSpacing/>
        <w:jc w:val="both"/>
        <w:textAlignment w:val="baseline"/>
        <w:rPr>
          <w:sz w:val="22"/>
          <w:szCs w:val="22"/>
          <w:lang w:val="es-US"/>
        </w:rPr>
      </w:pPr>
    </w:p>
    <w:p w14:paraId="7BBF9AFF" w14:textId="00AA27B8" w:rsidR="005E2AC2" w:rsidRPr="003C15F1" w:rsidRDefault="005E2AC2" w:rsidP="00FF59F0">
      <w:pPr>
        <w:numPr>
          <w:ilvl w:val="1"/>
          <w:numId w:val="43"/>
        </w:numPr>
        <w:kinsoku w:val="0"/>
        <w:overflowPunct w:val="0"/>
        <w:ind w:left="1440" w:hanging="720"/>
        <w:contextualSpacing/>
        <w:jc w:val="both"/>
        <w:textAlignment w:val="baseline"/>
        <w:rPr>
          <w:sz w:val="22"/>
          <w:szCs w:val="22"/>
          <w:lang w:val="es-US"/>
        </w:rPr>
      </w:pPr>
      <w:r w:rsidRPr="003C15F1">
        <w:rPr>
          <w:color w:val="000000"/>
          <w:kern w:val="24"/>
          <w:sz w:val="22"/>
          <w:szCs w:val="22"/>
          <w:lang w:val="es"/>
        </w:rPr>
        <w:t>Jamaica: 100 MIPYME adoptan herramientas tecnológicas y no tecnológicas para mejorar su competitividad, alcance en el mercado, aumentar su productividad y aumentar su resiliencia</w:t>
      </w:r>
    </w:p>
    <w:p w14:paraId="1AC273B8" w14:textId="77777777" w:rsidR="005E2AC2" w:rsidRPr="003C15F1" w:rsidRDefault="005E2AC2" w:rsidP="003C15F1">
      <w:pPr>
        <w:kinsoku w:val="0"/>
        <w:overflowPunct w:val="0"/>
        <w:ind w:left="1440"/>
        <w:contextualSpacing/>
        <w:jc w:val="both"/>
        <w:textAlignment w:val="baseline"/>
        <w:rPr>
          <w:sz w:val="22"/>
          <w:szCs w:val="22"/>
          <w:lang w:val="es-US"/>
        </w:rPr>
      </w:pPr>
    </w:p>
    <w:p w14:paraId="0F5B88FE" w14:textId="77777777" w:rsidR="005E2AC2" w:rsidRPr="003C15F1" w:rsidRDefault="005E2AC2" w:rsidP="00FF59F0">
      <w:pPr>
        <w:numPr>
          <w:ilvl w:val="0"/>
          <w:numId w:val="43"/>
        </w:numPr>
        <w:kinsoku w:val="0"/>
        <w:overflowPunct w:val="0"/>
        <w:ind w:left="1440" w:hanging="720"/>
        <w:contextualSpacing/>
        <w:jc w:val="both"/>
        <w:textAlignment w:val="baseline"/>
        <w:rPr>
          <w:sz w:val="22"/>
          <w:szCs w:val="22"/>
          <w:lang w:val="es-US"/>
        </w:rPr>
      </w:pPr>
      <w:r w:rsidRPr="003C15F1">
        <w:rPr>
          <w:color w:val="000000"/>
          <w:kern w:val="24"/>
          <w:sz w:val="22"/>
          <w:szCs w:val="22"/>
          <w:lang w:val="es"/>
        </w:rPr>
        <w:t>República Dominicana: Mejorar el acceso de ochenta (80) MIPYMES y emprendedores a servicios de prototipado en todo el territorio nacional mediante la creación y/o fortalecimiento de cuatro (4) Centros de Prototipado durante la implementación del proyecto</w:t>
      </w:r>
    </w:p>
    <w:p w14:paraId="55245842" w14:textId="77777777" w:rsidR="005E2AC2" w:rsidRPr="00064733" w:rsidRDefault="005E2AC2" w:rsidP="003C15F1">
      <w:pPr>
        <w:kinsoku w:val="0"/>
        <w:overflowPunct w:val="0"/>
        <w:ind w:left="1440" w:hanging="720"/>
        <w:contextualSpacing/>
        <w:jc w:val="both"/>
        <w:textAlignment w:val="baseline"/>
        <w:rPr>
          <w:sz w:val="22"/>
          <w:szCs w:val="22"/>
          <w:lang w:val="es-US"/>
        </w:rPr>
      </w:pPr>
    </w:p>
    <w:p w14:paraId="186754B8" w14:textId="2E15A341" w:rsidR="005E2AC2" w:rsidRPr="003C15F1" w:rsidRDefault="005E2AC2" w:rsidP="00FF59F0">
      <w:pPr>
        <w:numPr>
          <w:ilvl w:val="0"/>
          <w:numId w:val="43"/>
        </w:numPr>
        <w:kinsoku w:val="0"/>
        <w:overflowPunct w:val="0"/>
        <w:ind w:left="1440" w:hanging="720"/>
        <w:contextualSpacing/>
        <w:jc w:val="both"/>
        <w:textAlignment w:val="baseline"/>
        <w:rPr>
          <w:sz w:val="22"/>
          <w:szCs w:val="22"/>
          <w:lang w:val="es-US"/>
        </w:rPr>
      </w:pPr>
      <w:r w:rsidRPr="003C15F1">
        <w:rPr>
          <w:color w:val="000000"/>
          <w:kern w:val="24"/>
          <w:sz w:val="22"/>
          <w:szCs w:val="22"/>
          <w:lang w:val="es"/>
        </w:rPr>
        <w:t xml:space="preserve">Panamá: Mejorar las capacidades de 300 MIPYMES turísticas para desarrollar nuevos servicios, productos y procesos innovadores con mecanismos de innovación y herramientas </w:t>
      </w:r>
      <w:r w:rsidR="00A600F0" w:rsidRPr="003C15F1">
        <w:rPr>
          <w:color w:val="000000"/>
          <w:kern w:val="24"/>
          <w:sz w:val="22"/>
          <w:szCs w:val="22"/>
          <w:lang w:val="es"/>
        </w:rPr>
        <w:t>postpandemia</w:t>
      </w:r>
    </w:p>
    <w:p w14:paraId="1E2BA96F" w14:textId="77777777" w:rsidR="005E2AC2" w:rsidRPr="00064733" w:rsidRDefault="005E2AC2" w:rsidP="003C15F1">
      <w:pPr>
        <w:kinsoku w:val="0"/>
        <w:overflowPunct w:val="0"/>
        <w:ind w:left="1440" w:hanging="720"/>
        <w:contextualSpacing/>
        <w:jc w:val="both"/>
        <w:textAlignment w:val="baseline"/>
        <w:rPr>
          <w:sz w:val="22"/>
          <w:szCs w:val="22"/>
          <w:lang w:val="es-US"/>
        </w:rPr>
      </w:pPr>
    </w:p>
    <w:p w14:paraId="7D49E788" w14:textId="5635D1B4" w:rsidR="005E2AC2" w:rsidRPr="003C15F1" w:rsidRDefault="005E2AC2" w:rsidP="00FF59F0">
      <w:pPr>
        <w:numPr>
          <w:ilvl w:val="0"/>
          <w:numId w:val="43"/>
        </w:numPr>
        <w:tabs>
          <w:tab w:val="left" w:pos="1440"/>
        </w:tabs>
        <w:kinsoku w:val="0"/>
        <w:overflowPunct w:val="0"/>
        <w:ind w:left="1440" w:hanging="720"/>
        <w:contextualSpacing/>
        <w:jc w:val="both"/>
        <w:textAlignment w:val="baseline"/>
        <w:rPr>
          <w:sz w:val="22"/>
          <w:szCs w:val="22"/>
          <w:lang w:val="es-US"/>
        </w:rPr>
      </w:pPr>
      <w:r w:rsidRPr="003C15F1">
        <w:rPr>
          <w:color w:val="000000"/>
          <w:kern w:val="24"/>
          <w:sz w:val="22"/>
          <w:szCs w:val="22"/>
          <w:lang w:val="es"/>
        </w:rPr>
        <w:t>San Kitts y Nevis: Permitir que las MIPYME se conecten con los clientes en línea y presten sus servicios mediante la financiación de la construcción de sitios web de comercio electrónico para las MIPYME y tenerlos alojados en el Centro Nacional de TIC.</w:t>
      </w:r>
    </w:p>
    <w:p w14:paraId="221860F3" w14:textId="77777777" w:rsidR="005E2AC2" w:rsidRPr="00064733" w:rsidRDefault="005E2AC2" w:rsidP="003C15F1">
      <w:pPr>
        <w:tabs>
          <w:tab w:val="left" w:pos="1440"/>
        </w:tabs>
        <w:kinsoku w:val="0"/>
        <w:overflowPunct w:val="0"/>
        <w:ind w:left="1440"/>
        <w:contextualSpacing/>
        <w:jc w:val="both"/>
        <w:textAlignment w:val="baseline"/>
        <w:rPr>
          <w:sz w:val="22"/>
          <w:szCs w:val="22"/>
          <w:lang w:val="es-US"/>
        </w:rPr>
      </w:pPr>
    </w:p>
    <w:p w14:paraId="365BE77E" w14:textId="77777777" w:rsidR="005E2AC2" w:rsidRPr="003C15F1" w:rsidRDefault="005E2AC2" w:rsidP="00FF59F0">
      <w:pPr>
        <w:numPr>
          <w:ilvl w:val="0"/>
          <w:numId w:val="43"/>
        </w:numPr>
        <w:tabs>
          <w:tab w:val="left" w:pos="1440"/>
        </w:tabs>
        <w:kinsoku w:val="0"/>
        <w:overflowPunct w:val="0"/>
        <w:ind w:left="1440" w:hanging="720"/>
        <w:contextualSpacing/>
        <w:jc w:val="both"/>
        <w:textAlignment w:val="baseline"/>
        <w:rPr>
          <w:sz w:val="22"/>
          <w:szCs w:val="22"/>
          <w:lang w:val="es-US"/>
        </w:rPr>
      </w:pPr>
      <w:r w:rsidRPr="003C15F1">
        <w:rPr>
          <w:color w:val="000000"/>
          <w:kern w:val="24"/>
          <w:sz w:val="22"/>
          <w:szCs w:val="22"/>
          <w:lang w:val="es"/>
        </w:rPr>
        <w:t>Santa Lucía: Prestar apoyo y fortalecer las plataformas digitales actuales en Santa Lucía empoderando a las MIPYME de los subsectores de las Industrias Creativas, las Industrias Profesionales, el Spa y el Bienestar y las TIC a través del desarrollo tecnológico y la innovación, el intercambio de recursos e información y la conectividad entre las MIPYME, el Gobierno y el mundo.</w:t>
      </w:r>
    </w:p>
    <w:p w14:paraId="23DD5FD3" w14:textId="77777777" w:rsidR="005E2AC2" w:rsidRPr="00064733" w:rsidRDefault="005E2AC2" w:rsidP="003C15F1">
      <w:pPr>
        <w:tabs>
          <w:tab w:val="left" w:pos="1440"/>
        </w:tabs>
        <w:kinsoku w:val="0"/>
        <w:overflowPunct w:val="0"/>
        <w:ind w:left="1440" w:hanging="720"/>
        <w:contextualSpacing/>
        <w:jc w:val="both"/>
        <w:textAlignment w:val="baseline"/>
        <w:rPr>
          <w:sz w:val="22"/>
          <w:szCs w:val="22"/>
          <w:lang w:val="es-US"/>
        </w:rPr>
      </w:pPr>
    </w:p>
    <w:p w14:paraId="7EB41DB0" w14:textId="0EE54FA1" w:rsidR="005E2AC2" w:rsidRPr="003C15F1" w:rsidRDefault="005E2AC2" w:rsidP="00FF59F0">
      <w:pPr>
        <w:numPr>
          <w:ilvl w:val="0"/>
          <w:numId w:val="43"/>
        </w:numPr>
        <w:kinsoku w:val="0"/>
        <w:overflowPunct w:val="0"/>
        <w:ind w:left="1440" w:hanging="720"/>
        <w:contextualSpacing/>
        <w:jc w:val="both"/>
        <w:textAlignment w:val="baseline"/>
        <w:rPr>
          <w:sz w:val="22"/>
          <w:szCs w:val="22"/>
          <w:lang w:val="es-US"/>
        </w:rPr>
      </w:pPr>
      <w:r w:rsidRPr="003C15F1">
        <w:rPr>
          <w:color w:val="000000"/>
          <w:kern w:val="24"/>
          <w:sz w:val="22"/>
          <w:szCs w:val="22"/>
          <w:lang w:val="es"/>
        </w:rPr>
        <w:lastRenderedPageBreak/>
        <w:t xml:space="preserve">San Vicente y las </w:t>
      </w:r>
      <w:proofErr w:type="gramStart"/>
      <w:r w:rsidRPr="003C15F1">
        <w:rPr>
          <w:color w:val="000000"/>
          <w:kern w:val="24"/>
          <w:sz w:val="22"/>
          <w:szCs w:val="22"/>
          <w:lang w:val="es"/>
        </w:rPr>
        <w:t>Granadinas</w:t>
      </w:r>
      <w:proofErr w:type="gramEnd"/>
      <w:r w:rsidRPr="003C15F1">
        <w:rPr>
          <w:color w:val="000000"/>
          <w:kern w:val="24"/>
          <w:sz w:val="22"/>
          <w:szCs w:val="22"/>
          <w:lang w:val="es"/>
        </w:rPr>
        <w:t xml:space="preserve">: </w:t>
      </w:r>
      <w:r w:rsidR="00A600F0" w:rsidRPr="003C15F1">
        <w:rPr>
          <w:color w:val="000000"/>
          <w:kern w:val="24"/>
          <w:sz w:val="22"/>
          <w:szCs w:val="22"/>
          <w:lang w:val="es"/>
        </w:rPr>
        <w:t>A</w:t>
      </w:r>
      <w:r w:rsidRPr="003C15F1">
        <w:rPr>
          <w:color w:val="000000"/>
          <w:kern w:val="24"/>
          <w:sz w:val="22"/>
          <w:szCs w:val="22"/>
          <w:lang w:val="es"/>
        </w:rPr>
        <w:t>yudar a las MIPYME a lograr la recuperación económica y el desarrollo sostenible promoviendo el cambio en las estrategias y prácticas comerciales a través de la tecnología y la innovación.</w:t>
      </w:r>
    </w:p>
    <w:p w14:paraId="3CDCDBA0" w14:textId="77777777" w:rsidR="00064733" w:rsidRPr="00064733" w:rsidRDefault="00064733" w:rsidP="003C15F1">
      <w:pPr>
        <w:tabs>
          <w:tab w:val="num" w:pos="810"/>
        </w:tabs>
        <w:kinsoku w:val="0"/>
        <w:overflowPunct w:val="0"/>
        <w:ind w:left="1260" w:hanging="540"/>
        <w:contextualSpacing/>
        <w:textAlignment w:val="baseline"/>
        <w:rPr>
          <w:rFonts w:eastAsia="+mn-ea"/>
          <w:color w:val="000000"/>
          <w:kern w:val="24"/>
          <w:sz w:val="22"/>
          <w:szCs w:val="22"/>
          <w:lang w:val="es-US"/>
        </w:rPr>
      </w:pPr>
    </w:p>
    <w:p w14:paraId="4F6CEC67" w14:textId="77777777" w:rsidR="00E6049E" w:rsidRPr="003C15F1" w:rsidRDefault="00E6049E" w:rsidP="003C15F1">
      <w:pPr>
        <w:kinsoku w:val="0"/>
        <w:overflowPunct w:val="0"/>
        <w:ind w:left="720"/>
        <w:jc w:val="both"/>
        <w:textAlignment w:val="baseline"/>
        <w:rPr>
          <w:sz w:val="22"/>
          <w:szCs w:val="22"/>
          <w:lang w:val="es-US"/>
        </w:rPr>
      </w:pPr>
      <w:r w:rsidRPr="003C15F1">
        <w:rPr>
          <w:b/>
          <w:bCs/>
          <w:color w:val="000000"/>
          <w:kern w:val="24"/>
          <w:sz w:val="22"/>
          <w:szCs w:val="22"/>
          <w:lang w:val="es"/>
        </w:rPr>
        <w:t>Programa II: Reciclaje innovador para la recuperación del sector turístico y las economías regionales</w:t>
      </w:r>
    </w:p>
    <w:p w14:paraId="22A61018" w14:textId="57EBB556" w:rsidR="00E6049E" w:rsidRPr="003C15F1" w:rsidRDefault="00E6049E" w:rsidP="00FF59F0">
      <w:pPr>
        <w:numPr>
          <w:ilvl w:val="0"/>
          <w:numId w:val="45"/>
        </w:numPr>
        <w:kinsoku w:val="0"/>
        <w:overflowPunct w:val="0"/>
        <w:ind w:left="1440" w:hanging="720"/>
        <w:contextualSpacing/>
        <w:jc w:val="both"/>
        <w:textAlignment w:val="baseline"/>
        <w:rPr>
          <w:sz w:val="22"/>
          <w:szCs w:val="22"/>
          <w:lang w:val="es-US"/>
        </w:rPr>
      </w:pPr>
      <w:r w:rsidRPr="003C15F1">
        <w:rPr>
          <w:color w:val="000000"/>
          <w:kern w:val="24"/>
          <w:sz w:val="22"/>
          <w:szCs w:val="22"/>
          <w:lang w:val="es"/>
        </w:rPr>
        <w:t>Dominica: Fortalecer a 50 MIPYME turísticas de los sectores de alojamiento y bienestar mediante el aumento de la visibilidad en línea y la creación de capacidad en áreas identificadas por la evaluación de necesidades.</w:t>
      </w:r>
    </w:p>
    <w:p w14:paraId="08988414" w14:textId="77777777" w:rsidR="00E6049E" w:rsidRPr="003C15F1" w:rsidRDefault="00E6049E" w:rsidP="003C15F1">
      <w:pPr>
        <w:kinsoku w:val="0"/>
        <w:overflowPunct w:val="0"/>
        <w:ind w:left="720"/>
        <w:contextualSpacing/>
        <w:jc w:val="both"/>
        <w:textAlignment w:val="baseline"/>
        <w:rPr>
          <w:sz w:val="22"/>
          <w:szCs w:val="22"/>
          <w:lang w:val="es-US"/>
        </w:rPr>
      </w:pPr>
    </w:p>
    <w:p w14:paraId="47B5DB6C" w14:textId="7C6F6953" w:rsidR="00E6049E" w:rsidRPr="003C15F1" w:rsidRDefault="00E6049E" w:rsidP="00FF59F0">
      <w:pPr>
        <w:numPr>
          <w:ilvl w:val="0"/>
          <w:numId w:val="46"/>
        </w:numPr>
        <w:ind w:left="1440" w:hanging="720"/>
        <w:jc w:val="both"/>
        <w:textAlignment w:val="baseline"/>
        <w:rPr>
          <w:sz w:val="22"/>
          <w:szCs w:val="22"/>
          <w:lang w:val="es-US"/>
        </w:rPr>
      </w:pPr>
      <w:r w:rsidRPr="003C15F1">
        <w:rPr>
          <w:color w:val="000000"/>
          <w:kern w:val="24"/>
          <w:sz w:val="22"/>
          <w:szCs w:val="22"/>
          <w:lang w:val="es"/>
        </w:rPr>
        <w:t xml:space="preserve">Guyana: Desarrollar, entregar y promover protocolos </w:t>
      </w:r>
      <w:r w:rsidR="007669B7" w:rsidRPr="003C15F1">
        <w:rPr>
          <w:color w:val="000000"/>
          <w:kern w:val="24"/>
          <w:sz w:val="22"/>
          <w:szCs w:val="22"/>
          <w:lang w:val="es"/>
        </w:rPr>
        <w:t xml:space="preserve">COVID-19 </w:t>
      </w:r>
      <w:r w:rsidRPr="003C15F1">
        <w:rPr>
          <w:color w:val="000000"/>
          <w:kern w:val="24"/>
          <w:sz w:val="22"/>
          <w:szCs w:val="22"/>
          <w:lang w:val="es"/>
        </w:rPr>
        <w:t>de salud y seguridad específicos para empresas y fortalecer la resiliencia del sector para permitir la recuperación económica y la reapertura segura de las empresas turísticas en Guyana.</w:t>
      </w:r>
    </w:p>
    <w:p w14:paraId="12D02A3C" w14:textId="77777777" w:rsidR="00E6049E" w:rsidRPr="00240925" w:rsidRDefault="00E6049E" w:rsidP="003C15F1">
      <w:pPr>
        <w:ind w:left="720"/>
        <w:jc w:val="both"/>
        <w:textAlignment w:val="baseline"/>
        <w:rPr>
          <w:sz w:val="22"/>
          <w:szCs w:val="22"/>
          <w:lang w:val="es-US"/>
        </w:rPr>
      </w:pPr>
    </w:p>
    <w:p w14:paraId="2E7C005C" w14:textId="1EDD6D11" w:rsidR="00E6049E" w:rsidRPr="003C15F1" w:rsidRDefault="00E6049E" w:rsidP="00FF59F0">
      <w:pPr>
        <w:numPr>
          <w:ilvl w:val="0"/>
          <w:numId w:val="47"/>
        </w:numPr>
        <w:ind w:left="1440" w:hanging="720"/>
        <w:jc w:val="both"/>
        <w:textAlignment w:val="baseline"/>
        <w:rPr>
          <w:sz w:val="22"/>
          <w:szCs w:val="22"/>
          <w:lang w:val="es-US"/>
        </w:rPr>
      </w:pPr>
      <w:r w:rsidRPr="003C15F1">
        <w:rPr>
          <w:color w:val="000000"/>
          <w:kern w:val="24"/>
          <w:sz w:val="22"/>
          <w:szCs w:val="22"/>
          <w:lang w:val="es"/>
        </w:rPr>
        <w:t xml:space="preserve">Uruguay: Ofrecer un programa intensivo de capacitación virtual a 50 personas que adquirirán conocimientos sobre las principales tecnologías aplicadas </w:t>
      </w:r>
      <w:r w:rsidR="007669B7" w:rsidRPr="003C15F1">
        <w:rPr>
          <w:color w:val="000000"/>
          <w:kern w:val="24"/>
          <w:sz w:val="22"/>
          <w:szCs w:val="22"/>
          <w:lang w:val="es"/>
        </w:rPr>
        <w:t>en e</w:t>
      </w:r>
      <w:r w:rsidRPr="003C15F1">
        <w:rPr>
          <w:color w:val="000000"/>
          <w:kern w:val="24"/>
          <w:sz w:val="22"/>
          <w:szCs w:val="22"/>
          <w:lang w:val="es"/>
        </w:rPr>
        <w:t>l sector turístico y fortalecerán sus habilidades basadas en la innovación, la resiliencia y la adaptación al cambio con el fin de apoyar la recuperación y explotar el potencial del sector turístico uruguayo.</w:t>
      </w:r>
    </w:p>
    <w:p w14:paraId="43B41F0E" w14:textId="77777777" w:rsidR="009B2F1B" w:rsidRPr="00064733" w:rsidRDefault="009B2F1B" w:rsidP="003C15F1">
      <w:pPr>
        <w:kinsoku w:val="0"/>
        <w:overflowPunct w:val="0"/>
        <w:contextualSpacing/>
        <w:textAlignment w:val="baseline"/>
        <w:rPr>
          <w:rFonts w:eastAsia="+mn-ea"/>
          <w:color w:val="000000"/>
          <w:kern w:val="24"/>
          <w:sz w:val="22"/>
          <w:szCs w:val="22"/>
          <w:lang w:val="es-US"/>
        </w:rPr>
      </w:pPr>
    </w:p>
    <w:p w14:paraId="7685C45A" w14:textId="77777777" w:rsidR="00E6049E" w:rsidRPr="003C15F1" w:rsidRDefault="00E6049E" w:rsidP="003C15F1">
      <w:pPr>
        <w:kinsoku w:val="0"/>
        <w:overflowPunct w:val="0"/>
        <w:ind w:left="720"/>
        <w:textAlignment w:val="baseline"/>
        <w:rPr>
          <w:sz w:val="22"/>
          <w:szCs w:val="22"/>
          <w:lang w:val="es-US"/>
        </w:rPr>
      </w:pPr>
      <w:r w:rsidRPr="003C15F1">
        <w:rPr>
          <w:b/>
          <w:bCs/>
          <w:color w:val="000000"/>
          <w:kern w:val="24"/>
          <w:sz w:val="22"/>
          <w:szCs w:val="22"/>
          <w:lang w:val="es"/>
        </w:rPr>
        <w:t>Programa III: Innovación científica y tecnológica para la creación de resiliencia</w:t>
      </w:r>
    </w:p>
    <w:p w14:paraId="395BD182" w14:textId="59AF001F" w:rsidR="00E6049E" w:rsidRPr="003C15F1" w:rsidRDefault="00E6049E" w:rsidP="00FF59F0">
      <w:pPr>
        <w:numPr>
          <w:ilvl w:val="0"/>
          <w:numId w:val="48"/>
        </w:numPr>
        <w:ind w:hanging="720"/>
        <w:jc w:val="both"/>
        <w:textAlignment w:val="baseline"/>
        <w:rPr>
          <w:sz w:val="22"/>
          <w:szCs w:val="22"/>
          <w:lang w:val="es-US"/>
        </w:rPr>
      </w:pPr>
      <w:r w:rsidRPr="003C15F1">
        <w:rPr>
          <w:color w:val="000000"/>
          <w:kern w:val="24"/>
          <w:sz w:val="22"/>
          <w:szCs w:val="22"/>
          <w:lang w:val="es"/>
        </w:rPr>
        <w:t>Argentina</w:t>
      </w:r>
      <w:r w:rsidR="007669B7" w:rsidRPr="003C15F1">
        <w:rPr>
          <w:color w:val="000000"/>
          <w:kern w:val="24"/>
          <w:sz w:val="22"/>
          <w:szCs w:val="22"/>
          <w:lang w:val="es"/>
        </w:rPr>
        <w:t>:</w:t>
      </w:r>
      <w:r w:rsidRPr="003C15F1">
        <w:rPr>
          <w:color w:val="000000"/>
          <w:kern w:val="24"/>
          <w:sz w:val="22"/>
          <w:szCs w:val="22"/>
          <w:lang w:val="es"/>
        </w:rPr>
        <w:t xml:space="preserve"> Promover la vinculación y transferencia de tecnología para aumentar la autonomía en salud a través del uso de capacidades instaladas y la generación de tecnología para estudiar las repercusiones neurocognitivas post-COVID</w:t>
      </w:r>
      <w:r w:rsidR="007669B7" w:rsidRPr="003C15F1">
        <w:rPr>
          <w:color w:val="000000"/>
          <w:kern w:val="24"/>
          <w:sz w:val="22"/>
          <w:szCs w:val="22"/>
          <w:lang w:val="es"/>
        </w:rPr>
        <w:t>.</w:t>
      </w:r>
      <w:r w:rsidRPr="003C15F1">
        <w:rPr>
          <w:color w:val="000000"/>
          <w:kern w:val="24"/>
          <w:sz w:val="22"/>
          <w:szCs w:val="22"/>
          <w:lang w:val="es"/>
        </w:rPr>
        <w:t xml:space="preserve"> </w:t>
      </w:r>
    </w:p>
    <w:p w14:paraId="3B0CD3F6" w14:textId="77777777" w:rsidR="007669B7" w:rsidRPr="003C15F1" w:rsidRDefault="007669B7" w:rsidP="003C15F1">
      <w:pPr>
        <w:ind w:left="1440"/>
        <w:textAlignment w:val="baseline"/>
        <w:rPr>
          <w:sz w:val="22"/>
          <w:szCs w:val="22"/>
          <w:lang w:val="es-US"/>
        </w:rPr>
      </w:pPr>
    </w:p>
    <w:p w14:paraId="19236BEE" w14:textId="4052DC3B" w:rsidR="00E6049E" w:rsidRPr="003C15F1" w:rsidRDefault="00E6049E" w:rsidP="00FF59F0">
      <w:pPr>
        <w:numPr>
          <w:ilvl w:val="0"/>
          <w:numId w:val="48"/>
        </w:numPr>
        <w:ind w:hanging="720"/>
        <w:jc w:val="both"/>
        <w:textAlignment w:val="baseline"/>
        <w:rPr>
          <w:sz w:val="22"/>
          <w:szCs w:val="22"/>
          <w:lang w:val="es-US"/>
        </w:rPr>
      </w:pPr>
      <w:r w:rsidRPr="003C15F1">
        <w:rPr>
          <w:color w:val="000000"/>
          <w:kern w:val="24"/>
          <w:sz w:val="22"/>
          <w:szCs w:val="22"/>
          <w:lang w:val="es"/>
        </w:rPr>
        <w:t>Barbados: Prestar apoyo a la innovación local mediante el desarrollo de un entorno normativo propicio, que incluya el seguimiento y la evaluación</w:t>
      </w:r>
      <w:r w:rsidR="007669B7" w:rsidRPr="003C15F1">
        <w:rPr>
          <w:color w:val="000000"/>
          <w:kern w:val="24"/>
          <w:sz w:val="22"/>
          <w:szCs w:val="22"/>
          <w:lang w:val="es"/>
        </w:rPr>
        <w:t>.</w:t>
      </w:r>
    </w:p>
    <w:p w14:paraId="7A12CB1C" w14:textId="77777777" w:rsidR="007669B7" w:rsidRPr="003C15F1" w:rsidRDefault="007669B7" w:rsidP="003C15F1">
      <w:pPr>
        <w:pStyle w:val="ListParagraph"/>
        <w:rPr>
          <w:sz w:val="22"/>
          <w:szCs w:val="22"/>
          <w:lang w:val="es-US"/>
        </w:rPr>
      </w:pPr>
    </w:p>
    <w:p w14:paraId="231B015F" w14:textId="2705F61C" w:rsidR="00E6049E" w:rsidRPr="003C15F1" w:rsidRDefault="00E6049E" w:rsidP="00FF59F0">
      <w:pPr>
        <w:numPr>
          <w:ilvl w:val="0"/>
          <w:numId w:val="48"/>
        </w:numPr>
        <w:ind w:hanging="720"/>
        <w:jc w:val="both"/>
        <w:textAlignment w:val="baseline"/>
        <w:rPr>
          <w:sz w:val="22"/>
          <w:szCs w:val="22"/>
          <w:lang w:val="es-US"/>
        </w:rPr>
      </w:pPr>
      <w:r w:rsidRPr="003C15F1">
        <w:rPr>
          <w:color w:val="000000"/>
          <w:kern w:val="24"/>
          <w:sz w:val="22"/>
          <w:szCs w:val="22"/>
          <w:lang w:val="es"/>
        </w:rPr>
        <w:t xml:space="preserve">Costa Rica: Posibilitar el acceso a espacios tecnológicos y de innovación para que la población desarrolle capacidades, conocimientos y habilidades relacionadas con la </w:t>
      </w:r>
      <w:r w:rsidR="007669B7" w:rsidRPr="003C15F1">
        <w:rPr>
          <w:color w:val="000000"/>
          <w:kern w:val="24"/>
          <w:sz w:val="22"/>
          <w:szCs w:val="22"/>
          <w:lang w:val="es"/>
        </w:rPr>
        <w:t>I</w:t>
      </w:r>
      <w:r w:rsidRPr="003C15F1">
        <w:rPr>
          <w:color w:val="000000"/>
          <w:kern w:val="24"/>
          <w:sz w:val="22"/>
          <w:szCs w:val="22"/>
          <w:lang w:val="es"/>
        </w:rPr>
        <w:t>ndustria 4.0 para impulsar el uso productivo y significativo de las tecnologías digitales para lograr un desarrollo social y económico más sostenible.</w:t>
      </w:r>
    </w:p>
    <w:p w14:paraId="730CF358" w14:textId="77777777" w:rsidR="007669B7" w:rsidRPr="003C15F1" w:rsidRDefault="007669B7" w:rsidP="003C15F1">
      <w:pPr>
        <w:pStyle w:val="ListParagraph"/>
        <w:rPr>
          <w:sz w:val="22"/>
          <w:szCs w:val="22"/>
          <w:lang w:val="es-US"/>
        </w:rPr>
      </w:pPr>
    </w:p>
    <w:p w14:paraId="43B9B85D" w14:textId="04B68DDC" w:rsidR="00E6049E" w:rsidRPr="003C15F1" w:rsidRDefault="00E6049E" w:rsidP="00FF59F0">
      <w:pPr>
        <w:numPr>
          <w:ilvl w:val="0"/>
          <w:numId w:val="48"/>
        </w:numPr>
        <w:ind w:hanging="720"/>
        <w:jc w:val="both"/>
        <w:textAlignment w:val="baseline"/>
        <w:rPr>
          <w:sz w:val="22"/>
          <w:szCs w:val="22"/>
          <w:lang w:val="es-US"/>
        </w:rPr>
      </w:pPr>
      <w:r w:rsidRPr="003C15F1">
        <w:rPr>
          <w:color w:val="000000"/>
          <w:kern w:val="24"/>
          <w:sz w:val="22"/>
          <w:szCs w:val="22"/>
          <w:lang w:val="es"/>
        </w:rPr>
        <w:t xml:space="preserve">El Salvador: Fortalecer las capacidades de 30 mujeres y jóvenes a través de innovaciones tecnológicas, junto con asistencia técnica para mejorar la resiliencia en sus sistemas productivos mediante el fortalecimiento de la seguridad alimentaria en las zonas con mayores efectos climáticos territoriales en los municipios de </w:t>
      </w:r>
      <w:proofErr w:type="spellStart"/>
      <w:r w:rsidRPr="003C15F1">
        <w:rPr>
          <w:color w:val="000000"/>
          <w:kern w:val="24"/>
          <w:sz w:val="22"/>
          <w:szCs w:val="22"/>
          <w:lang w:val="es"/>
        </w:rPr>
        <w:t>Jucuarán</w:t>
      </w:r>
      <w:proofErr w:type="spellEnd"/>
      <w:r w:rsidRPr="003C15F1">
        <w:rPr>
          <w:color w:val="000000"/>
          <w:kern w:val="24"/>
          <w:sz w:val="22"/>
          <w:szCs w:val="22"/>
          <w:lang w:val="es"/>
        </w:rPr>
        <w:t xml:space="preserve">, Chinameca, </w:t>
      </w:r>
      <w:proofErr w:type="spellStart"/>
      <w:r w:rsidRPr="003C15F1">
        <w:rPr>
          <w:color w:val="000000"/>
          <w:kern w:val="24"/>
          <w:sz w:val="22"/>
          <w:szCs w:val="22"/>
          <w:lang w:val="es"/>
        </w:rPr>
        <w:t>Sesori</w:t>
      </w:r>
      <w:proofErr w:type="spellEnd"/>
      <w:r w:rsidRPr="003C15F1">
        <w:rPr>
          <w:color w:val="000000"/>
          <w:kern w:val="24"/>
          <w:sz w:val="22"/>
          <w:szCs w:val="22"/>
          <w:lang w:val="es"/>
        </w:rPr>
        <w:t>, San Luis de la Reina, Nueva Esparta y El Carmen</w:t>
      </w:r>
      <w:r w:rsidR="007669B7" w:rsidRPr="003C15F1">
        <w:rPr>
          <w:color w:val="000000"/>
          <w:kern w:val="24"/>
          <w:sz w:val="22"/>
          <w:szCs w:val="22"/>
          <w:lang w:val="es"/>
        </w:rPr>
        <w:t>.</w:t>
      </w:r>
    </w:p>
    <w:p w14:paraId="7068B8DE" w14:textId="77777777" w:rsidR="007669B7" w:rsidRPr="003C15F1" w:rsidRDefault="007669B7" w:rsidP="003C15F1">
      <w:pPr>
        <w:pStyle w:val="ListParagraph"/>
        <w:rPr>
          <w:sz w:val="22"/>
          <w:szCs w:val="22"/>
          <w:lang w:val="es-US"/>
        </w:rPr>
      </w:pPr>
    </w:p>
    <w:p w14:paraId="6BA6EBED" w14:textId="24D7AFFD" w:rsidR="00E6049E" w:rsidRPr="003C15F1" w:rsidRDefault="00E6049E" w:rsidP="00FF59F0">
      <w:pPr>
        <w:numPr>
          <w:ilvl w:val="0"/>
          <w:numId w:val="48"/>
        </w:numPr>
        <w:ind w:hanging="720"/>
        <w:contextualSpacing/>
        <w:jc w:val="both"/>
        <w:textAlignment w:val="baseline"/>
        <w:rPr>
          <w:rFonts w:eastAsia="Calibri"/>
          <w:sz w:val="22"/>
          <w:szCs w:val="22"/>
          <w:lang w:val="es-US"/>
        </w:rPr>
      </w:pPr>
      <w:r w:rsidRPr="003C15F1">
        <w:rPr>
          <w:color w:val="000000"/>
          <w:kern w:val="24"/>
          <w:sz w:val="22"/>
          <w:szCs w:val="22"/>
          <w:lang w:val="es"/>
        </w:rPr>
        <w:t xml:space="preserve">Perú: i) Fortalecer las capacidades de los jóvenes en ciencia, tecnología, innovación y emprendimiento con el fin de promover la inclusión de la población vulnerable y garantizar la preparación para la </w:t>
      </w:r>
      <w:r w:rsidR="007669B7" w:rsidRPr="003C15F1">
        <w:rPr>
          <w:color w:val="000000"/>
          <w:kern w:val="24"/>
          <w:sz w:val="22"/>
          <w:szCs w:val="22"/>
          <w:lang w:val="es"/>
        </w:rPr>
        <w:t>I</w:t>
      </w:r>
      <w:r w:rsidRPr="003C15F1">
        <w:rPr>
          <w:color w:val="000000"/>
          <w:kern w:val="24"/>
          <w:sz w:val="22"/>
          <w:szCs w:val="22"/>
          <w:lang w:val="es"/>
        </w:rPr>
        <w:t xml:space="preserve">ndustria 4.0.; </w:t>
      </w:r>
      <w:proofErr w:type="spellStart"/>
      <w:r w:rsidRPr="003C15F1">
        <w:rPr>
          <w:color w:val="000000"/>
          <w:kern w:val="24"/>
          <w:sz w:val="22"/>
          <w:szCs w:val="22"/>
          <w:lang w:val="es"/>
        </w:rPr>
        <w:t>ii</w:t>
      </w:r>
      <w:proofErr w:type="spellEnd"/>
      <w:r w:rsidRPr="003C15F1">
        <w:rPr>
          <w:color w:val="000000"/>
          <w:kern w:val="24"/>
          <w:sz w:val="22"/>
          <w:szCs w:val="22"/>
          <w:lang w:val="es"/>
        </w:rPr>
        <w:t xml:space="preserve">) Fomentar el acceso y el intercambio de conocimientos en </w:t>
      </w:r>
      <w:proofErr w:type="spellStart"/>
      <w:r w:rsidR="007669B7" w:rsidRPr="003C15F1">
        <w:rPr>
          <w:color w:val="000000"/>
          <w:kern w:val="24"/>
          <w:sz w:val="22"/>
          <w:szCs w:val="22"/>
          <w:lang w:val="es"/>
        </w:rPr>
        <w:t>C</w:t>
      </w:r>
      <w:r w:rsidRPr="003C15F1">
        <w:rPr>
          <w:color w:val="000000"/>
          <w:kern w:val="24"/>
          <w:sz w:val="22"/>
          <w:szCs w:val="22"/>
          <w:lang w:val="es"/>
        </w:rPr>
        <w:t>TI+</w:t>
      </w:r>
      <w:r w:rsidR="008F0869" w:rsidRPr="003C15F1">
        <w:rPr>
          <w:color w:val="000000"/>
          <w:kern w:val="24"/>
          <w:sz w:val="22"/>
          <w:szCs w:val="22"/>
          <w:lang w:val="es"/>
        </w:rPr>
        <w:t>i</w:t>
      </w:r>
      <w:proofErr w:type="spellEnd"/>
      <w:r w:rsidRPr="003C15F1">
        <w:rPr>
          <w:color w:val="000000"/>
          <w:kern w:val="24"/>
          <w:sz w:val="22"/>
          <w:szCs w:val="22"/>
          <w:lang w:val="es"/>
        </w:rPr>
        <w:t xml:space="preserve"> con la participación de los actores clave del ecosistema de CTI, para apoyar el proceso de recuperación de la educación post-COVID19</w:t>
      </w:r>
      <w:r w:rsidR="007669B7" w:rsidRPr="003C15F1">
        <w:rPr>
          <w:color w:val="000000"/>
          <w:kern w:val="24"/>
          <w:sz w:val="22"/>
          <w:szCs w:val="22"/>
          <w:lang w:val="es"/>
        </w:rPr>
        <w:t>.</w:t>
      </w:r>
    </w:p>
    <w:p w14:paraId="78CD745A" w14:textId="3756909C" w:rsidR="00B54C80" w:rsidRDefault="00B54C80" w:rsidP="003C15F1">
      <w:pPr>
        <w:kinsoku w:val="0"/>
        <w:overflowPunct w:val="0"/>
        <w:contextualSpacing/>
        <w:textAlignment w:val="baseline"/>
        <w:rPr>
          <w:sz w:val="22"/>
          <w:szCs w:val="22"/>
          <w:lang w:val="es-US"/>
        </w:rPr>
      </w:pPr>
      <w:r>
        <w:rPr>
          <w:sz w:val="22"/>
          <w:szCs w:val="22"/>
          <w:lang w:val="es-US"/>
        </w:rPr>
        <w:br w:type="page"/>
      </w:r>
    </w:p>
    <w:p w14:paraId="341F5E84" w14:textId="77777777" w:rsidR="00E6049E" w:rsidRPr="003C15F1" w:rsidRDefault="00E6049E" w:rsidP="003C15F1">
      <w:pPr>
        <w:kinsoku w:val="0"/>
        <w:overflowPunct w:val="0"/>
        <w:ind w:left="720"/>
        <w:jc w:val="both"/>
        <w:textAlignment w:val="baseline"/>
        <w:rPr>
          <w:sz w:val="22"/>
          <w:szCs w:val="22"/>
          <w:lang w:val="es-US"/>
        </w:rPr>
      </w:pPr>
      <w:r w:rsidRPr="003C15F1">
        <w:rPr>
          <w:b/>
          <w:bCs/>
          <w:color w:val="000000"/>
          <w:kern w:val="24"/>
          <w:sz w:val="22"/>
          <w:szCs w:val="22"/>
          <w:lang w:val="es"/>
        </w:rPr>
        <w:lastRenderedPageBreak/>
        <w:t xml:space="preserve">Programa IV: Ciencia para la toma de decisiones en la planificación del riesgo de desastres </w:t>
      </w:r>
    </w:p>
    <w:bookmarkEnd w:id="8"/>
    <w:p w14:paraId="282F1DBD" w14:textId="65E79A7C" w:rsidR="00E6049E" w:rsidRPr="003C15F1" w:rsidRDefault="00E6049E" w:rsidP="00FF59F0">
      <w:pPr>
        <w:numPr>
          <w:ilvl w:val="0"/>
          <w:numId w:val="49"/>
        </w:numPr>
        <w:kinsoku w:val="0"/>
        <w:overflowPunct w:val="0"/>
        <w:ind w:hanging="720"/>
        <w:contextualSpacing/>
        <w:jc w:val="both"/>
        <w:textAlignment w:val="baseline"/>
        <w:rPr>
          <w:sz w:val="22"/>
          <w:szCs w:val="22"/>
          <w:lang w:val="es-US"/>
        </w:rPr>
      </w:pPr>
      <w:r w:rsidRPr="003C15F1">
        <w:rPr>
          <w:color w:val="000000"/>
          <w:kern w:val="24"/>
          <w:sz w:val="22"/>
          <w:szCs w:val="22"/>
          <w:lang w:val="es"/>
        </w:rPr>
        <w:t xml:space="preserve">Bahamas: Desarrollar comodidad y confianza en los datos científicos para la evaluación y gestión del riesgo de desastres, incluida la planificación. Los datos incluyen datos de base SIG, datos meteorológicos, </w:t>
      </w:r>
      <w:r w:rsidR="00B30EE2" w:rsidRPr="003C15F1">
        <w:rPr>
          <w:color w:val="000000"/>
          <w:kern w:val="24"/>
          <w:sz w:val="22"/>
          <w:szCs w:val="22"/>
          <w:lang w:val="es"/>
        </w:rPr>
        <w:t>amenazas de tormentas</w:t>
      </w:r>
      <w:r w:rsidRPr="003C15F1">
        <w:rPr>
          <w:color w:val="000000"/>
          <w:kern w:val="24"/>
          <w:sz w:val="22"/>
          <w:szCs w:val="22"/>
          <w:lang w:val="es"/>
        </w:rPr>
        <w:t xml:space="preserve"> actualizad</w:t>
      </w:r>
      <w:r w:rsidR="00B30EE2" w:rsidRPr="003C15F1">
        <w:rPr>
          <w:color w:val="000000"/>
          <w:kern w:val="24"/>
          <w:sz w:val="22"/>
          <w:szCs w:val="22"/>
          <w:lang w:val="es"/>
        </w:rPr>
        <w:t>a</w:t>
      </w:r>
      <w:r w:rsidRPr="003C15F1">
        <w:rPr>
          <w:color w:val="000000"/>
          <w:kern w:val="24"/>
          <w:sz w:val="22"/>
          <w:szCs w:val="22"/>
          <w:lang w:val="es"/>
        </w:rPr>
        <w:t>s, eventos históricos, análisis socioeconómicos, lecciones aprendidas, análisis de gestión de desastres y más.</w:t>
      </w:r>
    </w:p>
    <w:p w14:paraId="3294A132" w14:textId="77777777" w:rsidR="00E6049E" w:rsidRPr="00240925" w:rsidRDefault="00E6049E" w:rsidP="003C15F1">
      <w:pPr>
        <w:jc w:val="both"/>
        <w:rPr>
          <w:rFonts w:eastAsia="Calibri"/>
          <w:color w:val="000000" w:themeColor="text1"/>
          <w:sz w:val="22"/>
          <w:szCs w:val="22"/>
          <w:lang w:val="es-US"/>
        </w:rPr>
      </w:pPr>
    </w:p>
    <w:p w14:paraId="389EB14B" w14:textId="77777777" w:rsidR="00B30EE2" w:rsidRPr="003C15F1" w:rsidRDefault="00B30EE2" w:rsidP="003C15F1">
      <w:pPr>
        <w:jc w:val="both"/>
        <w:rPr>
          <w:rFonts w:eastAsia="Calibri"/>
          <w:b/>
          <w:sz w:val="22"/>
          <w:szCs w:val="22"/>
          <w:lang w:val="es-US"/>
        </w:rPr>
      </w:pPr>
      <w:r w:rsidRPr="003C15F1">
        <w:rPr>
          <w:b/>
          <w:sz w:val="22"/>
          <w:szCs w:val="22"/>
          <w:lang w:val="es"/>
        </w:rPr>
        <w:t>La Red Interamericana de Cooperación (</w:t>
      </w:r>
      <w:proofErr w:type="spellStart"/>
      <w:r w:rsidRPr="003C15F1">
        <w:rPr>
          <w:b/>
          <w:sz w:val="22"/>
          <w:szCs w:val="22"/>
          <w:lang w:val="es"/>
        </w:rPr>
        <w:t>CooperaNet</w:t>
      </w:r>
      <w:proofErr w:type="spellEnd"/>
      <w:r w:rsidRPr="003C15F1">
        <w:rPr>
          <w:b/>
          <w:sz w:val="22"/>
          <w:szCs w:val="22"/>
          <w:lang w:val="es"/>
        </w:rPr>
        <w:t>)</w:t>
      </w:r>
    </w:p>
    <w:p w14:paraId="1D3B5126" w14:textId="77777777" w:rsidR="00064733" w:rsidRPr="00064733" w:rsidRDefault="00064733" w:rsidP="003C15F1">
      <w:pPr>
        <w:contextualSpacing/>
        <w:jc w:val="both"/>
        <w:rPr>
          <w:rFonts w:eastAsia="Calibri"/>
          <w:sz w:val="22"/>
          <w:szCs w:val="22"/>
          <w:lang w:val="es-US"/>
        </w:rPr>
      </w:pPr>
    </w:p>
    <w:p w14:paraId="410044BA" w14:textId="77777777" w:rsidR="00B30EE2" w:rsidRPr="003C15F1" w:rsidRDefault="00B30EE2" w:rsidP="003C15F1">
      <w:pPr>
        <w:ind w:firstLine="720"/>
        <w:contextualSpacing/>
        <w:jc w:val="both"/>
        <w:textAlignment w:val="top"/>
        <w:rPr>
          <w:sz w:val="22"/>
          <w:szCs w:val="22"/>
        </w:rPr>
      </w:pPr>
      <w:r w:rsidRPr="003C15F1">
        <w:rPr>
          <w:color w:val="000000"/>
          <w:kern w:val="24"/>
          <w:sz w:val="22"/>
          <w:szCs w:val="22"/>
          <w:lang w:val="es"/>
        </w:rPr>
        <w:t>Intercambios de cooperación:</w:t>
      </w:r>
    </w:p>
    <w:p w14:paraId="212E8ADC" w14:textId="3936DEAE" w:rsidR="007E4978" w:rsidRPr="003C15F1" w:rsidRDefault="007E4978" w:rsidP="00FF59F0">
      <w:pPr>
        <w:numPr>
          <w:ilvl w:val="1"/>
          <w:numId w:val="55"/>
        </w:numPr>
        <w:ind w:left="1440" w:hanging="360"/>
        <w:contextualSpacing/>
        <w:jc w:val="both"/>
        <w:textAlignment w:val="top"/>
        <w:rPr>
          <w:sz w:val="22"/>
          <w:szCs w:val="22"/>
          <w:lang w:val="es-US"/>
        </w:rPr>
      </w:pPr>
      <w:r w:rsidRPr="003C15F1">
        <w:rPr>
          <w:color w:val="000000"/>
          <w:kern w:val="24"/>
          <w:sz w:val="22"/>
          <w:szCs w:val="22"/>
          <w:lang w:val="es"/>
        </w:rPr>
        <w:t xml:space="preserve">240 ofertas y necesidades de 11 Estados </w:t>
      </w:r>
      <w:r w:rsidR="001A1EE4" w:rsidRPr="003C15F1">
        <w:rPr>
          <w:color w:val="000000"/>
          <w:kern w:val="24"/>
          <w:sz w:val="22"/>
          <w:szCs w:val="22"/>
          <w:lang w:val="es"/>
        </w:rPr>
        <w:t>M</w:t>
      </w:r>
      <w:r w:rsidRPr="003C15F1">
        <w:rPr>
          <w:color w:val="000000"/>
          <w:kern w:val="24"/>
          <w:sz w:val="22"/>
          <w:szCs w:val="22"/>
          <w:lang w:val="es"/>
        </w:rPr>
        <w:t>iembros publicadas.</w:t>
      </w:r>
    </w:p>
    <w:p w14:paraId="58D02A8D" w14:textId="29D9DB52" w:rsidR="007E4978" w:rsidRPr="003C15F1" w:rsidRDefault="007E4978" w:rsidP="00FF59F0">
      <w:pPr>
        <w:numPr>
          <w:ilvl w:val="1"/>
          <w:numId w:val="55"/>
        </w:numPr>
        <w:ind w:left="1440" w:hanging="360"/>
        <w:contextualSpacing/>
        <w:jc w:val="both"/>
        <w:textAlignment w:val="top"/>
        <w:rPr>
          <w:sz w:val="22"/>
          <w:szCs w:val="22"/>
          <w:lang w:val="es-US"/>
        </w:rPr>
      </w:pPr>
      <w:r w:rsidRPr="003C15F1">
        <w:rPr>
          <w:color w:val="000000"/>
          <w:kern w:val="24"/>
          <w:sz w:val="22"/>
          <w:szCs w:val="22"/>
          <w:lang w:val="es"/>
        </w:rPr>
        <w:t xml:space="preserve">Las ofertas adicionales que emanen de la Reunión de Autoridades de Cooperación de 2021 se llenarán en colaboración con los Estados </w:t>
      </w:r>
      <w:r w:rsidR="001A1EE4" w:rsidRPr="003C15F1">
        <w:rPr>
          <w:color w:val="000000"/>
          <w:kern w:val="24"/>
          <w:sz w:val="22"/>
          <w:szCs w:val="22"/>
          <w:lang w:val="es"/>
        </w:rPr>
        <w:t>M</w:t>
      </w:r>
      <w:r w:rsidRPr="003C15F1">
        <w:rPr>
          <w:color w:val="000000"/>
          <w:kern w:val="24"/>
          <w:sz w:val="22"/>
          <w:szCs w:val="22"/>
          <w:lang w:val="es"/>
        </w:rPr>
        <w:t>iembros y socios.</w:t>
      </w:r>
    </w:p>
    <w:p w14:paraId="0F5DF782" w14:textId="3B3E0104" w:rsidR="00064733" w:rsidRPr="003C15F1" w:rsidRDefault="00064733" w:rsidP="003C15F1">
      <w:pPr>
        <w:ind w:left="1440"/>
        <w:contextualSpacing/>
        <w:jc w:val="both"/>
        <w:textAlignment w:val="top"/>
        <w:rPr>
          <w:sz w:val="22"/>
          <w:szCs w:val="22"/>
          <w:lang w:val="es-US"/>
        </w:rPr>
      </w:pPr>
    </w:p>
    <w:p w14:paraId="54B9CA4C" w14:textId="77777777" w:rsidR="003E04E9" w:rsidRPr="00064733" w:rsidRDefault="003E04E9" w:rsidP="003C15F1">
      <w:pPr>
        <w:ind w:left="1440"/>
        <w:contextualSpacing/>
        <w:jc w:val="both"/>
        <w:textAlignment w:val="top"/>
        <w:rPr>
          <w:sz w:val="22"/>
          <w:szCs w:val="22"/>
          <w:lang w:val="es-US"/>
        </w:rPr>
      </w:pPr>
    </w:p>
    <w:p w14:paraId="114A6BB1" w14:textId="77777777" w:rsidR="001A1EE4" w:rsidRPr="003C15F1" w:rsidRDefault="001A1EE4" w:rsidP="003C15F1">
      <w:pPr>
        <w:ind w:firstLine="720"/>
        <w:contextualSpacing/>
        <w:jc w:val="both"/>
        <w:textAlignment w:val="top"/>
        <w:rPr>
          <w:sz w:val="22"/>
          <w:szCs w:val="22"/>
        </w:rPr>
      </w:pPr>
      <w:r w:rsidRPr="003C15F1">
        <w:rPr>
          <w:color w:val="000000"/>
          <w:kern w:val="24"/>
          <w:sz w:val="22"/>
          <w:szCs w:val="22"/>
          <w:lang w:val="es"/>
        </w:rPr>
        <w:t>Formación y seguimiento:</w:t>
      </w:r>
    </w:p>
    <w:p w14:paraId="11078F57" w14:textId="15CE35F4" w:rsidR="001A1EE4" w:rsidRPr="003C15F1" w:rsidRDefault="001A1EE4" w:rsidP="00FF59F0">
      <w:pPr>
        <w:numPr>
          <w:ilvl w:val="1"/>
          <w:numId w:val="50"/>
        </w:numPr>
        <w:ind w:left="1440" w:hanging="360"/>
        <w:contextualSpacing/>
        <w:jc w:val="both"/>
        <w:textAlignment w:val="top"/>
        <w:rPr>
          <w:sz w:val="22"/>
          <w:szCs w:val="22"/>
          <w:lang w:val="es-US"/>
        </w:rPr>
      </w:pPr>
      <w:r w:rsidRPr="003C15F1">
        <w:rPr>
          <w:color w:val="000000"/>
          <w:kern w:val="24"/>
          <w:sz w:val="22"/>
          <w:szCs w:val="22"/>
          <w:lang w:val="es"/>
        </w:rPr>
        <w:t>Diálogo continuo y apoyo proporcionado a los Estados Miembros comprometidos.</w:t>
      </w:r>
    </w:p>
    <w:p w14:paraId="545C0E98" w14:textId="77777777" w:rsidR="00064733" w:rsidRPr="00064733" w:rsidRDefault="00064733" w:rsidP="003C15F1">
      <w:pPr>
        <w:ind w:left="1440"/>
        <w:contextualSpacing/>
        <w:jc w:val="both"/>
        <w:textAlignment w:val="top"/>
        <w:rPr>
          <w:sz w:val="22"/>
          <w:szCs w:val="22"/>
          <w:lang w:val="es-US"/>
        </w:rPr>
      </w:pPr>
    </w:p>
    <w:p w14:paraId="0B1001D1" w14:textId="77777777" w:rsidR="001A1EE4" w:rsidRPr="003C15F1" w:rsidRDefault="001A1EE4" w:rsidP="003C15F1">
      <w:pPr>
        <w:ind w:firstLine="720"/>
        <w:contextualSpacing/>
        <w:jc w:val="both"/>
        <w:textAlignment w:val="top"/>
        <w:rPr>
          <w:sz w:val="22"/>
          <w:szCs w:val="22"/>
        </w:rPr>
      </w:pPr>
      <w:r w:rsidRPr="003C15F1">
        <w:rPr>
          <w:color w:val="000000" w:themeColor="text1"/>
          <w:kern w:val="24"/>
          <w:sz w:val="22"/>
          <w:szCs w:val="22"/>
          <w:lang w:val="es"/>
        </w:rPr>
        <w:t>Autoridades de cooperación:</w:t>
      </w:r>
    </w:p>
    <w:p w14:paraId="7D211224" w14:textId="30700E23" w:rsidR="001A1EE4" w:rsidRPr="003C15F1" w:rsidRDefault="001A1EE4" w:rsidP="00FF59F0">
      <w:pPr>
        <w:numPr>
          <w:ilvl w:val="1"/>
          <w:numId w:val="56"/>
        </w:numPr>
        <w:ind w:left="1440" w:hanging="360"/>
        <w:contextualSpacing/>
        <w:jc w:val="both"/>
        <w:textAlignment w:val="top"/>
        <w:rPr>
          <w:sz w:val="22"/>
          <w:szCs w:val="22"/>
          <w:lang w:val="es-US"/>
        </w:rPr>
      </w:pPr>
      <w:r w:rsidRPr="003C15F1">
        <w:rPr>
          <w:color w:val="000000"/>
          <w:kern w:val="24"/>
          <w:sz w:val="22"/>
          <w:szCs w:val="22"/>
          <w:lang w:val="es"/>
        </w:rPr>
        <w:t xml:space="preserve">Perfiles actualizados </w:t>
      </w:r>
      <w:proofErr w:type="gramStart"/>
      <w:r w:rsidRPr="003C15F1">
        <w:rPr>
          <w:color w:val="000000"/>
          <w:kern w:val="24"/>
          <w:sz w:val="22"/>
          <w:szCs w:val="22"/>
          <w:lang w:val="es"/>
        </w:rPr>
        <w:t>de acuerdo a</w:t>
      </w:r>
      <w:proofErr w:type="gramEnd"/>
      <w:r w:rsidRPr="003C15F1">
        <w:rPr>
          <w:color w:val="000000"/>
          <w:kern w:val="24"/>
          <w:sz w:val="22"/>
          <w:szCs w:val="22"/>
          <w:lang w:val="es"/>
        </w:rPr>
        <w:t xml:space="preserve"> las comunicaciones recibidas de las Autoridades de Cooperación y Misiones Permanentes de los Estados Miembros ante la OEA.</w:t>
      </w:r>
    </w:p>
    <w:p w14:paraId="55DB1394" w14:textId="77777777" w:rsidR="00F8766E" w:rsidRPr="003C15F1" w:rsidRDefault="00F8766E" w:rsidP="003C15F1">
      <w:pPr>
        <w:ind w:left="1440" w:hanging="720"/>
        <w:contextualSpacing/>
        <w:jc w:val="both"/>
        <w:textAlignment w:val="top"/>
        <w:rPr>
          <w:sz w:val="22"/>
          <w:szCs w:val="22"/>
          <w:lang w:val="es-US"/>
        </w:rPr>
      </w:pPr>
    </w:p>
    <w:p w14:paraId="77553AB9" w14:textId="77777777" w:rsidR="001A1EE4" w:rsidRPr="003C15F1" w:rsidRDefault="001A1EE4" w:rsidP="00FF59F0">
      <w:pPr>
        <w:numPr>
          <w:ilvl w:val="1"/>
          <w:numId w:val="56"/>
        </w:numPr>
        <w:ind w:left="1440" w:hanging="360"/>
        <w:contextualSpacing/>
        <w:jc w:val="both"/>
        <w:textAlignment w:val="top"/>
        <w:rPr>
          <w:sz w:val="22"/>
          <w:szCs w:val="22"/>
          <w:lang w:val="es-US"/>
        </w:rPr>
      </w:pPr>
      <w:r w:rsidRPr="003C15F1">
        <w:rPr>
          <w:color w:val="000000"/>
          <w:kern w:val="24"/>
          <w:sz w:val="22"/>
          <w:szCs w:val="22"/>
          <w:lang w:val="es"/>
        </w:rPr>
        <w:t xml:space="preserve">Información actualizada sobre las </w:t>
      </w:r>
      <w:r w:rsidRPr="003C15F1">
        <w:rPr>
          <w:color w:val="000000" w:themeColor="text1"/>
          <w:kern w:val="24"/>
          <w:sz w:val="22"/>
          <w:szCs w:val="22"/>
          <w:lang w:val="es"/>
        </w:rPr>
        <w:t xml:space="preserve">Reuniones especializadas del CIDI de Altas Autoridades de Cooperación de 2018, 2019 y 2021 (Documentos principales, informes, </w:t>
      </w:r>
      <w:proofErr w:type="spellStart"/>
      <w:r w:rsidRPr="003C15F1">
        <w:rPr>
          <w:i/>
          <w:iCs/>
          <w:color w:val="000000" w:themeColor="text1"/>
          <w:kern w:val="24"/>
          <w:sz w:val="22"/>
          <w:szCs w:val="22"/>
          <w:lang w:val="es"/>
        </w:rPr>
        <w:t>One</w:t>
      </w:r>
      <w:proofErr w:type="spellEnd"/>
      <w:r w:rsidRPr="003C15F1">
        <w:rPr>
          <w:i/>
          <w:iCs/>
          <w:color w:val="000000" w:themeColor="text1"/>
          <w:kern w:val="24"/>
          <w:sz w:val="22"/>
          <w:szCs w:val="22"/>
          <w:lang w:val="es"/>
        </w:rPr>
        <w:t xml:space="preserve"> </w:t>
      </w:r>
      <w:proofErr w:type="spellStart"/>
      <w:r w:rsidRPr="003C15F1">
        <w:rPr>
          <w:i/>
          <w:iCs/>
          <w:color w:val="000000" w:themeColor="text1"/>
          <w:kern w:val="24"/>
          <w:sz w:val="22"/>
          <w:szCs w:val="22"/>
          <w:lang w:val="es"/>
        </w:rPr>
        <w:t>Pagers</w:t>
      </w:r>
      <w:proofErr w:type="spellEnd"/>
      <w:r w:rsidRPr="003C15F1">
        <w:rPr>
          <w:i/>
          <w:iCs/>
          <w:color w:val="000000" w:themeColor="text1"/>
          <w:kern w:val="24"/>
          <w:sz w:val="22"/>
          <w:szCs w:val="22"/>
          <w:lang w:val="es"/>
        </w:rPr>
        <w:t xml:space="preserve"> of </w:t>
      </w:r>
      <w:proofErr w:type="spellStart"/>
      <w:r w:rsidRPr="003C15F1">
        <w:rPr>
          <w:i/>
          <w:iCs/>
          <w:color w:val="000000" w:themeColor="text1"/>
          <w:kern w:val="24"/>
          <w:sz w:val="22"/>
          <w:szCs w:val="22"/>
          <w:lang w:val="es"/>
        </w:rPr>
        <w:t>Initiatives</w:t>
      </w:r>
      <w:proofErr w:type="spellEnd"/>
      <w:r w:rsidRPr="003C15F1">
        <w:rPr>
          <w:color w:val="000000" w:themeColor="text1"/>
          <w:kern w:val="24"/>
          <w:sz w:val="22"/>
          <w:szCs w:val="22"/>
          <w:lang w:val="es"/>
        </w:rPr>
        <w:t xml:space="preserve">, y oportunidades de cooperación en áreas prioritarias para la recuperación, etc.) </w:t>
      </w:r>
    </w:p>
    <w:p w14:paraId="7FB01972" w14:textId="77777777" w:rsidR="00064733" w:rsidRPr="00064733" w:rsidRDefault="00064733" w:rsidP="003C15F1">
      <w:pPr>
        <w:rPr>
          <w:b/>
          <w:bCs/>
          <w:sz w:val="22"/>
          <w:szCs w:val="22"/>
          <w:lang w:val="es-US"/>
        </w:rPr>
      </w:pPr>
    </w:p>
    <w:p w14:paraId="6C155EFC" w14:textId="6B925BF0" w:rsidR="001A1EE4" w:rsidRPr="003C15F1" w:rsidRDefault="00F8766E" w:rsidP="003C15F1">
      <w:pPr>
        <w:rPr>
          <w:rFonts w:eastAsia="MS PGothic"/>
          <w:b/>
          <w:bCs/>
          <w:color w:val="000000" w:themeColor="text1"/>
          <w:kern w:val="24"/>
          <w:sz w:val="22"/>
          <w:szCs w:val="22"/>
          <w:lang w:val="es-US"/>
        </w:rPr>
      </w:pPr>
      <w:r w:rsidRPr="003C15F1">
        <w:rPr>
          <w:b/>
          <w:bCs/>
          <w:color w:val="000000" w:themeColor="text1"/>
          <w:kern w:val="24"/>
          <w:sz w:val="22"/>
          <w:szCs w:val="22"/>
          <w:lang w:val="es"/>
        </w:rPr>
        <w:t xml:space="preserve">Reunión Especializada del CIDI de Altas Autoridades de </w:t>
      </w:r>
      <w:r w:rsidR="001A1EE4" w:rsidRPr="003C15F1">
        <w:rPr>
          <w:b/>
          <w:bCs/>
          <w:color w:val="000000" w:themeColor="text1"/>
          <w:kern w:val="24"/>
          <w:sz w:val="22"/>
          <w:szCs w:val="22"/>
          <w:lang w:val="es"/>
        </w:rPr>
        <w:t>Cooperación, 2021</w:t>
      </w:r>
    </w:p>
    <w:p w14:paraId="024998B4" w14:textId="338DC5E3" w:rsidR="001A1EE4" w:rsidRPr="003C15F1" w:rsidRDefault="001A1EE4" w:rsidP="00FF59F0">
      <w:pPr>
        <w:numPr>
          <w:ilvl w:val="1"/>
          <w:numId w:val="51"/>
        </w:numPr>
        <w:ind w:left="1440" w:hanging="720"/>
        <w:contextualSpacing/>
        <w:jc w:val="both"/>
        <w:textAlignment w:val="top"/>
        <w:rPr>
          <w:rFonts w:eastAsia="MS PGothic"/>
          <w:color w:val="000000"/>
          <w:kern w:val="24"/>
          <w:sz w:val="22"/>
          <w:szCs w:val="22"/>
          <w:lang w:val="es-US"/>
        </w:rPr>
      </w:pPr>
      <w:r w:rsidRPr="003C15F1">
        <w:rPr>
          <w:color w:val="000000"/>
          <w:kern w:val="24"/>
          <w:sz w:val="22"/>
          <w:szCs w:val="22"/>
          <w:lang w:val="es"/>
        </w:rPr>
        <w:t>La</w:t>
      </w:r>
      <w:hyperlink r:id="rId12" w:history="1">
        <w:r w:rsidRPr="003C15F1">
          <w:rPr>
            <w:kern w:val="24"/>
            <w:sz w:val="22"/>
            <w:szCs w:val="22"/>
            <w:lang w:val="es"/>
          </w:rPr>
          <w:t xml:space="preserve"> Tercera </w:t>
        </w:r>
      </w:hyperlink>
      <w:r w:rsidRPr="003C15F1">
        <w:rPr>
          <w:sz w:val="22"/>
          <w:szCs w:val="22"/>
          <w:lang w:val="es"/>
        </w:rPr>
        <w:t xml:space="preserve">Reunión Especializada del </w:t>
      </w:r>
      <w:hyperlink r:id="rId13" w:history="1">
        <w:r w:rsidRPr="003C15F1">
          <w:rPr>
            <w:kern w:val="24"/>
            <w:sz w:val="22"/>
            <w:szCs w:val="22"/>
            <w:lang w:val="es"/>
          </w:rPr>
          <w:t xml:space="preserve">CIDI </w:t>
        </w:r>
      </w:hyperlink>
      <w:hyperlink r:id="rId14" w:history="1">
        <w:r w:rsidRPr="003C15F1">
          <w:rPr>
            <w:kern w:val="24"/>
            <w:sz w:val="22"/>
            <w:szCs w:val="22"/>
            <w:lang w:val="es"/>
          </w:rPr>
          <w:t>de Altas Autoridades de Cooperación</w:t>
        </w:r>
      </w:hyperlink>
      <w:r w:rsidRPr="003C15F1">
        <w:rPr>
          <w:color w:val="000000"/>
          <w:kern w:val="24"/>
          <w:sz w:val="22"/>
          <w:szCs w:val="22"/>
          <w:lang w:val="es"/>
        </w:rPr>
        <w:t xml:space="preserve"> se realizó de manera virtual los días 2 y 3 de diciembre de 2021 bajo el tema: </w:t>
      </w:r>
      <w:r w:rsidR="00F8766E" w:rsidRPr="003C15F1">
        <w:rPr>
          <w:b/>
          <w:bCs/>
          <w:color w:val="000000"/>
          <w:kern w:val="24"/>
          <w:sz w:val="22"/>
          <w:szCs w:val="22"/>
          <w:lang w:val="es"/>
        </w:rPr>
        <w:t>“</w:t>
      </w:r>
      <w:r w:rsidRPr="003C15F1">
        <w:rPr>
          <w:b/>
          <w:bCs/>
          <w:color w:val="000000"/>
          <w:kern w:val="24"/>
          <w:sz w:val="22"/>
          <w:szCs w:val="22"/>
          <w:lang w:val="es"/>
        </w:rPr>
        <w:t>Cooperación y Alianzas como motores de la recuperación socioeconómica post-COVID-19 en la región</w:t>
      </w:r>
      <w:r w:rsidR="00F8766E" w:rsidRPr="003C15F1">
        <w:rPr>
          <w:b/>
          <w:bCs/>
          <w:color w:val="000000"/>
          <w:kern w:val="24"/>
          <w:sz w:val="22"/>
          <w:szCs w:val="22"/>
          <w:lang w:val="es"/>
        </w:rPr>
        <w:t>”</w:t>
      </w:r>
      <w:r w:rsidRPr="003C15F1">
        <w:rPr>
          <w:b/>
          <w:bCs/>
          <w:color w:val="000000"/>
          <w:kern w:val="24"/>
          <w:sz w:val="22"/>
          <w:szCs w:val="22"/>
          <w:lang w:val="es"/>
        </w:rPr>
        <w:t>.</w:t>
      </w:r>
      <w:r w:rsidRPr="003C15F1">
        <w:rPr>
          <w:sz w:val="22"/>
          <w:szCs w:val="22"/>
          <w:lang w:val="es"/>
        </w:rPr>
        <w:t xml:space="preserve"> </w:t>
      </w:r>
      <w:r w:rsidRPr="003C15F1">
        <w:rPr>
          <w:color w:val="000000"/>
          <w:kern w:val="24"/>
          <w:sz w:val="22"/>
          <w:szCs w:val="22"/>
          <w:lang w:val="es"/>
        </w:rPr>
        <w:t xml:space="preserve"> La reunión virtual de dos medios días reunió a más de 230 participantes de 30 Estados Miembros de la OEA, incluidos ministros de gobierno, autoridades de cooperación de alto nivel, embajadores y otros representantes, junto con socios de diferentes sectores.</w:t>
      </w:r>
    </w:p>
    <w:p w14:paraId="46D86585" w14:textId="77777777" w:rsidR="00064733" w:rsidRPr="00064733" w:rsidRDefault="00064733" w:rsidP="003C15F1">
      <w:pPr>
        <w:ind w:left="1440"/>
        <w:contextualSpacing/>
        <w:jc w:val="both"/>
        <w:textAlignment w:val="top"/>
        <w:rPr>
          <w:rFonts w:eastAsia="MS PGothic"/>
          <w:color w:val="000000"/>
          <w:kern w:val="24"/>
          <w:sz w:val="22"/>
          <w:szCs w:val="22"/>
          <w:lang w:val="es-US"/>
        </w:rPr>
      </w:pPr>
    </w:p>
    <w:p w14:paraId="1D475D64" w14:textId="109D9436" w:rsidR="001A1EE4" w:rsidRPr="003C15F1" w:rsidRDefault="001A1EE4" w:rsidP="00FF59F0">
      <w:pPr>
        <w:numPr>
          <w:ilvl w:val="1"/>
          <w:numId w:val="52"/>
        </w:numPr>
        <w:ind w:left="1440" w:hanging="720"/>
        <w:contextualSpacing/>
        <w:jc w:val="both"/>
        <w:textAlignment w:val="top"/>
        <w:rPr>
          <w:rFonts w:eastAsia="MS PGothic"/>
          <w:color w:val="000000"/>
          <w:kern w:val="24"/>
          <w:sz w:val="22"/>
          <w:szCs w:val="22"/>
          <w:lang w:val="es-US"/>
        </w:rPr>
      </w:pPr>
      <w:r w:rsidRPr="003C15F1">
        <w:rPr>
          <w:color w:val="000000"/>
          <w:kern w:val="24"/>
          <w:sz w:val="22"/>
          <w:szCs w:val="22"/>
          <w:lang w:val="es"/>
        </w:rPr>
        <w:t xml:space="preserve">Durante la reunión, representantes de más de 20 miembros de la OEA ofrecieron ofertas concretas de cooperación o identificaron necesidades en las que </w:t>
      </w:r>
      <w:r w:rsidR="00F8766E" w:rsidRPr="003C15F1">
        <w:rPr>
          <w:color w:val="000000"/>
          <w:kern w:val="24"/>
          <w:sz w:val="22"/>
          <w:szCs w:val="22"/>
          <w:lang w:val="es"/>
        </w:rPr>
        <w:t xml:space="preserve">requieren </w:t>
      </w:r>
      <w:r w:rsidRPr="003C15F1">
        <w:rPr>
          <w:color w:val="000000"/>
          <w:kern w:val="24"/>
          <w:sz w:val="22"/>
          <w:szCs w:val="22"/>
          <w:lang w:val="es"/>
        </w:rPr>
        <w:t>más asistencia. Además, Estados Unidos (500 mil dólares) y Brasil (200 mil dólares) anunciaron nuevas contribuciones financieras para apoyar iniciativas de cooperación en la región.</w:t>
      </w:r>
    </w:p>
    <w:p w14:paraId="0F5D99A4" w14:textId="77777777" w:rsidR="00064733" w:rsidRPr="00064733" w:rsidRDefault="00064733" w:rsidP="003C15F1">
      <w:pPr>
        <w:ind w:left="1440"/>
        <w:contextualSpacing/>
        <w:jc w:val="both"/>
        <w:textAlignment w:val="top"/>
        <w:rPr>
          <w:rFonts w:eastAsia="MS PGothic"/>
          <w:color w:val="000000"/>
          <w:kern w:val="24"/>
          <w:sz w:val="22"/>
          <w:szCs w:val="22"/>
          <w:lang w:val="es-US"/>
        </w:rPr>
      </w:pPr>
    </w:p>
    <w:p w14:paraId="7088572A" w14:textId="78AB8C2E" w:rsidR="001A1EE4" w:rsidRPr="003C15F1" w:rsidRDefault="001A1EE4" w:rsidP="00FF59F0">
      <w:pPr>
        <w:numPr>
          <w:ilvl w:val="1"/>
          <w:numId w:val="53"/>
        </w:numPr>
        <w:ind w:left="1440" w:hanging="360"/>
        <w:contextualSpacing/>
        <w:jc w:val="both"/>
        <w:textAlignment w:val="top"/>
        <w:rPr>
          <w:rFonts w:eastAsia="MS PGothic"/>
          <w:color w:val="000000"/>
          <w:kern w:val="24"/>
          <w:sz w:val="22"/>
          <w:szCs w:val="22"/>
          <w:lang w:val="es-US"/>
        </w:rPr>
      </w:pPr>
      <w:r w:rsidRPr="003C15F1">
        <w:rPr>
          <w:color w:val="000000"/>
          <w:kern w:val="24"/>
          <w:sz w:val="22"/>
          <w:szCs w:val="22"/>
          <w:lang w:val="es"/>
        </w:rPr>
        <w:t xml:space="preserve">25 socios estratégicos, incluidos representantes de Estados observadores, organizaciones internacionales y regionales, fundaciones filantrópicas, empresas privadas e instituciones académicas, delinearon algunas de sus prioridades en la región y destacaron áreas en las que existe potencial de colaboración con la OEA/SEDI. Estas </w:t>
      </w:r>
      <w:r w:rsidRPr="003C15F1">
        <w:rPr>
          <w:color w:val="000000"/>
          <w:kern w:val="24"/>
          <w:sz w:val="22"/>
          <w:szCs w:val="22"/>
          <w:lang w:val="es"/>
        </w:rPr>
        <w:lastRenderedPageBreak/>
        <w:t>prioridades están alineadas con las áreas programáticas de la OEA/SEDI y fortalecerán la ejecución de proyectos en 2022 y</w:t>
      </w:r>
      <w:r w:rsidR="00DA399C" w:rsidRPr="003C15F1">
        <w:rPr>
          <w:color w:val="000000"/>
          <w:kern w:val="24"/>
          <w:sz w:val="22"/>
          <w:szCs w:val="22"/>
          <w:lang w:val="es"/>
        </w:rPr>
        <w:t xml:space="preserve"> posteriormente</w:t>
      </w:r>
      <w:r w:rsidRPr="003C15F1">
        <w:rPr>
          <w:color w:val="000000"/>
          <w:kern w:val="24"/>
          <w:sz w:val="22"/>
          <w:szCs w:val="22"/>
          <w:lang w:val="es"/>
        </w:rPr>
        <w:t xml:space="preserve">. </w:t>
      </w:r>
    </w:p>
    <w:p w14:paraId="515C5958" w14:textId="77777777" w:rsidR="00064733" w:rsidRPr="00064733" w:rsidRDefault="00064733" w:rsidP="003C15F1">
      <w:pPr>
        <w:ind w:left="720"/>
        <w:contextualSpacing/>
        <w:rPr>
          <w:rFonts w:eastAsia="MS PGothic"/>
          <w:color w:val="000000"/>
          <w:kern w:val="24"/>
          <w:sz w:val="22"/>
          <w:szCs w:val="22"/>
          <w:lang w:val="es-US"/>
        </w:rPr>
      </w:pPr>
    </w:p>
    <w:p w14:paraId="782E6DDE" w14:textId="41E2C433" w:rsidR="00DA399C" w:rsidRPr="003C15F1" w:rsidRDefault="001A1EE4" w:rsidP="00FF59F0">
      <w:pPr>
        <w:numPr>
          <w:ilvl w:val="1"/>
          <w:numId w:val="54"/>
        </w:numPr>
        <w:ind w:left="1440" w:hanging="720"/>
        <w:contextualSpacing/>
        <w:jc w:val="both"/>
        <w:textAlignment w:val="top"/>
        <w:rPr>
          <w:rFonts w:eastAsia="MS PGothic"/>
          <w:color w:val="000000"/>
          <w:kern w:val="24"/>
          <w:sz w:val="22"/>
          <w:szCs w:val="22"/>
          <w:lang w:val="es-US"/>
        </w:rPr>
      </w:pPr>
      <w:r w:rsidRPr="003C15F1">
        <w:rPr>
          <w:color w:val="000000"/>
          <w:kern w:val="24"/>
          <w:sz w:val="22"/>
          <w:szCs w:val="22"/>
          <w:lang w:val="es"/>
        </w:rPr>
        <w:t>El nuevo Presidente de</w:t>
      </w:r>
      <w:r w:rsidR="00DA399C" w:rsidRPr="003C15F1">
        <w:rPr>
          <w:color w:val="000000"/>
          <w:kern w:val="24"/>
          <w:sz w:val="22"/>
          <w:szCs w:val="22"/>
          <w:lang w:val="es"/>
        </w:rPr>
        <w:t xml:space="preserve"> la Junta Directiva de </w:t>
      </w:r>
      <w:r w:rsidRPr="003C15F1">
        <w:rPr>
          <w:color w:val="000000"/>
          <w:kern w:val="24"/>
          <w:sz w:val="22"/>
          <w:szCs w:val="22"/>
          <w:lang w:val="es"/>
        </w:rPr>
        <w:t xml:space="preserve">la Agencia Interamericana para la Cooperación y el Desarrollo (AICD), El Salvador, propuso el establecimiento de tres grupos de trabajo para hacer que </w:t>
      </w:r>
      <w:r w:rsidR="00DA399C" w:rsidRPr="003C15F1">
        <w:rPr>
          <w:color w:val="000000"/>
          <w:kern w:val="24"/>
          <w:sz w:val="22"/>
          <w:szCs w:val="22"/>
          <w:lang w:val="es"/>
        </w:rPr>
        <w:t xml:space="preserve">la labor </w:t>
      </w:r>
      <w:r w:rsidRPr="003C15F1">
        <w:rPr>
          <w:color w:val="000000"/>
          <w:kern w:val="24"/>
          <w:sz w:val="22"/>
          <w:szCs w:val="22"/>
          <w:lang w:val="es"/>
        </w:rPr>
        <w:t>de la AICD sea más estratégic</w:t>
      </w:r>
      <w:r w:rsidR="00DA399C" w:rsidRPr="003C15F1">
        <w:rPr>
          <w:color w:val="000000"/>
          <w:kern w:val="24"/>
          <w:sz w:val="22"/>
          <w:szCs w:val="22"/>
          <w:lang w:val="es"/>
        </w:rPr>
        <w:t>a</w:t>
      </w:r>
      <w:r w:rsidRPr="003C15F1">
        <w:rPr>
          <w:color w:val="000000"/>
          <w:kern w:val="24"/>
          <w:sz w:val="22"/>
          <w:szCs w:val="22"/>
          <w:lang w:val="es"/>
        </w:rPr>
        <w:t xml:space="preserve"> y receptiv</w:t>
      </w:r>
      <w:r w:rsidR="00DA399C" w:rsidRPr="003C15F1">
        <w:rPr>
          <w:color w:val="000000"/>
          <w:kern w:val="24"/>
          <w:sz w:val="22"/>
          <w:szCs w:val="22"/>
          <w:lang w:val="es"/>
        </w:rPr>
        <w:t>a</w:t>
      </w:r>
      <w:r w:rsidRPr="003C15F1">
        <w:rPr>
          <w:color w:val="000000"/>
          <w:kern w:val="24"/>
          <w:sz w:val="22"/>
          <w:szCs w:val="22"/>
          <w:lang w:val="es"/>
        </w:rPr>
        <w:t xml:space="preserve"> a las necesidades de los países: (1) el proceso ministerial del CIDI y el papel de las autoridades de cooperación de la región; (2) financiamiento para la cooperación al desarrollo en el marco </w:t>
      </w:r>
      <w:r w:rsidR="00DA399C" w:rsidRPr="003C15F1">
        <w:rPr>
          <w:color w:val="000000"/>
          <w:kern w:val="24"/>
          <w:sz w:val="22"/>
          <w:szCs w:val="22"/>
          <w:lang w:val="es"/>
        </w:rPr>
        <w:t>de la OE</w:t>
      </w:r>
      <w:r w:rsidRPr="003C15F1">
        <w:rPr>
          <w:color w:val="000000"/>
          <w:kern w:val="24"/>
          <w:sz w:val="22"/>
          <w:szCs w:val="22"/>
          <w:lang w:val="es"/>
        </w:rPr>
        <w:t xml:space="preserve">A/SEDI; y </w:t>
      </w:r>
      <w:r w:rsidR="00DA399C" w:rsidRPr="003C15F1">
        <w:rPr>
          <w:color w:val="000000"/>
          <w:kern w:val="24"/>
          <w:sz w:val="22"/>
          <w:szCs w:val="22"/>
          <w:lang w:val="es"/>
        </w:rPr>
        <w:t>(</w:t>
      </w:r>
      <w:r w:rsidRPr="003C15F1">
        <w:rPr>
          <w:color w:val="000000"/>
          <w:kern w:val="24"/>
          <w:sz w:val="22"/>
          <w:szCs w:val="22"/>
          <w:lang w:val="es"/>
        </w:rPr>
        <w:t xml:space="preserve">3) el papel de la AICD en el panorama de la cooperación internacional para el desarrollo. Los grupos de trabajo están abiertos a la participación de todos los Estados </w:t>
      </w:r>
      <w:r w:rsidR="00DA399C" w:rsidRPr="003C15F1">
        <w:rPr>
          <w:color w:val="000000"/>
          <w:kern w:val="24"/>
          <w:sz w:val="22"/>
          <w:szCs w:val="22"/>
          <w:lang w:val="es"/>
        </w:rPr>
        <w:t>M</w:t>
      </w:r>
      <w:r w:rsidRPr="003C15F1">
        <w:rPr>
          <w:color w:val="000000"/>
          <w:kern w:val="24"/>
          <w:sz w:val="22"/>
          <w:szCs w:val="22"/>
          <w:lang w:val="es"/>
        </w:rPr>
        <w:t xml:space="preserve">iembros y se convocarán en el primer trimestre de 2022. </w:t>
      </w:r>
    </w:p>
    <w:p w14:paraId="4D06DCB4" w14:textId="1B4DC228" w:rsidR="00DA399C" w:rsidRPr="003C15F1" w:rsidRDefault="00DA399C" w:rsidP="003C15F1">
      <w:pPr>
        <w:rPr>
          <w:b/>
          <w:bCs/>
          <w:sz w:val="22"/>
          <w:szCs w:val="22"/>
          <w:lang w:val="es-US"/>
        </w:rPr>
      </w:pPr>
    </w:p>
    <w:p w14:paraId="421EFA42" w14:textId="1991338B" w:rsidR="00DA399C" w:rsidRPr="003C15F1" w:rsidRDefault="00DA399C" w:rsidP="003C15F1">
      <w:pPr>
        <w:pStyle w:val="NoSpacing"/>
        <w:ind w:left="360"/>
        <w:jc w:val="both"/>
        <w:rPr>
          <w:rFonts w:ascii="Times New Roman" w:hAnsi="Times New Roman"/>
          <w:b/>
          <w:bCs/>
          <w:lang w:val="es-MX"/>
        </w:rPr>
      </w:pPr>
      <w:r w:rsidRPr="003C15F1">
        <w:rPr>
          <w:rFonts w:ascii="Times New Roman" w:hAnsi="Times New Roman"/>
          <w:b/>
          <w:bCs/>
          <w:lang w:val="es-MX"/>
        </w:rPr>
        <w:t xml:space="preserve">OBJETIVO 6.1:  Impulsar la cooperación bilateral, Sur- Sur, triangular e internacional en el </w:t>
      </w:r>
      <w:proofErr w:type="gramStart"/>
      <w:r w:rsidRPr="003C15F1">
        <w:rPr>
          <w:rFonts w:ascii="Times New Roman" w:hAnsi="Times New Roman"/>
          <w:b/>
          <w:bCs/>
          <w:lang w:val="es-MX"/>
        </w:rPr>
        <w:t>Hemisferio</w:t>
      </w:r>
      <w:proofErr w:type="gramEnd"/>
      <w:r w:rsidRPr="003C15F1">
        <w:rPr>
          <w:rFonts w:ascii="Times New Roman" w:hAnsi="Times New Roman"/>
          <w:b/>
          <w:bCs/>
          <w:lang w:val="es-MX"/>
        </w:rPr>
        <w:t>.</w:t>
      </w:r>
    </w:p>
    <w:p w14:paraId="72732898" w14:textId="77777777" w:rsidR="00DA399C" w:rsidRPr="003C15F1" w:rsidRDefault="00DA399C" w:rsidP="003C15F1">
      <w:pPr>
        <w:pStyle w:val="NoSpacing"/>
        <w:ind w:left="360"/>
        <w:jc w:val="both"/>
        <w:rPr>
          <w:rFonts w:ascii="Times New Roman" w:hAnsi="Times New Roman"/>
          <w:b/>
          <w:bCs/>
          <w:lang w:val="es-MX"/>
        </w:rPr>
      </w:pPr>
    </w:p>
    <w:p w14:paraId="284FD453" w14:textId="15E12AA8" w:rsidR="00DA399C" w:rsidRPr="003C15F1" w:rsidRDefault="001C3DC7" w:rsidP="003C15F1">
      <w:pPr>
        <w:ind w:firstLine="720"/>
        <w:contextualSpacing/>
        <w:jc w:val="both"/>
        <w:textAlignment w:val="top"/>
        <w:rPr>
          <w:b/>
          <w:bCs/>
          <w:color w:val="000000" w:themeColor="text1"/>
          <w:sz w:val="22"/>
          <w:szCs w:val="22"/>
          <w:lang w:val="es-US"/>
        </w:rPr>
      </w:pPr>
      <w:r w:rsidRPr="003C15F1">
        <w:rPr>
          <w:b/>
          <w:bCs/>
          <w:color w:val="000000" w:themeColor="text1"/>
          <w:sz w:val="22"/>
          <w:szCs w:val="22"/>
          <w:lang w:val="es-US"/>
        </w:rPr>
        <w:t xml:space="preserve">La Secretaría de la </w:t>
      </w:r>
      <w:r w:rsidR="00D86937" w:rsidRPr="003C15F1">
        <w:rPr>
          <w:b/>
          <w:bCs/>
          <w:color w:val="000000" w:themeColor="text1"/>
          <w:sz w:val="22"/>
          <w:szCs w:val="22"/>
          <w:lang w:val="es-US"/>
        </w:rPr>
        <w:t>Comisión Interamericana de Puertos</w:t>
      </w:r>
      <w:r w:rsidR="00DA399C" w:rsidRPr="003C15F1">
        <w:rPr>
          <w:b/>
          <w:bCs/>
          <w:color w:val="000000" w:themeColor="text1"/>
          <w:sz w:val="22"/>
          <w:szCs w:val="22"/>
          <w:lang w:val="es-US"/>
        </w:rPr>
        <w:t xml:space="preserve"> (CIP):</w:t>
      </w:r>
    </w:p>
    <w:p w14:paraId="1FA0AAC6" w14:textId="1D47CA0C" w:rsidR="00DA399C" w:rsidRPr="003C15F1" w:rsidRDefault="00DA399C" w:rsidP="00FF59F0">
      <w:pPr>
        <w:pStyle w:val="NoSpacing"/>
        <w:numPr>
          <w:ilvl w:val="0"/>
          <w:numId w:val="27"/>
        </w:numPr>
        <w:ind w:left="1440" w:hanging="720"/>
        <w:jc w:val="both"/>
        <w:rPr>
          <w:rFonts w:ascii="Times New Roman" w:hAnsi="Times New Roman"/>
          <w:lang w:val="es-MX"/>
        </w:rPr>
      </w:pPr>
      <w:r w:rsidRPr="003C15F1">
        <w:rPr>
          <w:rFonts w:ascii="Times New Roman" w:hAnsi="Times New Roman"/>
          <w:lang w:val="es-MX"/>
        </w:rPr>
        <w:t xml:space="preserve">Estableció dos (2) Memorandos de Entendimiento y un Acuerdo Suplementario. Un Memorando con  la Administración General de Puertos (AGPSE) de Argentina que generosamente ofrecerá becas a través del Centro Nacional de Capacitación Portuaria (CENCAPOR) para incrementar las ofertas de capacitación del Programa de Becas y Capacitación de la CIP; otro con la consultora </w:t>
      </w:r>
      <w:proofErr w:type="spellStart"/>
      <w:r w:rsidRPr="003C15F1">
        <w:rPr>
          <w:rFonts w:ascii="Times New Roman" w:hAnsi="Times New Roman"/>
          <w:i/>
          <w:iCs/>
          <w:lang w:val="es-MX"/>
        </w:rPr>
        <w:t>Maritime</w:t>
      </w:r>
      <w:proofErr w:type="spellEnd"/>
      <w:r w:rsidRPr="003C15F1">
        <w:rPr>
          <w:rFonts w:ascii="Times New Roman" w:hAnsi="Times New Roman"/>
          <w:i/>
          <w:iCs/>
          <w:lang w:val="es-MX"/>
        </w:rPr>
        <w:t xml:space="preserve"> </w:t>
      </w:r>
      <w:proofErr w:type="spellStart"/>
      <w:r w:rsidRPr="003C15F1">
        <w:rPr>
          <w:rFonts w:ascii="Times New Roman" w:hAnsi="Times New Roman"/>
          <w:i/>
          <w:iCs/>
          <w:lang w:val="es-MX"/>
        </w:rPr>
        <w:t>Policy</w:t>
      </w:r>
      <w:proofErr w:type="spellEnd"/>
      <w:r w:rsidRPr="003C15F1">
        <w:rPr>
          <w:rFonts w:ascii="Times New Roman" w:hAnsi="Times New Roman"/>
          <w:i/>
          <w:iCs/>
          <w:lang w:val="es-MX"/>
        </w:rPr>
        <w:t xml:space="preserve"> Bureau</w:t>
      </w:r>
      <w:r w:rsidRPr="003C15F1">
        <w:rPr>
          <w:rFonts w:ascii="Times New Roman" w:hAnsi="Times New Roman"/>
          <w:lang w:val="es-MX"/>
        </w:rPr>
        <w:t xml:space="preserve"> (MPB) que apoyará a la CIP en la creación de contenidos para cursos y renovó su alianza con la Autoridad Portuaria Nacional (APN) del Perú a través de la firma de un segundo Acuerdo Suplementario para seguir garantizando la oferta de cursos en línea</w:t>
      </w:r>
      <w:r w:rsidR="00672C2C" w:rsidRPr="003C15F1">
        <w:rPr>
          <w:rFonts w:ascii="Times New Roman" w:hAnsi="Times New Roman"/>
          <w:lang w:val="es-MX"/>
        </w:rPr>
        <w:t>.</w:t>
      </w:r>
    </w:p>
    <w:p w14:paraId="71C43E06" w14:textId="77777777" w:rsidR="00DA399C" w:rsidRPr="003C15F1" w:rsidRDefault="00DA399C" w:rsidP="003C15F1">
      <w:pPr>
        <w:pStyle w:val="NoSpacing"/>
        <w:ind w:left="720"/>
        <w:jc w:val="both"/>
        <w:rPr>
          <w:rFonts w:ascii="Times New Roman" w:hAnsi="Times New Roman"/>
          <w:lang w:val="es-MX"/>
        </w:rPr>
      </w:pPr>
    </w:p>
    <w:p w14:paraId="108C730E" w14:textId="5A5F9749" w:rsidR="00DA399C" w:rsidRPr="003C15F1" w:rsidRDefault="00DA399C" w:rsidP="00FF59F0">
      <w:pPr>
        <w:pStyle w:val="NoSpacing"/>
        <w:numPr>
          <w:ilvl w:val="0"/>
          <w:numId w:val="27"/>
        </w:numPr>
        <w:ind w:left="1440" w:hanging="720"/>
        <w:jc w:val="both"/>
        <w:rPr>
          <w:rFonts w:ascii="Times New Roman" w:hAnsi="Times New Roman"/>
          <w:lang w:val="es-MX"/>
        </w:rPr>
      </w:pPr>
      <w:r w:rsidRPr="003C15F1">
        <w:rPr>
          <w:rFonts w:ascii="Times New Roman" w:hAnsi="Times New Roman"/>
          <w:lang w:val="es-MX"/>
        </w:rPr>
        <w:t>Inició el proyecto del establecimiento de un Sistema de Comunidad Portuaria (PCS por sus siglas en ingl</w:t>
      </w:r>
      <w:r w:rsidR="00672C2C" w:rsidRPr="003C15F1">
        <w:rPr>
          <w:rFonts w:ascii="Times New Roman" w:hAnsi="Times New Roman"/>
          <w:lang w:val="es-MX"/>
        </w:rPr>
        <w:t>é</w:t>
      </w:r>
      <w:r w:rsidRPr="003C15F1">
        <w:rPr>
          <w:rFonts w:ascii="Times New Roman" w:hAnsi="Times New Roman"/>
          <w:lang w:val="es-MX"/>
        </w:rPr>
        <w:t>s) en Bridgetown, Barbados, incluyendo una evaluación logística y relacionada con la cadena de suministro internacional para producir una hoja de ruta de implementación con un conjunto de recomendaciones legales, operativas y financieras, entre otras</w:t>
      </w:r>
      <w:r w:rsidR="00672C2C" w:rsidRPr="003C15F1">
        <w:rPr>
          <w:rFonts w:ascii="Times New Roman" w:hAnsi="Times New Roman"/>
          <w:lang w:val="es-MX"/>
        </w:rPr>
        <w:t>.</w:t>
      </w:r>
    </w:p>
    <w:p w14:paraId="772691C3" w14:textId="77777777" w:rsidR="00DA399C" w:rsidRPr="003C15F1" w:rsidRDefault="00DA399C" w:rsidP="003C15F1">
      <w:pPr>
        <w:pStyle w:val="NoSpacing"/>
        <w:ind w:left="1440" w:hanging="720"/>
        <w:jc w:val="both"/>
        <w:rPr>
          <w:rFonts w:ascii="Times New Roman" w:hAnsi="Times New Roman"/>
          <w:lang w:val="es-MX"/>
        </w:rPr>
      </w:pPr>
    </w:p>
    <w:p w14:paraId="1DB2D017" w14:textId="59D5198F" w:rsidR="00DA399C" w:rsidRPr="003C15F1" w:rsidRDefault="00DA399C" w:rsidP="00FF59F0">
      <w:pPr>
        <w:pStyle w:val="NoSpacing"/>
        <w:numPr>
          <w:ilvl w:val="0"/>
          <w:numId w:val="27"/>
        </w:numPr>
        <w:ind w:left="1440" w:hanging="720"/>
        <w:jc w:val="both"/>
        <w:rPr>
          <w:rFonts w:ascii="Times New Roman" w:hAnsi="Times New Roman"/>
          <w:lang w:val="es-MX"/>
        </w:rPr>
      </w:pPr>
      <w:r w:rsidRPr="003C15F1">
        <w:rPr>
          <w:rFonts w:ascii="Times New Roman" w:hAnsi="Times New Roman"/>
          <w:lang w:val="es-MX"/>
        </w:rPr>
        <w:t>Desarrolló, en el contexto del Proyecto de Gestión de Riesgo de Desastres para Autoridades Portuarias y Marítimas del Caribe, un Plan Modelo de Respuesta a Emergencias Portuarias para puertos</w:t>
      </w:r>
      <w:r w:rsidR="00672C2C" w:rsidRPr="003C15F1">
        <w:rPr>
          <w:rFonts w:ascii="Times New Roman" w:hAnsi="Times New Roman"/>
          <w:lang w:val="es-MX"/>
        </w:rPr>
        <w:t>,</w:t>
      </w:r>
      <w:r w:rsidRPr="003C15F1">
        <w:rPr>
          <w:rFonts w:ascii="Times New Roman" w:hAnsi="Times New Roman"/>
          <w:lang w:val="es-MX"/>
        </w:rPr>
        <w:t xml:space="preserve"> disponible en </w:t>
      </w:r>
      <w:r w:rsidR="00672C2C" w:rsidRPr="003C15F1">
        <w:rPr>
          <w:rFonts w:ascii="Times New Roman" w:hAnsi="Times New Roman"/>
          <w:lang w:val="es-MX"/>
        </w:rPr>
        <w:t>e</w:t>
      </w:r>
      <w:r w:rsidRPr="003C15F1">
        <w:rPr>
          <w:rFonts w:ascii="Times New Roman" w:hAnsi="Times New Roman"/>
          <w:lang w:val="es-MX"/>
        </w:rPr>
        <w:t xml:space="preserve">spañol, </w:t>
      </w:r>
      <w:r w:rsidR="00672C2C" w:rsidRPr="003C15F1">
        <w:rPr>
          <w:rFonts w:ascii="Times New Roman" w:hAnsi="Times New Roman"/>
          <w:lang w:val="es-MX"/>
        </w:rPr>
        <w:t>francés</w:t>
      </w:r>
      <w:r w:rsidRPr="003C15F1">
        <w:rPr>
          <w:rFonts w:ascii="Times New Roman" w:hAnsi="Times New Roman"/>
          <w:lang w:val="es-MX"/>
        </w:rPr>
        <w:t xml:space="preserve">, </w:t>
      </w:r>
      <w:r w:rsidR="00672C2C" w:rsidRPr="003C15F1">
        <w:rPr>
          <w:rFonts w:ascii="Times New Roman" w:hAnsi="Times New Roman"/>
          <w:lang w:val="es-MX"/>
        </w:rPr>
        <w:t>i</w:t>
      </w:r>
      <w:r w:rsidRPr="003C15F1">
        <w:rPr>
          <w:rFonts w:ascii="Times New Roman" w:hAnsi="Times New Roman"/>
          <w:lang w:val="es-MX"/>
        </w:rPr>
        <w:t xml:space="preserve">nglés y </w:t>
      </w:r>
      <w:r w:rsidR="00672C2C" w:rsidRPr="003C15F1">
        <w:rPr>
          <w:rFonts w:ascii="Times New Roman" w:hAnsi="Times New Roman"/>
          <w:lang w:val="es-MX"/>
        </w:rPr>
        <w:t>p</w:t>
      </w:r>
      <w:r w:rsidRPr="003C15F1">
        <w:rPr>
          <w:rFonts w:ascii="Times New Roman" w:hAnsi="Times New Roman"/>
          <w:lang w:val="es-MX"/>
        </w:rPr>
        <w:t>ortugués. Además, celebró de manera virtual, el primer taller regional sobre Mejora en la Gestión de Riesgos de Desastres en los Puertos del Caribe. El taller benefició a 30 funcionarios portuarios de 11 Estados Miembros de la OEA</w:t>
      </w:r>
      <w:r w:rsidR="00672C2C" w:rsidRPr="003C15F1">
        <w:rPr>
          <w:rFonts w:ascii="Times New Roman" w:hAnsi="Times New Roman"/>
          <w:lang w:val="es-MX"/>
        </w:rPr>
        <w:t>,</w:t>
      </w:r>
      <w:r w:rsidRPr="003C15F1">
        <w:rPr>
          <w:rFonts w:ascii="Times New Roman" w:hAnsi="Times New Roman"/>
          <w:lang w:val="es-MX"/>
        </w:rPr>
        <w:t xml:space="preserve"> además de cinco (5) Estados no soberanos. </w:t>
      </w:r>
    </w:p>
    <w:p w14:paraId="6FE5CBB5" w14:textId="77777777" w:rsidR="00DA399C" w:rsidRPr="003C15F1" w:rsidRDefault="00DA399C" w:rsidP="003C15F1">
      <w:pPr>
        <w:pStyle w:val="ListParagraph"/>
        <w:ind w:left="1440" w:hanging="720"/>
        <w:rPr>
          <w:sz w:val="22"/>
          <w:szCs w:val="22"/>
          <w:lang w:val="es-MX"/>
        </w:rPr>
      </w:pPr>
    </w:p>
    <w:p w14:paraId="5DC4D849" w14:textId="27C9CCA1" w:rsidR="00DA399C" w:rsidRPr="003C15F1" w:rsidRDefault="00DA399C" w:rsidP="00FF59F0">
      <w:pPr>
        <w:pStyle w:val="NoSpacing"/>
        <w:numPr>
          <w:ilvl w:val="0"/>
          <w:numId w:val="27"/>
        </w:numPr>
        <w:ind w:left="1440" w:hanging="720"/>
        <w:jc w:val="both"/>
        <w:rPr>
          <w:rFonts w:ascii="Times New Roman" w:hAnsi="Times New Roman"/>
          <w:lang w:val="es-MX"/>
        </w:rPr>
      </w:pPr>
      <w:r w:rsidRPr="003C15F1">
        <w:rPr>
          <w:rFonts w:ascii="Times New Roman" w:hAnsi="Times New Roman"/>
          <w:lang w:val="es-MX"/>
        </w:rPr>
        <w:t xml:space="preserve">Realizó, en colaboración con </w:t>
      </w:r>
      <w:r w:rsidR="00647318" w:rsidRPr="003C15F1">
        <w:rPr>
          <w:rFonts w:ascii="Times New Roman" w:hAnsi="Times New Roman"/>
          <w:lang w:val="es-MX"/>
        </w:rPr>
        <w:t>m</w:t>
      </w:r>
      <w:r w:rsidRPr="003C15F1">
        <w:rPr>
          <w:rFonts w:ascii="Times New Roman" w:hAnsi="Times New Roman"/>
          <w:lang w:val="es-MX"/>
        </w:rPr>
        <w:t xml:space="preserve">iembros </w:t>
      </w:r>
      <w:proofErr w:type="spellStart"/>
      <w:r w:rsidRPr="003C15F1">
        <w:rPr>
          <w:rFonts w:ascii="Times New Roman" w:hAnsi="Times New Roman"/>
          <w:lang w:val="es-MX"/>
        </w:rPr>
        <w:t>sociados</w:t>
      </w:r>
      <w:proofErr w:type="spellEnd"/>
      <w:r w:rsidRPr="003C15F1">
        <w:rPr>
          <w:rFonts w:ascii="Times New Roman" w:hAnsi="Times New Roman"/>
          <w:lang w:val="es-MX"/>
        </w:rPr>
        <w:t xml:space="preserve"> </w:t>
      </w:r>
      <w:proofErr w:type="spellStart"/>
      <w:r w:rsidRPr="003C15F1">
        <w:rPr>
          <w:rFonts w:ascii="Times New Roman" w:hAnsi="Times New Roman"/>
          <w:i/>
          <w:iCs/>
          <w:lang w:val="es-MX"/>
        </w:rPr>
        <w:t>Maritime</w:t>
      </w:r>
      <w:proofErr w:type="spellEnd"/>
      <w:r w:rsidRPr="003C15F1">
        <w:rPr>
          <w:rFonts w:ascii="Times New Roman" w:hAnsi="Times New Roman"/>
          <w:i/>
          <w:iCs/>
          <w:lang w:val="es-MX"/>
        </w:rPr>
        <w:t xml:space="preserve"> </w:t>
      </w:r>
      <w:proofErr w:type="spellStart"/>
      <w:r w:rsidRPr="003C15F1">
        <w:rPr>
          <w:rFonts w:ascii="Times New Roman" w:hAnsi="Times New Roman"/>
          <w:i/>
          <w:iCs/>
          <w:lang w:val="es-MX"/>
        </w:rPr>
        <w:t>Policy</w:t>
      </w:r>
      <w:proofErr w:type="spellEnd"/>
      <w:r w:rsidRPr="003C15F1">
        <w:rPr>
          <w:rFonts w:ascii="Times New Roman" w:hAnsi="Times New Roman"/>
          <w:i/>
          <w:iCs/>
          <w:lang w:val="es-MX"/>
        </w:rPr>
        <w:t xml:space="preserve"> Bureau</w:t>
      </w:r>
      <w:r w:rsidRPr="003C15F1">
        <w:rPr>
          <w:rFonts w:ascii="Times New Roman" w:hAnsi="Times New Roman"/>
          <w:lang w:val="es-MX"/>
        </w:rPr>
        <w:t xml:space="preserve"> (MPB) y </w:t>
      </w:r>
      <w:proofErr w:type="spellStart"/>
      <w:r w:rsidRPr="003C15F1">
        <w:rPr>
          <w:rFonts w:ascii="Times New Roman" w:hAnsi="Times New Roman"/>
          <w:lang w:val="es-MX"/>
        </w:rPr>
        <w:t>Prodevelop</w:t>
      </w:r>
      <w:proofErr w:type="spellEnd"/>
      <w:r w:rsidRPr="003C15F1">
        <w:rPr>
          <w:rFonts w:ascii="Times New Roman" w:hAnsi="Times New Roman"/>
          <w:lang w:val="es-MX"/>
        </w:rPr>
        <w:t>, la convocatoria para la Licencia Posidonia Port CDM</w:t>
      </w:r>
      <w:r w:rsidR="00647318" w:rsidRPr="003C15F1">
        <w:rPr>
          <w:rFonts w:ascii="Times New Roman" w:hAnsi="Times New Roman"/>
          <w:b/>
          <w:bCs/>
          <w:lang w:val="es-MX"/>
        </w:rPr>
        <w:t xml:space="preserve">. </w:t>
      </w:r>
      <w:r w:rsidR="00647318" w:rsidRPr="003C15F1">
        <w:rPr>
          <w:rFonts w:ascii="Times New Roman" w:hAnsi="Times New Roman"/>
          <w:lang w:val="es-MX"/>
        </w:rPr>
        <w:t xml:space="preserve"> </w:t>
      </w:r>
      <w:r w:rsidRPr="003C15F1">
        <w:rPr>
          <w:rFonts w:ascii="Times New Roman" w:hAnsi="Times New Roman"/>
          <w:lang w:val="es-MX"/>
        </w:rPr>
        <w:t xml:space="preserve">Esta convocatoria tuvo </w:t>
      </w:r>
      <w:r w:rsidR="00647318" w:rsidRPr="003C15F1">
        <w:rPr>
          <w:rFonts w:ascii="Times New Roman" w:hAnsi="Times New Roman"/>
          <w:lang w:val="es-MX"/>
        </w:rPr>
        <w:t>el propósito de</w:t>
      </w:r>
      <w:r w:rsidRPr="003C15F1">
        <w:rPr>
          <w:rFonts w:ascii="Times New Roman" w:hAnsi="Times New Roman"/>
          <w:lang w:val="es-MX"/>
        </w:rPr>
        <w:t xml:space="preserve"> proporcionar a un puerto o terminal de la región la oportunidad de utilizar gratuitamente por un periodo de seis (6) meses la licencia para la herramienta Posidonia Port CDM, entre otros beneficios, con la finalidad </w:t>
      </w:r>
      <w:r w:rsidR="00647318" w:rsidRPr="003C15F1">
        <w:rPr>
          <w:rFonts w:ascii="Times New Roman" w:hAnsi="Times New Roman"/>
          <w:lang w:val="es-MX"/>
        </w:rPr>
        <w:t xml:space="preserve">de </w:t>
      </w:r>
      <w:r w:rsidRPr="003C15F1">
        <w:rPr>
          <w:rFonts w:ascii="Times New Roman" w:hAnsi="Times New Roman"/>
          <w:lang w:val="es-MX"/>
        </w:rPr>
        <w:t xml:space="preserve">mejorar la toma de decisiones, indicadores de operación, incrementar su competitividad como puerto de recalada, e impactar positivamente en la satisfacción de sus clientes, mediante el análisis del intercambio de la información estándar que se genera en el puerto. El </w:t>
      </w:r>
      <w:r w:rsidRPr="003C15F1">
        <w:rPr>
          <w:rFonts w:ascii="Times New Roman" w:hAnsi="Times New Roman"/>
          <w:lang w:val="es-MX"/>
        </w:rPr>
        <w:lastRenderedPageBreak/>
        <w:t>ganador de la convocatoria fue la Administración Portuaria Integral de Lázaro Cárdenas.</w:t>
      </w:r>
    </w:p>
    <w:p w14:paraId="63AA5A55" w14:textId="55FB292B" w:rsidR="00DA399C" w:rsidRPr="003C15F1" w:rsidRDefault="002142C1" w:rsidP="003C15F1">
      <w:pPr>
        <w:pStyle w:val="NoSpacing"/>
        <w:jc w:val="both"/>
        <w:rPr>
          <w:rFonts w:ascii="Times New Roman" w:hAnsi="Times New Roman"/>
          <w:lang w:val="es-MX"/>
        </w:rPr>
      </w:pPr>
      <w:r>
        <w:rPr>
          <w:rFonts w:ascii="Times New Roman" w:hAnsi="Times New Roman"/>
          <w:noProof/>
          <w:lang w:val="es-MX"/>
        </w:rPr>
        <mc:AlternateContent>
          <mc:Choice Requires="wps">
            <w:drawing>
              <wp:anchor distT="0" distB="0" distL="114300" distR="114300" simplePos="0" relativeHeight="251659264" behindDoc="0" locked="1" layoutInCell="1" allowOverlap="1" wp14:anchorId="1F674AD6" wp14:editId="18F5D7D6">
                <wp:simplePos x="0" y="0"/>
                <wp:positionH relativeFrom="column">
                  <wp:posOffset>-91440</wp:posOffset>
                </wp:positionH>
                <wp:positionV relativeFrom="page">
                  <wp:posOffset>9144000</wp:posOffset>
                </wp:positionV>
                <wp:extent cx="3383280" cy="2286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437C5109" w14:textId="25AA0616" w:rsidR="002142C1" w:rsidRPr="002142C1" w:rsidRDefault="002142C1">
                            <w:pPr>
                              <w:rPr>
                                <w:sz w:val="18"/>
                              </w:rPr>
                            </w:pPr>
                            <w:r>
                              <w:rPr>
                                <w:sz w:val="18"/>
                              </w:rPr>
                              <w:fldChar w:fldCharType="begin"/>
                            </w:r>
                            <w:r>
                              <w:rPr>
                                <w:sz w:val="18"/>
                              </w:rPr>
                              <w:instrText xml:space="preserve"> FILENAME  \* MERGEFORMAT </w:instrText>
                            </w:r>
                            <w:r>
                              <w:rPr>
                                <w:sz w:val="18"/>
                              </w:rPr>
                              <w:fldChar w:fldCharType="separate"/>
                            </w:r>
                            <w:r>
                              <w:rPr>
                                <w:noProof/>
                                <w:sz w:val="18"/>
                              </w:rPr>
                              <w:t>CIDRP03486S01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F674AD6" id="_x0000_t202" coordsize="21600,21600" o:spt="202" path="m,l,21600r21600,l21600,xe">
                <v:stroke joinstyle="miter"/>
                <v:path gradientshapeok="t" o:connecttype="rect"/>
              </v:shapetype>
              <v:shape id="Text Box 4"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437C5109" w14:textId="25AA0616" w:rsidR="002142C1" w:rsidRPr="002142C1" w:rsidRDefault="002142C1">
                      <w:pPr>
                        <w:rPr>
                          <w:sz w:val="18"/>
                        </w:rPr>
                      </w:pPr>
                      <w:r>
                        <w:rPr>
                          <w:sz w:val="18"/>
                        </w:rPr>
                        <w:fldChar w:fldCharType="begin"/>
                      </w:r>
                      <w:r>
                        <w:rPr>
                          <w:sz w:val="18"/>
                        </w:rPr>
                        <w:instrText xml:space="preserve"> FILENAME  \* MERGEFORMAT </w:instrText>
                      </w:r>
                      <w:r>
                        <w:rPr>
                          <w:sz w:val="18"/>
                        </w:rPr>
                        <w:fldChar w:fldCharType="separate"/>
                      </w:r>
                      <w:r>
                        <w:rPr>
                          <w:noProof/>
                          <w:sz w:val="18"/>
                        </w:rPr>
                        <w:t>CIDRP03486S01</w:t>
                      </w:r>
                      <w:r>
                        <w:rPr>
                          <w:sz w:val="18"/>
                        </w:rPr>
                        <w:fldChar w:fldCharType="end"/>
                      </w:r>
                    </w:p>
                  </w:txbxContent>
                </v:textbox>
                <w10:wrap anchory="page"/>
                <w10:anchorlock/>
              </v:shape>
            </w:pict>
          </mc:Fallback>
        </mc:AlternateContent>
      </w:r>
    </w:p>
    <w:sectPr w:rsidR="00DA399C" w:rsidRPr="003C15F1" w:rsidSect="001373CB">
      <w:headerReference w:type="default" r:id="rId15"/>
      <w:headerReference w:type="first" r:id="rId16"/>
      <w:pgSz w:w="12240" w:h="15840" w:code="1"/>
      <w:pgMar w:top="2160" w:right="1570" w:bottom="1296" w:left="1670" w:header="1296" w:footer="432"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94AC1" w14:textId="77777777" w:rsidR="00FF59F0" w:rsidRDefault="00FF59F0">
      <w:r>
        <w:separator/>
      </w:r>
    </w:p>
  </w:endnote>
  <w:endnote w:type="continuationSeparator" w:id="0">
    <w:p w14:paraId="3E5EADD9" w14:textId="77777777" w:rsidR="00FF59F0" w:rsidRDefault="00FF5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mn-ea">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News Gothic MT">
    <w:altName w:val="News Gothic M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18301" w14:textId="77777777" w:rsidR="00FF59F0" w:rsidRDefault="00FF59F0">
      <w:r>
        <w:separator/>
      </w:r>
    </w:p>
  </w:footnote>
  <w:footnote w:type="continuationSeparator" w:id="0">
    <w:p w14:paraId="7C532388" w14:textId="77777777" w:rsidR="00FF59F0" w:rsidRDefault="00FF59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69A87" w14:textId="77777777" w:rsidR="00B52A7F" w:rsidRPr="009C75F5" w:rsidRDefault="001373CB">
    <w:pPr>
      <w:pStyle w:val="Header"/>
      <w:jc w:val="center"/>
      <w:rPr>
        <w:sz w:val="22"/>
        <w:szCs w:val="22"/>
      </w:rPr>
    </w:pPr>
    <w:r w:rsidRPr="009C75F5">
      <w:rPr>
        <w:sz w:val="22"/>
        <w:szCs w:val="22"/>
      </w:rPr>
      <w:fldChar w:fldCharType="begin"/>
    </w:r>
    <w:r w:rsidRPr="009C75F5">
      <w:rPr>
        <w:sz w:val="22"/>
        <w:szCs w:val="22"/>
      </w:rPr>
      <w:instrText xml:space="preserve"> PAGE   \* MERGEFORMAT </w:instrText>
    </w:r>
    <w:r w:rsidRPr="009C75F5">
      <w:rPr>
        <w:sz w:val="22"/>
        <w:szCs w:val="22"/>
      </w:rPr>
      <w:fldChar w:fldCharType="separate"/>
    </w:r>
    <w:r>
      <w:rPr>
        <w:noProof/>
        <w:sz w:val="22"/>
        <w:szCs w:val="22"/>
      </w:rPr>
      <w:t>- 20 -</w:t>
    </w:r>
    <w:r w:rsidRPr="009C75F5">
      <w:rPr>
        <w:sz w:val="22"/>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2B13B" w14:textId="77777777" w:rsidR="00B52A7F" w:rsidRDefault="001373CB">
    <w:pPr>
      <w:pStyle w:val="Header"/>
    </w:pPr>
    <w:r>
      <w:rPr>
        <w:noProof/>
      </w:rPr>
      <mc:AlternateContent>
        <mc:Choice Requires="wps">
          <w:drawing>
            <wp:anchor distT="0" distB="0" distL="114300" distR="114300" simplePos="0" relativeHeight="251661312" behindDoc="0" locked="0" layoutInCell="1" allowOverlap="1" wp14:anchorId="65837612" wp14:editId="7F558606">
              <wp:simplePos x="0" y="0"/>
              <wp:positionH relativeFrom="column">
                <wp:posOffset>440690</wp:posOffset>
              </wp:positionH>
              <wp:positionV relativeFrom="paragraph">
                <wp:posOffset>-501650</wp:posOffset>
              </wp:positionV>
              <wp:extent cx="4728845" cy="84328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843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B79E6B" w14:textId="3BF2F040" w:rsidR="00B52A7F" w:rsidRPr="000C6360" w:rsidRDefault="001373CB" w:rsidP="00921E9E">
                          <w:pPr>
                            <w:pStyle w:val="Header"/>
                            <w:tabs>
                              <w:tab w:val="left" w:pos="900"/>
                            </w:tabs>
                            <w:spacing w:line="0" w:lineRule="atLeast"/>
                            <w:jc w:val="center"/>
                            <w:rPr>
                              <w:rFonts w:ascii="Garamond" w:hAnsi="Garamond"/>
                              <w:b/>
                              <w:sz w:val="28"/>
                              <w:lang w:val="es-US"/>
                            </w:rPr>
                          </w:pPr>
                          <w:r w:rsidRPr="000C6360">
                            <w:rPr>
                              <w:rFonts w:ascii="Garamond" w:hAnsi="Garamond"/>
                              <w:b/>
                              <w:sz w:val="28"/>
                              <w:lang w:val="es-US"/>
                            </w:rPr>
                            <w:t>ORGANIZA</w:t>
                          </w:r>
                          <w:r w:rsidR="000C6360" w:rsidRPr="000C6360">
                            <w:rPr>
                              <w:rFonts w:ascii="Garamond" w:hAnsi="Garamond"/>
                              <w:b/>
                              <w:sz w:val="28"/>
                              <w:lang w:val="es-US"/>
                            </w:rPr>
                            <w:t xml:space="preserve">CIÓN DE LOS ESTADOS AMERICANOS </w:t>
                          </w:r>
                        </w:p>
                        <w:p w14:paraId="73456781" w14:textId="44F2992E" w:rsidR="00B52A7F" w:rsidRPr="000C6360" w:rsidRDefault="000C6360" w:rsidP="00921E9E">
                          <w:pPr>
                            <w:pStyle w:val="Header"/>
                            <w:tabs>
                              <w:tab w:val="left" w:pos="900"/>
                            </w:tabs>
                            <w:spacing w:line="0" w:lineRule="atLeast"/>
                            <w:jc w:val="center"/>
                            <w:rPr>
                              <w:rFonts w:ascii="Garamond" w:hAnsi="Garamond"/>
                              <w:b/>
                              <w:szCs w:val="22"/>
                              <w:lang w:val="es-US"/>
                            </w:rPr>
                          </w:pPr>
                          <w:r w:rsidRPr="000C6360">
                            <w:rPr>
                              <w:rFonts w:ascii="Garamond" w:hAnsi="Garamond"/>
                              <w:b/>
                              <w:szCs w:val="22"/>
                              <w:lang w:val="es-US"/>
                            </w:rPr>
                            <w:t>Consejo Interamericano para el Desarrollo</w:t>
                          </w:r>
                          <w:r>
                            <w:rPr>
                              <w:rFonts w:ascii="Garamond" w:hAnsi="Garamond"/>
                              <w:b/>
                              <w:szCs w:val="22"/>
                              <w:lang w:val="es-US"/>
                            </w:rPr>
                            <w:t xml:space="preserve"> Integral</w:t>
                          </w:r>
                          <w:r w:rsidR="001373CB" w:rsidRPr="000C6360">
                            <w:rPr>
                              <w:rFonts w:ascii="Garamond" w:hAnsi="Garamond"/>
                              <w:b/>
                              <w:szCs w:val="22"/>
                              <w:lang w:val="es-US"/>
                            </w:rPr>
                            <w:t xml:space="preserve"> </w:t>
                          </w:r>
                        </w:p>
                        <w:p w14:paraId="48A0AAA3" w14:textId="77777777" w:rsidR="00B52A7F" w:rsidRPr="000C6360" w:rsidRDefault="001373CB" w:rsidP="00921E9E">
                          <w:pPr>
                            <w:pStyle w:val="Header"/>
                            <w:tabs>
                              <w:tab w:val="left" w:pos="900"/>
                            </w:tabs>
                            <w:spacing w:line="0" w:lineRule="atLeast"/>
                            <w:jc w:val="center"/>
                            <w:rPr>
                              <w:b/>
                              <w:szCs w:val="22"/>
                              <w:lang w:val="es-US"/>
                            </w:rPr>
                          </w:pPr>
                          <w:r w:rsidRPr="000C6360">
                            <w:rPr>
                              <w:rFonts w:ascii="Garamond" w:hAnsi="Garamond"/>
                              <w:b/>
                              <w:szCs w:val="22"/>
                              <w:lang w:val="es-US"/>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837612" id="_x0000_t202" coordsize="21600,21600" o:spt="202" path="m,l,21600r21600,l21600,xe">
              <v:stroke joinstyle="miter"/>
              <v:path gradientshapeok="t" o:connecttype="rect"/>
            </v:shapetype>
            <v:shape id="Text Box 1" o:spid="_x0000_s1026" type="#_x0000_t202" style="position:absolute;margin-left:34.7pt;margin-top:-39.5pt;width:372.35pt;height:6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" stroked="f">
              <v:textbox>
                <w:txbxContent>
                  <w:p w14:paraId="64B79E6B" w14:textId="3BF2F040" w:rsidR="00B52A7F" w:rsidRPr="000C6360" w:rsidRDefault="001373CB" w:rsidP="00921E9E">
                    <w:pPr>
                      <w:pStyle w:val="Header"/>
                      <w:tabs>
                        <w:tab w:val="left" w:pos="900"/>
                      </w:tabs>
                      <w:spacing w:line="0" w:lineRule="atLeast"/>
                      <w:jc w:val="center"/>
                      <w:rPr>
                        <w:rFonts w:ascii="Garamond" w:hAnsi="Garamond"/>
                        <w:b/>
                        <w:sz w:val="28"/>
                        <w:lang w:val="es-US"/>
                      </w:rPr>
                    </w:pPr>
                    <w:r w:rsidRPr="000C6360">
                      <w:rPr>
                        <w:rFonts w:ascii="Garamond" w:hAnsi="Garamond"/>
                        <w:b/>
                        <w:sz w:val="28"/>
                        <w:lang w:val="es-US"/>
                      </w:rPr>
                      <w:t>ORGANIZA</w:t>
                    </w:r>
                    <w:r w:rsidR="000C6360" w:rsidRPr="000C6360">
                      <w:rPr>
                        <w:rFonts w:ascii="Garamond" w:hAnsi="Garamond"/>
                        <w:b/>
                        <w:sz w:val="28"/>
                        <w:lang w:val="es-US"/>
                      </w:rPr>
                      <w:t xml:space="preserve">CIÓN DE LOS ESTADOS AMERICANOS </w:t>
                    </w:r>
                  </w:p>
                  <w:p w14:paraId="73456781" w14:textId="44F2992E" w:rsidR="00B52A7F" w:rsidRPr="000C6360" w:rsidRDefault="000C6360" w:rsidP="00921E9E">
                    <w:pPr>
                      <w:pStyle w:val="Header"/>
                      <w:tabs>
                        <w:tab w:val="left" w:pos="900"/>
                      </w:tabs>
                      <w:spacing w:line="0" w:lineRule="atLeast"/>
                      <w:jc w:val="center"/>
                      <w:rPr>
                        <w:rFonts w:ascii="Garamond" w:hAnsi="Garamond"/>
                        <w:b/>
                        <w:szCs w:val="22"/>
                        <w:lang w:val="es-US"/>
                      </w:rPr>
                    </w:pPr>
                    <w:r w:rsidRPr="000C6360">
                      <w:rPr>
                        <w:rFonts w:ascii="Garamond" w:hAnsi="Garamond"/>
                        <w:b/>
                        <w:szCs w:val="22"/>
                        <w:lang w:val="es-US"/>
                      </w:rPr>
                      <w:t>Consejo Interamericano para el Desarrollo</w:t>
                    </w:r>
                    <w:r>
                      <w:rPr>
                        <w:rFonts w:ascii="Garamond" w:hAnsi="Garamond"/>
                        <w:b/>
                        <w:szCs w:val="22"/>
                        <w:lang w:val="es-US"/>
                      </w:rPr>
                      <w:t xml:space="preserve"> Integral</w:t>
                    </w:r>
                    <w:r w:rsidR="001373CB" w:rsidRPr="000C6360">
                      <w:rPr>
                        <w:rFonts w:ascii="Garamond" w:hAnsi="Garamond"/>
                        <w:b/>
                        <w:szCs w:val="22"/>
                        <w:lang w:val="es-US"/>
                      </w:rPr>
                      <w:t xml:space="preserve"> </w:t>
                    </w:r>
                  </w:p>
                  <w:p w14:paraId="48A0AAA3" w14:textId="77777777" w:rsidR="00B52A7F" w:rsidRPr="000C6360" w:rsidRDefault="001373CB" w:rsidP="00921E9E">
                    <w:pPr>
                      <w:pStyle w:val="Header"/>
                      <w:tabs>
                        <w:tab w:val="left" w:pos="900"/>
                      </w:tabs>
                      <w:spacing w:line="0" w:lineRule="atLeast"/>
                      <w:jc w:val="center"/>
                      <w:rPr>
                        <w:b/>
                        <w:szCs w:val="22"/>
                        <w:lang w:val="es-US"/>
                      </w:rPr>
                    </w:pPr>
                    <w:r w:rsidRPr="000C6360">
                      <w:rPr>
                        <w:rFonts w:ascii="Garamond" w:hAnsi="Garamond"/>
                        <w:b/>
                        <w:szCs w:val="22"/>
                        <w:lang w:val="es-US"/>
                      </w:rPr>
                      <w:t>(CIDI)</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0F038D31" wp14:editId="164C51C4">
              <wp:simplePos x="0" y="0"/>
              <wp:positionH relativeFrom="column">
                <wp:posOffset>5080000</wp:posOffset>
              </wp:positionH>
              <wp:positionV relativeFrom="paragraph">
                <wp:posOffset>-483235</wp:posOffset>
              </wp:positionV>
              <wp:extent cx="1287780" cy="86233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DF7A5C" w14:textId="77777777" w:rsidR="00B52A7F" w:rsidRDefault="001373CB" w:rsidP="00AB7175">
                          <w:pPr>
                            <w:ind w:right="-130"/>
                          </w:pPr>
                          <w:r>
                            <w:rPr>
                              <w:rFonts w:ascii="News Gothic MT" w:hAnsi="News Gothic MT"/>
                              <w:noProof/>
                              <w:color w:val="000000"/>
                            </w:rPr>
                            <w:drawing>
                              <wp:inline distT="0" distB="0" distL="0" distR="0" wp14:anchorId="5713A852" wp14:editId="282D38BE">
                                <wp:extent cx="1106805" cy="768985"/>
                                <wp:effectExtent l="0" t="0" r="0" b="0"/>
                                <wp:docPr id="24" name="Picture 2"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6805" cy="76898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038D31" id="Text Box 2" o:spid="_x0000_s1027" type="#_x0000_t202" style="position:absolute;margin-left:400pt;margin-top:-38.05pt;width:101.4pt;height:67.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" stroked="f">
              <v:textbox>
                <w:txbxContent>
                  <w:p w14:paraId="78DF7A5C" w14:textId="77777777" w:rsidR="00B52A7F" w:rsidRDefault="001373CB" w:rsidP="00AB7175">
                    <w:pPr>
                      <w:ind w:right="-130"/>
                    </w:pPr>
                    <w:r>
                      <w:rPr>
                        <w:rFonts w:ascii="News Gothic MT" w:hAnsi="News Gothic MT"/>
                        <w:noProof/>
                        <w:color w:val="000000"/>
                      </w:rPr>
                      <w:drawing>
                        <wp:inline distT="0" distB="0" distL="0" distR="0" wp14:anchorId="5713A852" wp14:editId="282D38BE">
                          <wp:extent cx="1106805" cy="768985"/>
                          <wp:effectExtent l="0" t="0" r="0" b="0"/>
                          <wp:docPr id="24" name="Picture 2"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9CID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6805" cy="768985"/>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9264" behindDoc="0" locked="0" layoutInCell="1" allowOverlap="1" wp14:anchorId="08E99231" wp14:editId="039A07F1">
          <wp:simplePos x="0" y="0"/>
          <wp:positionH relativeFrom="column">
            <wp:posOffset>-444500</wp:posOffset>
          </wp:positionH>
          <wp:positionV relativeFrom="paragraph">
            <wp:posOffset>-483235</wp:posOffset>
          </wp:positionV>
          <wp:extent cx="822960" cy="824865"/>
          <wp:effectExtent l="0" t="0" r="0" b="0"/>
          <wp:wrapNone/>
          <wp:docPr id="23" name="Picture 23"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AS Seal with lin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pic:spPr>
              </pic:pic>
            </a:graphicData>
          </a:graphic>
          <wp14:sizeRelH relativeFrom="page">
            <wp14:pctWidth>0</wp14:pctWidth>
          </wp14:sizeRelH>
          <wp14:sizeRelV relativeFrom="page">
            <wp14:pctHeight>0</wp14:pctHeight>
          </wp14:sizeRelV>
        </wp:anchor>
      </w:drawing>
    </w:r>
  </w:p>
  <w:p w14:paraId="7E55EDB6" w14:textId="77777777" w:rsidR="00B52A7F" w:rsidRDefault="002142C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76368"/>
    <w:multiLevelType w:val="hybridMultilevel"/>
    <w:tmpl w:val="BD060A02"/>
    <w:numStyleLink w:val="ImportedStyle11"/>
  </w:abstractNum>
  <w:abstractNum w:abstractNumId="1" w15:restartNumberingAfterBreak="0">
    <w:nsid w:val="00B30319"/>
    <w:multiLevelType w:val="hybridMultilevel"/>
    <w:tmpl w:val="020AB804"/>
    <w:styleLink w:val="ImportedStyle10"/>
    <w:lvl w:ilvl="0" w:tplc="0074AF68">
      <w:start w:val="1"/>
      <w:numFmt w:val="bullet"/>
      <w:lvlText w:val="o"/>
      <w:lvlJc w:val="left"/>
      <w:pPr>
        <w:ind w:left="10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BE3ECB04">
      <w:start w:val="1"/>
      <w:numFmt w:val="bullet"/>
      <w:lvlText w:val="o"/>
      <w:lvlJc w:val="left"/>
      <w:pPr>
        <w:ind w:left="18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EEF4C938">
      <w:start w:val="1"/>
      <w:numFmt w:val="bullet"/>
      <w:lvlText w:val="▪"/>
      <w:lvlJc w:val="left"/>
      <w:pPr>
        <w:ind w:left="25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2758D8BC">
      <w:start w:val="1"/>
      <w:numFmt w:val="bullet"/>
      <w:lvlText w:val="•"/>
      <w:lvlJc w:val="left"/>
      <w:pPr>
        <w:ind w:left="32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3F109F00">
      <w:start w:val="1"/>
      <w:numFmt w:val="bullet"/>
      <w:lvlText w:val="o"/>
      <w:lvlJc w:val="left"/>
      <w:pPr>
        <w:ind w:left="39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5484D9C8">
      <w:start w:val="1"/>
      <w:numFmt w:val="bullet"/>
      <w:lvlText w:val="▪"/>
      <w:lvlJc w:val="left"/>
      <w:pPr>
        <w:ind w:left="46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81D06AD4">
      <w:start w:val="1"/>
      <w:numFmt w:val="bullet"/>
      <w:lvlText w:val="•"/>
      <w:lvlJc w:val="left"/>
      <w:pPr>
        <w:ind w:left="54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E1A410C4">
      <w:start w:val="1"/>
      <w:numFmt w:val="bullet"/>
      <w:lvlText w:val="o"/>
      <w:lvlJc w:val="left"/>
      <w:pPr>
        <w:ind w:left="61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7876ED58">
      <w:start w:val="1"/>
      <w:numFmt w:val="bullet"/>
      <w:lvlText w:val="▪"/>
      <w:lvlJc w:val="left"/>
      <w:pPr>
        <w:ind w:left="68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2F23E9F"/>
    <w:multiLevelType w:val="hybridMultilevel"/>
    <w:tmpl w:val="2CCCEB18"/>
    <w:lvl w:ilvl="0" w:tplc="FFFFFFFF">
      <w:start w:val="2"/>
      <w:numFmt w:val="bullet"/>
      <w:lvlText w:val=""/>
      <w:lvlJc w:val="left"/>
      <w:pPr>
        <w:ind w:left="1440" w:hanging="360"/>
      </w:pPr>
      <w:rPr>
        <w:rFonts w:ascii="Symbol" w:eastAsiaTheme="minorHAnsi" w:hAnsi="Symbol" w:cs="Times New Roman" w:hint="default"/>
      </w:rPr>
    </w:lvl>
    <w:lvl w:ilvl="1" w:tplc="04090001">
      <w:start w:val="1"/>
      <w:numFmt w:val="bullet"/>
      <w:lvlText w:val=""/>
      <w:lvlJc w:val="left"/>
      <w:rPr>
        <w:rFonts w:ascii="Symbol" w:hAnsi="Symbol"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 w15:restartNumberingAfterBreak="0">
    <w:nsid w:val="06AE79B3"/>
    <w:multiLevelType w:val="multilevel"/>
    <w:tmpl w:val="4B7E8CD4"/>
    <w:lvl w:ilvl="0">
      <w:start w:val="1"/>
      <w:numFmt w:val="decimal"/>
      <w:lvlText w:val="%1."/>
      <w:lvlJc w:val="left"/>
      <w:pPr>
        <w:tabs>
          <w:tab w:val="num" w:pos="720"/>
        </w:tabs>
        <w:ind w:left="720" w:hanging="720"/>
      </w:pPr>
    </w:lvl>
    <w:lvl w:ilvl="1">
      <w:start w:val="1"/>
      <w:numFmt w:val="bullet"/>
      <w:lvlText w:val=""/>
      <w:lvlJc w:val="left"/>
      <w:rPr>
        <w:rFonts w:ascii="Symbol" w:hAnsi="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6C61077"/>
    <w:multiLevelType w:val="hybridMultilevel"/>
    <w:tmpl w:val="90B264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7C00C16"/>
    <w:multiLevelType w:val="hybridMultilevel"/>
    <w:tmpl w:val="66DC9612"/>
    <w:numStyleLink w:val="ImportedStyle9"/>
  </w:abstractNum>
  <w:abstractNum w:abstractNumId="6" w15:restartNumberingAfterBreak="0">
    <w:nsid w:val="08E621A1"/>
    <w:multiLevelType w:val="hybridMultilevel"/>
    <w:tmpl w:val="AF586D98"/>
    <w:styleLink w:val="ImportedStyle7"/>
    <w:lvl w:ilvl="0" w:tplc="B79A2FF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D40252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3C25EB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25CAE9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A02E2A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FDC6D7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EDA26B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0F46D6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870AE1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08F00789"/>
    <w:multiLevelType w:val="hybridMultilevel"/>
    <w:tmpl w:val="A21481B0"/>
    <w:styleLink w:val="ImportedStyle2"/>
    <w:lvl w:ilvl="0" w:tplc="B3A8C3D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F60C25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156E8870">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D9042E1E">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C098FF74">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91329B1A">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9D4CFD10">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EF86708A">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B658C760">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0AF8048C"/>
    <w:multiLevelType w:val="hybridMultilevel"/>
    <w:tmpl w:val="372E5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1111D6"/>
    <w:multiLevelType w:val="hybridMultilevel"/>
    <w:tmpl w:val="07C8DFD4"/>
    <w:styleLink w:val="ImportedStyle3"/>
    <w:lvl w:ilvl="0" w:tplc="642205A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7B2326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EAAB18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DFCA1E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B9AC30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C6CA12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78A565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A6838C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910A75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0EB27941"/>
    <w:multiLevelType w:val="hybridMultilevel"/>
    <w:tmpl w:val="2514DFAC"/>
    <w:styleLink w:val="ImportedStyle6"/>
    <w:lvl w:ilvl="0" w:tplc="81FC4A0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5CCE8A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AC4F38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2E4F67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098765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FFEDEA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D5CDEE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BF4BDE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164E76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1021684F"/>
    <w:multiLevelType w:val="hybridMultilevel"/>
    <w:tmpl w:val="C3121BCE"/>
    <w:lvl w:ilvl="0" w:tplc="FFFFFFFF">
      <w:start w:val="1"/>
      <w:numFmt w:val="bullet"/>
      <w:lvlText w:val=""/>
      <w:lvlJc w:val="left"/>
      <w:pPr>
        <w:ind w:left="720" w:hanging="360"/>
      </w:pPr>
      <w:rPr>
        <w:rFonts w:ascii="Symbol" w:hAnsi="Symbol" w:hint="default"/>
      </w:rPr>
    </w:lvl>
    <w:lvl w:ilvl="1" w:tplc="04090005">
      <w:start w:val="1"/>
      <w:numFmt w:val="bullet"/>
      <w:lvlText w:val=""/>
      <w:lvlJc w:val="left"/>
      <w:pPr>
        <w:ind w:left="180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106C236C"/>
    <w:multiLevelType w:val="hybridMultilevel"/>
    <w:tmpl w:val="2FC87126"/>
    <w:lvl w:ilvl="0" w:tplc="FFFFFFFF">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4090001">
      <w:start w:val="1"/>
      <w:numFmt w:val="bullet"/>
      <w:lvlText w:val=""/>
      <w:lvlJc w:val="left"/>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2" w:tplc="FFFFFFFF">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FFFFFFFF">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FFFFFFFF">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FFFFFFFF">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FFFFFFFF">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FFFFFFFF">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FFFFFFFF">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10DD2AFE"/>
    <w:multiLevelType w:val="hybridMultilevel"/>
    <w:tmpl w:val="374EFF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4786DF3"/>
    <w:multiLevelType w:val="hybridMultilevel"/>
    <w:tmpl w:val="C124F2C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19341737"/>
    <w:multiLevelType w:val="hybridMultilevel"/>
    <w:tmpl w:val="7DC8C754"/>
    <w:lvl w:ilvl="0" w:tplc="FFFFFFFF">
      <w:start w:val="1"/>
      <w:numFmt w:val="bullet"/>
      <w:lvlText w:val=""/>
      <w:lvlJc w:val="left"/>
      <w:pPr>
        <w:ind w:left="1440" w:hanging="360"/>
      </w:pPr>
      <w:rPr>
        <w:rFonts w:ascii="Symbol" w:hAnsi="Symbol" w:hint="default"/>
      </w:rPr>
    </w:lvl>
    <w:lvl w:ilvl="1" w:tplc="B90A6212">
      <w:start w:val="2"/>
      <w:numFmt w:val="bullet"/>
      <w:lvlText w:val=""/>
      <w:lvlJc w:val="left"/>
      <w:rPr>
        <w:rFonts w:ascii="Symbol" w:eastAsiaTheme="minorHAnsi" w:hAnsi="Symbol" w:cs="Times New Roman"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6" w15:restartNumberingAfterBreak="0">
    <w:nsid w:val="1B9269CB"/>
    <w:multiLevelType w:val="hybridMultilevel"/>
    <w:tmpl w:val="99060332"/>
    <w:lvl w:ilvl="0" w:tplc="04090005">
      <w:start w:val="1"/>
      <w:numFmt w:val="bullet"/>
      <w:lvlText w:val=""/>
      <w:lvlJc w:val="left"/>
      <w:rPr>
        <w:rFonts w:ascii="Wingdings" w:hAnsi="Wingdings" w:hint="default"/>
      </w:rPr>
    </w:lvl>
    <w:lvl w:ilvl="1" w:tplc="FFFFFFFF">
      <w:start w:val="1"/>
      <w:numFmt w:val="bullet"/>
      <w:lvlText w:val="•"/>
      <w:lvlJc w:val="left"/>
      <w:pPr>
        <w:ind w:left="1800" w:hanging="720"/>
      </w:pPr>
      <w:rPr>
        <w:rFonts w:ascii="Times New Roman" w:hAnsi="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1C27331B"/>
    <w:multiLevelType w:val="hybridMultilevel"/>
    <w:tmpl w:val="9586A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622ABC"/>
    <w:multiLevelType w:val="hybridMultilevel"/>
    <w:tmpl w:val="675EED00"/>
    <w:lvl w:ilvl="0" w:tplc="DA72CAA4">
      <w:start w:val="1"/>
      <w:numFmt w:val="bullet"/>
      <w:lvlText w:val=""/>
      <w:lvlJc w:val="left"/>
      <w:pPr>
        <w:ind w:left="720" w:hanging="360"/>
      </w:pPr>
      <w:rPr>
        <w:rFonts w:ascii="Symbol" w:hAnsi="Symbol" w:hint="default"/>
      </w:rPr>
    </w:lvl>
    <w:lvl w:ilvl="1" w:tplc="A0B8322C">
      <w:start w:val="1"/>
      <w:numFmt w:val="bullet"/>
      <w:lvlText w:val="o"/>
      <w:lvlJc w:val="left"/>
      <w:pPr>
        <w:ind w:left="1440" w:hanging="360"/>
      </w:pPr>
      <w:rPr>
        <w:rFonts w:ascii="Courier New" w:hAnsi="Courier New" w:hint="default"/>
      </w:rPr>
    </w:lvl>
    <w:lvl w:ilvl="2" w:tplc="11623284">
      <w:start w:val="1"/>
      <w:numFmt w:val="bullet"/>
      <w:lvlText w:val=""/>
      <w:lvlJc w:val="left"/>
      <w:pPr>
        <w:ind w:left="2160" w:hanging="360"/>
      </w:pPr>
      <w:rPr>
        <w:rFonts w:ascii="Wingdings" w:hAnsi="Wingdings" w:hint="default"/>
      </w:rPr>
    </w:lvl>
    <w:lvl w:ilvl="3" w:tplc="44C6C334">
      <w:start w:val="1"/>
      <w:numFmt w:val="bullet"/>
      <w:lvlText w:val=""/>
      <w:lvlJc w:val="left"/>
      <w:pPr>
        <w:ind w:left="2880" w:hanging="360"/>
      </w:pPr>
      <w:rPr>
        <w:rFonts w:ascii="Symbol" w:hAnsi="Symbol" w:hint="default"/>
      </w:rPr>
    </w:lvl>
    <w:lvl w:ilvl="4" w:tplc="18447232">
      <w:start w:val="1"/>
      <w:numFmt w:val="bullet"/>
      <w:lvlText w:val="o"/>
      <w:lvlJc w:val="left"/>
      <w:pPr>
        <w:ind w:left="3600" w:hanging="360"/>
      </w:pPr>
      <w:rPr>
        <w:rFonts w:ascii="Courier New" w:hAnsi="Courier New" w:hint="default"/>
      </w:rPr>
    </w:lvl>
    <w:lvl w:ilvl="5" w:tplc="55C49A00">
      <w:start w:val="1"/>
      <w:numFmt w:val="bullet"/>
      <w:lvlText w:val=""/>
      <w:lvlJc w:val="left"/>
      <w:pPr>
        <w:ind w:left="4320" w:hanging="360"/>
      </w:pPr>
      <w:rPr>
        <w:rFonts w:ascii="Wingdings" w:hAnsi="Wingdings" w:hint="default"/>
      </w:rPr>
    </w:lvl>
    <w:lvl w:ilvl="6" w:tplc="68785712">
      <w:start w:val="1"/>
      <w:numFmt w:val="bullet"/>
      <w:lvlText w:val=""/>
      <w:lvlJc w:val="left"/>
      <w:pPr>
        <w:ind w:left="5040" w:hanging="360"/>
      </w:pPr>
      <w:rPr>
        <w:rFonts w:ascii="Symbol" w:hAnsi="Symbol" w:hint="default"/>
      </w:rPr>
    </w:lvl>
    <w:lvl w:ilvl="7" w:tplc="E65CE75C">
      <w:start w:val="1"/>
      <w:numFmt w:val="bullet"/>
      <w:lvlText w:val="o"/>
      <w:lvlJc w:val="left"/>
      <w:pPr>
        <w:ind w:left="5760" w:hanging="360"/>
      </w:pPr>
      <w:rPr>
        <w:rFonts w:ascii="Courier New" w:hAnsi="Courier New" w:hint="default"/>
      </w:rPr>
    </w:lvl>
    <w:lvl w:ilvl="8" w:tplc="30BAA758">
      <w:start w:val="1"/>
      <w:numFmt w:val="bullet"/>
      <w:lvlText w:val=""/>
      <w:lvlJc w:val="left"/>
      <w:pPr>
        <w:ind w:left="6480" w:hanging="360"/>
      </w:pPr>
      <w:rPr>
        <w:rFonts w:ascii="Wingdings" w:hAnsi="Wingdings" w:hint="default"/>
      </w:rPr>
    </w:lvl>
  </w:abstractNum>
  <w:abstractNum w:abstractNumId="19" w15:restartNumberingAfterBreak="0">
    <w:nsid w:val="26FF3438"/>
    <w:multiLevelType w:val="hybridMultilevel"/>
    <w:tmpl w:val="F73EC6F8"/>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27D07FAC"/>
    <w:multiLevelType w:val="hybridMultilevel"/>
    <w:tmpl w:val="07C8DFD4"/>
    <w:numStyleLink w:val="ImportedStyle3"/>
  </w:abstractNum>
  <w:abstractNum w:abstractNumId="21" w15:restartNumberingAfterBreak="0">
    <w:nsid w:val="2AA533B8"/>
    <w:multiLevelType w:val="hybridMultilevel"/>
    <w:tmpl w:val="BD060A02"/>
    <w:styleLink w:val="ImportedStyle11"/>
    <w:lvl w:ilvl="0" w:tplc="4FFE412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AD088A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9E0894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26E2C0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514E45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9E4B95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56ADA0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47E179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F162F3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2B191897"/>
    <w:multiLevelType w:val="hybridMultilevel"/>
    <w:tmpl w:val="2514DFAC"/>
    <w:numStyleLink w:val="ImportedStyle6"/>
  </w:abstractNum>
  <w:abstractNum w:abstractNumId="23" w15:restartNumberingAfterBreak="0">
    <w:nsid w:val="2F6F7843"/>
    <w:multiLevelType w:val="hybridMultilevel"/>
    <w:tmpl w:val="E52AFBBC"/>
    <w:styleLink w:val="ImportedStyle8"/>
    <w:lvl w:ilvl="0" w:tplc="E4926D1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ED92C1C2">
      <w:start w:val="1"/>
      <w:numFmt w:val="bullet"/>
      <w:lvlText w:val="o"/>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C9182DD0">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D64827DA">
      <w:start w:val="1"/>
      <w:numFmt w:val="bullet"/>
      <w:lvlText w:val="•"/>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6038CAC8">
      <w:start w:val="1"/>
      <w:numFmt w:val="bullet"/>
      <w:lvlText w:val="o"/>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EA0A4352">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00F4FB28">
      <w:start w:val="1"/>
      <w:numFmt w:val="bullet"/>
      <w:lvlText w:val="•"/>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BDC48B9A">
      <w:start w:val="1"/>
      <w:numFmt w:val="bullet"/>
      <w:lvlText w:val="o"/>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317CD2E4">
      <w:start w:val="1"/>
      <w:numFmt w:val="bullet"/>
      <w:lvlText w:val="▪"/>
      <w:lvlJc w:val="left"/>
      <w:pPr>
        <w:ind w:left="72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322F0313"/>
    <w:multiLevelType w:val="hybridMultilevel"/>
    <w:tmpl w:val="4E9661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33A798C"/>
    <w:multiLevelType w:val="hybridMultilevel"/>
    <w:tmpl w:val="66DC9612"/>
    <w:styleLink w:val="ImportedStyle9"/>
    <w:lvl w:ilvl="0" w:tplc="D6E4A66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0F8697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4C0CD1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2E8616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762E2F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4E61BE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D00CEC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5C68F1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4AE41A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363B3C50"/>
    <w:multiLevelType w:val="hybridMultilevel"/>
    <w:tmpl w:val="C13C9C60"/>
    <w:numStyleLink w:val="ImportedStyle4"/>
  </w:abstractNum>
  <w:abstractNum w:abstractNumId="27" w15:restartNumberingAfterBreak="0">
    <w:nsid w:val="37434DD8"/>
    <w:multiLevelType w:val="multilevel"/>
    <w:tmpl w:val="D1BA4DB6"/>
    <w:lvl w:ilvl="0">
      <w:start w:val="1"/>
      <w:numFmt w:val="decimal"/>
      <w:lvlText w:val="%1."/>
      <w:lvlJc w:val="left"/>
      <w:pPr>
        <w:tabs>
          <w:tab w:val="num" w:pos="720"/>
        </w:tabs>
        <w:ind w:left="720" w:hanging="720"/>
      </w:pPr>
    </w:lvl>
    <w:lvl w:ilvl="1">
      <w:start w:val="1"/>
      <w:numFmt w:val="bullet"/>
      <w:lvlText w:val=""/>
      <w:lvlJc w:val="left"/>
      <w:pPr>
        <w:ind w:left="3600" w:hanging="360"/>
      </w:pPr>
      <w:rPr>
        <w:rFonts w:ascii="Symbol" w:hAnsi="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3D3C75AD"/>
    <w:multiLevelType w:val="hybridMultilevel"/>
    <w:tmpl w:val="518E10D6"/>
    <w:numStyleLink w:val="ImportedStyle5"/>
  </w:abstractNum>
  <w:abstractNum w:abstractNumId="29" w15:restartNumberingAfterBreak="0">
    <w:nsid w:val="3D63405C"/>
    <w:multiLevelType w:val="multilevel"/>
    <w:tmpl w:val="117663C2"/>
    <w:lvl w:ilvl="0">
      <w:start w:val="1"/>
      <w:numFmt w:val="decimal"/>
      <w:lvlText w:val="%1."/>
      <w:lvlJc w:val="left"/>
      <w:pPr>
        <w:tabs>
          <w:tab w:val="num" w:pos="720"/>
        </w:tabs>
        <w:ind w:left="720" w:hanging="720"/>
      </w:pPr>
    </w:lvl>
    <w:lvl w:ilvl="1">
      <w:start w:val="1"/>
      <w:numFmt w:val="bullet"/>
      <w:lvlText w:val=""/>
      <w:lvlJc w:val="left"/>
      <w:pPr>
        <w:ind w:left="2880" w:hanging="360"/>
      </w:pPr>
      <w:rPr>
        <w:rFonts w:ascii="Symbol" w:hAnsi="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4009670E"/>
    <w:multiLevelType w:val="hybridMultilevel"/>
    <w:tmpl w:val="5DACEDF0"/>
    <w:numStyleLink w:val="ImportedStyle1"/>
  </w:abstractNum>
  <w:abstractNum w:abstractNumId="31" w15:restartNumberingAfterBreak="0">
    <w:nsid w:val="404B2C20"/>
    <w:multiLevelType w:val="multilevel"/>
    <w:tmpl w:val="B090F8C4"/>
    <w:lvl w:ilvl="0">
      <w:start w:val="1"/>
      <w:numFmt w:val="decimal"/>
      <w:lvlText w:val="%1."/>
      <w:lvlJc w:val="left"/>
      <w:pPr>
        <w:tabs>
          <w:tab w:val="num" w:pos="720"/>
        </w:tabs>
        <w:ind w:left="720" w:hanging="720"/>
      </w:pPr>
    </w:lvl>
    <w:lvl w:ilvl="1">
      <w:start w:val="1"/>
      <w:numFmt w:val="bullet"/>
      <w:lvlText w:val=""/>
      <w:lvlJc w:val="left"/>
      <w:rPr>
        <w:rFonts w:ascii="Symbol" w:hAnsi="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405546D0"/>
    <w:multiLevelType w:val="hybridMultilevel"/>
    <w:tmpl w:val="D0A49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5B50468"/>
    <w:multiLevelType w:val="hybridMultilevel"/>
    <w:tmpl w:val="76A285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45ED4FC6"/>
    <w:multiLevelType w:val="hybridMultilevel"/>
    <w:tmpl w:val="A21481B0"/>
    <w:numStyleLink w:val="ImportedStyle2"/>
  </w:abstractNum>
  <w:abstractNum w:abstractNumId="35" w15:restartNumberingAfterBreak="0">
    <w:nsid w:val="47E610F9"/>
    <w:multiLevelType w:val="hybridMultilevel"/>
    <w:tmpl w:val="D2406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819385C"/>
    <w:multiLevelType w:val="hybridMultilevel"/>
    <w:tmpl w:val="C4B01C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4D7B1D24"/>
    <w:multiLevelType w:val="hybridMultilevel"/>
    <w:tmpl w:val="B3BCA89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E3A52A3"/>
    <w:multiLevelType w:val="hybridMultilevel"/>
    <w:tmpl w:val="1368D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3D1458A"/>
    <w:multiLevelType w:val="hybridMultilevel"/>
    <w:tmpl w:val="0D82780E"/>
    <w:lvl w:ilvl="0" w:tplc="B90A6212">
      <w:start w:val="2"/>
      <w:numFmt w:val="bullet"/>
      <w:lvlText w:val=""/>
      <w:lvlJc w:val="left"/>
      <w:pPr>
        <w:ind w:left="1440"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56BD494A"/>
    <w:multiLevelType w:val="hybridMultilevel"/>
    <w:tmpl w:val="A98CDB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70510A4"/>
    <w:multiLevelType w:val="hybridMultilevel"/>
    <w:tmpl w:val="01406080"/>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9270572"/>
    <w:multiLevelType w:val="hybridMultilevel"/>
    <w:tmpl w:val="11682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EE365C1"/>
    <w:multiLevelType w:val="hybridMultilevel"/>
    <w:tmpl w:val="97E22402"/>
    <w:lvl w:ilvl="0" w:tplc="04090001">
      <w:start w:val="1"/>
      <w:numFmt w:val="bullet"/>
      <w:lvlText w:val=""/>
      <w:lvlJc w:val="left"/>
      <w:pPr>
        <w:ind w:left="720" w:hanging="360"/>
      </w:pPr>
      <w:rPr>
        <w:rFonts w:ascii="Symbol" w:hAnsi="Symbol" w:hint="default"/>
      </w:rPr>
    </w:lvl>
    <w:lvl w:ilvl="1" w:tplc="04090001">
      <w:start w:val="1"/>
      <w:numFmt w:val="bullet"/>
      <w:lvlText w:val=""/>
      <w:lvlJc w:val="left"/>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F5E674F"/>
    <w:multiLevelType w:val="hybridMultilevel"/>
    <w:tmpl w:val="AF586D98"/>
    <w:numStyleLink w:val="ImportedStyle7"/>
  </w:abstractNum>
  <w:abstractNum w:abstractNumId="45" w15:restartNumberingAfterBreak="0">
    <w:nsid w:val="667F5C89"/>
    <w:multiLevelType w:val="hybridMultilevel"/>
    <w:tmpl w:val="B3E4DE5E"/>
    <w:lvl w:ilvl="0" w:tplc="FFFFFFFF">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04090001">
      <w:start w:val="1"/>
      <w:numFmt w:val="bullet"/>
      <w:lvlText w:val=""/>
      <w:lvlJc w:val="left"/>
      <w:rPr>
        <w:rFonts w:ascii="Symbol" w:hAnsi="Symbol" w:hint="default"/>
        <w:color w:val="000000"/>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6" w15:restartNumberingAfterBreak="0">
    <w:nsid w:val="66CF540E"/>
    <w:multiLevelType w:val="hybridMultilevel"/>
    <w:tmpl w:val="C13C9C60"/>
    <w:styleLink w:val="ImportedStyle4"/>
    <w:lvl w:ilvl="0" w:tplc="8BF842E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0E8260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5EC001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C6076B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D70E1D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7B80F4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5689DB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D5EAE7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EF26C3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66CF6F00"/>
    <w:multiLevelType w:val="hybridMultilevel"/>
    <w:tmpl w:val="518E10D6"/>
    <w:styleLink w:val="ImportedStyle5"/>
    <w:lvl w:ilvl="0" w:tplc="5C38695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8EC9064">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E60269D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6BDC325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D00E630C">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1F6E3144">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5420AB60">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30AC7C06">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90E8AF7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8" w15:restartNumberingAfterBreak="0">
    <w:nsid w:val="67F560BB"/>
    <w:multiLevelType w:val="hybridMultilevel"/>
    <w:tmpl w:val="7204790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690812C2"/>
    <w:multiLevelType w:val="hybridMultilevel"/>
    <w:tmpl w:val="A73C5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D87190B"/>
    <w:multiLevelType w:val="hybridMultilevel"/>
    <w:tmpl w:val="F068813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70443510"/>
    <w:multiLevelType w:val="hybridMultilevel"/>
    <w:tmpl w:val="B6CE9D52"/>
    <w:lvl w:ilvl="0" w:tplc="FFFFFFFF">
      <w:start w:val="1"/>
      <w:numFmt w:val="bullet"/>
      <w:lvlText w:val=""/>
      <w:lvlJc w:val="left"/>
      <w:pPr>
        <w:ind w:left="720" w:hanging="360"/>
      </w:pPr>
      <w:rPr>
        <w:rFonts w:ascii="Symbol" w:hAnsi="Symbol" w:hint="default"/>
      </w:rPr>
    </w:lvl>
    <w:lvl w:ilvl="1" w:tplc="04090005">
      <w:start w:val="1"/>
      <w:numFmt w:val="bullet"/>
      <w:lvlText w:val=""/>
      <w:lvlJc w:val="left"/>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2" w15:restartNumberingAfterBreak="0">
    <w:nsid w:val="718E34E3"/>
    <w:multiLevelType w:val="hybridMultilevel"/>
    <w:tmpl w:val="5EBCD0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766B2606"/>
    <w:multiLevelType w:val="hybridMultilevel"/>
    <w:tmpl w:val="FB56C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AF55FAF"/>
    <w:multiLevelType w:val="multilevel"/>
    <w:tmpl w:val="D1BA4DB6"/>
    <w:lvl w:ilvl="0">
      <w:start w:val="1"/>
      <w:numFmt w:val="decimal"/>
      <w:lvlText w:val="%1."/>
      <w:lvlJc w:val="left"/>
      <w:pPr>
        <w:tabs>
          <w:tab w:val="num" w:pos="720"/>
        </w:tabs>
        <w:ind w:left="720" w:hanging="720"/>
      </w:pPr>
    </w:lvl>
    <w:lvl w:ilvl="1">
      <w:start w:val="1"/>
      <w:numFmt w:val="bullet"/>
      <w:lvlText w:val=""/>
      <w:lvlJc w:val="left"/>
      <w:pPr>
        <w:ind w:left="3600" w:hanging="360"/>
      </w:pPr>
      <w:rPr>
        <w:rFonts w:ascii="Symbol" w:hAnsi="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5" w15:restartNumberingAfterBreak="0">
    <w:nsid w:val="7D2E1A28"/>
    <w:multiLevelType w:val="hybridMultilevel"/>
    <w:tmpl w:val="86BE9270"/>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DA213ED"/>
    <w:multiLevelType w:val="hybridMultilevel"/>
    <w:tmpl w:val="5DACEDF0"/>
    <w:styleLink w:val="ImportedStyle1"/>
    <w:lvl w:ilvl="0" w:tplc="CB9A7A0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2B2D67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F30BC3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798334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07C4DF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4CE9CA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E3C84B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2B280D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EECA07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7" w15:restartNumberingAfterBreak="0">
    <w:nsid w:val="7F9A7AEA"/>
    <w:multiLevelType w:val="hybridMultilevel"/>
    <w:tmpl w:val="8D6E317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0"/>
  </w:num>
  <w:num w:numId="2">
    <w:abstractNumId w:val="53"/>
  </w:num>
  <w:num w:numId="3">
    <w:abstractNumId w:val="35"/>
  </w:num>
  <w:num w:numId="4">
    <w:abstractNumId w:val="45"/>
  </w:num>
  <w:num w:numId="5">
    <w:abstractNumId w:val="56"/>
  </w:num>
  <w:num w:numId="6">
    <w:abstractNumId w:val="30"/>
    <w:lvlOverride w:ilvl="0">
      <w:lvl w:ilvl="0" w:tplc="9006A55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
    <w:abstractNumId w:val="7"/>
  </w:num>
  <w:num w:numId="8">
    <w:abstractNumId w:val="34"/>
  </w:num>
  <w:num w:numId="9">
    <w:abstractNumId w:val="9"/>
  </w:num>
  <w:num w:numId="10">
    <w:abstractNumId w:val="20"/>
  </w:num>
  <w:num w:numId="11">
    <w:abstractNumId w:val="46"/>
  </w:num>
  <w:num w:numId="12">
    <w:abstractNumId w:val="26"/>
  </w:num>
  <w:num w:numId="13">
    <w:abstractNumId w:val="47"/>
  </w:num>
  <w:num w:numId="14">
    <w:abstractNumId w:val="28"/>
    <w:lvlOverride w:ilvl="0">
      <w:lvl w:ilvl="0" w:tplc="27A428F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5">
    <w:abstractNumId w:val="10"/>
  </w:num>
  <w:num w:numId="16">
    <w:abstractNumId w:val="22"/>
    <w:lvlOverride w:ilvl="0">
      <w:lvl w:ilvl="0" w:tplc="687A86D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7">
    <w:abstractNumId w:val="6"/>
  </w:num>
  <w:num w:numId="18">
    <w:abstractNumId w:val="44"/>
  </w:num>
  <w:num w:numId="19">
    <w:abstractNumId w:val="23"/>
  </w:num>
  <w:num w:numId="20">
    <w:abstractNumId w:val="25"/>
  </w:num>
  <w:num w:numId="21">
    <w:abstractNumId w:val="5"/>
  </w:num>
  <w:num w:numId="22">
    <w:abstractNumId w:val="1"/>
  </w:num>
  <w:num w:numId="23">
    <w:abstractNumId w:val="21"/>
  </w:num>
  <w:num w:numId="24">
    <w:abstractNumId w:val="0"/>
  </w:num>
  <w:num w:numId="25">
    <w:abstractNumId w:val="37"/>
  </w:num>
  <w:num w:numId="26">
    <w:abstractNumId w:val="14"/>
  </w:num>
  <w:num w:numId="27">
    <w:abstractNumId w:val="32"/>
  </w:num>
  <w:num w:numId="28">
    <w:abstractNumId w:val="12"/>
  </w:num>
  <w:num w:numId="29">
    <w:abstractNumId w:val="50"/>
  </w:num>
  <w:num w:numId="30">
    <w:abstractNumId w:val="57"/>
  </w:num>
  <w:num w:numId="31">
    <w:abstractNumId w:val="48"/>
  </w:num>
  <w:num w:numId="32">
    <w:abstractNumId w:val="52"/>
  </w:num>
  <w:num w:numId="33">
    <w:abstractNumId w:val="41"/>
  </w:num>
  <w:num w:numId="34">
    <w:abstractNumId w:val="55"/>
  </w:num>
  <w:num w:numId="35">
    <w:abstractNumId w:val="17"/>
  </w:num>
  <w:num w:numId="36">
    <w:abstractNumId w:val="38"/>
  </w:num>
  <w:num w:numId="37">
    <w:abstractNumId w:val="36"/>
  </w:num>
  <w:num w:numId="38">
    <w:abstractNumId w:val="16"/>
  </w:num>
  <w:num w:numId="39">
    <w:abstractNumId w:val="11"/>
  </w:num>
  <w:num w:numId="40">
    <w:abstractNumId w:val="51"/>
  </w:num>
  <w:num w:numId="41">
    <w:abstractNumId w:val="33"/>
  </w:num>
  <w:num w:numId="42">
    <w:abstractNumId w:val="18"/>
  </w:num>
  <w:num w:numId="43">
    <w:abstractNumId w:val="43"/>
  </w:num>
  <w:num w:numId="44">
    <w:abstractNumId w:val="19"/>
  </w:num>
  <w:num w:numId="45">
    <w:abstractNumId w:val="8"/>
  </w:num>
  <w:num w:numId="46">
    <w:abstractNumId w:val="49"/>
  </w:num>
  <w:num w:numId="47">
    <w:abstractNumId w:val="42"/>
  </w:num>
  <w:num w:numId="48">
    <w:abstractNumId w:val="13"/>
  </w:num>
  <w:num w:numId="49">
    <w:abstractNumId w:val="24"/>
  </w:num>
  <w:num w:numId="50">
    <w:abstractNumId w:val="3"/>
  </w:num>
  <w:num w:numId="51">
    <w:abstractNumId w:val="54"/>
  </w:num>
  <w:num w:numId="52">
    <w:abstractNumId w:val="27"/>
  </w:num>
  <w:num w:numId="53">
    <w:abstractNumId w:val="31"/>
  </w:num>
  <w:num w:numId="54">
    <w:abstractNumId w:val="29"/>
  </w:num>
  <w:num w:numId="55">
    <w:abstractNumId w:val="2"/>
  </w:num>
  <w:num w:numId="56">
    <w:abstractNumId w:val="15"/>
  </w:num>
  <w:num w:numId="57">
    <w:abstractNumId w:val="4"/>
  </w:num>
  <w:num w:numId="58">
    <w:abstractNumId w:val="3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grammar="clean"/>
  <w:stylePaneFormatFilter w:val="0700" w:allStyles="0"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3CB"/>
    <w:rsid w:val="00025161"/>
    <w:rsid w:val="00064733"/>
    <w:rsid w:val="000B4FBC"/>
    <w:rsid w:val="000C6360"/>
    <w:rsid w:val="000E5135"/>
    <w:rsid w:val="00121C9E"/>
    <w:rsid w:val="00136317"/>
    <w:rsid w:val="001373CB"/>
    <w:rsid w:val="001A1EE4"/>
    <w:rsid w:val="001A2B82"/>
    <w:rsid w:val="001B5593"/>
    <w:rsid w:val="001C3DC7"/>
    <w:rsid w:val="001D0CDE"/>
    <w:rsid w:val="001E639E"/>
    <w:rsid w:val="002142C1"/>
    <w:rsid w:val="00240925"/>
    <w:rsid w:val="0026729E"/>
    <w:rsid w:val="00283E52"/>
    <w:rsid w:val="00295271"/>
    <w:rsid w:val="002A2194"/>
    <w:rsid w:val="00316EB1"/>
    <w:rsid w:val="00323D2A"/>
    <w:rsid w:val="00373078"/>
    <w:rsid w:val="00391A8F"/>
    <w:rsid w:val="0039425D"/>
    <w:rsid w:val="00397964"/>
    <w:rsid w:val="003C15F1"/>
    <w:rsid w:val="003D1AB7"/>
    <w:rsid w:val="003E04E9"/>
    <w:rsid w:val="003F1E99"/>
    <w:rsid w:val="00403A8C"/>
    <w:rsid w:val="0040637E"/>
    <w:rsid w:val="00424258"/>
    <w:rsid w:val="00456C6E"/>
    <w:rsid w:val="004A0493"/>
    <w:rsid w:val="004F3F7C"/>
    <w:rsid w:val="00500A1C"/>
    <w:rsid w:val="00502C13"/>
    <w:rsid w:val="00504FA8"/>
    <w:rsid w:val="00542714"/>
    <w:rsid w:val="00576F4D"/>
    <w:rsid w:val="005875A1"/>
    <w:rsid w:val="005A4241"/>
    <w:rsid w:val="005C21DB"/>
    <w:rsid w:val="005C69DD"/>
    <w:rsid w:val="005E2AC2"/>
    <w:rsid w:val="005F0669"/>
    <w:rsid w:val="005F0C49"/>
    <w:rsid w:val="006420D2"/>
    <w:rsid w:val="00642F0B"/>
    <w:rsid w:val="00647318"/>
    <w:rsid w:val="006503FB"/>
    <w:rsid w:val="00672C2C"/>
    <w:rsid w:val="00680C78"/>
    <w:rsid w:val="006A1374"/>
    <w:rsid w:val="006A4EAB"/>
    <w:rsid w:val="006D5876"/>
    <w:rsid w:val="006F2506"/>
    <w:rsid w:val="00703EB9"/>
    <w:rsid w:val="00706CC1"/>
    <w:rsid w:val="00742E82"/>
    <w:rsid w:val="0075432C"/>
    <w:rsid w:val="0076001A"/>
    <w:rsid w:val="007669B7"/>
    <w:rsid w:val="0077360E"/>
    <w:rsid w:val="007D6A6D"/>
    <w:rsid w:val="007E4978"/>
    <w:rsid w:val="007F5F61"/>
    <w:rsid w:val="007F7A24"/>
    <w:rsid w:val="00814A5D"/>
    <w:rsid w:val="008A4C05"/>
    <w:rsid w:val="008B42D6"/>
    <w:rsid w:val="008C61A6"/>
    <w:rsid w:val="008D1406"/>
    <w:rsid w:val="008D7B6D"/>
    <w:rsid w:val="008F0869"/>
    <w:rsid w:val="009169A7"/>
    <w:rsid w:val="00930BD5"/>
    <w:rsid w:val="009B2F1B"/>
    <w:rsid w:val="009B75B7"/>
    <w:rsid w:val="009C1AA8"/>
    <w:rsid w:val="00A55BEA"/>
    <w:rsid w:val="00A600F0"/>
    <w:rsid w:val="00A67EDC"/>
    <w:rsid w:val="00A74AE2"/>
    <w:rsid w:val="00AA7D96"/>
    <w:rsid w:val="00AF4B80"/>
    <w:rsid w:val="00B20807"/>
    <w:rsid w:val="00B30EE2"/>
    <w:rsid w:val="00B32961"/>
    <w:rsid w:val="00B54C80"/>
    <w:rsid w:val="00B82AF0"/>
    <w:rsid w:val="00BB148C"/>
    <w:rsid w:val="00C22B41"/>
    <w:rsid w:val="00C26985"/>
    <w:rsid w:val="00C3554C"/>
    <w:rsid w:val="00C44829"/>
    <w:rsid w:val="00C65DC0"/>
    <w:rsid w:val="00C76886"/>
    <w:rsid w:val="00C80979"/>
    <w:rsid w:val="00C93E36"/>
    <w:rsid w:val="00CF0561"/>
    <w:rsid w:val="00D0039D"/>
    <w:rsid w:val="00D1526D"/>
    <w:rsid w:val="00D272A0"/>
    <w:rsid w:val="00D37A42"/>
    <w:rsid w:val="00D86937"/>
    <w:rsid w:val="00D92787"/>
    <w:rsid w:val="00DA399C"/>
    <w:rsid w:val="00DD04C3"/>
    <w:rsid w:val="00E24754"/>
    <w:rsid w:val="00E41652"/>
    <w:rsid w:val="00E603DD"/>
    <w:rsid w:val="00E6049E"/>
    <w:rsid w:val="00E75596"/>
    <w:rsid w:val="00E837C2"/>
    <w:rsid w:val="00EC2592"/>
    <w:rsid w:val="00EC2692"/>
    <w:rsid w:val="00EE266A"/>
    <w:rsid w:val="00F10F7F"/>
    <w:rsid w:val="00F11F59"/>
    <w:rsid w:val="00F724DF"/>
    <w:rsid w:val="00F81EEE"/>
    <w:rsid w:val="00F8766E"/>
    <w:rsid w:val="00F91FAE"/>
    <w:rsid w:val="00FB354A"/>
    <w:rsid w:val="00FF5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15FE1A"/>
  <w15:chartTrackingRefBased/>
  <w15:docId w15:val="{7753C5C3-8E62-4E5E-9D0A-39A912018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73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uiPriority w:val="99"/>
    <w:rsid w:val="001373CB"/>
    <w:pPr>
      <w:tabs>
        <w:tab w:val="center" w:pos="4320"/>
        <w:tab w:val="right" w:pos="8640"/>
      </w:tabs>
    </w:pPr>
  </w:style>
  <w:style w:type="character" w:customStyle="1" w:styleId="HeaderChar">
    <w:name w:val="Header Char"/>
    <w:aliases w:val="encabezado Char"/>
    <w:basedOn w:val="DefaultParagraphFont"/>
    <w:link w:val="Header"/>
    <w:uiPriority w:val="99"/>
    <w:rsid w:val="001373CB"/>
  </w:style>
  <w:style w:type="character" w:styleId="Hyperlink">
    <w:name w:val="Hyperlink"/>
    <w:uiPriority w:val="99"/>
    <w:rsid w:val="001373CB"/>
    <w:rPr>
      <w:rFonts w:ascii="Times New Roman" w:hAnsi="Times New Roman" w:cs="Times New Roman" w:hint="default"/>
      <w:color w:val="0000FF"/>
      <w:u w:val="single"/>
      <w:lang w:val="en-US" w:eastAsia="en-US"/>
    </w:rPr>
  </w:style>
  <w:style w:type="paragraph" w:styleId="ListParagraph">
    <w:name w:val="List Paragraph"/>
    <w:basedOn w:val="Normal"/>
    <w:link w:val="ListParagraphChar"/>
    <w:uiPriority w:val="34"/>
    <w:qFormat/>
    <w:rsid w:val="001373CB"/>
    <w:pPr>
      <w:ind w:left="720"/>
    </w:pPr>
    <w:rPr>
      <w:rFonts w:eastAsia="Calibri"/>
      <w:sz w:val="24"/>
      <w:szCs w:val="24"/>
    </w:rPr>
  </w:style>
  <w:style w:type="paragraph" w:styleId="PlainText">
    <w:name w:val="Plain Text"/>
    <w:basedOn w:val="Normal"/>
    <w:link w:val="PlainTextChar"/>
    <w:uiPriority w:val="99"/>
    <w:unhideWhenUsed/>
    <w:rsid w:val="001373CB"/>
    <w:rPr>
      <w:rFonts w:ascii="Courier New" w:eastAsia="Calibri" w:hAnsi="Courier New" w:cs="Courier New"/>
    </w:rPr>
  </w:style>
  <w:style w:type="character" w:customStyle="1" w:styleId="PlainTextChar">
    <w:name w:val="Plain Text Char"/>
    <w:basedOn w:val="DefaultParagraphFont"/>
    <w:link w:val="PlainText"/>
    <w:uiPriority w:val="99"/>
    <w:rsid w:val="001373CB"/>
    <w:rPr>
      <w:rFonts w:ascii="Courier New" w:eastAsia="Calibri" w:hAnsi="Courier New" w:cs="Courier New"/>
    </w:rPr>
  </w:style>
  <w:style w:type="paragraph" w:styleId="NormalWeb">
    <w:name w:val="Normal (Web)"/>
    <w:basedOn w:val="Normal"/>
    <w:uiPriority w:val="99"/>
    <w:unhideWhenUsed/>
    <w:rsid w:val="001373CB"/>
    <w:pPr>
      <w:spacing w:before="100" w:beforeAutospacing="1" w:after="100" w:afterAutospacing="1"/>
    </w:pPr>
    <w:rPr>
      <w:sz w:val="24"/>
      <w:szCs w:val="24"/>
    </w:rPr>
  </w:style>
  <w:style w:type="character" w:styleId="CommentReference">
    <w:name w:val="annotation reference"/>
    <w:aliases w:val="Normal (Web) Char,Normal (Web) Char Char Char Char,Normal (Web) Char1 Char Char,Normal (Web) Char Char Char Char Char,Comment Reference Char,Normal (Web) Char Char1,Normal (Web) Char Char Char Char Char1"/>
    <w:uiPriority w:val="99"/>
    <w:unhideWhenUsed/>
    <w:rsid w:val="001373CB"/>
    <w:rPr>
      <w:sz w:val="16"/>
      <w:szCs w:val="16"/>
    </w:rPr>
  </w:style>
  <w:style w:type="paragraph" w:styleId="CommentText">
    <w:name w:val="annotation text"/>
    <w:basedOn w:val="Normal"/>
    <w:link w:val="CommentTextChar"/>
    <w:uiPriority w:val="99"/>
    <w:unhideWhenUsed/>
    <w:rsid w:val="001373CB"/>
    <w:pPr>
      <w:spacing w:after="200"/>
    </w:pPr>
    <w:rPr>
      <w:rFonts w:ascii="Calibri" w:eastAsia="Calibri" w:hAnsi="Calibri"/>
    </w:rPr>
  </w:style>
  <w:style w:type="character" w:customStyle="1" w:styleId="CommentTextChar">
    <w:name w:val="Comment Text Char"/>
    <w:basedOn w:val="DefaultParagraphFont"/>
    <w:link w:val="CommentText"/>
    <w:uiPriority w:val="99"/>
    <w:rsid w:val="001373CB"/>
    <w:rPr>
      <w:rFonts w:ascii="Calibri" w:eastAsia="Calibri" w:hAnsi="Calibri"/>
    </w:rPr>
  </w:style>
  <w:style w:type="character" w:customStyle="1" w:styleId="ListParagraphChar">
    <w:name w:val="List Paragraph Char"/>
    <w:link w:val="ListParagraph"/>
    <w:uiPriority w:val="34"/>
    <w:locked/>
    <w:rsid w:val="001373CB"/>
    <w:rPr>
      <w:rFonts w:eastAsia="Calibri"/>
      <w:sz w:val="24"/>
      <w:szCs w:val="24"/>
    </w:rPr>
  </w:style>
  <w:style w:type="paragraph" w:styleId="NoSpacing">
    <w:name w:val="No Spacing"/>
    <w:link w:val="NoSpacingChar"/>
    <w:uiPriority w:val="1"/>
    <w:qFormat/>
    <w:rsid w:val="0039425D"/>
    <w:rPr>
      <w:rFonts w:ascii="Calibri" w:eastAsia="Calibri" w:hAnsi="Calibri"/>
      <w:sz w:val="22"/>
      <w:szCs w:val="22"/>
      <w:lang w:val="es-ES"/>
    </w:rPr>
  </w:style>
  <w:style w:type="character" w:customStyle="1" w:styleId="NoSpacingChar">
    <w:name w:val="No Spacing Char"/>
    <w:link w:val="NoSpacing"/>
    <w:uiPriority w:val="1"/>
    <w:locked/>
    <w:rsid w:val="0039425D"/>
    <w:rPr>
      <w:rFonts w:ascii="Calibri" w:eastAsia="Calibri" w:hAnsi="Calibri"/>
      <w:sz w:val="22"/>
      <w:szCs w:val="22"/>
      <w:lang w:val="es-ES"/>
    </w:rPr>
  </w:style>
  <w:style w:type="paragraph" w:styleId="CommentSubject">
    <w:name w:val="annotation subject"/>
    <w:basedOn w:val="CommentText"/>
    <w:next w:val="CommentText"/>
    <w:link w:val="CommentSubjectChar"/>
    <w:semiHidden/>
    <w:unhideWhenUsed/>
    <w:rsid w:val="00136317"/>
    <w:pPr>
      <w:spacing w:after="0"/>
    </w:pPr>
    <w:rPr>
      <w:rFonts w:ascii="Times New Roman" w:eastAsia="Times New Roman" w:hAnsi="Times New Roman"/>
      <w:b/>
      <w:bCs/>
    </w:rPr>
  </w:style>
  <w:style w:type="character" w:customStyle="1" w:styleId="CommentSubjectChar">
    <w:name w:val="Comment Subject Char"/>
    <w:basedOn w:val="CommentTextChar"/>
    <w:link w:val="CommentSubject"/>
    <w:semiHidden/>
    <w:rsid w:val="00136317"/>
    <w:rPr>
      <w:rFonts w:ascii="Calibri" w:eastAsia="Calibri" w:hAnsi="Calibri"/>
      <w:b/>
      <w:bCs/>
    </w:rPr>
  </w:style>
  <w:style w:type="paragraph" w:styleId="Footer">
    <w:name w:val="footer"/>
    <w:basedOn w:val="Normal"/>
    <w:link w:val="FooterChar"/>
    <w:rsid w:val="000C6360"/>
    <w:pPr>
      <w:tabs>
        <w:tab w:val="center" w:pos="4680"/>
        <w:tab w:val="right" w:pos="9360"/>
      </w:tabs>
    </w:pPr>
  </w:style>
  <w:style w:type="character" w:customStyle="1" w:styleId="FooterChar">
    <w:name w:val="Footer Char"/>
    <w:basedOn w:val="DefaultParagraphFont"/>
    <w:link w:val="Footer"/>
    <w:rsid w:val="000C6360"/>
  </w:style>
  <w:style w:type="paragraph" w:styleId="Revision">
    <w:name w:val="Revision"/>
    <w:hidden/>
    <w:uiPriority w:val="99"/>
    <w:semiHidden/>
    <w:rsid w:val="00C26985"/>
  </w:style>
  <w:style w:type="character" w:customStyle="1" w:styleId="ts-alignment-element">
    <w:name w:val="ts-alignment-element"/>
    <w:basedOn w:val="DefaultParagraphFont"/>
    <w:rsid w:val="00930BD5"/>
  </w:style>
  <w:style w:type="character" w:customStyle="1" w:styleId="ts-alignment-element-highlighted">
    <w:name w:val="ts-alignment-element-highlighted"/>
    <w:basedOn w:val="DefaultParagraphFont"/>
    <w:rsid w:val="00930BD5"/>
  </w:style>
  <w:style w:type="paragraph" w:customStyle="1" w:styleId="BodyA">
    <w:name w:val="Body A"/>
    <w:rsid w:val="008C61A6"/>
    <w:pPr>
      <w:pBdr>
        <w:top w:val="nil"/>
        <w:left w:val="nil"/>
        <w:bottom w:val="nil"/>
        <w:right w:val="nil"/>
        <w:between w:val="nil"/>
        <w:bar w:val="nil"/>
      </w:pBdr>
    </w:pPr>
    <w:rPr>
      <w:rFonts w:eastAsia="Arial Unicode MS" w:cs="Arial Unicode MS"/>
      <w:color w:val="000000"/>
      <w:u w:color="000000"/>
      <w:bdr w:val="nil"/>
      <w14:textOutline w14:w="12700" w14:cap="flat" w14:cmpd="sng" w14:algn="ctr">
        <w14:noFill/>
        <w14:prstDash w14:val="solid"/>
        <w14:miter w14:lim="400000"/>
      </w14:textOutline>
    </w:rPr>
  </w:style>
  <w:style w:type="paragraph" w:customStyle="1" w:styleId="Body">
    <w:name w:val="Body"/>
    <w:rsid w:val="008C61A6"/>
    <w:pPr>
      <w:pBdr>
        <w:top w:val="nil"/>
        <w:left w:val="nil"/>
        <w:bottom w:val="nil"/>
        <w:right w:val="nil"/>
        <w:between w:val="nil"/>
        <w:bar w:val="nil"/>
      </w:pBdr>
    </w:pPr>
    <w:rPr>
      <w:color w:val="000000"/>
      <w:sz w:val="24"/>
      <w:szCs w:val="24"/>
      <w:u w:color="000000"/>
      <w:bdr w:val="nil"/>
      <w14:textOutline w14:w="0" w14:cap="flat" w14:cmpd="sng" w14:algn="ctr">
        <w14:noFill/>
        <w14:prstDash w14:val="solid"/>
        <w14:bevel/>
      </w14:textOutline>
    </w:rPr>
  </w:style>
  <w:style w:type="numbering" w:customStyle="1" w:styleId="ImportedStyle1">
    <w:name w:val="Imported Style 1"/>
    <w:rsid w:val="008C61A6"/>
    <w:pPr>
      <w:numPr>
        <w:numId w:val="5"/>
      </w:numPr>
    </w:pPr>
  </w:style>
  <w:style w:type="character" w:customStyle="1" w:styleId="Hyperlink0">
    <w:name w:val="Hyperlink.0"/>
    <w:basedOn w:val="DefaultParagraphFont"/>
    <w:rsid w:val="008C61A6"/>
    <w:rPr>
      <w:outline w:val="0"/>
      <w:color w:val="0000FF"/>
      <w:u w:val="single" w:color="0000FF"/>
      <w:shd w:val="clear" w:color="auto" w:fill="FFFFFF"/>
      <w:lang w:val="es-ES_tradnl"/>
    </w:rPr>
  </w:style>
  <w:style w:type="numbering" w:customStyle="1" w:styleId="ImportedStyle2">
    <w:name w:val="Imported Style 2"/>
    <w:rsid w:val="008C61A6"/>
    <w:pPr>
      <w:numPr>
        <w:numId w:val="7"/>
      </w:numPr>
    </w:pPr>
  </w:style>
  <w:style w:type="numbering" w:customStyle="1" w:styleId="ImportedStyle3">
    <w:name w:val="Imported Style 3"/>
    <w:rsid w:val="008C61A6"/>
    <w:pPr>
      <w:numPr>
        <w:numId w:val="9"/>
      </w:numPr>
    </w:pPr>
  </w:style>
  <w:style w:type="numbering" w:customStyle="1" w:styleId="ImportedStyle4">
    <w:name w:val="Imported Style 4"/>
    <w:rsid w:val="008C61A6"/>
    <w:pPr>
      <w:numPr>
        <w:numId w:val="11"/>
      </w:numPr>
    </w:pPr>
  </w:style>
  <w:style w:type="numbering" w:customStyle="1" w:styleId="ImportedStyle5">
    <w:name w:val="Imported Style 5"/>
    <w:rsid w:val="008C61A6"/>
    <w:pPr>
      <w:numPr>
        <w:numId w:val="13"/>
      </w:numPr>
    </w:pPr>
  </w:style>
  <w:style w:type="numbering" w:customStyle="1" w:styleId="ImportedStyle6">
    <w:name w:val="Imported Style 6"/>
    <w:rsid w:val="008C61A6"/>
    <w:pPr>
      <w:numPr>
        <w:numId w:val="15"/>
      </w:numPr>
    </w:pPr>
  </w:style>
  <w:style w:type="numbering" w:customStyle="1" w:styleId="ImportedStyle7">
    <w:name w:val="Imported Style 7"/>
    <w:rsid w:val="008C61A6"/>
    <w:pPr>
      <w:numPr>
        <w:numId w:val="17"/>
      </w:numPr>
    </w:pPr>
  </w:style>
  <w:style w:type="numbering" w:customStyle="1" w:styleId="ImportedStyle8">
    <w:name w:val="Imported Style 8"/>
    <w:rsid w:val="008C61A6"/>
    <w:pPr>
      <w:numPr>
        <w:numId w:val="19"/>
      </w:numPr>
    </w:pPr>
  </w:style>
  <w:style w:type="numbering" w:customStyle="1" w:styleId="ImportedStyle9">
    <w:name w:val="Imported Style 9"/>
    <w:rsid w:val="008C61A6"/>
    <w:pPr>
      <w:numPr>
        <w:numId w:val="20"/>
      </w:numPr>
    </w:pPr>
  </w:style>
  <w:style w:type="numbering" w:customStyle="1" w:styleId="ImportedStyle10">
    <w:name w:val="Imported Style 10"/>
    <w:rsid w:val="008C61A6"/>
    <w:pPr>
      <w:numPr>
        <w:numId w:val="22"/>
      </w:numPr>
    </w:pPr>
  </w:style>
  <w:style w:type="numbering" w:customStyle="1" w:styleId="ImportedStyle11">
    <w:name w:val="Imported Style 11"/>
    <w:rsid w:val="008C61A6"/>
    <w:pPr>
      <w:numPr>
        <w:numId w:val="23"/>
      </w:numPr>
    </w:pPr>
  </w:style>
  <w:style w:type="character" w:customStyle="1" w:styleId="normaltextrun">
    <w:name w:val="normaltextrun"/>
    <w:basedOn w:val="DefaultParagraphFont"/>
    <w:rsid w:val="005C69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286054">
      <w:bodyDiv w:val="1"/>
      <w:marLeft w:val="0"/>
      <w:marRight w:val="0"/>
      <w:marTop w:val="0"/>
      <w:marBottom w:val="0"/>
      <w:divBdr>
        <w:top w:val="none" w:sz="0" w:space="0" w:color="auto"/>
        <w:left w:val="none" w:sz="0" w:space="0" w:color="auto"/>
        <w:bottom w:val="none" w:sz="0" w:space="0" w:color="auto"/>
        <w:right w:val="none" w:sz="0" w:space="0" w:color="auto"/>
      </w:divBdr>
      <w:divsChild>
        <w:div w:id="597560855">
          <w:marLeft w:val="0"/>
          <w:marRight w:val="0"/>
          <w:marTop w:val="0"/>
          <w:marBottom w:val="0"/>
          <w:divBdr>
            <w:top w:val="none" w:sz="0" w:space="0" w:color="auto"/>
            <w:left w:val="none" w:sz="0" w:space="0" w:color="auto"/>
            <w:bottom w:val="none" w:sz="0" w:space="0" w:color="auto"/>
            <w:right w:val="none" w:sz="0" w:space="0" w:color="auto"/>
          </w:divBdr>
          <w:divsChild>
            <w:div w:id="1651245968">
              <w:marLeft w:val="0"/>
              <w:marRight w:val="0"/>
              <w:marTop w:val="0"/>
              <w:marBottom w:val="0"/>
              <w:divBdr>
                <w:top w:val="none" w:sz="0" w:space="0" w:color="auto"/>
                <w:left w:val="none" w:sz="0" w:space="0" w:color="auto"/>
                <w:bottom w:val="none" w:sz="0" w:space="0" w:color="auto"/>
                <w:right w:val="none" w:sz="0" w:space="0" w:color="auto"/>
              </w:divBdr>
              <w:divsChild>
                <w:div w:id="943880633">
                  <w:marLeft w:val="0"/>
                  <w:marRight w:val="0"/>
                  <w:marTop w:val="0"/>
                  <w:marBottom w:val="0"/>
                  <w:divBdr>
                    <w:top w:val="none" w:sz="0" w:space="0" w:color="auto"/>
                    <w:left w:val="none" w:sz="0" w:space="0" w:color="auto"/>
                    <w:bottom w:val="none" w:sz="0" w:space="0" w:color="auto"/>
                    <w:right w:val="none" w:sz="0" w:space="0" w:color="auto"/>
                  </w:divBdr>
                  <w:divsChild>
                    <w:div w:id="1010255762">
                      <w:marLeft w:val="0"/>
                      <w:marRight w:val="0"/>
                      <w:marTop w:val="0"/>
                      <w:marBottom w:val="0"/>
                      <w:divBdr>
                        <w:top w:val="none" w:sz="0" w:space="0" w:color="auto"/>
                        <w:left w:val="none" w:sz="0" w:space="0" w:color="auto"/>
                        <w:bottom w:val="none" w:sz="0" w:space="0" w:color="auto"/>
                        <w:right w:val="none" w:sz="0" w:space="0" w:color="auto"/>
                      </w:divBdr>
                      <w:divsChild>
                        <w:div w:id="1146048115">
                          <w:marLeft w:val="0"/>
                          <w:marRight w:val="0"/>
                          <w:marTop w:val="0"/>
                          <w:marBottom w:val="0"/>
                          <w:divBdr>
                            <w:top w:val="none" w:sz="0" w:space="0" w:color="auto"/>
                            <w:left w:val="none" w:sz="0" w:space="0" w:color="auto"/>
                            <w:bottom w:val="none" w:sz="0" w:space="0" w:color="auto"/>
                            <w:right w:val="none" w:sz="0" w:space="0" w:color="auto"/>
                          </w:divBdr>
                          <w:divsChild>
                            <w:div w:id="1987202796">
                              <w:marLeft w:val="0"/>
                              <w:marRight w:val="0"/>
                              <w:marTop w:val="0"/>
                              <w:marBottom w:val="0"/>
                              <w:divBdr>
                                <w:top w:val="none" w:sz="0" w:space="0" w:color="auto"/>
                                <w:left w:val="none" w:sz="0" w:space="0" w:color="auto"/>
                                <w:bottom w:val="none" w:sz="0" w:space="0" w:color="auto"/>
                                <w:right w:val="none" w:sz="0" w:space="0" w:color="auto"/>
                              </w:divBdr>
                              <w:divsChild>
                                <w:div w:id="2053920457">
                                  <w:marLeft w:val="0"/>
                                  <w:marRight w:val="0"/>
                                  <w:marTop w:val="0"/>
                                  <w:marBottom w:val="0"/>
                                  <w:divBdr>
                                    <w:top w:val="none" w:sz="0" w:space="0" w:color="auto"/>
                                    <w:left w:val="none" w:sz="0" w:space="0" w:color="auto"/>
                                    <w:bottom w:val="none" w:sz="0" w:space="0" w:color="auto"/>
                                    <w:right w:val="none" w:sz="0" w:space="0" w:color="auto"/>
                                  </w:divBdr>
                                  <w:divsChild>
                                    <w:div w:id="1141342123">
                                      <w:marLeft w:val="0"/>
                                      <w:marRight w:val="0"/>
                                      <w:marTop w:val="0"/>
                                      <w:marBottom w:val="0"/>
                                      <w:divBdr>
                                        <w:top w:val="none" w:sz="0" w:space="0" w:color="auto"/>
                                        <w:left w:val="none" w:sz="0" w:space="0" w:color="auto"/>
                                        <w:bottom w:val="none" w:sz="0" w:space="0" w:color="auto"/>
                                        <w:right w:val="none" w:sz="0" w:space="0" w:color="auto"/>
                                      </w:divBdr>
                                      <w:divsChild>
                                        <w:div w:id="1285307932">
                                          <w:marLeft w:val="0"/>
                                          <w:marRight w:val="0"/>
                                          <w:marTop w:val="0"/>
                                          <w:marBottom w:val="0"/>
                                          <w:divBdr>
                                            <w:top w:val="none" w:sz="0" w:space="0" w:color="auto"/>
                                            <w:left w:val="none" w:sz="0" w:space="0" w:color="auto"/>
                                            <w:bottom w:val="none" w:sz="0" w:space="0" w:color="auto"/>
                                            <w:right w:val="none" w:sz="0" w:space="0" w:color="auto"/>
                                          </w:divBdr>
                                          <w:divsChild>
                                            <w:div w:id="1204319979">
                                              <w:marLeft w:val="0"/>
                                              <w:marRight w:val="0"/>
                                              <w:marTop w:val="0"/>
                                              <w:marBottom w:val="0"/>
                                              <w:divBdr>
                                                <w:top w:val="none" w:sz="0" w:space="0" w:color="auto"/>
                                                <w:left w:val="none" w:sz="0" w:space="0" w:color="auto"/>
                                                <w:bottom w:val="none" w:sz="0" w:space="0" w:color="auto"/>
                                                <w:right w:val="none" w:sz="0" w:space="0" w:color="auto"/>
                                              </w:divBdr>
                                              <w:divsChild>
                                                <w:div w:id="46683447">
                                                  <w:marLeft w:val="0"/>
                                                  <w:marRight w:val="0"/>
                                                  <w:marTop w:val="0"/>
                                                  <w:marBottom w:val="0"/>
                                                  <w:divBdr>
                                                    <w:top w:val="none" w:sz="0" w:space="0" w:color="auto"/>
                                                    <w:left w:val="none" w:sz="0" w:space="0" w:color="auto"/>
                                                    <w:bottom w:val="none" w:sz="0" w:space="0" w:color="auto"/>
                                                    <w:right w:val="none" w:sz="0" w:space="0" w:color="auto"/>
                                                  </w:divBdr>
                                                  <w:divsChild>
                                                    <w:div w:id="265889938">
                                                      <w:marLeft w:val="0"/>
                                                      <w:marRight w:val="0"/>
                                                      <w:marTop w:val="0"/>
                                                      <w:marBottom w:val="0"/>
                                                      <w:divBdr>
                                                        <w:top w:val="none" w:sz="0" w:space="0" w:color="auto"/>
                                                        <w:left w:val="none" w:sz="0" w:space="0" w:color="auto"/>
                                                        <w:bottom w:val="none" w:sz="0" w:space="0" w:color="auto"/>
                                                        <w:right w:val="none" w:sz="0" w:space="0" w:color="auto"/>
                                                      </w:divBdr>
                                                      <w:divsChild>
                                                        <w:div w:id="64450652">
                                                          <w:marLeft w:val="0"/>
                                                          <w:marRight w:val="0"/>
                                                          <w:marTop w:val="0"/>
                                                          <w:marBottom w:val="0"/>
                                                          <w:divBdr>
                                                            <w:top w:val="none" w:sz="0" w:space="0" w:color="auto"/>
                                                            <w:left w:val="none" w:sz="0" w:space="0" w:color="auto"/>
                                                            <w:bottom w:val="none" w:sz="0" w:space="0" w:color="auto"/>
                                                            <w:right w:val="none" w:sz="0" w:space="0" w:color="auto"/>
                                                          </w:divBdr>
                                                          <w:divsChild>
                                                            <w:div w:id="194669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54998837">
      <w:bodyDiv w:val="1"/>
      <w:marLeft w:val="0"/>
      <w:marRight w:val="0"/>
      <w:marTop w:val="0"/>
      <w:marBottom w:val="0"/>
      <w:divBdr>
        <w:top w:val="none" w:sz="0" w:space="0" w:color="auto"/>
        <w:left w:val="none" w:sz="0" w:space="0" w:color="auto"/>
        <w:bottom w:val="none" w:sz="0" w:space="0" w:color="auto"/>
        <w:right w:val="none" w:sz="0" w:space="0" w:color="auto"/>
      </w:divBdr>
      <w:divsChild>
        <w:div w:id="1208296123">
          <w:marLeft w:val="0"/>
          <w:marRight w:val="0"/>
          <w:marTop w:val="0"/>
          <w:marBottom w:val="0"/>
          <w:divBdr>
            <w:top w:val="none" w:sz="0" w:space="0" w:color="auto"/>
            <w:left w:val="none" w:sz="0" w:space="0" w:color="auto"/>
            <w:bottom w:val="none" w:sz="0" w:space="0" w:color="auto"/>
            <w:right w:val="none" w:sz="0" w:space="0" w:color="auto"/>
          </w:divBdr>
          <w:divsChild>
            <w:div w:id="1328093888">
              <w:marLeft w:val="0"/>
              <w:marRight w:val="0"/>
              <w:marTop w:val="0"/>
              <w:marBottom w:val="0"/>
              <w:divBdr>
                <w:top w:val="none" w:sz="0" w:space="0" w:color="auto"/>
                <w:left w:val="none" w:sz="0" w:space="0" w:color="auto"/>
                <w:bottom w:val="none" w:sz="0" w:space="0" w:color="auto"/>
                <w:right w:val="none" w:sz="0" w:space="0" w:color="auto"/>
              </w:divBdr>
              <w:divsChild>
                <w:div w:id="697047774">
                  <w:marLeft w:val="0"/>
                  <w:marRight w:val="0"/>
                  <w:marTop w:val="0"/>
                  <w:marBottom w:val="0"/>
                  <w:divBdr>
                    <w:top w:val="none" w:sz="0" w:space="0" w:color="auto"/>
                    <w:left w:val="none" w:sz="0" w:space="0" w:color="auto"/>
                    <w:bottom w:val="none" w:sz="0" w:space="0" w:color="auto"/>
                    <w:right w:val="none" w:sz="0" w:space="0" w:color="auto"/>
                  </w:divBdr>
                  <w:divsChild>
                    <w:div w:id="1848442898">
                      <w:marLeft w:val="0"/>
                      <w:marRight w:val="0"/>
                      <w:marTop w:val="0"/>
                      <w:marBottom w:val="0"/>
                      <w:divBdr>
                        <w:top w:val="none" w:sz="0" w:space="0" w:color="auto"/>
                        <w:left w:val="none" w:sz="0" w:space="0" w:color="auto"/>
                        <w:bottom w:val="none" w:sz="0" w:space="0" w:color="auto"/>
                        <w:right w:val="none" w:sz="0" w:space="0" w:color="auto"/>
                      </w:divBdr>
                      <w:divsChild>
                        <w:div w:id="943612367">
                          <w:marLeft w:val="0"/>
                          <w:marRight w:val="0"/>
                          <w:marTop w:val="0"/>
                          <w:marBottom w:val="0"/>
                          <w:divBdr>
                            <w:top w:val="none" w:sz="0" w:space="0" w:color="auto"/>
                            <w:left w:val="none" w:sz="0" w:space="0" w:color="auto"/>
                            <w:bottom w:val="none" w:sz="0" w:space="0" w:color="auto"/>
                            <w:right w:val="none" w:sz="0" w:space="0" w:color="auto"/>
                          </w:divBdr>
                          <w:divsChild>
                            <w:div w:id="814494278">
                              <w:marLeft w:val="0"/>
                              <w:marRight w:val="0"/>
                              <w:marTop w:val="0"/>
                              <w:marBottom w:val="0"/>
                              <w:divBdr>
                                <w:top w:val="none" w:sz="0" w:space="0" w:color="auto"/>
                                <w:left w:val="none" w:sz="0" w:space="0" w:color="auto"/>
                                <w:bottom w:val="none" w:sz="0" w:space="0" w:color="auto"/>
                                <w:right w:val="none" w:sz="0" w:space="0" w:color="auto"/>
                              </w:divBdr>
                              <w:divsChild>
                                <w:div w:id="953637225">
                                  <w:marLeft w:val="0"/>
                                  <w:marRight w:val="0"/>
                                  <w:marTop w:val="0"/>
                                  <w:marBottom w:val="0"/>
                                  <w:divBdr>
                                    <w:top w:val="none" w:sz="0" w:space="0" w:color="auto"/>
                                    <w:left w:val="none" w:sz="0" w:space="0" w:color="auto"/>
                                    <w:bottom w:val="none" w:sz="0" w:space="0" w:color="auto"/>
                                    <w:right w:val="none" w:sz="0" w:space="0" w:color="auto"/>
                                  </w:divBdr>
                                  <w:divsChild>
                                    <w:div w:id="1183393366">
                                      <w:marLeft w:val="0"/>
                                      <w:marRight w:val="0"/>
                                      <w:marTop w:val="0"/>
                                      <w:marBottom w:val="0"/>
                                      <w:divBdr>
                                        <w:top w:val="none" w:sz="0" w:space="0" w:color="auto"/>
                                        <w:left w:val="none" w:sz="0" w:space="0" w:color="auto"/>
                                        <w:bottom w:val="none" w:sz="0" w:space="0" w:color="auto"/>
                                        <w:right w:val="none" w:sz="0" w:space="0" w:color="auto"/>
                                      </w:divBdr>
                                      <w:divsChild>
                                        <w:div w:id="1145665516">
                                          <w:marLeft w:val="0"/>
                                          <w:marRight w:val="0"/>
                                          <w:marTop w:val="0"/>
                                          <w:marBottom w:val="0"/>
                                          <w:divBdr>
                                            <w:top w:val="none" w:sz="0" w:space="0" w:color="auto"/>
                                            <w:left w:val="none" w:sz="0" w:space="0" w:color="auto"/>
                                            <w:bottom w:val="none" w:sz="0" w:space="0" w:color="auto"/>
                                            <w:right w:val="none" w:sz="0" w:space="0" w:color="auto"/>
                                          </w:divBdr>
                                          <w:divsChild>
                                            <w:div w:id="455637319">
                                              <w:marLeft w:val="0"/>
                                              <w:marRight w:val="0"/>
                                              <w:marTop w:val="0"/>
                                              <w:marBottom w:val="0"/>
                                              <w:divBdr>
                                                <w:top w:val="none" w:sz="0" w:space="0" w:color="auto"/>
                                                <w:left w:val="none" w:sz="0" w:space="0" w:color="auto"/>
                                                <w:bottom w:val="none" w:sz="0" w:space="0" w:color="auto"/>
                                                <w:right w:val="none" w:sz="0" w:space="0" w:color="auto"/>
                                              </w:divBdr>
                                              <w:divsChild>
                                                <w:div w:id="392196568">
                                                  <w:marLeft w:val="0"/>
                                                  <w:marRight w:val="0"/>
                                                  <w:marTop w:val="0"/>
                                                  <w:marBottom w:val="0"/>
                                                  <w:divBdr>
                                                    <w:top w:val="none" w:sz="0" w:space="0" w:color="auto"/>
                                                    <w:left w:val="none" w:sz="0" w:space="0" w:color="auto"/>
                                                    <w:bottom w:val="none" w:sz="0" w:space="0" w:color="auto"/>
                                                    <w:right w:val="none" w:sz="0" w:space="0" w:color="auto"/>
                                                  </w:divBdr>
                                                  <w:divsChild>
                                                    <w:div w:id="1056196000">
                                                      <w:marLeft w:val="0"/>
                                                      <w:marRight w:val="0"/>
                                                      <w:marTop w:val="0"/>
                                                      <w:marBottom w:val="0"/>
                                                      <w:divBdr>
                                                        <w:top w:val="none" w:sz="0" w:space="0" w:color="auto"/>
                                                        <w:left w:val="none" w:sz="0" w:space="0" w:color="auto"/>
                                                        <w:bottom w:val="none" w:sz="0" w:space="0" w:color="auto"/>
                                                        <w:right w:val="none" w:sz="0" w:space="0" w:color="auto"/>
                                                      </w:divBdr>
                                                      <w:divsChild>
                                                        <w:div w:id="2049985930">
                                                          <w:marLeft w:val="0"/>
                                                          <w:marRight w:val="0"/>
                                                          <w:marTop w:val="0"/>
                                                          <w:marBottom w:val="0"/>
                                                          <w:divBdr>
                                                            <w:top w:val="none" w:sz="0" w:space="0" w:color="auto"/>
                                                            <w:left w:val="none" w:sz="0" w:space="0" w:color="auto"/>
                                                            <w:bottom w:val="none" w:sz="0" w:space="0" w:color="auto"/>
                                                            <w:right w:val="none" w:sz="0" w:space="0" w:color="auto"/>
                                                          </w:divBdr>
                                                          <w:divsChild>
                                                            <w:div w:id="42168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m.oas.org/IDMS/Redirectpage.aspx?class=AICD/JD/DE&amp;classNum=126&amp;lang=e" TargetMode="External"/><Relationship Id="rId13" Type="http://schemas.openxmlformats.org/officeDocument/2006/relationships/hyperlink" Target="https://www.oas.org/ext/en/development/cooperanet/Cooperation-Authorities/Meetings-of-Authoritie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hemeansbusinessfb.com/training-hub-esp/" TargetMode="External"/><Relationship Id="rId12" Type="http://schemas.openxmlformats.org/officeDocument/2006/relationships/hyperlink" Target="https://www.oas.org/ext/en/development/cooperanet/Cooperation-Authorities/Meetings-of-Authoriti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m.oas.org/IDMS/Redirectpage.aspx?class=AICD/JD/DE&amp;classNum=131&amp;lang=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cm.oas.org/IDMS/Redirectpage.aspx?class=AICD/JD/DE&amp;classNum=130&amp;lang=e" TargetMode="External"/><Relationship Id="rId4" Type="http://schemas.openxmlformats.org/officeDocument/2006/relationships/webSettings" Target="webSettings.xml"/><Relationship Id="rId9" Type="http://schemas.openxmlformats.org/officeDocument/2006/relationships/hyperlink" Target="http://scm.oas.org/IDMS/Redirectpage.aspx?class=CIDI/doc.&amp;classNum=304&amp;lang=e" TargetMode="External"/><Relationship Id="rId14" Type="http://schemas.openxmlformats.org/officeDocument/2006/relationships/hyperlink" Target="https://www.oas.org/ext/en/development/cooperanet/Cooperation-Authorities/Meetings-of-Authorities."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29</Pages>
  <Words>12358</Words>
  <Characters>70088</Characters>
  <Application>Microsoft Office Word</Application>
  <DocSecurity>0</DocSecurity>
  <Lines>584</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Diaz - Avalos,  Estela</dc:creator>
  <cp:keywords/>
  <dc:description/>
  <cp:lastModifiedBy>Diaz - Avalos,  Estela</cp:lastModifiedBy>
  <cp:revision>3</cp:revision>
  <dcterms:created xsi:type="dcterms:W3CDTF">2022-03-24T18:38:00Z</dcterms:created>
  <dcterms:modified xsi:type="dcterms:W3CDTF">2022-03-24T18:46:00Z</dcterms:modified>
</cp:coreProperties>
</file>