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5E70" w14:textId="7E54DFE9" w:rsidR="005B5C0E" w:rsidRPr="003C31A8" w:rsidRDefault="0062418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D2E6C">
        <w:rPr>
          <w:sz w:val="22"/>
          <w:szCs w:val="22"/>
          <w:lang w:val="fr-FR"/>
        </w:rPr>
        <w:tab/>
      </w:r>
      <w:r w:rsidRPr="003C31A8">
        <w:rPr>
          <w:sz w:val="22"/>
          <w:szCs w:val="22"/>
          <w:lang w:val="pt-BR"/>
        </w:rPr>
        <w:t>O</w:t>
      </w:r>
      <w:r w:rsidR="006F55B4">
        <w:rPr>
          <w:sz w:val="22"/>
          <w:szCs w:val="22"/>
          <w:lang w:val="pt-BR"/>
        </w:rPr>
        <w:t>EA</w:t>
      </w:r>
      <w:r w:rsidRPr="003C31A8">
        <w:rPr>
          <w:sz w:val="22"/>
          <w:szCs w:val="22"/>
          <w:lang w:val="pt-BR"/>
        </w:rPr>
        <w:t>/Ser</w:t>
      </w:r>
      <w:r w:rsidR="00246862" w:rsidRPr="003C31A8">
        <w:rPr>
          <w:sz w:val="22"/>
          <w:szCs w:val="22"/>
          <w:lang w:val="pt-BR"/>
        </w:rPr>
        <w:t>.W</w:t>
      </w:r>
    </w:p>
    <w:p w14:paraId="73E29BDE" w14:textId="4B214D30" w:rsidR="005B5C0E" w:rsidRPr="003C31A8" w:rsidRDefault="0062418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C31A8">
        <w:rPr>
          <w:sz w:val="22"/>
          <w:szCs w:val="22"/>
          <w:lang w:val="pt-BR"/>
        </w:rPr>
        <w:tab/>
        <w:t>CIDI/doc</w:t>
      </w:r>
      <w:r w:rsidR="00D14D68" w:rsidRPr="003C31A8">
        <w:rPr>
          <w:sz w:val="22"/>
          <w:szCs w:val="22"/>
          <w:lang w:val="pt-BR"/>
        </w:rPr>
        <w:t>.</w:t>
      </w:r>
      <w:r w:rsidR="000F649C">
        <w:rPr>
          <w:sz w:val="22"/>
          <w:szCs w:val="22"/>
          <w:lang w:val="pt-BR"/>
        </w:rPr>
        <w:t xml:space="preserve"> </w:t>
      </w:r>
      <w:r w:rsidR="00EC77E1" w:rsidRPr="003C31A8">
        <w:rPr>
          <w:sz w:val="22"/>
          <w:szCs w:val="22"/>
          <w:lang w:val="pt-BR"/>
        </w:rPr>
        <w:t>342/22</w:t>
      </w:r>
      <w:r w:rsidR="006615A9">
        <w:rPr>
          <w:sz w:val="22"/>
          <w:szCs w:val="22"/>
          <w:lang w:val="pt-BR"/>
        </w:rPr>
        <w:t xml:space="preserve"> rev.1</w:t>
      </w:r>
    </w:p>
    <w:p w14:paraId="578281CB" w14:textId="586BC5D4" w:rsidR="005B5C0E" w:rsidRPr="008521F1" w:rsidRDefault="0062418E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3C31A8">
        <w:rPr>
          <w:sz w:val="22"/>
          <w:szCs w:val="22"/>
          <w:lang w:val="pt-BR"/>
        </w:rPr>
        <w:tab/>
      </w:r>
      <w:r w:rsidR="006615A9">
        <w:rPr>
          <w:sz w:val="22"/>
          <w:szCs w:val="22"/>
          <w:lang w:val="fr-FR"/>
        </w:rPr>
        <w:t xml:space="preserve">22 </w:t>
      </w:r>
      <w:r w:rsidR="006615A9" w:rsidRPr="008521F1">
        <w:rPr>
          <w:sz w:val="22"/>
          <w:szCs w:val="22"/>
          <w:lang w:val="fr-FR"/>
        </w:rPr>
        <w:t>février</w:t>
      </w:r>
      <w:r w:rsidR="005D5A6F" w:rsidRPr="008521F1">
        <w:rPr>
          <w:sz w:val="22"/>
          <w:szCs w:val="22"/>
          <w:lang w:val="fr-FR"/>
        </w:rPr>
        <w:t xml:space="preserve"> </w:t>
      </w:r>
      <w:r w:rsidR="004A7C48" w:rsidRPr="008521F1">
        <w:rPr>
          <w:sz w:val="22"/>
          <w:szCs w:val="22"/>
          <w:lang w:val="fr-FR"/>
        </w:rPr>
        <w:t>202</w:t>
      </w:r>
      <w:r w:rsidR="00D956FD" w:rsidRPr="008521F1">
        <w:rPr>
          <w:sz w:val="22"/>
          <w:szCs w:val="22"/>
          <w:lang w:val="fr-FR"/>
        </w:rPr>
        <w:t>2</w:t>
      </w:r>
    </w:p>
    <w:p w14:paraId="44BA232F" w14:textId="3EB1CD8F" w:rsidR="005B5C0E" w:rsidRPr="008521F1" w:rsidRDefault="0062418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8521F1">
        <w:rPr>
          <w:sz w:val="22"/>
          <w:szCs w:val="22"/>
          <w:lang w:val="fr-FR"/>
        </w:rPr>
        <w:tab/>
        <w:t xml:space="preserve">Original: </w:t>
      </w:r>
      <w:r w:rsidR="002A37EC" w:rsidRPr="008521F1">
        <w:rPr>
          <w:sz w:val="22"/>
          <w:szCs w:val="22"/>
          <w:lang w:val="fr-FR"/>
        </w:rPr>
        <w:t>e</w:t>
      </w:r>
      <w:r w:rsidR="00D956FD" w:rsidRPr="008521F1">
        <w:rPr>
          <w:sz w:val="22"/>
          <w:szCs w:val="22"/>
          <w:lang w:val="fr-FR"/>
        </w:rPr>
        <w:t>spagnol</w:t>
      </w:r>
    </w:p>
    <w:p w14:paraId="33E4A521" w14:textId="77777777" w:rsidR="00921E9E" w:rsidRPr="008521F1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659FC1C5" w14:textId="191ED9EB" w:rsidR="00D14D68" w:rsidRDefault="00D14D68" w:rsidP="00D14D68">
      <w:pPr>
        <w:jc w:val="center"/>
        <w:rPr>
          <w:sz w:val="22"/>
          <w:szCs w:val="22"/>
          <w:lang w:val="fr-FR"/>
        </w:rPr>
      </w:pPr>
    </w:p>
    <w:p w14:paraId="4F9AD1FB" w14:textId="77777777" w:rsidR="006F55B4" w:rsidRPr="008521F1" w:rsidRDefault="006F55B4" w:rsidP="00D14D68">
      <w:pPr>
        <w:jc w:val="center"/>
        <w:rPr>
          <w:sz w:val="22"/>
          <w:szCs w:val="22"/>
          <w:lang w:val="fr-FR"/>
        </w:rPr>
      </w:pPr>
    </w:p>
    <w:p w14:paraId="0A3A3921" w14:textId="2188FD46" w:rsidR="005B5C0E" w:rsidRPr="008521F1" w:rsidRDefault="002A37EC">
      <w:pPr>
        <w:jc w:val="center"/>
        <w:rPr>
          <w:b/>
          <w:bCs/>
          <w:sz w:val="22"/>
          <w:szCs w:val="22"/>
          <w:lang w:val="fr-FR"/>
        </w:rPr>
      </w:pPr>
      <w:r w:rsidRPr="008521F1">
        <w:rPr>
          <w:b/>
          <w:bCs/>
          <w:sz w:val="22"/>
          <w:szCs w:val="22"/>
          <w:lang w:val="fr-FR"/>
        </w:rPr>
        <w:t>ÉTAT D'AVANCEMENT DE L'EXÉCUTION DU CYCLE MINISTÉRIEL TRIENNAL DU PROCESSUS SECTORIEL DE DÉVELOPPEMENT SOCIAL ET</w:t>
      </w:r>
      <w:r w:rsidR="00E411AD">
        <w:rPr>
          <w:b/>
          <w:bCs/>
          <w:sz w:val="22"/>
          <w:szCs w:val="22"/>
          <w:lang w:val="fr-FR"/>
        </w:rPr>
        <w:t xml:space="preserve"> </w:t>
      </w:r>
      <w:r w:rsidRPr="008521F1">
        <w:rPr>
          <w:b/>
          <w:bCs/>
          <w:sz w:val="22"/>
          <w:szCs w:val="22"/>
          <w:lang w:val="fr-FR"/>
        </w:rPr>
        <w:t>AJUSTEMENT DU CALENDRIER</w:t>
      </w:r>
      <w:r w:rsidR="0062418E" w:rsidRPr="008521F1">
        <w:rPr>
          <w:b/>
          <w:bCs/>
          <w:sz w:val="22"/>
          <w:szCs w:val="22"/>
          <w:lang w:val="fr-FR"/>
        </w:rPr>
        <w:t xml:space="preserve"> </w:t>
      </w:r>
    </w:p>
    <w:p w14:paraId="76AE4A21" w14:textId="77777777" w:rsidR="00D14D68" w:rsidRPr="008521F1" w:rsidRDefault="00D14D68" w:rsidP="00D14D68">
      <w:pPr>
        <w:rPr>
          <w:b/>
          <w:bCs/>
          <w:sz w:val="22"/>
          <w:szCs w:val="22"/>
          <w:lang w:val="fr-FR"/>
        </w:rPr>
      </w:pPr>
    </w:p>
    <w:p w14:paraId="04E90BD2" w14:textId="0FAECF27" w:rsidR="006615A9" w:rsidRPr="006615A9" w:rsidRDefault="0062418E" w:rsidP="003C3AAA">
      <w:pPr>
        <w:jc w:val="center"/>
        <w:rPr>
          <w:sz w:val="22"/>
          <w:szCs w:val="22"/>
          <w:lang w:val="fr-CA"/>
        </w:rPr>
      </w:pPr>
      <w:r w:rsidRPr="006615A9">
        <w:rPr>
          <w:sz w:val="22"/>
          <w:szCs w:val="22"/>
          <w:lang w:val="fr-FR"/>
        </w:rPr>
        <w:t>(</w:t>
      </w:r>
      <w:r w:rsidR="006615A9">
        <w:rPr>
          <w:sz w:val="22"/>
          <w:szCs w:val="22"/>
          <w:lang w:val="fr-CA"/>
        </w:rPr>
        <w:t>Approuvé par le CIDI lors de la réunion ordinaire tenue le 22 février 2022</w:t>
      </w:r>
      <w:r w:rsidR="006615A9" w:rsidRPr="00D14D68">
        <w:rPr>
          <w:sz w:val="22"/>
          <w:szCs w:val="22"/>
          <w:lang w:val="fr-CA"/>
        </w:rPr>
        <w:t>)</w:t>
      </w:r>
    </w:p>
    <w:p w14:paraId="2AC85F81" w14:textId="34FF3390" w:rsidR="005B5C0E" w:rsidRPr="006615A9" w:rsidRDefault="005B5C0E">
      <w:pPr>
        <w:jc w:val="center"/>
        <w:rPr>
          <w:sz w:val="22"/>
          <w:szCs w:val="22"/>
          <w:lang w:val="fr-CA"/>
        </w:rPr>
      </w:pPr>
    </w:p>
    <w:p w14:paraId="6404A6D6" w14:textId="77777777" w:rsidR="00D14D68" w:rsidRPr="006615A9" w:rsidRDefault="00D14D68" w:rsidP="003C31A8">
      <w:pPr>
        <w:jc w:val="both"/>
        <w:rPr>
          <w:sz w:val="22"/>
          <w:szCs w:val="22"/>
          <w:lang w:val="fr-CA"/>
        </w:rPr>
      </w:pPr>
    </w:p>
    <w:p w14:paraId="21814AD1" w14:textId="060CB48B" w:rsidR="005B5C0E" w:rsidRPr="008521F1" w:rsidRDefault="0062418E">
      <w:pPr>
        <w:tabs>
          <w:tab w:val="left" w:pos="720"/>
        </w:tabs>
        <w:jc w:val="both"/>
        <w:rPr>
          <w:sz w:val="22"/>
          <w:szCs w:val="22"/>
          <w:lang w:val="fr-FR"/>
        </w:rPr>
      </w:pPr>
      <w:r w:rsidRPr="006615A9">
        <w:rPr>
          <w:sz w:val="22"/>
          <w:szCs w:val="22"/>
          <w:lang w:val="fr-CA"/>
        </w:rPr>
        <w:tab/>
      </w:r>
      <w:r w:rsidRPr="008521F1">
        <w:rPr>
          <w:sz w:val="22"/>
          <w:szCs w:val="22"/>
          <w:lang w:val="fr-FR"/>
        </w:rPr>
        <w:t xml:space="preserve">Comme </w:t>
      </w:r>
      <w:r w:rsidR="003C31A8">
        <w:rPr>
          <w:sz w:val="22"/>
          <w:szCs w:val="22"/>
          <w:lang w:val="fr-FR"/>
        </w:rPr>
        <w:t xml:space="preserve">ce qui </w:t>
      </w:r>
      <w:r w:rsidRPr="008521F1">
        <w:rPr>
          <w:sz w:val="22"/>
          <w:szCs w:val="22"/>
          <w:lang w:val="fr-FR"/>
        </w:rPr>
        <w:t>a déjà été signalé lors de réunions du Conseil interaméricain pour le développement intégré (CIDI) et de ses commissions</w:t>
      </w:r>
      <w:r w:rsidR="00E16E92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auxquelles a participé le Secrétariat technique du processus ministériel pour le développement social (SARE/DIS), le cycle ministériel triennal pour le développement social </w:t>
      </w:r>
      <w:r w:rsidR="003F5423">
        <w:rPr>
          <w:sz w:val="22"/>
          <w:szCs w:val="22"/>
          <w:lang w:val="fr-FR"/>
        </w:rPr>
        <w:t>accuse</w:t>
      </w:r>
      <w:r w:rsidR="00477A3C">
        <w:rPr>
          <w:sz w:val="22"/>
          <w:szCs w:val="22"/>
          <w:lang w:val="fr-FR"/>
        </w:rPr>
        <w:t xml:space="preserve"> </w:t>
      </w:r>
      <w:r w:rsidR="008A0565">
        <w:rPr>
          <w:sz w:val="22"/>
          <w:szCs w:val="22"/>
          <w:lang w:val="fr-FR"/>
        </w:rPr>
        <w:t>un</w:t>
      </w:r>
      <w:r w:rsidR="00477A3C">
        <w:rPr>
          <w:sz w:val="22"/>
          <w:szCs w:val="22"/>
          <w:lang w:val="fr-FR"/>
        </w:rPr>
        <w:t xml:space="preserve"> retard</w:t>
      </w:r>
      <w:r w:rsidRPr="008521F1">
        <w:rPr>
          <w:sz w:val="22"/>
          <w:szCs w:val="22"/>
          <w:lang w:val="fr-FR"/>
        </w:rPr>
        <w:t xml:space="preserve"> </w:t>
      </w:r>
      <w:r w:rsidR="003F5423" w:rsidRPr="008521F1">
        <w:rPr>
          <w:sz w:val="22"/>
          <w:szCs w:val="22"/>
          <w:lang w:val="fr-FR"/>
        </w:rPr>
        <w:t>au</w:t>
      </w:r>
      <w:r w:rsidR="003F5423">
        <w:rPr>
          <w:sz w:val="22"/>
          <w:szCs w:val="22"/>
          <w:lang w:val="fr-FR"/>
        </w:rPr>
        <w:t xml:space="preserve"> regard</w:t>
      </w:r>
      <w:r w:rsidR="00970B2C">
        <w:rPr>
          <w:sz w:val="22"/>
          <w:szCs w:val="22"/>
          <w:lang w:val="fr-FR"/>
        </w:rPr>
        <w:t xml:space="preserve"> des</w:t>
      </w:r>
      <w:r w:rsidR="003F5423" w:rsidRPr="008521F1">
        <w:rPr>
          <w:sz w:val="22"/>
          <w:szCs w:val="22"/>
          <w:lang w:val="fr-FR"/>
        </w:rPr>
        <w:t xml:space="preserve"> </w:t>
      </w:r>
      <w:r w:rsidRPr="008521F1">
        <w:rPr>
          <w:sz w:val="22"/>
          <w:szCs w:val="22"/>
          <w:lang w:val="fr-FR"/>
        </w:rPr>
        <w:t xml:space="preserve">délais établis dans les </w:t>
      </w:r>
      <w:r w:rsidR="00477A3C">
        <w:rPr>
          <w:sz w:val="22"/>
          <w:szCs w:val="22"/>
          <w:lang w:val="fr-FR"/>
        </w:rPr>
        <w:t>« </w:t>
      </w:r>
      <w:r w:rsidR="00477A3C">
        <w:rPr>
          <w:color w:val="000000"/>
          <w:sz w:val="22"/>
          <w:szCs w:val="22"/>
          <w:lang w:val="fr-FR"/>
        </w:rPr>
        <w:t>L</w:t>
      </w:r>
      <w:r w:rsidR="00477A3C" w:rsidRPr="005F3113">
        <w:rPr>
          <w:color w:val="000000"/>
          <w:sz w:val="22"/>
          <w:szCs w:val="22"/>
          <w:lang w:val="fr-FR"/>
        </w:rPr>
        <w:t>ignes directrices</w:t>
      </w:r>
      <w:r w:rsidRPr="008521F1">
        <w:rPr>
          <w:sz w:val="22"/>
          <w:szCs w:val="22"/>
          <w:lang w:val="fr-FR"/>
        </w:rPr>
        <w:t xml:space="preserve"> pour les processus sectoriels au niveau ministériel dans le </w:t>
      </w:r>
      <w:r w:rsidR="00665B0A">
        <w:rPr>
          <w:sz w:val="22"/>
          <w:szCs w:val="22"/>
          <w:lang w:val="fr-FR"/>
        </w:rPr>
        <w:t>cadre</w:t>
      </w:r>
      <w:r w:rsidRPr="008521F1">
        <w:rPr>
          <w:sz w:val="22"/>
          <w:szCs w:val="22"/>
          <w:lang w:val="fr-FR"/>
        </w:rPr>
        <w:t xml:space="preserve"> du</w:t>
      </w:r>
      <w:r w:rsidR="00E16E92">
        <w:rPr>
          <w:sz w:val="22"/>
          <w:szCs w:val="22"/>
          <w:lang w:val="fr-FR"/>
        </w:rPr>
        <w:t xml:space="preserve"> Conseil interaméricain pour le développement intégré -</w:t>
      </w:r>
      <w:r w:rsidRPr="008521F1">
        <w:rPr>
          <w:sz w:val="22"/>
          <w:szCs w:val="22"/>
          <w:lang w:val="fr-FR"/>
        </w:rPr>
        <w:t xml:space="preserve"> CIDI</w:t>
      </w:r>
      <w:r w:rsidR="00477A3C">
        <w:rPr>
          <w:sz w:val="22"/>
          <w:szCs w:val="22"/>
          <w:lang w:val="fr-FR"/>
        </w:rPr>
        <w:t> »</w:t>
      </w:r>
      <w:r w:rsidRPr="008521F1">
        <w:rPr>
          <w:sz w:val="22"/>
          <w:szCs w:val="22"/>
          <w:lang w:val="fr-FR"/>
        </w:rPr>
        <w:t xml:space="preserve"> (CIDI/doc.228/17).</w:t>
      </w:r>
    </w:p>
    <w:p w14:paraId="781FFD0D" w14:textId="77777777" w:rsidR="00D14D68" w:rsidRPr="008521F1" w:rsidRDefault="00D14D68" w:rsidP="003C31A8">
      <w:pPr>
        <w:jc w:val="both"/>
        <w:rPr>
          <w:sz w:val="22"/>
          <w:szCs w:val="22"/>
          <w:lang w:val="fr-FR"/>
        </w:rPr>
      </w:pPr>
    </w:p>
    <w:p w14:paraId="7E3BE6B6" w14:textId="77777777" w:rsidR="005B5C0E" w:rsidRPr="008521F1" w:rsidRDefault="0062418E">
      <w:pPr>
        <w:ind w:firstLine="720"/>
        <w:jc w:val="both"/>
        <w:rPr>
          <w:sz w:val="22"/>
          <w:szCs w:val="22"/>
          <w:lang w:val="fr-FR"/>
        </w:rPr>
      </w:pPr>
      <w:r w:rsidRPr="008521F1">
        <w:rPr>
          <w:sz w:val="22"/>
          <w:szCs w:val="22"/>
          <w:lang w:val="fr-FR"/>
        </w:rPr>
        <w:t>Ce retard est dû, entre autres, aux raisons suivantes :</w:t>
      </w:r>
    </w:p>
    <w:p w14:paraId="5B0ED238" w14:textId="77777777" w:rsidR="00D14D68" w:rsidRPr="008521F1" w:rsidRDefault="00D14D68" w:rsidP="00D14D68">
      <w:pPr>
        <w:jc w:val="both"/>
        <w:rPr>
          <w:sz w:val="22"/>
          <w:szCs w:val="22"/>
          <w:lang w:val="fr-FR"/>
        </w:rPr>
      </w:pPr>
    </w:p>
    <w:p w14:paraId="62A3A328" w14:textId="6566D607" w:rsidR="005B5C0E" w:rsidRPr="008521F1" w:rsidRDefault="0062418E">
      <w:pPr>
        <w:ind w:firstLine="720"/>
        <w:jc w:val="both"/>
        <w:rPr>
          <w:sz w:val="22"/>
          <w:szCs w:val="22"/>
          <w:lang w:val="fr-FR"/>
        </w:rPr>
      </w:pPr>
      <w:r w:rsidRPr="008521F1">
        <w:rPr>
          <w:sz w:val="22"/>
          <w:szCs w:val="22"/>
          <w:lang w:val="fr-FR"/>
        </w:rPr>
        <w:t>Tout d'abord, la pandémie de COVID-19</w:t>
      </w:r>
      <w:r w:rsidR="003F5423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déclarée par l'Organisation mondiale de la </w:t>
      </w:r>
      <w:r w:rsidR="003F5423">
        <w:rPr>
          <w:sz w:val="22"/>
          <w:szCs w:val="22"/>
          <w:lang w:val="fr-FR"/>
        </w:rPr>
        <w:t>S</w:t>
      </w:r>
      <w:r w:rsidRPr="008521F1">
        <w:rPr>
          <w:sz w:val="22"/>
          <w:szCs w:val="22"/>
          <w:lang w:val="fr-FR"/>
        </w:rPr>
        <w:t>anté (OMS) en mars 2020</w:t>
      </w:r>
      <w:r w:rsidR="003F5423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a exercé des pressions importantes sur la capacité de réponse de toutes les institutions gouvernementales et, en particulier, des institutions </w:t>
      </w:r>
      <w:r w:rsidR="00530917">
        <w:rPr>
          <w:sz w:val="22"/>
          <w:szCs w:val="22"/>
          <w:lang w:val="fr-FR"/>
        </w:rPr>
        <w:t>de contrepartie</w:t>
      </w:r>
      <w:r w:rsidRPr="008521F1">
        <w:rPr>
          <w:sz w:val="22"/>
          <w:szCs w:val="22"/>
          <w:lang w:val="fr-FR"/>
        </w:rPr>
        <w:t xml:space="preserve"> de ce processus ministériel (ministères du développement social), qui ont dû accorder une attention prioritaire aux </w:t>
      </w:r>
      <w:r w:rsidR="00BE7C3E">
        <w:rPr>
          <w:sz w:val="22"/>
          <w:szCs w:val="22"/>
          <w:lang w:val="fr-FR"/>
        </w:rPr>
        <w:t>problèmes de</w:t>
      </w:r>
      <w:r w:rsidRPr="008521F1">
        <w:rPr>
          <w:sz w:val="22"/>
          <w:szCs w:val="22"/>
          <w:lang w:val="fr-FR"/>
        </w:rPr>
        <w:t xml:space="preserve"> protection sociale au niveau national</w:t>
      </w:r>
      <w:r w:rsidR="00530917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en raison de la pandémie et de la surcharge </w:t>
      </w:r>
      <w:r w:rsidR="00BE7C3E">
        <w:rPr>
          <w:sz w:val="22"/>
          <w:szCs w:val="22"/>
          <w:lang w:val="fr-FR"/>
        </w:rPr>
        <w:t>de demandes</w:t>
      </w:r>
      <w:r w:rsidRPr="008521F1">
        <w:rPr>
          <w:sz w:val="22"/>
          <w:szCs w:val="22"/>
          <w:lang w:val="fr-FR"/>
        </w:rPr>
        <w:t xml:space="preserve"> à laquelle ils ont dû faire face, </w:t>
      </w:r>
      <w:r w:rsidR="00BE7C3E">
        <w:rPr>
          <w:sz w:val="22"/>
          <w:szCs w:val="22"/>
          <w:lang w:val="fr-FR"/>
        </w:rPr>
        <w:t>ce qui a</w:t>
      </w:r>
      <w:r w:rsidRPr="008521F1">
        <w:rPr>
          <w:sz w:val="22"/>
          <w:szCs w:val="22"/>
          <w:lang w:val="fr-FR"/>
        </w:rPr>
        <w:t xml:space="preserve"> ainsi</w:t>
      </w:r>
      <w:r w:rsidR="00BE7C3E">
        <w:rPr>
          <w:sz w:val="22"/>
          <w:szCs w:val="22"/>
          <w:lang w:val="fr-FR"/>
        </w:rPr>
        <w:t xml:space="preserve"> affecté</w:t>
      </w:r>
      <w:r w:rsidRPr="008521F1">
        <w:rPr>
          <w:sz w:val="22"/>
          <w:szCs w:val="22"/>
          <w:lang w:val="fr-FR"/>
        </w:rPr>
        <w:t xml:space="preserve"> leur</w:t>
      </w:r>
      <w:r w:rsidR="00BE7C3E">
        <w:rPr>
          <w:sz w:val="22"/>
          <w:szCs w:val="22"/>
          <w:lang w:val="fr-FR"/>
        </w:rPr>
        <w:t xml:space="preserve"> capacité à progresser dans l’exécution</w:t>
      </w:r>
      <w:r w:rsidRPr="008521F1">
        <w:rPr>
          <w:sz w:val="22"/>
          <w:szCs w:val="22"/>
          <w:lang w:val="fr-FR"/>
        </w:rPr>
        <w:t xml:space="preserve"> des phases du cycle ministériel dans les délais é</w:t>
      </w:r>
      <w:r w:rsidR="0071273E">
        <w:rPr>
          <w:sz w:val="22"/>
          <w:szCs w:val="22"/>
          <w:lang w:val="fr-FR"/>
        </w:rPr>
        <w:t>tablis</w:t>
      </w:r>
      <w:r w:rsidRPr="008521F1">
        <w:rPr>
          <w:sz w:val="22"/>
          <w:szCs w:val="22"/>
          <w:lang w:val="fr-FR"/>
        </w:rPr>
        <w:t>.</w:t>
      </w:r>
    </w:p>
    <w:p w14:paraId="3AB71630" w14:textId="77777777" w:rsidR="00D14D68" w:rsidRPr="008521F1" w:rsidRDefault="00D14D68" w:rsidP="00D14D68">
      <w:pPr>
        <w:jc w:val="both"/>
        <w:rPr>
          <w:sz w:val="22"/>
          <w:szCs w:val="22"/>
          <w:lang w:val="fr-FR"/>
        </w:rPr>
      </w:pPr>
    </w:p>
    <w:p w14:paraId="1CDB156B" w14:textId="7EE22409" w:rsidR="005B5C0E" w:rsidRPr="008521F1" w:rsidRDefault="0062418E">
      <w:pPr>
        <w:ind w:firstLine="720"/>
        <w:jc w:val="both"/>
        <w:rPr>
          <w:sz w:val="22"/>
          <w:szCs w:val="22"/>
          <w:lang w:val="fr-FR"/>
        </w:rPr>
      </w:pPr>
      <w:r w:rsidRPr="008521F1">
        <w:rPr>
          <w:sz w:val="22"/>
          <w:szCs w:val="22"/>
          <w:lang w:val="fr-FR"/>
        </w:rPr>
        <w:t xml:space="preserve">Deuxièmement, la </w:t>
      </w:r>
      <w:r w:rsidR="0010142B">
        <w:rPr>
          <w:sz w:val="22"/>
          <w:szCs w:val="22"/>
          <w:lang w:val="fr-FR"/>
        </w:rPr>
        <w:t>mise sur pied</w:t>
      </w:r>
      <w:r w:rsidRPr="008521F1">
        <w:rPr>
          <w:sz w:val="22"/>
          <w:szCs w:val="22"/>
          <w:lang w:val="fr-FR"/>
        </w:rPr>
        <w:t xml:space="preserve"> des groupes de travail </w:t>
      </w:r>
      <w:r w:rsidR="0010142B">
        <w:rPr>
          <w:sz w:val="22"/>
          <w:szCs w:val="22"/>
          <w:lang w:val="fr-FR"/>
        </w:rPr>
        <w:t>en vue de</w:t>
      </w:r>
      <w:r w:rsidRPr="008521F1">
        <w:rPr>
          <w:sz w:val="22"/>
          <w:szCs w:val="22"/>
          <w:lang w:val="fr-FR"/>
        </w:rPr>
        <w:t xml:space="preserve"> </w:t>
      </w:r>
      <w:r w:rsidR="002018F2">
        <w:rPr>
          <w:sz w:val="22"/>
          <w:szCs w:val="22"/>
          <w:lang w:val="fr-FR"/>
        </w:rPr>
        <w:t>l’exécution</w:t>
      </w:r>
      <w:r w:rsidRPr="008521F1">
        <w:rPr>
          <w:sz w:val="22"/>
          <w:szCs w:val="22"/>
          <w:lang w:val="fr-FR"/>
        </w:rPr>
        <w:t xml:space="preserve"> du </w:t>
      </w:r>
      <w:r w:rsidR="0010142B">
        <w:rPr>
          <w:sz w:val="22"/>
          <w:szCs w:val="22"/>
          <w:lang w:val="fr-FR"/>
        </w:rPr>
        <w:t>P</w:t>
      </w:r>
      <w:r w:rsidRPr="008521F1">
        <w:rPr>
          <w:sz w:val="22"/>
          <w:szCs w:val="22"/>
          <w:lang w:val="fr-FR"/>
        </w:rPr>
        <w:t xml:space="preserve">lan d'action du Guatemala a pris du temps, </w:t>
      </w:r>
      <w:r w:rsidR="0010142B">
        <w:rPr>
          <w:sz w:val="22"/>
          <w:szCs w:val="22"/>
          <w:lang w:val="fr-FR"/>
        </w:rPr>
        <w:t>dans la mesure où</w:t>
      </w:r>
      <w:r w:rsidRPr="008521F1">
        <w:rPr>
          <w:sz w:val="22"/>
          <w:szCs w:val="22"/>
          <w:lang w:val="fr-FR"/>
        </w:rPr>
        <w:t xml:space="preserve"> elle a nécessité un important</w:t>
      </w:r>
      <w:r w:rsidR="002018F2">
        <w:rPr>
          <w:sz w:val="22"/>
          <w:szCs w:val="22"/>
          <w:lang w:val="fr-FR"/>
        </w:rPr>
        <w:t xml:space="preserve"> </w:t>
      </w:r>
      <w:r w:rsidR="002018F2" w:rsidRPr="008521F1">
        <w:rPr>
          <w:sz w:val="22"/>
          <w:szCs w:val="22"/>
          <w:lang w:val="fr-FR"/>
        </w:rPr>
        <w:t>travail</w:t>
      </w:r>
      <w:r w:rsidRPr="008521F1">
        <w:rPr>
          <w:sz w:val="22"/>
          <w:szCs w:val="22"/>
          <w:lang w:val="fr-FR"/>
        </w:rPr>
        <w:t xml:space="preserve"> </w:t>
      </w:r>
      <w:r w:rsidR="00530917">
        <w:rPr>
          <w:sz w:val="22"/>
          <w:szCs w:val="22"/>
          <w:lang w:val="fr-FR"/>
        </w:rPr>
        <w:t>de</w:t>
      </w:r>
      <w:r w:rsidRPr="008521F1">
        <w:rPr>
          <w:sz w:val="22"/>
          <w:szCs w:val="22"/>
          <w:lang w:val="fr-FR"/>
        </w:rPr>
        <w:t xml:space="preserve"> </w:t>
      </w:r>
      <w:r w:rsidR="002018F2">
        <w:rPr>
          <w:sz w:val="22"/>
          <w:szCs w:val="22"/>
          <w:lang w:val="fr-FR"/>
        </w:rPr>
        <w:t>concertation</w:t>
      </w:r>
      <w:r w:rsidRPr="008521F1">
        <w:rPr>
          <w:sz w:val="22"/>
          <w:szCs w:val="22"/>
          <w:lang w:val="fr-FR"/>
        </w:rPr>
        <w:t xml:space="preserve"> e</w:t>
      </w:r>
      <w:r w:rsidR="00530917">
        <w:rPr>
          <w:sz w:val="22"/>
          <w:szCs w:val="22"/>
          <w:lang w:val="fr-FR"/>
        </w:rPr>
        <w:t>t des efforts pour</w:t>
      </w:r>
      <w:r w:rsidRPr="008521F1">
        <w:rPr>
          <w:sz w:val="22"/>
          <w:szCs w:val="22"/>
          <w:lang w:val="fr-FR"/>
        </w:rPr>
        <w:t xml:space="preserve"> </w:t>
      </w:r>
      <w:r w:rsidR="002018F2">
        <w:rPr>
          <w:sz w:val="22"/>
          <w:szCs w:val="22"/>
          <w:lang w:val="fr-FR"/>
        </w:rPr>
        <w:t>la</w:t>
      </w:r>
      <w:r w:rsidRPr="008521F1">
        <w:rPr>
          <w:sz w:val="22"/>
          <w:szCs w:val="22"/>
          <w:lang w:val="fr-FR"/>
        </w:rPr>
        <w:t xml:space="preserve"> convocation de chacun des pays qui en </w:t>
      </w:r>
      <w:r w:rsidR="002018F2">
        <w:rPr>
          <w:sz w:val="22"/>
          <w:szCs w:val="22"/>
          <w:lang w:val="fr-FR"/>
        </w:rPr>
        <w:t>f</w:t>
      </w:r>
      <w:r w:rsidRPr="008521F1">
        <w:rPr>
          <w:sz w:val="22"/>
          <w:szCs w:val="22"/>
          <w:lang w:val="fr-FR"/>
        </w:rPr>
        <w:t xml:space="preserve">ont désormais </w:t>
      </w:r>
      <w:r w:rsidR="002018F2">
        <w:rPr>
          <w:sz w:val="22"/>
          <w:szCs w:val="22"/>
          <w:lang w:val="fr-FR"/>
        </w:rPr>
        <w:t>partie</w:t>
      </w:r>
      <w:r w:rsidRPr="008521F1">
        <w:rPr>
          <w:sz w:val="22"/>
          <w:szCs w:val="22"/>
          <w:lang w:val="fr-FR"/>
        </w:rPr>
        <w:t xml:space="preserve">. En particulier, cela est dû au fait que le Plan d'action du Guatemala est le premier </w:t>
      </w:r>
      <w:r w:rsidR="002018F2">
        <w:rPr>
          <w:sz w:val="22"/>
          <w:szCs w:val="22"/>
          <w:lang w:val="fr-FR"/>
        </w:rPr>
        <w:t>p</w:t>
      </w:r>
      <w:r w:rsidRPr="008521F1">
        <w:rPr>
          <w:sz w:val="22"/>
          <w:szCs w:val="22"/>
          <w:lang w:val="fr-FR"/>
        </w:rPr>
        <w:t xml:space="preserve">lan d'action </w:t>
      </w:r>
      <w:r w:rsidR="002018F2">
        <w:rPr>
          <w:sz w:val="22"/>
          <w:szCs w:val="22"/>
          <w:lang w:val="fr-FR"/>
        </w:rPr>
        <w:t>d</w:t>
      </w:r>
      <w:r w:rsidRPr="008521F1">
        <w:rPr>
          <w:sz w:val="22"/>
          <w:szCs w:val="22"/>
          <w:lang w:val="fr-FR"/>
        </w:rPr>
        <w:t xml:space="preserve">e développement social qui a été approuvé dans </w:t>
      </w:r>
      <w:r w:rsidR="002018F2">
        <w:rPr>
          <w:sz w:val="22"/>
          <w:szCs w:val="22"/>
          <w:lang w:val="fr-FR"/>
        </w:rPr>
        <w:t>le cadre</w:t>
      </w:r>
      <w:r w:rsidRPr="008521F1">
        <w:rPr>
          <w:sz w:val="22"/>
          <w:szCs w:val="22"/>
          <w:lang w:val="fr-FR"/>
        </w:rPr>
        <w:t xml:space="preserve"> de l'Organisation des États </w:t>
      </w:r>
      <w:r w:rsidR="002018F2">
        <w:rPr>
          <w:sz w:val="22"/>
          <w:szCs w:val="22"/>
          <w:lang w:val="fr-FR"/>
        </w:rPr>
        <w:t>A</w:t>
      </w:r>
      <w:r w:rsidRPr="008521F1">
        <w:rPr>
          <w:sz w:val="22"/>
          <w:szCs w:val="22"/>
          <w:lang w:val="fr-FR"/>
        </w:rPr>
        <w:t xml:space="preserve">méricains, </w:t>
      </w:r>
      <w:r w:rsidR="00C038FE">
        <w:rPr>
          <w:sz w:val="22"/>
          <w:szCs w:val="22"/>
          <w:lang w:val="fr-FR"/>
        </w:rPr>
        <w:t>raison pour laquelle il</w:t>
      </w:r>
      <w:r w:rsidRPr="008521F1">
        <w:rPr>
          <w:sz w:val="22"/>
          <w:szCs w:val="22"/>
          <w:lang w:val="fr-FR"/>
        </w:rPr>
        <w:t xml:space="preserve"> a été nécessaire de réaliser</w:t>
      </w:r>
      <w:r w:rsidR="00C038FE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</w:t>
      </w:r>
      <w:r w:rsidR="00C038FE">
        <w:rPr>
          <w:sz w:val="22"/>
          <w:szCs w:val="22"/>
          <w:lang w:val="fr-FR"/>
        </w:rPr>
        <w:t>à de nombreuses occasions, des</w:t>
      </w:r>
      <w:r w:rsidRPr="008521F1">
        <w:rPr>
          <w:sz w:val="22"/>
          <w:szCs w:val="22"/>
          <w:lang w:val="fr-FR"/>
        </w:rPr>
        <w:t xml:space="preserve"> efforts de </w:t>
      </w:r>
      <w:r w:rsidR="00C038FE">
        <w:rPr>
          <w:sz w:val="22"/>
          <w:szCs w:val="22"/>
          <w:lang w:val="fr-FR"/>
        </w:rPr>
        <w:t>concertation</w:t>
      </w:r>
      <w:r w:rsidRPr="008521F1">
        <w:rPr>
          <w:sz w:val="22"/>
          <w:szCs w:val="22"/>
          <w:lang w:val="fr-FR"/>
        </w:rPr>
        <w:t xml:space="preserve"> </w:t>
      </w:r>
      <w:r w:rsidR="00C038FE">
        <w:rPr>
          <w:sz w:val="22"/>
          <w:szCs w:val="22"/>
          <w:lang w:val="fr-FR"/>
        </w:rPr>
        <w:t>sur</w:t>
      </w:r>
      <w:r w:rsidRPr="008521F1">
        <w:rPr>
          <w:sz w:val="22"/>
          <w:szCs w:val="22"/>
          <w:lang w:val="fr-FR"/>
        </w:rPr>
        <w:t xml:space="preserve"> </w:t>
      </w:r>
      <w:r w:rsidR="008502C9">
        <w:rPr>
          <w:sz w:val="22"/>
          <w:szCs w:val="22"/>
          <w:lang w:val="fr-FR"/>
        </w:rPr>
        <w:t>le</w:t>
      </w:r>
      <w:r w:rsidRPr="008521F1">
        <w:rPr>
          <w:sz w:val="22"/>
          <w:szCs w:val="22"/>
          <w:lang w:val="fr-FR"/>
        </w:rPr>
        <w:t xml:space="preserve"> contenu</w:t>
      </w:r>
      <w:r w:rsidR="008502C9">
        <w:rPr>
          <w:sz w:val="22"/>
          <w:szCs w:val="22"/>
          <w:lang w:val="fr-FR"/>
        </w:rPr>
        <w:t xml:space="preserve"> du plan</w:t>
      </w:r>
      <w:r w:rsidRPr="008521F1">
        <w:rPr>
          <w:sz w:val="22"/>
          <w:szCs w:val="22"/>
          <w:lang w:val="fr-FR"/>
        </w:rPr>
        <w:t xml:space="preserve"> </w:t>
      </w:r>
      <w:r w:rsidR="008502C9">
        <w:rPr>
          <w:sz w:val="22"/>
          <w:szCs w:val="22"/>
          <w:lang w:val="fr-FR"/>
        </w:rPr>
        <w:t>entre</w:t>
      </w:r>
      <w:r w:rsidRPr="008521F1">
        <w:rPr>
          <w:sz w:val="22"/>
          <w:szCs w:val="22"/>
          <w:lang w:val="fr-FR"/>
        </w:rPr>
        <w:t xml:space="preserve"> les autorités sectorielles</w:t>
      </w:r>
      <w:r w:rsidR="008502C9">
        <w:rPr>
          <w:sz w:val="22"/>
          <w:szCs w:val="22"/>
          <w:lang w:val="fr-FR"/>
        </w:rPr>
        <w:t xml:space="preserve"> chargées</w:t>
      </w:r>
      <w:r w:rsidRPr="008521F1">
        <w:rPr>
          <w:sz w:val="22"/>
          <w:szCs w:val="22"/>
          <w:lang w:val="fr-FR"/>
        </w:rPr>
        <w:t xml:space="preserve"> du développement social, et d'encourager </w:t>
      </w:r>
      <w:r w:rsidR="00530917">
        <w:rPr>
          <w:sz w:val="22"/>
          <w:szCs w:val="22"/>
          <w:lang w:val="fr-FR"/>
        </w:rPr>
        <w:t>c</w:t>
      </w:r>
      <w:r w:rsidRPr="008521F1">
        <w:rPr>
          <w:sz w:val="22"/>
          <w:szCs w:val="22"/>
          <w:lang w:val="fr-FR"/>
        </w:rPr>
        <w:t xml:space="preserve">es autorités à </w:t>
      </w:r>
      <w:r w:rsidR="008502C9">
        <w:rPr>
          <w:sz w:val="22"/>
          <w:szCs w:val="22"/>
          <w:lang w:val="fr-FR"/>
        </w:rPr>
        <w:t>participer à la mise en œuvre</w:t>
      </w:r>
      <w:r w:rsidRPr="008521F1">
        <w:rPr>
          <w:sz w:val="22"/>
          <w:szCs w:val="22"/>
          <w:lang w:val="fr-FR"/>
        </w:rPr>
        <w:t xml:space="preserve"> </w:t>
      </w:r>
      <w:r w:rsidR="008502C9">
        <w:rPr>
          <w:sz w:val="22"/>
          <w:szCs w:val="22"/>
          <w:lang w:val="fr-FR"/>
        </w:rPr>
        <w:t>du</w:t>
      </w:r>
      <w:r w:rsidRPr="008521F1">
        <w:rPr>
          <w:sz w:val="22"/>
          <w:szCs w:val="22"/>
          <w:lang w:val="fr-FR"/>
        </w:rPr>
        <w:t xml:space="preserve"> plan et à en prendre la direction. Les deux groupes de travail</w:t>
      </w:r>
      <w:r w:rsidRPr="008521F1">
        <w:rPr>
          <w:rStyle w:val="FootnoteReference"/>
          <w:sz w:val="22"/>
          <w:szCs w:val="22"/>
          <w:u w:val="single"/>
          <w:lang w:val="fr-FR"/>
        </w:rPr>
        <w:footnoteReference w:id="1"/>
      </w:r>
      <w:r w:rsidRPr="008521F1">
        <w:rPr>
          <w:sz w:val="22"/>
          <w:szCs w:val="22"/>
          <w:vertAlign w:val="superscript"/>
          <w:lang w:val="fr-FR"/>
        </w:rPr>
        <w:t>/</w:t>
      </w:r>
      <w:r w:rsidRPr="008521F1">
        <w:rPr>
          <w:sz w:val="22"/>
          <w:szCs w:val="22"/>
          <w:lang w:val="fr-FR"/>
        </w:rPr>
        <w:t xml:space="preserve"> ont été </w:t>
      </w:r>
      <w:r w:rsidR="008502C9">
        <w:rPr>
          <w:sz w:val="22"/>
          <w:szCs w:val="22"/>
          <w:lang w:val="fr-FR"/>
        </w:rPr>
        <w:t>constitu</w:t>
      </w:r>
      <w:r w:rsidRPr="008521F1">
        <w:rPr>
          <w:sz w:val="22"/>
          <w:szCs w:val="22"/>
          <w:lang w:val="fr-FR"/>
        </w:rPr>
        <w:t>és à la fin de l'année 2019.</w:t>
      </w:r>
    </w:p>
    <w:p w14:paraId="1BD16584" w14:textId="5ACF1D94" w:rsidR="005B5C0E" w:rsidRPr="008521F1" w:rsidRDefault="0062418E">
      <w:pPr>
        <w:ind w:firstLine="720"/>
        <w:jc w:val="both"/>
        <w:rPr>
          <w:sz w:val="22"/>
          <w:szCs w:val="22"/>
          <w:lang w:val="fr-FR"/>
        </w:rPr>
      </w:pPr>
      <w:r w:rsidRPr="008521F1">
        <w:rPr>
          <w:sz w:val="22"/>
          <w:szCs w:val="22"/>
          <w:lang w:val="fr-FR"/>
        </w:rPr>
        <w:lastRenderedPageBreak/>
        <w:t xml:space="preserve">Malgré ces obstacles, </w:t>
      </w:r>
      <w:r w:rsidR="00A84A6B">
        <w:rPr>
          <w:sz w:val="22"/>
          <w:szCs w:val="22"/>
          <w:lang w:val="fr-FR"/>
        </w:rPr>
        <w:t>le bureau</w:t>
      </w:r>
      <w:r w:rsidRPr="008521F1">
        <w:rPr>
          <w:sz w:val="22"/>
          <w:szCs w:val="22"/>
          <w:lang w:val="fr-FR"/>
        </w:rPr>
        <w:t xml:space="preserve"> de la Commission interaméricaine </w:t>
      </w:r>
      <w:r w:rsidR="00043EF9">
        <w:rPr>
          <w:sz w:val="22"/>
          <w:szCs w:val="22"/>
          <w:lang w:val="fr-FR"/>
        </w:rPr>
        <w:t>d</w:t>
      </w:r>
      <w:r w:rsidRPr="008521F1">
        <w:rPr>
          <w:sz w:val="22"/>
          <w:szCs w:val="22"/>
          <w:lang w:val="fr-FR"/>
        </w:rPr>
        <w:t xml:space="preserve">e développement social (CIDES) et </w:t>
      </w:r>
      <w:r w:rsidR="00A84A6B">
        <w:rPr>
          <w:sz w:val="22"/>
          <w:szCs w:val="22"/>
          <w:lang w:val="fr-FR"/>
        </w:rPr>
        <w:t xml:space="preserve">celui </w:t>
      </w:r>
      <w:r w:rsidRPr="008521F1">
        <w:rPr>
          <w:sz w:val="22"/>
          <w:szCs w:val="22"/>
          <w:lang w:val="fr-FR"/>
        </w:rPr>
        <w:t>de la TROIKA</w:t>
      </w:r>
      <w:r w:rsidR="00A84A6B">
        <w:rPr>
          <w:sz w:val="22"/>
          <w:szCs w:val="22"/>
          <w:lang w:val="fr-FR"/>
        </w:rPr>
        <w:t xml:space="preserve">, </w:t>
      </w:r>
      <w:r w:rsidRPr="008521F1">
        <w:rPr>
          <w:sz w:val="22"/>
          <w:szCs w:val="22"/>
          <w:lang w:val="fr-FR"/>
        </w:rPr>
        <w:t>composée du Paraguay, du Guatemala et de la République dominicaine, ont réaffirmé leur engagement à mettre en œuvre le Plan d'action du Guatemala et ont tenu de multiples réunions de travail</w:t>
      </w:r>
      <w:r w:rsidR="003D2462">
        <w:rPr>
          <w:sz w:val="22"/>
          <w:szCs w:val="22"/>
          <w:lang w:val="fr-FR"/>
        </w:rPr>
        <w:t xml:space="preserve"> en mode</w:t>
      </w:r>
      <w:r w:rsidRPr="008521F1">
        <w:rPr>
          <w:sz w:val="22"/>
          <w:szCs w:val="22"/>
          <w:lang w:val="fr-FR"/>
        </w:rPr>
        <w:t xml:space="preserve"> virtuel</w:t>
      </w:r>
      <w:r w:rsidR="003D2462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au cours desquelles </w:t>
      </w:r>
      <w:r w:rsidR="00A84A6B">
        <w:rPr>
          <w:sz w:val="22"/>
          <w:szCs w:val="22"/>
          <w:lang w:val="fr-FR"/>
        </w:rPr>
        <w:t>ils</w:t>
      </w:r>
      <w:r w:rsidRPr="008521F1">
        <w:rPr>
          <w:sz w:val="22"/>
          <w:szCs w:val="22"/>
          <w:lang w:val="fr-FR"/>
        </w:rPr>
        <w:t xml:space="preserve"> ont élaboré un </w:t>
      </w:r>
      <w:r w:rsidR="003D2462">
        <w:rPr>
          <w:sz w:val="22"/>
          <w:szCs w:val="22"/>
          <w:lang w:val="fr-FR"/>
        </w:rPr>
        <w:t>p</w:t>
      </w:r>
      <w:r w:rsidRPr="008521F1">
        <w:rPr>
          <w:sz w:val="22"/>
          <w:szCs w:val="22"/>
          <w:lang w:val="fr-FR"/>
        </w:rPr>
        <w:t>lan de travail</w:t>
      </w:r>
      <w:r w:rsidR="00A84A6B">
        <w:rPr>
          <w:sz w:val="22"/>
          <w:szCs w:val="22"/>
          <w:lang w:val="fr-FR"/>
        </w:rPr>
        <w:t>,</w:t>
      </w:r>
      <w:r w:rsidRPr="008521F1">
        <w:rPr>
          <w:sz w:val="22"/>
          <w:szCs w:val="22"/>
          <w:lang w:val="fr-FR"/>
        </w:rPr>
        <w:t xml:space="preserve"> qui a été approuvé en avril 2021 (CIDI/CIDES/RPA/doc.3/21 rev.</w:t>
      </w:r>
      <w:r w:rsidR="003C31A8">
        <w:rPr>
          <w:sz w:val="22"/>
          <w:szCs w:val="22"/>
          <w:lang w:val="fr-FR"/>
        </w:rPr>
        <w:t xml:space="preserve"> </w:t>
      </w:r>
      <w:r w:rsidRPr="008521F1">
        <w:rPr>
          <w:sz w:val="22"/>
          <w:szCs w:val="22"/>
          <w:lang w:val="fr-FR"/>
        </w:rPr>
        <w:t>1).</w:t>
      </w:r>
    </w:p>
    <w:p w14:paraId="4B3042E8" w14:textId="77777777" w:rsidR="00D14D68" w:rsidRPr="008521F1" w:rsidRDefault="00D14D68" w:rsidP="003C31A8">
      <w:pPr>
        <w:jc w:val="both"/>
        <w:rPr>
          <w:sz w:val="22"/>
          <w:szCs w:val="22"/>
          <w:lang w:val="fr-FR"/>
        </w:rPr>
      </w:pPr>
    </w:p>
    <w:p w14:paraId="1583A2D7" w14:textId="3076DB7D" w:rsidR="005B5C0E" w:rsidRPr="008521F1" w:rsidRDefault="0062418E">
      <w:pPr>
        <w:ind w:firstLine="720"/>
        <w:jc w:val="both"/>
        <w:rPr>
          <w:sz w:val="22"/>
          <w:szCs w:val="22"/>
          <w:lang w:val="fr-FR"/>
        </w:rPr>
      </w:pPr>
      <w:r w:rsidRPr="008521F1">
        <w:rPr>
          <w:sz w:val="22"/>
          <w:szCs w:val="22"/>
          <w:lang w:val="fr-FR"/>
        </w:rPr>
        <w:t xml:space="preserve">Depuis lors, les groupes de travail </w:t>
      </w:r>
      <w:r w:rsidR="00A84A6B">
        <w:rPr>
          <w:sz w:val="22"/>
          <w:szCs w:val="22"/>
          <w:lang w:val="fr-FR"/>
        </w:rPr>
        <w:t>se s</w:t>
      </w:r>
      <w:r w:rsidRPr="008521F1">
        <w:rPr>
          <w:sz w:val="22"/>
          <w:szCs w:val="22"/>
          <w:lang w:val="fr-FR"/>
        </w:rPr>
        <w:t>ont activement impliqué</w:t>
      </w:r>
      <w:r w:rsidR="00A84A6B">
        <w:rPr>
          <w:sz w:val="22"/>
          <w:szCs w:val="22"/>
          <w:lang w:val="fr-FR"/>
        </w:rPr>
        <w:t>s</w:t>
      </w:r>
      <w:r w:rsidRPr="008521F1">
        <w:rPr>
          <w:sz w:val="22"/>
          <w:szCs w:val="22"/>
          <w:lang w:val="fr-FR"/>
        </w:rPr>
        <w:t xml:space="preserve">, se réunissant périodiquement depuis 2021, </w:t>
      </w:r>
      <w:r w:rsidR="00A84A6B">
        <w:rPr>
          <w:sz w:val="22"/>
          <w:szCs w:val="22"/>
          <w:lang w:val="fr-FR"/>
        </w:rPr>
        <w:t xml:space="preserve">et </w:t>
      </w:r>
      <w:r w:rsidR="003D2462">
        <w:rPr>
          <w:sz w:val="22"/>
          <w:szCs w:val="22"/>
          <w:lang w:val="fr-FR"/>
        </w:rPr>
        <w:t>élaborant</w:t>
      </w:r>
      <w:r w:rsidRPr="008521F1">
        <w:rPr>
          <w:sz w:val="22"/>
          <w:szCs w:val="22"/>
          <w:lang w:val="fr-FR"/>
        </w:rPr>
        <w:t xml:space="preserve"> et exécutant des activités pour la mise en œuvre </w:t>
      </w:r>
      <w:r w:rsidR="003D2462">
        <w:rPr>
          <w:sz w:val="22"/>
          <w:szCs w:val="22"/>
          <w:lang w:val="fr-FR"/>
        </w:rPr>
        <w:t>du</w:t>
      </w:r>
      <w:r w:rsidRPr="008521F1">
        <w:rPr>
          <w:sz w:val="22"/>
          <w:szCs w:val="22"/>
          <w:lang w:val="fr-FR"/>
        </w:rPr>
        <w:t xml:space="preserve"> Plan d'action</w:t>
      </w:r>
      <w:r w:rsidR="003D2462">
        <w:rPr>
          <w:sz w:val="22"/>
          <w:szCs w:val="22"/>
          <w:lang w:val="fr-FR"/>
        </w:rPr>
        <w:t xml:space="preserve"> du</w:t>
      </w:r>
      <w:r w:rsidRPr="008521F1">
        <w:rPr>
          <w:sz w:val="22"/>
          <w:szCs w:val="22"/>
          <w:lang w:val="fr-FR"/>
        </w:rPr>
        <w:t xml:space="preserve"> Guatemala </w:t>
      </w:r>
      <w:r w:rsidR="003D2462">
        <w:rPr>
          <w:sz w:val="22"/>
          <w:szCs w:val="22"/>
          <w:lang w:val="fr-FR"/>
        </w:rPr>
        <w:t xml:space="preserve">de </w:t>
      </w:r>
      <w:r w:rsidRPr="008521F1">
        <w:rPr>
          <w:sz w:val="22"/>
          <w:szCs w:val="22"/>
          <w:lang w:val="fr-FR"/>
        </w:rPr>
        <w:t xml:space="preserve">2019 </w:t>
      </w:r>
      <w:hyperlink r:id="rId11" w:history="1">
        <w:r w:rsidRPr="008521F1">
          <w:rPr>
            <w:sz w:val="22"/>
            <w:szCs w:val="22"/>
            <w:lang w:val="fr-FR"/>
          </w:rPr>
          <w:t xml:space="preserve">(CIDI/REMDES/doc.6/19 </w:t>
        </w:r>
        <w:proofErr w:type="spellStart"/>
        <w:r w:rsidRPr="008521F1">
          <w:rPr>
            <w:sz w:val="22"/>
            <w:szCs w:val="22"/>
            <w:lang w:val="fr-FR"/>
          </w:rPr>
          <w:t>rev</w:t>
        </w:r>
        <w:proofErr w:type="spellEnd"/>
        <w:r w:rsidRPr="008521F1">
          <w:rPr>
            <w:sz w:val="22"/>
            <w:szCs w:val="22"/>
            <w:lang w:val="fr-FR"/>
          </w:rPr>
          <w:t>.</w:t>
        </w:r>
        <w:r w:rsidR="003C31A8">
          <w:rPr>
            <w:sz w:val="22"/>
            <w:szCs w:val="22"/>
            <w:lang w:val="fr-FR"/>
          </w:rPr>
          <w:t xml:space="preserve"> </w:t>
        </w:r>
        <w:r w:rsidRPr="008521F1">
          <w:rPr>
            <w:sz w:val="22"/>
            <w:szCs w:val="22"/>
            <w:lang w:val="fr-FR"/>
          </w:rPr>
          <w:t>3)</w:t>
        </w:r>
      </w:hyperlink>
      <w:r w:rsidRPr="008521F1">
        <w:rPr>
          <w:sz w:val="22"/>
          <w:szCs w:val="22"/>
          <w:lang w:val="fr-FR"/>
        </w:rPr>
        <w:t>.</w:t>
      </w:r>
    </w:p>
    <w:p w14:paraId="760ABC70" w14:textId="77777777" w:rsidR="00D14D68" w:rsidRPr="008521F1" w:rsidRDefault="00D14D68" w:rsidP="003C31A8">
      <w:pPr>
        <w:jc w:val="both"/>
        <w:rPr>
          <w:sz w:val="22"/>
          <w:szCs w:val="22"/>
          <w:lang w:val="fr-FR"/>
        </w:rPr>
      </w:pPr>
    </w:p>
    <w:p w14:paraId="37B18D1A" w14:textId="4922E0C8" w:rsidR="006615A9" w:rsidRPr="006615A9" w:rsidRDefault="0062418E" w:rsidP="000C588C">
      <w:pPr>
        <w:ind w:firstLine="720"/>
        <w:jc w:val="both"/>
        <w:rPr>
          <w:sz w:val="22"/>
          <w:szCs w:val="22"/>
          <w:lang w:val="fr-CA"/>
        </w:rPr>
      </w:pPr>
      <w:r w:rsidRPr="008521F1">
        <w:rPr>
          <w:sz w:val="22"/>
          <w:szCs w:val="22"/>
          <w:lang w:val="fr-FR"/>
        </w:rPr>
        <w:t>Pour ces raisons,</w:t>
      </w:r>
      <w:r w:rsidR="00144774">
        <w:rPr>
          <w:sz w:val="22"/>
          <w:szCs w:val="22"/>
          <w:lang w:val="fr-FR"/>
        </w:rPr>
        <w:t xml:space="preserve"> tout en</w:t>
      </w:r>
      <w:r w:rsidRPr="008521F1">
        <w:rPr>
          <w:sz w:val="22"/>
          <w:szCs w:val="22"/>
          <w:lang w:val="fr-FR"/>
        </w:rPr>
        <w:t xml:space="preserve"> appréciant l'engagement de la République dominicaine en tant que pays hôte de la Cinquième Réunion des </w:t>
      </w:r>
      <w:r w:rsidR="00FF5AEE">
        <w:rPr>
          <w:sz w:val="22"/>
          <w:szCs w:val="22"/>
          <w:lang w:val="fr-FR"/>
        </w:rPr>
        <w:t>m</w:t>
      </w:r>
      <w:r w:rsidRPr="008521F1">
        <w:rPr>
          <w:sz w:val="22"/>
          <w:szCs w:val="22"/>
          <w:lang w:val="fr-FR"/>
        </w:rPr>
        <w:t xml:space="preserve">inistres et </w:t>
      </w:r>
      <w:r w:rsidR="00FF5AEE">
        <w:rPr>
          <w:sz w:val="22"/>
          <w:szCs w:val="22"/>
          <w:lang w:val="fr-FR"/>
        </w:rPr>
        <w:t>h</w:t>
      </w:r>
      <w:r w:rsidRPr="008521F1">
        <w:rPr>
          <w:sz w:val="22"/>
          <w:szCs w:val="22"/>
          <w:lang w:val="fr-FR"/>
        </w:rPr>
        <w:t>aut</w:t>
      </w:r>
      <w:r w:rsidR="00FF5AEE">
        <w:rPr>
          <w:sz w:val="22"/>
          <w:szCs w:val="22"/>
          <w:lang w:val="fr-FR"/>
        </w:rPr>
        <w:t>s fonctionnaires chargés</w:t>
      </w:r>
      <w:r w:rsidRPr="008521F1">
        <w:rPr>
          <w:sz w:val="22"/>
          <w:szCs w:val="22"/>
          <w:lang w:val="fr-FR"/>
        </w:rPr>
        <w:t xml:space="preserve"> du </w:t>
      </w:r>
      <w:r w:rsidR="00FF5AEE">
        <w:rPr>
          <w:sz w:val="22"/>
          <w:szCs w:val="22"/>
          <w:lang w:val="fr-FR"/>
        </w:rPr>
        <w:t>d</w:t>
      </w:r>
      <w:r w:rsidRPr="008521F1">
        <w:rPr>
          <w:sz w:val="22"/>
          <w:szCs w:val="22"/>
          <w:lang w:val="fr-FR"/>
        </w:rPr>
        <w:t xml:space="preserve">éveloppement </w:t>
      </w:r>
      <w:r w:rsidR="004B6965">
        <w:rPr>
          <w:sz w:val="22"/>
          <w:szCs w:val="22"/>
          <w:lang w:val="fr-FR"/>
        </w:rPr>
        <w:t>s</w:t>
      </w:r>
      <w:r w:rsidRPr="008521F1">
        <w:rPr>
          <w:sz w:val="22"/>
          <w:szCs w:val="22"/>
          <w:lang w:val="fr-FR"/>
        </w:rPr>
        <w:t>ocial (REMDES</w:t>
      </w:r>
      <w:r w:rsidR="004B6965">
        <w:rPr>
          <w:sz w:val="22"/>
          <w:szCs w:val="22"/>
          <w:lang w:val="fr-FR"/>
        </w:rPr>
        <w:t>-V</w:t>
      </w:r>
      <w:r w:rsidRPr="008521F1">
        <w:rPr>
          <w:sz w:val="22"/>
          <w:szCs w:val="22"/>
          <w:lang w:val="fr-FR"/>
        </w:rPr>
        <w:t>), et</w:t>
      </w:r>
      <w:r w:rsidR="00144774">
        <w:rPr>
          <w:sz w:val="22"/>
          <w:szCs w:val="22"/>
          <w:lang w:val="fr-FR"/>
        </w:rPr>
        <w:t xml:space="preserve"> en</w:t>
      </w:r>
      <w:r w:rsidRPr="008521F1">
        <w:rPr>
          <w:sz w:val="22"/>
          <w:szCs w:val="22"/>
          <w:lang w:val="fr-FR"/>
        </w:rPr>
        <w:t xml:space="preserve"> tenant compte du fait que les </w:t>
      </w:r>
      <w:r w:rsidR="00144774">
        <w:rPr>
          <w:color w:val="000000"/>
          <w:sz w:val="22"/>
          <w:szCs w:val="22"/>
          <w:lang w:val="fr-FR"/>
        </w:rPr>
        <w:t>L</w:t>
      </w:r>
      <w:r w:rsidR="00144774" w:rsidRPr="005F3113">
        <w:rPr>
          <w:color w:val="000000"/>
          <w:sz w:val="22"/>
          <w:szCs w:val="22"/>
          <w:lang w:val="fr-FR"/>
        </w:rPr>
        <w:t>ignes directrices</w:t>
      </w:r>
      <w:r w:rsidR="00144774" w:rsidRPr="008521F1">
        <w:rPr>
          <w:sz w:val="22"/>
          <w:szCs w:val="22"/>
          <w:lang w:val="fr-FR"/>
        </w:rPr>
        <w:t xml:space="preserve"> pour les processus sectoriels au niveau ministériel dans le </w:t>
      </w:r>
      <w:r w:rsidR="00144774">
        <w:rPr>
          <w:sz w:val="22"/>
          <w:szCs w:val="22"/>
          <w:lang w:val="fr-FR"/>
        </w:rPr>
        <w:t>cadre</w:t>
      </w:r>
      <w:r w:rsidR="00144774" w:rsidRPr="008521F1">
        <w:rPr>
          <w:sz w:val="22"/>
          <w:szCs w:val="22"/>
          <w:lang w:val="fr-FR"/>
        </w:rPr>
        <w:t xml:space="preserve"> du</w:t>
      </w:r>
      <w:r w:rsidR="00144774">
        <w:rPr>
          <w:sz w:val="22"/>
          <w:szCs w:val="22"/>
          <w:lang w:val="fr-FR"/>
        </w:rPr>
        <w:t xml:space="preserve"> </w:t>
      </w:r>
      <w:r w:rsidR="00144774" w:rsidRPr="008521F1">
        <w:rPr>
          <w:sz w:val="22"/>
          <w:szCs w:val="22"/>
          <w:lang w:val="fr-FR"/>
        </w:rPr>
        <w:t>CIDI</w:t>
      </w:r>
      <w:r w:rsidR="00424695" w:rsidRPr="008521F1">
        <w:rPr>
          <w:sz w:val="22"/>
          <w:szCs w:val="22"/>
          <w:lang w:val="fr-FR"/>
        </w:rPr>
        <w:t xml:space="preserve"> </w:t>
      </w:r>
      <w:r w:rsidRPr="008521F1">
        <w:rPr>
          <w:sz w:val="22"/>
          <w:szCs w:val="22"/>
          <w:lang w:val="fr-FR"/>
        </w:rPr>
        <w:t xml:space="preserve">établissent que </w:t>
      </w:r>
      <w:r w:rsidR="00A83949" w:rsidRPr="00A84A6B">
        <w:rPr>
          <w:sz w:val="22"/>
          <w:szCs w:val="22"/>
          <w:lang w:val="fr-FR"/>
        </w:rPr>
        <w:t>« </w:t>
      </w:r>
      <w:r w:rsidRPr="00A84A6B">
        <w:rPr>
          <w:sz w:val="22"/>
          <w:szCs w:val="22"/>
          <w:lang w:val="fr-FR"/>
        </w:rPr>
        <w:t xml:space="preserve">(...) </w:t>
      </w:r>
      <w:r w:rsidR="00E24018" w:rsidRPr="00A84A6B">
        <w:rPr>
          <w:color w:val="000000"/>
          <w:sz w:val="22"/>
          <w:szCs w:val="22"/>
          <w:lang w:val="fr-FR"/>
        </w:rPr>
        <w:t>en cas</w:t>
      </w:r>
      <w:r w:rsidR="00E24018" w:rsidRPr="00A83949">
        <w:rPr>
          <w:color w:val="000000"/>
          <w:sz w:val="22"/>
          <w:szCs w:val="22"/>
          <w:lang w:val="fr-FR"/>
        </w:rPr>
        <w:t xml:space="preserve"> de circonstances imprévues, le CIDI pourra, sur avis du Secrétariat, approuver des ajustements à un cycle ministériel donné</w:t>
      </w:r>
      <w:r w:rsidR="00A83949">
        <w:rPr>
          <w:color w:val="000000"/>
          <w:sz w:val="22"/>
          <w:szCs w:val="22"/>
          <w:lang w:val="fr-FR"/>
        </w:rPr>
        <w:t>,</w:t>
      </w:r>
      <w:r w:rsidR="00E24018" w:rsidRPr="00A83949">
        <w:rPr>
          <w:color w:val="000000"/>
          <w:sz w:val="22"/>
          <w:szCs w:val="22"/>
          <w:lang w:val="fr-FR"/>
        </w:rPr>
        <w:t xml:space="preserve"> à titre exceptionnel et en tenant compte des incidences logistiques, budgétaires et organisationnelles de la modification proposée</w:t>
      </w:r>
      <w:r w:rsidR="00A83949" w:rsidRPr="00A83949">
        <w:rPr>
          <w:sz w:val="22"/>
          <w:szCs w:val="22"/>
          <w:lang w:val="fr-FR"/>
        </w:rPr>
        <w:t> »</w:t>
      </w:r>
      <w:r w:rsidRPr="008521F1">
        <w:rPr>
          <w:sz w:val="22"/>
          <w:szCs w:val="22"/>
          <w:lang w:val="fr-FR"/>
        </w:rPr>
        <w:t>,</w:t>
      </w:r>
      <w:r w:rsidR="006615A9">
        <w:rPr>
          <w:sz w:val="22"/>
          <w:szCs w:val="22"/>
          <w:lang w:val="fr-FR"/>
        </w:rPr>
        <w:t xml:space="preserve"> l</w:t>
      </w:r>
      <w:r w:rsidR="006615A9">
        <w:rPr>
          <w:sz w:val="22"/>
          <w:szCs w:val="22"/>
          <w:lang w:val="fr-CA"/>
        </w:rPr>
        <w:t>e CIDI</w:t>
      </w:r>
      <w:r w:rsidR="006615A9" w:rsidRPr="00D14D68">
        <w:rPr>
          <w:sz w:val="22"/>
          <w:szCs w:val="22"/>
          <w:lang w:val="fr-CA"/>
        </w:rPr>
        <w:t xml:space="preserve"> approuve les mises à jour suivantes du calendrier du</w:t>
      </w:r>
      <w:r w:rsidR="006615A9">
        <w:rPr>
          <w:lang w:val="fr-CA"/>
        </w:rPr>
        <w:t xml:space="preserve"> processus ministériel </w:t>
      </w:r>
      <w:r w:rsidR="006615A9">
        <w:rPr>
          <w:sz w:val="22"/>
          <w:szCs w:val="22"/>
          <w:lang w:val="fr-CA"/>
        </w:rPr>
        <w:t xml:space="preserve"> triennal </w:t>
      </w:r>
      <w:r w:rsidR="006615A9">
        <w:rPr>
          <w:lang w:val="fr-CA"/>
        </w:rPr>
        <w:t xml:space="preserve"> </w:t>
      </w:r>
      <w:r w:rsidR="006615A9" w:rsidRPr="00D14D68">
        <w:rPr>
          <w:sz w:val="22"/>
          <w:szCs w:val="22"/>
          <w:lang w:val="fr-CA"/>
        </w:rPr>
        <w:t>qui permettraient de maintenir</w:t>
      </w:r>
      <w:r w:rsidR="006615A9">
        <w:rPr>
          <w:lang w:val="fr-CA"/>
        </w:rPr>
        <w:t xml:space="preserve"> la date désignée pour la réunion ministérielle </w:t>
      </w:r>
      <w:r w:rsidR="006615A9" w:rsidRPr="00D14D68">
        <w:rPr>
          <w:sz w:val="22"/>
          <w:szCs w:val="22"/>
          <w:lang w:val="fr-CA"/>
        </w:rPr>
        <w:t>:</w:t>
      </w:r>
    </w:p>
    <w:p w14:paraId="1B5881D6" w14:textId="2D79AC7C" w:rsidR="006615A9" w:rsidRPr="006615A9" w:rsidRDefault="006615A9">
      <w:pPr>
        <w:ind w:firstLine="720"/>
        <w:jc w:val="both"/>
        <w:rPr>
          <w:sz w:val="22"/>
          <w:szCs w:val="22"/>
          <w:lang w:val="fr-CA"/>
        </w:rPr>
      </w:pPr>
    </w:p>
    <w:p w14:paraId="523046C6" w14:textId="311B4136" w:rsidR="00D14D68" w:rsidRPr="006615A9" w:rsidRDefault="00D14D68" w:rsidP="00D14D68">
      <w:pPr>
        <w:ind w:right="-1080"/>
        <w:jc w:val="both"/>
        <w:rPr>
          <w:sz w:val="22"/>
          <w:szCs w:val="22"/>
          <w:lang w:val="fr-CA"/>
        </w:rPr>
      </w:pPr>
    </w:p>
    <w:tbl>
      <w:tblPr>
        <w:tblW w:w="99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"/>
        <w:gridCol w:w="12"/>
        <w:gridCol w:w="996"/>
        <w:gridCol w:w="2430"/>
        <w:gridCol w:w="5310"/>
      </w:tblGrid>
      <w:tr w:rsidR="00D14D68" w:rsidRPr="008521F1" w14:paraId="3DD2F503" w14:textId="77777777" w:rsidTr="006F55B4">
        <w:trPr>
          <w:trHeight w:val="385"/>
        </w:trPr>
        <w:tc>
          <w:tcPr>
            <w:tcW w:w="9900" w:type="dxa"/>
            <w:gridSpan w:val="6"/>
          </w:tcPr>
          <w:p w14:paraId="2117ED54" w14:textId="098AA75B" w:rsidR="005B5C0E" w:rsidRPr="008521F1" w:rsidRDefault="0062418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8521F1">
              <w:rPr>
                <w:b/>
                <w:bCs/>
                <w:sz w:val="22"/>
                <w:szCs w:val="22"/>
                <w:lang w:val="fr-FR"/>
              </w:rPr>
              <w:t xml:space="preserve">CALENDRIER DES ACTIVITÉS </w:t>
            </w:r>
            <w:r w:rsidR="00AD13EF">
              <w:rPr>
                <w:b/>
                <w:bCs/>
                <w:sz w:val="22"/>
                <w:szCs w:val="22"/>
                <w:lang w:val="fr-FR"/>
              </w:rPr>
              <w:t>MENANT À</w:t>
            </w:r>
            <w:r w:rsidRPr="008521F1">
              <w:rPr>
                <w:b/>
                <w:bCs/>
                <w:sz w:val="22"/>
                <w:szCs w:val="22"/>
                <w:lang w:val="fr-FR"/>
              </w:rPr>
              <w:t xml:space="preserve"> L</w:t>
            </w:r>
            <w:r w:rsidR="00AD13EF">
              <w:rPr>
                <w:b/>
                <w:bCs/>
                <w:sz w:val="22"/>
                <w:szCs w:val="22"/>
                <w:lang w:val="fr-FR"/>
              </w:rPr>
              <w:t>A</w:t>
            </w:r>
            <w:r w:rsidRPr="008521F1">
              <w:rPr>
                <w:b/>
                <w:bCs/>
                <w:sz w:val="22"/>
                <w:szCs w:val="22"/>
                <w:lang w:val="fr-FR"/>
              </w:rPr>
              <w:t xml:space="preserve"> REMDES</w:t>
            </w:r>
            <w:r w:rsidR="00AD13EF">
              <w:rPr>
                <w:b/>
                <w:bCs/>
                <w:sz w:val="22"/>
                <w:szCs w:val="22"/>
                <w:lang w:val="fr-FR"/>
              </w:rPr>
              <w:t>-V</w:t>
            </w:r>
          </w:p>
          <w:p w14:paraId="2DF8695D" w14:textId="77777777" w:rsidR="005B5C0E" w:rsidRPr="008521F1" w:rsidRDefault="0062418E">
            <w:pPr>
              <w:jc w:val="center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(17 - 18 novembre 2022)</w:t>
            </w:r>
          </w:p>
          <w:p w14:paraId="2DEED0F4" w14:textId="77777777" w:rsidR="006845D4" w:rsidRPr="008521F1" w:rsidRDefault="006845D4" w:rsidP="00D14D6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14D68" w:rsidRPr="008521F1" w14:paraId="5F13F893" w14:textId="77777777" w:rsidTr="006F55B4">
        <w:tc>
          <w:tcPr>
            <w:tcW w:w="2160" w:type="dxa"/>
            <w:gridSpan w:val="4"/>
            <w:shd w:val="clear" w:color="auto" w:fill="auto"/>
          </w:tcPr>
          <w:p w14:paraId="610E3BCB" w14:textId="77777777" w:rsidR="005B5C0E" w:rsidRPr="008521F1" w:rsidRDefault="0062418E">
            <w:pPr>
              <w:jc w:val="center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DATE</w:t>
            </w:r>
          </w:p>
          <w:p w14:paraId="7A18D46D" w14:textId="77777777" w:rsidR="005B5C0E" w:rsidRPr="008521F1" w:rsidRDefault="0062418E">
            <w:pPr>
              <w:jc w:val="center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Année 2022</w:t>
            </w:r>
          </w:p>
        </w:tc>
        <w:tc>
          <w:tcPr>
            <w:tcW w:w="2430" w:type="dxa"/>
          </w:tcPr>
          <w:p w14:paraId="259A5934" w14:textId="77777777" w:rsidR="005B5C0E" w:rsidRPr="008521F1" w:rsidRDefault="0062418E">
            <w:pPr>
              <w:pStyle w:val="ListParagraph0"/>
              <w:ind w:left="160"/>
              <w:jc w:val="center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ORGANE</w:t>
            </w:r>
          </w:p>
        </w:tc>
        <w:tc>
          <w:tcPr>
            <w:tcW w:w="5310" w:type="dxa"/>
            <w:shd w:val="clear" w:color="auto" w:fill="auto"/>
          </w:tcPr>
          <w:p w14:paraId="2D5CE041" w14:textId="77777777" w:rsidR="005B5C0E" w:rsidRPr="008521F1" w:rsidRDefault="0062418E">
            <w:pPr>
              <w:pStyle w:val="ListParagraph0"/>
              <w:ind w:left="160"/>
              <w:jc w:val="center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ACTIVITÉ</w:t>
            </w:r>
          </w:p>
        </w:tc>
      </w:tr>
      <w:tr w:rsidR="006845D4" w:rsidRPr="00E411AD" w14:paraId="03DB67C6" w14:textId="77777777" w:rsidTr="006F55B4">
        <w:tc>
          <w:tcPr>
            <w:tcW w:w="1164" w:type="dxa"/>
            <w:gridSpan w:val="3"/>
            <w:shd w:val="clear" w:color="auto" w:fill="auto"/>
          </w:tcPr>
          <w:p w14:paraId="1C340CE0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Février </w:t>
            </w:r>
          </w:p>
        </w:tc>
        <w:tc>
          <w:tcPr>
            <w:tcW w:w="996" w:type="dxa"/>
            <w:shd w:val="clear" w:color="auto" w:fill="auto"/>
          </w:tcPr>
          <w:p w14:paraId="13DEAF51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22</w:t>
            </w:r>
          </w:p>
        </w:tc>
        <w:tc>
          <w:tcPr>
            <w:tcW w:w="2430" w:type="dxa"/>
          </w:tcPr>
          <w:p w14:paraId="60F863E8" w14:textId="77777777" w:rsidR="005B5C0E" w:rsidRPr="008521F1" w:rsidRDefault="0062418E">
            <w:pPr>
              <w:contextualSpacing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Réunion ordinaire du CIDI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41D9EF0" w14:textId="37ADC1DB" w:rsidR="005B5C0E" w:rsidRPr="008521F1" w:rsidRDefault="0062418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Approbation de la résolution </w:t>
            </w:r>
            <w:r w:rsidR="00A32E4A">
              <w:rPr>
                <w:sz w:val="22"/>
                <w:szCs w:val="22"/>
                <w:lang w:val="fr-FR"/>
              </w:rPr>
              <w:t>de convocation</w:t>
            </w:r>
            <w:r w:rsidRPr="008521F1">
              <w:rPr>
                <w:sz w:val="22"/>
                <w:szCs w:val="22"/>
                <w:lang w:val="fr-FR"/>
              </w:rPr>
              <w:t xml:space="preserve"> par le CIDI</w:t>
            </w:r>
          </w:p>
          <w:p w14:paraId="6F6726FD" w14:textId="184FF9F8" w:rsidR="005B5C0E" w:rsidRPr="008521F1" w:rsidRDefault="0062418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Convocation de la </w:t>
            </w:r>
            <w:r w:rsidR="00A32E4A">
              <w:rPr>
                <w:sz w:val="22"/>
                <w:szCs w:val="22"/>
                <w:lang w:val="fr-FR"/>
              </w:rPr>
              <w:t>Quatrième</w:t>
            </w:r>
            <w:r w:rsidRPr="008521F1">
              <w:rPr>
                <w:sz w:val="22"/>
                <w:szCs w:val="22"/>
                <w:lang w:val="fr-FR"/>
              </w:rPr>
              <w:t xml:space="preserve"> </w:t>
            </w:r>
            <w:r w:rsidR="00A32E4A">
              <w:rPr>
                <w:sz w:val="22"/>
                <w:szCs w:val="22"/>
                <w:lang w:val="fr-FR"/>
              </w:rPr>
              <w:t>R</w:t>
            </w:r>
            <w:r w:rsidRPr="008521F1">
              <w:rPr>
                <w:sz w:val="22"/>
                <w:szCs w:val="22"/>
                <w:lang w:val="fr-FR"/>
              </w:rPr>
              <w:t>éunion ordinaire d</w:t>
            </w:r>
            <w:r w:rsidR="002929A8">
              <w:rPr>
                <w:sz w:val="22"/>
                <w:szCs w:val="22"/>
                <w:lang w:val="fr-FR"/>
              </w:rPr>
              <w:t>e la</w:t>
            </w:r>
            <w:r w:rsidRPr="008521F1">
              <w:rPr>
                <w:sz w:val="22"/>
                <w:szCs w:val="22"/>
                <w:lang w:val="fr-FR"/>
              </w:rPr>
              <w:t xml:space="preserve"> CIDES, qui se tiendra le 22 mars 2022</w:t>
            </w:r>
          </w:p>
          <w:p w14:paraId="634FB4E4" w14:textId="77777777" w:rsidR="006845D4" w:rsidRPr="008521F1" w:rsidRDefault="006845D4" w:rsidP="00D14D68">
            <w:pPr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0246D740" w14:textId="77777777" w:rsidTr="006F55B4">
        <w:tc>
          <w:tcPr>
            <w:tcW w:w="1164" w:type="dxa"/>
            <w:gridSpan w:val="3"/>
            <w:shd w:val="clear" w:color="auto" w:fill="auto"/>
          </w:tcPr>
          <w:p w14:paraId="1328BB59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Mars </w:t>
            </w:r>
          </w:p>
        </w:tc>
        <w:tc>
          <w:tcPr>
            <w:tcW w:w="996" w:type="dxa"/>
            <w:shd w:val="clear" w:color="auto" w:fill="auto"/>
          </w:tcPr>
          <w:p w14:paraId="1CA80373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22</w:t>
            </w:r>
          </w:p>
        </w:tc>
        <w:tc>
          <w:tcPr>
            <w:tcW w:w="2430" w:type="dxa"/>
          </w:tcPr>
          <w:p w14:paraId="74991C81" w14:textId="3C8E8B13" w:rsidR="005B5C0E" w:rsidRPr="008521F1" w:rsidRDefault="00A32E4A">
            <w:pPr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Quatrième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R</w:t>
            </w:r>
            <w:r w:rsidR="0062418E" w:rsidRPr="008521F1">
              <w:rPr>
                <w:sz w:val="22"/>
                <w:szCs w:val="22"/>
                <w:lang w:val="fr-FR"/>
              </w:rPr>
              <w:t>éunion ordinaire d</w:t>
            </w:r>
            <w:r w:rsidR="002929A8">
              <w:rPr>
                <w:sz w:val="22"/>
                <w:szCs w:val="22"/>
                <w:lang w:val="fr-FR"/>
              </w:rPr>
              <w:t>e la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CIDES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0E776E0" w14:textId="43D6DCDC" w:rsidR="005B5C0E" w:rsidRPr="008521F1" w:rsidRDefault="00E94092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Examen des 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progrès, </w:t>
            </w:r>
            <w:r>
              <w:rPr>
                <w:sz w:val="22"/>
                <w:szCs w:val="22"/>
                <w:lang w:val="fr-FR"/>
              </w:rPr>
              <w:t>d</w:t>
            </w:r>
            <w:r w:rsidR="0062418E" w:rsidRPr="008521F1">
              <w:rPr>
                <w:sz w:val="22"/>
                <w:szCs w:val="22"/>
                <w:lang w:val="fr-FR"/>
              </w:rPr>
              <w:t>es documents et</w:t>
            </w:r>
            <w:r>
              <w:rPr>
                <w:sz w:val="22"/>
                <w:szCs w:val="22"/>
                <w:lang w:val="fr-FR"/>
              </w:rPr>
              <w:t xml:space="preserve"> de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</w:t>
            </w:r>
            <w:r w:rsidR="00007576">
              <w:rPr>
                <w:sz w:val="22"/>
                <w:szCs w:val="22"/>
                <w:lang w:val="fr-FR"/>
              </w:rPr>
              <w:t>l’exécution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des mandats ministériels.</w:t>
            </w:r>
          </w:p>
          <w:p w14:paraId="3AC84C83" w14:textId="37BF9384" w:rsidR="005B5C0E" w:rsidRPr="008521F1" w:rsidRDefault="002D159C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Présentation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des projets de documents : </w:t>
            </w:r>
            <w:r w:rsidR="001463F0">
              <w:rPr>
                <w:sz w:val="22"/>
                <w:szCs w:val="22"/>
                <w:lang w:val="fr-FR"/>
              </w:rPr>
              <w:t>P</w:t>
            </w:r>
            <w:r w:rsidR="0062418E" w:rsidRPr="008521F1">
              <w:rPr>
                <w:sz w:val="22"/>
                <w:szCs w:val="22"/>
                <w:lang w:val="fr-FR"/>
              </w:rPr>
              <w:t>rojet d'ordre du jour</w:t>
            </w:r>
            <w:r w:rsidR="0062418E" w:rsidRPr="008521F1">
              <w:rPr>
                <w:bCs/>
                <w:sz w:val="22"/>
                <w:szCs w:val="22"/>
                <w:lang w:val="fr-FR"/>
              </w:rPr>
              <w:t>, projet de déclaration</w:t>
            </w:r>
            <w:r w:rsidR="002929A8">
              <w:rPr>
                <w:bCs/>
                <w:sz w:val="22"/>
                <w:szCs w:val="22"/>
                <w:lang w:val="fr-FR"/>
              </w:rPr>
              <w:t xml:space="preserve"> et</w:t>
            </w:r>
            <w:r w:rsidR="0062418E" w:rsidRPr="008521F1">
              <w:rPr>
                <w:bCs/>
                <w:sz w:val="22"/>
                <w:szCs w:val="22"/>
                <w:lang w:val="fr-FR"/>
              </w:rPr>
              <w:t xml:space="preserve"> projet de plan d'action</w:t>
            </w:r>
            <w:r w:rsidR="002929A8">
              <w:rPr>
                <w:bCs/>
                <w:sz w:val="22"/>
                <w:szCs w:val="22"/>
                <w:lang w:val="fr-FR"/>
              </w:rPr>
              <w:t>,</w:t>
            </w:r>
            <w:r w:rsidR="0062418E" w:rsidRPr="008521F1">
              <w:rPr>
                <w:bCs/>
                <w:sz w:val="22"/>
                <w:szCs w:val="22"/>
                <w:lang w:val="fr-FR"/>
              </w:rPr>
              <w:t xml:space="preserve"> et </w:t>
            </w:r>
            <w:r w:rsidR="0062418E" w:rsidRPr="008521F1">
              <w:rPr>
                <w:sz w:val="22"/>
                <w:szCs w:val="22"/>
                <w:lang w:val="fr-FR"/>
              </w:rPr>
              <w:t>liste provisoire des observateurs et des invités.</w:t>
            </w:r>
          </w:p>
          <w:p w14:paraId="312C0EF7" w14:textId="77777777" w:rsidR="006845D4" w:rsidRPr="008521F1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37A927BB" w14:textId="77777777" w:rsidTr="006F55B4">
        <w:tc>
          <w:tcPr>
            <w:tcW w:w="1164" w:type="dxa"/>
            <w:gridSpan w:val="3"/>
            <w:shd w:val="clear" w:color="auto" w:fill="auto"/>
          </w:tcPr>
          <w:p w14:paraId="72BC6A98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Avril </w:t>
            </w:r>
          </w:p>
        </w:tc>
        <w:tc>
          <w:tcPr>
            <w:tcW w:w="996" w:type="dxa"/>
            <w:shd w:val="clear" w:color="auto" w:fill="auto"/>
          </w:tcPr>
          <w:p w14:paraId="415239D7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26</w:t>
            </w:r>
          </w:p>
        </w:tc>
        <w:tc>
          <w:tcPr>
            <w:tcW w:w="2430" w:type="dxa"/>
          </w:tcPr>
          <w:p w14:paraId="0A81B7D0" w14:textId="77777777" w:rsidR="005B5C0E" w:rsidRPr="008521F1" w:rsidRDefault="0062418E">
            <w:pPr>
              <w:contextualSpacing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Réunion ordinaire du CIDI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D755DB6" w14:textId="51B41CAF" w:rsidR="005B5C0E" w:rsidRPr="008521F1" w:rsidRDefault="002D159C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Présentation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des projets de documents : </w:t>
            </w:r>
            <w:r w:rsidR="001463F0">
              <w:rPr>
                <w:sz w:val="22"/>
                <w:szCs w:val="22"/>
                <w:lang w:val="fr-FR"/>
              </w:rPr>
              <w:t>A</w:t>
            </w:r>
            <w:r w:rsidR="0062418E" w:rsidRPr="008521F1">
              <w:rPr>
                <w:sz w:val="22"/>
                <w:szCs w:val="22"/>
                <w:lang w:val="fr-FR"/>
              </w:rPr>
              <w:t>vant-projet d'ordre du jour</w:t>
            </w:r>
            <w:r w:rsidR="0062418E" w:rsidRPr="008521F1">
              <w:rPr>
                <w:bCs/>
                <w:sz w:val="22"/>
                <w:szCs w:val="22"/>
                <w:lang w:val="fr-FR"/>
              </w:rPr>
              <w:t>, avant-projet d'ordr</w:t>
            </w:r>
            <w:r w:rsidR="001463F0">
              <w:rPr>
                <w:bCs/>
                <w:sz w:val="22"/>
                <w:szCs w:val="22"/>
                <w:lang w:val="fr-FR"/>
              </w:rPr>
              <w:t>e</w:t>
            </w:r>
            <w:r w:rsidR="0062418E" w:rsidRPr="008521F1">
              <w:rPr>
                <w:bCs/>
                <w:sz w:val="22"/>
                <w:szCs w:val="22"/>
                <w:lang w:val="fr-FR"/>
              </w:rPr>
              <w:t xml:space="preserve"> du jour annoté, projet de déclaration et projet de plan d'action.</w:t>
            </w:r>
          </w:p>
          <w:p w14:paraId="0A98DCF9" w14:textId="77777777" w:rsidR="005B5C0E" w:rsidRPr="008521F1" w:rsidRDefault="0062418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8521F1">
              <w:rPr>
                <w:bCs/>
                <w:sz w:val="22"/>
                <w:szCs w:val="22"/>
                <w:lang w:val="fr-FR"/>
              </w:rPr>
              <w:t xml:space="preserve">Examen et approbation de la </w:t>
            </w:r>
            <w:r w:rsidRPr="008521F1">
              <w:rPr>
                <w:sz w:val="22"/>
                <w:szCs w:val="22"/>
                <w:lang w:val="fr-FR"/>
              </w:rPr>
              <w:t>liste provisoire des observateurs et des invités</w:t>
            </w:r>
          </w:p>
          <w:p w14:paraId="2561E55F" w14:textId="77777777" w:rsidR="006845D4" w:rsidRPr="008521F1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0E2DAF0F" w14:textId="77777777" w:rsidTr="006F55B4">
        <w:tc>
          <w:tcPr>
            <w:tcW w:w="2160" w:type="dxa"/>
            <w:gridSpan w:val="4"/>
            <w:shd w:val="clear" w:color="auto" w:fill="auto"/>
          </w:tcPr>
          <w:p w14:paraId="6F660FF1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Avril </w:t>
            </w:r>
          </w:p>
        </w:tc>
        <w:tc>
          <w:tcPr>
            <w:tcW w:w="2430" w:type="dxa"/>
          </w:tcPr>
          <w:p w14:paraId="397E76AE" w14:textId="77777777" w:rsidR="005B5C0E" w:rsidRPr="008521F1" w:rsidRDefault="0062418E">
            <w:pPr>
              <w:contextualSpacing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CIDES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9BBADE" w14:textId="17C34B9A" w:rsidR="005B5C0E" w:rsidRPr="008521F1" w:rsidRDefault="0062418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Début des négociations informelles de</w:t>
            </w:r>
            <w:r w:rsidR="001463F0">
              <w:rPr>
                <w:sz w:val="22"/>
                <w:szCs w:val="22"/>
                <w:lang w:val="fr-FR"/>
              </w:rPr>
              <w:t>s</w:t>
            </w:r>
            <w:r w:rsidRPr="008521F1">
              <w:rPr>
                <w:sz w:val="22"/>
                <w:szCs w:val="22"/>
                <w:lang w:val="fr-FR"/>
              </w:rPr>
              <w:t xml:space="preserve"> documents</w:t>
            </w:r>
          </w:p>
          <w:p w14:paraId="24593AB3" w14:textId="4A8CE8E0" w:rsidR="006845D4" w:rsidRPr="003C31A8" w:rsidRDefault="001463F0" w:rsidP="003C31A8">
            <w:pPr>
              <w:pStyle w:val="ListParagraph0"/>
              <w:numPr>
                <w:ilvl w:val="0"/>
                <w:numId w:val="46"/>
              </w:numPr>
              <w:ind w:left="166" w:hanging="166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Acheminement des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invitations aux États membres et aux observateurs. </w:t>
            </w:r>
          </w:p>
        </w:tc>
      </w:tr>
      <w:tr w:rsidR="006845D4" w:rsidRPr="00E411AD" w14:paraId="589AAB55" w14:textId="77777777" w:rsidTr="006F55B4">
        <w:tc>
          <w:tcPr>
            <w:tcW w:w="1164" w:type="dxa"/>
            <w:gridSpan w:val="3"/>
            <w:shd w:val="clear" w:color="auto" w:fill="auto"/>
          </w:tcPr>
          <w:p w14:paraId="09A1979D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lastRenderedPageBreak/>
              <w:t xml:space="preserve">Mai </w:t>
            </w:r>
          </w:p>
        </w:tc>
        <w:tc>
          <w:tcPr>
            <w:tcW w:w="996" w:type="dxa"/>
            <w:shd w:val="clear" w:color="auto" w:fill="auto"/>
          </w:tcPr>
          <w:p w14:paraId="17420840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31</w:t>
            </w:r>
          </w:p>
        </w:tc>
        <w:tc>
          <w:tcPr>
            <w:tcW w:w="2430" w:type="dxa"/>
          </w:tcPr>
          <w:p w14:paraId="5B434B27" w14:textId="77777777" w:rsidR="005B5C0E" w:rsidRPr="008521F1" w:rsidRDefault="0062418E">
            <w:pPr>
              <w:contextualSpacing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Réunion ordinaire du CIDI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FA6F115" w14:textId="77777777" w:rsidR="005B5C0E" w:rsidRPr="008521F1" w:rsidRDefault="0062418E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Adoption du projet d'ordre du jour par le CIDI</w:t>
            </w:r>
          </w:p>
          <w:p w14:paraId="027B8B46" w14:textId="77777777" w:rsidR="006845D4" w:rsidRPr="008521F1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565F5142" w14:textId="77777777" w:rsidTr="006F55B4">
        <w:tc>
          <w:tcPr>
            <w:tcW w:w="1164" w:type="dxa"/>
            <w:gridSpan w:val="3"/>
            <w:shd w:val="clear" w:color="auto" w:fill="auto"/>
          </w:tcPr>
          <w:p w14:paraId="40ABD0D8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Juillet </w:t>
            </w:r>
          </w:p>
        </w:tc>
        <w:tc>
          <w:tcPr>
            <w:tcW w:w="996" w:type="dxa"/>
            <w:shd w:val="clear" w:color="auto" w:fill="auto"/>
          </w:tcPr>
          <w:p w14:paraId="1A77CDB5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28</w:t>
            </w:r>
          </w:p>
        </w:tc>
        <w:tc>
          <w:tcPr>
            <w:tcW w:w="2430" w:type="dxa"/>
          </w:tcPr>
          <w:p w14:paraId="011B4710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Réunion préparatoire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E81EE08" w14:textId="3D7B5D64" w:rsidR="005B5C0E" w:rsidRPr="008521F1" w:rsidRDefault="0062418E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fr-FR" w:eastAsia="es-ES"/>
              </w:rPr>
            </w:pPr>
            <w:r w:rsidRPr="008521F1">
              <w:rPr>
                <w:bCs/>
                <w:sz w:val="22"/>
                <w:szCs w:val="22"/>
                <w:lang w:val="fr-FR"/>
              </w:rPr>
              <w:t>Finalis</w:t>
            </w:r>
            <w:r w:rsidR="00E44DC1">
              <w:rPr>
                <w:bCs/>
                <w:sz w:val="22"/>
                <w:szCs w:val="22"/>
                <w:lang w:val="fr-FR"/>
              </w:rPr>
              <w:t>ation</w:t>
            </w:r>
            <w:r w:rsidRPr="008521F1">
              <w:rPr>
                <w:bCs/>
                <w:sz w:val="22"/>
                <w:szCs w:val="22"/>
                <w:lang w:val="fr-FR"/>
              </w:rPr>
              <w:t xml:space="preserve"> </w:t>
            </w:r>
            <w:r w:rsidR="00E44DC1">
              <w:rPr>
                <w:bCs/>
                <w:sz w:val="22"/>
                <w:szCs w:val="22"/>
                <w:lang w:val="fr-FR"/>
              </w:rPr>
              <w:t>du</w:t>
            </w:r>
            <w:r w:rsidRPr="008521F1">
              <w:rPr>
                <w:bCs/>
                <w:sz w:val="22"/>
                <w:szCs w:val="22"/>
                <w:lang w:val="fr-FR"/>
              </w:rPr>
              <w:t xml:space="preserve"> projet d'ordre du jour et </w:t>
            </w:r>
            <w:r w:rsidR="00E44DC1">
              <w:rPr>
                <w:bCs/>
                <w:sz w:val="22"/>
                <w:szCs w:val="22"/>
                <w:lang w:val="fr-FR"/>
              </w:rPr>
              <w:t>d</w:t>
            </w:r>
            <w:r w:rsidRPr="008521F1">
              <w:rPr>
                <w:bCs/>
                <w:sz w:val="22"/>
                <w:szCs w:val="22"/>
                <w:lang w:val="fr-FR"/>
              </w:rPr>
              <w:t xml:space="preserve">es négociations sur le projet de déclaration et le projet de plan d'action </w:t>
            </w:r>
            <w:r w:rsidR="00E44DC1">
              <w:rPr>
                <w:bCs/>
                <w:sz w:val="22"/>
                <w:szCs w:val="22"/>
                <w:lang w:val="fr-FR"/>
              </w:rPr>
              <w:t xml:space="preserve">à </w:t>
            </w:r>
            <w:r w:rsidRPr="008521F1">
              <w:rPr>
                <w:bCs/>
                <w:sz w:val="22"/>
                <w:szCs w:val="22"/>
                <w:lang w:val="fr-FR"/>
              </w:rPr>
              <w:t>examin</w:t>
            </w:r>
            <w:r w:rsidR="00E44DC1">
              <w:rPr>
                <w:bCs/>
                <w:sz w:val="22"/>
                <w:szCs w:val="22"/>
                <w:lang w:val="fr-FR"/>
              </w:rPr>
              <w:t>er</w:t>
            </w:r>
            <w:r w:rsidRPr="008521F1">
              <w:rPr>
                <w:bCs/>
                <w:sz w:val="22"/>
                <w:szCs w:val="22"/>
                <w:lang w:val="fr-FR"/>
              </w:rPr>
              <w:t xml:space="preserve"> lors de la réunion </w:t>
            </w:r>
            <w:r w:rsidR="00757C0F">
              <w:rPr>
                <w:bCs/>
                <w:sz w:val="22"/>
                <w:szCs w:val="22"/>
                <w:lang w:val="fr-FR"/>
              </w:rPr>
              <w:t xml:space="preserve">des </w:t>
            </w:r>
            <w:r w:rsidRPr="008521F1">
              <w:rPr>
                <w:bCs/>
                <w:sz w:val="22"/>
                <w:szCs w:val="22"/>
                <w:lang w:val="fr-FR"/>
              </w:rPr>
              <w:t>minist</w:t>
            </w:r>
            <w:r w:rsidR="00757C0F">
              <w:rPr>
                <w:bCs/>
                <w:sz w:val="22"/>
                <w:szCs w:val="22"/>
                <w:lang w:val="fr-FR"/>
              </w:rPr>
              <w:t>res</w:t>
            </w:r>
            <w:r w:rsidRPr="008521F1">
              <w:rPr>
                <w:bCs/>
                <w:sz w:val="22"/>
                <w:szCs w:val="22"/>
                <w:lang w:val="fr-FR"/>
              </w:rPr>
              <w:t>.</w:t>
            </w:r>
          </w:p>
          <w:p w14:paraId="29956BBF" w14:textId="77777777" w:rsidR="005B5C0E" w:rsidRPr="008521F1" w:rsidRDefault="0062418E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fr-FR" w:eastAsia="es-ES"/>
              </w:rPr>
            </w:pPr>
            <w:r w:rsidRPr="008521F1">
              <w:rPr>
                <w:bCs/>
                <w:sz w:val="22"/>
                <w:szCs w:val="22"/>
                <w:lang w:val="fr-FR"/>
              </w:rPr>
              <w:t>Présentation du projet de calendrier, et</w:t>
            </w:r>
          </w:p>
          <w:p w14:paraId="64533E43" w14:textId="5FB6B644" w:rsidR="005B5C0E" w:rsidRPr="008521F1" w:rsidRDefault="0062418E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fr-FR" w:eastAsia="es-ES"/>
              </w:rPr>
            </w:pPr>
            <w:r w:rsidRPr="008521F1">
              <w:rPr>
                <w:bCs/>
                <w:sz w:val="22"/>
                <w:szCs w:val="22"/>
                <w:lang w:val="fr-FR"/>
              </w:rPr>
              <w:t xml:space="preserve">Examen d'autres questions relatives à la réunion </w:t>
            </w:r>
            <w:r w:rsidR="00E44DC1">
              <w:rPr>
                <w:bCs/>
                <w:sz w:val="22"/>
                <w:szCs w:val="22"/>
                <w:lang w:val="fr-FR"/>
              </w:rPr>
              <w:t xml:space="preserve">des </w:t>
            </w:r>
            <w:r w:rsidRPr="008521F1">
              <w:rPr>
                <w:bCs/>
                <w:sz w:val="22"/>
                <w:szCs w:val="22"/>
                <w:lang w:val="fr-FR"/>
              </w:rPr>
              <w:t>minist</w:t>
            </w:r>
            <w:r w:rsidR="00E44DC1">
              <w:rPr>
                <w:bCs/>
                <w:sz w:val="22"/>
                <w:szCs w:val="22"/>
                <w:lang w:val="fr-FR"/>
              </w:rPr>
              <w:t>res </w:t>
            </w:r>
            <w:r w:rsidRPr="008521F1">
              <w:rPr>
                <w:bCs/>
                <w:sz w:val="22"/>
                <w:szCs w:val="22"/>
                <w:lang w:val="fr-FR"/>
              </w:rPr>
              <w:t xml:space="preserve">: </w:t>
            </w:r>
            <w:r w:rsidR="00E44DC1">
              <w:rPr>
                <w:bCs/>
                <w:sz w:val="22"/>
                <w:szCs w:val="22"/>
                <w:lang w:val="fr-FR"/>
              </w:rPr>
              <w:t>L</w:t>
            </w:r>
            <w:r w:rsidRPr="008521F1">
              <w:rPr>
                <w:sz w:val="22"/>
                <w:szCs w:val="22"/>
                <w:lang w:val="fr-FR" w:eastAsia="es-ES"/>
              </w:rPr>
              <w:t>'élection d</w:t>
            </w:r>
            <w:r w:rsidR="00E44DC1">
              <w:rPr>
                <w:sz w:val="22"/>
                <w:szCs w:val="22"/>
                <w:lang w:val="fr-FR" w:eastAsia="es-ES"/>
              </w:rPr>
              <w:t>e la</w:t>
            </w:r>
            <w:r w:rsidRPr="008521F1">
              <w:rPr>
                <w:sz w:val="22"/>
                <w:szCs w:val="22"/>
                <w:lang w:val="fr-FR" w:eastAsia="es-ES"/>
              </w:rPr>
              <w:t xml:space="preserve"> présiden</w:t>
            </w:r>
            <w:r w:rsidR="00E44DC1">
              <w:rPr>
                <w:sz w:val="22"/>
                <w:szCs w:val="22"/>
                <w:lang w:val="fr-FR" w:eastAsia="es-ES"/>
              </w:rPr>
              <w:t>ce</w:t>
            </w:r>
            <w:r w:rsidRPr="008521F1">
              <w:rPr>
                <w:sz w:val="22"/>
                <w:szCs w:val="22"/>
                <w:lang w:val="fr-FR" w:eastAsia="es-ES"/>
              </w:rPr>
              <w:t xml:space="preserve"> ; la composition d</w:t>
            </w:r>
            <w:r w:rsidR="00E44DC1">
              <w:rPr>
                <w:sz w:val="22"/>
                <w:szCs w:val="22"/>
                <w:lang w:val="fr-FR" w:eastAsia="es-ES"/>
              </w:rPr>
              <w:t>e la Commission</w:t>
            </w:r>
            <w:r w:rsidRPr="008521F1">
              <w:rPr>
                <w:sz w:val="22"/>
                <w:szCs w:val="22"/>
                <w:lang w:val="fr-FR" w:eastAsia="es-ES"/>
              </w:rPr>
              <w:t xml:space="preserve"> de style ; la désignation des </w:t>
            </w:r>
            <w:r w:rsidR="00A93909">
              <w:rPr>
                <w:sz w:val="22"/>
                <w:szCs w:val="22"/>
                <w:lang w:val="fr-FR" w:eastAsia="es-ES"/>
              </w:rPr>
              <w:t>commissions</w:t>
            </w:r>
            <w:r w:rsidRPr="008521F1">
              <w:rPr>
                <w:sz w:val="22"/>
                <w:szCs w:val="22"/>
                <w:lang w:val="fr-FR" w:eastAsia="es-ES"/>
              </w:rPr>
              <w:t xml:space="preserve"> et des groupes de travail ; l'accord sur la date limite d</w:t>
            </w:r>
            <w:r w:rsidR="00A93909">
              <w:rPr>
                <w:sz w:val="22"/>
                <w:szCs w:val="22"/>
                <w:lang w:val="fr-FR" w:eastAsia="es-ES"/>
              </w:rPr>
              <w:t>u</w:t>
            </w:r>
            <w:r w:rsidRPr="008521F1">
              <w:rPr>
                <w:sz w:val="22"/>
                <w:szCs w:val="22"/>
                <w:lang w:val="fr-FR" w:eastAsia="es-ES"/>
              </w:rPr>
              <w:t xml:space="preserve"> </w:t>
            </w:r>
            <w:r w:rsidR="00A93909">
              <w:rPr>
                <w:sz w:val="22"/>
                <w:szCs w:val="22"/>
                <w:lang w:val="fr-FR" w:eastAsia="es-ES"/>
              </w:rPr>
              <w:t>dépôt</w:t>
            </w:r>
            <w:r w:rsidRPr="008521F1">
              <w:rPr>
                <w:sz w:val="22"/>
                <w:szCs w:val="22"/>
                <w:lang w:val="fr-FR" w:eastAsia="es-ES"/>
              </w:rPr>
              <w:t xml:space="preserve"> des propositions ; la durée de la réunion.</w:t>
            </w:r>
          </w:p>
          <w:p w14:paraId="6888778D" w14:textId="77777777" w:rsidR="006845D4" w:rsidRPr="008521F1" w:rsidRDefault="006845D4" w:rsidP="00D14D68">
            <w:pPr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420F31C4" w14:textId="77777777" w:rsidTr="006F55B4">
        <w:tc>
          <w:tcPr>
            <w:tcW w:w="1164" w:type="dxa"/>
            <w:gridSpan w:val="3"/>
            <w:shd w:val="clear" w:color="auto" w:fill="auto"/>
          </w:tcPr>
          <w:p w14:paraId="21BD468B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Octobre </w:t>
            </w:r>
          </w:p>
        </w:tc>
        <w:tc>
          <w:tcPr>
            <w:tcW w:w="996" w:type="dxa"/>
            <w:shd w:val="clear" w:color="auto" w:fill="auto"/>
          </w:tcPr>
          <w:p w14:paraId="7547F5BE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430" w:type="dxa"/>
          </w:tcPr>
          <w:p w14:paraId="64AB8384" w14:textId="77777777" w:rsidR="005B5C0E" w:rsidRPr="008521F1" w:rsidRDefault="0062418E">
            <w:pPr>
              <w:contextualSpacing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Secrétariat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2E144C8" w14:textId="41BC5EE7" w:rsidR="005B5C0E" w:rsidRPr="008521F1" w:rsidRDefault="00757C0F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Acheminement par le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SEDI </w:t>
            </w:r>
            <w:r w:rsidR="00A93909" w:rsidRPr="008521F1">
              <w:rPr>
                <w:sz w:val="22"/>
                <w:szCs w:val="22"/>
                <w:lang w:val="fr-FR"/>
              </w:rPr>
              <w:t>aux États membres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du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projet d'ordre du jour approuvé par le CIDI</w:t>
            </w:r>
            <w:r w:rsidR="006E537D">
              <w:rPr>
                <w:sz w:val="22"/>
                <w:szCs w:val="22"/>
                <w:lang w:val="fr-FR"/>
              </w:rPr>
              <w:t>.</w:t>
            </w:r>
          </w:p>
          <w:p w14:paraId="371880BA" w14:textId="77777777" w:rsidR="006845D4" w:rsidRPr="008521F1" w:rsidRDefault="006845D4" w:rsidP="00D14D68">
            <w:pPr>
              <w:pStyle w:val="ListParagraph0"/>
              <w:ind w:left="250"/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7340439D" w14:textId="77777777" w:rsidTr="006F55B4">
        <w:tc>
          <w:tcPr>
            <w:tcW w:w="1152" w:type="dxa"/>
            <w:gridSpan w:val="2"/>
            <w:shd w:val="clear" w:color="auto" w:fill="auto"/>
          </w:tcPr>
          <w:p w14:paraId="5BF51002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Octobre 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6373F477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25</w:t>
            </w:r>
          </w:p>
        </w:tc>
        <w:tc>
          <w:tcPr>
            <w:tcW w:w="2430" w:type="dxa"/>
          </w:tcPr>
          <w:p w14:paraId="72766DF7" w14:textId="77777777" w:rsidR="005B5C0E" w:rsidRPr="008521F1" w:rsidRDefault="0062418E">
            <w:pPr>
              <w:contextualSpacing/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Réunion ordinaire du CIDI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4659CC8" w14:textId="4B89DDCC" w:rsidR="005B5C0E" w:rsidRPr="008521F1" w:rsidRDefault="00E2628E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vertAlign w:val="superscript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Établissement par le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CIDI </w:t>
            </w:r>
            <w:r>
              <w:rPr>
                <w:sz w:val="22"/>
                <w:szCs w:val="22"/>
                <w:lang w:val="fr-FR"/>
              </w:rPr>
              <w:t>de</w:t>
            </w:r>
            <w:r w:rsidR="0062418E" w:rsidRPr="008521F1">
              <w:rPr>
                <w:sz w:val="22"/>
                <w:szCs w:val="22"/>
                <w:lang w:val="fr-FR"/>
              </w:rPr>
              <w:t xml:space="preserve"> l'ordre de préséance des délégations des États membres et des observateurs permanents.</w:t>
            </w:r>
          </w:p>
          <w:p w14:paraId="093C8ED5" w14:textId="77777777" w:rsidR="006845D4" w:rsidRPr="008521F1" w:rsidRDefault="006845D4" w:rsidP="00D14D68">
            <w:pPr>
              <w:rPr>
                <w:sz w:val="22"/>
                <w:szCs w:val="22"/>
                <w:lang w:val="fr-FR"/>
              </w:rPr>
            </w:pPr>
          </w:p>
        </w:tc>
      </w:tr>
      <w:tr w:rsidR="006845D4" w:rsidRPr="00E411AD" w14:paraId="35BC405A" w14:textId="77777777" w:rsidTr="006F55B4">
        <w:tc>
          <w:tcPr>
            <w:tcW w:w="1145" w:type="dxa"/>
            <w:shd w:val="clear" w:color="auto" w:fill="auto"/>
          </w:tcPr>
          <w:p w14:paraId="036ECDC2" w14:textId="77777777" w:rsidR="006845D4" w:rsidRPr="008521F1" w:rsidRDefault="006845D4" w:rsidP="00D14D68">
            <w:pPr>
              <w:rPr>
                <w:sz w:val="22"/>
                <w:szCs w:val="22"/>
                <w:lang w:val="fr-FR"/>
              </w:rPr>
            </w:pPr>
          </w:p>
          <w:p w14:paraId="4CD8385C" w14:textId="77777777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>Novembre</w:t>
            </w:r>
          </w:p>
        </w:tc>
        <w:tc>
          <w:tcPr>
            <w:tcW w:w="1015" w:type="dxa"/>
            <w:gridSpan w:val="3"/>
            <w:shd w:val="clear" w:color="auto" w:fill="auto"/>
          </w:tcPr>
          <w:p w14:paraId="1DF6F3B2" w14:textId="77777777" w:rsidR="006845D4" w:rsidRPr="008521F1" w:rsidRDefault="006845D4" w:rsidP="00D14D68">
            <w:pPr>
              <w:rPr>
                <w:sz w:val="22"/>
                <w:szCs w:val="22"/>
                <w:lang w:val="fr-FR"/>
              </w:rPr>
            </w:pPr>
          </w:p>
          <w:p w14:paraId="25EFB813" w14:textId="75BC7751" w:rsidR="005B5C0E" w:rsidRPr="008521F1" w:rsidRDefault="0062418E">
            <w:pPr>
              <w:rPr>
                <w:sz w:val="22"/>
                <w:szCs w:val="22"/>
                <w:lang w:val="fr-FR"/>
              </w:rPr>
            </w:pPr>
            <w:r w:rsidRPr="008521F1">
              <w:rPr>
                <w:sz w:val="22"/>
                <w:szCs w:val="22"/>
                <w:lang w:val="fr-FR"/>
              </w:rPr>
              <w:t xml:space="preserve">17 </w:t>
            </w:r>
            <w:r w:rsidR="00CF0019">
              <w:rPr>
                <w:sz w:val="22"/>
                <w:szCs w:val="22"/>
                <w:lang w:val="fr-FR"/>
              </w:rPr>
              <w:t>et</w:t>
            </w:r>
            <w:r w:rsidRPr="008521F1">
              <w:rPr>
                <w:sz w:val="22"/>
                <w:szCs w:val="22"/>
                <w:lang w:val="fr-FR"/>
              </w:rPr>
              <w:t xml:space="preserve"> 18 </w:t>
            </w:r>
          </w:p>
        </w:tc>
        <w:tc>
          <w:tcPr>
            <w:tcW w:w="7740" w:type="dxa"/>
            <w:gridSpan w:val="2"/>
          </w:tcPr>
          <w:p w14:paraId="78758485" w14:textId="77777777" w:rsidR="006845D4" w:rsidRPr="008521F1" w:rsidRDefault="006845D4" w:rsidP="00D14D68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14:paraId="4F69D76E" w14:textId="3F956384" w:rsidR="005B5C0E" w:rsidRPr="008521F1" w:rsidRDefault="00CF0019" w:rsidP="006F55B4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Cinquième</w:t>
            </w:r>
            <w:r w:rsidR="0062418E" w:rsidRPr="008521F1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fr-FR"/>
              </w:rPr>
              <w:t>R</w:t>
            </w:r>
            <w:r w:rsidR="0062418E" w:rsidRPr="008521F1">
              <w:rPr>
                <w:b/>
                <w:bCs/>
                <w:sz w:val="22"/>
                <w:szCs w:val="22"/>
                <w:lang w:val="fr-FR"/>
              </w:rPr>
              <w:t>éunion des ministres et hauts fonctionnaires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chargés</w:t>
            </w:r>
            <w:r w:rsidR="0062418E" w:rsidRPr="008521F1">
              <w:rPr>
                <w:b/>
                <w:bCs/>
                <w:sz w:val="22"/>
                <w:szCs w:val="22"/>
                <w:lang w:val="fr-FR"/>
              </w:rPr>
              <w:t xml:space="preserve"> du développement social</w:t>
            </w:r>
          </w:p>
          <w:p w14:paraId="2A7A6D34" w14:textId="77777777" w:rsidR="006845D4" w:rsidRPr="008521F1" w:rsidRDefault="006845D4" w:rsidP="00D14D68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11FD9C15" w14:textId="77777777" w:rsidR="00D14D68" w:rsidRPr="008521F1" w:rsidRDefault="00D14D68" w:rsidP="00D14D68">
      <w:pPr>
        <w:rPr>
          <w:sz w:val="22"/>
          <w:szCs w:val="22"/>
          <w:lang w:val="fr-FR"/>
        </w:rPr>
      </w:pPr>
    </w:p>
    <w:p w14:paraId="49598DDF" w14:textId="732FE83F" w:rsidR="005B5C0E" w:rsidRDefault="0062418E" w:rsidP="009E78E1">
      <w:pPr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A47F5A" wp14:editId="40B6634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F3683" w14:textId="6929E479" w:rsidR="005B5C0E" w:rsidRDefault="006241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CIDRP03459</w:t>
                            </w:r>
                            <w:r w:rsidR="008065B4">
                              <w:rPr>
                                <w:noProof/>
                                <w:sz w:val="18"/>
                              </w:rPr>
                              <w:t>F0</w:t>
                            </w:r>
                            <w:r w:rsidR="003C31A8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7F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E9F3683" w14:textId="6929E479" w:rsidR="005B5C0E" w:rsidRDefault="006241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CIDRP03459</w:t>
                      </w:r>
                      <w:r w:rsidR="008065B4">
                        <w:rPr>
                          <w:noProof/>
                          <w:sz w:val="18"/>
                        </w:rPr>
                        <w:t>F0</w:t>
                      </w:r>
                      <w:r w:rsidR="003C31A8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E2D08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EDAC34" wp14:editId="2CAC5AB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15811" w14:textId="5800F2C7" w:rsidR="000E2D08" w:rsidRPr="000E2D08" w:rsidRDefault="000E2D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AC34"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7615811" w14:textId="5800F2C7" w:rsidR="000E2D08" w:rsidRPr="000E2D08" w:rsidRDefault="000E2D0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B5C0E" w:rsidSect="003C31A8"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4CA2" w14:textId="77777777" w:rsidR="0062418E" w:rsidRDefault="0062418E">
      <w:r>
        <w:rPr>
          <w:lang w:val="es"/>
        </w:rPr>
        <w:separator/>
      </w:r>
    </w:p>
  </w:endnote>
  <w:endnote w:type="continuationSeparator" w:id="0">
    <w:p w14:paraId="58272ED6" w14:textId="77777777" w:rsidR="0062418E" w:rsidRDefault="0062418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6144" w14:textId="77777777" w:rsidR="0062418E" w:rsidRDefault="0062418E">
      <w:r>
        <w:rPr>
          <w:lang w:val="es"/>
        </w:rPr>
        <w:separator/>
      </w:r>
    </w:p>
  </w:footnote>
  <w:footnote w:type="continuationSeparator" w:id="0">
    <w:p w14:paraId="1F91B67D" w14:textId="77777777" w:rsidR="0062418E" w:rsidRDefault="0062418E">
      <w:r>
        <w:rPr>
          <w:lang w:val="es"/>
        </w:rPr>
        <w:continuationSeparator/>
      </w:r>
    </w:p>
  </w:footnote>
  <w:footnote w:id="1">
    <w:p w14:paraId="44C86A4D" w14:textId="27309F3F" w:rsidR="00D14D68" w:rsidRPr="003C31A8" w:rsidRDefault="0062418E" w:rsidP="006F55B4">
      <w:pPr>
        <w:ind w:left="720" w:hanging="360"/>
        <w:jc w:val="both"/>
        <w:rPr>
          <w:lang w:val="fr-FR"/>
        </w:rPr>
      </w:pPr>
      <w:r w:rsidRPr="008521F1">
        <w:rPr>
          <w:rStyle w:val="FootnoteReference"/>
          <w:vertAlign w:val="baseline"/>
          <w:lang w:val="fr-FR"/>
        </w:rPr>
        <w:footnoteRef/>
      </w:r>
      <w:r w:rsidRPr="008521F1">
        <w:rPr>
          <w:lang w:val="fr-FR"/>
        </w:rPr>
        <w:t>.</w:t>
      </w:r>
      <w:r w:rsidRPr="008521F1">
        <w:rPr>
          <w:lang w:val="fr-FR"/>
        </w:rPr>
        <w:tab/>
        <w:t>Groupe de travail 1 (G</w:t>
      </w:r>
      <w:r w:rsidR="008502C9">
        <w:rPr>
          <w:lang w:val="fr-FR"/>
        </w:rPr>
        <w:t>T</w:t>
      </w:r>
      <w:r w:rsidRPr="008521F1">
        <w:rPr>
          <w:lang w:val="fr-FR"/>
        </w:rPr>
        <w:t>1)</w:t>
      </w:r>
      <w:r w:rsidR="008502C9">
        <w:rPr>
          <w:lang w:val="fr-FR"/>
        </w:rPr>
        <w:t> </w:t>
      </w:r>
      <w:r w:rsidR="008D7BAD">
        <w:rPr>
          <w:lang w:val="fr-FR"/>
        </w:rPr>
        <w:t>sur les modalités de m</w:t>
      </w:r>
      <w:r w:rsidRPr="008521F1">
        <w:rPr>
          <w:lang w:val="fr-FR"/>
        </w:rPr>
        <w:t>esure</w:t>
      </w:r>
      <w:r w:rsidR="008D7BAD">
        <w:rPr>
          <w:lang w:val="fr-FR"/>
        </w:rPr>
        <w:t xml:space="preserve"> </w:t>
      </w:r>
      <w:r w:rsidRPr="008521F1">
        <w:rPr>
          <w:lang w:val="fr-FR"/>
        </w:rPr>
        <w:t xml:space="preserve">de la pauvreté multidimensionnelle et </w:t>
      </w:r>
      <w:r w:rsidR="008D7BAD">
        <w:rPr>
          <w:lang w:val="fr-FR"/>
        </w:rPr>
        <w:t>l’élaboration</w:t>
      </w:r>
      <w:r w:rsidRPr="008521F1">
        <w:rPr>
          <w:lang w:val="fr-FR"/>
        </w:rPr>
        <w:t xml:space="preserve"> de politiques publiques visant à garantir le bien-être et la jouissance d'une bonne qualité de vie</w:t>
      </w:r>
      <w:r w:rsidR="00F600F9">
        <w:rPr>
          <w:lang w:val="fr-FR"/>
        </w:rPr>
        <w:t>.</w:t>
      </w:r>
      <w:r w:rsidRPr="008521F1">
        <w:rPr>
          <w:lang w:val="fr-FR"/>
        </w:rPr>
        <w:t xml:space="preserve"> </w:t>
      </w:r>
      <w:r w:rsidR="00F600F9">
        <w:rPr>
          <w:lang w:val="fr-FR"/>
        </w:rPr>
        <w:t>La p</w:t>
      </w:r>
      <w:r w:rsidRPr="008521F1">
        <w:rPr>
          <w:lang w:val="fr-FR"/>
        </w:rPr>
        <w:t>résiden</w:t>
      </w:r>
      <w:r w:rsidR="008D7BAD">
        <w:rPr>
          <w:lang w:val="fr-FR"/>
        </w:rPr>
        <w:t>ce</w:t>
      </w:r>
      <w:r w:rsidR="00F600F9">
        <w:rPr>
          <w:lang w:val="fr-FR"/>
        </w:rPr>
        <w:t xml:space="preserve"> du GT1 est assurée par le</w:t>
      </w:r>
      <w:r w:rsidRPr="008521F1">
        <w:rPr>
          <w:lang w:val="fr-FR"/>
        </w:rPr>
        <w:t xml:space="preserve"> Secrétariat du bien-être du Mexique, </w:t>
      </w:r>
      <w:r w:rsidR="00F600F9">
        <w:rPr>
          <w:lang w:val="fr-FR"/>
        </w:rPr>
        <w:t xml:space="preserve">la </w:t>
      </w:r>
      <w:r w:rsidRPr="008521F1">
        <w:rPr>
          <w:lang w:val="fr-FR"/>
        </w:rPr>
        <w:t>vice-présiden</w:t>
      </w:r>
      <w:r w:rsidR="00F600F9">
        <w:rPr>
          <w:lang w:val="fr-FR"/>
        </w:rPr>
        <w:t>ce, par le</w:t>
      </w:r>
      <w:r w:rsidRPr="008521F1">
        <w:rPr>
          <w:lang w:val="fr-FR"/>
        </w:rPr>
        <w:t xml:space="preserve"> </w:t>
      </w:r>
      <w:r w:rsidR="00297DAF">
        <w:rPr>
          <w:lang w:val="fr-FR"/>
        </w:rPr>
        <w:t>M</w:t>
      </w:r>
      <w:r w:rsidRPr="008521F1">
        <w:rPr>
          <w:lang w:val="fr-FR"/>
        </w:rPr>
        <w:t>inistère de l'</w:t>
      </w:r>
      <w:r w:rsidR="00297DAF">
        <w:rPr>
          <w:lang w:val="fr-FR"/>
        </w:rPr>
        <w:t>e</w:t>
      </w:r>
      <w:r w:rsidRPr="008521F1">
        <w:rPr>
          <w:lang w:val="fr-FR"/>
        </w:rPr>
        <w:t xml:space="preserve">mploi et du </w:t>
      </w:r>
      <w:r w:rsidR="00297DAF">
        <w:rPr>
          <w:lang w:val="fr-FR"/>
        </w:rPr>
        <w:t>d</w:t>
      </w:r>
      <w:r w:rsidRPr="008521F1">
        <w:rPr>
          <w:lang w:val="fr-FR"/>
        </w:rPr>
        <w:t xml:space="preserve">éveloppement social du Canada, et les autres membres sont le </w:t>
      </w:r>
      <w:r w:rsidR="00297DAF">
        <w:rPr>
          <w:lang w:val="fr-FR"/>
        </w:rPr>
        <w:t>M</w:t>
      </w:r>
      <w:r w:rsidRPr="008521F1">
        <w:rPr>
          <w:lang w:val="fr-FR"/>
        </w:rPr>
        <w:t xml:space="preserve">inistère du </w:t>
      </w:r>
      <w:r w:rsidR="00297DAF">
        <w:rPr>
          <w:lang w:val="fr-FR"/>
        </w:rPr>
        <w:t>d</w:t>
      </w:r>
      <w:r w:rsidRPr="008521F1">
        <w:rPr>
          <w:lang w:val="fr-FR"/>
        </w:rPr>
        <w:t xml:space="preserve">éveloppement social du Guatemala et le </w:t>
      </w:r>
      <w:r w:rsidR="00297DAF">
        <w:rPr>
          <w:lang w:val="fr-FR"/>
        </w:rPr>
        <w:t>M</w:t>
      </w:r>
      <w:r w:rsidRPr="008521F1">
        <w:rPr>
          <w:lang w:val="fr-FR"/>
        </w:rPr>
        <w:t xml:space="preserve">inistère du </w:t>
      </w:r>
      <w:r w:rsidR="00297DAF">
        <w:rPr>
          <w:lang w:val="fr-FR"/>
        </w:rPr>
        <w:t>d</w:t>
      </w:r>
      <w:r w:rsidRPr="008521F1">
        <w:rPr>
          <w:lang w:val="fr-FR"/>
        </w:rPr>
        <w:t>éveloppement social du Paraguay</w:t>
      </w:r>
      <w:r w:rsidR="00F600F9">
        <w:rPr>
          <w:lang w:val="fr-FR"/>
        </w:rPr>
        <w:t> ;</w:t>
      </w:r>
      <w:r w:rsidRPr="008521F1">
        <w:rPr>
          <w:lang w:val="fr-FR"/>
        </w:rPr>
        <w:t xml:space="preserve"> Groupe de travail 2</w:t>
      </w:r>
      <w:r w:rsidR="008502C9">
        <w:rPr>
          <w:lang w:val="fr-FR"/>
        </w:rPr>
        <w:t xml:space="preserve"> (</w:t>
      </w:r>
      <w:r w:rsidR="008502C9" w:rsidRPr="008521F1">
        <w:rPr>
          <w:lang w:val="fr-FR"/>
        </w:rPr>
        <w:t>G</w:t>
      </w:r>
      <w:r w:rsidR="008502C9">
        <w:rPr>
          <w:lang w:val="fr-FR"/>
        </w:rPr>
        <w:t>T2)</w:t>
      </w:r>
      <w:r w:rsidRPr="008521F1">
        <w:rPr>
          <w:lang w:val="fr-FR"/>
        </w:rPr>
        <w:t xml:space="preserve"> </w:t>
      </w:r>
      <w:r w:rsidR="00F600F9">
        <w:rPr>
          <w:lang w:val="fr-FR"/>
        </w:rPr>
        <w:t>sur les</w:t>
      </w:r>
      <w:r w:rsidRPr="008521F1">
        <w:rPr>
          <w:lang w:val="fr-FR"/>
        </w:rPr>
        <w:t xml:space="preserve"> </w:t>
      </w:r>
      <w:r w:rsidR="00F600F9">
        <w:rPr>
          <w:lang w:val="fr-FR"/>
        </w:rPr>
        <w:t>s</w:t>
      </w:r>
      <w:r w:rsidRPr="008521F1">
        <w:rPr>
          <w:lang w:val="fr-FR"/>
        </w:rPr>
        <w:t>ystèmes de protection sociale qui conduisent au développement social par la réduction de la pauvreté et des inégalités</w:t>
      </w:r>
      <w:r w:rsidR="00F600F9">
        <w:rPr>
          <w:lang w:val="fr-FR"/>
        </w:rPr>
        <w:t>,</w:t>
      </w:r>
      <w:r w:rsidRPr="008521F1">
        <w:rPr>
          <w:lang w:val="fr-FR"/>
        </w:rPr>
        <w:t xml:space="preserve"> et qui é</w:t>
      </w:r>
      <w:r w:rsidR="00A84A6B">
        <w:rPr>
          <w:lang w:val="fr-FR"/>
        </w:rPr>
        <w:t>largiss</w:t>
      </w:r>
      <w:r w:rsidRPr="008521F1">
        <w:rPr>
          <w:lang w:val="fr-FR"/>
        </w:rPr>
        <w:t xml:space="preserve">ent la protection sociale </w:t>
      </w:r>
      <w:r w:rsidR="00F600F9">
        <w:rPr>
          <w:lang w:val="fr-FR"/>
        </w:rPr>
        <w:t>par</w:t>
      </w:r>
      <w:r w:rsidRPr="008521F1">
        <w:rPr>
          <w:lang w:val="fr-FR"/>
        </w:rPr>
        <w:t xml:space="preserve"> une approche </w:t>
      </w:r>
      <w:r w:rsidR="00F600F9">
        <w:rPr>
          <w:lang w:val="fr-FR"/>
        </w:rPr>
        <w:t>intégrée.</w:t>
      </w:r>
      <w:r w:rsidRPr="008521F1">
        <w:rPr>
          <w:lang w:val="fr-FR"/>
        </w:rPr>
        <w:t xml:space="preserve"> </w:t>
      </w:r>
      <w:r w:rsidR="00D60282">
        <w:rPr>
          <w:lang w:val="fr-FR"/>
        </w:rPr>
        <w:t>La p</w:t>
      </w:r>
      <w:r w:rsidRPr="008521F1">
        <w:rPr>
          <w:lang w:val="fr-FR"/>
        </w:rPr>
        <w:t>résiden</w:t>
      </w:r>
      <w:r w:rsidR="00F600F9">
        <w:rPr>
          <w:lang w:val="fr-FR"/>
        </w:rPr>
        <w:t>ce</w:t>
      </w:r>
      <w:r w:rsidRPr="008521F1">
        <w:rPr>
          <w:lang w:val="fr-FR"/>
        </w:rPr>
        <w:t xml:space="preserve"> </w:t>
      </w:r>
      <w:r w:rsidR="00D60282">
        <w:rPr>
          <w:lang w:val="fr-FR"/>
        </w:rPr>
        <w:t>est assurée par le</w:t>
      </w:r>
      <w:r w:rsidRPr="008521F1">
        <w:rPr>
          <w:lang w:val="fr-FR"/>
        </w:rPr>
        <w:t xml:space="preserve"> </w:t>
      </w:r>
      <w:r w:rsidR="00D60282">
        <w:rPr>
          <w:lang w:val="fr-FR"/>
        </w:rPr>
        <w:t>Bureau</w:t>
      </w:r>
      <w:r w:rsidRPr="008521F1">
        <w:rPr>
          <w:lang w:val="fr-FR"/>
        </w:rPr>
        <w:t xml:space="preserve"> de coordination des politiques sociales de la République dominicaine</w:t>
      </w:r>
      <w:r w:rsidR="00D60282">
        <w:rPr>
          <w:lang w:val="fr-FR"/>
        </w:rPr>
        <w:t>, la</w:t>
      </w:r>
      <w:r w:rsidRPr="008521F1">
        <w:rPr>
          <w:lang w:val="fr-FR"/>
        </w:rPr>
        <w:t xml:space="preserve"> </w:t>
      </w:r>
      <w:r w:rsidR="00D60282">
        <w:rPr>
          <w:lang w:val="fr-FR"/>
        </w:rPr>
        <w:t>v</w:t>
      </w:r>
      <w:r w:rsidRPr="008521F1">
        <w:rPr>
          <w:lang w:val="fr-FR"/>
        </w:rPr>
        <w:t>ice-présiden</w:t>
      </w:r>
      <w:r w:rsidR="00F600F9">
        <w:rPr>
          <w:lang w:val="fr-FR"/>
        </w:rPr>
        <w:t>ce</w:t>
      </w:r>
      <w:r w:rsidR="00D60282">
        <w:rPr>
          <w:lang w:val="fr-FR"/>
        </w:rPr>
        <w:t>, par le</w:t>
      </w:r>
      <w:r w:rsidRPr="008521F1">
        <w:rPr>
          <w:lang w:val="fr-FR"/>
        </w:rPr>
        <w:t xml:space="preserve"> Ministère du développement humain et de l'inclusion sociale du Costa Rica</w:t>
      </w:r>
      <w:r w:rsidR="00D60282">
        <w:rPr>
          <w:lang w:val="fr-FR"/>
        </w:rPr>
        <w:t>, et les</w:t>
      </w:r>
      <w:r w:rsidRPr="008521F1">
        <w:rPr>
          <w:lang w:val="fr-FR"/>
        </w:rPr>
        <w:t xml:space="preserve"> </w:t>
      </w:r>
      <w:r w:rsidR="00D60282">
        <w:rPr>
          <w:lang w:val="fr-FR"/>
        </w:rPr>
        <w:t>a</w:t>
      </w:r>
      <w:r w:rsidRPr="008521F1">
        <w:rPr>
          <w:lang w:val="fr-FR"/>
        </w:rPr>
        <w:t xml:space="preserve">utres membres </w:t>
      </w:r>
      <w:r w:rsidR="00D60282">
        <w:rPr>
          <w:lang w:val="fr-FR"/>
        </w:rPr>
        <w:t>sont le</w:t>
      </w:r>
      <w:r w:rsidRPr="008521F1">
        <w:rPr>
          <w:lang w:val="fr-FR"/>
        </w:rPr>
        <w:t xml:space="preserve"> Ministère du développement social du Guatemala,</w:t>
      </w:r>
      <w:r w:rsidR="00D60282">
        <w:rPr>
          <w:lang w:val="fr-FR"/>
        </w:rPr>
        <w:t xml:space="preserve"> le</w:t>
      </w:r>
      <w:r w:rsidRPr="008521F1">
        <w:rPr>
          <w:lang w:val="fr-FR"/>
        </w:rPr>
        <w:t xml:space="preserve"> Ministère du développement social </w:t>
      </w:r>
      <w:r w:rsidR="00424695" w:rsidRPr="008521F1">
        <w:rPr>
          <w:lang w:val="fr-FR"/>
        </w:rPr>
        <w:t xml:space="preserve">du </w:t>
      </w:r>
      <w:r w:rsidRPr="008521F1">
        <w:rPr>
          <w:lang w:val="fr-FR"/>
        </w:rPr>
        <w:t>Paraguay</w:t>
      </w:r>
      <w:r w:rsidR="000E50B8">
        <w:rPr>
          <w:lang w:val="fr-FR"/>
        </w:rPr>
        <w:t>,</w:t>
      </w:r>
      <w:r w:rsidR="00D60282">
        <w:rPr>
          <w:lang w:val="fr-FR"/>
        </w:rPr>
        <w:t xml:space="preserve"> le</w:t>
      </w:r>
      <w:r w:rsidRPr="008521F1">
        <w:rPr>
          <w:lang w:val="fr-FR"/>
        </w:rPr>
        <w:t xml:space="preserve"> Ministère du développement et de l'inclusion sociale </w:t>
      </w:r>
      <w:r w:rsidR="00424695" w:rsidRPr="008521F1">
        <w:rPr>
          <w:lang w:val="fr-FR"/>
        </w:rPr>
        <w:t xml:space="preserve">du </w:t>
      </w:r>
      <w:r w:rsidRPr="008521F1">
        <w:rPr>
          <w:lang w:val="fr-FR"/>
        </w:rPr>
        <w:t>Pérou</w:t>
      </w:r>
      <w:r w:rsidR="000E50B8">
        <w:rPr>
          <w:lang w:val="fr-FR"/>
        </w:rPr>
        <w:t>,</w:t>
      </w:r>
      <w:r w:rsidRPr="008521F1">
        <w:rPr>
          <w:lang w:val="fr-FR"/>
        </w:rPr>
        <w:t xml:space="preserve"> et</w:t>
      </w:r>
      <w:r w:rsidR="000E50B8">
        <w:rPr>
          <w:lang w:val="fr-FR"/>
        </w:rPr>
        <w:t xml:space="preserve"> le</w:t>
      </w:r>
      <w:r w:rsidRPr="008521F1">
        <w:rPr>
          <w:lang w:val="fr-FR"/>
        </w:rPr>
        <w:t xml:space="preserve"> Ministère du développement social </w:t>
      </w:r>
      <w:r w:rsidR="00424695" w:rsidRPr="008521F1">
        <w:rPr>
          <w:lang w:val="fr-FR"/>
        </w:rPr>
        <w:t>de l'</w:t>
      </w:r>
      <w:r w:rsidRPr="008521F1">
        <w:rPr>
          <w:lang w:val="fr-FR"/>
        </w:rPr>
        <w:t xml:space="preserve">Uruguay.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A63" w14:textId="77777777" w:rsidR="005B5C0E" w:rsidRDefault="0062418E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508" w14:textId="77777777" w:rsidR="005B5C0E" w:rsidRDefault="006241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81866F" wp14:editId="3E771F16">
              <wp:simplePos x="0" y="0"/>
              <wp:positionH relativeFrom="column">
                <wp:posOffset>381055</wp:posOffset>
              </wp:positionH>
              <wp:positionV relativeFrom="paragraph">
                <wp:posOffset>-326722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2C5E5" w14:textId="77777777" w:rsidR="005B5C0E" w:rsidRPr="003C31A8" w:rsidRDefault="0062418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3C31A8">
                            <w:rPr>
                              <w:b/>
                              <w:sz w:val="28"/>
                              <w:lang w:val="fr-FR"/>
                            </w:rPr>
                            <w:t xml:space="preserve">ORGANISATION DES ÉTATS AMÉRICAINS </w:t>
                          </w:r>
                        </w:p>
                        <w:p w14:paraId="09BEBC8F" w14:textId="77777777" w:rsidR="005B5C0E" w:rsidRPr="003C31A8" w:rsidRDefault="0062418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FR"/>
                            </w:rPr>
                          </w:pPr>
                          <w:r w:rsidRPr="003C31A8">
                            <w:rPr>
                              <w:b/>
                              <w:szCs w:val="22"/>
                              <w:lang w:val="fr-FR"/>
                            </w:rPr>
                            <w:t xml:space="preserve">Conseil interaméricain pour le développement intégré </w:t>
                          </w:r>
                        </w:p>
                        <w:p w14:paraId="75546FAB" w14:textId="77777777" w:rsidR="005B5C0E" w:rsidRDefault="0062418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86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pt;margin-top:-25.7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" stroked="f">
              <v:textbox>
                <w:txbxContent>
                  <w:p w14:paraId="3092C5E5" w14:textId="77777777" w:rsidR="005B5C0E" w:rsidRPr="003C31A8" w:rsidRDefault="0062418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3C31A8">
                      <w:rPr>
                        <w:b/>
                        <w:sz w:val="28"/>
                        <w:lang w:val="fr-FR"/>
                      </w:rPr>
                      <w:t xml:space="preserve">ORGANISATION DES ÉTATS AMÉRICAINS </w:t>
                    </w:r>
                  </w:p>
                  <w:p w14:paraId="09BEBC8F" w14:textId="77777777" w:rsidR="005B5C0E" w:rsidRPr="003C31A8" w:rsidRDefault="0062418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FR"/>
                      </w:rPr>
                    </w:pPr>
                    <w:r w:rsidRPr="003C31A8">
                      <w:rPr>
                        <w:b/>
                        <w:szCs w:val="22"/>
                        <w:lang w:val="fr-FR"/>
                      </w:rPr>
                      <w:t xml:space="preserve">Conseil interaméricain pour le développement intégré </w:t>
                    </w:r>
                  </w:p>
                  <w:p w14:paraId="75546FAB" w14:textId="77777777" w:rsidR="005B5C0E" w:rsidRDefault="0062418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0A23D" wp14:editId="541CBDB3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B592C" w14:textId="77777777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5F8E5DA" wp14:editId="3896A04E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0A23D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B7B592C" w14:textId="77777777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5F8E5DA" wp14:editId="3896A04E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DA66E11" wp14:editId="24D96D8D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F1565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39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"/>
  </w:num>
  <w:num w:numId="10">
    <w:abstractNumId w:val="20"/>
  </w:num>
  <w:num w:numId="11">
    <w:abstractNumId w:val="25"/>
  </w:num>
  <w:num w:numId="12">
    <w:abstractNumId w:val="41"/>
  </w:num>
  <w:num w:numId="13">
    <w:abstractNumId w:val="19"/>
  </w:num>
  <w:num w:numId="14">
    <w:abstractNumId w:val="33"/>
  </w:num>
  <w:num w:numId="15">
    <w:abstractNumId w:val="18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1"/>
  </w:num>
  <w:num w:numId="20">
    <w:abstractNumId w:val="3"/>
  </w:num>
  <w:num w:numId="21">
    <w:abstractNumId w:val="22"/>
  </w:num>
  <w:num w:numId="22">
    <w:abstractNumId w:val="5"/>
  </w:num>
  <w:num w:numId="23">
    <w:abstractNumId w:val="0"/>
  </w:num>
  <w:num w:numId="24">
    <w:abstractNumId w:val="38"/>
  </w:num>
  <w:num w:numId="25">
    <w:abstractNumId w:val="40"/>
  </w:num>
  <w:num w:numId="26">
    <w:abstractNumId w:val="30"/>
  </w:num>
  <w:num w:numId="27">
    <w:abstractNumId w:val="9"/>
  </w:num>
  <w:num w:numId="28">
    <w:abstractNumId w:val="37"/>
  </w:num>
  <w:num w:numId="29">
    <w:abstractNumId w:val="36"/>
  </w:num>
  <w:num w:numId="30">
    <w:abstractNumId w:val="14"/>
  </w:num>
  <w:num w:numId="31">
    <w:abstractNumId w:val="15"/>
  </w:num>
  <w:num w:numId="32">
    <w:abstractNumId w:val="32"/>
  </w:num>
  <w:num w:numId="33">
    <w:abstractNumId w:val="8"/>
  </w:num>
  <w:num w:numId="34">
    <w:abstractNumId w:val="23"/>
  </w:num>
  <w:num w:numId="35">
    <w:abstractNumId w:val="21"/>
  </w:num>
  <w:num w:numId="36">
    <w:abstractNumId w:val="11"/>
  </w:num>
  <w:num w:numId="37">
    <w:abstractNumId w:val="26"/>
  </w:num>
  <w:num w:numId="38">
    <w:abstractNumId w:val="7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 w:numId="43">
    <w:abstractNumId w:val="28"/>
  </w:num>
  <w:num w:numId="44">
    <w:abstractNumId w:val="1"/>
  </w:num>
  <w:num w:numId="45">
    <w:abstractNumId w:val="1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07576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427B5"/>
    <w:rsid w:val="00043B49"/>
    <w:rsid w:val="00043EF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2D08"/>
    <w:rsid w:val="000E313E"/>
    <w:rsid w:val="000E439E"/>
    <w:rsid w:val="000E50B8"/>
    <w:rsid w:val="000E6C8E"/>
    <w:rsid w:val="000F3A74"/>
    <w:rsid w:val="000F649C"/>
    <w:rsid w:val="00100FE1"/>
    <w:rsid w:val="001010F8"/>
    <w:rsid w:val="0010142B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4774"/>
    <w:rsid w:val="001463F0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8F2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9A8"/>
    <w:rsid w:val="00292E95"/>
    <w:rsid w:val="00297DAF"/>
    <w:rsid w:val="002A03E9"/>
    <w:rsid w:val="002A1985"/>
    <w:rsid w:val="002A1CB2"/>
    <w:rsid w:val="002A1D17"/>
    <w:rsid w:val="002A37EC"/>
    <w:rsid w:val="002A3C38"/>
    <w:rsid w:val="002A3CB5"/>
    <w:rsid w:val="002A63EC"/>
    <w:rsid w:val="002B0898"/>
    <w:rsid w:val="002B2DE0"/>
    <w:rsid w:val="002B44E1"/>
    <w:rsid w:val="002C12AA"/>
    <w:rsid w:val="002C6B0D"/>
    <w:rsid w:val="002D159C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B58B4"/>
    <w:rsid w:val="003C17C7"/>
    <w:rsid w:val="003C213C"/>
    <w:rsid w:val="003C31A8"/>
    <w:rsid w:val="003C332F"/>
    <w:rsid w:val="003C448A"/>
    <w:rsid w:val="003D0721"/>
    <w:rsid w:val="003D13AD"/>
    <w:rsid w:val="003D2362"/>
    <w:rsid w:val="003D2462"/>
    <w:rsid w:val="003D4305"/>
    <w:rsid w:val="003D6278"/>
    <w:rsid w:val="003D7152"/>
    <w:rsid w:val="003E687F"/>
    <w:rsid w:val="003F023D"/>
    <w:rsid w:val="003F4FA0"/>
    <w:rsid w:val="003F5423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77A3C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965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0917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C0E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2418E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15A9"/>
    <w:rsid w:val="00663D49"/>
    <w:rsid w:val="00663FF7"/>
    <w:rsid w:val="00665B0A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537D"/>
    <w:rsid w:val="006E6990"/>
    <w:rsid w:val="006F0712"/>
    <w:rsid w:val="006F1262"/>
    <w:rsid w:val="006F4488"/>
    <w:rsid w:val="006F55B4"/>
    <w:rsid w:val="006F6D5F"/>
    <w:rsid w:val="007026A5"/>
    <w:rsid w:val="007032D4"/>
    <w:rsid w:val="007051B5"/>
    <w:rsid w:val="00712521"/>
    <w:rsid w:val="0071273E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7C0F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3FA1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065B4"/>
    <w:rsid w:val="00812E45"/>
    <w:rsid w:val="00815A1F"/>
    <w:rsid w:val="00820F66"/>
    <w:rsid w:val="00821E7C"/>
    <w:rsid w:val="0082268A"/>
    <w:rsid w:val="008260C9"/>
    <w:rsid w:val="00827358"/>
    <w:rsid w:val="008365F4"/>
    <w:rsid w:val="00836740"/>
    <w:rsid w:val="00836CCC"/>
    <w:rsid w:val="0084046A"/>
    <w:rsid w:val="00845965"/>
    <w:rsid w:val="008502C9"/>
    <w:rsid w:val="0085184E"/>
    <w:rsid w:val="008521F1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0565"/>
    <w:rsid w:val="008A2F14"/>
    <w:rsid w:val="008A34DD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D7BAD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A6D"/>
    <w:rsid w:val="009708DF"/>
    <w:rsid w:val="00970B2C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E78E1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2E4A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3EC"/>
    <w:rsid w:val="00A65508"/>
    <w:rsid w:val="00A67CD8"/>
    <w:rsid w:val="00A72B6B"/>
    <w:rsid w:val="00A734B5"/>
    <w:rsid w:val="00A74B2B"/>
    <w:rsid w:val="00A81E45"/>
    <w:rsid w:val="00A83949"/>
    <w:rsid w:val="00A840AC"/>
    <w:rsid w:val="00A842A2"/>
    <w:rsid w:val="00A84A6B"/>
    <w:rsid w:val="00A851C2"/>
    <w:rsid w:val="00A86D6C"/>
    <w:rsid w:val="00A870BA"/>
    <w:rsid w:val="00A9203C"/>
    <w:rsid w:val="00A924FE"/>
    <w:rsid w:val="00A93909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13EF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7C3E"/>
    <w:rsid w:val="00BF1293"/>
    <w:rsid w:val="00BF3B28"/>
    <w:rsid w:val="00BF5B49"/>
    <w:rsid w:val="00C02DB7"/>
    <w:rsid w:val="00C02DEE"/>
    <w:rsid w:val="00C038F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0019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82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93F"/>
    <w:rsid w:val="00E12BDF"/>
    <w:rsid w:val="00E16177"/>
    <w:rsid w:val="00E16E92"/>
    <w:rsid w:val="00E209E8"/>
    <w:rsid w:val="00E22A0F"/>
    <w:rsid w:val="00E23168"/>
    <w:rsid w:val="00E24018"/>
    <w:rsid w:val="00E24342"/>
    <w:rsid w:val="00E2628E"/>
    <w:rsid w:val="00E3284A"/>
    <w:rsid w:val="00E351A1"/>
    <w:rsid w:val="00E40079"/>
    <w:rsid w:val="00E40D0E"/>
    <w:rsid w:val="00E411AD"/>
    <w:rsid w:val="00E423A7"/>
    <w:rsid w:val="00E44DC1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092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2E6C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00F9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AA7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remdesiv/Documentos/CIDES00183S02.DO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>, docId:FE259C10825B1BAC71714CF2D1FF3E63</cp:keywords>
  <cp:lastModifiedBy>Diaz - Avalos,  Estela</cp:lastModifiedBy>
  <cp:revision>4</cp:revision>
  <cp:lastPrinted>2021-06-15T17:56:00Z</cp:lastPrinted>
  <dcterms:created xsi:type="dcterms:W3CDTF">2022-02-22T21:01:00Z</dcterms:created>
  <dcterms:modified xsi:type="dcterms:W3CDTF">2022-02-22T21:07:00Z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