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34789492" w:rsidR="00722693" w:rsidRPr="00D14D68" w:rsidRDefault="00FA607C" w:rsidP="00D14D6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D14D68">
        <w:rPr>
          <w:sz w:val="22"/>
          <w:szCs w:val="22"/>
          <w:lang w:val="es"/>
        </w:rPr>
        <w:tab/>
      </w:r>
      <w:r w:rsidRPr="00D14D68">
        <w:rPr>
          <w:sz w:val="22"/>
          <w:szCs w:val="22"/>
          <w:lang w:val="pt-BR"/>
        </w:rPr>
        <w:t>OEA/</w:t>
      </w:r>
      <w:r w:rsidR="00246862" w:rsidRPr="00D14D68">
        <w:rPr>
          <w:sz w:val="22"/>
          <w:szCs w:val="22"/>
          <w:lang w:val="pt-BR"/>
        </w:rPr>
        <w:t>Ser.W</w:t>
      </w:r>
    </w:p>
    <w:p w14:paraId="47887D17" w14:textId="0E313CB3" w:rsidR="00722693" w:rsidRPr="00EC77E1" w:rsidRDefault="00FA607C" w:rsidP="00D14D6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D14D68">
        <w:rPr>
          <w:sz w:val="22"/>
          <w:szCs w:val="22"/>
          <w:lang w:val="pt-BR"/>
        </w:rPr>
        <w:tab/>
      </w:r>
      <w:r w:rsidRPr="00EC77E1">
        <w:rPr>
          <w:sz w:val="22"/>
          <w:szCs w:val="22"/>
          <w:lang w:val="pt-BR"/>
        </w:rPr>
        <w:t>CIDI/</w:t>
      </w:r>
      <w:r w:rsidR="00D14D68" w:rsidRPr="00EC77E1">
        <w:rPr>
          <w:sz w:val="22"/>
          <w:szCs w:val="22"/>
          <w:lang w:val="pt-BR"/>
        </w:rPr>
        <w:t>doc.</w:t>
      </w:r>
      <w:r w:rsidR="00EC77E1">
        <w:rPr>
          <w:sz w:val="22"/>
          <w:szCs w:val="22"/>
          <w:lang w:val="pt-BR"/>
        </w:rPr>
        <w:t xml:space="preserve"> 342</w:t>
      </w:r>
      <w:r w:rsidR="00246862" w:rsidRPr="00EC77E1">
        <w:rPr>
          <w:sz w:val="22"/>
          <w:szCs w:val="22"/>
          <w:lang w:val="pt-BR"/>
        </w:rPr>
        <w:t>/22</w:t>
      </w:r>
      <w:r w:rsidR="0083249C">
        <w:rPr>
          <w:sz w:val="22"/>
          <w:szCs w:val="22"/>
          <w:lang w:val="pt-BR"/>
        </w:rPr>
        <w:t xml:space="preserve"> rev.1</w:t>
      </w:r>
    </w:p>
    <w:p w14:paraId="5A33C6A7" w14:textId="3B516249" w:rsidR="00921E9E" w:rsidRPr="00D14D68" w:rsidRDefault="00FA607C" w:rsidP="00D14D68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EC77E1">
        <w:rPr>
          <w:sz w:val="22"/>
          <w:szCs w:val="22"/>
          <w:lang w:val="pt-BR"/>
        </w:rPr>
        <w:tab/>
      </w:r>
      <w:r w:rsidR="0083249C">
        <w:rPr>
          <w:sz w:val="22"/>
          <w:szCs w:val="22"/>
          <w:lang w:val="es-US"/>
        </w:rPr>
        <w:t xml:space="preserve">22 </w:t>
      </w:r>
      <w:r w:rsidR="005D5A6F" w:rsidRPr="00D14D68">
        <w:rPr>
          <w:sz w:val="22"/>
          <w:szCs w:val="22"/>
          <w:lang w:val="es"/>
        </w:rPr>
        <w:t>febrero</w:t>
      </w:r>
      <w:r w:rsidR="00EA008C" w:rsidRPr="00D14D68">
        <w:rPr>
          <w:sz w:val="22"/>
          <w:szCs w:val="22"/>
          <w:lang w:val="es"/>
        </w:rPr>
        <w:t xml:space="preserve"> </w:t>
      </w:r>
      <w:r w:rsidR="004A7C48" w:rsidRPr="00D14D68">
        <w:rPr>
          <w:sz w:val="22"/>
          <w:szCs w:val="22"/>
          <w:lang w:val="es"/>
        </w:rPr>
        <w:t>202</w:t>
      </w:r>
      <w:r w:rsidR="00D956FD" w:rsidRPr="00D14D68">
        <w:rPr>
          <w:sz w:val="22"/>
          <w:szCs w:val="22"/>
          <w:lang w:val="es"/>
        </w:rPr>
        <w:t>2</w:t>
      </w:r>
    </w:p>
    <w:p w14:paraId="0F58D2B5" w14:textId="24BEBB87" w:rsidR="00921E9E" w:rsidRPr="00D14D68" w:rsidRDefault="00FA607C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D14D68">
        <w:rPr>
          <w:sz w:val="22"/>
          <w:szCs w:val="22"/>
          <w:lang w:val="es"/>
        </w:rPr>
        <w:tab/>
        <w:t xml:space="preserve">Original: </w:t>
      </w:r>
      <w:r w:rsidR="00D956FD" w:rsidRPr="00D14D68">
        <w:rPr>
          <w:sz w:val="22"/>
          <w:szCs w:val="22"/>
          <w:lang w:val="es"/>
        </w:rPr>
        <w:t>español</w:t>
      </w:r>
    </w:p>
    <w:p w14:paraId="5D981BA8" w14:textId="77777777" w:rsidR="00921E9E" w:rsidRPr="00D14D68" w:rsidRDefault="00921E9E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7257A886" w14:textId="27E91A69" w:rsidR="00D14D68" w:rsidRPr="00D14D68" w:rsidRDefault="00D14D68" w:rsidP="00D14D68">
      <w:pPr>
        <w:jc w:val="center"/>
        <w:rPr>
          <w:sz w:val="22"/>
          <w:szCs w:val="22"/>
          <w:lang w:val="es-ES_tradnl"/>
        </w:rPr>
      </w:pPr>
    </w:p>
    <w:p w14:paraId="045DC7BB" w14:textId="7684581B" w:rsidR="00D14D68" w:rsidRDefault="00D14D68" w:rsidP="00D14D68">
      <w:pPr>
        <w:jc w:val="center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 xml:space="preserve">ESTADO DE EJECUCIÓN DEL CICLO </w:t>
      </w:r>
      <w:r w:rsidR="00424695">
        <w:rPr>
          <w:b/>
          <w:bCs/>
          <w:sz w:val="22"/>
          <w:szCs w:val="22"/>
          <w:lang w:val="es-ES_tradnl"/>
        </w:rPr>
        <w:t>MINISTERIAL TRIENAL</w:t>
      </w:r>
    </w:p>
    <w:p w14:paraId="0535C1A5" w14:textId="77777777" w:rsidR="00424695" w:rsidRDefault="00424695" w:rsidP="00D14D68">
      <w:pPr>
        <w:jc w:val="center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 xml:space="preserve">DEL PROCESO </w:t>
      </w:r>
      <w:r w:rsidR="00D14D68">
        <w:rPr>
          <w:b/>
          <w:bCs/>
          <w:sz w:val="22"/>
          <w:szCs w:val="22"/>
          <w:lang w:val="es-ES_tradnl"/>
        </w:rPr>
        <w:t>SECTOR</w:t>
      </w:r>
      <w:r>
        <w:rPr>
          <w:b/>
          <w:bCs/>
          <w:sz w:val="22"/>
          <w:szCs w:val="22"/>
          <w:lang w:val="es-ES_tradnl"/>
        </w:rPr>
        <w:t xml:space="preserve">IAL </w:t>
      </w:r>
      <w:r w:rsidR="00D14D68">
        <w:rPr>
          <w:b/>
          <w:bCs/>
          <w:sz w:val="22"/>
          <w:szCs w:val="22"/>
          <w:lang w:val="es-ES_tradnl"/>
        </w:rPr>
        <w:t xml:space="preserve">DE DESARROLLO SOCIAL </w:t>
      </w:r>
    </w:p>
    <w:p w14:paraId="05BF2DAC" w14:textId="10904E62" w:rsidR="00D14D68" w:rsidRPr="00D14D68" w:rsidRDefault="00D14D68" w:rsidP="00D14D68">
      <w:pPr>
        <w:jc w:val="center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 xml:space="preserve">Y </w:t>
      </w:r>
      <w:r w:rsidR="0083249C">
        <w:rPr>
          <w:b/>
          <w:bCs/>
          <w:sz w:val="22"/>
          <w:szCs w:val="22"/>
          <w:lang w:val="es-ES_tradnl"/>
        </w:rPr>
        <w:t>A</w:t>
      </w:r>
      <w:r w:rsidRPr="00D14D68">
        <w:rPr>
          <w:b/>
          <w:bCs/>
          <w:sz w:val="22"/>
          <w:szCs w:val="22"/>
          <w:lang w:val="es-ES_tradnl"/>
        </w:rPr>
        <w:t xml:space="preserve">JUSTES AL CALENDARIO </w:t>
      </w:r>
    </w:p>
    <w:p w14:paraId="1247D91B" w14:textId="77777777" w:rsidR="00D14D68" w:rsidRPr="00D14D68" w:rsidRDefault="00D14D68" w:rsidP="00D14D68">
      <w:pPr>
        <w:rPr>
          <w:b/>
          <w:bCs/>
          <w:sz w:val="22"/>
          <w:szCs w:val="22"/>
          <w:lang w:val="es-ES_tradnl"/>
        </w:rPr>
      </w:pPr>
    </w:p>
    <w:p w14:paraId="7C1D7FCA" w14:textId="56CADFB4" w:rsidR="00D14D68" w:rsidRPr="00D14D68" w:rsidRDefault="00D14D68" w:rsidP="00D14D68">
      <w:pPr>
        <w:jc w:val="center"/>
        <w:rPr>
          <w:sz w:val="22"/>
          <w:szCs w:val="22"/>
          <w:lang w:val="es-ES_tradnl"/>
        </w:rPr>
      </w:pPr>
      <w:r w:rsidRPr="00D14D68">
        <w:rPr>
          <w:sz w:val="22"/>
          <w:szCs w:val="22"/>
          <w:lang w:val="es-ES_tradnl"/>
        </w:rPr>
        <w:t>(</w:t>
      </w:r>
      <w:r w:rsidR="0083249C">
        <w:rPr>
          <w:sz w:val="22"/>
          <w:szCs w:val="22"/>
          <w:lang w:val="es-ES_tradnl"/>
        </w:rPr>
        <w:t>Aprobado por el CIDI durante la reunión ordinaria celebrada el 22 de febrero de 2022</w:t>
      </w:r>
      <w:r w:rsidRPr="00D14D68">
        <w:rPr>
          <w:sz w:val="22"/>
          <w:szCs w:val="22"/>
          <w:lang w:val="es-ES_tradnl"/>
        </w:rPr>
        <w:t>)</w:t>
      </w:r>
    </w:p>
    <w:p w14:paraId="12BC5914" w14:textId="0B1BB57C" w:rsidR="00D14D68" w:rsidRDefault="00D14D68" w:rsidP="00D14D68">
      <w:pPr>
        <w:jc w:val="center"/>
        <w:rPr>
          <w:sz w:val="22"/>
          <w:szCs w:val="22"/>
          <w:lang w:val="es-ES_tradnl"/>
        </w:rPr>
      </w:pPr>
    </w:p>
    <w:p w14:paraId="410E0C25" w14:textId="77777777" w:rsidR="0083249C" w:rsidRPr="00D14D68" w:rsidRDefault="0083249C" w:rsidP="00D14D68">
      <w:pPr>
        <w:jc w:val="center"/>
        <w:rPr>
          <w:sz w:val="22"/>
          <w:szCs w:val="22"/>
          <w:lang w:val="es-ES_tradnl"/>
        </w:rPr>
      </w:pPr>
    </w:p>
    <w:p w14:paraId="6FF3C947" w14:textId="585AF886" w:rsidR="00D14D68" w:rsidRPr="00D14D68" w:rsidRDefault="00D14D68" w:rsidP="00D14D68">
      <w:pPr>
        <w:tabs>
          <w:tab w:val="left" w:pos="720"/>
        </w:tabs>
        <w:jc w:val="both"/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ab/>
      </w:r>
      <w:r w:rsidRPr="00D14D68">
        <w:rPr>
          <w:sz w:val="22"/>
          <w:szCs w:val="22"/>
          <w:lang w:val="es-PY"/>
        </w:rPr>
        <w:t xml:space="preserve">Como se ha informado previamente en reuniones </w:t>
      </w:r>
      <w:r>
        <w:rPr>
          <w:sz w:val="22"/>
          <w:szCs w:val="22"/>
          <w:lang w:val="es-PY"/>
        </w:rPr>
        <w:t xml:space="preserve">tanto </w:t>
      </w:r>
      <w:r w:rsidRPr="00D14D68">
        <w:rPr>
          <w:sz w:val="22"/>
          <w:szCs w:val="22"/>
          <w:lang w:val="es-PY"/>
        </w:rPr>
        <w:t>del Consejo Interamericano para el Desarrollo Integral (CIDI)</w:t>
      </w:r>
      <w:r>
        <w:rPr>
          <w:sz w:val="22"/>
          <w:szCs w:val="22"/>
          <w:lang w:val="es-PY"/>
        </w:rPr>
        <w:t xml:space="preserve"> como de</w:t>
      </w:r>
      <w:r w:rsidRPr="00D14D68">
        <w:rPr>
          <w:sz w:val="22"/>
          <w:szCs w:val="22"/>
          <w:lang w:val="es-PY"/>
        </w:rPr>
        <w:t xml:space="preserve"> sus comisiones en las que ha participado la Secretaría Técnica del Proceso Ministerial de Desarrollo Social (SARE/DIS), el ciclo </w:t>
      </w:r>
      <w:r>
        <w:rPr>
          <w:sz w:val="22"/>
          <w:szCs w:val="22"/>
          <w:lang w:val="es-PY"/>
        </w:rPr>
        <w:t xml:space="preserve">trienal </w:t>
      </w:r>
      <w:r w:rsidRPr="00D14D68">
        <w:rPr>
          <w:sz w:val="22"/>
          <w:szCs w:val="22"/>
          <w:lang w:val="es-PY"/>
        </w:rPr>
        <w:t xml:space="preserve">ministerial de desarrollo social ha tenido un retraso según los plazos establecidos </w:t>
      </w:r>
      <w:r>
        <w:rPr>
          <w:sz w:val="22"/>
          <w:szCs w:val="22"/>
          <w:lang w:val="es-PY"/>
        </w:rPr>
        <w:t xml:space="preserve">en </w:t>
      </w:r>
      <w:r w:rsidRPr="00D14D68">
        <w:rPr>
          <w:sz w:val="22"/>
          <w:szCs w:val="22"/>
          <w:lang w:val="es-PY"/>
        </w:rPr>
        <w:t>los “Lineamientos Generales para los Procesos Sectoriales a nivel Ministerial en el ámbito del CIDI” (CIDI/doc.228/17).</w:t>
      </w:r>
    </w:p>
    <w:p w14:paraId="767D9C8E" w14:textId="77777777" w:rsidR="00D14D68" w:rsidRPr="00D14D68" w:rsidRDefault="00D14D68" w:rsidP="00D14D68">
      <w:pPr>
        <w:ind w:firstLine="708"/>
        <w:jc w:val="both"/>
        <w:rPr>
          <w:sz w:val="22"/>
          <w:szCs w:val="22"/>
          <w:lang w:val="es-PY"/>
        </w:rPr>
      </w:pPr>
    </w:p>
    <w:p w14:paraId="4BEBE5DA" w14:textId="77777777" w:rsidR="00D14D68" w:rsidRPr="00D14D68" w:rsidRDefault="00D14D68" w:rsidP="00D14D68">
      <w:pPr>
        <w:ind w:firstLine="720"/>
        <w:jc w:val="both"/>
        <w:rPr>
          <w:sz w:val="22"/>
          <w:szCs w:val="22"/>
          <w:lang w:val="es-PY"/>
        </w:rPr>
      </w:pPr>
      <w:r w:rsidRPr="00D14D68">
        <w:rPr>
          <w:sz w:val="22"/>
          <w:szCs w:val="22"/>
          <w:lang w:val="es-PY"/>
        </w:rPr>
        <w:t>Este retraso se debe, entre otros, a los siguientes motivos:</w:t>
      </w:r>
    </w:p>
    <w:p w14:paraId="33DDB62F" w14:textId="77777777" w:rsidR="00D14D68" w:rsidRPr="00D14D68" w:rsidRDefault="00D14D68" w:rsidP="00D14D68">
      <w:pPr>
        <w:jc w:val="both"/>
        <w:rPr>
          <w:sz w:val="22"/>
          <w:szCs w:val="22"/>
          <w:lang w:val="es-PY"/>
        </w:rPr>
      </w:pPr>
    </w:p>
    <w:p w14:paraId="5BA308AE" w14:textId="5A1C8B8E" w:rsidR="00D14D68" w:rsidRPr="00D14D68" w:rsidRDefault="00D14D68" w:rsidP="00D14D68">
      <w:pPr>
        <w:ind w:firstLine="720"/>
        <w:jc w:val="both"/>
        <w:rPr>
          <w:sz w:val="22"/>
          <w:szCs w:val="22"/>
          <w:lang w:val="es-PY"/>
        </w:rPr>
      </w:pPr>
      <w:r w:rsidRPr="00D14D68">
        <w:rPr>
          <w:sz w:val="22"/>
          <w:szCs w:val="22"/>
          <w:lang w:val="es-PY"/>
        </w:rPr>
        <w:t xml:space="preserve">En primer lugar, la </w:t>
      </w:r>
      <w:r>
        <w:rPr>
          <w:sz w:val="22"/>
          <w:szCs w:val="22"/>
          <w:lang w:val="es-PY"/>
        </w:rPr>
        <w:t>p</w:t>
      </w:r>
      <w:r w:rsidRPr="00D14D68">
        <w:rPr>
          <w:sz w:val="22"/>
          <w:szCs w:val="22"/>
          <w:lang w:val="es-PY"/>
        </w:rPr>
        <w:t xml:space="preserve">andemia </w:t>
      </w:r>
      <w:r>
        <w:rPr>
          <w:sz w:val="22"/>
          <w:szCs w:val="22"/>
          <w:lang w:val="es-PY"/>
        </w:rPr>
        <w:t>g</w:t>
      </w:r>
      <w:r w:rsidRPr="00D14D68">
        <w:rPr>
          <w:sz w:val="22"/>
          <w:szCs w:val="22"/>
          <w:lang w:val="es-PY"/>
        </w:rPr>
        <w:t>lobal por COVID-19 declarada así por la Organización Mundial de la Salud (OMS) en marzo de 2020</w:t>
      </w:r>
      <w:r>
        <w:rPr>
          <w:sz w:val="22"/>
          <w:szCs w:val="22"/>
          <w:lang w:val="es-PY"/>
        </w:rPr>
        <w:t>,</w:t>
      </w:r>
      <w:r w:rsidRPr="00D14D68">
        <w:rPr>
          <w:sz w:val="22"/>
          <w:szCs w:val="22"/>
          <w:lang w:val="es-PY"/>
        </w:rPr>
        <w:t xml:space="preserve"> </w:t>
      </w:r>
      <w:r w:rsidRPr="00D14D68">
        <w:rPr>
          <w:sz w:val="22"/>
          <w:szCs w:val="22"/>
          <w:lang w:val="es-US"/>
        </w:rPr>
        <w:t>provocó importantes presiones sobre la capacidad de respuesta de todas las instituciones de gobierno</w:t>
      </w:r>
      <w:r>
        <w:rPr>
          <w:sz w:val="22"/>
          <w:szCs w:val="22"/>
          <w:lang w:val="es-US"/>
        </w:rPr>
        <w:t xml:space="preserve"> y,</w:t>
      </w:r>
      <w:r w:rsidRPr="00D14D68">
        <w:rPr>
          <w:sz w:val="22"/>
          <w:szCs w:val="22"/>
          <w:lang w:val="es-US"/>
        </w:rPr>
        <w:t xml:space="preserve"> en particular, </w:t>
      </w:r>
      <w:r w:rsidRPr="00D14D68">
        <w:rPr>
          <w:sz w:val="22"/>
          <w:szCs w:val="22"/>
          <w:lang w:val="es-PY"/>
        </w:rPr>
        <w:t>de las instituciones contraparte de este proceso ministerial (Ministerios de Desarrollo Social), las cuales debieron priorizar la atención a los retos de protección social a nivel nacional producto de la pandemia y a la sobrecarga de demandas que enfrentaron, afectando así sus posibilidades de avanzar en la implementación de las fases del ciclo ministerial en los plazos definidos</w:t>
      </w:r>
      <w:r>
        <w:rPr>
          <w:sz w:val="22"/>
          <w:szCs w:val="22"/>
          <w:lang w:val="es-PY"/>
        </w:rPr>
        <w:t>.</w:t>
      </w:r>
    </w:p>
    <w:p w14:paraId="1890F2B9" w14:textId="77777777" w:rsidR="00D14D68" w:rsidRPr="00D14D68" w:rsidRDefault="00D14D68" w:rsidP="00D14D68">
      <w:pPr>
        <w:jc w:val="both"/>
        <w:rPr>
          <w:sz w:val="22"/>
          <w:szCs w:val="22"/>
          <w:lang w:val="es-PY"/>
        </w:rPr>
      </w:pPr>
    </w:p>
    <w:p w14:paraId="0BBC722F" w14:textId="3A01E185" w:rsidR="00D14D68" w:rsidRPr="00D14D68" w:rsidRDefault="00D14D68" w:rsidP="00D14D68">
      <w:pPr>
        <w:ind w:firstLine="720"/>
        <w:jc w:val="both"/>
        <w:rPr>
          <w:sz w:val="22"/>
          <w:szCs w:val="22"/>
          <w:lang w:val="es-PY"/>
        </w:rPr>
      </w:pPr>
      <w:r w:rsidRPr="00D14D68">
        <w:rPr>
          <w:sz w:val="22"/>
          <w:szCs w:val="22"/>
          <w:lang w:val="es-PY"/>
        </w:rPr>
        <w:t>En segundo lugar, la conformación de los Grupos de Trabajo para la implementación del Plan de Acción de Guatemala tomó tiempo ya que requirió un extenso e importante trabajo de socialización y convocatoria a cada uno de los países que hoy integran los mismos. En particular, esto se debe principalmente a que el Plan de Acción de Guatemala es el primer Plan de Acción de Desarrollo Social que se ha aprobado en el ámbito de la O</w:t>
      </w:r>
      <w:r>
        <w:rPr>
          <w:sz w:val="22"/>
          <w:szCs w:val="22"/>
          <w:lang w:val="es-PY"/>
        </w:rPr>
        <w:t xml:space="preserve">rganización de los </w:t>
      </w:r>
      <w:r w:rsidRPr="00D14D68">
        <w:rPr>
          <w:sz w:val="22"/>
          <w:szCs w:val="22"/>
          <w:lang w:val="es-PY"/>
        </w:rPr>
        <w:t>E</w:t>
      </w:r>
      <w:r>
        <w:rPr>
          <w:sz w:val="22"/>
          <w:szCs w:val="22"/>
          <w:lang w:val="es-PY"/>
        </w:rPr>
        <w:t xml:space="preserve">stados </w:t>
      </w:r>
      <w:r w:rsidRPr="00D14D68">
        <w:rPr>
          <w:sz w:val="22"/>
          <w:szCs w:val="22"/>
          <w:lang w:val="es-PY"/>
        </w:rPr>
        <w:t>A</w:t>
      </w:r>
      <w:r>
        <w:rPr>
          <w:sz w:val="22"/>
          <w:szCs w:val="22"/>
          <w:lang w:val="es-PY"/>
        </w:rPr>
        <w:t>mericanos</w:t>
      </w:r>
      <w:r w:rsidRPr="00D14D68">
        <w:rPr>
          <w:sz w:val="22"/>
          <w:szCs w:val="22"/>
          <w:lang w:val="es-PY"/>
        </w:rPr>
        <w:t xml:space="preserve">, por lo que fue necesario llevar a cabo varios esfuerzos de socialización de sus contenidos entre las autoridades sectoriales de desarrollo social, y animar a las autoridades para ser parte y tomar el liderazgo de </w:t>
      </w:r>
      <w:proofErr w:type="gramStart"/>
      <w:r w:rsidRPr="00D14D68">
        <w:rPr>
          <w:sz w:val="22"/>
          <w:szCs w:val="22"/>
          <w:lang w:val="es-PY"/>
        </w:rPr>
        <w:t>los mismos</w:t>
      </w:r>
      <w:proofErr w:type="gramEnd"/>
      <w:r w:rsidRPr="00D14D68">
        <w:rPr>
          <w:sz w:val="22"/>
          <w:szCs w:val="22"/>
          <w:lang w:val="es-PY"/>
        </w:rPr>
        <w:t>. Los dos Grupos de Trabajo</w:t>
      </w:r>
      <w:r w:rsidRPr="00D14D68">
        <w:rPr>
          <w:rStyle w:val="FootnoteReference"/>
          <w:sz w:val="22"/>
          <w:szCs w:val="22"/>
          <w:u w:val="single"/>
          <w:lang w:val="es-PY"/>
        </w:rPr>
        <w:footnoteReference w:id="1"/>
      </w:r>
      <w:r w:rsidRPr="00D14D68">
        <w:rPr>
          <w:sz w:val="22"/>
          <w:szCs w:val="22"/>
          <w:vertAlign w:val="superscript"/>
          <w:lang w:val="es-PY"/>
        </w:rPr>
        <w:t>/</w:t>
      </w:r>
      <w:r w:rsidRPr="00D14D68">
        <w:rPr>
          <w:sz w:val="22"/>
          <w:szCs w:val="22"/>
          <w:lang w:val="es-PY"/>
        </w:rPr>
        <w:t>se llegaron a conformar a finales de 2019</w:t>
      </w:r>
      <w:r>
        <w:rPr>
          <w:sz w:val="22"/>
          <w:szCs w:val="22"/>
          <w:lang w:val="es-PY"/>
        </w:rPr>
        <w:t>.</w:t>
      </w:r>
    </w:p>
    <w:p w14:paraId="577539C8" w14:textId="68CA9758" w:rsidR="00D14D68" w:rsidRPr="00D14D68" w:rsidRDefault="00D14D68" w:rsidP="00D14D68">
      <w:pPr>
        <w:ind w:firstLine="720"/>
        <w:jc w:val="both"/>
        <w:rPr>
          <w:sz w:val="22"/>
          <w:szCs w:val="22"/>
          <w:lang w:val="es-PY"/>
        </w:rPr>
      </w:pPr>
      <w:r w:rsidRPr="00D14D68">
        <w:rPr>
          <w:sz w:val="22"/>
          <w:szCs w:val="22"/>
          <w:lang w:val="es-PY"/>
        </w:rPr>
        <w:lastRenderedPageBreak/>
        <w:t xml:space="preserve">A pesar de estos obstáculos, las autoridades de la Comisión Interamericana de Desarrollo Social (CIDES) y de la TROIKA, conformada por Paraguay, Guatemala y República Dominicana reafirmaron su compromiso con la implementación del Plan de Acción de Guatemala y llevaron a cabo múltiples reuniones de trabajo virtuales en las que elaboraron un Plan de Trabajo que se aprobó en abril </w:t>
      </w:r>
      <w:r>
        <w:rPr>
          <w:sz w:val="22"/>
          <w:szCs w:val="22"/>
          <w:lang w:val="es-PY"/>
        </w:rPr>
        <w:t xml:space="preserve">de </w:t>
      </w:r>
      <w:r w:rsidRPr="00D14D68">
        <w:rPr>
          <w:sz w:val="22"/>
          <w:szCs w:val="22"/>
          <w:lang w:val="es-PY"/>
        </w:rPr>
        <w:t>2021 (CIDI/CIDES/RPA/doc.3/21 rev.1).</w:t>
      </w:r>
    </w:p>
    <w:p w14:paraId="47369D26" w14:textId="77777777" w:rsidR="00D14D68" w:rsidRPr="00D14D68" w:rsidRDefault="00D14D68" w:rsidP="00D14D68">
      <w:pPr>
        <w:ind w:firstLine="708"/>
        <w:jc w:val="both"/>
        <w:rPr>
          <w:sz w:val="22"/>
          <w:szCs w:val="22"/>
          <w:lang w:val="es-PY"/>
        </w:rPr>
      </w:pPr>
    </w:p>
    <w:p w14:paraId="15379F70" w14:textId="57709219" w:rsidR="00D14D68" w:rsidRPr="00D14D68" w:rsidRDefault="00D14D68" w:rsidP="00D14D68">
      <w:pPr>
        <w:ind w:firstLine="720"/>
        <w:jc w:val="both"/>
        <w:rPr>
          <w:sz w:val="22"/>
          <w:szCs w:val="22"/>
          <w:lang w:val="es-PY"/>
        </w:rPr>
      </w:pPr>
      <w:r w:rsidRPr="00D14D68">
        <w:rPr>
          <w:sz w:val="22"/>
          <w:szCs w:val="22"/>
          <w:lang w:val="es-PY"/>
        </w:rPr>
        <w:t xml:space="preserve">A partir de entonces, los Grupos de Trabajo han tenido una </w:t>
      </w:r>
      <w:proofErr w:type="gramStart"/>
      <w:r w:rsidRPr="00D14D68">
        <w:rPr>
          <w:sz w:val="22"/>
          <w:szCs w:val="22"/>
          <w:lang w:val="es-PY"/>
        </w:rPr>
        <w:t>participación activa</w:t>
      </w:r>
      <w:proofErr w:type="gramEnd"/>
      <w:r w:rsidRPr="00D14D68">
        <w:rPr>
          <w:sz w:val="22"/>
          <w:szCs w:val="22"/>
          <w:lang w:val="es-PY"/>
        </w:rPr>
        <w:t xml:space="preserve"> reuniéndose periódicamente desde 2021, diseñando y ejecutando actividades para la implementación del “Plan de Acción de Guatemala 2019” </w:t>
      </w:r>
      <w:hyperlink r:id="rId11" w:history="1">
        <w:r w:rsidRPr="00D14D68">
          <w:rPr>
            <w:sz w:val="22"/>
            <w:szCs w:val="22"/>
            <w:lang w:val="es-PY"/>
          </w:rPr>
          <w:t>(CIDI/REMDES/doc.6/19 rev.3)</w:t>
        </w:r>
      </w:hyperlink>
      <w:r>
        <w:rPr>
          <w:sz w:val="22"/>
          <w:szCs w:val="22"/>
          <w:lang w:val="es-PY"/>
        </w:rPr>
        <w:t>.</w:t>
      </w:r>
    </w:p>
    <w:p w14:paraId="11EC3CFE" w14:textId="77777777" w:rsidR="00D14D68" w:rsidRPr="00D14D68" w:rsidRDefault="00D14D68" w:rsidP="00D14D68">
      <w:pPr>
        <w:ind w:firstLine="708"/>
        <w:jc w:val="both"/>
        <w:rPr>
          <w:sz w:val="22"/>
          <w:szCs w:val="22"/>
          <w:lang w:val="es-PY"/>
        </w:rPr>
      </w:pPr>
    </w:p>
    <w:p w14:paraId="2EECA3AE" w14:textId="0301AE08" w:rsidR="00D14D68" w:rsidRDefault="00D14D68" w:rsidP="00424695">
      <w:pPr>
        <w:ind w:firstLine="720"/>
        <w:jc w:val="both"/>
        <w:rPr>
          <w:sz w:val="22"/>
          <w:szCs w:val="22"/>
          <w:lang w:val="es-PY"/>
        </w:rPr>
      </w:pPr>
      <w:r w:rsidRPr="00D14D68">
        <w:rPr>
          <w:sz w:val="22"/>
          <w:szCs w:val="22"/>
          <w:lang w:val="es-PY"/>
        </w:rPr>
        <w:t xml:space="preserve">Por estas razones, </w:t>
      </w:r>
      <w:r>
        <w:rPr>
          <w:sz w:val="22"/>
          <w:szCs w:val="22"/>
          <w:lang w:val="es-PY"/>
        </w:rPr>
        <w:t>v</w:t>
      </w:r>
      <w:r w:rsidRPr="00D14D68">
        <w:rPr>
          <w:sz w:val="22"/>
          <w:szCs w:val="22"/>
          <w:lang w:val="es-PY"/>
        </w:rPr>
        <w:t xml:space="preserve">alorando el compromiso sostenido por </w:t>
      </w:r>
      <w:r>
        <w:rPr>
          <w:sz w:val="22"/>
          <w:szCs w:val="22"/>
          <w:lang w:val="es-PY"/>
        </w:rPr>
        <w:t xml:space="preserve">la </w:t>
      </w:r>
      <w:r w:rsidRPr="00D14D68">
        <w:rPr>
          <w:sz w:val="22"/>
          <w:szCs w:val="22"/>
          <w:lang w:val="es-PY"/>
        </w:rPr>
        <w:t xml:space="preserve">República Dominicana como país anfitrión de la próxima </w:t>
      </w:r>
      <w:r>
        <w:rPr>
          <w:sz w:val="22"/>
          <w:szCs w:val="22"/>
          <w:lang w:val="es-PY"/>
        </w:rPr>
        <w:t xml:space="preserve">Quinta </w:t>
      </w:r>
      <w:r w:rsidRPr="00D14D68">
        <w:rPr>
          <w:sz w:val="22"/>
          <w:szCs w:val="22"/>
          <w:lang w:val="es-PY"/>
        </w:rPr>
        <w:t>Reunión de Ministros y Altas Autoridades de Desarrollo Social (V REMDES) y teniendo en cuenta que las Disposiciones Generales de</w:t>
      </w:r>
      <w:r>
        <w:rPr>
          <w:sz w:val="22"/>
          <w:szCs w:val="22"/>
          <w:lang w:val="es-PY"/>
        </w:rPr>
        <w:t xml:space="preserve"> los </w:t>
      </w:r>
      <w:r w:rsidR="00424695" w:rsidRPr="00D14D68">
        <w:rPr>
          <w:sz w:val="22"/>
          <w:szCs w:val="22"/>
          <w:lang w:val="es-PY"/>
        </w:rPr>
        <w:t>Lineamientos Generales para los Procesos Sectoriales a nivel Ministerial en el ámbito del CIDI</w:t>
      </w:r>
      <w:r w:rsidR="00424695">
        <w:rPr>
          <w:sz w:val="22"/>
          <w:szCs w:val="22"/>
          <w:lang w:val="es-PY"/>
        </w:rPr>
        <w:t xml:space="preserve"> </w:t>
      </w:r>
      <w:r w:rsidRPr="00D14D68">
        <w:rPr>
          <w:sz w:val="22"/>
          <w:szCs w:val="22"/>
          <w:lang w:val="es-PY"/>
        </w:rPr>
        <w:t xml:space="preserve">establecen que “(...) en caso de circunstancias imprevistas, el CIDI, con el asesoramiento de la Secretaría, tendrá la prerrogativa de aprobar cambios a un determinado ciclo ministerial con carácter excepcional y teniendo en cuenta las consecuencias logísticas, presupuestarias y organizativas del cambio propuesto”, </w:t>
      </w:r>
      <w:r w:rsidR="0083249C">
        <w:rPr>
          <w:sz w:val="22"/>
          <w:szCs w:val="22"/>
          <w:lang w:val="es-PY"/>
        </w:rPr>
        <w:t>el CIDI aprueba</w:t>
      </w:r>
      <w:r w:rsidRPr="00D14D68">
        <w:rPr>
          <w:sz w:val="22"/>
          <w:szCs w:val="22"/>
          <w:lang w:val="es-PY"/>
        </w:rPr>
        <w:t xml:space="preserve"> las siguientes actualizaciones al calendario del proceso ministerial</w:t>
      </w:r>
      <w:r w:rsidR="00424695">
        <w:rPr>
          <w:sz w:val="22"/>
          <w:szCs w:val="22"/>
          <w:lang w:val="es-PY"/>
        </w:rPr>
        <w:t xml:space="preserve"> trienal </w:t>
      </w:r>
      <w:r w:rsidRPr="00D14D68">
        <w:rPr>
          <w:sz w:val="22"/>
          <w:szCs w:val="22"/>
          <w:lang w:val="es-PY"/>
        </w:rPr>
        <w:t>que permitirían mantener la fecha designada para la reunión</w:t>
      </w:r>
      <w:r w:rsidR="00424695">
        <w:rPr>
          <w:sz w:val="22"/>
          <w:szCs w:val="22"/>
          <w:lang w:val="es-PY"/>
        </w:rPr>
        <w:t xml:space="preserve"> ministerial</w:t>
      </w:r>
      <w:r w:rsidRPr="00D14D68">
        <w:rPr>
          <w:sz w:val="22"/>
          <w:szCs w:val="22"/>
          <w:lang w:val="es-PY"/>
        </w:rPr>
        <w:t>:</w:t>
      </w:r>
    </w:p>
    <w:p w14:paraId="0A3EE90C" w14:textId="77777777" w:rsidR="006845D4" w:rsidRPr="00D14D68" w:rsidRDefault="006845D4" w:rsidP="00424695">
      <w:pPr>
        <w:ind w:firstLine="720"/>
        <w:jc w:val="both"/>
        <w:rPr>
          <w:sz w:val="22"/>
          <w:szCs w:val="22"/>
          <w:lang w:val="es-PY"/>
        </w:rPr>
      </w:pPr>
    </w:p>
    <w:p w14:paraId="47502805" w14:textId="77777777" w:rsidR="00D14D68" w:rsidRPr="00D14D68" w:rsidRDefault="00D14D68" w:rsidP="00D14D68">
      <w:pPr>
        <w:ind w:right="-1080"/>
        <w:jc w:val="both"/>
        <w:rPr>
          <w:sz w:val="22"/>
          <w:szCs w:val="22"/>
          <w:lang w:val="es-CO"/>
        </w:rPr>
      </w:pPr>
      <w:r w:rsidRPr="00D14D68">
        <w:rPr>
          <w:bCs/>
          <w:sz w:val="22"/>
          <w:szCs w:val="22"/>
          <w:lang w:val="es-US"/>
        </w:rPr>
        <w:t xml:space="preserve">  </w:t>
      </w:r>
    </w:p>
    <w:tbl>
      <w:tblPr>
        <w:tblW w:w="1026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7"/>
        <w:gridCol w:w="12"/>
        <w:gridCol w:w="875"/>
        <w:gridCol w:w="2368"/>
        <w:gridCol w:w="5792"/>
      </w:tblGrid>
      <w:tr w:rsidR="00D14D68" w:rsidRPr="00D14D68" w14:paraId="586BB299" w14:textId="77777777" w:rsidTr="00424695">
        <w:trPr>
          <w:trHeight w:val="385"/>
        </w:trPr>
        <w:tc>
          <w:tcPr>
            <w:tcW w:w="10260" w:type="dxa"/>
            <w:gridSpan w:val="6"/>
          </w:tcPr>
          <w:p w14:paraId="691C318A" w14:textId="77777777" w:rsidR="00D14D68" w:rsidRPr="00D14D68" w:rsidRDefault="00D14D68" w:rsidP="00D14D68">
            <w:pPr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D14D68">
              <w:rPr>
                <w:b/>
                <w:bCs/>
                <w:sz w:val="22"/>
                <w:szCs w:val="22"/>
                <w:lang w:val="es-CO"/>
              </w:rPr>
              <w:t>CALENDARIO DE ACTIVIDADES HACIA LA V REMDES</w:t>
            </w:r>
          </w:p>
          <w:p w14:paraId="6C75633D" w14:textId="77777777" w:rsidR="00D14D68" w:rsidRDefault="00D14D68" w:rsidP="00D14D68">
            <w:pPr>
              <w:jc w:val="center"/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(17 – 18 de noviembre de 2022)</w:t>
            </w:r>
          </w:p>
          <w:p w14:paraId="79A56048" w14:textId="2A7F3087" w:rsidR="006845D4" w:rsidRPr="00D14D68" w:rsidRDefault="006845D4" w:rsidP="00D14D68">
            <w:pPr>
              <w:jc w:val="center"/>
              <w:rPr>
                <w:sz w:val="22"/>
                <w:szCs w:val="22"/>
                <w:lang w:val="es-CO"/>
              </w:rPr>
            </w:pPr>
          </w:p>
        </w:tc>
      </w:tr>
      <w:tr w:rsidR="00D14D68" w:rsidRPr="00D14D68" w14:paraId="17AE429A" w14:textId="77777777" w:rsidTr="006845D4">
        <w:tc>
          <w:tcPr>
            <w:tcW w:w="1835" w:type="dxa"/>
            <w:gridSpan w:val="4"/>
            <w:shd w:val="clear" w:color="auto" w:fill="auto"/>
          </w:tcPr>
          <w:p w14:paraId="1806BC26" w14:textId="77777777" w:rsidR="006845D4" w:rsidRDefault="00D14D68" w:rsidP="00D14D68">
            <w:pPr>
              <w:jc w:val="center"/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FECHA</w:t>
            </w:r>
          </w:p>
          <w:p w14:paraId="36AF8EF2" w14:textId="7895706B" w:rsidR="00D14D68" w:rsidRPr="00D14D68" w:rsidRDefault="006845D4" w:rsidP="00D14D68">
            <w:pPr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Año 2022</w:t>
            </w:r>
          </w:p>
        </w:tc>
        <w:tc>
          <w:tcPr>
            <w:tcW w:w="2423" w:type="dxa"/>
          </w:tcPr>
          <w:p w14:paraId="080B9AF5" w14:textId="77777777" w:rsidR="00D14D68" w:rsidRPr="00D14D68" w:rsidRDefault="00D14D68" w:rsidP="00D14D68">
            <w:pPr>
              <w:pStyle w:val="ListParagraph0"/>
              <w:ind w:left="160"/>
              <w:jc w:val="center"/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ORGANO</w:t>
            </w:r>
          </w:p>
        </w:tc>
        <w:tc>
          <w:tcPr>
            <w:tcW w:w="6002" w:type="dxa"/>
            <w:shd w:val="clear" w:color="auto" w:fill="auto"/>
          </w:tcPr>
          <w:p w14:paraId="40444F98" w14:textId="77777777" w:rsidR="00D14D68" w:rsidRPr="00D14D68" w:rsidRDefault="00D14D68" w:rsidP="00D14D68">
            <w:pPr>
              <w:pStyle w:val="ListParagraph0"/>
              <w:ind w:left="160"/>
              <w:jc w:val="center"/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ACTIVIDAD</w:t>
            </w:r>
          </w:p>
        </w:tc>
      </w:tr>
      <w:tr w:rsidR="006845D4" w:rsidRPr="00E121E7" w14:paraId="10F63B57" w14:textId="77777777" w:rsidTr="006845D4">
        <w:tc>
          <w:tcPr>
            <w:tcW w:w="937" w:type="dxa"/>
            <w:gridSpan w:val="3"/>
            <w:shd w:val="clear" w:color="auto" w:fill="auto"/>
          </w:tcPr>
          <w:p w14:paraId="381B4BB3" w14:textId="1AFCDB9D" w:rsidR="006845D4" w:rsidRPr="00D14D68" w:rsidRDefault="006845D4" w:rsidP="00D14D68">
            <w:pPr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 xml:space="preserve">Febrero </w:t>
            </w:r>
          </w:p>
        </w:tc>
        <w:tc>
          <w:tcPr>
            <w:tcW w:w="898" w:type="dxa"/>
            <w:shd w:val="clear" w:color="auto" w:fill="auto"/>
          </w:tcPr>
          <w:p w14:paraId="45DE3F20" w14:textId="04CCD6BF" w:rsidR="006845D4" w:rsidRPr="00D14D68" w:rsidRDefault="006845D4" w:rsidP="00D14D68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22</w:t>
            </w:r>
          </w:p>
        </w:tc>
        <w:tc>
          <w:tcPr>
            <w:tcW w:w="2423" w:type="dxa"/>
          </w:tcPr>
          <w:p w14:paraId="7A2898A5" w14:textId="77777777" w:rsidR="006845D4" w:rsidRPr="00D14D68" w:rsidRDefault="006845D4" w:rsidP="00D14D68">
            <w:pPr>
              <w:contextualSpacing/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Reunión Ordinaria del CIDI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0274F2F9" w14:textId="77777777" w:rsidR="006845D4" w:rsidRPr="00D14D68" w:rsidRDefault="006845D4" w:rsidP="00D14D68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Aprobación de la resolución de convocatoria por el CIDI</w:t>
            </w:r>
          </w:p>
          <w:p w14:paraId="5B99E5D7" w14:textId="77777777" w:rsidR="006845D4" w:rsidRPr="00D14D68" w:rsidRDefault="006845D4" w:rsidP="00D14D68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Convocatoria de la IV Reunión Ordinaria de la CIDES a celebrarse el 22 de marzo 2022</w:t>
            </w:r>
          </w:p>
          <w:p w14:paraId="3A134977" w14:textId="77777777" w:rsidR="006845D4" w:rsidRPr="00D14D68" w:rsidRDefault="006845D4" w:rsidP="00D14D68">
            <w:pPr>
              <w:rPr>
                <w:sz w:val="22"/>
                <w:szCs w:val="22"/>
                <w:lang w:val="es-CO"/>
              </w:rPr>
            </w:pPr>
          </w:p>
        </w:tc>
      </w:tr>
      <w:tr w:rsidR="006845D4" w:rsidRPr="00E121E7" w14:paraId="66638CFC" w14:textId="77777777" w:rsidTr="006845D4">
        <w:tc>
          <w:tcPr>
            <w:tcW w:w="937" w:type="dxa"/>
            <w:gridSpan w:val="3"/>
            <w:shd w:val="clear" w:color="auto" w:fill="auto"/>
          </w:tcPr>
          <w:p w14:paraId="155E8EC9" w14:textId="0DDDF97B" w:rsidR="006845D4" w:rsidRPr="00D14D68" w:rsidRDefault="006845D4" w:rsidP="00D14D68">
            <w:pPr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 xml:space="preserve">Marzo </w:t>
            </w:r>
          </w:p>
        </w:tc>
        <w:tc>
          <w:tcPr>
            <w:tcW w:w="898" w:type="dxa"/>
            <w:shd w:val="clear" w:color="auto" w:fill="auto"/>
          </w:tcPr>
          <w:p w14:paraId="514F3BAA" w14:textId="2C91500A" w:rsidR="006845D4" w:rsidRPr="00D14D68" w:rsidRDefault="006845D4" w:rsidP="00D14D68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22</w:t>
            </w:r>
          </w:p>
        </w:tc>
        <w:tc>
          <w:tcPr>
            <w:tcW w:w="2423" w:type="dxa"/>
          </w:tcPr>
          <w:p w14:paraId="67B0D866" w14:textId="77777777" w:rsidR="006845D4" w:rsidRPr="00D14D68" w:rsidRDefault="006845D4" w:rsidP="00D14D68">
            <w:pPr>
              <w:contextualSpacing/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IV Reunión Ordinaria de la CIDES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066AB3A0" w14:textId="77777777" w:rsidR="006845D4" w:rsidRPr="00D14D68" w:rsidRDefault="006845D4" w:rsidP="00D14D68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Para analizar progreso, documentos e implementación de mandatos ministeriales</w:t>
            </w:r>
          </w:p>
          <w:p w14:paraId="4679AA30" w14:textId="77777777" w:rsidR="006845D4" w:rsidRPr="00D14D68" w:rsidRDefault="006845D4" w:rsidP="00D14D68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Presentación de proyectos de documentos: proyecto de temario</w:t>
            </w:r>
            <w:r w:rsidRPr="00D14D68">
              <w:rPr>
                <w:bCs/>
                <w:sz w:val="22"/>
                <w:szCs w:val="22"/>
                <w:lang w:val="es-CO"/>
              </w:rPr>
              <w:t xml:space="preserve">, proyecto de declaración, proyecto de plan de acción, y </w:t>
            </w:r>
            <w:r w:rsidRPr="00D14D68">
              <w:rPr>
                <w:sz w:val="22"/>
                <w:szCs w:val="22"/>
                <w:lang w:val="es-CO"/>
              </w:rPr>
              <w:t>lista provisional de observadores e invitados</w:t>
            </w:r>
          </w:p>
          <w:p w14:paraId="4482BB98" w14:textId="77777777" w:rsidR="006845D4" w:rsidRPr="00D14D68" w:rsidRDefault="006845D4" w:rsidP="00D14D68">
            <w:pPr>
              <w:pStyle w:val="ListParagraph0"/>
              <w:ind w:left="160"/>
              <w:contextualSpacing/>
              <w:rPr>
                <w:sz w:val="22"/>
                <w:szCs w:val="22"/>
                <w:lang w:val="es-CO"/>
              </w:rPr>
            </w:pPr>
          </w:p>
        </w:tc>
      </w:tr>
      <w:tr w:rsidR="006845D4" w:rsidRPr="00E121E7" w14:paraId="26108361" w14:textId="77777777" w:rsidTr="006845D4">
        <w:tc>
          <w:tcPr>
            <w:tcW w:w="937" w:type="dxa"/>
            <w:gridSpan w:val="3"/>
            <w:shd w:val="clear" w:color="auto" w:fill="auto"/>
          </w:tcPr>
          <w:p w14:paraId="7C0C5181" w14:textId="1E5B822C" w:rsidR="006845D4" w:rsidRPr="00D14D68" w:rsidRDefault="006845D4" w:rsidP="00D14D68">
            <w:pPr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 xml:space="preserve">Abril </w:t>
            </w:r>
          </w:p>
        </w:tc>
        <w:tc>
          <w:tcPr>
            <w:tcW w:w="898" w:type="dxa"/>
            <w:shd w:val="clear" w:color="auto" w:fill="auto"/>
          </w:tcPr>
          <w:p w14:paraId="1424866D" w14:textId="302F6920" w:rsidR="006845D4" w:rsidRPr="00D14D68" w:rsidRDefault="006845D4" w:rsidP="00D14D68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26</w:t>
            </w:r>
          </w:p>
        </w:tc>
        <w:tc>
          <w:tcPr>
            <w:tcW w:w="2423" w:type="dxa"/>
          </w:tcPr>
          <w:p w14:paraId="5845C622" w14:textId="77777777" w:rsidR="006845D4" w:rsidRPr="00D14D68" w:rsidRDefault="006845D4" w:rsidP="00D14D68">
            <w:pPr>
              <w:contextualSpacing/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Reunión Ordinaria del CIDI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07CEEB95" w14:textId="77777777" w:rsidR="006845D4" w:rsidRPr="00D14D68" w:rsidRDefault="006845D4" w:rsidP="00D14D68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Presentación de proyectos de documentos: proyecto preliminar de temario</w:t>
            </w:r>
            <w:r w:rsidRPr="00D14D68">
              <w:rPr>
                <w:bCs/>
                <w:sz w:val="22"/>
                <w:szCs w:val="22"/>
                <w:lang w:val="es-CO"/>
              </w:rPr>
              <w:t>, proyecto preliminar de temario anotado, proyecto de declaración y de plan de acción</w:t>
            </w:r>
          </w:p>
          <w:p w14:paraId="283075D1" w14:textId="77777777" w:rsidR="006845D4" w:rsidRPr="00D14D68" w:rsidRDefault="006845D4" w:rsidP="00D14D68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es-CO"/>
              </w:rPr>
            </w:pPr>
            <w:r w:rsidRPr="00D14D68">
              <w:rPr>
                <w:bCs/>
                <w:sz w:val="22"/>
                <w:szCs w:val="22"/>
                <w:lang w:val="es-CO"/>
              </w:rPr>
              <w:t xml:space="preserve">Consideración y aprobación de la </w:t>
            </w:r>
            <w:r w:rsidRPr="00D14D68">
              <w:rPr>
                <w:sz w:val="22"/>
                <w:szCs w:val="22"/>
                <w:lang w:val="es-CO"/>
              </w:rPr>
              <w:t>lista provisional de observadores e invitados</w:t>
            </w:r>
          </w:p>
          <w:p w14:paraId="66249FBA" w14:textId="77777777" w:rsidR="006845D4" w:rsidRPr="00D14D68" w:rsidRDefault="006845D4" w:rsidP="00D14D68">
            <w:pPr>
              <w:pStyle w:val="ListParagraph0"/>
              <w:ind w:left="160"/>
              <w:contextualSpacing/>
              <w:rPr>
                <w:sz w:val="22"/>
                <w:szCs w:val="22"/>
                <w:lang w:val="es-CO"/>
              </w:rPr>
            </w:pPr>
          </w:p>
        </w:tc>
      </w:tr>
      <w:tr w:rsidR="006845D4" w:rsidRPr="00E121E7" w14:paraId="4D9B4CDD" w14:textId="77777777" w:rsidTr="006845D4">
        <w:tc>
          <w:tcPr>
            <w:tcW w:w="1835" w:type="dxa"/>
            <w:gridSpan w:val="4"/>
            <w:shd w:val="clear" w:color="auto" w:fill="auto"/>
          </w:tcPr>
          <w:p w14:paraId="628CEDCA" w14:textId="73679226" w:rsidR="006845D4" w:rsidRPr="00D14D68" w:rsidRDefault="006845D4" w:rsidP="00D14D68">
            <w:pPr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 xml:space="preserve">Abril </w:t>
            </w:r>
          </w:p>
        </w:tc>
        <w:tc>
          <w:tcPr>
            <w:tcW w:w="2423" w:type="dxa"/>
          </w:tcPr>
          <w:p w14:paraId="538B3825" w14:textId="77777777" w:rsidR="006845D4" w:rsidRPr="00D14D68" w:rsidRDefault="006845D4" w:rsidP="00D14D68">
            <w:pPr>
              <w:contextualSpacing/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CIDES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1EF5D483" w14:textId="77777777" w:rsidR="006845D4" w:rsidRPr="00D14D68" w:rsidRDefault="006845D4" w:rsidP="00D14D68">
            <w:pPr>
              <w:pStyle w:val="ListParagraph0"/>
              <w:numPr>
                <w:ilvl w:val="0"/>
                <w:numId w:val="46"/>
              </w:numPr>
              <w:ind w:left="160" w:hanging="160"/>
              <w:contextualSpacing/>
              <w:jc w:val="both"/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Inicio de negociaciones informales de los documentos</w:t>
            </w:r>
          </w:p>
          <w:p w14:paraId="57E65CBC" w14:textId="77777777" w:rsidR="006845D4" w:rsidRPr="00D14D68" w:rsidRDefault="006845D4" w:rsidP="00D14D68">
            <w:pPr>
              <w:pStyle w:val="ListParagraph0"/>
              <w:numPr>
                <w:ilvl w:val="0"/>
                <w:numId w:val="46"/>
              </w:numPr>
              <w:ind w:left="166" w:hanging="166"/>
              <w:contextualSpacing/>
              <w:jc w:val="both"/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 xml:space="preserve">Se envían invitaciones a los Estados Miembros y observadores </w:t>
            </w:r>
          </w:p>
          <w:p w14:paraId="3B808C83" w14:textId="77777777" w:rsidR="006845D4" w:rsidRPr="00D14D68" w:rsidRDefault="006845D4" w:rsidP="00D14D68">
            <w:pPr>
              <w:pStyle w:val="ListParagraph0"/>
              <w:ind w:left="160"/>
              <w:contextualSpacing/>
              <w:rPr>
                <w:sz w:val="22"/>
                <w:szCs w:val="22"/>
                <w:lang w:val="es-CO"/>
              </w:rPr>
            </w:pPr>
          </w:p>
        </w:tc>
      </w:tr>
      <w:tr w:rsidR="006845D4" w:rsidRPr="00E121E7" w14:paraId="44D1D408" w14:textId="77777777" w:rsidTr="006845D4">
        <w:tc>
          <w:tcPr>
            <w:tcW w:w="937" w:type="dxa"/>
            <w:gridSpan w:val="3"/>
            <w:shd w:val="clear" w:color="auto" w:fill="auto"/>
          </w:tcPr>
          <w:p w14:paraId="727D0EFC" w14:textId="62E19860" w:rsidR="006845D4" w:rsidRPr="00D14D68" w:rsidRDefault="006845D4" w:rsidP="00D14D68">
            <w:pPr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 xml:space="preserve">Mayo </w:t>
            </w:r>
          </w:p>
        </w:tc>
        <w:tc>
          <w:tcPr>
            <w:tcW w:w="898" w:type="dxa"/>
            <w:shd w:val="clear" w:color="auto" w:fill="auto"/>
          </w:tcPr>
          <w:p w14:paraId="59E09ADE" w14:textId="2AC29E29" w:rsidR="006845D4" w:rsidRPr="00D14D68" w:rsidRDefault="006845D4" w:rsidP="00D14D68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31</w:t>
            </w:r>
          </w:p>
        </w:tc>
        <w:tc>
          <w:tcPr>
            <w:tcW w:w="2423" w:type="dxa"/>
          </w:tcPr>
          <w:p w14:paraId="18A215A9" w14:textId="77777777" w:rsidR="006845D4" w:rsidRPr="00D14D68" w:rsidRDefault="006845D4" w:rsidP="00D14D68">
            <w:pPr>
              <w:contextualSpacing/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Reunión Ordinaria del CIDI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1D25B429" w14:textId="77777777" w:rsidR="006845D4" w:rsidRPr="00D14D68" w:rsidRDefault="006845D4" w:rsidP="00D14D68">
            <w:pPr>
              <w:pStyle w:val="ListParagraph0"/>
              <w:numPr>
                <w:ilvl w:val="0"/>
                <w:numId w:val="46"/>
              </w:numPr>
              <w:ind w:left="250" w:hanging="250"/>
              <w:contextualSpacing/>
              <w:jc w:val="both"/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Aprobación del proyecto de temario por el CIDI</w:t>
            </w:r>
          </w:p>
          <w:p w14:paraId="4A7D5279" w14:textId="77777777" w:rsidR="006845D4" w:rsidRPr="00D14D68" w:rsidRDefault="006845D4" w:rsidP="00D14D68">
            <w:pPr>
              <w:pStyle w:val="ListParagraph0"/>
              <w:ind w:left="160"/>
              <w:contextualSpacing/>
              <w:rPr>
                <w:sz w:val="22"/>
                <w:szCs w:val="22"/>
                <w:lang w:val="es-CO"/>
              </w:rPr>
            </w:pPr>
          </w:p>
        </w:tc>
      </w:tr>
      <w:tr w:rsidR="006845D4" w:rsidRPr="00E121E7" w14:paraId="02D1B289" w14:textId="77777777" w:rsidTr="006845D4">
        <w:tc>
          <w:tcPr>
            <w:tcW w:w="937" w:type="dxa"/>
            <w:gridSpan w:val="3"/>
            <w:shd w:val="clear" w:color="auto" w:fill="auto"/>
          </w:tcPr>
          <w:p w14:paraId="5BA0D6AA" w14:textId="4F1EB022" w:rsidR="006845D4" w:rsidRPr="00D14D68" w:rsidRDefault="006845D4" w:rsidP="00D14D68">
            <w:pPr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lastRenderedPageBreak/>
              <w:t xml:space="preserve">Julio </w:t>
            </w:r>
          </w:p>
        </w:tc>
        <w:tc>
          <w:tcPr>
            <w:tcW w:w="898" w:type="dxa"/>
            <w:shd w:val="clear" w:color="auto" w:fill="auto"/>
          </w:tcPr>
          <w:p w14:paraId="40C01C36" w14:textId="0484EB48" w:rsidR="006845D4" w:rsidRPr="00D14D68" w:rsidRDefault="006845D4" w:rsidP="00D14D68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28</w:t>
            </w:r>
          </w:p>
        </w:tc>
        <w:tc>
          <w:tcPr>
            <w:tcW w:w="2423" w:type="dxa"/>
          </w:tcPr>
          <w:p w14:paraId="25070D46" w14:textId="77777777" w:rsidR="006845D4" w:rsidRPr="00D14D68" w:rsidRDefault="006845D4" w:rsidP="00D14D68">
            <w:pPr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Reunión Preparatoria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1A94FF1D" w14:textId="77777777" w:rsidR="006845D4" w:rsidRPr="00D14D68" w:rsidRDefault="006845D4" w:rsidP="00D14D68">
            <w:pPr>
              <w:pStyle w:val="ListParagraph0"/>
              <w:widowControl w:val="0"/>
              <w:numPr>
                <w:ilvl w:val="0"/>
                <w:numId w:val="46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256" w:hanging="270"/>
              <w:jc w:val="both"/>
              <w:rPr>
                <w:sz w:val="22"/>
                <w:szCs w:val="22"/>
                <w:lang w:val="es-US" w:eastAsia="es-ES"/>
              </w:rPr>
            </w:pPr>
            <w:r w:rsidRPr="00D14D68">
              <w:rPr>
                <w:sz w:val="22"/>
                <w:szCs w:val="22"/>
                <w:lang w:val="es-CO"/>
              </w:rPr>
              <w:t>Para f</w:t>
            </w:r>
            <w:r w:rsidRPr="00D14D68">
              <w:rPr>
                <w:bCs/>
                <w:sz w:val="22"/>
                <w:szCs w:val="22"/>
                <w:lang w:val="es-CO"/>
              </w:rPr>
              <w:t>inalizar el proyecto de temario y las negociaciones sobre el proyecto de declaración y el proyecto de plan de acción a ser considerados durante la reunión ministerial</w:t>
            </w:r>
          </w:p>
          <w:p w14:paraId="610BB65A" w14:textId="77777777" w:rsidR="006845D4" w:rsidRPr="00D14D68" w:rsidRDefault="006845D4" w:rsidP="00D14D68">
            <w:pPr>
              <w:pStyle w:val="ListParagraph0"/>
              <w:widowControl w:val="0"/>
              <w:numPr>
                <w:ilvl w:val="0"/>
                <w:numId w:val="46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256" w:hanging="270"/>
              <w:jc w:val="both"/>
              <w:rPr>
                <w:sz w:val="22"/>
                <w:szCs w:val="22"/>
                <w:lang w:val="es-US" w:eastAsia="es-ES"/>
              </w:rPr>
            </w:pPr>
            <w:r w:rsidRPr="00D14D68">
              <w:rPr>
                <w:bCs/>
                <w:sz w:val="22"/>
                <w:szCs w:val="22"/>
                <w:lang w:val="es-US"/>
              </w:rPr>
              <w:t>P</w:t>
            </w:r>
            <w:proofErr w:type="spellStart"/>
            <w:r w:rsidRPr="00D14D68">
              <w:rPr>
                <w:bCs/>
                <w:sz w:val="22"/>
                <w:szCs w:val="22"/>
                <w:lang w:val="es-CO"/>
              </w:rPr>
              <w:t>resentación</w:t>
            </w:r>
            <w:proofErr w:type="spellEnd"/>
            <w:r w:rsidRPr="00D14D68">
              <w:rPr>
                <w:bCs/>
                <w:sz w:val="22"/>
                <w:szCs w:val="22"/>
                <w:lang w:val="es-CO"/>
              </w:rPr>
              <w:t xml:space="preserve"> del proyecto de calendario, y</w:t>
            </w:r>
          </w:p>
          <w:p w14:paraId="195F8B17" w14:textId="77777777" w:rsidR="006845D4" w:rsidRPr="00D14D68" w:rsidRDefault="006845D4" w:rsidP="00D14D68">
            <w:pPr>
              <w:pStyle w:val="ListParagraph0"/>
              <w:widowControl w:val="0"/>
              <w:numPr>
                <w:ilvl w:val="0"/>
                <w:numId w:val="46"/>
              </w:numPr>
              <w:tabs>
                <w:tab w:val="left" w:pos="2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256" w:hanging="270"/>
              <w:jc w:val="both"/>
              <w:rPr>
                <w:sz w:val="22"/>
                <w:szCs w:val="22"/>
                <w:lang w:val="es-US" w:eastAsia="es-ES"/>
              </w:rPr>
            </w:pPr>
            <w:r w:rsidRPr="00D14D68">
              <w:rPr>
                <w:bCs/>
                <w:sz w:val="22"/>
                <w:szCs w:val="22"/>
                <w:lang w:val="es-US"/>
              </w:rPr>
              <w:t xml:space="preserve">Consideración de </w:t>
            </w:r>
            <w:r w:rsidRPr="00D14D68">
              <w:rPr>
                <w:bCs/>
                <w:sz w:val="22"/>
                <w:szCs w:val="22"/>
                <w:lang w:val="es-CO"/>
              </w:rPr>
              <w:t xml:space="preserve">otros temas relativos a la reunión ministerial: </w:t>
            </w:r>
            <w:r w:rsidRPr="00D14D68">
              <w:rPr>
                <w:sz w:val="22"/>
                <w:szCs w:val="22"/>
                <w:lang w:val="es-US" w:eastAsia="es-ES"/>
              </w:rPr>
              <w:t>la elección de presidente; la integración de la Comisión de Estilo; la designación de comisiones y grupos de trabajo; el acuerdo sobre el plazo límite para la presentación de proposiciones; la duración de la reunión.</w:t>
            </w:r>
          </w:p>
          <w:p w14:paraId="0167B685" w14:textId="77777777" w:rsidR="006845D4" w:rsidRPr="00D14D68" w:rsidRDefault="006845D4" w:rsidP="00D14D68">
            <w:pPr>
              <w:rPr>
                <w:sz w:val="22"/>
                <w:szCs w:val="22"/>
                <w:lang w:val="es-CO"/>
              </w:rPr>
            </w:pPr>
          </w:p>
        </w:tc>
      </w:tr>
      <w:tr w:rsidR="006845D4" w:rsidRPr="00E121E7" w14:paraId="0D9DA523" w14:textId="77777777" w:rsidTr="006845D4">
        <w:tc>
          <w:tcPr>
            <w:tcW w:w="937" w:type="dxa"/>
            <w:gridSpan w:val="3"/>
            <w:shd w:val="clear" w:color="auto" w:fill="auto"/>
          </w:tcPr>
          <w:p w14:paraId="2BEDFBBE" w14:textId="0D35D31D" w:rsidR="006845D4" w:rsidRPr="00D14D68" w:rsidRDefault="006845D4" w:rsidP="00D14D68">
            <w:pPr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 xml:space="preserve">Octubre </w:t>
            </w:r>
          </w:p>
        </w:tc>
        <w:tc>
          <w:tcPr>
            <w:tcW w:w="898" w:type="dxa"/>
            <w:shd w:val="clear" w:color="auto" w:fill="auto"/>
          </w:tcPr>
          <w:p w14:paraId="41BAD74F" w14:textId="63DF6BC2" w:rsidR="006845D4" w:rsidRPr="00D14D68" w:rsidRDefault="006845D4" w:rsidP="00D14D68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4</w:t>
            </w:r>
          </w:p>
        </w:tc>
        <w:tc>
          <w:tcPr>
            <w:tcW w:w="2423" w:type="dxa"/>
          </w:tcPr>
          <w:p w14:paraId="37E2D71D" w14:textId="77777777" w:rsidR="006845D4" w:rsidRPr="00D14D68" w:rsidRDefault="006845D4" w:rsidP="00D14D68">
            <w:pPr>
              <w:contextualSpacing/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Secretaría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146343DC" w14:textId="77777777" w:rsidR="006845D4" w:rsidRPr="00D14D68" w:rsidRDefault="006845D4" w:rsidP="00D14D68">
            <w:pPr>
              <w:pStyle w:val="ListParagraph0"/>
              <w:numPr>
                <w:ilvl w:val="0"/>
                <w:numId w:val="46"/>
              </w:numPr>
              <w:ind w:left="250" w:hanging="250"/>
              <w:contextualSpacing/>
              <w:jc w:val="both"/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La SEDI envía a los Estados Miembros el proyecto de temario aprobado por el CIDI</w:t>
            </w:r>
          </w:p>
          <w:p w14:paraId="3F2F1DF9" w14:textId="77777777" w:rsidR="006845D4" w:rsidRPr="00D14D68" w:rsidRDefault="006845D4" w:rsidP="00D14D68">
            <w:pPr>
              <w:pStyle w:val="ListParagraph0"/>
              <w:ind w:left="250"/>
              <w:rPr>
                <w:sz w:val="22"/>
                <w:szCs w:val="22"/>
                <w:lang w:val="es-CO"/>
              </w:rPr>
            </w:pPr>
          </w:p>
        </w:tc>
      </w:tr>
      <w:tr w:rsidR="006845D4" w:rsidRPr="00E121E7" w14:paraId="7E2F5D0B" w14:textId="77777777" w:rsidTr="006845D4">
        <w:tc>
          <w:tcPr>
            <w:tcW w:w="925" w:type="dxa"/>
            <w:gridSpan w:val="2"/>
            <w:shd w:val="clear" w:color="auto" w:fill="auto"/>
          </w:tcPr>
          <w:p w14:paraId="58C8C338" w14:textId="63A5BAB2" w:rsidR="006845D4" w:rsidRPr="00D14D68" w:rsidRDefault="006845D4" w:rsidP="00D14D68">
            <w:pPr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 xml:space="preserve">Octubre </w:t>
            </w:r>
          </w:p>
        </w:tc>
        <w:tc>
          <w:tcPr>
            <w:tcW w:w="910" w:type="dxa"/>
            <w:gridSpan w:val="2"/>
            <w:shd w:val="clear" w:color="auto" w:fill="auto"/>
          </w:tcPr>
          <w:p w14:paraId="73D4F4B9" w14:textId="04525558" w:rsidR="006845D4" w:rsidRPr="00D14D68" w:rsidRDefault="006845D4" w:rsidP="00D14D68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25</w:t>
            </w:r>
          </w:p>
        </w:tc>
        <w:tc>
          <w:tcPr>
            <w:tcW w:w="2423" w:type="dxa"/>
          </w:tcPr>
          <w:p w14:paraId="4BBD4236" w14:textId="77777777" w:rsidR="006845D4" w:rsidRPr="00D14D68" w:rsidRDefault="006845D4" w:rsidP="00D14D68">
            <w:pPr>
              <w:contextualSpacing/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Reunión ordinaria del CIDI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36A1E5C3" w14:textId="77777777" w:rsidR="006845D4" w:rsidRPr="00D14D68" w:rsidRDefault="006845D4" w:rsidP="00D14D68">
            <w:pPr>
              <w:pStyle w:val="ListParagraph0"/>
              <w:numPr>
                <w:ilvl w:val="0"/>
                <w:numId w:val="46"/>
              </w:numPr>
              <w:ind w:left="250" w:hanging="250"/>
              <w:contextualSpacing/>
              <w:jc w:val="both"/>
              <w:rPr>
                <w:sz w:val="22"/>
                <w:szCs w:val="22"/>
                <w:vertAlign w:val="superscript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>El CIDI establece el orden de precedencia de las delegaciones de los Estados Miembros y de los Observadores Permanentes</w:t>
            </w:r>
          </w:p>
          <w:p w14:paraId="7BF84300" w14:textId="77777777" w:rsidR="006845D4" w:rsidRPr="00D14D68" w:rsidRDefault="006845D4" w:rsidP="00D14D68">
            <w:pPr>
              <w:rPr>
                <w:sz w:val="22"/>
                <w:szCs w:val="22"/>
                <w:lang w:val="es-CO"/>
              </w:rPr>
            </w:pPr>
          </w:p>
        </w:tc>
      </w:tr>
      <w:tr w:rsidR="006845D4" w:rsidRPr="00E121E7" w14:paraId="0827A4E7" w14:textId="77777777" w:rsidTr="006845D4">
        <w:tc>
          <w:tcPr>
            <w:tcW w:w="917" w:type="dxa"/>
            <w:shd w:val="clear" w:color="auto" w:fill="auto"/>
          </w:tcPr>
          <w:p w14:paraId="168E8AF5" w14:textId="77777777" w:rsidR="006845D4" w:rsidRDefault="006845D4" w:rsidP="00D14D68">
            <w:pPr>
              <w:rPr>
                <w:sz w:val="22"/>
                <w:szCs w:val="22"/>
                <w:lang w:val="es-CO"/>
              </w:rPr>
            </w:pPr>
          </w:p>
          <w:p w14:paraId="109B17D8" w14:textId="69DE772B" w:rsidR="006845D4" w:rsidRDefault="006845D4" w:rsidP="00D14D68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Noviembre</w:t>
            </w:r>
          </w:p>
        </w:tc>
        <w:tc>
          <w:tcPr>
            <w:tcW w:w="918" w:type="dxa"/>
            <w:gridSpan w:val="3"/>
            <w:shd w:val="clear" w:color="auto" w:fill="auto"/>
          </w:tcPr>
          <w:p w14:paraId="3D8C0EF6" w14:textId="77777777" w:rsidR="006845D4" w:rsidRDefault="006845D4" w:rsidP="00D14D68">
            <w:pPr>
              <w:rPr>
                <w:sz w:val="22"/>
                <w:szCs w:val="22"/>
                <w:lang w:val="es-CO"/>
              </w:rPr>
            </w:pPr>
          </w:p>
          <w:p w14:paraId="7A116D8C" w14:textId="7575A6C7" w:rsidR="006845D4" w:rsidRPr="00D14D68" w:rsidRDefault="006845D4" w:rsidP="00D14D68">
            <w:pPr>
              <w:rPr>
                <w:sz w:val="22"/>
                <w:szCs w:val="22"/>
                <w:lang w:val="es-CO"/>
              </w:rPr>
            </w:pPr>
            <w:r w:rsidRPr="00D14D68">
              <w:rPr>
                <w:sz w:val="22"/>
                <w:szCs w:val="22"/>
                <w:lang w:val="es-CO"/>
              </w:rPr>
              <w:t xml:space="preserve">17 </w:t>
            </w:r>
            <w:r>
              <w:rPr>
                <w:sz w:val="22"/>
                <w:szCs w:val="22"/>
                <w:lang w:val="es-CO"/>
              </w:rPr>
              <w:t>y 18</w:t>
            </w:r>
            <w:r w:rsidRPr="00D14D68">
              <w:rPr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8425" w:type="dxa"/>
            <w:gridSpan w:val="2"/>
          </w:tcPr>
          <w:p w14:paraId="15F40601" w14:textId="77777777" w:rsidR="006845D4" w:rsidRDefault="006845D4" w:rsidP="00D14D68">
            <w:pPr>
              <w:rPr>
                <w:b/>
                <w:bCs/>
                <w:sz w:val="22"/>
                <w:szCs w:val="22"/>
                <w:lang w:val="es-CO"/>
              </w:rPr>
            </w:pPr>
          </w:p>
          <w:p w14:paraId="09A48C1F" w14:textId="62E568D8" w:rsidR="006845D4" w:rsidRPr="00D14D68" w:rsidRDefault="006845D4" w:rsidP="00D14D68">
            <w:pPr>
              <w:rPr>
                <w:b/>
                <w:bCs/>
                <w:sz w:val="22"/>
                <w:szCs w:val="22"/>
                <w:lang w:val="es-CO"/>
              </w:rPr>
            </w:pPr>
            <w:r w:rsidRPr="00D14D68">
              <w:rPr>
                <w:b/>
                <w:bCs/>
                <w:sz w:val="22"/>
                <w:szCs w:val="22"/>
                <w:lang w:val="es-CO"/>
              </w:rPr>
              <w:t xml:space="preserve">V Reunión de </w:t>
            </w:r>
            <w:proofErr w:type="gramStart"/>
            <w:r w:rsidRPr="00D14D68">
              <w:rPr>
                <w:b/>
                <w:bCs/>
                <w:sz w:val="22"/>
                <w:szCs w:val="22"/>
                <w:lang w:val="es-CO"/>
              </w:rPr>
              <w:t>Ministros</w:t>
            </w:r>
            <w:proofErr w:type="gramEnd"/>
            <w:r w:rsidRPr="00D14D68">
              <w:rPr>
                <w:b/>
                <w:bCs/>
                <w:sz w:val="22"/>
                <w:szCs w:val="22"/>
                <w:lang w:val="es-CO"/>
              </w:rPr>
              <w:t xml:space="preserve"> y Altas Autoridades de Desarrollo Social</w:t>
            </w:r>
          </w:p>
          <w:p w14:paraId="08A04946" w14:textId="77777777" w:rsidR="006845D4" w:rsidRPr="00D14D68" w:rsidRDefault="006845D4" w:rsidP="00D14D68">
            <w:pPr>
              <w:rPr>
                <w:b/>
                <w:bCs/>
                <w:sz w:val="22"/>
                <w:szCs w:val="22"/>
                <w:lang w:val="es-CO"/>
              </w:rPr>
            </w:pPr>
          </w:p>
        </w:tc>
      </w:tr>
    </w:tbl>
    <w:p w14:paraId="73EDD44F" w14:textId="77777777" w:rsidR="00D14D68" w:rsidRPr="00D14D68" w:rsidRDefault="00D14D68" w:rsidP="00D14D68">
      <w:pPr>
        <w:rPr>
          <w:sz w:val="22"/>
          <w:szCs w:val="22"/>
          <w:lang w:val="es-US"/>
        </w:rPr>
      </w:pPr>
    </w:p>
    <w:p w14:paraId="34A70031" w14:textId="26F0E3F4" w:rsidR="00D14D68" w:rsidRPr="00D14D68" w:rsidRDefault="00E121E7" w:rsidP="00D14D68">
      <w:pPr>
        <w:jc w:val="center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265BF65" wp14:editId="34B3230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31BEC5" w14:textId="31C54094" w:rsidR="00E121E7" w:rsidRPr="00E121E7" w:rsidRDefault="00E121E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CIDRP03463S01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5BF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831BEC5" w14:textId="31C54094" w:rsidR="00E121E7" w:rsidRPr="00E121E7" w:rsidRDefault="00E121E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CIDRP03463S01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14D68" w:rsidRPr="00D14D68" w:rsidSect="00A870BA">
      <w:headerReference w:type="default" r:id="rId12"/>
      <w:headerReference w:type="first" r:id="rId13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0CBC" w14:textId="77777777" w:rsidR="00845965" w:rsidRDefault="00845965">
      <w:r>
        <w:rPr>
          <w:lang w:val="es"/>
        </w:rPr>
        <w:separator/>
      </w:r>
    </w:p>
  </w:endnote>
  <w:endnote w:type="continuationSeparator" w:id="0">
    <w:p w14:paraId="33BD2064" w14:textId="77777777" w:rsidR="00845965" w:rsidRDefault="00845965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1C9B" w14:textId="77777777" w:rsidR="00845965" w:rsidRDefault="00845965">
      <w:r>
        <w:rPr>
          <w:lang w:val="es"/>
        </w:rPr>
        <w:separator/>
      </w:r>
    </w:p>
  </w:footnote>
  <w:footnote w:type="continuationSeparator" w:id="0">
    <w:p w14:paraId="68446D6F" w14:textId="77777777" w:rsidR="00845965" w:rsidRDefault="00845965">
      <w:r>
        <w:rPr>
          <w:lang w:val="es"/>
        </w:rPr>
        <w:continuationSeparator/>
      </w:r>
    </w:p>
  </w:footnote>
  <w:footnote w:id="1">
    <w:p w14:paraId="05F6C2DA" w14:textId="727AA65E" w:rsidR="00D14D68" w:rsidRPr="00F61497" w:rsidRDefault="00D14D68" w:rsidP="00D14D68">
      <w:pPr>
        <w:ind w:left="720" w:hanging="360"/>
        <w:jc w:val="both"/>
        <w:rPr>
          <w:lang w:val="es-ES_tradnl"/>
        </w:rPr>
      </w:pPr>
      <w:r w:rsidRPr="00D14D68">
        <w:rPr>
          <w:rStyle w:val="FootnoteReference"/>
          <w:vertAlign w:val="baseline"/>
          <w:lang w:val="es-ES_tradnl"/>
        </w:rPr>
        <w:footnoteRef/>
      </w:r>
      <w:r>
        <w:rPr>
          <w:lang w:val="es-ES_tradnl"/>
        </w:rPr>
        <w:t>.</w:t>
      </w:r>
      <w:r>
        <w:rPr>
          <w:lang w:val="es-ES_tradnl"/>
        </w:rPr>
        <w:tab/>
      </w:r>
      <w:r w:rsidRPr="00D14D68">
        <w:rPr>
          <w:lang w:val="es-ES_tradnl"/>
        </w:rPr>
        <w:t>El Grupo de Trabajo 1: (GT1) "Mediciones de la pobreza multidimensional y el diseño de políticas públicas enfocadas a garantizar el bienestar y el disfrute de buena calidad de vida". Presidencia: Secretaría de Bienestar de México</w:t>
      </w:r>
      <w:r w:rsidRPr="00F61497">
        <w:rPr>
          <w:lang w:val="es-ES_tradnl"/>
        </w:rPr>
        <w:t>, Vicepresidencia: Departamento de Empleo y Desarrollo Social de Canadá, y otros miembros son el Ministerio de Desarrollo Social de Guatemala y el Ministerio de Desarrollo Social de Paraguay. El Grupo de Trabajo 2: “Sistemas de protección social que conducen al desarrollo social a través de la reducción de la pobreza y la desigualdad y amplían la protección social con un enfoque integral: Presidencia: Gabinete de Coordinación de Políticas Sociales de República Dominicana; Vicepresidencia, Ministerio de Desarrollo Humano e Inclusión Social de Costa Rica; Otros Miembros: Ministerio de Desarrollo Social de Guatemala, Ministerio de Desarrollo Social de</w:t>
      </w:r>
      <w:r w:rsidR="00424695">
        <w:rPr>
          <w:lang w:val="es-ES_tradnl"/>
        </w:rPr>
        <w:t>l</w:t>
      </w:r>
      <w:r w:rsidRPr="00F61497">
        <w:rPr>
          <w:lang w:val="es-ES_tradnl"/>
        </w:rPr>
        <w:t xml:space="preserve"> Paraguay, Ministerio de Desarrollo e Inclusi</w:t>
      </w:r>
      <w:r w:rsidR="00424695">
        <w:rPr>
          <w:lang w:val="es-ES_tradnl"/>
        </w:rPr>
        <w:t>ó</w:t>
      </w:r>
      <w:r w:rsidRPr="00F61497">
        <w:rPr>
          <w:lang w:val="es-ES_tradnl"/>
        </w:rPr>
        <w:t>n Social de</w:t>
      </w:r>
      <w:r w:rsidR="00424695">
        <w:rPr>
          <w:lang w:val="es-ES_tradnl"/>
        </w:rPr>
        <w:t xml:space="preserve">l </w:t>
      </w:r>
      <w:r w:rsidRPr="00F61497">
        <w:rPr>
          <w:lang w:val="es-ES_tradnl"/>
        </w:rPr>
        <w:t>Perú y el Ministerio de Desarrollo Social de</w:t>
      </w:r>
      <w:r w:rsidR="00424695">
        <w:rPr>
          <w:lang w:val="es-ES_tradnl"/>
        </w:rPr>
        <w:t>l</w:t>
      </w:r>
      <w:r w:rsidRPr="00F61497">
        <w:rPr>
          <w:lang w:val="es-ES_tradnl"/>
        </w:rPr>
        <w:t xml:space="preserve"> Uruguay.  </w:t>
      </w:r>
    </w:p>
    <w:p w14:paraId="669DEB40" w14:textId="77777777" w:rsidR="00D14D68" w:rsidRPr="0058134F" w:rsidRDefault="00D14D68" w:rsidP="00D14D68">
      <w:pPr>
        <w:pStyle w:val="FootnoteText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A924FE">
      <w:rPr>
        <w:noProof/>
        <w:sz w:val="22"/>
        <w:szCs w:val="22"/>
        <w:lang w:val="es"/>
      </w:rPr>
      <w:t>- 6 -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4724EEB7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77777777" w:rsidR="00921E9E" w:rsidRPr="004F38E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>
                            <w:rPr>
                              <w:b/>
                              <w:sz w:val="28"/>
                              <w:lang w:val="es"/>
                            </w:rPr>
                            <w:t xml:space="preserve">ORGANIZACIÓN DE LOS ESTADOS AMERICANOS </w:t>
                          </w:r>
                        </w:p>
                        <w:p w14:paraId="2CA4038B" w14:textId="77777777" w:rsidR="00921E9E" w:rsidRPr="004F38E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US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 xml:space="preserve">Consejo Interamericano para el Desarrollo Integral </w:t>
                          </w:r>
                        </w:p>
                        <w:p w14:paraId="2B28C50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l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" stroked="f">
              <v:textbox>
                <w:txbxContent>
                  <w:p w14:paraId="44131F49" w14:textId="77777777" w:rsidR="00921E9E" w:rsidRPr="004F38E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>
                      <w:rPr>
                        <w:b/>
                        <w:sz w:val="28"/>
                        <w:lang w:val="es"/>
                      </w:rPr>
                      <w:t xml:space="preserve">ORGANIZACIÓN DE LOS ESTADOS AMERICANOS </w:t>
                    </w:r>
                  </w:p>
                  <w:p w14:paraId="2CA4038B" w14:textId="77777777" w:rsidR="00921E9E" w:rsidRPr="004F38E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US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 xml:space="preserve">Consejo Interamericano para el Desarrollo Integral </w:t>
                    </w:r>
                  </w:p>
                  <w:p w14:paraId="2B28C50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87ABB"/>
    <w:multiLevelType w:val="hybridMultilevel"/>
    <w:tmpl w:val="1B3E65E0"/>
    <w:lvl w:ilvl="0" w:tplc="53B0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01CB4"/>
    <w:multiLevelType w:val="hybridMultilevel"/>
    <w:tmpl w:val="11C880F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B5C9B"/>
    <w:multiLevelType w:val="hybridMultilevel"/>
    <w:tmpl w:val="0246866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9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4"/>
  </w:num>
  <w:num w:numId="4">
    <w:abstractNumId w:val="39"/>
  </w:num>
  <w:num w:numId="5">
    <w:abstractNumId w:val="12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"/>
  </w:num>
  <w:num w:numId="10">
    <w:abstractNumId w:val="20"/>
  </w:num>
  <w:num w:numId="11">
    <w:abstractNumId w:val="25"/>
  </w:num>
  <w:num w:numId="12">
    <w:abstractNumId w:val="41"/>
  </w:num>
  <w:num w:numId="13">
    <w:abstractNumId w:val="19"/>
  </w:num>
  <w:num w:numId="14">
    <w:abstractNumId w:val="33"/>
  </w:num>
  <w:num w:numId="15">
    <w:abstractNumId w:val="18"/>
  </w:num>
  <w:num w:numId="16">
    <w:abstractNumId w:val="3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1"/>
  </w:num>
  <w:num w:numId="20">
    <w:abstractNumId w:val="3"/>
  </w:num>
  <w:num w:numId="21">
    <w:abstractNumId w:val="22"/>
  </w:num>
  <w:num w:numId="22">
    <w:abstractNumId w:val="5"/>
  </w:num>
  <w:num w:numId="23">
    <w:abstractNumId w:val="0"/>
  </w:num>
  <w:num w:numId="24">
    <w:abstractNumId w:val="38"/>
  </w:num>
  <w:num w:numId="25">
    <w:abstractNumId w:val="40"/>
  </w:num>
  <w:num w:numId="26">
    <w:abstractNumId w:val="30"/>
  </w:num>
  <w:num w:numId="27">
    <w:abstractNumId w:val="9"/>
  </w:num>
  <w:num w:numId="28">
    <w:abstractNumId w:val="37"/>
  </w:num>
  <w:num w:numId="29">
    <w:abstractNumId w:val="36"/>
  </w:num>
  <w:num w:numId="30">
    <w:abstractNumId w:val="14"/>
  </w:num>
  <w:num w:numId="31">
    <w:abstractNumId w:val="15"/>
  </w:num>
  <w:num w:numId="32">
    <w:abstractNumId w:val="32"/>
  </w:num>
  <w:num w:numId="33">
    <w:abstractNumId w:val="8"/>
  </w:num>
  <w:num w:numId="34">
    <w:abstractNumId w:val="23"/>
  </w:num>
  <w:num w:numId="35">
    <w:abstractNumId w:val="21"/>
  </w:num>
  <w:num w:numId="36">
    <w:abstractNumId w:val="11"/>
  </w:num>
  <w:num w:numId="37">
    <w:abstractNumId w:val="26"/>
  </w:num>
  <w:num w:numId="38">
    <w:abstractNumId w:val="7"/>
  </w:num>
  <w:num w:numId="39">
    <w:abstractNumId w:val="27"/>
  </w:num>
  <w:num w:numId="40">
    <w:abstractNumId w:val="6"/>
  </w:num>
  <w:num w:numId="41">
    <w:abstractNumId w:val="29"/>
  </w:num>
  <w:num w:numId="42">
    <w:abstractNumId w:val="16"/>
  </w:num>
  <w:num w:numId="43">
    <w:abstractNumId w:val="28"/>
  </w:num>
  <w:num w:numId="44">
    <w:abstractNumId w:val="1"/>
  </w:num>
  <w:num w:numId="45">
    <w:abstractNumId w:val="1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34C7"/>
    <w:rsid w:val="00011272"/>
    <w:rsid w:val="000129E8"/>
    <w:rsid w:val="0001300D"/>
    <w:rsid w:val="00013932"/>
    <w:rsid w:val="000205EC"/>
    <w:rsid w:val="0002644D"/>
    <w:rsid w:val="00032777"/>
    <w:rsid w:val="0003440C"/>
    <w:rsid w:val="000366B7"/>
    <w:rsid w:val="000427B5"/>
    <w:rsid w:val="00043B49"/>
    <w:rsid w:val="0004458F"/>
    <w:rsid w:val="00045E53"/>
    <w:rsid w:val="00050886"/>
    <w:rsid w:val="000533B5"/>
    <w:rsid w:val="0005466E"/>
    <w:rsid w:val="00055019"/>
    <w:rsid w:val="00055B43"/>
    <w:rsid w:val="00060836"/>
    <w:rsid w:val="00060E7D"/>
    <w:rsid w:val="00061861"/>
    <w:rsid w:val="00064A6B"/>
    <w:rsid w:val="00064DCC"/>
    <w:rsid w:val="00065A54"/>
    <w:rsid w:val="000661F4"/>
    <w:rsid w:val="00070537"/>
    <w:rsid w:val="0007134D"/>
    <w:rsid w:val="000736AA"/>
    <w:rsid w:val="00073CCC"/>
    <w:rsid w:val="00074325"/>
    <w:rsid w:val="000744A2"/>
    <w:rsid w:val="00074E66"/>
    <w:rsid w:val="00081FB4"/>
    <w:rsid w:val="000969F9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E313E"/>
    <w:rsid w:val="000E439E"/>
    <w:rsid w:val="000E6C8E"/>
    <w:rsid w:val="000F3A74"/>
    <w:rsid w:val="00100FE1"/>
    <w:rsid w:val="001010F8"/>
    <w:rsid w:val="00103208"/>
    <w:rsid w:val="001069A4"/>
    <w:rsid w:val="00106D57"/>
    <w:rsid w:val="00115533"/>
    <w:rsid w:val="001155B8"/>
    <w:rsid w:val="001170ED"/>
    <w:rsid w:val="001211B0"/>
    <w:rsid w:val="0012371A"/>
    <w:rsid w:val="001259E2"/>
    <w:rsid w:val="0012611C"/>
    <w:rsid w:val="001301D2"/>
    <w:rsid w:val="0013037E"/>
    <w:rsid w:val="00133A15"/>
    <w:rsid w:val="00134690"/>
    <w:rsid w:val="001405C9"/>
    <w:rsid w:val="0014140A"/>
    <w:rsid w:val="001416DF"/>
    <w:rsid w:val="00142D34"/>
    <w:rsid w:val="00146FB1"/>
    <w:rsid w:val="0014761F"/>
    <w:rsid w:val="00150AE4"/>
    <w:rsid w:val="00152D2E"/>
    <w:rsid w:val="00153DD8"/>
    <w:rsid w:val="001631D1"/>
    <w:rsid w:val="0016447F"/>
    <w:rsid w:val="00165F5E"/>
    <w:rsid w:val="0016660D"/>
    <w:rsid w:val="00166C73"/>
    <w:rsid w:val="001675EC"/>
    <w:rsid w:val="00171B89"/>
    <w:rsid w:val="00172D57"/>
    <w:rsid w:val="0017356B"/>
    <w:rsid w:val="0017389A"/>
    <w:rsid w:val="00180746"/>
    <w:rsid w:val="0018286A"/>
    <w:rsid w:val="00183C2C"/>
    <w:rsid w:val="001842C2"/>
    <w:rsid w:val="00187D59"/>
    <w:rsid w:val="00192A1A"/>
    <w:rsid w:val="00194645"/>
    <w:rsid w:val="00194B58"/>
    <w:rsid w:val="0019668A"/>
    <w:rsid w:val="001B0828"/>
    <w:rsid w:val="001B0AB0"/>
    <w:rsid w:val="001B193D"/>
    <w:rsid w:val="001B4D32"/>
    <w:rsid w:val="001C6DC5"/>
    <w:rsid w:val="001D0221"/>
    <w:rsid w:val="001D02E9"/>
    <w:rsid w:val="001D738C"/>
    <w:rsid w:val="001E0458"/>
    <w:rsid w:val="001E3150"/>
    <w:rsid w:val="001E3C78"/>
    <w:rsid w:val="001F2739"/>
    <w:rsid w:val="001F523C"/>
    <w:rsid w:val="0020125B"/>
    <w:rsid w:val="00201C73"/>
    <w:rsid w:val="0020227F"/>
    <w:rsid w:val="002024FE"/>
    <w:rsid w:val="00203839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AFE"/>
    <w:rsid w:val="00224C3F"/>
    <w:rsid w:val="00225597"/>
    <w:rsid w:val="00225B28"/>
    <w:rsid w:val="00233927"/>
    <w:rsid w:val="00234996"/>
    <w:rsid w:val="00235CB9"/>
    <w:rsid w:val="00236173"/>
    <w:rsid w:val="00237FB0"/>
    <w:rsid w:val="00246862"/>
    <w:rsid w:val="00250E6D"/>
    <w:rsid w:val="00253995"/>
    <w:rsid w:val="00256DD6"/>
    <w:rsid w:val="002613E4"/>
    <w:rsid w:val="00263DED"/>
    <w:rsid w:val="00264202"/>
    <w:rsid w:val="0026449A"/>
    <w:rsid w:val="00267E1B"/>
    <w:rsid w:val="0027412E"/>
    <w:rsid w:val="002772C8"/>
    <w:rsid w:val="00277682"/>
    <w:rsid w:val="00281CAA"/>
    <w:rsid w:val="002822E7"/>
    <w:rsid w:val="0028278B"/>
    <w:rsid w:val="00282ED9"/>
    <w:rsid w:val="00283827"/>
    <w:rsid w:val="00285FE8"/>
    <w:rsid w:val="0028696A"/>
    <w:rsid w:val="00286D8C"/>
    <w:rsid w:val="00291E8B"/>
    <w:rsid w:val="00292E95"/>
    <w:rsid w:val="002A03E9"/>
    <w:rsid w:val="002A1985"/>
    <w:rsid w:val="002A1CB2"/>
    <w:rsid w:val="002A1D17"/>
    <w:rsid w:val="002A3C38"/>
    <w:rsid w:val="002A3CB5"/>
    <w:rsid w:val="002A63EC"/>
    <w:rsid w:val="002B0898"/>
    <w:rsid w:val="002B2DE0"/>
    <w:rsid w:val="002B44E1"/>
    <w:rsid w:val="002C12AA"/>
    <w:rsid w:val="002C6B0D"/>
    <w:rsid w:val="002D15D5"/>
    <w:rsid w:val="002D412D"/>
    <w:rsid w:val="002E1F2D"/>
    <w:rsid w:val="002E2CC7"/>
    <w:rsid w:val="002E3DDA"/>
    <w:rsid w:val="002E4678"/>
    <w:rsid w:val="002E609F"/>
    <w:rsid w:val="002E7512"/>
    <w:rsid w:val="002F0A27"/>
    <w:rsid w:val="002F0AF9"/>
    <w:rsid w:val="002F25F2"/>
    <w:rsid w:val="002F5352"/>
    <w:rsid w:val="00305E93"/>
    <w:rsid w:val="00310D3E"/>
    <w:rsid w:val="0031130C"/>
    <w:rsid w:val="003116AC"/>
    <w:rsid w:val="00311EA4"/>
    <w:rsid w:val="0031291C"/>
    <w:rsid w:val="003143F1"/>
    <w:rsid w:val="003254F3"/>
    <w:rsid w:val="0032713A"/>
    <w:rsid w:val="003302CF"/>
    <w:rsid w:val="00335ABE"/>
    <w:rsid w:val="003366D5"/>
    <w:rsid w:val="0034010F"/>
    <w:rsid w:val="00345C27"/>
    <w:rsid w:val="00345DCF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1ACA"/>
    <w:rsid w:val="00362D68"/>
    <w:rsid w:val="00363233"/>
    <w:rsid w:val="0036681A"/>
    <w:rsid w:val="0037599C"/>
    <w:rsid w:val="003775B4"/>
    <w:rsid w:val="003805E5"/>
    <w:rsid w:val="00383385"/>
    <w:rsid w:val="003836D2"/>
    <w:rsid w:val="00385985"/>
    <w:rsid w:val="00390A70"/>
    <w:rsid w:val="00390D0F"/>
    <w:rsid w:val="003923A6"/>
    <w:rsid w:val="003945DC"/>
    <w:rsid w:val="003A5B70"/>
    <w:rsid w:val="003A6437"/>
    <w:rsid w:val="003B0B19"/>
    <w:rsid w:val="003B40C4"/>
    <w:rsid w:val="003B58B4"/>
    <w:rsid w:val="003C17C7"/>
    <w:rsid w:val="003C213C"/>
    <w:rsid w:val="003C332F"/>
    <w:rsid w:val="003C448A"/>
    <w:rsid w:val="003D0721"/>
    <w:rsid w:val="003D13AD"/>
    <w:rsid w:val="003D2362"/>
    <w:rsid w:val="003D4305"/>
    <w:rsid w:val="003D6278"/>
    <w:rsid w:val="003D7152"/>
    <w:rsid w:val="003E687F"/>
    <w:rsid w:val="003F023D"/>
    <w:rsid w:val="003F4FA0"/>
    <w:rsid w:val="003F6FF7"/>
    <w:rsid w:val="00402DD8"/>
    <w:rsid w:val="00405557"/>
    <w:rsid w:val="004064B3"/>
    <w:rsid w:val="004113BA"/>
    <w:rsid w:val="00413FE5"/>
    <w:rsid w:val="00414A9D"/>
    <w:rsid w:val="00421AA1"/>
    <w:rsid w:val="00423375"/>
    <w:rsid w:val="00424695"/>
    <w:rsid w:val="004279F5"/>
    <w:rsid w:val="004324F2"/>
    <w:rsid w:val="00433E13"/>
    <w:rsid w:val="004357CD"/>
    <w:rsid w:val="00445837"/>
    <w:rsid w:val="004460F9"/>
    <w:rsid w:val="00450F38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B48"/>
    <w:rsid w:val="004732D7"/>
    <w:rsid w:val="00476154"/>
    <w:rsid w:val="00476255"/>
    <w:rsid w:val="004774F0"/>
    <w:rsid w:val="00490731"/>
    <w:rsid w:val="00493B12"/>
    <w:rsid w:val="004943F6"/>
    <w:rsid w:val="00495215"/>
    <w:rsid w:val="0049625D"/>
    <w:rsid w:val="00496643"/>
    <w:rsid w:val="00496977"/>
    <w:rsid w:val="00496BBC"/>
    <w:rsid w:val="00497068"/>
    <w:rsid w:val="004A1D26"/>
    <w:rsid w:val="004A4116"/>
    <w:rsid w:val="004A6065"/>
    <w:rsid w:val="004A7C48"/>
    <w:rsid w:val="004B1D9A"/>
    <w:rsid w:val="004B2B39"/>
    <w:rsid w:val="004B301B"/>
    <w:rsid w:val="004B3050"/>
    <w:rsid w:val="004B387B"/>
    <w:rsid w:val="004B5C41"/>
    <w:rsid w:val="004B6550"/>
    <w:rsid w:val="004B6C1E"/>
    <w:rsid w:val="004C13FA"/>
    <w:rsid w:val="004C1DF5"/>
    <w:rsid w:val="004C4A50"/>
    <w:rsid w:val="004C73A7"/>
    <w:rsid w:val="004D2279"/>
    <w:rsid w:val="004D3097"/>
    <w:rsid w:val="004D44C9"/>
    <w:rsid w:val="004D46FE"/>
    <w:rsid w:val="004D5D8F"/>
    <w:rsid w:val="004D5E4E"/>
    <w:rsid w:val="004E4195"/>
    <w:rsid w:val="004F0AD2"/>
    <w:rsid w:val="004F0EF3"/>
    <w:rsid w:val="004F0F63"/>
    <w:rsid w:val="004F29FC"/>
    <w:rsid w:val="004F38E1"/>
    <w:rsid w:val="004F4571"/>
    <w:rsid w:val="004F6805"/>
    <w:rsid w:val="0050011F"/>
    <w:rsid w:val="00502854"/>
    <w:rsid w:val="005061E1"/>
    <w:rsid w:val="0050667F"/>
    <w:rsid w:val="005076B4"/>
    <w:rsid w:val="00510EDF"/>
    <w:rsid w:val="005112C3"/>
    <w:rsid w:val="00513B4E"/>
    <w:rsid w:val="00514EDB"/>
    <w:rsid w:val="00515B70"/>
    <w:rsid w:val="00517A3F"/>
    <w:rsid w:val="0052023C"/>
    <w:rsid w:val="00527F6D"/>
    <w:rsid w:val="005336D0"/>
    <w:rsid w:val="0053678B"/>
    <w:rsid w:val="00540938"/>
    <w:rsid w:val="005421E0"/>
    <w:rsid w:val="005462E3"/>
    <w:rsid w:val="0055186F"/>
    <w:rsid w:val="005533CC"/>
    <w:rsid w:val="00556CA2"/>
    <w:rsid w:val="00561183"/>
    <w:rsid w:val="0056295B"/>
    <w:rsid w:val="00564C90"/>
    <w:rsid w:val="00564FA3"/>
    <w:rsid w:val="005679D8"/>
    <w:rsid w:val="00575576"/>
    <w:rsid w:val="00577517"/>
    <w:rsid w:val="0058420A"/>
    <w:rsid w:val="00591CC8"/>
    <w:rsid w:val="00594069"/>
    <w:rsid w:val="00597477"/>
    <w:rsid w:val="005A5372"/>
    <w:rsid w:val="005A53C5"/>
    <w:rsid w:val="005A599A"/>
    <w:rsid w:val="005B2287"/>
    <w:rsid w:val="005B2929"/>
    <w:rsid w:val="005B5F61"/>
    <w:rsid w:val="005B7D03"/>
    <w:rsid w:val="005C20AF"/>
    <w:rsid w:val="005C3C0B"/>
    <w:rsid w:val="005C5181"/>
    <w:rsid w:val="005C617D"/>
    <w:rsid w:val="005C7638"/>
    <w:rsid w:val="005D1365"/>
    <w:rsid w:val="005D1D57"/>
    <w:rsid w:val="005D2F73"/>
    <w:rsid w:val="005D44CE"/>
    <w:rsid w:val="005D4ECD"/>
    <w:rsid w:val="005D5589"/>
    <w:rsid w:val="005D5A6F"/>
    <w:rsid w:val="005D74F2"/>
    <w:rsid w:val="005E085B"/>
    <w:rsid w:val="005E1785"/>
    <w:rsid w:val="005E4627"/>
    <w:rsid w:val="005F1964"/>
    <w:rsid w:val="005F29C1"/>
    <w:rsid w:val="005F78BB"/>
    <w:rsid w:val="005F7B63"/>
    <w:rsid w:val="00601200"/>
    <w:rsid w:val="00601668"/>
    <w:rsid w:val="00602399"/>
    <w:rsid w:val="00602980"/>
    <w:rsid w:val="006123C5"/>
    <w:rsid w:val="00612E0C"/>
    <w:rsid w:val="006148C2"/>
    <w:rsid w:val="006174D9"/>
    <w:rsid w:val="00622F41"/>
    <w:rsid w:val="00631FB8"/>
    <w:rsid w:val="00634271"/>
    <w:rsid w:val="00634E7B"/>
    <w:rsid w:val="00635145"/>
    <w:rsid w:val="0063562A"/>
    <w:rsid w:val="00636F9C"/>
    <w:rsid w:val="006374D0"/>
    <w:rsid w:val="00642E66"/>
    <w:rsid w:val="0064648A"/>
    <w:rsid w:val="00647CB9"/>
    <w:rsid w:val="00650EFA"/>
    <w:rsid w:val="00655B90"/>
    <w:rsid w:val="00656B5A"/>
    <w:rsid w:val="00661424"/>
    <w:rsid w:val="00663D49"/>
    <w:rsid w:val="00663FF7"/>
    <w:rsid w:val="00666B25"/>
    <w:rsid w:val="00670A7C"/>
    <w:rsid w:val="00670E8A"/>
    <w:rsid w:val="006711F3"/>
    <w:rsid w:val="006734B2"/>
    <w:rsid w:val="00675F54"/>
    <w:rsid w:val="006803D0"/>
    <w:rsid w:val="00680EA5"/>
    <w:rsid w:val="006839FF"/>
    <w:rsid w:val="006845D4"/>
    <w:rsid w:val="00685580"/>
    <w:rsid w:val="00686FEA"/>
    <w:rsid w:val="00691B9D"/>
    <w:rsid w:val="00691F10"/>
    <w:rsid w:val="0069262F"/>
    <w:rsid w:val="00694D58"/>
    <w:rsid w:val="006A0998"/>
    <w:rsid w:val="006A1A6B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710A"/>
    <w:rsid w:val="006C6F0E"/>
    <w:rsid w:val="006C7485"/>
    <w:rsid w:val="006D11BB"/>
    <w:rsid w:val="006D1E13"/>
    <w:rsid w:val="006D5A66"/>
    <w:rsid w:val="006D7239"/>
    <w:rsid w:val="006E25B8"/>
    <w:rsid w:val="006E4B41"/>
    <w:rsid w:val="006E6990"/>
    <w:rsid w:val="006F0712"/>
    <w:rsid w:val="006F1262"/>
    <w:rsid w:val="006F4488"/>
    <w:rsid w:val="006F6D5F"/>
    <w:rsid w:val="007026A5"/>
    <w:rsid w:val="007032D4"/>
    <w:rsid w:val="007051B5"/>
    <w:rsid w:val="00712521"/>
    <w:rsid w:val="00713D82"/>
    <w:rsid w:val="007147F0"/>
    <w:rsid w:val="0071494C"/>
    <w:rsid w:val="00716596"/>
    <w:rsid w:val="00721843"/>
    <w:rsid w:val="00722693"/>
    <w:rsid w:val="00723DE2"/>
    <w:rsid w:val="00723EE9"/>
    <w:rsid w:val="007248F2"/>
    <w:rsid w:val="0072562F"/>
    <w:rsid w:val="00726214"/>
    <w:rsid w:val="00730E0A"/>
    <w:rsid w:val="00731A03"/>
    <w:rsid w:val="0073209A"/>
    <w:rsid w:val="007325A6"/>
    <w:rsid w:val="0073480E"/>
    <w:rsid w:val="00735782"/>
    <w:rsid w:val="00742105"/>
    <w:rsid w:val="00743DD7"/>
    <w:rsid w:val="007443E9"/>
    <w:rsid w:val="00753D41"/>
    <w:rsid w:val="00756232"/>
    <w:rsid w:val="0076198A"/>
    <w:rsid w:val="007638EF"/>
    <w:rsid w:val="007648E4"/>
    <w:rsid w:val="007703A2"/>
    <w:rsid w:val="007714C3"/>
    <w:rsid w:val="00772F05"/>
    <w:rsid w:val="00777049"/>
    <w:rsid w:val="0078166A"/>
    <w:rsid w:val="00781CB8"/>
    <w:rsid w:val="00781D3F"/>
    <w:rsid w:val="00782CE9"/>
    <w:rsid w:val="00783480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307C"/>
    <w:rsid w:val="007A597F"/>
    <w:rsid w:val="007A7104"/>
    <w:rsid w:val="007B08BF"/>
    <w:rsid w:val="007B0967"/>
    <w:rsid w:val="007B171E"/>
    <w:rsid w:val="007B2DE5"/>
    <w:rsid w:val="007B3903"/>
    <w:rsid w:val="007B5591"/>
    <w:rsid w:val="007B6A70"/>
    <w:rsid w:val="007B6AD7"/>
    <w:rsid w:val="007B7D90"/>
    <w:rsid w:val="007C2A94"/>
    <w:rsid w:val="007C38B9"/>
    <w:rsid w:val="007C42A2"/>
    <w:rsid w:val="007C565B"/>
    <w:rsid w:val="007C6CAB"/>
    <w:rsid w:val="007D0B50"/>
    <w:rsid w:val="007D1BF7"/>
    <w:rsid w:val="007D2223"/>
    <w:rsid w:val="007D3DC1"/>
    <w:rsid w:val="007D5C3E"/>
    <w:rsid w:val="007D6421"/>
    <w:rsid w:val="007D764E"/>
    <w:rsid w:val="007E4931"/>
    <w:rsid w:val="007E4BB3"/>
    <w:rsid w:val="007E57B0"/>
    <w:rsid w:val="007E6D06"/>
    <w:rsid w:val="007F13AB"/>
    <w:rsid w:val="007F22EF"/>
    <w:rsid w:val="007F2774"/>
    <w:rsid w:val="007F3CF5"/>
    <w:rsid w:val="007F764A"/>
    <w:rsid w:val="00801C23"/>
    <w:rsid w:val="008023AC"/>
    <w:rsid w:val="008026FE"/>
    <w:rsid w:val="00804323"/>
    <w:rsid w:val="00804DA9"/>
    <w:rsid w:val="00812E45"/>
    <w:rsid w:val="00815A1F"/>
    <w:rsid w:val="00820F66"/>
    <w:rsid w:val="00821E7C"/>
    <w:rsid w:val="0082268A"/>
    <w:rsid w:val="008260C9"/>
    <w:rsid w:val="00827358"/>
    <w:rsid w:val="0083249C"/>
    <w:rsid w:val="008365F4"/>
    <w:rsid w:val="00836740"/>
    <w:rsid w:val="00836CCC"/>
    <w:rsid w:val="0084046A"/>
    <w:rsid w:val="00845965"/>
    <w:rsid w:val="0085184E"/>
    <w:rsid w:val="00852DA4"/>
    <w:rsid w:val="00856DC9"/>
    <w:rsid w:val="00860083"/>
    <w:rsid w:val="00860DE1"/>
    <w:rsid w:val="00862858"/>
    <w:rsid w:val="008632F7"/>
    <w:rsid w:val="0086513E"/>
    <w:rsid w:val="00865686"/>
    <w:rsid w:val="00865B5C"/>
    <w:rsid w:val="00870FD9"/>
    <w:rsid w:val="008814B8"/>
    <w:rsid w:val="008819DA"/>
    <w:rsid w:val="00887157"/>
    <w:rsid w:val="00887A65"/>
    <w:rsid w:val="0089063B"/>
    <w:rsid w:val="00890C34"/>
    <w:rsid w:val="008916E8"/>
    <w:rsid w:val="008917B9"/>
    <w:rsid w:val="00892C1A"/>
    <w:rsid w:val="00894F52"/>
    <w:rsid w:val="00896014"/>
    <w:rsid w:val="008A2F14"/>
    <w:rsid w:val="008A34DD"/>
    <w:rsid w:val="008B4134"/>
    <w:rsid w:val="008B5AF8"/>
    <w:rsid w:val="008B5E4C"/>
    <w:rsid w:val="008B7715"/>
    <w:rsid w:val="008C254E"/>
    <w:rsid w:val="008D2C52"/>
    <w:rsid w:val="008D487B"/>
    <w:rsid w:val="008D57AD"/>
    <w:rsid w:val="008D6555"/>
    <w:rsid w:val="008E3561"/>
    <w:rsid w:val="008E4A93"/>
    <w:rsid w:val="008F2B9A"/>
    <w:rsid w:val="008F747C"/>
    <w:rsid w:val="0090209F"/>
    <w:rsid w:val="00902338"/>
    <w:rsid w:val="00902E94"/>
    <w:rsid w:val="00903889"/>
    <w:rsid w:val="00903C16"/>
    <w:rsid w:val="009054CB"/>
    <w:rsid w:val="00907232"/>
    <w:rsid w:val="00910645"/>
    <w:rsid w:val="00920492"/>
    <w:rsid w:val="00920867"/>
    <w:rsid w:val="00920F2A"/>
    <w:rsid w:val="00921B83"/>
    <w:rsid w:val="00921E9E"/>
    <w:rsid w:val="00922D98"/>
    <w:rsid w:val="00924BA1"/>
    <w:rsid w:val="009304AE"/>
    <w:rsid w:val="00934387"/>
    <w:rsid w:val="00934888"/>
    <w:rsid w:val="0093527F"/>
    <w:rsid w:val="00941B38"/>
    <w:rsid w:val="00942059"/>
    <w:rsid w:val="00942174"/>
    <w:rsid w:val="00943F3F"/>
    <w:rsid w:val="00945D81"/>
    <w:rsid w:val="009571C8"/>
    <w:rsid w:val="00960E3D"/>
    <w:rsid w:val="0096142F"/>
    <w:rsid w:val="00962EF0"/>
    <w:rsid w:val="00965A6D"/>
    <w:rsid w:val="009708DF"/>
    <w:rsid w:val="0097131C"/>
    <w:rsid w:val="00984450"/>
    <w:rsid w:val="00984C5A"/>
    <w:rsid w:val="00986E8C"/>
    <w:rsid w:val="009979A7"/>
    <w:rsid w:val="009A0557"/>
    <w:rsid w:val="009A194A"/>
    <w:rsid w:val="009B2AE9"/>
    <w:rsid w:val="009B2F59"/>
    <w:rsid w:val="009B307F"/>
    <w:rsid w:val="009B7761"/>
    <w:rsid w:val="009C0065"/>
    <w:rsid w:val="009C3EA4"/>
    <w:rsid w:val="009C5117"/>
    <w:rsid w:val="009C6DA5"/>
    <w:rsid w:val="009C6F26"/>
    <w:rsid w:val="009C75F5"/>
    <w:rsid w:val="009C7AAB"/>
    <w:rsid w:val="009D425A"/>
    <w:rsid w:val="009E01E7"/>
    <w:rsid w:val="009E628C"/>
    <w:rsid w:val="009F0791"/>
    <w:rsid w:val="009F0C3E"/>
    <w:rsid w:val="009F36D6"/>
    <w:rsid w:val="009F378B"/>
    <w:rsid w:val="009F392F"/>
    <w:rsid w:val="009F5A8B"/>
    <w:rsid w:val="00A06676"/>
    <w:rsid w:val="00A06AF5"/>
    <w:rsid w:val="00A06FE9"/>
    <w:rsid w:val="00A0711F"/>
    <w:rsid w:val="00A115F5"/>
    <w:rsid w:val="00A12EA0"/>
    <w:rsid w:val="00A13E2C"/>
    <w:rsid w:val="00A14C3C"/>
    <w:rsid w:val="00A178FB"/>
    <w:rsid w:val="00A21F96"/>
    <w:rsid w:val="00A232CD"/>
    <w:rsid w:val="00A256AB"/>
    <w:rsid w:val="00A30FFC"/>
    <w:rsid w:val="00A31AAD"/>
    <w:rsid w:val="00A323C5"/>
    <w:rsid w:val="00A34777"/>
    <w:rsid w:val="00A34E6E"/>
    <w:rsid w:val="00A36552"/>
    <w:rsid w:val="00A40903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81E45"/>
    <w:rsid w:val="00A840AC"/>
    <w:rsid w:val="00A851C2"/>
    <w:rsid w:val="00A86D6C"/>
    <w:rsid w:val="00A870BA"/>
    <w:rsid w:val="00A9203C"/>
    <w:rsid w:val="00A924FE"/>
    <w:rsid w:val="00A946F7"/>
    <w:rsid w:val="00A95113"/>
    <w:rsid w:val="00A95E01"/>
    <w:rsid w:val="00A96D30"/>
    <w:rsid w:val="00A97B79"/>
    <w:rsid w:val="00AA2AE0"/>
    <w:rsid w:val="00AA7CBB"/>
    <w:rsid w:val="00AB0A11"/>
    <w:rsid w:val="00AB18ED"/>
    <w:rsid w:val="00AB4DE4"/>
    <w:rsid w:val="00AB7175"/>
    <w:rsid w:val="00AB7642"/>
    <w:rsid w:val="00AB7A69"/>
    <w:rsid w:val="00AC29B0"/>
    <w:rsid w:val="00AC3A0C"/>
    <w:rsid w:val="00AC3D69"/>
    <w:rsid w:val="00AC4232"/>
    <w:rsid w:val="00AC641C"/>
    <w:rsid w:val="00AC7FA2"/>
    <w:rsid w:val="00AD3A51"/>
    <w:rsid w:val="00AD4B7D"/>
    <w:rsid w:val="00AD6394"/>
    <w:rsid w:val="00AD72C9"/>
    <w:rsid w:val="00AE0E88"/>
    <w:rsid w:val="00AE13AF"/>
    <w:rsid w:val="00AF06BC"/>
    <w:rsid w:val="00AF0C03"/>
    <w:rsid w:val="00B10D70"/>
    <w:rsid w:val="00B11CDC"/>
    <w:rsid w:val="00B14A42"/>
    <w:rsid w:val="00B16016"/>
    <w:rsid w:val="00B234AF"/>
    <w:rsid w:val="00B241C0"/>
    <w:rsid w:val="00B27F1B"/>
    <w:rsid w:val="00B33F4A"/>
    <w:rsid w:val="00B34C06"/>
    <w:rsid w:val="00B37C1B"/>
    <w:rsid w:val="00B37D65"/>
    <w:rsid w:val="00B40DC8"/>
    <w:rsid w:val="00B430CF"/>
    <w:rsid w:val="00B43107"/>
    <w:rsid w:val="00B43169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71785"/>
    <w:rsid w:val="00B739D0"/>
    <w:rsid w:val="00B80622"/>
    <w:rsid w:val="00B8071C"/>
    <w:rsid w:val="00B8324F"/>
    <w:rsid w:val="00B847B7"/>
    <w:rsid w:val="00B86EA8"/>
    <w:rsid w:val="00B87211"/>
    <w:rsid w:val="00B90CD0"/>
    <w:rsid w:val="00B930C9"/>
    <w:rsid w:val="00B94C7D"/>
    <w:rsid w:val="00B96148"/>
    <w:rsid w:val="00B97D8D"/>
    <w:rsid w:val="00BA0EED"/>
    <w:rsid w:val="00BA2194"/>
    <w:rsid w:val="00BA3604"/>
    <w:rsid w:val="00BA3A85"/>
    <w:rsid w:val="00BB0341"/>
    <w:rsid w:val="00BB0755"/>
    <w:rsid w:val="00BB0A02"/>
    <w:rsid w:val="00BB4A78"/>
    <w:rsid w:val="00BB5E0B"/>
    <w:rsid w:val="00BB7135"/>
    <w:rsid w:val="00BC149E"/>
    <w:rsid w:val="00BC28DA"/>
    <w:rsid w:val="00BC3CED"/>
    <w:rsid w:val="00BC5445"/>
    <w:rsid w:val="00BC6A7D"/>
    <w:rsid w:val="00BC78C5"/>
    <w:rsid w:val="00BC7B0E"/>
    <w:rsid w:val="00BD00A0"/>
    <w:rsid w:val="00BD2433"/>
    <w:rsid w:val="00BD4B3F"/>
    <w:rsid w:val="00BD6CF4"/>
    <w:rsid w:val="00BE0DFE"/>
    <w:rsid w:val="00BE3015"/>
    <w:rsid w:val="00BF1293"/>
    <w:rsid w:val="00BF3B28"/>
    <w:rsid w:val="00BF5B49"/>
    <w:rsid w:val="00C02DB7"/>
    <w:rsid w:val="00C02DEE"/>
    <w:rsid w:val="00C05556"/>
    <w:rsid w:val="00C05F5D"/>
    <w:rsid w:val="00C11323"/>
    <w:rsid w:val="00C1307A"/>
    <w:rsid w:val="00C14A3E"/>
    <w:rsid w:val="00C15481"/>
    <w:rsid w:val="00C15EF3"/>
    <w:rsid w:val="00C2226C"/>
    <w:rsid w:val="00C223D4"/>
    <w:rsid w:val="00C30643"/>
    <w:rsid w:val="00C3079C"/>
    <w:rsid w:val="00C35FD0"/>
    <w:rsid w:val="00C41591"/>
    <w:rsid w:val="00C45F98"/>
    <w:rsid w:val="00C4655D"/>
    <w:rsid w:val="00C46BCF"/>
    <w:rsid w:val="00C47A8B"/>
    <w:rsid w:val="00C51DDA"/>
    <w:rsid w:val="00C52216"/>
    <w:rsid w:val="00C53DB0"/>
    <w:rsid w:val="00C607E3"/>
    <w:rsid w:val="00C611B0"/>
    <w:rsid w:val="00C61825"/>
    <w:rsid w:val="00C619FD"/>
    <w:rsid w:val="00C629B2"/>
    <w:rsid w:val="00C6456D"/>
    <w:rsid w:val="00C67644"/>
    <w:rsid w:val="00C7616A"/>
    <w:rsid w:val="00C81A83"/>
    <w:rsid w:val="00C83349"/>
    <w:rsid w:val="00C83518"/>
    <w:rsid w:val="00C83711"/>
    <w:rsid w:val="00C8384A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A35"/>
    <w:rsid w:val="00CB2F2F"/>
    <w:rsid w:val="00CB7C5C"/>
    <w:rsid w:val="00CC0341"/>
    <w:rsid w:val="00CC49AE"/>
    <w:rsid w:val="00CC550E"/>
    <w:rsid w:val="00CC5B7C"/>
    <w:rsid w:val="00CC7FAC"/>
    <w:rsid w:val="00CD3A0E"/>
    <w:rsid w:val="00CD3B89"/>
    <w:rsid w:val="00CD472D"/>
    <w:rsid w:val="00CD49CB"/>
    <w:rsid w:val="00CE26A3"/>
    <w:rsid w:val="00CE4110"/>
    <w:rsid w:val="00CE52EB"/>
    <w:rsid w:val="00CF4554"/>
    <w:rsid w:val="00CF4D95"/>
    <w:rsid w:val="00CF5033"/>
    <w:rsid w:val="00CF629A"/>
    <w:rsid w:val="00CF6933"/>
    <w:rsid w:val="00CF6FDB"/>
    <w:rsid w:val="00D0030D"/>
    <w:rsid w:val="00D07BD9"/>
    <w:rsid w:val="00D108CD"/>
    <w:rsid w:val="00D12A50"/>
    <w:rsid w:val="00D14D68"/>
    <w:rsid w:val="00D173F8"/>
    <w:rsid w:val="00D179B6"/>
    <w:rsid w:val="00D22FE3"/>
    <w:rsid w:val="00D307BF"/>
    <w:rsid w:val="00D3132C"/>
    <w:rsid w:val="00D31989"/>
    <w:rsid w:val="00D324C0"/>
    <w:rsid w:val="00D32A6A"/>
    <w:rsid w:val="00D41A87"/>
    <w:rsid w:val="00D52F3D"/>
    <w:rsid w:val="00D57730"/>
    <w:rsid w:val="00D57E47"/>
    <w:rsid w:val="00D602AD"/>
    <w:rsid w:val="00D610E3"/>
    <w:rsid w:val="00D643E9"/>
    <w:rsid w:val="00D64EA6"/>
    <w:rsid w:val="00D6769E"/>
    <w:rsid w:val="00D676CC"/>
    <w:rsid w:val="00D71ED9"/>
    <w:rsid w:val="00D752E0"/>
    <w:rsid w:val="00D80335"/>
    <w:rsid w:val="00D8755F"/>
    <w:rsid w:val="00D93A61"/>
    <w:rsid w:val="00D956FD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D0139"/>
    <w:rsid w:val="00DD0DD6"/>
    <w:rsid w:val="00DD14D2"/>
    <w:rsid w:val="00DD2368"/>
    <w:rsid w:val="00DD2D47"/>
    <w:rsid w:val="00DD505E"/>
    <w:rsid w:val="00DE0405"/>
    <w:rsid w:val="00DE2DA4"/>
    <w:rsid w:val="00DE2EB1"/>
    <w:rsid w:val="00DE36D5"/>
    <w:rsid w:val="00DE39A3"/>
    <w:rsid w:val="00DF12CD"/>
    <w:rsid w:val="00DF60D0"/>
    <w:rsid w:val="00E00527"/>
    <w:rsid w:val="00E0149A"/>
    <w:rsid w:val="00E0378E"/>
    <w:rsid w:val="00E0439B"/>
    <w:rsid w:val="00E0528B"/>
    <w:rsid w:val="00E05817"/>
    <w:rsid w:val="00E06590"/>
    <w:rsid w:val="00E072BE"/>
    <w:rsid w:val="00E115B5"/>
    <w:rsid w:val="00E121E7"/>
    <w:rsid w:val="00E1293F"/>
    <w:rsid w:val="00E12BDF"/>
    <w:rsid w:val="00E16177"/>
    <w:rsid w:val="00E209E8"/>
    <w:rsid w:val="00E22A0F"/>
    <w:rsid w:val="00E23168"/>
    <w:rsid w:val="00E24342"/>
    <w:rsid w:val="00E3284A"/>
    <w:rsid w:val="00E351A1"/>
    <w:rsid w:val="00E40079"/>
    <w:rsid w:val="00E40D0E"/>
    <w:rsid w:val="00E423A7"/>
    <w:rsid w:val="00E50C47"/>
    <w:rsid w:val="00E51CC2"/>
    <w:rsid w:val="00E55047"/>
    <w:rsid w:val="00E55B8A"/>
    <w:rsid w:val="00E61585"/>
    <w:rsid w:val="00E62556"/>
    <w:rsid w:val="00E65762"/>
    <w:rsid w:val="00E65892"/>
    <w:rsid w:val="00E75DF0"/>
    <w:rsid w:val="00E768B6"/>
    <w:rsid w:val="00E81A17"/>
    <w:rsid w:val="00E83BE7"/>
    <w:rsid w:val="00E90F30"/>
    <w:rsid w:val="00E946CB"/>
    <w:rsid w:val="00EA008C"/>
    <w:rsid w:val="00EA01A8"/>
    <w:rsid w:val="00EA7DE7"/>
    <w:rsid w:val="00EB09BC"/>
    <w:rsid w:val="00EB69E3"/>
    <w:rsid w:val="00EB7237"/>
    <w:rsid w:val="00EB7C4A"/>
    <w:rsid w:val="00EC00D8"/>
    <w:rsid w:val="00EC35C0"/>
    <w:rsid w:val="00EC4BFD"/>
    <w:rsid w:val="00EC5E91"/>
    <w:rsid w:val="00EC7711"/>
    <w:rsid w:val="00EC77E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40F8"/>
    <w:rsid w:val="00F0479A"/>
    <w:rsid w:val="00F068C1"/>
    <w:rsid w:val="00F06E39"/>
    <w:rsid w:val="00F103CE"/>
    <w:rsid w:val="00F12D31"/>
    <w:rsid w:val="00F213D6"/>
    <w:rsid w:val="00F256C7"/>
    <w:rsid w:val="00F31B9A"/>
    <w:rsid w:val="00F35272"/>
    <w:rsid w:val="00F35671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63010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2046"/>
    <w:rsid w:val="00F82C91"/>
    <w:rsid w:val="00F87541"/>
    <w:rsid w:val="00F91F7C"/>
    <w:rsid w:val="00FA607C"/>
    <w:rsid w:val="00FA61C9"/>
    <w:rsid w:val="00FA6A04"/>
    <w:rsid w:val="00FA771B"/>
    <w:rsid w:val="00FA7D08"/>
    <w:rsid w:val="00FB0853"/>
    <w:rsid w:val="00FB0CBD"/>
    <w:rsid w:val="00FB33AD"/>
    <w:rsid w:val="00FB4770"/>
    <w:rsid w:val="00FB53DB"/>
    <w:rsid w:val="00FB6445"/>
    <w:rsid w:val="00FC0500"/>
    <w:rsid w:val="00FC16EC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AA0"/>
    <w:rsid w:val="00FF2762"/>
    <w:rsid w:val="00FF4055"/>
    <w:rsid w:val="00FF4097"/>
    <w:rsid w:val="00FF48BA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0F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remdesiv/Documentos/CIDES00183S02.DO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E8988-1FDC-45A1-B239-279DAFB3BD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2021-06-15T17:56:00Z</cp:lastPrinted>
  <dcterms:created xsi:type="dcterms:W3CDTF">2022-02-22T20:43:00Z</dcterms:created>
  <dcterms:modified xsi:type="dcterms:W3CDTF">2022-02-22T20:44:00Z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