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C658A" w14:textId="2EAF26BC" w:rsidR="00D25C2D" w:rsidRPr="005D062F" w:rsidRDefault="00D25C2D" w:rsidP="00CB030B">
      <w:pPr>
        <w:ind w:left="6480" w:firstLine="720"/>
        <w:rPr>
          <w:rFonts w:ascii="Times New Roman" w:hAnsi="Times New Roman" w:cs="Times New Roman"/>
          <w:sz w:val="22"/>
          <w:szCs w:val="22"/>
          <w:lang w:val="pt-BR"/>
        </w:rPr>
      </w:pPr>
      <w:r w:rsidRPr="005D062F">
        <w:rPr>
          <w:rFonts w:ascii="Times New Roman" w:hAnsi="Times New Roman" w:cs="Times New Roman"/>
          <w:sz w:val="22"/>
          <w:szCs w:val="22"/>
          <w:lang w:val="pt-BR"/>
        </w:rPr>
        <w:t>OEA/Ser.W</w:t>
      </w:r>
    </w:p>
    <w:p w14:paraId="7CB0244A" w14:textId="1DA6F8C7" w:rsidR="00D25C2D" w:rsidRPr="00505DA2" w:rsidRDefault="007938F7" w:rsidP="007938F7">
      <w:pPr>
        <w:tabs>
          <w:tab w:val="left" w:pos="6930"/>
          <w:tab w:val="left" w:pos="7110"/>
        </w:tabs>
        <w:ind w:firstLine="720"/>
        <w:jc w:val="center"/>
        <w:rPr>
          <w:rFonts w:ascii="Times New Roman" w:hAnsi="Times New Roman" w:cs="Times New Roman"/>
          <w:sz w:val="22"/>
          <w:szCs w:val="22"/>
          <w:lang w:val="fr-CA"/>
        </w:rPr>
      </w:pPr>
      <w:r w:rsidRPr="005D062F">
        <w:rPr>
          <w:rFonts w:ascii="Times New Roman" w:hAnsi="Times New Roman" w:cs="Times New Roman"/>
          <w:sz w:val="22"/>
          <w:szCs w:val="22"/>
          <w:lang w:val="pt-BR"/>
        </w:rPr>
        <w:tab/>
      </w:r>
      <w:r w:rsidR="00D25C2D" w:rsidRPr="00505DA2">
        <w:rPr>
          <w:rFonts w:ascii="Times New Roman" w:hAnsi="Times New Roman" w:cs="Times New Roman"/>
          <w:sz w:val="22"/>
          <w:szCs w:val="22"/>
          <w:lang w:val="fr-CA"/>
        </w:rPr>
        <w:t>CIDI/doc.</w:t>
      </w:r>
      <w:r w:rsidRPr="00505DA2">
        <w:rPr>
          <w:rFonts w:ascii="Times New Roman" w:hAnsi="Times New Roman" w:cs="Times New Roman"/>
          <w:sz w:val="22"/>
          <w:szCs w:val="22"/>
          <w:lang w:val="fr-CA"/>
        </w:rPr>
        <w:t>371/2</w:t>
      </w:r>
      <w:r w:rsidR="00505DA2">
        <w:rPr>
          <w:rFonts w:ascii="Times New Roman" w:hAnsi="Times New Roman" w:cs="Times New Roman"/>
          <w:sz w:val="22"/>
          <w:szCs w:val="22"/>
          <w:lang w:val="fr-CA"/>
        </w:rPr>
        <w:t>3</w:t>
      </w:r>
      <w:r w:rsidR="005C5CB6" w:rsidRPr="00505DA2">
        <w:rPr>
          <w:rFonts w:ascii="Times New Roman" w:hAnsi="Times New Roman" w:cs="Times New Roman"/>
          <w:sz w:val="22"/>
          <w:szCs w:val="22"/>
          <w:lang w:val="fr-CA"/>
        </w:rPr>
        <w:t xml:space="preserve"> </w:t>
      </w:r>
      <w:r w:rsidR="00505DA2" w:rsidRPr="00505DA2">
        <w:rPr>
          <w:rFonts w:ascii="Times New Roman" w:hAnsi="Times New Roman" w:cs="Times New Roman"/>
          <w:sz w:val="22"/>
          <w:szCs w:val="22"/>
          <w:lang w:val="fr-CA"/>
        </w:rPr>
        <w:t>rev</w:t>
      </w:r>
      <w:r w:rsidR="00505DA2">
        <w:rPr>
          <w:rFonts w:ascii="Times New Roman" w:hAnsi="Times New Roman" w:cs="Times New Roman"/>
          <w:sz w:val="22"/>
          <w:szCs w:val="22"/>
          <w:lang w:val="fr-CA"/>
        </w:rPr>
        <w:t>.</w:t>
      </w:r>
      <w:r w:rsidR="00295FB4">
        <w:rPr>
          <w:rFonts w:ascii="Times New Roman" w:hAnsi="Times New Roman" w:cs="Times New Roman"/>
          <w:sz w:val="22"/>
          <w:szCs w:val="22"/>
          <w:lang w:val="fr-CA"/>
        </w:rPr>
        <w:t>1</w:t>
      </w:r>
    </w:p>
    <w:p w14:paraId="0C6D1DD4" w14:textId="45F1AFE7" w:rsidR="00D25C2D" w:rsidRPr="00505DA2" w:rsidRDefault="00505DA2" w:rsidP="002C5C11">
      <w:pPr>
        <w:tabs>
          <w:tab w:val="left" w:pos="7110"/>
        </w:tabs>
        <w:ind w:left="6480" w:firstLine="720"/>
        <w:rPr>
          <w:rFonts w:ascii="Times New Roman" w:hAnsi="Times New Roman" w:cs="Times New Roman"/>
          <w:sz w:val="22"/>
          <w:szCs w:val="22"/>
          <w:lang w:val="fr-CA"/>
        </w:rPr>
      </w:pPr>
      <w:r w:rsidRPr="002C5C11">
        <w:rPr>
          <w:rFonts w:ascii="Times New Roman" w:hAnsi="Times New Roman" w:cs="Times New Roman"/>
          <w:sz w:val="22"/>
          <w:szCs w:val="22"/>
          <w:lang w:val="fr-FR"/>
        </w:rPr>
        <w:t>3</w:t>
      </w:r>
      <w:r w:rsidR="00D25C2D" w:rsidRPr="002C5C11">
        <w:rPr>
          <w:rFonts w:ascii="Times New Roman" w:hAnsi="Times New Roman" w:cs="Times New Roman"/>
          <w:sz w:val="22"/>
          <w:szCs w:val="22"/>
          <w:lang w:val="fr-FR"/>
        </w:rPr>
        <w:t xml:space="preserve"> </w:t>
      </w:r>
      <w:r w:rsidRPr="002C5C11">
        <w:rPr>
          <w:rFonts w:ascii="Times New Roman" w:hAnsi="Times New Roman" w:cs="Times New Roman"/>
          <w:sz w:val="22"/>
          <w:szCs w:val="22"/>
          <w:lang w:val="fr-FR"/>
        </w:rPr>
        <w:t>février</w:t>
      </w:r>
      <w:r w:rsidRPr="002C5C11">
        <w:rPr>
          <w:rFonts w:ascii="Times New Roman" w:hAnsi="Times New Roman" w:cs="Times New Roman"/>
          <w:sz w:val="22"/>
          <w:szCs w:val="22"/>
          <w:lang w:val="fr-FR"/>
        </w:rPr>
        <w:t xml:space="preserve"> </w:t>
      </w:r>
      <w:r w:rsidR="00D25C2D" w:rsidRPr="002C5C11">
        <w:rPr>
          <w:rFonts w:ascii="Times New Roman" w:hAnsi="Times New Roman" w:cs="Times New Roman"/>
          <w:sz w:val="22"/>
          <w:szCs w:val="22"/>
          <w:lang w:val="fr-FR"/>
        </w:rPr>
        <w:t>202</w:t>
      </w:r>
      <w:r w:rsidRPr="002C5C11">
        <w:rPr>
          <w:rFonts w:ascii="Times New Roman" w:hAnsi="Times New Roman" w:cs="Times New Roman"/>
          <w:sz w:val="22"/>
          <w:szCs w:val="22"/>
          <w:lang w:val="fr-FR"/>
        </w:rPr>
        <w:t>3</w:t>
      </w:r>
    </w:p>
    <w:p w14:paraId="511DF3B4" w14:textId="2AB9DE76" w:rsidR="00D25C2D" w:rsidRPr="005D062F" w:rsidRDefault="00D25C2D" w:rsidP="00CB030B">
      <w:pPr>
        <w:tabs>
          <w:tab w:val="left" w:pos="7110"/>
        </w:tabs>
        <w:ind w:left="6480" w:firstLine="720"/>
        <w:rPr>
          <w:rFonts w:ascii="Times New Roman" w:hAnsi="Times New Roman" w:cs="Times New Roman"/>
          <w:sz w:val="22"/>
          <w:szCs w:val="22"/>
          <w:lang w:val="fr-FR"/>
        </w:rPr>
      </w:pPr>
      <w:r w:rsidRPr="005D062F">
        <w:rPr>
          <w:rFonts w:ascii="Times New Roman" w:hAnsi="Times New Roman" w:cs="Times New Roman"/>
          <w:sz w:val="22"/>
          <w:szCs w:val="22"/>
          <w:lang w:val="fr-FR"/>
        </w:rPr>
        <w:t>Original</w:t>
      </w:r>
      <w:r w:rsidR="00506B9D" w:rsidRPr="005D062F">
        <w:rPr>
          <w:rFonts w:ascii="Times New Roman" w:hAnsi="Times New Roman" w:cs="Times New Roman"/>
          <w:sz w:val="22"/>
          <w:szCs w:val="22"/>
          <w:lang w:val="fr-FR"/>
        </w:rPr>
        <w:t> </w:t>
      </w:r>
      <w:r w:rsidRPr="005D062F">
        <w:rPr>
          <w:rFonts w:ascii="Times New Roman" w:hAnsi="Times New Roman" w:cs="Times New Roman"/>
          <w:sz w:val="22"/>
          <w:szCs w:val="22"/>
          <w:lang w:val="fr-FR"/>
        </w:rPr>
        <w:t xml:space="preserve">: </w:t>
      </w:r>
      <w:r w:rsidR="00506B9D" w:rsidRPr="005D062F">
        <w:rPr>
          <w:rFonts w:ascii="Times New Roman" w:hAnsi="Times New Roman" w:cs="Times New Roman"/>
          <w:sz w:val="22"/>
          <w:szCs w:val="22"/>
          <w:lang w:val="fr-FR"/>
        </w:rPr>
        <w:t>anglais</w:t>
      </w:r>
    </w:p>
    <w:p w14:paraId="53FE50DB" w14:textId="2C4E1FA2" w:rsidR="00D25C2D" w:rsidRPr="005D062F" w:rsidRDefault="00295FB4" w:rsidP="00CB030B">
      <w:pPr>
        <w:jc w:val="right"/>
        <w:rPr>
          <w:rFonts w:ascii="Times New Roman" w:hAnsi="Times New Roman" w:cs="Times New Roman"/>
          <w:sz w:val="22"/>
          <w:szCs w:val="22"/>
          <w:lang w:val="fr-FR"/>
        </w:rPr>
      </w:pPr>
      <w:r>
        <w:rPr>
          <w:rFonts w:ascii="Times New Roman" w:hAnsi="Times New Roman" w:cs="Times New Roman"/>
          <w:sz w:val="22"/>
          <w:szCs w:val="22"/>
          <w:lang w:val="fr-FR"/>
        </w:rPr>
        <w:pict w14:anchorId="6BA07BBA">
          <v:rect id="_x0000_i1025" alt="" style="width:451.3pt;height:.05pt;mso-width-percent:0;mso-height-percent:0;mso-width-percent:0;mso-height-percent:0" o:hralign="center" o:hrstd="t" o:hr="t" fillcolor="#a0a0a0" stroked="f"/>
        </w:pict>
      </w:r>
    </w:p>
    <w:p w14:paraId="25F0EF91" w14:textId="77777777" w:rsidR="00D25C2D" w:rsidRPr="005D062F" w:rsidRDefault="00D25C2D" w:rsidP="00723DAD">
      <w:pPr>
        <w:jc w:val="both"/>
        <w:rPr>
          <w:rFonts w:ascii="Times New Roman" w:hAnsi="Times New Roman" w:cs="Times New Roman"/>
          <w:sz w:val="22"/>
          <w:szCs w:val="22"/>
          <w:lang w:val="fr-FR"/>
        </w:rPr>
      </w:pPr>
    </w:p>
    <w:p w14:paraId="051B283F" w14:textId="77777777" w:rsidR="00D25C2D" w:rsidRPr="005D062F" w:rsidRDefault="00D25C2D" w:rsidP="00CB030B">
      <w:pPr>
        <w:rPr>
          <w:rFonts w:ascii="Times New Roman" w:hAnsi="Times New Roman" w:cs="Times New Roman"/>
          <w:sz w:val="22"/>
          <w:szCs w:val="22"/>
          <w:lang w:val="fr-FR"/>
        </w:rPr>
      </w:pPr>
    </w:p>
    <w:p w14:paraId="7DE3A2EB" w14:textId="77777777" w:rsidR="00D25C2D" w:rsidRPr="005D062F" w:rsidRDefault="00D25C2D" w:rsidP="00CB030B">
      <w:pPr>
        <w:rPr>
          <w:rFonts w:ascii="Times New Roman" w:hAnsi="Times New Roman" w:cs="Times New Roman"/>
          <w:sz w:val="22"/>
          <w:szCs w:val="22"/>
          <w:lang w:val="fr-FR"/>
        </w:rPr>
      </w:pPr>
    </w:p>
    <w:p w14:paraId="20EE0DC1" w14:textId="77777777" w:rsidR="00D25C2D" w:rsidRPr="005D062F" w:rsidRDefault="00D25C2D" w:rsidP="00CB030B">
      <w:pPr>
        <w:rPr>
          <w:rFonts w:ascii="Times New Roman" w:hAnsi="Times New Roman" w:cs="Times New Roman"/>
          <w:sz w:val="22"/>
          <w:szCs w:val="22"/>
          <w:lang w:val="fr-FR"/>
        </w:rPr>
      </w:pPr>
    </w:p>
    <w:p w14:paraId="67926CAB" w14:textId="77777777" w:rsidR="00D25C2D" w:rsidRPr="005D062F" w:rsidRDefault="00D25C2D" w:rsidP="00CB030B">
      <w:pPr>
        <w:rPr>
          <w:rFonts w:ascii="Times New Roman" w:hAnsi="Times New Roman" w:cs="Times New Roman"/>
          <w:sz w:val="22"/>
          <w:szCs w:val="22"/>
          <w:lang w:val="fr-FR"/>
        </w:rPr>
      </w:pPr>
    </w:p>
    <w:p w14:paraId="775FC7DD" w14:textId="77777777" w:rsidR="00D25C2D" w:rsidRPr="005D062F" w:rsidRDefault="00D25C2D" w:rsidP="00CB030B">
      <w:pPr>
        <w:rPr>
          <w:rFonts w:ascii="Times New Roman" w:hAnsi="Times New Roman" w:cs="Times New Roman"/>
          <w:sz w:val="22"/>
          <w:szCs w:val="22"/>
          <w:lang w:val="fr-FR"/>
        </w:rPr>
      </w:pPr>
    </w:p>
    <w:p w14:paraId="30837122" w14:textId="77777777" w:rsidR="00D25C2D" w:rsidRPr="005D062F" w:rsidRDefault="00D25C2D" w:rsidP="00CB030B">
      <w:pPr>
        <w:rPr>
          <w:rFonts w:ascii="Times New Roman" w:hAnsi="Times New Roman" w:cs="Times New Roman"/>
          <w:sz w:val="22"/>
          <w:szCs w:val="22"/>
          <w:lang w:val="fr-FR"/>
        </w:rPr>
      </w:pPr>
    </w:p>
    <w:p w14:paraId="3D97E4F7" w14:textId="77777777" w:rsidR="00D25C2D" w:rsidRPr="005D062F" w:rsidRDefault="00D25C2D" w:rsidP="00CB030B">
      <w:pPr>
        <w:rPr>
          <w:rFonts w:ascii="Times New Roman" w:hAnsi="Times New Roman" w:cs="Times New Roman"/>
          <w:sz w:val="22"/>
          <w:szCs w:val="22"/>
          <w:lang w:val="fr-FR"/>
        </w:rPr>
      </w:pPr>
    </w:p>
    <w:p w14:paraId="0737B9BE" w14:textId="77777777" w:rsidR="00D25C2D" w:rsidRPr="005D062F" w:rsidRDefault="00D25C2D" w:rsidP="00CB030B">
      <w:pPr>
        <w:rPr>
          <w:rFonts w:ascii="Times New Roman" w:hAnsi="Times New Roman" w:cs="Times New Roman"/>
          <w:sz w:val="22"/>
          <w:szCs w:val="22"/>
          <w:lang w:val="fr-FR"/>
        </w:rPr>
      </w:pPr>
    </w:p>
    <w:p w14:paraId="7FDD519C" w14:textId="77777777" w:rsidR="00D25C2D" w:rsidRPr="005D062F" w:rsidRDefault="00D25C2D" w:rsidP="00CB030B">
      <w:pPr>
        <w:rPr>
          <w:rFonts w:ascii="Times New Roman" w:hAnsi="Times New Roman" w:cs="Times New Roman"/>
          <w:sz w:val="22"/>
          <w:szCs w:val="22"/>
          <w:lang w:val="fr-FR"/>
        </w:rPr>
      </w:pPr>
    </w:p>
    <w:p w14:paraId="6890D896" w14:textId="77777777" w:rsidR="00D25C2D" w:rsidRPr="005D062F" w:rsidRDefault="00D25C2D" w:rsidP="00CB030B">
      <w:pPr>
        <w:rPr>
          <w:rFonts w:ascii="Times New Roman" w:hAnsi="Times New Roman" w:cs="Times New Roman"/>
          <w:sz w:val="22"/>
          <w:szCs w:val="22"/>
          <w:lang w:val="fr-FR"/>
        </w:rPr>
      </w:pPr>
    </w:p>
    <w:p w14:paraId="17D1E9B5" w14:textId="77777777" w:rsidR="00D25C2D" w:rsidRPr="005D062F" w:rsidRDefault="00D25C2D" w:rsidP="00CB030B">
      <w:pPr>
        <w:rPr>
          <w:rFonts w:ascii="Times New Roman" w:hAnsi="Times New Roman" w:cs="Times New Roman"/>
          <w:sz w:val="22"/>
          <w:szCs w:val="22"/>
          <w:lang w:val="fr-FR"/>
        </w:rPr>
      </w:pPr>
    </w:p>
    <w:p w14:paraId="6AFF77DA" w14:textId="59D4A6E6" w:rsidR="00D25C2D" w:rsidRPr="005D062F" w:rsidRDefault="00D25C2D" w:rsidP="00CB030B">
      <w:pPr>
        <w:rPr>
          <w:rFonts w:ascii="Times New Roman" w:hAnsi="Times New Roman" w:cs="Times New Roman"/>
          <w:b/>
          <w:bCs/>
          <w:sz w:val="22"/>
          <w:szCs w:val="22"/>
          <w:lang w:val="fr-FR"/>
        </w:rPr>
      </w:pPr>
    </w:p>
    <w:p w14:paraId="65A5E1C0" w14:textId="77777777" w:rsidR="00D25C2D" w:rsidRPr="005D062F" w:rsidRDefault="00D25C2D" w:rsidP="00CB030B">
      <w:pPr>
        <w:rPr>
          <w:rFonts w:ascii="Times New Roman" w:hAnsi="Times New Roman" w:cs="Times New Roman"/>
          <w:sz w:val="22"/>
          <w:szCs w:val="22"/>
          <w:lang w:val="fr-FR"/>
        </w:rPr>
      </w:pPr>
    </w:p>
    <w:p w14:paraId="27D270D2" w14:textId="77777777" w:rsidR="00D25C2D" w:rsidRPr="005D062F" w:rsidRDefault="00D25C2D" w:rsidP="00CB030B">
      <w:pPr>
        <w:rPr>
          <w:rFonts w:ascii="Times New Roman" w:hAnsi="Times New Roman" w:cs="Times New Roman"/>
          <w:sz w:val="22"/>
          <w:szCs w:val="22"/>
          <w:lang w:val="fr-FR"/>
        </w:rPr>
      </w:pPr>
    </w:p>
    <w:p w14:paraId="4F3EFB9C" w14:textId="77777777" w:rsidR="00D25C2D" w:rsidRPr="005D062F" w:rsidRDefault="00D25C2D" w:rsidP="00CB030B">
      <w:pPr>
        <w:rPr>
          <w:rFonts w:ascii="Times New Roman" w:hAnsi="Times New Roman" w:cs="Times New Roman"/>
          <w:sz w:val="22"/>
          <w:szCs w:val="22"/>
          <w:lang w:val="fr-FR"/>
        </w:rPr>
      </w:pPr>
    </w:p>
    <w:p w14:paraId="191F70BE" w14:textId="4AEFC08B" w:rsidR="00506B9D" w:rsidRPr="005D062F" w:rsidRDefault="00506B9D" w:rsidP="00506B9D">
      <w:pPr>
        <w:jc w:val="center"/>
        <w:rPr>
          <w:rFonts w:ascii="Times New Roman" w:eastAsia="Times New Roman" w:hAnsi="Times New Roman" w:cs="Times New Roman"/>
          <w:color w:val="000000"/>
          <w:sz w:val="22"/>
          <w:szCs w:val="22"/>
          <w:lang w:val="fr-FR"/>
        </w:rPr>
      </w:pPr>
      <w:r w:rsidRPr="005D062F">
        <w:rPr>
          <w:rFonts w:ascii="Times New Roman" w:eastAsia="Times New Roman" w:hAnsi="Times New Roman" w:cs="Times New Roman"/>
          <w:color w:val="000000"/>
          <w:sz w:val="22"/>
          <w:szCs w:val="22"/>
          <w:lang w:val="fr-FR"/>
        </w:rPr>
        <w:t>RAPPORT ANNUEL DU</w:t>
      </w:r>
    </w:p>
    <w:p w14:paraId="5490994C" w14:textId="5EA4CB07" w:rsidR="00D25C2D" w:rsidRPr="005D062F" w:rsidRDefault="00506B9D" w:rsidP="00CB030B">
      <w:pPr>
        <w:jc w:val="center"/>
        <w:rPr>
          <w:rFonts w:ascii="Times New Roman" w:hAnsi="Times New Roman" w:cs="Times New Roman"/>
          <w:sz w:val="22"/>
          <w:szCs w:val="22"/>
          <w:lang w:val="fr-FR"/>
        </w:rPr>
      </w:pPr>
      <w:r w:rsidRPr="005D062F">
        <w:rPr>
          <w:rFonts w:ascii="Times New Roman" w:eastAsia="Times New Roman" w:hAnsi="Times New Roman" w:cs="Times New Roman"/>
          <w:color w:val="000000"/>
          <w:sz w:val="22"/>
          <w:szCs w:val="22"/>
          <w:lang w:val="fr-FR"/>
        </w:rPr>
        <w:t xml:space="preserve">SECRÉTARIAT EXÉCUTIF AU DÉVELOPPEMENT INTÉGRÉ </w:t>
      </w:r>
      <w:r w:rsidR="00D25C2D" w:rsidRPr="005D062F">
        <w:rPr>
          <w:rFonts w:ascii="Times New Roman" w:hAnsi="Times New Roman" w:cs="Times New Roman"/>
          <w:sz w:val="22"/>
          <w:szCs w:val="22"/>
          <w:lang w:val="fr-FR"/>
        </w:rPr>
        <w:t>(SEDI)</w:t>
      </w:r>
    </w:p>
    <w:p w14:paraId="4A55CC9B" w14:textId="37391DED" w:rsidR="00D25C2D" w:rsidRPr="005D062F" w:rsidRDefault="00506B9D" w:rsidP="00CB030B">
      <w:pPr>
        <w:jc w:val="center"/>
        <w:rPr>
          <w:rFonts w:ascii="Times New Roman" w:hAnsi="Times New Roman" w:cs="Times New Roman"/>
          <w:sz w:val="22"/>
          <w:szCs w:val="22"/>
          <w:lang w:val="fr-FR"/>
        </w:rPr>
      </w:pPr>
      <w:r w:rsidRPr="005D062F">
        <w:rPr>
          <w:rFonts w:ascii="Times New Roman" w:eastAsia="Times New Roman" w:hAnsi="Times New Roman" w:cs="Times New Roman"/>
          <w:color w:val="000000"/>
          <w:sz w:val="22"/>
          <w:szCs w:val="22"/>
          <w:lang w:val="fr-FR"/>
        </w:rPr>
        <w:t xml:space="preserve">ADRESSÉ AU CONSEIL INTERAMÉRICAIN POUR LE DÉVELOPPEMENT INTÉGRÉ </w:t>
      </w:r>
      <w:r w:rsidR="00D25C2D" w:rsidRPr="005D062F">
        <w:rPr>
          <w:rFonts w:ascii="Times New Roman" w:hAnsi="Times New Roman" w:cs="Times New Roman"/>
          <w:sz w:val="22"/>
          <w:szCs w:val="22"/>
          <w:lang w:val="fr-FR"/>
        </w:rPr>
        <w:t>(CIDI)</w:t>
      </w:r>
    </w:p>
    <w:p w14:paraId="58972189" w14:textId="77777777" w:rsidR="00D25C2D" w:rsidRPr="005D062F" w:rsidRDefault="00D25C2D" w:rsidP="00CB030B">
      <w:pPr>
        <w:rPr>
          <w:rFonts w:ascii="Times New Roman" w:hAnsi="Times New Roman" w:cs="Times New Roman"/>
          <w:sz w:val="22"/>
          <w:szCs w:val="22"/>
          <w:lang w:val="fr-FR"/>
        </w:rPr>
      </w:pPr>
    </w:p>
    <w:p w14:paraId="38EE6CB2" w14:textId="73CA3A3C" w:rsidR="00D25C2D" w:rsidRPr="005D062F" w:rsidRDefault="00506B9D" w:rsidP="00CB030B">
      <w:pPr>
        <w:jc w:val="center"/>
        <w:rPr>
          <w:rFonts w:ascii="Times New Roman" w:hAnsi="Times New Roman" w:cs="Times New Roman"/>
          <w:sz w:val="22"/>
          <w:szCs w:val="22"/>
          <w:lang w:val="fr-FR"/>
        </w:rPr>
      </w:pPr>
      <w:r w:rsidRPr="005D062F">
        <w:rPr>
          <w:rFonts w:ascii="Times New Roman" w:hAnsi="Times New Roman" w:cs="Times New Roman"/>
          <w:sz w:val="22"/>
          <w:szCs w:val="22"/>
          <w:lang w:val="fr-FR"/>
        </w:rPr>
        <w:t>Janvier</w:t>
      </w:r>
      <w:r w:rsidR="00D25C2D" w:rsidRPr="005D062F">
        <w:rPr>
          <w:rFonts w:ascii="Times New Roman" w:hAnsi="Times New Roman" w:cs="Times New Roman"/>
          <w:sz w:val="22"/>
          <w:szCs w:val="22"/>
          <w:lang w:val="fr-FR"/>
        </w:rPr>
        <w:t xml:space="preserve"> – </w:t>
      </w:r>
      <w:r w:rsidRPr="005D062F">
        <w:rPr>
          <w:rFonts w:ascii="Times New Roman" w:hAnsi="Times New Roman" w:cs="Times New Roman"/>
          <w:sz w:val="22"/>
          <w:szCs w:val="22"/>
          <w:lang w:val="fr-FR"/>
        </w:rPr>
        <w:t>dé</w:t>
      </w:r>
      <w:r w:rsidR="00D25C2D" w:rsidRPr="005D062F">
        <w:rPr>
          <w:rFonts w:ascii="Times New Roman" w:hAnsi="Times New Roman" w:cs="Times New Roman"/>
          <w:sz w:val="22"/>
          <w:szCs w:val="22"/>
          <w:lang w:val="fr-FR"/>
        </w:rPr>
        <w:t>cembr</w:t>
      </w:r>
      <w:r w:rsidRPr="005D062F">
        <w:rPr>
          <w:rFonts w:ascii="Times New Roman" w:hAnsi="Times New Roman" w:cs="Times New Roman"/>
          <w:sz w:val="22"/>
          <w:szCs w:val="22"/>
          <w:lang w:val="fr-FR"/>
        </w:rPr>
        <w:t>e</w:t>
      </w:r>
      <w:r w:rsidR="00D25C2D" w:rsidRPr="005D062F">
        <w:rPr>
          <w:rFonts w:ascii="Times New Roman" w:hAnsi="Times New Roman" w:cs="Times New Roman"/>
          <w:sz w:val="22"/>
          <w:szCs w:val="22"/>
          <w:lang w:val="fr-FR"/>
        </w:rPr>
        <w:t xml:space="preserve"> 2022</w:t>
      </w:r>
    </w:p>
    <w:p w14:paraId="2DCCC008" w14:textId="77777777" w:rsidR="00D25C2D" w:rsidRPr="005D062F" w:rsidRDefault="00D25C2D" w:rsidP="00CB030B">
      <w:pPr>
        <w:rPr>
          <w:rFonts w:ascii="Times New Roman" w:hAnsi="Times New Roman" w:cs="Times New Roman"/>
          <w:sz w:val="22"/>
          <w:szCs w:val="22"/>
          <w:lang w:val="fr-FR"/>
        </w:rPr>
      </w:pPr>
    </w:p>
    <w:p w14:paraId="143E0083" w14:textId="3E295BF8" w:rsidR="00723DAD" w:rsidRPr="005D062F" w:rsidRDefault="002C5C11" w:rsidP="002C5C11">
      <w:pPr>
        <w:jc w:val="center"/>
        <w:rPr>
          <w:rFonts w:ascii="Times New Roman" w:hAnsi="Times New Roman" w:cs="Times New Roman"/>
          <w:sz w:val="22"/>
          <w:szCs w:val="22"/>
          <w:lang w:val="fr-FR"/>
        </w:rPr>
        <w:sectPr w:rsidR="00723DAD" w:rsidRPr="005D062F" w:rsidSect="005C5CB6">
          <w:headerReference w:type="default" r:id="rId8"/>
          <w:footerReference w:type="even" r:id="rId9"/>
          <w:footerReference w:type="default" r:id="rId10"/>
          <w:headerReference w:type="first" r:id="rId11"/>
          <w:pgSz w:w="12240" w:h="15840" w:code="1"/>
          <w:pgMar w:top="2160" w:right="990" w:bottom="1296" w:left="1699" w:header="720" w:footer="720" w:gutter="0"/>
          <w:pgNumType w:fmt="numberInDash"/>
          <w:cols w:space="708"/>
          <w:titlePg/>
          <w:docGrid w:linePitch="360"/>
        </w:sectPr>
      </w:pPr>
      <w:r>
        <w:rPr>
          <w:rFonts w:ascii="Times New Roman" w:hAnsi="Times New Roman" w:cs="Times New Roman"/>
          <w:sz w:val="22"/>
          <w:szCs w:val="22"/>
          <w:lang w:val="fr-FR"/>
        </w:rPr>
        <w:t>(</w:t>
      </w:r>
      <w:r w:rsidRPr="002C5C11">
        <w:rPr>
          <w:rFonts w:ascii="Times New Roman" w:hAnsi="Times New Roman" w:cs="Times New Roman"/>
          <w:sz w:val="22"/>
          <w:szCs w:val="22"/>
          <w:lang w:val="fr-FR"/>
        </w:rPr>
        <w:t>Présenté lors de la réunion ordinaire du 2 février 2023</w:t>
      </w:r>
      <w:r>
        <w:rPr>
          <w:rFonts w:ascii="Times New Roman" w:hAnsi="Times New Roman" w:cs="Times New Roman"/>
          <w:sz w:val="22"/>
          <w:szCs w:val="22"/>
          <w:lang w:val="fr-FR"/>
        </w:rPr>
        <w:t>)</w:t>
      </w:r>
    </w:p>
    <w:p w14:paraId="3F49B55B" w14:textId="56819394" w:rsidR="0022022F" w:rsidRPr="005D062F" w:rsidRDefault="002E459A" w:rsidP="00CB030B">
      <w:pPr>
        <w:pBdr>
          <w:bottom w:val="single" w:sz="6" w:space="1" w:color="auto"/>
        </w:pBdr>
        <w:rPr>
          <w:rFonts w:ascii="Times New Roman" w:hAnsi="Times New Roman" w:cs="Times New Roman"/>
          <w:b/>
          <w:bCs/>
          <w:sz w:val="22"/>
          <w:szCs w:val="22"/>
          <w:lang w:val="fr-FR"/>
        </w:rPr>
      </w:pPr>
      <w:r w:rsidRPr="005D062F">
        <w:rPr>
          <w:rFonts w:ascii="Times New Roman" w:hAnsi="Times New Roman" w:cs="Times New Roman"/>
          <w:b/>
          <w:bCs/>
          <w:sz w:val="22"/>
          <w:szCs w:val="22"/>
          <w:lang w:val="fr-FR"/>
        </w:rPr>
        <w:lastRenderedPageBreak/>
        <w:t xml:space="preserve">TABLE </w:t>
      </w:r>
      <w:r w:rsidR="00D26AF2" w:rsidRPr="005D062F">
        <w:rPr>
          <w:rFonts w:ascii="Times New Roman" w:hAnsi="Times New Roman" w:cs="Times New Roman"/>
          <w:b/>
          <w:bCs/>
          <w:sz w:val="22"/>
          <w:szCs w:val="22"/>
          <w:lang w:val="fr-FR"/>
        </w:rPr>
        <w:t xml:space="preserve">DES MATIÈRES </w:t>
      </w:r>
    </w:p>
    <w:p w14:paraId="30181495" w14:textId="77777777" w:rsidR="002D4DF7" w:rsidRDefault="002D4DF7">
      <w:pPr>
        <w:pStyle w:val="TOC1"/>
        <w:tabs>
          <w:tab w:val="right" w:leader="dot" w:pos="8961"/>
        </w:tabs>
        <w:rPr>
          <w:rFonts w:ascii="Times New Roman" w:hAnsi="Times New Roman" w:cs="Times New Roman"/>
          <w:sz w:val="22"/>
          <w:szCs w:val="22"/>
          <w:lang w:val="fr-FR"/>
        </w:rPr>
      </w:pPr>
    </w:p>
    <w:p w14:paraId="6878C1C2" w14:textId="66824EDB" w:rsidR="002D4DF7" w:rsidRPr="002D4DF7" w:rsidRDefault="002D4DF7">
      <w:pPr>
        <w:pStyle w:val="TOC1"/>
        <w:tabs>
          <w:tab w:val="right" w:leader="dot" w:pos="8961"/>
        </w:tabs>
        <w:rPr>
          <w:rFonts w:ascii="Times New Roman" w:hAnsi="Times New Roman" w:cs="Times New Roman"/>
          <w:noProof/>
          <w:sz w:val="22"/>
          <w:szCs w:val="22"/>
        </w:rPr>
      </w:pPr>
      <w:r w:rsidRPr="002D4DF7">
        <w:rPr>
          <w:rFonts w:ascii="Times New Roman" w:hAnsi="Times New Roman" w:cs="Times New Roman"/>
          <w:sz w:val="22"/>
          <w:szCs w:val="22"/>
          <w:lang w:val="fr-FR"/>
        </w:rPr>
        <w:fldChar w:fldCharType="begin"/>
      </w:r>
      <w:r w:rsidRPr="002D4DF7">
        <w:rPr>
          <w:rFonts w:ascii="Times New Roman" w:hAnsi="Times New Roman" w:cs="Times New Roman"/>
          <w:sz w:val="22"/>
          <w:szCs w:val="22"/>
          <w:lang w:val="fr-FR"/>
        </w:rPr>
        <w:instrText xml:space="preserve"> TOC \o "1-2" \h \z \u </w:instrText>
      </w:r>
      <w:r w:rsidRPr="002D4DF7">
        <w:rPr>
          <w:rFonts w:ascii="Times New Roman" w:hAnsi="Times New Roman" w:cs="Times New Roman"/>
          <w:sz w:val="22"/>
          <w:szCs w:val="22"/>
          <w:lang w:val="fr-FR"/>
        </w:rPr>
        <w:fldChar w:fldCharType="separate"/>
      </w:r>
      <w:hyperlink w:anchor="_Toc124243394" w:history="1">
        <w:r w:rsidRPr="002D4DF7">
          <w:rPr>
            <w:rStyle w:val="Hyperlink"/>
            <w:rFonts w:ascii="Times New Roman" w:hAnsi="Times New Roman" w:cs="Times New Roman"/>
            <w:noProof/>
            <w:color w:val="auto"/>
            <w:sz w:val="22"/>
            <w:szCs w:val="22"/>
          </w:rPr>
          <w:t>LISTE DES ABRÉVIATIONS</w:t>
        </w:r>
        <w:r w:rsidRPr="002D4DF7">
          <w:rPr>
            <w:rFonts w:ascii="Times New Roman" w:hAnsi="Times New Roman" w:cs="Times New Roman"/>
            <w:noProof/>
            <w:webHidden/>
            <w:sz w:val="22"/>
            <w:szCs w:val="22"/>
          </w:rPr>
          <w:tab/>
        </w:r>
        <w:r w:rsidRPr="002D4DF7">
          <w:rPr>
            <w:rFonts w:ascii="Times New Roman" w:hAnsi="Times New Roman" w:cs="Times New Roman"/>
            <w:noProof/>
            <w:webHidden/>
            <w:sz w:val="22"/>
            <w:szCs w:val="22"/>
          </w:rPr>
          <w:fldChar w:fldCharType="begin"/>
        </w:r>
        <w:r w:rsidRPr="002D4DF7">
          <w:rPr>
            <w:rFonts w:ascii="Times New Roman" w:hAnsi="Times New Roman" w:cs="Times New Roman"/>
            <w:noProof/>
            <w:webHidden/>
            <w:sz w:val="22"/>
            <w:szCs w:val="22"/>
          </w:rPr>
          <w:instrText xml:space="preserve"> PAGEREF _Toc124243394 \h </w:instrText>
        </w:r>
        <w:r w:rsidRPr="002D4DF7">
          <w:rPr>
            <w:rFonts w:ascii="Times New Roman" w:hAnsi="Times New Roman" w:cs="Times New Roman"/>
            <w:noProof/>
            <w:webHidden/>
            <w:sz w:val="22"/>
            <w:szCs w:val="22"/>
          </w:rPr>
        </w:r>
        <w:r w:rsidRPr="002D4DF7">
          <w:rPr>
            <w:rFonts w:ascii="Times New Roman" w:hAnsi="Times New Roman" w:cs="Times New Roman"/>
            <w:noProof/>
            <w:webHidden/>
            <w:sz w:val="22"/>
            <w:szCs w:val="22"/>
          </w:rPr>
          <w:fldChar w:fldCharType="separate"/>
        </w:r>
        <w:r w:rsidRPr="002D4DF7">
          <w:rPr>
            <w:rFonts w:ascii="Times New Roman" w:hAnsi="Times New Roman" w:cs="Times New Roman"/>
            <w:noProof/>
            <w:webHidden/>
            <w:sz w:val="22"/>
            <w:szCs w:val="22"/>
          </w:rPr>
          <w:t>v</w:t>
        </w:r>
        <w:r w:rsidRPr="002D4DF7">
          <w:rPr>
            <w:rFonts w:ascii="Times New Roman" w:hAnsi="Times New Roman" w:cs="Times New Roman"/>
            <w:noProof/>
            <w:webHidden/>
            <w:sz w:val="22"/>
            <w:szCs w:val="22"/>
          </w:rPr>
          <w:fldChar w:fldCharType="end"/>
        </w:r>
      </w:hyperlink>
    </w:p>
    <w:p w14:paraId="7BAE1D78" w14:textId="5FC3A2D2" w:rsidR="002D4DF7" w:rsidRPr="002D4DF7" w:rsidRDefault="00295FB4">
      <w:pPr>
        <w:pStyle w:val="TOC1"/>
        <w:tabs>
          <w:tab w:val="right" w:leader="dot" w:pos="8961"/>
        </w:tabs>
        <w:rPr>
          <w:rFonts w:ascii="Times New Roman" w:hAnsi="Times New Roman" w:cs="Times New Roman"/>
          <w:noProof/>
          <w:sz w:val="22"/>
          <w:szCs w:val="22"/>
        </w:rPr>
      </w:pPr>
      <w:hyperlink w:anchor="_Toc124243395" w:history="1">
        <w:r w:rsidR="002D4DF7" w:rsidRPr="002D4DF7">
          <w:rPr>
            <w:rStyle w:val="Hyperlink"/>
            <w:rFonts w:ascii="Times New Roman" w:hAnsi="Times New Roman" w:cs="Times New Roman"/>
            <w:noProof/>
            <w:color w:val="auto"/>
            <w:sz w:val="22"/>
            <w:szCs w:val="22"/>
          </w:rPr>
          <w:t>VUE D’ENSEMBLE DES LIGNES STRATÉGIQUES</w:t>
        </w:r>
        <w:r w:rsidR="002D4DF7" w:rsidRPr="002D4DF7">
          <w:rPr>
            <w:rFonts w:ascii="Times New Roman" w:hAnsi="Times New Roman" w:cs="Times New Roman"/>
            <w:noProof/>
            <w:webHidden/>
            <w:sz w:val="22"/>
            <w:szCs w:val="22"/>
          </w:rPr>
          <w:tab/>
        </w:r>
        <w:r w:rsidR="002D4DF7" w:rsidRPr="002D4DF7">
          <w:rPr>
            <w:rFonts w:ascii="Times New Roman" w:hAnsi="Times New Roman" w:cs="Times New Roman"/>
            <w:noProof/>
            <w:webHidden/>
            <w:sz w:val="22"/>
            <w:szCs w:val="22"/>
          </w:rPr>
          <w:fldChar w:fldCharType="begin"/>
        </w:r>
        <w:r w:rsidR="002D4DF7" w:rsidRPr="002D4DF7">
          <w:rPr>
            <w:rFonts w:ascii="Times New Roman" w:hAnsi="Times New Roman" w:cs="Times New Roman"/>
            <w:noProof/>
            <w:webHidden/>
            <w:sz w:val="22"/>
            <w:szCs w:val="22"/>
          </w:rPr>
          <w:instrText xml:space="preserve"> PAGEREF _Toc124243395 \h </w:instrText>
        </w:r>
        <w:r w:rsidR="002D4DF7" w:rsidRPr="002D4DF7">
          <w:rPr>
            <w:rFonts w:ascii="Times New Roman" w:hAnsi="Times New Roman" w:cs="Times New Roman"/>
            <w:noProof/>
            <w:webHidden/>
            <w:sz w:val="22"/>
            <w:szCs w:val="22"/>
          </w:rPr>
        </w:r>
        <w:r w:rsidR="002D4DF7" w:rsidRPr="002D4DF7">
          <w:rPr>
            <w:rFonts w:ascii="Times New Roman" w:hAnsi="Times New Roman" w:cs="Times New Roman"/>
            <w:noProof/>
            <w:webHidden/>
            <w:sz w:val="22"/>
            <w:szCs w:val="22"/>
          </w:rPr>
          <w:fldChar w:fldCharType="separate"/>
        </w:r>
        <w:r w:rsidR="002D4DF7" w:rsidRPr="002D4DF7">
          <w:rPr>
            <w:rFonts w:ascii="Times New Roman" w:hAnsi="Times New Roman" w:cs="Times New Roman"/>
            <w:noProof/>
            <w:webHidden/>
            <w:sz w:val="22"/>
            <w:szCs w:val="22"/>
          </w:rPr>
          <w:t>vii</w:t>
        </w:r>
        <w:r w:rsidR="002D4DF7" w:rsidRPr="002D4DF7">
          <w:rPr>
            <w:rFonts w:ascii="Times New Roman" w:hAnsi="Times New Roman" w:cs="Times New Roman"/>
            <w:noProof/>
            <w:webHidden/>
            <w:sz w:val="22"/>
            <w:szCs w:val="22"/>
          </w:rPr>
          <w:fldChar w:fldCharType="end"/>
        </w:r>
      </w:hyperlink>
    </w:p>
    <w:p w14:paraId="61AD774F" w14:textId="6D860FC1" w:rsidR="002D4DF7" w:rsidRPr="002D4DF7" w:rsidRDefault="00295FB4">
      <w:pPr>
        <w:pStyle w:val="TOC1"/>
        <w:tabs>
          <w:tab w:val="right" w:leader="dot" w:pos="8961"/>
        </w:tabs>
        <w:rPr>
          <w:rFonts w:ascii="Times New Roman" w:hAnsi="Times New Roman" w:cs="Times New Roman"/>
          <w:noProof/>
          <w:sz w:val="22"/>
          <w:szCs w:val="22"/>
        </w:rPr>
      </w:pPr>
      <w:hyperlink w:anchor="_Toc124243396" w:history="1">
        <w:r w:rsidR="002D4DF7" w:rsidRPr="002D4DF7">
          <w:rPr>
            <w:rStyle w:val="Hyperlink"/>
            <w:rFonts w:ascii="Times New Roman" w:hAnsi="Times New Roman" w:cs="Times New Roman"/>
            <w:noProof/>
            <w:color w:val="auto"/>
            <w:sz w:val="22"/>
            <w:szCs w:val="22"/>
          </w:rPr>
          <w:t>INTRODUCTION</w:t>
        </w:r>
        <w:r w:rsidR="002D4DF7" w:rsidRPr="002D4DF7">
          <w:rPr>
            <w:rFonts w:ascii="Times New Roman" w:hAnsi="Times New Roman" w:cs="Times New Roman"/>
            <w:noProof/>
            <w:webHidden/>
            <w:sz w:val="22"/>
            <w:szCs w:val="22"/>
          </w:rPr>
          <w:tab/>
        </w:r>
        <w:r w:rsidR="002D4DF7" w:rsidRPr="002D4DF7">
          <w:rPr>
            <w:rFonts w:ascii="Times New Roman" w:hAnsi="Times New Roman" w:cs="Times New Roman"/>
            <w:noProof/>
            <w:webHidden/>
            <w:sz w:val="22"/>
            <w:szCs w:val="22"/>
          </w:rPr>
          <w:fldChar w:fldCharType="begin"/>
        </w:r>
        <w:r w:rsidR="002D4DF7" w:rsidRPr="002D4DF7">
          <w:rPr>
            <w:rFonts w:ascii="Times New Roman" w:hAnsi="Times New Roman" w:cs="Times New Roman"/>
            <w:noProof/>
            <w:webHidden/>
            <w:sz w:val="22"/>
            <w:szCs w:val="22"/>
          </w:rPr>
          <w:instrText xml:space="preserve"> PAGEREF _Toc124243396 \h </w:instrText>
        </w:r>
        <w:r w:rsidR="002D4DF7" w:rsidRPr="002D4DF7">
          <w:rPr>
            <w:rFonts w:ascii="Times New Roman" w:hAnsi="Times New Roman" w:cs="Times New Roman"/>
            <w:noProof/>
            <w:webHidden/>
            <w:sz w:val="22"/>
            <w:szCs w:val="22"/>
          </w:rPr>
        </w:r>
        <w:r w:rsidR="002D4DF7" w:rsidRPr="002D4DF7">
          <w:rPr>
            <w:rFonts w:ascii="Times New Roman" w:hAnsi="Times New Roman" w:cs="Times New Roman"/>
            <w:noProof/>
            <w:webHidden/>
            <w:sz w:val="22"/>
            <w:szCs w:val="22"/>
          </w:rPr>
          <w:fldChar w:fldCharType="separate"/>
        </w:r>
        <w:r w:rsidR="002D4DF7" w:rsidRPr="002D4DF7">
          <w:rPr>
            <w:rFonts w:ascii="Times New Roman" w:hAnsi="Times New Roman" w:cs="Times New Roman"/>
            <w:noProof/>
            <w:webHidden/>
            <w:sz w:val="22"/>
            <w:szCs w:val="22"/>
          </w:rPr>
          <w:t>1</w:t>
        </w:r>
        <w:r w:rsidR="002D4DF7" w:rsidRPr="002D4DF7">
          <w:rPr>
            <w:rFonts w:ascii="Times New Roman" w:hAnsi="Times New Roman" w:cs="Times New Roman"/>
            <w:noProof/>
            <w:webHidden/>
            <w:sz w:val="22"/>
            <w:szCs w:val="22"/>
          </w:rPr>
          <w:fldChar w:fldCharType="end"/>
        </w:r>
      </w:hyperlink>
    </w:p>
    <w:p w14:paraId="56C6EF22" w14:textId="58D38B01" w:rsidR="002D4DF7" w:rsidRPr="002D4DF7" w:rsidRDefault="00295FB4">
      <w:pPr>
        <w:pStyle w:val="TOC1"/>
        <w:tabs>
          <w:tab w:val="right" w:leader="dot" w:pos="8961"/>
        </w:tabs>
        <w:rPr>
          <w:rFonts w:ascii="Times New Roman" w:hAnsi="Times New Roman" w:cs="Times New Roman"/>
          <w:noProof/>
          <w:sz w:val="22"/>
          <w:szCs w:val="22"/>
        </w:rPr>
      </w:pPr>
      <w:hyperlink w:anchor="_Toc124243397" w:history="1">
        <w:r w:rsidR="002D4DF7" w:rsidRPr="002D4DF7">
          <w:rPr>
            <w:rStyle w:val="Hyperlink"/>
            <w:rFonts w:ascii="Times New Roman" w:hAnsi="Times New Roman" w:cs="Times New Roman"/>
            <w:noProof/>
            <w:color w:val="auto"/>
            <w:sz w:val="22"/>
            <w:szCs w:val="22"/>
          </w:rPr>
          <w:t>LIGNE STRATÉGIQUE 1</w:t>
        </w:r>
        <w:r w:rsidR="002D4DF7" w:rsidRPr="002D4DF7">
          <w:rPr>
            <w:rFonts w:ascii="Times New Roman" w:hAnsi="Times New Roman" w:cs="Times New Roman"/>
            <w:noProof/>
            <w:webHidden/>
            <w:sz w:val="22"/>
            <w:szCs w:val="22"/>
          </w:rPr>
          <w:tab/>
        </w:r>
        <w:r w:rsidR="002D4DF7" w:rsidRPr="002D4DF7">
          <w:rPr>
            <w:rFonts w:ascii="Times New Roman" w:hAnsi="Times New Roman" w:cs="Times New Roman"/>
            <w:noProof/>
            <w:webHidden/>
            <w:sz w:val="22"/>
            <w:szCs w:val="22"/>
          </w:rPr>
          <w:fldChar w:fldCharType="begin"/>
        </w:r>
        <w:r w:rsidR="002D4DF7" w:rsidRPr="002D4DF7">
          <w:rPr>
            <w:rFonts w:ascii="Times New Roman" w:hAnsi="Times New Roman" w:cs="Times New Roman"/>
            <w:noProof/>
            <w:webHidden/>
            <w:sz w:val="22"/>
            <w:szCs w:val="22"/>
          </w:rPr>
          <w:instrText xml:space="preserve"> PAGEREF _Toc124243397 \h </w:instrText>
        </w:r>
        <w:r w:rsidR="002D4DF7" w:rsidRPr="002D4DF7">
          <w:rPr>
            <w:rFonts w:ascii="Times New Roman" w:hAnsi="Times New Roman" w:cs="Times New Roman"/>
            <w:noProof/>
            <w:webHidden/>
            <w:sz w:val="22"/>
            <w:szCs w:val="22"/>
          </w:rPr>
        </w:r>
        <w:r w:rsidR="002D4DF7" w:rsidRPr="002D4DF7">
          <w:rPr>
            <w:rFonts w:ascii="Times New Roman" w:hAnsi="Times New Roman" w:cs="Times New Roman"/>
            <w:noProof/>
            <w:webHidden/>
            <w:sz w:val="22"/>
            <w:szCs w:val="22"/>
          </w:rPr>
          <w:fldChar w:fldCharType="separate"/>
        </w:r>
        <w:r w:rsidR="002D4DF7" w:rsidRPr="002D4DF7">
          <w:rPr>
            <w:rFonts w:ascii="Times New Roman" w:hAnsi="Times New Roman" w:cs="Times New Roman"/>
            <w:noProof/>
            <w:webHidden/>
            <w:sz w:val="22"/>
            <w:szCs w:val="22"/>
          </w:rPr>
          <w:t>3</w:t>
        </w:r>
        <w:r w:rsidR="002D4DF7" w:rsidRPr="002D4DF7">
          <w:rPr>
            <w:rFonts w:ascii="Times New Roman" w:hAnsi="Times New Roman" w:cs="Times New Roman"/>
            <w:noProof/>
            <w:webHidden/>
            <w:sz w:val="22"/>
            <w:szCs w:val="22"/>
          </w:rPr>
          <w:fldChar w:fldCharType="end"/>
        </w:r>
      </w:hyperlink>
    </w:p>
    <w:p w14:paraId="28D0D899" w14:textId="42F2D7FD" w:rsidR="002D4DF7" w:rsidRPr="002D4DF7" w:rsidRDefault="00295FB4" w:rsidP="002D4DF7">
      <w:pPr>
        <w:pStyle w:val="TOC2"/>
        <w:ind w:left="720"/>
      </w:pPr>
      <w:hyperlink w:anchor="_Toc124243398" w:history="1">
        <w:r w:rsidR="002D4DF7" w:rsidRPr="002D4DF7">
          <w:rPr>
            <w:rStyle w:val="Hyperlink"/>
            <w:color w:val="auto"/>
          </w:rPr>
          <w:t>Objectif 1.1</w:t>
        </w:r>
        <w:r w:rsidR="002D4DF7" w:rsidRPr="002D4DF7">
          <w:rPr>
            <w:webHidden/>
          </w:rPr>
          <w:tab/>
        </w:r>
        <w:r w:rsidR="002D4DF7" w:rsidRPr="002D4DF7">
          <w:rPr>
            <w:webHidden/>
          </w:rPr>
          <w:fldChar w:fldCharType="begin"/>
        </w:r>
        <w:r w:rsidR="002D4DF7" w:rsidRPr="002D4DF7">
          <w:rPr>
            <w:webHidden/>
          </w:rPr>
          <w:instrText xml:space="preserve"> PAGEREF _Toc124243398 \h </w:instrText>
        </w:r>
        <w:r w:rsidR="002D4DF7" w:rsidRPr="002D4DF7">
          <w:rPr>
            <w:webHidden/>
          </w:rPr>
        </w:r>
        <w:r w:rsidR="002D4DF7" w:rsidRPr="002D4DF7">
          <w:rPr>
            <w:webHidden/>
          </w:rPr>
          <w:fldChar w:fldCharType="separate"/>
        </w:r>
        <w:r w:rsidR="002D4DF7" w:rsidRPr="002D4DF7">
          <w:rPr>
            <w:webHidden/>
          </w:rPr>
          <w:t>4</w:t>
        </w:r>
        <w:r w:rsidR="002D4DF7" w:rsidRPr="002D4DF7">
          <w:rPr>
            <w:webHidden/>
          </w:rPr>
          <w:fldChar w:fldCharType="end"/>
        </w:r>
      </w:hyperlink>
    </w:p>
    <w:p w14:paraId="6F1238FA" w14:textId="438C30B8" w:rsidR="002D4DF7" w:rsidRPr="002D4DF7" w:rsidRDefault="00295FB4" w:rsidP="002D4DF7">
      <w:pPr>
        <w:pStyle w:val="TOC2"/>
        <w:ind w:left="720"/>
        <w:rPr>
          <w:rStyle w:val="Hyperlink"/>
          <w:color w:val="auto"/>
        </w:rPr>
      </w:pPr>
      <w:hyperlink w:anchor="_Toc124243399" w:history="1">
        <w:r w:rsidR="002D4DF7" w:rsidRPr="002D4DF7">
          <w:rPr>
            <w:rStyle w:val="Hyperlink"/>
            <w:color w:val="auto"/>
          </w:rPr>
          <w:t>Objectif 1.2</w:t>
        </w:r>
        <w:r w:rsidR="002D4DF7" w:rsidRPr="002D4DF7">
          <w:rPr>
            <w:rStyle w:val="Hyperlink"/>
            <w:webHidden/>
            <w:color w:val="auto"/>
          </w:rPr>
          <w:tab/>
        </w:r>
        <w:r w:rsidR="002D4DF7" w:rsidRPr="002D4DF7">
          <w:rPr>
            <w:rStyle w:val="Hyperlink"/>
            <w:webHidden/>
            <w:color w:val="auto"/>
          </w:rPr>
          <w:fldChar w:fldCharType="begin"/>
        </w:r>
        <w:r w:rsidR="002D4DF7" w:rsidRPr="002D4DF7">
          <w:rPr>
            <w:rStyle w:val="Hyperlink"/>
            <w:webHidden/>
            <w:color w:val="auto"/>
          </w:rPr>
          <w:instrText xml:space="preserve"> PAGEREF _Toc124243399 \h </w:instrText>
        </w:r>
        <w:r w:rsidR="002D4DF7" w:rsidRPr="002D4DF7">
          <w:rPr>
            <w:rStyle w:val="Hyperlink"/>
            <w:webHidden/>
            <w:color w:val="auto"/>
          </w:rPr>
        </w:r>
        <w:r w:rsidR="002D4DF7" w:rsidRPr="002D4DF7">
          <w:rPr>
            <w:rStyle w:val="Hyperlink"/>
            <w:webHidden/>
            <w:color w:val="auto"/>
          </w:rPr>
          <w:fldChar w:fldCharType="separate"/>
        </w:r>
        <w:r w:rsidR="002D4DF7" w:rsidRPr="002D4DF7">
          <w:rPr>
            <w:rStyle w:val="Hyperlink"/>
            <w:webHidden/>
            <w:color w:val="auto"/>
          </w:rPr>
          <w:t>6</w:t>
        </w:r>
        <w:r w:rsidR="002D4DF7" w:rsidRPr="002D4DF7">
          <w:rPr>
            <w:rStyle w:val="Hyperlink"/>
            <w:webHidden/>
            <w:color w:val="auto"/>
          </w:rPr>
          <w:fldChar w:fldCharType="end"/>
        </w:r>
      </w:hyperlink>
    </w:p>
    <w:p w14:paraId="2920AF08" w14:textId="56ECFA92" w:rsidR="002D4DF7" w:rsidRPr="002D4DF7" w:rsidRDefault="00295FB4" w:rsidP="002D4DF7">
      <w:pPr>
        <w:pStyle w:val="TOC2"/>
        <w:ind w:left="720"/>
        <w:rPr>
          <w:rStyle w:val="Hyperlink"/>
          <w:color w:val="auto"/>
        </w:rPr>
      </w:pPr>
      <w:hyperlink w:anchor="_Toc124243400" w:history="1">
        <w:r w:rsidR="002D4DF7" w:rsidRPr="002D4DF7">
          <w:rPr>
            <w:rStyle w:val="Hyperlink"/>
            <w:color w:val="auto"/>
          </w:rPr>
          <w:t>Objectif 1.3</w:t>
        </w:r>
        <w:r w:rsidR="002D4DF7" w:rsidRPr="002D4DF7">
          <w:rPr>
            <w:rStyle w:val="Hyperlink"/>
            <w:webHidden/>
            <w:color w:val="auto"/>
          </w:rPr>
          <w:tab/>
        </w:r>
        <w:r w:rsidR="002D4DF7" w:rsidRPr="002D4DF7">
          <w:rPr>
            <w:rStyle w:val="Hyperlink"/>
            <w:webHidden/>
            <w:color w:val="auto"/>
          </w:rPr>
          <w:fldChar w:fldCharType="begin"/>
        </w:r>
        <w:r w:rsidR="002D4DF7" w:rsidRPr="002D4DF7">
          <w:rPr>
            <w:rStyle w:val="Hyperlink"/>
            <w:webHidden/>
            <w:color w:val="auto"/>
          </w:rPr>
          <w:instrText xml:space="preserve"> PAGEREF _Toc124243400 \h </w:instrText>
        </w:r>
        <w:r w:rsidR="002D4DF7" w:rsidRPr="002D4DF7">
          <w:rPr>
            <w:rStyle w:val="Hyperlink"/>
            <w:webHidden/>
            <w:color w:val="auto"/>
          </w:rPr>
        </w:r>
        <w:r w:rsidR="002D4DF7" w:rsidRPr="002D4DF7">
          <w:rPr>
            <w:rStyle w:val="Hyperlink"/>
            <w:webHidden/>
            <w:color w:val="auto"/>
          </w:rPr>
          <w:fldChar w:fldCharType="separate"/>
        </w:r>
        <w:r w:rsidR="002D4DF7" w:rsidRPr="002D4DF7">
          <w:rPr>
            <w:rStyle w:val="Hyperlink"/>
            <w:webHidden/>
            <w:color w:val="auto"/>
          </w:rPr>
          <w:t>8</w:t>
        </w:r>
        <w:r w:rsidR="002D4DF7" w:rsidRPr="002D4DF7">
          <w:rPr>
            <w:rStyle w:val="Hyperlink"/>
            <w:webHidden/>
            <w:color w:val="auto"/>
          </w:rPr>
          <w:fldChar w:fldCharType="end"/>
        </w:r>
      </w:hyperlink>
    </w:p>
    <w:p w14:paraId="65E78212" w14:textId="336373E0" w:rsidR="002D4DF7" w:rsidRPr="002D4DF7" w:rsidRDefault="00295FB4" w:rsidP="002D4DF7">
      <w:pPr>
        <w:pStyle w:val="TOC2"/>
        <w:ind w:left="720"/>
        <w:rPr>
          <w:rStyle w:val="Hyperlink"/>
          <w:color w:val="auto"/>
        </w:rPr>
      </w:pPr>
      <w:hyperlink w:anchor="_Toc124243401" w:history="1">
        <w:r w:rsidR="002D4DF7" w:rsidRPr="002D4DF7">
          <w:rPr>
            <w:rStyle w:val="Hyperlink"/>
            <w:color w:val="auto"/>
          </w:rPr>
          <w:t>Objectif 1.4</w:t>
        </w:r>
        <w:r w:rsidR="002D4DF7" w:rsidRPr="002D4DF7">
          <w:rPr>
            <w:rStyle w:val="Hyperlink"/>
            <w:webHidden/>
            <w:color w:val="auto"/>
          </w:rPr>
          <w:tab/>
        </w:r>
        <w:r w:rsidR="002D4DF7" w:rsidRPr="002D4DF7">
          <w:rPr>
            <w:rStyle w:val="Hyperlink"/>
            <w:webHidden/>
            <w:color w:val="auto"/>
          </w:rPr>
          <w:fldChar w:fldCharType="begin"/>
        </w:r>
        <w:r w:rsidR="002D4DF7" w:rsidRPr="002D4DF7">
          <w:rPr>
            <w:rStyle w:val="Hyperlink"/>
            <w:webHidden/>
            <w:color w:val="auto"/>
          </w:rPr>
          <w:instrText xml:space="preserve"> PAGEREF _Toc124243401 \h </w:instrText>
        </w:r>
        <w:r w:rsidR="002D4DF7" w:rsidRPr="002D4DF7">
          <w:rPr>
            <w:rStyle w:val="Hyperlink"/>
            <w:webHidden/>
            <w:color w:val="auto"/>
          </w:rPr>
        </w:r>
        <w:r w:rsidR="002D4DF7" w:rsidRPr="002D4DF7">
          <w:rPr>
            <w:rStyle w:val="Hyperlink"/>
            <w:webHidden/>
            <w:color w:val="auto"/>
          </w:rPr>
          <w:fldChar w:fldCharType="separate"/>
        </w:r>
        <w:r w:rsidR="002D4DF7" w:rsidRPr="002D4DF7">
          <w:rPr>
            <w:rStyle w:val="Hyperlink"/>
            <w:webHidden/>
            <w:color w:val="auto"/>
          </w:rPr>
          <w:t>10</w:t>
        </w:r>
        <w:r w:rsidR="002D4DF7" w:rsidRPr="002D4DF7">
          <w:rPr>
            <w:rStyle w:val="Hyperlink"/>
            <w:webHidden/>
            <w:color w:val="auto"/>
          </w:rPr>
          <w:fldChar w:fldCharType="end"/>
        </w:r>
      </w:hyperlink>
    </w:p>
    <w:p w14:paraId="7D75E745" w14:textId="573E53AF" w:rsidR="002D4DF7" w:rsidRPr="002D4DF7" w:rsidRDefault="00295FB4">
      <w:pPr>
        <w:pStyle w:val="TOC1"/>
        <w:tabs>
          <w:tab w:val="right" w:leader="dot" w:pos="8961"/>
        </w:tabs>
        <w:rPr>
          <w:rFonts w:ascii="Times New Roman" w:hAnsi="Times New Roman" w:cs="Times New Roman"/>
          <w:noProof/>
          <w:sz w:val="22"/>
          <w:szCs w:val="22"/>
        </w:rPr>
      </w:pPr>
      <w:hyperlink w:anchor="_Toc124243402" w:history="1">
        <w:r w:rsidR="002D4DF7" w:rsidRPr="002D4DF7">
          <w:rPr>
            <w:rStyle w:val="Hyperlink"/>
            <w:rFonts w:ascii="Times New Roman" w:hAnsi="Times New Roman" w:cs="Times New Roman"/>
            <w:noProof/>
            <w:color w:val="auto"/>
            <w:sz w:val="22"/>
            <w:szCs w:val="22"/>
          </w:rPr>
          <w:t>LIGNE STRATÉGIQUE 2</w:t>
        </w:r>
        <w:r w:rsidR="002D4DF7" w:rsidRPr="002D4DF7">
          <w:rPr>
            <w:rFonts w:ascii="Times New Roman" w:hAnsi="Times New Roman" w:cs="Times New Roman"/>
            <w:noProof/>
            <w:webHidden/>
            <w:sz w:val="22"/>
            <w:szCs w:val="22"/>
          </w:rPr>
          <w:tab/>
        </w:r>
        <w:r w:rsidR="002D4DF7" w:rsidRPr="002D4DF7">
          <w:rPr>
            <w:rFonts w:ascii="Times New Roman" w:hAnsi="Times New Roman" w:cs="Times New Roman"/>
            <w:noProof/>
            <w:webHidden/>
            <w:sz w:val="22"/>
            <w:szCs w:val="22"/>
          </w:rPr>
          <w:fldChar w:fldCharType="begin"/>
        </w:r>
        <w:r w:rsidR="002D4DF7" w:rsidRPr="002D4DF7">
          <w:rPr>
            <w:rFonts w:ascii="Times New Roman" w:hAnsi="Times New Roman" w:cs="Times New Roman"/>
            <w:noProof/>
            <w:webHidden/>
            <w:sz w:val="22"/>
            <w:szCs w:val="22"/>
          </w:rPr>
          <w:instrText xml:space="preserve"> PAGEREF _Toc124243402 \h </w:instrText>
        </w:r>
        <w:r w:rsidR="002D4DF7" w:rsidRPr="002D4DF7">
          <w:rPr>
            <w:rFonts w:ascii="Times New Roman" w:hAnsi="Times New Roman" w:cs="Times New Roman"/>
            <w:noProof/>
            <w:webHidden/>
            <w:sz w:val="22"/>
            <w:szCs w:val="22"/>
          </w:rPr>
        </w:r>
        <w:r w:rsidR="002D4DF7" w:rsidRPr="002D4DF7">
          <w:rPr>
            <w:rFonts w:ascii="Times New Roman" w:hAnsi="Times New Roman" w:cs="Times New Roman"/>
            <w:noProof/>
            <w:webHidden/>
            <w:sz w:val="22"/>
            <w:szCs w:val="22"/>
          </w:rPr>
          <w:fldChar w:fldCharType="separate"/>
        </w:r>
        <w:r w:rsidR="002D4DF7" w:rsidRPr="002D4DF7">
          <w:rPr>
            <w:rFonts w:ascii="Times New Roman" w:hAnsi="Times New Roman" w:cs="Times New Roman"/>
            <w:noProof/>
            <w:webHidden/>
            <w:sz w:val="22"/>
            <w:szCs w:val="22"/>
          </w:rPr>
          <w:t>12</w:t>
        </w:r>
        <w:r w:rsidR="002D4DF7" w:rsidRPr="002D4DF7">
          <w:rPr>
            <w:rFonts w:ascii="Times New Roman" w:hAnsi="Times New Roman" w:cs="Times New Roman"/>
            <w:noProof/>
            <w:webHidden/>
            <w:sz w:val="22"/>
            <w:szCs w:val="22"/>
          </w:rPr>
          <w:fldChar w:fldCharType="end"/>
        </w:r>
      </w:hyperlink>
    </w:p>
    <w:p w14:paraId="2F363023" w14:textId="0C7A532F" w:rsidR="002D4DF7" w:rsidRPr="002D4DF7" w:rsidRDefault="00295FB4" w:rsidP="002D4DF7">
      <w:pPr>
        <w:pStyle w:val="TOC2"/>
        <w:ind w:left="720"/>
        <w:rPr>
          <w:rStyle w:val="Hyperlink"/>
          <w:color w:val="auto"/>
        </w:rPr>
      </w:pPr>
      <w:hyperlink w:anchor="_Toc124243403" w:history="1">
        <w:r w:rsidR="002D4DF7" w:rsidRPr="002D4DF7">
          <w:rPr>
            <w:rStyle w:val="Hyperlink"/>
            <w:color w:val="auto"/>
          </w:rPr>
          <w:t>Objectif 2.1</w:t>
        </w:r>
        <w:r w:rsidR="002D4DF7" w:rsidRPr="002D4DF7">
          <w:rPr>
            <w:rStyle w:val="Hyperlink"/>
            <w:webHidden/>
            <w:color w:val="auto"/>
          </w:rPr>
          <w:tab/>
        </w:r>
        <w:r w:rsidR="002D4DF7" w:rsidRPr="002D4DF7">
          <w:rPr>
            <w:rStyle w:val="Hyperlink"/>
            <w:webHidden/>
            <w:color w:val="auto"/>
          </w:rPr>
          <w:fldChar w:fldCharType="begin"/>
        </w:r>
        <w:r w:rsidR="002D4DF7" w:rsidRPr="002D4DF7">
          <w:rPr>
            <w:rStyle w:val="Hyperlink"/>
            <w:webHidden/>
            <w:color w:val="auto"/>
          </w:rPr>
          <w:instrText xml:space="preserve"> PAGEREF _Toc124243403 \h </w:instrText>
        </w:r>
        <w:r w:rsidR="002D4DF7" w:rsidRPr="002D4DF7">
          <w:rPr>
            <w:rStyle w:val="Hyperlink"/>
            <w:webHidden/>
            <w:color w:val="auto"/>
          </w:rPr>
        </w:r>
        <w:r w:rsidR="002D4DF7" w:rsidRPr="002D4DF7">
          <w:rPr>
            <w:rStyle w:val="Hyperlink"/>
            <w:webHidden/>
            <w:color w:val="auto"/>
          </w:rPr>
          <w:fldChar w:fldCharType="separate"/>
        </w:r>
        <w:r w:rsidR="002D4DF7" w:rsidRPr="002D4DF7">
          <w:rPr>
            <w:rStyle w:val="Hyperlink"/>
            <w:webHidden/>
            <w:color w:val="auto"/>
          </w:rPr>
          <w:t>12</w:t>
        </w:r>
        <w:r w:rsidR="002D4DF7" w:rsidRPr="002D4DF7">
          <w:rPr>
            <w:rStyle w:val="Hyperlink"/>
            <w:webHidden/>
            <w:color w:val="auto"/>
          </w:rPr>
          <w:fldChar w:fldCharType="end"/>
        </w:r>
      </w:hyperlink>
    </w:p>
    <w:p w14:paraId="4CE1821C" w14:textId="38AAFB70" w:rsidR="002D4DF7" w:rsidRPr="002D4DF7" w:rsidRDefault="00295FB4" w:rsidP="002D4DF7">
      <w:pPr>
        <w:pStyle w:val="TOC2"/>
        <w:ind w:left="720"/>
        <w:rPr>
          <w:rStyle w:val="Hyperlink"/>
          <w:color w:val="auto"/>
        </w:rPr>
      </w:pPr>
      <w:hyperlink w:anchor="_Toc124243404" w:history="1">
        <w:r w:rsidR="002D4DF7" w:rsidRPr="002D4DF7">
          <w:rPr>
            <w:rStyle w:val="Hyperlink"/>
            <w:color w:val="auto"/>
          </w:rPr>
          <w:t>Objectif 2.2</w:t>
        </w:r>
        <w:r w:rsidR="002D4DF7" w:rsidRPr="002D4DF7">
          <w:rPr>
            <w:rStyle w:val="Hyperlink"/>
            <w:webHidden/>
            <w:color w:val="auto"/>
          </w:rPr>
          <w:tab/>
        </w:r>
        <w:r w:rsidR="002D4DF7" w:rsidRPr="002D4DF7">
          <w:rPr>
            <w:rStyle w:val="Hyperlink"/>
            <w:webHidden/>
            <w:color w:val="auto"/>
          </w:rPr>
          <w:fldChar w:fldCharType="begin"/>
        </w:r>
        <w:r w:rsidR="002D4DF7" w:rsidRPr="002D4DF7">
          <w:rPr>
            <w:rStyle w:val="Hyperlink"/>
            <w:webHidden/>
            <w:color w:val="auto"/>
          </w:rPr>
          <w:instrText xml:space="preserve"> PAGEREF _Toc124243404 \h </w:instrText>
        </w:r>
        <w:r w:rsidR="002D4DF7" w:rsidRPr="002D4DF7">
          <w:rPr>
            <w:rStyle w:val="Hyperlink"/>
            <w:webHidden/>
            <w:color w:val="auto"/>
          </w:rPr>
        </w:r>
        <w:r w:rsidR="002D4DF7" w:rsidRPr="002D4DF7">
          <w:rPr>
            <w:rStyle w:val="Hyperlink"/>
            <w:webHidden/>
            <w:color w:val="auto"/>
          </w:rPr>
          <w:fldChar w:fldCharType="separate"/>
        </w:r>
        <w:r w:rsidR="002D4DF7" w:rsidRPr="002D4DF7">
          <w:rPr>
            <w:rStyle w:val="Hyperlink"/>
            <w:webHidden/>
            <w:color w:val="auto"/>
          </w:rPr>
          <w:t>14</w:t>
        </w:r>
        <w:r w:rsidR="002D4DF7" w:rsidRPr="002D4DF7">
          <w:rPr>
            <w:rStyle w:val="Hyperlink"/>
            <w:webHidden/>
            <w:color w:val="auto"/>
          </w:rPr>
          <w:fldChar w:fldCharType="end"/>
        </w:r>
      </w:hyperlink>
    </w:p>
    <w:p w14:paraId="02494C62" w14:textId="51B3481E" w:rsidR="002D4DF7" w:rsidRPr="002D4DF7" w:rsidRDefault="00295FB4" w:rsidP="002D4DF7">
      <w:pPr>
        <w:pStyle w:val="TOC2"/>
        <w:ind w:left="720"/>
        <w:rPr>
          <w:rStyle w:val="Hyperlink"/>
          <w:color w:val="auto"/>
        </w:rPr>
      </w:pPr>
      <w:hyperlink w:anchor="_Toc124243405" w:history="1">
        <w:r w:rsidR="002D4DF7" w:rsidRPr="002D4DF7">
          <w:rPr>
            <w:rStyle w:val="Hyperlink"/>
            <w:color w:val="auto"/>
          </w:rPr>
          <w:t>Objectif 2.3</w:t>
        </w:r>
        <w:r w:rsidR="002D4DF7" w:rsidRPr="002D4DF7">
          <w:rPr>
            <w:rStyle w:val="Hyperlink"/>
            <w:webHidden/>
            <w:color w:val="auto"/>
          </w:rPr>
          <w:tab/>
        </w:r>
        <w:r w:rsidR="002D4DF7" w:rsidRPr="002D4DF7">
          <w:rPr>
            <w:rStyle w:val="Hyperlink"/>
            <w:webHidden/>
            <w:color w:val="auto"/>
          </w:rPr>
          <w:fldChar w:fldCharType="begin"/>
        </w:r>
        <w:r w:rsidR="002D4DF7" w:rsidRPr="002D4DF7">
          <w:rPr>
            <w:rStyle w:val="Hyperlink"/>
            <w:webHidden/>
            <w:color w:val="auto"/>
          </w:rPr>
          <w:instrText xml:space="preserve"> PAGEREF _Toc124243405 \h </w:instrText>
        </w:r>
        <w:r w:rsidR="002D4DF7" w:rsidRPr="002D4DF7">
          <w:rPr>
            <w:rStyle w:val="Hyperlink"/>
            <w:webHidden/>
            <w:color w:val="auto"/>
          </w:rPr>
        </w:r>
        <w:r w:rsidR="002D4DF7" w:rsidRPr="002D4DF7">
          <w:rPr>
            <w:rStyle w:val="Hyperlink"/>
            <w:webHidden/>
            <w:color w:val="auto"/>
          </w:rPr>
          <w:fldChar w:fldCharType="separate"/>
        </w:r>
        <w:r w:rsidR="002D4DF7" w:rsidRPr="002D4DF7">
          <w:rPr>
            <w:rStyle w:val="Hyperlink"/>
            <w:webHidden/>
            <w:color w:val="auto"/>
          </w:rPr>
          <w:t>14</w:t>
        </w:r>
        <w:r w:rsidR="002D4DF7" w:rsidRPr="002D4DF7">
          <w:rPr>
            <w:rStyle w:val="Hyperlink"/>
            <w:webHidden/>
            <w:color w:val="auto"/>
          </w:rPr>
          <w:fldChar w:fldCharType="end"/>
        </w:r>
      </w:hyperlink>
    </w:p>
    <w:p w14:paraId="510407C5" w14:textId="6A0227C3" w:rsidR="002D4DF7" w:rsidRPr="002D4DF7" w:rsidRDefault="00295FB4" w:rsidP="002D4DF7">
      <w:pPr>
        <w:pStyle w:val="TOC2"/>
        <w:ind w:left="720"/>
        <w:rPr>
          <w:rStyle w:val="Hyperlink"/>
          <w:color w:val="auto"/>
        </w:rPr>
      </w:pPr>
      <w:hyperlink w:anchor="_Toc124243406" w:history="1">
        <w:r w:rsidR="002D4DF7" w:rsidRPr="002D4DF7">
          <w:rPr>
            <w:rStyle w:val="Hyperlink"/>
            <w:color w:val="auto"/>
          </w:rPr>
          <w:t>Objectif 2.4</w:t>
        </w:r>
        <w:r w:rsidR="002D4DF7" w:rsidRPr="002D4DF7">
          <w:rPr>
            <w:rStyle w:val="Hyperlink"/>
            <w:webHidden/>
            <w:color w:val="auto"/>
          </w:rPr>
          <w:tab/>
        </w:r>
        <w:r w:rsidR="002D4DF7" w:rsidRPr="002D4DF7">
          <w:rPr>
            <w:rStyle w:val="Hyperlink"/>
            <w:webHidden/>
            <w:color w:val="auto"/>
          </w:rPr>
          <w:fldChar w:fldCharType="begin"/>
        </w:r>
        <w:r w:rsidR="002D4DF7" w:rsidRPr="002D4DF7">
          <w:rPr>
            <w:rStyle w:val="Hyperlink"/>
            <w:webHidden/>
            <w:color w:val="auto"/>
          </w:rPr>
          <w:instrText xml:space="preserve"> PAGEREF _Toc124243406 \h </w:instrText>
        </w:r>
        <w:r w:rsidR="002D4DF7" w:rsidRPr="002D4DF7">
          <w:rPr>
            <w:rStyle w:val="Hyperlink"/>
            <w:webHidden/>
            <w:color w:val="auto"/>
          </w:rPr>
        </w:r>
        <w:r w:rsidR="002D4DF7" w:rsidRPr="002D4DF7">
          <w:rPr>
            <w:rStyle w:val="Hyperlink"/>
            <w:webHidden/>
            <w:color w:val="auto"/>
          </w:rPr>
          <w:fldChar w:fldCharType="separate"/>
        </w:r>
        <w:r w:rsidR="002D4DF7" w:rsidRPr="002D4DF7">
          <w:rPr>
            <w:rStyle w:val="Hyperlink"/>
            <w:webHidden/>
            <w:color w:val="auto"/>
          </w:rPr>
          <w:t>17</w:t>
        </w:r>
        <w:r w:rsidR="002D4DF7" w:rsidRPr="002D4DF7">
          <w:rPr>
            <w:rStyle w:val="Hyperlink"/>
            <w:webHidden/>
            <w:color w:val="auto"/>
          </w:rPr>
          <w:fldChar w:fldCharType="end"/>
        </w:r>
      </w:hyperlink>
    </w:p>
    <w:p w14:paraId="22AAE4F1" w14:textId="28647EDA" w:rsidR="002D4DF7" w:rsidRPr="002D4DF7" w:rsidRDefault="00295FB4" w:rsidP="002D4DF7">
      <w:pPr>
        <w:pStyle w:val="TOC2"/>
        <w:ind w:left="720"/>
        <w:rPr>
          <w:rStyle w:val="Hyperlink"/>
          <w:color w:val="auto"/>
        </w:rPr>
      </w:pPr>
      <w:hyperlink w:anchor="_Toc124243407" w:history="1">
        <w:r w:rsidR="002D4DF7" w:rsidRPr="002D4DF7">
          <w:rPr>
            <w:rStyle w:val="Hyperlink"/>
            <w:color w:val="auto"/>
          </w:rPr>
          <w:t>Objectif 2.5</w:t>
        </w:r>
        <w:r w:rsidR="002D4DF7" w:rsidRPr="002D4DF7">
          <w:rPr>
            <w:rStyle w:val="Hyperlink"/>
            <w:webHidden/>
            <w:color w:val="auto"/>
          </w:rPr>
          <w:tab/>
        </w:r>
        <w:r w:rsidR="002D4DF7" w:rsidRPr="002D4DF7">
          <w:rPr>
            <w:rStyle w:val="Hyperlink"/>
            <w:webHidden/>
            <w:color w:val="auto"/>
          </w:rPr>
          <w:fldChar w:fldCharType="begin"/>
        </w:r>
        <w:r w:rsidR="002D4DF7" w:rsidRPr="002D4DF7">
          <w:rPr>
            <w:rStyle w:val="Hyperlink"/>
            <w:webHidden/>
            <w:color w:val="auto"/>
          </w:rPr>
          <w:instrText xml:space="preserve"> PAGEREF _Toc124243407 \h </w:instrText>
        </w:r>
        <w:r w:rsidR="002D4DF7" w:rsidRPr="002D4DF7">
          <w:rPr>
            <w:rStyle w:val="Hyperlink"/>
            <w:webHidden/>
            <w:color w:val="auto"/>
          </w:rPr>
        </w:r>
        <w:r w:rsidR="002D4DF7" w:rsidRPr="002D4DF7">
          <w:rPr>
            <w:rStyle w:val="Hyperlink"/>
            <w:webHidden/>
            <w:color w:val="auto"/>
          </w:rPr>
          <w:fldChar w:fldCharType="separate"/>
        </w:r>
        <w:r w:rsidR="002D4DF7" w:rsidRPr="002D4DF7">
          <w:rPr>
            <w:rStyle w:val="Hyperlink"/>
            <w:webHidden/>
            <w:color w:val="auto"/>
          </w:rPr>
          <w:t>18</w:t>
        </w:r>
        <w:r w:rsidR="002D4DF7" w:rsidRPr="002D4DF7">
          <w:rPr>
            <w:rStyle w:val="Hyperlink"/>
            <w:webHidden/>
            <w:color w:val="auto"/>
          </w:rPr>
          <w:fldChar w:fldCharType="end"/>
        </w:r>
      </w:hyperlink>
    </w:p>
    <w:p w14:paraId="111DA9E6" w14:textId="562A89B1" w:rsidR="002D4DF7" w:rsidRPr="002D4DF7" w:rsidRDefault="00295FB4" w:rsidP="002D4DF7">
      <w:pPr>
        <w:pStyle w:val="TOC2"/>
        <w:ind w:left="720"/>
        <w:rPr>
          <w:rStyle w:val="Hyperlink"/>
          <w:color w:val="auto"/>
        </w:rPr>
      </w:pPr>
      <w:hyperlink w:anchor="_Toc124243408" w:history="1">
        <w:r w:rsidR="002D4DF7" w:rsidRPr="002D4DF7">
          <w:rPr>
            <w:rStyle w:val="Hyperlink"/>
            <w:color w:val="auto"/>
          </w:rPr>
          <w:t>Objectif 2.6</w:t>
        </w:r>
        <w:r w:rsidR="002D4DF7" w:rsidRPr="002D4DF7">
          <w:rPr>
            <w:rStyle w:val="Hyperlink"/>
            <w:webHidden/>
            <w:color w:val="auto"/>
          </w:rPr>
          <w:tab/>
        </w:r>
        <w:r w:rsidR="002D4DF7" w:rsidRPr="002D4DF7">
          <w:rPr>
            <w:rStyle w:val="Hyperlink"/>
            <w:webHidden/>
            <w:color w:val="auto"/>
          </w:rPr>
          <w:fldChar w:fldCharType="begin"/>
        </w:r>
        <w:r w:rsidR="002D4DF7" w:rsidRPr="002D4DF7">
          <w:rPr>
            <w:rStyle w:val="Hyperlink"/>
            <w:webHidden/>
            <w:color w:val="auto"/>
          </w:rPr>
          <w:instrText xml:space="preserve"> PAGEREF _Toc124243408 \h </w:instrText>
        </w:r>
        <w:r w:rsidR="002D4DF7" w:rsidRPr="002D4DF7">
          <w:rPr>
            <w:rStyle w:val="Hyperlink"/>
            <w:webHidden/>
            <w:color w:val="auto"/>
          </w:rPr>
        </w:r>
        <w:r w:rsidR="002D4DF7" w:rsidRPr="002D4DF7">
          <w:rPr>
            <w:rStyle w:val="Hyperlink"/>
            <w:webHidden/>
            <w:color w:val="auto"/>
          </w:rPr>
          <w:fldChar w:fldCharType="separate"/>
        </w:r>
        <w:r w:rsidR="002D4DF7" w:rsidRPr="002D4DF7">
          <w:rPr>
            <w:rStyle w:val="Hyperlink"/>
            <w:webHidden/>
            <w:color w:val="auto"/>
          </w:rPr>
          <w:t>19</w:t>
        </w:r>
        <w:r w:rsidR="002D4DF7" w:rsidRPr="002D4DF7">
          <w:rPr>
            <w:rStyle w:val="Hyperlink"/>
            <w:webHidden/>
            <w:color w:val="auto"/>
          </w:rPr>
          <w:fldChar w:fldCharType="end"/>
        </w:r>
      </w:hyperlink>
    </w:p>
    <w:p w14:paraId="3A0BA6CF" w14:textId="53A470C1" w:rsidR="002D4DF7" w:rsidRPr="002D4DF7" w:rsidRDefault="00295FB4">
      <w:pPr>
        <w:pStyle w:val="TOC1"/>
        <w:tabs>
          <w:tab w:val="right" w:leader="dot" w:pos="8961"/>
        </w:tabs>
        <w:rPr>
          <w:rFonts w:ascii="Times New Roman" w:hAnsi="Times New Roman" w:cs="Times New Roman"/>
          <w:noProof/>
          <w:sz w:val="22"/>
          <w:szCs w:val="22"/>
        </w:rPr>
      </w:pPr>
      <w:hyperlink w:anchor="_Toc124243409" w:history="1">
        <w:r w:rsidR="002D4DF7" w:rsidRPr="002D4DF7">
          <w:rPr>
            <w:rStyle w:val="Hyperlink"/>
            <w:rFonts w:ascii="Times New Roman" w:hAnsi="Times New Roman" w:cs="Times New Roman"/>
            <w:noProof/>
            <w:color w:val="auto"/>
            <w:sz w:val="22"/>
            <w:szCs w:val="22"/>
          </w:rPr>
          <w:t>LIGNE STRATÉGIQUE 3</w:t>
        </w:r>
        <w:r w:rsidR="002D4DF7" w:rsidRPr="002D4DF7">
          <w:rPr>
            <w:rFonts w:ascii="Times New Roman" w:hAnsi="Times New Roman" w:cs="Times New Roman"/>
            <w:noProof/>
            <w:webHidden/>
            <w:sz w:val="22"/>
            <w:szCs w:val="22"/>
          </w:rPr>
          <w:tab/>
        </w:r>
        <w:r w:rsidR="002D4DF7" w:rsidRPr="002D4DF7">
          <w:rPr>
            <w:rFonts w:ascii="Times New Roman" w:hAnsi="Times New Roman" w:cs="Times New Roman"/>
            <w:noProof/>
            <w:webHidden/>
            <w:sz w:val="22"/>
            <w:szCs w:val="22"/>
          </w:rPr>
          <w:fldChar w:fldCharType="begin"/>
        </w:r>
        <w:r w:rsidR="002D4DF7" w:rsidRPr="002D4DF7">
          <w:rPr>
            <w:rFonts w:ascii="Times New Roman" w:hAnsi="Times New Roman" w:cs="Times New Roman"/>
            <w:noProof/>
            <w:webHidden/>
            <w:sz w:val="22"/>
            <w:szCs w:val="22"/>
          </w:rPr>
          <w:instrText xml:space="preserve"> PAGEREF _Toc124243409 \h </w:instrText>
        </w:r>
        <w:r w:rsidR="002D4DF7" w:rsidRPr="002D4DF7">
          <w:rPr>
            <w:rFonts w:ascii="Times New Roman" w:hAnsi="Times New Roman" w:cs="Times New Roman"/>
            <w:noProof/>
            <w:webHidden/>
            <w:sz w:val="22"/>
            <w:szCs w:val="22"/>
          </w:rPr>
        </w:r>
        <w:r w:rsidR="002D4DF7" w:rsidRPr="002D4DF7">
          <w:rPr>
            <w:rFonts w:ascii="Times New Roman" w:hAnsi="Times New Roman" w:cs="Times New Roman"/>
            <w:noProof/>
            <w:webHidden/>
            <w:sz w:val="22"/>
            <w:szCs w:val="22"/>
          </w:rPr>
          <w:fldChar w:fldCharType="separate"/>
        </w:r>
        <w:r w:rsidR="002D4DF7" w:rsidRPr="002D4DF7">
          <w:rPr>
            <w:rFonts w:ascii="Times New Roman" w:hAnsi="Times New Roman" w:cs="Times New Roman"/>
            <w:noProof/>
            <w:webHidden/>
            <w:sz w:val="22"/>
            <w:szCs w:val="22"/>
          </w:rPr>
          <w:t>19</w:t>
        </w:r>
        <w:r w:rsidR="002D4DF7" w:rsidRPr="002D4DF7">
          <w:rPr>
            <w:rFonts w:ascii="Times New Roman" w:hAnsi="Times New Roman" w:cs="Times New Roman"/>
            <w:noProof/>
            <w:webHidden/>
            <w:sz w:val="22"/>
            <w:szCs w:val="22"/>
          </w:rPr>
          <w:fldChar w:fldCharType="end"/>
        </w:r>
      </w:hyperlink>
    </w:p>
    <w:p w14:paraId="6C0B2D43" w14:textId="3D297EB0" w:rsidR="002D4DF7" w:rsidRPr="002D4DF7" w:rsidRDefault="00295FB4" w:rsidP="002D4DF7">
      <w:pPr>
        <w:pStyle w:val="TOC2"/>
        <w:ind w:left="720"/>
        <w:rPr>
          <w:rStyle w:val="Hyperlink"/>
          <w:color w:val="auto"/>
        </w:rPr>
      </w:pPr>
      <w:hyperlink w:anchor="_Toc124243410" w:history="1">
        <w:r w:rsidR="002D4DF7" w:rsidRPr="002D4DF7">
          <w:rPr>
            <w:rStyle w:val="Hyperlink"/>
            <w:color w:val="auto"/>
          </w:rPr>
          <w:t>Objectif 3.1</w:t>
        </w:r>
        <w:r w:rsidR="002D4DF7" w:rsidRPr="002D4DF7">
          <w:rPr>
            <w:rStyle w:val="Hyperlink"/>
            <w:webHidden/>
            <w:color w:val="auto"/>
          </w:rPr>
          <w:tab/>
        </w:r>
        <w:r w:rsidR="002D4DF7" w:rsidRPr="002D4DF7">
          <w:rPr>
            <w:rStyle w:val="Hyperlink"/>
            <w:webHidden/>
            <w:color w:val="auto"/>
          </w:rPr>
          <w:fldChar w:fldCharType="begin"/>
        </w:r>
        <w:r w:rsidR="002D4DF7" w:rsidRPr="002D4DF7">
          <w:rPr>
            <w:rStyle w:val="Hyperlink"/>
            <w:webHidden/>
            <w:color w:val="auto"/>
          </w:rPr>
          <w:instrText xml:space="preserve"> PAGEREF _Toc124243410 \h </w:instrText>
        </w:r>
        <w:r w:rsidR="002D4DF7" w:rsidRPr="002D4DF7">
          <w:rPr>
            <w:rStyle w:val="Hyperlink"/>
            <w:webHidden/>
            <w:color w:val="auto"/>
          </w:rPr>
        </w:r>
        <w:r w:rsidR="002D4DF7" w:rsidRPr="002D4DF7">
          <w:rPr>
            <w:rStyle w:val="Hyperlink"/>
            <w:webHidden/>
            <w:color w:val="auto"/>
          </w:rPr>
          <w:fldChar w:fldCharType="separate"/>
        </w:r>
        <w:r w:rsidR="002D4DF7" w:rsidRPr="002D4DF7">
          <w:rPr>
            <w:rStyle w:val="Hyperlink"/>
            <w:webHidden/>
            <w:color w:val="auto"/>
          </w:rPr>
          <w:t>20</w:t>
        </w:r>
        <w:r w:rsidR="002D4DF7" w:rsidRPr="002D4DF7">
          <w:rPr>
            <w:rStyle w:val="Hyperlink"/>
            <w:webHidden/>
            <w:color w:val="auto"/>
          </w:rPr>
          <w:fldChar w:fldCharType="end"/>
        </w:r>
      </w:hyperlink>
    </w:p>
    <w:p w14:paraId="03D449EC" w14:textId="377E243F" w:rsidR="002D4DF7" w:rsidRPr="002D4DF7" w:rsidRDefault="00295FB4" w:rsidP="002D4DF7">
      <w:pPr>
        <w:pStyle w:val="TOC2"/>
        <w:ind w:left="720"/>
        <w:rPr>
          <w:rStyle w:val="Hyperlink"/>
          <w:color w:val="auto"/>
        </w:rPr>
      </w:pPr>
      <w:hyperlink w:anchor="_Toc124243411" w:history="1">
        <w:r w:rsidR="002D4DF7" w:rsidRPr="002D4DF7">
          <w:rPr>
            <w:rStyle w:val="Hyperlink"/>
            <w:color w:val="auto"/>
          </w:rPr>
          <w:t>Objectif 3.2</w:t>
        </w:r>
        <w:r w:rsidR="002D4DF7" w:rsidRPr="002D4DF7">
          <w:rPr>
            <w:rStyle w:val="Hyperlink"/>
            <w:webHidden/>
            <w:color w:val="auto"/>
          </w:rPr>
          <w:tab/>
        </w:r>
        <w:r w:rsidR="002D4DF7" w:rsidRPr="002D4DF7">
          <w:rPr>
            <w:rStyle w:val="Hyperlink"/>
            <w:webHidden/>
            <w:color w:val="auto"/>
          </w:rPr>
          <w:fldChar w:fldCharType="begin"/>
        </w:r>
        <w:r w:rsidR="002D4DF7" w:rsidRPr="002D4DF7">
          <w:rPr>
            <w:rStyle w:val="Hyperlink"/>
            <w:webHidden/>
            <w:color w:val="auto"/>
          </w:rPr>
          <w:instrText xml:space="preserve"> PAGEREF _Toc124243411 \h </w:instrText>
        </w:r>
        <w:r w:rsidR="002D4DF7" w:rsidRPr="002D4DF7">
          <w:rPr>
            <w:rStyle w:val="Hyperlink"/>
            <w:webHidden/>
            <w:color w:val="auto"/>
          </w:rPr>
        </w:r>
        <w:r w:rsidR="002D4DF7" w:rsidRPr="002D4DF7">
          <w:rPr>
            <w:rStyle w:val="Hyperlink"/>
            <w:webHidden/>
            <w:color w:val="auto"/>
          </w:rPr>
          <w:fldChar w:fldCharType="separate"/>
        </w:r>
        <w:r w:rsidR="002D4DF7" w:rsidRPr="002D4DF7">
          <w:rPr>
            <w:rStyle w:val="Hyperlink"/>
            <w:webHidden/>
            <w:color w:val="auto"/>
          </w:rPr>
          <w:t>20</w:t>
        </w:r>
        <w:r w:rsidR="002D4DF7" w:rsidRPr="002D4DF7">
          <w:rPr>
            <w:rStyle w:val="Hyperlink"/>
            <w:webHidden/>
            <w:color w:val="auto"/>
          </w:rPr>
          <w:fldChar w:fldCharType="end"/>
        </w:r>
      </w:hyperlink>
    </w:p>
    <w:p w14:paraId="0224897A" w14:textId="34B3DEA3" w:rsidR="002D4DF7" w:rsidRPr="002D4DF7" w:rsidRDefault="00295FB4" w:rsidP="002D4DF7">
      <w:pPr>
        <w:pStyle w:val="TOC2"/>
        <w:ind w:left="720"/>
        <w:rPr>
          <w:rStyle w:val="Hyperlink"/>
          <w:color w:val="auto"/>
        </w:rPr>
      </w:pPr>
      <w:hyperlink w:anchor="_Toc124243412" w:history="1">
        <w:r w:rsidR="002D4DF7" w:rsidRPr="002D4DF7">
          <w:rPr>
            <w:rStyle w:val="Hyperlink"/>
            <w:color w:val="auto"/>
          </w:rPr>
          <w:t>Objectif 3.3</w:t>
        </w:r>
        <w:r w:rsidR="002D4DF7" w:rsidRPr="002D4DF7">
          <w:rPr>
            <w:rStyle w:val="Hyperlink"/>
            <w:webHidden/>
            <w:color w:val="auto"/>
          </w:rPr>
          <w:tab/>
        </w:r>
        <w:r w:rsidR="002D4DF7" w:rsidRPr="002D4DF7">
          <w:rPr>
            <w:rStyle w:val="Hyperlink"/>
            <w:webHidden/>
            <w:color w:val="auto"/>
          </w:rPr>
          <w:fldChar w:fldCharType="begin"/>
        </w:r>
        <w:r w:rsidR="002D4DF7" w:rsidRPr="002D4DF7">
          <w:rPr>
            <w:rStyle w:val="Hyperlink"/>
            <w:webHidden/>
            <w:color w:val="auto"/>
          </w:rPr>
          <w:instrText xml:space="preserve"> PAGEREF _Toc124243412 \h </w:instrText>
        </w:r>
        <w:r w:rsidR="002D4DF7" w:rsidRPr="002D4DF7">
          <w:rPr>
            <w:rStyle w:val="Hyperlink"/>
            <w:webHidden/>
            <w:color w:val="auto"/>
          </w:rPr>
        </w:r>
        <w:r w:rsidR="002D4DF7" w:rsidRPr="002D4DF7">
          <w:rPr>
            <w:rStyle w:val="Hyperlink"/>
            <w:webHidden/>
            <w:color w:val="auto"/>
          </w:rPr>
          <w:fldChar w:fldCharType="separate"/>
        </w:r>
        <w:r w:rsidR="002D4DF7" w:rsidRPr="002D4DF7">
          <w:rPr>
            <w:rStyle w:val="Hyperlink"/>
            <w:webHidden/>
            <w:color w:val="auto"/>
          </w:rPr>
          <w:t>23</w:t>
        </w:r>
        <w:r w:rsidR="002D4DF7" w:rsidRPr="002D4DF7">
          <w:rPr>
            <w:rStyle w:val="Hyperlink"/>
            <w:webHidden/>
            <w:color w:val="auto"/>
          </w:rPr>
          <w:fldChar w:fldCharType="end"/>
        </w:r>
      </w:hyperlink>
    </w:p>
    <w:p w14:paraId="4EBABD46" w14:textId="0DA819F2" w:rsidR="002D4DF7" w:rsidRPr="002D4DF7" w:rsidRDefault="00295FB4" w:rsidP="002D4DF7">
      <w:pPr>
        <w:pStyle w:val="TOC2"/>
        <w:ind w:left="720"/>
        <w:rPr>
          <w:rStyle w:val="Hyperlink"/>
          <w:color w:val="auto"/>
        </w:rPr>
      </w:pPr>
      <w:hyperlink w:anchor="_Toc124243413" w:history="1">
        <w:r w:rsidR="002D4DF7" w:rsidRPr="002D4DF7">
          <w:rPr>
            <w:rStyle w:val="Hyperlink"/>
            <w:color w:val="auto"/>
          </w:rPr>
          <w:t>Objectif 3.4</w:t>
        </w:r>
        <w:r w:rsidR="002D4DF7" w:rsidRPr="002D4DF7">
          <w:rPr>
            <w:rStyle w:val="Hyperlink"/>
            <w:webHidden/>
            <w:color w:val="auto"/>
          </w:rPr>
          <w:tab/>
        </w:r>
        <w:r w:rsidR="002D4DF7" w:rsidRPr="002D4DF7">
          <w:rPr>
            <w:rStyle w:val="Hyperlink"/>
            <w:webHidden/>
            <w:color w:val="auto"/>
          </w:rPr>
          <w:fldChar w:fldCharType="begin"/>
        </w:r>
        <w:r w:rsidR="002D4DF7" w:rsidRPr="002D4DF7">
          <w:rPr>
            <w:rStyle w:val="Hyperlink"/>
            <w:webHidden/>
            <w:color w:val="auto"/>
          </w:rPr>
          <w:instrText xml:space="preserve"> PAGEREF _Toc124243413 \h </w:instrText>
        </w:r>
        <w:r w:rsidR="002D4DF7" w:rsidRPr="002D4DF7">
          <w:rPr>
            <w:rStyle w:val="Hyperlink"/>
            <w:webHidden/>
            <w:color w:val="auto"/>
          </w:rPr>
        </w:r>
        <w:r w:rsidR="002D4DF7" w:rsidRPr="002D4DF7">
          <w:rPr>
            <w:rStyle w:val="Hyperlink"/>
            <w:webHidden/>
            <w:color w:val="auto"/>
          </w:rPr>
          <w:fldChar w:fldCharType="separate"/>
        </w:r>
        <w:r w:rsidR="002D4DF7" w:rsidRPr="002D4DF7">
          <w:rPr>
            <w:rStyle w:val="Hyperlink"/>
            <w:webHidden/>
            <w:color w:val="auto"/>
          </w:rPr>
          <w:t>23</w:t>
        </w:r>
        <w:r w:rsidR="002D4DF7" w:rsidRPr="002D4DF7">
          <w:rPr>
            <w:rStyle w:val="Hyperlink"/>
            <w:webHidden/>
            <w:color w:val="auto"/>
          </w:rPr>
          <w:fldChar w:fldCharType="end"/>
        </w:r>
      </w:hyperlink>
    </w:p>
    <w:p w14:paraId="6CFC09DC" w14:textId="6E65CF15" w:rsidR="002D4DF7" w:rsidRPr="002D4DF7" w:rsidRDefault="00295FB4">
      <w:pPr>
        <w:pStyle w:val="TOC1"/>
        <w:tabs>
          <w:tab w:val="right" w:leader="dot" w:pos="8961"/>
        </w:tabs>
        <w:rPr>
          <w:rFonts w:ascii="Times New Roman" w:hAnsi="Times New Roman" w:cs="Times New Roman"/>
          <w:noProof/>
          <w:sz w:val="22"/>
          <w:szCs w:val="22"/>
        </w:rPr>
      </w:pPr>
      <w:hyperlink w:anchor="_Toc124243414" w:history="1">
        <w:r w:rsidR="002D4DF7" w:rsidRPr="002D4DF7">
          <w:rPr>
            <w:rStyle w:val="Hyperlink"/>
            <w:rFonts w:ascii="Times New Roman" w:hAnsi="Times New Roman" w:cs="Times New Roman"/>
            <w:noProof/>
            <w:color w:val="auto"/>
            <w:sz w:val="22"/>
            <w:szCs w:val="22"/>
          </w:rPr>
          <w:t>LIGNE STRATÉGIQUE 4</w:t>
        </w:r>
        <w:r w:rsidR="002D4DF7" w:rsidRPr="002D4DF7">
          <w:rPr>
            <w:rFonts w:ascii="Times New Roman" w:hAnsi="Times New Roman" w:cs="Times New Roman"/>
            <w:noProof/>
            <w:webHidden/>
            <w:sz w:val="22"/>
            <w:szCs w:val="22"/>
          </w:rPr>
          <w:tab/>
        </w:r>
        <w:r w:rsidR="002D4DF7" w:rsidRPr="002D4DF7">
          <w:rPr>
            <w:rFonts w:ascii="Times New Roman" w:hAnsi="Times New Roman" w:cs="Times New Roman"/>
            <w:noProof/>
            <w:webHidden/>
            <w:sz w:val="22"/>
            <w:szCs w:val="22"/>
          </w:rPr>
          <w:fldChar w:fldCharType="begin"/>
        </w:r>
        <w:r w:rsidR="002D4DF7" w:rsidRPr="002D4DF7">
          <w:rPr>
            <w:rFonts w:ascii="Times New Roman" w:hAnsi="Times New Roman" w:cs="Times New Roman"/>
            <w:noProof/>
            <w:webHidden/>
            <w:sz w:val="22"/>
            <w:szCs w:val="22"/>
          </w:rPr>
          <w:instrText xml:space="preserve"> PAGEREF _Toc124243414 \h </w:instrText>
        </w:r>
        <w:r w:rsidR="002D4DF7" w:rsidRPr="002D4DF7">
          <w:rPr>
            <w:rFonts w:ascii="Times New Roman" w:hAnsi="Times New Roman" w:cs="Times New Roman"/>
            <w:noProof/>
            <w:webHidden/>
            <w:sz w:val="22"/>
            <w:szCs w:val="22"/>
          </w:rPr>
        </w:r>
        <w:r w:rsidR="002D4DF7" w:rsidRPr="002D4DF7">
          <w:rPr>
            <w:rFonts w:ascii="Times New Roman" w:hAnsi="Times New Roman" w:cs="Times New Roman"/>
            <w:noProof/>
            <w:webHidden/>
            <w:sz w:val="22"/>
            <w:szCs w:val="22"/>
          </w:rPr>
          <w:fldChar w:fldCharType="separate"/>
        </w:r>
        <w:r w:rsidR="002D4DF7" w:rsidRPr="002D4DF7">
          <w:rPr>
            <w:rFonts w:ascii="Times New Roman" w:hAnsi="Times New Roman" w:cs="Times New Roman"/>
            <w:noProof/>
            <w:webHidden/>
            <w:sz w:val="22"/>
            <w:szCs w:val="22"/>
          </w:rPr>
          <w:t>26</w:t>
        </w:r>
        <w:r w:rsidR="002D4DF7" w:rsidRPr="002D4DF7">
          <w:rPr>
            <w:rFonts w:ascii="Times New Roman" w:hAnsi="Times New Roman" w:cs="Times New Roman"/>
            <w:noProof/>
            <w:webHidden/>
            <w:sz w:val="22"/>
            <w:szCs w:val="22"/>
          </w:rPr>
          <w:fldChar w:fldCharType="end"/>
        </w:r>
      </w:hyperlink>
    </w:p>
    <w:p w14:paraId="1C132F31" w14:textId="2A7FE875" w:rsidR="002D4DF7" w:rsidRPr="002D4DF7" w:rsidRDefault="00295FB4" w:rsidP="002D4DF7">
      <w:pPr>
        <w:pStyle w:val="TOC2"/>
        <w:ind w:left="720"/>
        <w:rPr>
          <w:rStyle w:val="Hyperlink"/>
          <w:color w:val="auto"/>
        </w:rPr>
      </w:pPr>
      <w:hyperlink w:anchor="_Toc124243415" w:history="1">
        <w:r w:rsidR="002D4DF7" w:rsidRPr="002D4DF7">
          <w:rPr>
            <w:rStyle w:val="Hyperlink"/>
            <w:color w:val="auto"/>
          </w:rPr>
          <w:t>Objectif 4.1</w:t>
        </w:r>
        <w:r w:rsidR="002D4DF7" w:rsidRPr="002D4DF7">
          <w:rPr>
            <w:rStyle w:val="Hyperlink"/>
            <w:webHidden/>
            <w:color w:val="auto"/>
          </w:rPr>
          <w:tab/>
        </w:r>
        <w:r w:rsidR="002D4DF7" w:rsidRPr="002D4DF7">
          <w:rPr>
            <w:rStyle w:val="Hyperlink"/>
            <w:webHidden/>
            <w:color w:val="auto"/>
          </w:rPr>
          <w:fldChar w:fldCharType="begin"/>
        </w:r>
        <w:r w:rsidR="002D4DF7" w:rsidRPr="002D4DF7">
          <w:rPr>
            <w:rStyle w:val="Hyperlink"/>
            <w:webHidden/>
            <w:color w:val="auto"/>
          </w:rPr>
          <w:instrText xml:space="preserve"> PAGEREF _Toc124243415 \h </w:instrText>
        </w:r>
        <w:r w:rsidR="002D4DF7" w:rsidRPr="002D4DF7">
          <w:rPr>
            <w:rStyle w:val="Hyperlink"/>
            <w:webHidden/>
            <w:color w:val="auto"/>
          </w:rPr>
        </w:r>
        <w:r w:rsidR="002D4DF7" w:rsidRPr="002D4DF7">
          <w:rPr>
            <w:rStyle w:val="Hyperlink"/>
            <w:webHidden/>
            <w:color w:val="auto"/>
          </w:rPr>
          <w:fldChar w:fldCharType="separate"/>
        </w:r>
        <w:r w:rsidR="002D4DF7" w:rsidRPr="002D4DF7">
          <w:rPr>
            <w:rStyle w:val="Hyperlink"/>
            <w:webHidden/>
            <w:color w:val="auto"/>
          </w:rPr>
          <w:t>26</w:t>
        </w:r>
        <w:r w:rsidR="002D4DF7" w:rsidRPr="002D4DF7">
          <w:rPr>
            <w:rStyle w:val="Hyperlink"/>
            <w:webHidden/>
            <w:color w:val="auto"/>
          </w:rPr>
          <w:fldChar w:fldCharType="end"/>
        </w:r>
      </w:hyperlink>
    </w:p>
    <w:p w14:paraId="27061E6E" w14:textId="1E719C41" w:rsidR="002D4DF7" w:rsidRPr="002D4DF7" w:rsidRDefault="00295FB4" w:rsidP="002D4DF7">
      <w:pPr>
        <w:pStyle w:val="TOC2"/>
        <w:ind w:left="720"/>
        <w:rPr>
          <w:rStyle w:val="Hyperlink"/>
          <w:color w:val="auto"/>
        </w:rPr>
      </w:pPr>
      <w:hyperlink w:anchor="_Toc124243416" w:history="1">
        <w:r w:rsidR="002D4DF7" w:rsidRPr="002D4DF7">
          <w:rPr>
            <w:rStyle w:val="Hyperlink"/>
            <w:color w:val="auto"/>
          </w:rPr>
          <w:t>Objectif 4.2</w:t>
        </w:r>
        <w:r w:rsidR="002D4DF7" w:rsidRPr="002D4DF7">
          <w:rPr>
            <w:rStyle w:val="Hyperlink"/>
            <w:webHidden/>
            <w:color w:val="auto"/>
          </w:rPr>
          <w:tab/>
        </w:r>
        <w:r w:rsidR="002D4DF7" w:rsidRPr="002D4DF7">
          <w:rPr>
            <w:rStyle w:val="Hyperlink"/>
            <w:webHidden/>
            <w:color w:val="auto"/>
          </w:rPr>
          <w:fldChar w:fldCharType="begin"/>
        </w:r>
        <w:r w:rsidR="002D4DF7" w:rsidRPr="002D4DF7">
          <w:rPr>
            <w:rStyle w:val="Hyperlink"/>
            <w:webHidden/>
            <w:color w:val="auto"/>
          </w:rPr>
          <w:instrText xml:space="preserve"> PAGEREF _Toc124243416 \h </w:instrText>
        </w:r>
        <w:r w:rsidR="002D4DF7" w:rsidRPr="002D4DF7">
          <w:rPr>
            <w:rStyle w:val="Hyperlink"/>
            <w:webHidden/>
            <w:color w:val="auto"/>
          </w:rPr>
        </w:r>
        <w:r w:rsidR="002D4DF7" w:rsidRPr="002D4DF7">
          <w:rPr>
            <w:rStyle w:val="Hyperlink"/>
            <w:webHidden/>
            <w:color w:val="auto"/>
          </w:rPr>
          <w:fldChar w:fldCharType="separate"/>
        </w:r>
        <w:r w:rsidR="002D4DF7" w:rsidRPr="002D4DF7">
          <w:rPr>
            <w:rStyle w:val="Hyperlink"/>
            <w:webHidden/>
            <w:color w:val="auto"/>
          </w:rPr>
          <w:t>27</w:t>
        </w:r>
        <w:r w:rsidR="002D4DF7" w:rsidRPr="002D4DF7">
          <w:rPr>
            <w:rStyle w:val="Hyperlink"/>
            <w:webHidden/>
            <w:color w:val="auto"/>
          </w:rPr>
          <w:fldChar w:fldCharType="end"/>
        </w:r>
      </w:hyperlink>
    </w:p>
    <w:p w14:paraId="30CA1B35" w14:textId="20E7DBEF" w:rsidR="002D4DF7" w:rsidRPr="002D4DF7" w:rsidRDefault="00295FB4">
      <w:pPr>
        <w:pStyle w:val="TOC1"/>
        <w:tabs>
          <w:tab w:val="right" w:leader="dot" w:pos="8961"/>
        </w:tabs>
        <w:rPr>
          <w:rFonts w:ascii="Times New Roman" w:hAnsi="Times New Roman" w:cs="Times New Roman"/>
          <w:noProof/>
          <w:sz w:val="22"/>
          <w:szCs w:val="22"/>
        </w:rPr>
      </w:pPr>
      <w:hyperlink w:anchor="_Toc124243417" w:history="1">
        <w:r w:rsidR="002D4DF7" w:rsidRPr="002D4DF7">
          <w:rPr>
            <w:rStyle w:val="Hyperlink"/>
            <w:rFonts w:ascii="Times New Roman" w:hAnsi="Times New Roman" w:cs="Times New Roman"/>
            <w:noProof/>
            <w:color w:val="auto"/>
            <w:sz w:val="22"/>
            <w:szCs w:val="22"/>
          </w:rPr>
          <w:t>LIGNE STRATÉGIQUE 5</w:t>
        </w:r>
        <w:r w:rsidR="002D4DF7" w:rsidRPr="002D4DF7">
          <w:rPr>
            <w:rFonts w:ascii="Times New Roman" w:hAnsi="Times New Roman" w:cs="Times New Roman"/>
            <w:noProof/>
            <w:webHidden/>
            <w:sz w:val="22"/>
            <w:szCs w:val="22"/>
          </w:rPr>
          <w:tab/>
        </w:r>
        <w:r w:rsidR="002D4DF7" w:rsidRPr="002D4DF7">
          <w:rPr>
            <w:rFonts w:ascii="Times New Roman" w:hAnsi="Times New Roman" w:cs="Times New Roman"/>
            <w:noProof/>
            <w:webHidden/>
            <w:sz w:val="22"/>
            <w:szCs w:val="22"/>
          </w:rPr>
          <w:fldChar w:fldCharType="begin"/>
        </w:r>
        <w:r w:rsidR="002D4DF7" w:rsidRPr="002D4DF7">
          <w:rPr>
            <w:rFonts w:ascii="Times New Roman" w:hAnsi="Times New Roman" w:cs="Times New Roman"/>
            <w:noProof/>
            <w:webHidden/>
            <w:sz w:val="22"/>
            <w:szCs w:val="22"/>
          </w:rPr>
          <w:instrText xml:space="preserve"> PAGEREF _Toc124243417 \h </w:instrText>
        </w:r>
        <w:r w:rsidR="002D4DF7" w:rsidRPr="002D4DF7">
          <w:rPr>
            <w:rFonts w:ascii="Times New Roman" w:hAnsi="Times New Roman" w:cs="Times New Roman"/>
            <w:noProof/>
            <w:webHidden/>
            <w:sz w:val="22"/>
            <w:szCs w:val="22"/>
          </w:rPr>
        </w:r>
        <w:r w:rsidR="002D4DF7" w:rsidRPr="002D4DF7">
          <w:rPr>
            <w:rFonts w:ascii="Times New Roman" w:hAnsi="Times New Roman" w:cs="Times New Roman"/>
            <w:noProof/>
            <w:webHidden/>
            <w:sz w:val="22"/>
            <w:szCs w:val="22"/>
          </w:rPr>
          <w:fldChar w:fldCharType="separate"/>
        </w:r>
        <w:r w:rsidR="002D4DF7" w:rsidRPr="002D4DF7">
          <w:rPr>
            <w:rFonts w:ascii="Times New Roman" w:hAnsi="Times New Roman" w:cs="Times New Roman"/>
            <w:noProof/>
            <w:webHidden/>
            <w:sz w:val="22"/>
            <w:szCs w:val="22"/>
          </w:rPr>
          <w:t>28</w:t>
        </w:r>
        <w:r w:rsidR="002D4DF7" w:rsidRPr="002D4DF7">
          <w:rPr>
            <w:rFonts w:ascii="Times New Roman" w:hAnsi="Times New Roman" w:cs="Times New Roman"/>
            <w:noProof/>
            <w:webHidden/>
            <w:sz w:val="22"/>
            <w:szCs w:val="22"/>
          </w:rPr>
          <w:fldChar w:fldCharType="end"/>
        </w:r>
      </w:hyperlink>
    </w:p>
    <w:p w14:paraId="54829166" w14:textId="459C0F59" w:rsidR="002D4DF7" w:rsidRPr="002D4DF7" w:rsidRDefault="00295FB4" w:rsidP="002D4DF7">
      <w:pPr>
        <w:pStyle w:val="TOC2"/>
        <w:ind w:left="720"/>
        <w:rPr>
          <w:rStyle w:val="Hyperlink"/>
          <w:color w:val="auto"/>
        </w:rPr>
      </w:pPr>
      <w:hyperlink w:anchor="_Toc124243418" w:history="1">
        <w:r w:rsidR="002D4DF7" w:rsidRPr="002D4DF7">
          <w:rPr>
            <w:rStyle w:val="Hyperlink"/>
            <w:color w:val="auto"/>
          </w:rPr>
          <w:t>Objectif 5.1</w:t>
        </w:r>
        <w:r w:rsidR="002D4DF7" w:rsidRPr="002D4DF7">
          <w:rPr>
            <w:rStyle w:val="Hyperlink"/>
            <w:webHidden/>
            <w:color w:val="auto"/>
          </w:rPr>
          <w:tab/>
        </w:r>
        <w:r w:rsidR="002D4DF7" w:rsidRPr="002D4DF7">
          <w:rPr>
            <w:rStyle w:val="Hyperlink"/>
            <w:webHidden/>
            <w:color w:val="auto"/>
          </w:rPr>
          <w:fldChar w:fldCharType="begin"/>
        </w:r>
        <w:r w:rsidR="002D4DF7" w:rsidRPr="002D4DF7">
          <w:rPr>
            <w:rStyle w:val="Hyperlink"/>
            <w:webHidden/>
            <w:color w:val="auto"/>
          </w:rPr>
          <w:instrText xml:space="preserve"> PAGEREF _Toc124243418 \h </w:instrText>
        </w:r>
        <w:r w:rsidR="002D4DF7" w:rsidRPr="002D4DF7">
          <w:rPr>
            <w:rStyle w:val="Hyperlink"/>
            <w:webHidden/>
            <w:color w:val="auto"/>
          </w:rPr>
        </w:r>
        <w:r w:rsidR="002D4DF7" w:rsidRPr="002D4DF7">
          <w:rPr>
            <w:rStyle w:val="Hyperlink"/>
            <w:webHidden/>
            <w:color w:val="auto"/>
          </w:rPr>
          <w:fldChar w:fldCharType="separate"/>
        </w:r>
        <w:r w:rsidR="002D4DF7" w:rsidRPr="002D4DF7">
          <w:rPr>
            <w:rStyle w:val="Hyperlink"/>
            <w:webHidden/>
            <w:color w:val="auto"/>
          </w:rPr>
          <w:t>33</w:t>
        </w:r>
        <w:r w:rsidR="002D4DF7" w:rsidRPr="002D4DF7">
          <w:rPr>
            <w:rStyle w:val="Hyperlink"/>
            <w:webHidden/>
            <w:color w:val="auto"/>
          </w:rPr>
          <w:fldChar w:fldCharType="end"/>
        </w:r>
      </w:hyperlink>
    </w:p>
    <w:p w14:paraId="3010EB65" w14:textId="67FAA2FA" w:rsidR="002D4DF7" w:rsidRPr="002D4DF7" w:rsidRDefault="00295FB4" w:rsidP="002D4DF7">
      <w:pPr>
        <w:pStyle w:val="TOC2"/>
        <w:ind w:left="720"/>
        <w:rPr>
          <w:rStyle w:val="Hyperlink"/>
          <w:color w:val="auto"/>
        </w:rPr>
      </w:pPr>
      <w:hyperlink w:anchor="_Toc124243419" w:history="1">
        <w:r w:rsidR="002D4DF7" w:rsidRPr="002D4DF7">
          <w:rPr>
            <w:rStyle w:val="Hyperlink"/>
            <w:color w:val="auto"/>
          </w:rPr>
          <w:t>Objectif 5.2</w:t>
        </w:r>
        <w:r w:rsidR="002D4DF7" w:rsidRPr="002D4DF7">
          <w:rPr>
            <w:rStyle w:val="Hyperlink"/>
            <w:webHidden/>
            <w:color w:val="auto"/>
          </w:rPr>
          <w:tab/>
        </w:r>
        <w:r w:rsidR="002D4DF7" w:rsidRPr="002D4DF7">
          <w:rPr>
            <w:rStyle w:val="Hyperlink"/>
            <w:webHidden/>
            <w:color w:val="auto"/>
          </w:rPr>
          <w:fldChar w:fldCharType="begin"/>
        </w:r>
        <w:r w:rsidR="002D4DF7" w:rsidRPr="002D4DF7">
          <w:rPr>
            <w:rStyle w:val="Hyperlink"/>
            <w:webHidden/>
            <w:color w:val="auto"/>
          </w:rPr>
          <w:instrText xml:space="preserve"> PAGEREF _Toc124243419 \h </w:instrText>
        </w:r>
        <w:r w:rsidR="002D4DF7" w:rsidRPr="002D4DF7">
          <w:rPr>
            <w:rStyle w:val="Hyperlink"/>
            <w:webHidden/>
            <w:color w:val="auto"/>
          </w:rPr>
        </w:r>
        <w:r w:rsidR="002D4DF7" w:rsidRPr="002D4DF7">
          <w:rPr>
            <w:rStyle w:val="Hyperlink"/>
            <w:webHidden/>
            <w:color w:val="auto"/>
          </w:rPr>
          <w:fldChar w:fldCharType="separate"/>
        </w:r>
        <w:r w:rsidR="002D4DF7" w:rsidRPr="002D4DF7">
          <w:rPr>
            <w:rStyle w:val="Hyperlink"/>
            <w:webHidden/>
            <w:color w:val="auto"/>
          </w:rPr>
          <w:t>34</w:t>
        </w:r>
        <w:r w:rsidR="002D4DF7" w:rsidRPr="002D4DF7">
          <w:rPr>
            <w:rStyle w:val="Hyperlink"/>
            <w:webHidden/>
            <w:color w:val="auto"/>
          </w:rPr>
          <w:fldChar w:fldCharType="end"/>
        </w:r>
      </w:hyperlink>
    </w:p>
    <w:p w14:paraId="14234667" w14:textId="64BDF58F" w:rsidR="002D4DF7" w:rsidRPr="002D4DF7" w:rsidRDefault="00295FB4">
      <w:pPr>
        <w:pStyle w:val="TOC1"/>
        <w:tabs>
          <w:tab w:val="right" w:leader="dot" w:pos="8961"/>
        </w:tabs>
        <w:rPr>
          <w:rFonts w:ascii="Times New Roman" w:hAnsi="Times New Roman" w:cs="Times New Roman"/>
          <w:noProof/>
          <w:sz w:val="22"/>
          <w:szCs w:val="22"/>
        </w:rPr>
      </w:pPr>
      <w:hyperlink w:anchor="_Toc124243420" w:history="1">
        <w:r w:rsidR="002D4DF7" w:rsidRPr="002D4DF7">
          <w:rPr>
            <w:rStyle w:val="Hyperlink"/>
            <w:rFonts w:ascii="Times New Roman" w:hAnsi="Times New Roman" w:cs="Times New Roman"/>
            <w:noProof/>
            <w:color w:val="auto"/>
            <w:sz w:val="22"/>
            <w:szCs w:val="22"/>
          </w:rPr>
          <w:t>CONCLUSION</w:t>
        </w:r>
        <w:r w:rsidR="002D4DF7" w:rsidRPr="002D4DF7">
          <w:rPr>
            <w:rFonts w:ascii="Times New Roman" w:hAnsi="Times New Roman" w:cs="Times New Roman"/>
            <w:noProof/>
            <w:webHidden/>
            <w:sz w:val="22"/>
            <w:szCs w:val="22"/>
          </w:rPr>
          <w:tab/>
        </w:r>
        <w:r w:rsidR="002D4DF7" w:rsidRPr="002D4DF7">
          <w:rPr>
            <w:rFonts w:ascii="Times New Roman" w:hAnsi="Times New Roman" w:cs="Times New Roman"/>
            <w:noProof/>
            <w:webHidden/>
            <w:sz w:val="22"/>
            <w:szCs w:val="22"/>
          </w:rPr>
          <w:fldChar w:fldCharType="begin"/>
        </w:r>
        <w:r w:rsidR="002D4DF7" w:rsidRPr="002D4DF7">
          <w:rPr>
            <w:rFonts w:ascii="Times New Roman" w:hAnsi="Times New Roman" w:cs="Times New Roman"/>
            <w:noProof/>
            <w:webHidden/>
            <w:sz w:val="22"/>
            <w:szCs w:val="22"/>
          </w:rPr>
          <w:instrText xml:space="preserve"> PAGEREF _Toc124243420 \h </w:instrText>
        </w:r>
        <w:r w:rsidR="002D4DF7" w:rsidRPr="002D4DF7">
          <w:rPr>
            <w:rFonts w:ascii="Times New Roman" w:hAnsi="Times New Roman" w:cs="Times New Roman"/>
            <w:noProof/>
            <w:webHidden/>
            <w:sz w:val="22"/>
            <w:szCs w:val="22"/>
          </w:rPr>
        </w:r>
        <w:r w:rsidR="002D4DF7" w:rsidRPr="002D4DF7">
          <w:rPr>
            <w:rFonts w:ascii="Times New Roman" w:hAnsi="Times New Roman" w:cs="Times New Roman"/>
            <w:noProof/>
            <w:webHidden/>
            <w:sz w:val="22"/>
            <w:szCs w:val="22"/>
          </w:rPr>
          <w:fldChar w:fldCharType="separate"/>
        </w:r>
        <w:r w:rsidR="002D4DF7" w:rsidRPr="002D4DF7">
          <w:rPr>
            <w:rFonts w:ascii="Times New Roman" w:hAnsi="Times New Roman" w:cs="Times New Roman"/>
            <w:noProof/>
            <w:webHidden/>
            <w:sz w:val="22"/>
            <w:szCs w:val="22"/>
          </w:rPr>
          <w:t>35</w:t>
        </w:r>
        <w:r w:rsidR="002D4DF7" w:rsidRPr="002D4DF7">
          <w:rPr>
            <w:rFonts w:ascii="Times New Roman" w:hAnsi="Times New Roman" w:cs="Times New Roman"/>
            <w:noProof/>
            <w:webHidden/>
            <w:sz w:val="22"/>
            <w:szCs w:val="22"/>
          </w:rPr>
          <w:fldChar w:fldCharType="end"/>
        </w:r>
      </w:hyperlink>
    </w:p>
    <w:p w14:paraId="4945135D" w14:textId="2850A68D" w:rsidR="002F7E71" w:rsidRPr="002D4DF7" w:rsidRDefault="002D4DF7" w:rsidP="00CB030B">
      <w:pPr>
        <w:rPr>
          <w:rFonts w:ascii="Times New Roman" w:hAnsi="Times New Roman" w:cs="Times New Roman"/>
          <w:sz w:val="22"/>
          <w:szCs w:val="22"/>
          <w:lang w:val="fr-FR"/>
        </w:rPr>
      </w:pPr>
      <w:r w:rsidRPr="002D4DF7">
        <w:rPr>
          <w:rFonts w:ascii="Times New Roman" w:hAnsi="Times New Roman" w:cs="Times New Roman"/>
          <w:sz w:val="22"/>
          <w:szCs w:val="22"/>
          <w:lang w:val="fr-FR"/>
        </w:rPr>
        <w:fldChar w:fldCharType="end"/>
      </w:r>
    </w:p>
    <w:p w14:paraId="22770A99" w14:textId="77777777" w:rsidR="002F7E71" w:rsidRPr="005D062F" w:rsidRDefault="002F7E71" w:rsidP="00CB030B">
      <w:pPr>
        <w:rPr>
          <w:rFonts w:ascii="Times New Roman" w:hAnsi="Times New Roman" w:cs="Times New Roman"/>
          <w:sz w:val="22"/>
          <w:szCs w:val="22"/>
          <w:lang w:val="fr-FR"/>
        </w:rPr>
      </w:pPr>
    </w:p>
    <w:p w14:paraId="27925940" w14:textId="3476A62C" w:rsidR="002E459A" w:rsidRPr="005D062F" w:rsidRDefault="002E459A" w:rsidP="00CB030B">
      <w:pPr>
        <w:rPr>
          <w:rFonts w:ascii="Times New Roman" w:hAnsi="Times New Roman" w:cs="Times New Roman"/>
          <w:sz w:val="22"/>
          <w:szCs w:val="22"/>
          <w:lang w:val="fr-FR"/>
        </w:rPr>
      </w:pPr>
    </w:p>
    <w:p w14:paraId="46D1A91F" w14:textId="6104E0CD" w:rsidR="00CB030B" w:rsidRPr="005D062F" w:rsidRDefault="00CB030B" w:rsidP="00CB030B">
      <w:pPr>
        <w:rPr>
          <w:rFonts w:ascii="Times New Roman" w:hAnsi="Times New Roman" w:cs="Times New Roman"/>
          <w:sz w:val="22"/>
          <w:szCs w:val="22"/>
          <w:lang w:val="fr-FR"/>
        </w:rPr>
      </w:pPr>
      <w:r w:rsidRPr="005D062F">
        <w:rPr>
          <w:rFonts w:ascii="Times New Roman" w:hAnsi="Times New Roman" w:cs="Times New Roman"/>
          <w:sz w:val="22"/>
          <w:szCs w:val="22"/>
          <w:lang w:val="fr-FR"/>
        </w:rPr>
        <w:br w:type="page"/>
      </w:r>
    </w:p>
    <w:p w14:paraId="76BDA937" w14:textId="77777777" w:rsidR="00CB030B" w:rsidRPr="005D062F" w:rsidRDefault="00CB030B" w:rsidP="00CB030B">
      <w:pPr>
        <w:pBdr>
          <w:bottom w:val="single" w:sz="6" w:space="1" w:color="auto"/>
        </w:pBdr>
        <w:rPr>
          <w:rFonts w:ascii="Times New Roman" w:hAnsi="Times New Roman" w:cs="Times New Roman"/>
          <w:b/>
          <w:bCs/>
          <w:sz w:val="22"/>
          <w:szCs w:val="22"/>
          <w:lang w:val="fr-FR"/>
        </w:rPr>
      </w:pPr>
    </w:p>
    <w:p w14:paraId="0E5B41B6" w14:textId="7B5EB330" w:rsidR="00ED78BF" w:rsidRPr="005D062F" w:rsidRDefault="002E459A" w:rsidP="00002E24">
      <w:pPr>
        <w:pStyle w:val="Heading1"/>
      </w:pPr>
      <w:bookmarkStart w:id="0" w:name="_Toc124243394"/>
      <w:r w:rsidRPr="00002E24">
        <w:t>LIST</w:t>
      </w:r>
      <w:r w:rsidR="00D26AF2" w:rsidRPr="00002E24">
        <w:t>E</w:t>
      </w:r>
      <w:r w:rsidRPr="005D062F">
        <w:t xml:space="preserve"> </w:t>
      </w:r>
      <w:r w:rsidR="00D26AF2" w:rsidRPr="005D062F">
        <w:t>DES ABRÉVIATIONS</w:t>
      </w:r>
      <w:r w:rsidR="004113B4" w:rsidRPr="005D062F">
        <w:rPr>
          <w:rStyle w:val="FootnoteReference"/>
        </w:rPr>
        <w:footnoteReference w:id="1"/>
      </w:r>
      <w:bookmarkEnd w:id="0"/>
    </w:p>
    <w:p w14:paraId="1F06129C" w14:textId="77777777" w:rsidR="00901F40" w:rsidRPr="005D062F" w:rsidRDefault="00901F40" w:rsidP="00CB030B">
      <w:pPr>
        <w:rPr>
          <w:rFonts w:ascii="Times New Roman" w:hAnsi="Times New Roman" w:cs="Times New Roman"/>
          <w:sz w:val="22"/>
          <w:szCs w:val="22"/>
          <w:lang w:val="fr-FR"/>
        </w:rPr>
      </w:pPr>
    </w:p>
    <w:p w14:paraId="4DF7C503" w14:textId="77777777" w:rsidR="002C4F3F" w:rsidRPr="005D062F" w:rsidRDefault="002C4F3F" w:rsidP="00CB030B">
      <w:pPr>
        <w:rPr>
          <w:rFonts w:ascii="Times New Roman" w:hAnsi="Times New Roman" w:cs="Times New Roman"/>
          <w:b/>
          <w:bCs/>
          <w:sz w:val="22"/>
          <w:szCs w:val="22"/>
          <w:u w:val="single"/>
          <w:lang w:val="fr-FR"/>
        </w:rPr>
      </w:pPr>
    </w:p>
    <w:p w14:paraId="354DDB88" w14:textId="77777777" w:rsidR="002C4F3F" w:rsidRPr="005D062F" w:rsidRDefault="002C4F3F" w:rsidP="00CB030B">
      <w:pPr>
        <w:rPr>
          <w:rFonts w:ascii="Times New Roman" w:hAnsi="Times New Roman" w:cs="Times New Roman"/>
          <w:sz w:val="22"/>
          <w:szCs w:val="22"/>
          <w:lang w:val="fr-FR"/>
        </w:rPr>
      </w:pPr>
      <w:r w:rsidRPr="005D062F">
        <w:rPr>
          <w:rFonts w:ascii="Times New Roman" w:hAnsi="Times New Roman" w:cs="Times New Roman"/>
          <w:sz w:val="22"/>
          <w:szCs w:val="22"/>
          <w:lang w:val="fr-FR"/>
        </w:rPr>
        <w:t>ACE</w:t>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r>
      <w:r w:rsidRPr="005D062F">
        <w:rPr>
          <w:rFonts w:ascii="Times New Roman" w:eastAsia="Times New Roman" w:hAnsi="Times New Roman" w:cs="Times New Roman"/>
          <w:color w:val="000000"/>
          <w:sz w:val="22"/>
          <w:szCs w:val="22"/>
          <w:lang w:val="fr-FR"/>
        </w:rPr>
        <w:t>Échange pour la compétitivité des Amériques</w:t>
      </w:r>
    </w:p>
    <w:p w14:paraId="06EBC946" w14:textId="77777777" w:rsidR="002C4F3F" w:rsidRPr="005D062F" w:rsidRDefault="002C4F3F" w:rsidP="00CB030B">
      <w:pPr>
        <w:rPr>
          <w:rFonts w:ascii="Times New Roman" w:hAnsi="Times New Roman" w:cs="Times New Roman"/>
          <w:sz w:val="22"/>
          <w:szCs w:val="22"/>
          <w:lang w:val="fr-FR"/>
        </w:rPr>
      </w:pPr>
      <w:r w:rsidRPr="005D062F">
        <w:rPr>
          <w:rFonts w:ascii="Times New Roman" w:hAnsi="Times New Roman" w:cs="Times New Roman"/>
          <w:sz w:val="22"/>
          <w:szCs w:val="22"/>
          <w:lang w:val="fr-FR"/>
        </w:rPr>
        <w:t>BID</w:t>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t>Banque interaméricaine de développement</w:t>
      </w:r>
    </w:p>
    <w:p w14:paraId="1E95463E" w14:textId="77777777" w:rsidR="002C4F3F" w:rsidRPr="005D062F" w:rsidRDefault="002C4F3F" w:rsidP="00EB09BD">
      <w:pPr>
        <w:ind w:left="2160" w:hanging="2160"/>
        <w:rPr>
          <w:rFonts w:ascii="Times New Roman" w:hAnsi="Times New Roman" w:cs="Times New Roman"/>
          <w:sz w:val="22"/>
          <w:szCs w:val="22"/>
          <w:lang w:val="fr-FR"/>
        </w:rPr>
      </w:pPr>
      <w:r w:rsidRPr="005D062F">
        <w:rPr>
          <w:rFonts w:ascii="Times New Roman" w:hAnsi="Times New Roman" w:cs="Times New Roman"/>
          <w:sz w:val="22"/>
          <w:szCs w:val="22"/>
          <w:lang w:val="fr-FR"/>
        </w:rPr>
        <w:t>CA/AICD</w:t>
      </w:r>
      <w:r w:rsidRPr="005D062F">
        <w:rPr>
          <w:rFonts w:ascii="Times New Roman" w:hAnsi="Times New Roman" w:cs="Times New Roman"/>
          <w:sz w:val="22"/>
          <w:szCs w:val="22"/>
          <w:lang w:val="fr-FR"/>
        </w:rPr>
        <w:tab/>
        <w:t>Conseil d’administration de l’Agence interaméricaine pour la coopération et le développement</w:t>
      </w:r>
    </w:p>
    <w:p w14:paraId="5FB47AC2" w14:textId="77777777" w:rsidR="002C4F3F" w:rsidRPr="005D062F" w:rsidRDefault="002C4F3F" w:rsidP="00CB030B">
      <w:pPr>
        <w:rPr>
          <w:rFonts w:ascii="Times New Roman" w:hAnsi="Times New Roman" w:cs="Times New Roman"/>
          <w:sz w:val="22"/>
          <w:szCs w:val="22"/>
          <w:lang w:val="fr-FR"/>
        </w:rPr>
      </w:pPr>
      <w:r w:rsidRPr="005D062F">
        <w:rPr>
          <w:rFonts w:ascii="Times New Roman" w:hAnsi="Times New Roman" w:cs="Times New Roman"/>
          <w:sz w:val="22"/>
          <w:szCs w:val="22"/>
          <w:lang w:val="fr-FR"/>
        </w:rPr>
        <w:t>CECIP</w:t>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t>Comité exécutif de la Commission interaméricaine des ports</w:t>
      </w:r>
    </w:p>
    <w:p w14:paraId="29D65432" w14:textId="77777777" w:rsidR="002C4F3F" w:rsidRPr="005D062F" w:rsidRDefault="002C4F3F" w:rsidP="00CB030B">
      <w:pPr>
        <w:rPr>
          <w:rFonts w:ascii="Times New Roman" w:hAnsi="Times New Roman" w:cs="Times New Roman"/>
          <w:sz w:val="22"/>
          <w:szCs w:val="22"/>
          <w:lang w:val="fr-FR"/>
        </w:rPr>
      </w:pPr>
      <w:r w:rsidRPr="005D062F">
        <w:rPr>
          <w:rFonts w:ascii="Times New Roman" w:hAnsi="Times New Roman" w:cs="Times New Roman"/>
          <w:sz w:val="22"/>
          <w:szCs w:val="22"/>
          <w:lang w:val="fr-FR"/>
        </w:rPr>
        <w:t>CERT</w:t>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t>Équipes d’intervention en cas d’urgence communautaire</w:t>
      </w:r>
    </w:p>
    <w:p w14:paraId="1E68D556" w14:textId="77777777" w:rsidR="002C4F3F" w:rsidRPr="005D062F" w:rsidRDefault="002C4F3F" w:rsidP="00CB030B">
      <w:pPr>
        <w:rPr>
          <w:rFonts w:ascii="Times New Roman" w:hAnsi="Times New Roman" w:cs="Times New Roman"/>
          <w:sz w:val="22"/>
          <w:szCs w:val="22"/>
          <w:lang w:val="fr-FR"/>
        </w:rPr>
      </w:pPr>
      <w:r w:rsidRPr="005D062F">
        <w:rPr>
          <w:rFonts w:ascii="Times New Roman" w:hAnsi="Times New Roman" w:cs="Times New Roman"/>
          <w:sz w:val="22"/>
          <w:szCs w:val="22"/>
          <w:lang w:val="fr-FR"/>
        </w:rPr>
        <w:t>CIDI</w:t>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t>Secrétariat du Conseil interaméricain pour le développement intégré</w:t>
      </w:r>
    </w:p>
    <w:p w14:paraId="36CD0F8C" w14:textId="77777777" w:rsidR="002C4F3F" w:rsidRPr="005D062F" w:rsidRDefault="002C4F3F" w:rsidP="00CB030B">
      <w:pPr>
        <w:rPr>
          <w:rFonts w:ascii="Times New Roman" w:hAnsi="Times New Roman" w:cs="Times New Roman"/>
          <w:sz w:val="22"/>
          <w:szCs w:val="22"/>
          <w:lang w:val="fr-FR"/>
        </w:rPr>
      </w:pPr>
      <w:r w:rsidRPr="005D062F">
        <w:rPr>
          <w:rFonts w:ascii="Times New Roman" w:hAnsi="Times New Roman" w:cs="Times New Roman"/>
          <w:sz w:val="22"/>
          <w:szCs w:val="22"/>
          <w:lang w:val="fr-FR"/>
        </w:rPr>
        <w:t>CIE</w:t>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t>Commission interaméricaine de l’éducation</w:t>
      </w:r>
    </w:p>
    <w:p w14:paraId="73DA3663" w14:textId="77777777" w:rsidR="002C4F3F" w:rsidRPr="005D062F" w:rsidRDefault="002C4F3F" w:rsidP="00CB030B">
      <w:pPr>
        <w:rPr>
          <w:rFonts w:ascii="Times New Roman" w:hAnsi="Times New Roman" w:cs="Times New Roman"/>
          <w:sz w:val="22"/>
          <w:szCs w:val="22"/>
          <w:lang w:val="fr-FR"/>
        </w:rPr>
      </w:pPr>
      <w:r w:rsidRPr="005D062F">
        <w:rPr>
          <w:rFonts w:ascii="Times New Roman" w:hAnsi="Times New Roman" w:cs="Times New Roman"/>
          <w:sz w:val="22"/>
          <w:szCs w:val="22"/>
          <w:lang w:val="fr-FR"/>
        </w:rPr>
        <w:t>CIM</w:t>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t>Commission interaméricaine des femmes</w:t>
      </w:r>
    </w:p>
    <w:p w14:paraId="15656D94" w14:textId="38F69497" w:rsidR="002C4F3F" w:rsidRPr="005D062F" w:rsidRDefault="002C4F3F" w:rsidP="00CB030B">
      <w:pPr>
        <w:rPr>
          <w:rFonts w:ascii="Times New Roman" w:hAnsi="Times New Roman" w:cs="Times New Roman"/>
          <w:sz w:val="22"/>
          <w:szCs w:val="22"/>
          <w:lang w:val="fr-FR"/>
        </w:rPr>
      </w:pPr>
      <w:r w:rsidRPr="005D062F">
        <w:rPr>
          <w:rFonts w:ascii="Times New Roman" w:hAnsi="Times New Roman" w:cs="Times New Roman"/>
          <w:sz w:val="22"/>
          <w:szCs w:val="22"/>
          <w:lang w:val="fr-FR"/>
        </w:rPr>
        <w:t>CIMT</w:t>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t xml:space="preserve">Conférence interaméricaine des </w:t>
      </w:r>
      <w:r w:rsidR="00462DCE" w:rsidRPr="005D062F">
        <w:rPr>
          <w:rFonts w:ascii="Times New Roman" w:hAnsi="Times New Roman" w:cs="Times New Roman"/>
          <w:sz w:val="22"/>
          <w:szCs w:val="22"/>
          <w:lang w:val="fr-FR"/>
        </w:rPr>
        <w:t>m</w:t>
      </w:r>
      <w:r w:rsidRPr="005D062F">
        <w:rPr>
          <w:rFonts w:ascii="Times New Roman" w:hAnsi="Times New Roman" w:cs="Times New Roman"/>
          <w:sz w:val="22"/>
          <w:szCs w:val="22"/>
          <w:lang w:val="fr-FR"/>
        </w:rPr>
        <w:t>inistres du travail</w:t>
      </w:r>
    </w:p>
    <w:p w14:paraId="6F2972BF" w14:textId="77777777" w:rsidR="002C4F3F" w:rsidRPr="005D062F" w:rsidRDefault="002C4F3F" w:rsidP="00CB030B">
      <w:pPr>
        <w:rPr>
          <w:rFonts w:ascii="Times New Roman" w:hAnsi="Times New Roman" w:cs="Times New Roman"/>
          <w:sz w:val="22"/>
          <w:szCs w:val="22"/>
          <w:lang w:val="fr-FR"/>
        </w:rPr>
      </w:pPr>
      <w:r w:rsidRPr="005D062F">
        <w:rPr>
          <w:rFonts w:ascii="Times New Roman" w:hAnsi="Times New Roman" w:cs="Times New Roman"/>
          <w:sz w:val="22"/>
          <w:szCs w:val="22"/>
          <w:lang w:val="fr-FR"/>
        </w:rPr>
        <w:t>CIP</w:t>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t>Secrétariat de la Commission interaméricaine des ports</w:t>
      </w:r>
    </w:p>
    <w:p w14:paraId="2423FB21" w14:textId="77777777" w:rsidR="002C4F3F" w:rsidRPr="005D062F" w:rsidRDefault="002C4F3F" w:rsidP="00CB030B">
      <w:pPr>
        <w:rPr>
          <w:rFonts w:ascii="Times New Roman" w:hAnsi="Times New Roman" w:cs="Times New Roman"/>
          <w:sz w:val="22"/>
          <w:szCs w:val="22"/>
          <w:lang w:val="fr-FR"/>
        </w:rPr>
      </w:pPr>
      <w:r w:rsidRPr="005D062F">
        <w:rPr>
          <w:rFonts w:ascii="Times New Roman" w:hAnsi="Times New Roman" w:cs="Times New Roman"/>
          <w:sz w:val="22"/>
          <w:szCs w:val="22"/>
          <w:lang w:val="fr-FR"/>
        </w:rPr>
        <w:t>CITUR</w:t>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t>Commission interaméricaine du tourisme</w:t>
      </w:r>
    </w:p>
    <w:p w14:paraId="1365F0A4" w14:textId="77777777" w:rsidR="002C4F3F" w:rsidRPr="005D062F" w:rsidRDefault="002C4F3F" w:rsidP="00CB030B">
      <w:pPr>
        <w:rPr>
          <w:rFonts w:ascii="Times New Roman" w:hAnsi="Times New Roman" w:cs="Times New Roman"/>
          <w:sz w:val="22"/>
          <w:szCs w:val="22"/>
          <w:lang w:val="fr-FR"/>
        </w:rPr>
      </w:pPr>
      <w:r w:rsidRPr="005D062F">
        <w:rPr>
          <w:rFonts w:ascii="Times New Roman" w:hAnsi="Times New Roman" w:cs="Times New Roman"/>
          <w:sz w:val="22"/>
          <w:szCs w:val="22"/>
          <w:lang w:val="fr-FR"/>
        </w:rPr>
        <w:t>COMCYT</w:t>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t>Commission interaméricaine de la science et de la technologie</w:t>
      </w:r>
    </w:p>
    <w:p w14:paraId="48CD7A47" w14:textId="77777777" w:rsidR="002C4F3F" w:rsidRPr="005D062F" w:rsidRDefault="002C4F3F" w:rsidP="00CB030B">
      <w:pPr>
        <w:rPr>
          <w:rFonts w:ascii="Times New Roman" w:hAnsi="Times New Roman" w:cs="Times New Roman"/>
          <w:sz w:val="22"/>
          <w:szCs w:val="22"/>
          <w:lang w:val="fr-FR"/>
        </w:rPr>
      </w:pPr>
      <w:r w:rsidRPr="005D062F">
        <w:rPr>
          <w:rFonts w:ascii="Times New Roman" w:hAnsi="Times New Roman" w:cs="Times New Roman"/>
          <w:sz w:val="22"/>
          <w:szCs w:val="22"/>
          <w:lang w:val="fr-FR"/>
        </w:rPr>
        <w:t>CONCYTEC</w:t>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t>Conseil national pour la science, la technologie et l’innovation technologique</w:t>
      </w:r>
    </w:p>
    <w:p w14:paraId="0DD8C033" w14:textId="77777777" w:rsidR="002C4F3F" w:rsidRPr="005D062F" w:rsidRDefault="002C4F3F" w:rsidP="00CB030B">
      <w:pPr>
        <w:rPr>
          <w:rFonts w:ascii="Times New Roman" w:hAnsi="Times New Roman" w:cs="Times New Roman"/>
          <w:sz w:val="22"/>
          <w:szCs w:val="22"/>
          <w:lang w:val="fr-FR"/>
        </w:rPr>
      </w:pPr>
      <w:r w:rsidRPr="005D062F">
        <w:rPr>
          <w:rFonts w:ascii="Times New Roman" w:hAnsi="Times New Roman" w:cs="Times New Roman"/>
          <w:sz w:val="22"/>
          <w:szCs w:val="22"/>
          <w:lang w:val="fr-FR"/>
        </w:rPr>
        <w:t>DDC</w:t>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r>
      <w:r w:rsidRPr="005D062F">
        <w:rPr>
          <w:rFonts w:ascii="Times New Roman" w:eastAsia="Times New Roman" w:hAnsi="Times New Roman" w:cs="Times New Roman"/>
          <w:color w:val="000000"/>
          <w:sz w:val="22"/>
          <w:szCs w:val="22"/>
          <w:lang w:val="fr-FR"/>
        </w:rPr>
        <w:t>Direction suisse du développement et de la coopération</w:t>
      </w:r>
    </w:p>
    <w:p w14:paraId="4F52262A" w14:textId="77777777" w:rsidR="002C4F3F" w:rsidRPr="005D062F" w:rsidRDefault="002C4F3F" w:rsidP="00CB030B">
      <w:pPr>
        <w:rPr>
          <w:rFonts w:ascii="Times New Roman" w:hAnsi="Times New Roman" w:cs="Times New Roman"/>
          <w:sz w:val="22"/>
          <w:szCs w:val="22"/>
          <w:lang w:val="fr-FR"/>
        </w:rPr>
      </w:pPr>
      <w:r w:rsidRPr="005D062F">
        <w:rPr>
          <w:rFonts w:ascii="Times New Roman" w:hAnsi="Times New Roman" w:cs="Times New Roman"/>
          <w:sz w:val="22"/>
          <w:szCs w:val="22"/>
          <w:lang w:val="fr-FR"/>
        </w:rPr>
        <w:t>DDD</w:t>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t>Département du développement durable</w:t>
      </w:r>
    </w:p>
    <w:p w14:paraId="1D8EF798" w14:textId="77777777" w:rsidR="002C4F3F" w:rsidRPr="005D062F" w:rsidRDefault="002C4F3F" w:rsidP="00CB030B">
      <w:pPr>
        <w:rPr>
          <w:rFonts w:ascii="Times New Roman" w:hAnsi="Times New Roman" w:cs="Times New Roman"/>
          <w:sz w:val="22"/>
          <w:szCs w:val="22"/>
          <w:lang w:val="fr-FR"/>
        </w:rPr>
      </w:pPr>
      <w:r w:rsidRPr="005D062F">
        <w:rPr>
          <w:rFonts w:ascii="Times New Roman" w:hAnsi="Times New Roman" w:cs="Times New Roman"/>
          <w:sz w:val="22"/>
          <w:szCs w:val="22"/>
          <w:lang w:val="fr-FR"/>
        </w:rPr>
        <w:t>DSS</w:t>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t>Système d’aide à la prise de décision</w:t>
      </w:r>
    </w:p>
    <w:p w14:paraId="10BD4FFF" w14:textId="77777777" w:rsidR="002C4F3F" w:rsidRPr="005D062F" w:rsidRDefault="002C4F3F" w:rsidP="00CB030B">
      <w:pPr>
        <w:jc w:val="both"/>
        <w:rPr>
          <w:rFonts w:ascii="Times New Roman" w:hAnsi="Times New Roman" w:cs="Times New Roman"/>
          <w:sz w:val="22"/>
          <w:szCs w:val="22"/>
          <w:lang w:val="fr-FR"/>
        </w:rPr>
      </w:pPr>
      <w:r w:rsidRPr="005D062F">
        <w:rPr>
          <w:rFonts w:ascii="Times New Roman" w:hAnsi="Times New Roman" w:cs="Times New Roman"/>
          <w:sz w:val="22"/>
          <w:szCs w:val="22"/>
          <w:lang w:val="fr-FR"/>
        </w:rPr>
        <w:t>ECPA</w:t>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t>Partenariat des Amériques pour l’énergie et le climat</w:t>
      </w:r>
    </w:p>
    <w:p w14:paraId="49B2B1F1" w14:textId="77777777" w:rsidR="002C4F3F" w:rsidRPr="005D062F" w:rsidRDefault="002C4F3F" w:rsidP="00CB030B">
      <w:pPr>
        <w:rPr>
          <w:rFonts w:ascii="Times New Roman" w:hAnsi="Times New Roman" w:cs="Times New Roman"/>
          <w:sz w:val="22"/>
          <w:szCs w:val="22"/>
          <w:lang w:val="fr-FR"/>
        </w:rPr>
      </w:pPr>
      <w:r w:rsidRPr="005D062F">
        <w:rPr>
          <w:rFonts w:ascii="Times New Roman" w:hAnsi="Times New Roman" w:cs="Times New Roman"/>
          <w:sz w:val="22"/>
          <w:szCs w:val="22"/>
          <w:lang w:val="fr-FR"/>
        </w:rPr>
        <w:t>FCD</w:t>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t>Fonds de coopération pour le développement</w:t>
      </w:r>
    </w:p>
    <w:p w14:paraId="67614F41" w14:textId="77777777" w:rsidR="002C4F3F" w:rsidRPr="005D062F" w:rsidRDefault="002C4F3F" w:rsidP="00CB030B">
      <w:pPr>
        <w:rPr>
          <w:rFonts w:ascii="Times New Roman" w:hAnsi="Times New Roman" w:cs="Times New Roman"/>
          <w:sz w:val="22"/>
          <w:szCs w:val="22"/>
          <w:lang w:val="fr-FR"/>
        </w:rPr>
      </w:pPr>
      <w:r w:rsidRPr="005D062F">
        <w:rPr>
          <w:rFonts w:ascii="Times New Roman" w:hAnsi="Times New Roman" w:cs="Times New Roman"/>
          <w:sz w:val="22"/>
          <w:szCs w:val="22"/>
          <w:lang w:val="fr-FR"/>
        </w:rPr>
        <w:t>FEM</w:t>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t>Fonds pour l’environnement mondial</w:t>
      </w:r>
    </w:p>
    <w:p w14:paraId="1B2A4F40" w14:textId="77777777" w:rsidR="002C4F3F" w:rsidRPr="005D062F" w:rsidRDefault="002C4F3F" w:rsidP="00CB030B">
      <w:pPr>
        <w:rPr>
          <w:rFonts w:ascii="Times New Roman" w:hAnsi="Times New Roman" w:cs="Times New Roman"/>
          <w:sz w:val="22"/>
          <w:szCs w:val="22"/>
          <w:lang w:val="fr-FR"/>
        </w:rPr>
      </w:pPr>
      <w:r w:rsidRPr="005D062F">
        <w:rPr>
          <w:rFonts w:ascii="Times New Roman" w:hAnsi="Times New Roman" w:cs="Times New Roman"/>
          <w:sz w:val="22"/>
          <w:szCs w:val="22"/>
          <w:lang w:val="fr-FR"/>
        </w:rPr>
        <w:t>FUPAD</w:t>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t>Fondation panaméricaine pour le développement</w:t>
      </w:r>
    </w:p>
    <w:p w14:paraId="412F0D89" w14:textId="77777777" w:rsidR="002C4F3F" w:rsidRPr="005D062F" w:rsidRDefault="002C4F3F" w:rsidP="00CB030B">
      <w:pPr>
        <w:rPr>
          <w:rFonts w:ascii="Times New Roman" w:hAnsi="Times New Roman" w:cs="Times New Roman"/>
          <w:sz w:val="22"/>
          <w:szCs w:val="22"/>
          <w:lang w:val="fr-FR"/>
        </w:rPr>
      </w:pPr>
      <w:r w:rsidRPr="005D062F">
        <w:rPr>
          <w:rFonts w:ascii="Times New Roman" w:hAnsi="Times New Roman" w:cs="Times New Roman"/>
          <w:sz w:val="22"/>
          <w:szCs w:val="22"/>
          <w:lang w:val="fr-FR"/>
        </w:rPr>
        <w:t>FVSU</w:t>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t>Université d’État de Fort Valley</w:t>
      </w:r>
    </w:p>
    <w:p w14:paraId="45271EF4" w14:textId="44D15542" w:rsidR="002C4F3F" w:rsidRPr="005D062F" w:rsidRDefault="00D8592F" w:rsidP="00CB030B">
      <w:pPr>
        <w:rPr>
          <w:rFonts w:ascii="Times New Roman" w:hAnsi="Times New Roman" w:cs="Times New Roman"/>
          <w:sz w:val="22"/>
          <w:szCs w:val="22"/>
          <w:lang w:val="fr-FR"/>
        </w:rPr>
      </w:pPr>
      <w:r w:rsidRPr="005D062F">
        <w:rPr>
          <w:rFonts w:ascii="Times New Roman" w:hAnsi="Times New Roman" w:cs="Times New Roman"/>
          <w:sz w:val="22"/>
          <w:szCs w:val="22"/>
          <w:lang w:val="fr-FR"/>
        </w:rPr>
        <w:t>GIZ</w:t>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t xml:space="preserve">Agence allemande de coopération </w:t>
      </w:r>
      <w:r w:rsidR="002C4F3F" w:rsidRPr="005D062F">
        <w:rPr>
          <w:rFonts w:ascii="Times New Roman" w:hAnsi="Times New Roman" w:cs="Times New Roman"/>
          <w:sz w:val="22"/>
          <w:szCs w:val="22"/>
          <w:lang w:val="fr-FR"/>
        </w:rPr>
        <w:t>internationale</w:t>
      </w:r>
    </w:p>
    <w:p w14:paraId="08DB5CD9" w14:textId="77777777" w:rsidR="002C4F3F" w:rsidRPr="005D062F" w:rsidRDefault="002C4F3F" w:rsidP="00CB030B">
      <w:pPr>
        <w:jc w:val="both"/>
        <w:rPr>
          <w:rFonts w:ascii="Times New Roman" w:hAnsi="Times New Roman" w:cs="Times New Roman"/>
          <w:sz w:val="22"/>
          <w:szCs w:val="22"/>
          <w:lang w:val="fr-FR"/>
        </w:rPr>
      </w:pPr>
      <w:r w:rsidRPr="005D062F">
        <w:rPr>
          <w:rFonts w:ascii="Times New Roman" w:hAnsi="Times New Roman" w:cs="Times New Roman"/>
          <w:sz w:val="22"/>
          <w:szCs w:val="22"/>
          <w:lang w:val="fr-FR"/>
        </w:rPr>
        <w:t>GUE</w:t>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t>Guichet unique électronique</w:t>
      </w:r>
    </w:p>
    <w:p w14:paraId="62859B04" w14:textId="7961BE07" w:rsidR="002C4F3F" w:rsidRPr="005D062F" w:rsidRDefault="002C4F3F" w:rsidP="00EE3754">
      <w:pPr>
        <w:ind w:left="2160" w:hanging="2160"/>
        <w:jc w:val="both"/>
        <w:rPr>
          <w:rFonts w:ascii="Times New Roman" w:hAnsi="Times New Roman" w:cs="Times New Roman"/>
          <w:sz w:val="22"/>
          <w:szCs w:val="22"/>
          <w:lang w:val="fr-FR"/>
        </w:rPr>
      </w:pPr>
      <w:r w:rsidRPr="005D062F">
        <w:rPr>
          <w:rFonts w:ascii="Times New Roman" w:hAnsi="Times New Roman" w:cs="Times New Roman"/>
          <w:sz w:val="22"/>
          <w:szCs w:val="22"/>
          <w:lang w:val="fr-FR"/>
        </w:rPr>
        <w:t>ITCA</w:t>
      </w:r>
      <w:r w:rsidRPr="005D062F">
        <w:rPr>
          <w:rFonts w:ascii="Times New Roman" w:hAnsi="Times New Roman" w:cs="Times New Roman"/>
          <w:sz w:val="22"/>
          <w:szCs w:val="22"/>
          <w:lang w:val="fr-FR"/>
        </w:rPr>
        <w:tab/>
        <w:t xml:space="preserve">Réseau </w:t>
      </w:r>
      <w:r w:rsidR="00AB67B9" w:rsidRPr="005D062F">
        <w:rPr>
          <w:rFonts w:ascii="Times New Roman" w:hAnsi="Times New Roman" w:cs="Times New Roman"/>
          <w:sz w:val="22"/>
          <w:szCs w:val="22"/>
          <w:lang w:val="fr-FR"/>
        </w:rPr>
        <w:t xml:space="preserve">de dirigeants et </w:t>
      </w:r>
      <w:r w:rsidRPr="005D062F">
        <w:rPr>
          <w:rFonts w:ascii="Times New Roman" w:hAnsi="Times New Roman" w:cs="Times New Roman"/>
          <w:sz w:val="22"/>
          <w:szCs w:val="22"/>
          <w:lang w:val="fr-FR"/>
        </w:rPr>
        <w:t>d’organisations autochtones liées à l’industrie du tourisme</w:t>
      </w:r>
      <w:r w:rsidR="008A1A5F" w:rsidRPr="005D062F">
        <w:rPr>
          <w:rFonts w:ascii="Times New Roman" w:hAnsi="Times New Roman" w:cs="Times New Roman"/>
          <w:sz w:val="22"/>
          <w:szCs w:val="22"/>
          <w:lang w:val="fr-FR"/>
        </w:rPr>
        <w:t xml:space="preserve"> dans les Amériques</w:t>
      </w:r>
    </w:p>
    <w:p w14:paraId="3A98CC68" w14:textId="77777777" w:rsidR="002C4F3F" w:rsidRPr="005D062F" w:rsidRDefault="002C4F3F" w:rsidP="00CB030B">
      <w:pPr>
        <w:rPr>
          <w:rFonts w:ascii="Times New Roman" w:hAnsi="Times New Roman" w:cs="Times New Roman"/>
          <w:sz w:val="22"/>
          <w:szCs w:val="22"/>
          <w:lang w:val="fr-FR"/>
        </w:rPr>
      </w:pPr>
      <w:r w:rsidRPr="005D062F">
        <w:rPr>
          <w:rFonts w:ascii="Times New Roman" w:hAnsi="Times New Roman" w:cs="Times New Roman"/>
          <w:sz w:val="22"/>
          <w:szCs w:val="22"/>
          <w:lang w:val="fr-FR"/>
        </w:rPr>
        <w:t>MA</w:t>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t>Mémorandum d’accord</w:t>
      </w:r>
    </w:p>
    <w:p w14:paraId="12E69776" w14:textId="4EB34D79" w:rsidR="002C4F3F" w:rsidRPr="005D062F" w:rsidRDefault="002C4F3F" w:rsidP="00CB030B">
      <w:pPr>
        <w:rPr>
          <w:rFonts w:ascii="Times New Roman" w:hAnsi="Times New Roman" w:cs="Times New Roman"/>
          <w:sz w:val="22"/>
          <w:szCs w:val="22"/>
          <w:lang w:val="fr-FR"/>
        </w:rPr>
      </w:pPr>
      <w:r w:rsidRPr="005D062F">
        <w:rPr>
          <w:rFonts w:ascii="Times New Roman" w:hAnsi="Times New Roman" w:cs="Times New Roman"/>
          <w:sz w:val="22"/>
          <w:szCs w:val="22"/>
          <w:lang w:val="fr-FR"/>
        </w:rPr>
        <w:t>MPME</w:t>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t xml:space="preserve">Microentreprises et petites et moyennes </w:t>
      </w:r>
      <w:r w:rsidR="00151146" w:rsidRPr="005D062F">
        <w:rPr>
          <w:rFonts w:ascii="Times New Roman" w:hAnsi="Times New Roman" w:cs="Times New Roman"/>
          <w:sz w:val="22"/>
          <w:szCs w:val="22"/>
          <w:lang w:val="fr-FR"/>
        </w:rPr>
        <w:t>entreprises</w:t>
      </w:r>
    </w:p>
    <w:p w14:paraId="334D5000" w14:textId="77777777" w:rsidR="002C4F3F" w:rsidRPr="005D062F" w:rsidRDefault="002C4F3F" w:rsidP="00CB030B">
      <w:pPr>
        <w:rPr>
          <w:rFonts w:ascii="Times New Roman" w:hAnsi="Times New Roman" w:cs="Times New Roman"/>
          <w:sz w:val="22"/>
          <w:szCs w:val="22"/>
          <w:lang w:val="fr-FR"/>
        </w:rPr>
      </w:pPr>
      <w:r w:rsidRPr="005D062F">
        <w:rPr>
          <w:rFonts w:ascii="Times New Roman" w:hAnsi="Times New Roman" w:cs="Times New Roman"/>
          <w:sz w:val="22"/>
          <w:szCs w:val="22"/>
          <w:lang w:val="fr-FR"/>
        </w:rPr>
        <w:t>OECO</w:t>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t>Organisation des États des Caraïbes orientales</w:t>
      </w:r>
    </w:p>
    <w:p w14:paraId="3802EA70" w14:textId="77777777" w:rsidR="002C4F3F" w:rsidRPr="005D062F" w:rsidRDefault="002C4F3F" w:rsidP="00CB030B">
      <w:pPr>
        <w:rPr>
          <w:rFonts w:ascii="Times New Roman" w:hAnsi="Times New Roman" w:cs="Times New Roman"/>
          <w:sz w:val="22"/>
          <w:szCs w:val="22"/>
          <w:lang w:val="fr-FR"/>
        </w:rPr>
      </w:pPr>
      <w:r w:rsidRPr="005D062F">
        <w:rPr>
          <w:rFonts w:ascii="Times New Roman" w:hAnsi="Times New Roman" w:cs="Times New Roman"/>
          <w:sz w:val="22"/>
          <w:szCs w:val="22"/>
          <w:lang w:val="fr-FR"/>
        </w:rPr>
        <w:t>OSC</w:t>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t>Organisations de la société civile</w:t>
      </w:r>
    </w:p>
    <w:p w14:paraId="62E8ADBE" w14:textId="77777777" w:rsidR="002C4F3F" w:rsidRPr="005D062F" w:rsidRDefault="002C4F3F" w:rsidP="00CB030B">
      <w:pPr>
        <w:rPr>
          <w:rFonts w:ascii="Times New Roman" w:hAnsi="Times New Roman" w:cs="Times New Roman"/>
          <w:sz w:val="22"/>
          <w:szCs w:val="22"/>
          <w:lang w:val="fr-FR"/>
        </w:rPr>
      </w:pPr>
      <w:r w:rsidRPr="005D062F">
        <w:rPr>
          <w:rFonts w:ascii="Times New Roman" w:hAnsi="Times New Roman" w:cs="Times New Roman"/>
          <w:sz w:val="22"/>
          <w:szCs w:val="22"/>
          <w:lang w:val="fr-FR"/>
        </w:rPr>
        <w:t>PAS</w:t>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t>Plan d’action stratégique</w:t>
      </w:r>
    </w:p>
    <w:p w14:paraId="135E30D0" w14:textId="77777777" w:rsidR="002C4F3F" w:rsidRPr="005D062F" w:rsidRDefault="002C4F3F" w:rsidP="00CB030B">
      <w:pPr>
        <w:rPr>
          <w:rFonts w:ascii="Times New Roman" w:hAnsi="Times New Roman" w:cs="Times New Roman"/>
          <w:sz w:val="22"/>
          <w:szCs w:val="22"/>
          <w:lang w:val="fr-FR"/>
        </w:rPr>
      </w:pPr>
      <w:r w:rsidRPr="005D062F">
        <w:rPr>
          <w:rFonts w:ascii="Times New Roman" w:hAnsi="Times New Roman" w:cs="Times New Roman"/>
          <w:sz w:val="22"/>
          <w:szCs w:val="22"/>
          <w:lang w:val="fr-FR"/>
        </w:rPr>
        <w:t>PIDS</w:t>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t>Programme interaméricain de développement durable</w:t>
      </w:r>
    </w:p>
    <w:p w14:paraId="1F83466C" w14:textId="50A7951F" w:rsidR="002C4F3F" w:rsidRPr="005D062F" w:rsidRDefault="00D8592F" w:rsidP="00CB030B">
      <w:pPr>
        <w:rPr>
          <w:rFonts w:ascii="Times New Roman" w:hAnsi="Times New Roman" w:cs="Times New Roman"/>
          <w:sz w:val="22"/>
          <w:szCs w:val="22"/>
          <w:lang w:val="fr-FR"/>
        </w:rPr>
      </w:pPr>
      <w:r w:rsidRPr="005D062F">
        <w:rPr>
          <w:rFonts w:ascii="Times New Roman" w:hAnsi="Times New Roman" w:cs="Times New Roman"/>
          <w:sz w:val="22"/>
          <w:szCs w:val="22"/>
          <w:lang w:val="fr-FR"/>
        </w:rPr>
        <w:t>PIE</w:t>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t>Programme interaméricain de l’</w:t>
      </w:r>
      <w:r w:rsidR="002C4F3F" w:rsidRPr="005D062F">
        <w:rPr>
          <w:rFonts w:ascii="Times New Roman" w:hAnsi="Times New Roman" w:cs="Times New Roman"/>
          <w:sz w:val="22"/>
          <w:szCs w:val="22"/>
          <w:lang w:val="fr-FR"/>
        </w:rPr>
        <w:t>éducation</w:t>
      </w:r>
    </w:p>
    <w:p w14:paraId="0A31732E" w14:textId="77777777" w:rsidR="002C4F3F" w:rsidRPr="005D062F" w:rsidRDefault="002C4F3F" w:rsidP="00CB030B">
      <w:pPr>
        <w:rPr>
          <w:rFonts w:ascii="Times New Roman" w:hAnsi="Times New Roman" w:cs="Times New Roman"/>
          <w:sz w:val="22"/>
          <w:szCs w:val="22"/>
          <w:lang w:val="fr-FR"/>
        </w:rPr>
      </w:pPr>
      <w:r w:rsidRPr="005D062F">
        <w:rPr>
          <w:rFonts w:ascii="Times New Roman" w:hAnsi="Times New Roman" w:cs="Times New Roman"/>
          <w:sz w:val="22"/>
          <w:szCs w:val="22"/>
          <w:lang w:val="fr-FR"/>
        </w:rPr>
        <w:t>PNUE</w:t>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t>Programme des Nations Unies pour l’environnement</w:t>
      </w:r>
    </w:p>
    <w:p w14:paraId="261C6C4D" w14:textId="77777777" w:rsidR="002C4F3F" w:rsidRPr="005D062F" w:rsidRDefault="002C4F3F" w:rsidP="00CB030B">
      <w:pPr>
        <w:rPr>
          <w:rFonts w:ascii="Times New Roman" w:hAnsi="Times New Roman" w:cs="Times New Roman"/>
          <w:sz w:val="22"/>
          <w:szCs w:val="22"/>
          <w:lang w:val="fr-FR"/>
        </w:rPr>
      </w:pPr>
      <w:r w:rsidRPr="005D062F">
        <w:rPr>
          <w:rFonts w:ascii="Times New Roman" w:hAnsi="Times New Roman" w:cs="Times New Roman"/>
          <w:sz w:val="22"/>
          <w:szCs w:val="22"/>
          <w:lang w:val="fr-FR"/>
        </w:rPr>
        <w:t>RA</w:t>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t>Réalité augmentée</w:t>
      </w:r>
    </w:p>
    <w:p w14:paraId="2B738F7B" w14:textId="77777777" w:rsidR="002C4F3F" w:rsidRPr="005D062F" w:rsidRDefault="002C4F3F" w:rsidP="00CB030B">
      <w:pPr>
        <w:rPr>
          <w:rFonts w:ascii="Times New Roman" w:hAnsi="Times New Roman" w:cs="Times New Roman"/>
          <w:sz w:val="22"/>
          <w:szCs w:val="22"/>
          <w:lang w:val="fr-FR"/>
        </w:rPr>
      </w:pPr>
      <w:r w:rsidRPr="005D062F">
        <w:rPr>
          <w:rFonts w:ascii="Times New Roman" w:hAnsi="Times New Roman" w:cs="Times New Roman"/>
          <w:sz w:val="22"/>
          <w:szCs w:val="22"/>
          <w:lang w:val="fr-FR"/>
        </w:rPr>
        <w:t>RIAC</w:t>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t>Réseau interaméricain de compétitivité</w:t>
      </w:r>
    </w:p>
    <w:p w14:paraId="0B541C6E" w14:textId="77777777" w:rsidR="002C4F3F" w:rsidRPr="005D062F" w:rsidRDefault="002C4F3F" w:rsidP="00CB030B">
      <w:pPr>
        <w:rPr>
          <w:rFonts w:ascii="Times New Roman" w:hAnsi="Times New Roman" w:cs="Times New Roman"/>
          <w:sz w:val="22"/>
          <w:szCs w:val="22"/>
          <w:lang w:val="fr-FR"/>
        </w:rPr>
      </w:pPr>
      <w:r w:rsidRPr="005D062F">
        <w:rPr>
          <w:rFonts w:ascii="Times New Roman" w:hAnsi="Times New Roman" w:cs="Times New Roman"/>
          <w:sz w:val="22"/>
          <w:szCs w:val="22"/>
          <w:lang w:val="fr-FR"/>
        </w:rPr>
        <w:t>RIAL</w:t>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t>Réseau interaméricain de l’administration dans le domaine du travail</w:t>
      </w:r>
    </w:p>
    <w:p w14:paraId="34D36B06" w14:textId="77777777" w:rsidR="002C4F3F" w:rsidRPr="005D062F" w:rsidRDefault="002C4F3F" w:rsidP="00CB030B">
      <w:pPr>
        <w:rPr>
          <w:rFonts w:ascii="Times New Roman" w:hAnsi="Times New Roman" w:cs="Times New Roman"/>
          <w:sz w:val="22"/>
          <w:szCs w:val="22"/>
          <w:lang w:val="fr-FR"/>
        </w:rPr>
      </w:pPr>
      <w:r w:rsidRPr="005D062F">
        <w:rPr>
          <w:rFonts w:ascii="Times New Roman" w:hAnsi="Times New Roman" w:cs="Times New Roman"/>
          <w:sz w:val="22"/>
          <w:szCs w:val="22"/>
          <w:lang w:val="fr-FR"/>
        </w:rPr>
        <w:t>RIED</w:t>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t>Réseau interaméricain de formation des enseignants</w:t>
      </w:r>
    </w:p>
    <w:p w14:paraId="2DBD8E76" w14:textId="112CE9CF" w:rsidR="002C4F3F" w:rsidRPr="005D062F" w:rsidRDefault="008A1A5F" w:rsidP="00CB030B">
      <w:pPr>
        <w:rPr>
          <w:rFonts w:ascii="Times New Roman" w:hAnsi="Times New Roman" w:cs="Times New Roman"/>
          <w:sz w:val="22"/>
          <w:szCs w:val="22"/>
          <w:lang w:val="fr-FR"/>
        </w:rPr>
      </w:pPr>
      <w:r w:rsidRPr="005D062F">
        <w:rPr>
          <w:rFonts w:ascii="Times New Roman" w:hAnsi="Times New Roman" w:cs="Times New Roman"/>
          <w:sz w:val="22"/>
          <w:szCs w:val="22"/>
          <w:lang w:val="fr-FR"/>
        </w:rPr>
        <w:t>RIMD</w:t>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t>Réseau interaméricain d’</w:t>
      </w:r>
      <w:r w:rsidR="002C4F3F" w:rsidRPr="005D062F">
        <w:rPr>
          <w:rFonts w:ascii="Times New Roman" w:hAnsi="Times New Roman" w:cs="Times New Roman"/>
          <w:sz w:val="22"/>
          <w:szCs w:val="22"/>
          <w:lang w:val="fr-FR"/>
        </w:rPr>
        <w:t>atténuation des effets des catastrophes</w:t>
      </w:r>
    </w:p>
    <w:p w14:paraId="5C0F1111" w14:textId="77777777" w:rsidR="002C4F3F" w:rsidRPr="005D062F" w:rsidRDefault="002C4F3F" w:rsidP="00CB030B">
      <w:pPr>
        <w:rPr>
          <w:rFonts w:ascii="Times New Roman" w:hAnsi="Times New Roman" w:cs="Times New Roman"/>
          <w:sz w:val="22"/>
          <w:szCs w:val="22"/>
          <w:lang w:val="fr-FR"/>
        </w:rPr>
      </w:pPr>
      <w:r w:rsidRPr="005D062F">
        <w:rPr>
          <w:rFonts w:ascii="Times New Roman" w:hAnsi="Times New Roman" w:cs="Times New Roman"/>
          <w:sz w:val="22"/>
          <w:szCs w:val="22"/>
          <w:lang w:val="fr-FR"/>
        </w:rPr>
        <w:t>SAD</w:t>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t>Société andine de développement</w:t>
      </w:r>
    </w:p>
    <w:p w14:paraId="490EAEF6" w14:textId="77777777" w:rsidR="002C4F3F" w:rsidRPr="005D062F" w:rsidRDefault="002C4F3F" w:rsidP="00CB030B">
      <w:pPr>
        <w:rPr>
          <w:rFonts w:ascii="Times New Roman" w:hAnsi="Times New Roman" w:cs="Times New Roman"/>
          <w:sz w:val="22"/>
          <w:szCs w:val="22"/>
          <w:lang w:val="fr-FR"/>
        </w:rPr>
      </w:pPr>
      <w:r w:rsidRPr="005D062F">
        <w:rPr>
          <w:rFonts w:ascii="Times New Roman" w:hAnsi="Times New Roman" w:cs="Times New Roman"/>
          <w:sz w:val="22"/>
          <w:szCs w:val="22"/>
          <w:lang w:val="fr-FR"/>
        </w:rPr>
        <w:t>SBDC</w:t>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t>Centres de développement des petites entreprises</w:t>
      </w:r>
    </w:p>
    <w:p w14:paraId="535B01E3" w14:textId="77777777" w:rsidR="002C4F3F" w:rsidRPr="005D062F" w:rsidRDefault="002C4F3F" w:rsidP="00D26AF2">
      <w:pPr>
        <w:ind w:left="2160" w:hanging="2160"/>
        <w:rPr>
          <w:rFonts w:ascii="Times New Roman" w:hAnsi="Times New Roman" w:cs="Times New Roman"/>
          <w:sz w:val="22"/>
          <w:szCs w:val="22"/>
          <w:lang w:val="fr-FR"/>
        </w:rPr>
      </w:pPr>
      <w:r w:rsidRPr="005D062F">
        <w:rPr>
          <w:rFonts w:ascii="Times New Roman" w:hAnsi="Times New Roman" w:cs="Times New Roman"/>
          <w:sz w:val="22"/>
          <w:szCs w:val="22"/>
          <w:lang w:val="fr-FR"/>
        </w:rPr>
        <w:t>SEDI/OEA</w:t>
      </w:r>
      <w:r w:rsidRPr="005D062F">
        <w:rPr>
          <w:rFonts w:ascii="Times New Roman" w:hAnsi="Times New Roman" w:cs="Times New Roman"/>
          <w:sz w:val="22"/>
          <w:szCs w:val="22"/>
          <w:lang w:val="fr-FR"/>
        </w:rPr>
        <w:tab/>
        <w:t>Secrétariat exécutif au développement intégré de l’Organisation des États américains</w:t>
      </w:r>
    </w:p>
    <w:p w14:paraId="6564383B" w14:textId="37A3067F" w:rsidR="002C4F3F" w:rsidRPr="005D062F" w:rsidRDefault="002C4F3F" w:rsidP="00CB030B">
      <w:pPr>
        <w:rPr>
          <w:rFonts w:ascii="Times New Roman" w:eastAsia="Times New Roman" w:hAnsi="Times New Roman" w:cs="Times New Roman"/>
          <w:color w:val="000000"/>
          <w:sz w:val="22"/>
          <w:szCs w:val="22"/>
          <w:lang w:val="fr-FR"/>
        </w:rPr>
      </w:pPr>
      <w:r w:rsidRPr="005D062F">
        <w:rPr>
          <w:rFonts w:ascii="Times New Roman" w:hAnsi="Times New Roman" w:cs="Times New Roman"/>
          <w:sz w:val="22"/>
          <w:szCs w:val="22"/>
          <w:lang w:val="fr-FR"/>
        </w:rPr>
        <w:t>SICE</w:t>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r>
      <w:r w:rsidR="00D8592F" w:rsidRPr="005D062F">
        <w:rPr>
          <w:rFonts w:ascii="Times New Roman" w:eastAsia="Times New Roman" w:hAnsi="Times New Roman" w:cs="Times New Roman"/>
          <w:color w:val="000000"/>
          <w:sz w:val="22"/>
          <w:szCs w:val="22"/>
          <w:lang w:val="fr-FR"/>
        </w:rPr>
        <w:t>Système d’</w:t>
      </w:r>
      <w:r w:rsidRPr="005D062F">
        <w:rPr>
          <w:rFonts w:ascii="Times New Roman" w:eastAsia="Times New Roman" w:hAnsi="Times New Roman" w:cs="Times New Roman"/>
          <w:color w:val="000000"/>
          <w:sz w:val="22"/>
          <w:szCs w:val="22"/>
          <w:lang w:val="fr-FR"/>
        </w:rPr>
        <w:t>information sur le commerce extérieur de l’OEA</w:t>
      </w:r>
    </w:p>
    <w:p w14:paraId="50CE164F" w14:textId="77777777" w:rsidR="002C4F3F" w:rsidRPr="005D062F" w:rsidRDefault="002C4F3F" w:rsidP="00CB030B">
      <w:pPr>
        <w:rPr>
          <w:rFonts w:ascii="Times New Roman" w:eastAsia="Times New Roman" w:hAnsi="Times New Roman" w:cs="Times New Roman"/>
          <w:color w:val="000000"/>
          <w:sz w:val="22"/>
          <w:szCs w:val="22"/>
          <w:lang w:val="fr-FR"/>
        </w:rPr>
      </w:pPr>
      <w:r w:rsidRPr="005D062F">
        <w:rPr>
          <w:rFonts w:ascii="Times New Roman" w:eastAsia="Times New Roman" w:hAnsi="Times New Roman" w:cs="Times New Roman"/>
          <w:color w:val="000000"/>
          <w:sz w:val="22"/>
          <w:szCs w:val="22"/>
          <w:lang w:val="fr-FR"/>
        </w:rPr>
        <w:t>STI</w:t>
      </w:r>
      <w:r w:rsidRPr="005D062F">
        <w:rPr>
          <w:rFonts w:ascii="Times New Roman" w:eastAsia="Times New Roman" w:hAnsi="Times New Roman" w:cs="Times New Roman"/>
          <w:color w:val="000000"/>
          <w:sz w:val="22"/>
          <w:szCs w:val="22"/>
          <w:lang w:val="fr-FR"/>
        </w:rPr>
        <w:tab/>
      </w:r>
      <w:r w:rsidRPr="005D062F">
        <w:rPr>
          <w:rFonts w:ascii="Times New Roman" w:eastAsia="Times New Roman" w:hAnsi="Times New Roman" w:cs="Times New Roman"/>
          <w:color w:val="000000"/>
          <w:sz w:val="22"/>
          <w:szCs w:val="22"/>
          <w:lang w:val="fr-FR"/>
        </w:rPr>
        <w:tab/>
      </w:r>
      <w:r w:rsidRPr="005D062F">
        <w:rPr>
          <w:rFonts w:ascii="Times New Roman" w:eastAsia="Times New Roman" w:hAnsi="Times New Roman" w:cs="Times New Roman"/>
          <w:color w:val="000000"/>
          <w:sz w:val="22"/>
          <w:szCs w:val="22"/>
          <w:lang w:val="fr-FR"/>
        </w:rPr>
        <w:tab/>
        <w:t>Science, technologie et innovation</w:t>
      </w:r>
    </w:p>
    <w:p w14:paraId="0D3ABD9A" w14:textId="77777777" w:rsidR="002C4F3F" w:rsidRPr="005D062F" w:rsidRDefault="002C4F3F" w:rsidP="00CB030B">
      <w:pPr>
        <w:rPr>
          <w:rFonts w:ascii="Times New Roman" w:hAnsi="Times New Roman" w:cs="Times New Roman"/>
          <w:sz w:val="22"/>
          <w:szCs w:val="22"/>
          <w:lang w:val="fr-FR"/>
        </w:rPr>
      </w:pPr>
      <w:r w:rsidRPr="005D062F">
        <w:rPr>
          <w:rFonts w:ascii="Times New Roman" w:hAnsi="Times New Roman" w:cs="Times New Roman"/>
          <w:sz w:val="22"/>
          <w:szCs w:val="22"/>
          <w:lang w:val="fr-FR"/>
        </w:rPr>
        <w:t>UWI</w:t>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r>
      <w:r w:rsidRPr="005D062F">
        <w:rPr>
          <w:rFonts w:ascii="Times New Roman" w:hAnsi="Times New Roman" w:cs="Times New Roman"/>
          <w:sz w:val="22"/>
          <w:szCs w:val="22"/>
          <w:lang w:val="fr-FR"/>
        </w:rPr>
        <w:tab/>
        <w:t>Université des Indes occidentales</w:t>
      </w:r>
    </w:p>
    <w:p w14:paraId="6F34B867" w14:textId="73AA8BD4" w:rsidR="0074320E" w:rsidRPr="005D062F" w:rsidRDefault="0074320E" w:rsidP="00CB030B">
      <w:pPr>
        <w:rPr>
          <w:rFonts w:ascii="Times New Roman" w:hAnsi="Times New Roman" w:cs="Times New Roman"/>
          <w:b/>
          <w:bCs/>
          <w:sz w:val="22"/>
          <w:szCs w:val="22"/>
          <w:u w:val="single"/>
          <w:lang w:val="fr-FR"/>
        </w:rPr>
      </w:pPr>
      <w:r w:rsidRPr="005D062F">
        <w:rPr>
          <w:rFonts w:ascii="Times New Roman" w:hAnsi="Times New Roman" w:cs="Times New Roman"/>
          <w:b/>
          <w:bCs/>
          <w:sz w:val="22"/>
          <w:szCs w:val="22"/>
          <w:u w:val="single"/>
          <w:lang w:val="fr-FR"/>
        </w:rPr>
        <w:br w:type="page"/>
      </w:r>
    </w:p>
    <w:p w14:paraId="1F4AC4C8" w14:textId="4D6A3B4C" w:rsidR="0022022F" w:rsidRPr="005D062F" w:rsidRDefault="00D26AF2" w:rsidP="00002E24">
      <w:pPr>
        <w:pStyle w:val="Heading1"/>
        <w:rPr>
          <w:b w:val="0"/>
          <w:bCs w:val="0"/>
        </w:rPr>
      </w:pPr>
      <w:bookmarkStart w:id="1" w:name="_Toc124243395"/>
      <w:r w:rsidRPr="005D062F">
        <w:t>VUE D’ENSEMBLE DES</w:t>
      </w:r>
      <w:r w:rsidR="0022022F" w:rsidRPr="005D062F">
        <w:t xml:space="preserve"> </w:t>
      </w:r>
      <w:r w:rsidR="00EA3A90" w:rsidRPr="005D062F">
        <w:t>LIGNE</w:t>
      </w:r>
      <w:r w:rsidRPr="005D062F">
        <w:t>S</w:t>
      </w:r>
      <w:r w:rsidR="00EA3A90" w:rsidRPr="005D062F">
        <w:t xml:space="preserve"> STRATÉGIQUE</w:t>
      </w:r>
      <w:r w:rsidR="0022022F" w:rsidRPr="005D062F">
        <w:t>S</w:t>
      </w:r>
      <w:bookmarkEnd w:id="1"/>
    </w:p>
    <w:p w14:paraId="7506C7FE" w14:textId="07A6CB63" w:rsidR="00901F40" w:rsidRPr="005D062F" w:rsidRDefault="00901F40" w:rsidP="00CB030B">
      <w:pPr>
        <w:rPr>
          <w:rFonts w:ascii="Times New Roman" w:hAnsi="Times New Roman" w:cs="Times New Roman"/>
          <w:b/>
          <w:bCs/>
          <w:sz w:val="22"/>
          <w:szCs w:val="22"/>
          <w:lang w:val="fr-FR"/>
        </w:rPr>
      </w:pPr>
    </w:p>
    <w:p w14:paraId="0CB8D24B" w14:textId="77777777" w:rsidR="00901F40" w:rsidRPr="005D062F" w:rsidRDefault="00901F40" w:rsidP="00BC7DB3">
      <w:pPr>
        <w:jc w:val="both"/>
        <w:rPr>
          <w:rFonts w:ascii="Times New Roman" w:hAnsi="Times New Roman" w:cs="Times New Roman"/>
          <w:b/>
          <w:bCs/>
          <w:sz w:val="22"/>
          <w:szCs w:val="22"/>
          <w:lang w:val="fr-FR"/>
        </w:rPr>
      </w:pPr>
    </w:p>
    <w:p w14:paraId="31E79F7A" w14:textId="4DC85AF5" w:rsidR="0022022F" w:rsidRPr="005D062F" w:rsidRDefault="00EA3A90" w:rsidP="00BC7DB3">
      <w:pPr>
        <w:jc w:val="both"/>
        <w:rPr>
          <w:rFonts w:ascii="Times New Roman" w:hAnsi="Times New Roman" w:cs="Times New Roman"/>
          <w:b/>
          <w:bCs/>
          <w:sz w:val="22"/>
          <w:szCs w:val="22"/>
          <w:lang w:val="fr-FR"/>
        </w:rPr>
      </w:pPr>
      <w:r w:rsidRPr="005D062F">
        <w:rPr>
          <w:rFonts w:ascii="Times New Roman" w:hAnsi="Times New Roman" w:cs="Times New Roman"/>
          <w:b/>
          <w:bCs/>
          <w:sz w:val="22"/>
          <w:szCs w:val="22"/>
          <w:lang w:val="fr-FR"/>
        </w:rPr>
        <w:t>LIGNE STRATÉGIQUE</w:t>
      </w:r>
      <w:r w:rsidR="003B0558" w:rsidRPr="005D062F">
        <w:rPr>
          <w:rFonts w:ascii="Times New Roman" w:hAnsi="Times New Roman" w:cs="Times New Roman"/>
          <w:b/>
          <w:bCs/>
          <w:sz w:val="22"/>
          <w:szCs w:val="22"/>
          <w:lang w:val="fr-FR"/>
        </w:rPr>
        <w:t xml:space="preserve"> 1</w:t>
      </w:r>
    </w:p>
    <w:p w14:paraId="293B4216" w14:textId="61D7B417" w:rsidR="00901F40" w:rsidRPr="005D062F" w:rsidRDefault="004B56D1" w:rsidP="00BC7DB3">
      <w:pPr>
        <w:jc w:val="both"/>
        <w:rPr>
          <w:rFonts w:ascii="Times New Roman" w:hAnsi="Times New Roman" w:cs="Times New Roman"/>
          <w:sz w:val="22"/>
          <w:szCs w:val="22"/>
          <w:lang w:val="fr-FR"/>
        </w:rPr>
      </w:pPr>
      <w:r w:rsidRPr="005D062F">
        <w:rPr>
          <w:rFonts w:ascii="Times New Roman" w:hAnsi="Times New Roman" w:cs="Times New Roman"/>
          <w:sz w:val="22"/>
          <w:szCs w:val="22"/>
          <w:lang w:val="fr-FR"/>
        </w:rPr>
        <w:t>PROMOUVOIR DES ÉCONOMIES INCLUSIVES ET COMPÉTITIVES</w:t>
      </w:r>
    </w:p>
    <w:p w14:paraId="197F6530" w14:textId="77777777" w:rsidR="00901F40" w:rsidRPr="005D062F" w:rsidRDefault="00901F40" w:rsidP="00BC7DB3">
      <w:pPr>
        <w:jc w:val="both"/>
        <w:rPr>
          <w:rFonts w:ascii="Times New Roman" w:hAnsi="Times New Roman" w:cs="Times New Roman"/>
          <w:b/>
          <w:bCs/>
          <w:sz w:val="22"/>
          <w:szCs w:val="22"/>
          <w:lang w:val="fr-FR"/>
        </w:rPr>
      </w:pPr>
    </w:p>
    <w:p w14:paraId="548DF005" w14:textId="77777777" w:rsidR="00901F40" w:rsidRPr="005D062F" w:rsidRDefault="00901F40" w:rsidP="00BC7DB3">
      <w:pPr>
        <w:jc w:val="both"/>
        <w:rPr>
          <w:rFonts w:ascii="Times New Roman" w:hAnsi="Times New Roman" w:cs="Times New Roman"/>
          <w:b/>
          <w:bCs/>
          <w:sz w:val="22"/>
          <w:szCs w:val="22"/>
          <w:lang w:val="fr-FR"/>
        </w:rPr>
      </w:pPr>
    </w:p>
    <w:p w14:paraId="353997FE" w14:textId="77777777" w:rsidR="00901F40" w:rsidRPr="005D062F" w:rsidRDefault="00901F40" w:rsidP="00BC7DB3">
      <w:pPr>
        <w:jc w:val="both"/>
        <w:rPr>
          <w:rFonts w:ascii="Times New Roman" w:hAnsi="Times New Roman" w:cs="Times New Roman"/>
          <w:b/>
          <w:bCs/>
          <w:sz w:val="22"/>
          <w:szCs w:val="22"/>
          <w:lang w:val="fr-FR"/>
        </w:rPr>
      </w:pPr>
    </w:p>
    <w:p w14:paraId="78059F5B" w14:textId="7B745CF2" w:rsidR="0022022F" w:rsidRPr="005D062F" w:rsidRDefault="00EA3A90" w:rsidP="00BC7DB3">
      <w:pPr>
        <w:jc w:val="both"/>
        <w:rPr>
          <w:rFonts w:ascii="Times New Roman" w:hAnsi="Times New Roman" w:cs="Times New Roman"/>
          <w:b/>
          <w:bCs/>
          <w:sz w:val="22"/>
          <w:szCs w:val="22"/>
          <w:lang w:val="fr-FR"/>
        </w:rPr>
      </w:pPr>
      <w:r w:rsidRPr="005D062F">
        <w:rPr>
          <w:rFonts w:ascii="Times New Roman" w:hAnsi="Times New Roman" w:cs="Times New Roman"/>
          <w:b/>
          <w:bCs/>
          <w:sz w:val="22"/>
          <w:szCs w:val="22"/>
          <w:lang w:val="fr-FR"/>
        </w:rPr>
        <w:t>LIGNE STRATÉGIQUE</w:t>
      </w:r>
      <w:r w:rsidR="0022022F" w:rsidRPr="005D062F">
        <w:rPr>
          <w:rFonts w:ascii="Times New Roman" w:hAnsi="Times New Roman" w:cs="Times New Roman"/>
          <w:b/>
          <w:bCs/>
          <w:sz w:val="22"/>
          <w:szCs w:val="22"/>
          <w:lang w:val="fr-FR"/>
        </w:rPr>
        <w:t xml:space="preserve"> </w:t>
      </w:r>
      <w:r w:rsidR="000F0680" w:rsidRPr="005D062F">
        <w:rPr>
          <w:rFonts w:ascii="Times New Roman" w:hAnsi="Times New Roman" w:cs="Times New Roman"/>
          <w:b/>
          <w:bCs/>
          <w:sz w:val="22"/>
          <w:szCs w:val="22"/>
          <w:lang w:val="fr-FR"/>
        </w:rPr>
        <w:t>2</w:t>
      </w:r>
    </w:p>
    <w:p w14:paraId="6C1A346F" w14:textId="11016E45" w:rsidR="000F0680" w:rsidRPr="005D062F" w:rsidRDefault="004B56D1" w:rsidP="00BC7DB3">
      <w:pPr>
        <w:jc w:val="both"/>
        <w:rPr>
          <w:rFonts w:ascii="Times New Roman" w:hAnsi="Times New Roman" w:cs="Times New Roman"/>
          <w:sz w:val="22"/>
          <w:szCs w:val="22"/>
          <w:lang w:val="fr-FR"/>
        </w:rPr>
      </w:pPr>
      <w:r w:rsidRPr="005D062F">
        <w:rPr>
          <w:rFonts w:ascii="Times New Roman" w:hAnsi="Times New Roman" w:cs="Times New Roman"/>
          <w:sz w:val="22"/>
          <w:szCs w:val="22"/>
          <w:lang w:val="fr-FR"/>
        </w:rPr>
        <w:t>RENFORCER LA MISE EN ŒUVRE DES OBJECTIFS DE DÉVELOPPEMENT DURABLE</w:t>
      </w:r>
      <w:r w:rsidR="000F0680" w:rsidRPr="005D062F">
        <w:rPr>
          <w:rFonts w:ascii="Times New Roman" w:hAnsi="Times New Roman" w:cs="Times New Roman"/>
          <w:sz w:val="22"/>
          <w:szCs w:val="22"/>
          <w:lang w:val="fr-FR"/>
        </w:rPr>
        <w:t xml:space="preserve"> (PIDS)</w:t>
      </w:r>
    </w:p>
    <w:p w14:paraId="0127506C" w14:textId="77777777" w:rsidR="00901F40" w:rsidRPr="005D062F" w:rsidRDefault="00901F40" w:rsidP="00BC7DB3">
      <w:pPr>
        <w:jc w:val="both"/>
        <w:rPr>
          <w:rFonts w:ascii="Times New Roman" w:hAnsi="Times New Roman" w:cs="Times New Roman"/>
          <w:b/>
          <w:bCs/>
          <w:sz w:val="22"/>
          <w:szCs w:val="22"/>
          <w:lang w:val="fr-FR"/>
        </w:rPr>
      </w:pPr>
    </w:p>
    <w:p w14:paraId="59E11BA7" w14:textId="77777777" w:rsidR="00901F40" w:rsidRPr="005D062F" w:rsidRDefault="00901F40" w:rsidP="00BC7DB3">
      <w:pPr>
        <w:jc w:val="both"/>
        <w:rPr>
          <w:rFonts w:ascii="Times New Roman" w:hAnsi="Times New Roman" w:cs="Times New Roman"/>
          <w:b/>
          <w:bCs/>
          <w:sz w:val="22"/>
          <w:szCs w:val="22"/>
          <w:lang w:val="fr-FR"/>
        </w:rPr>
      </w:pPr>
    </w:p>
    <w:p w14:paraId="033F4CD2" w14:textId="77777777" w:rsidR="00901F40" w:rsidRPr="005D062F" w:rsidRDefault="00901F40" w:rsidP="00BC7DB3">
      <w:pPr>
        <w:jc w:val="both"/>
        <w:rPr>
          <w:rFonts w:ascii="Times New Roman" w:hAnsi="Times New Roman" w:cs="Times New Roman"/>
          <w:b/>
          <w:bCs/>
          <w:sz w:val="22"/>
          <w:szCs w:val="22"/>
          <w:lang w:val="fr-FR"/>
        </w:rPr>
      </w:pPr>
    </w:p>
    <w:p w14:paraId="6A501AD8" w14:textId="46853E93" w:rsidR="0022022F" w:rsidRPr="005D062F" w:rsidRDefault="00EA3A90" w:rsidP="00BC7DB3">
      <w:pPr>
        <w:jc w:val="both"/>
        <w:rPr>
          <w:rFonts w:ascii="Times New Roman" w:hAnsi="Times New Roman" w:cs="Times New Roman"/>
          <w:b/>
          <w:bCs/>
          <w:sz w:val="22"/>
          <w:szCs w:val="22"/>
          <w:lang w:val="fr-FR"/>
        </w:rPr>
      </w:pPr>
      <w:r w:rsidRPr="005D062F">
        <w:rPr>
          <w:rFonts w:ascii="Times New Roman" w:hAnsi="Times New Roman" w:cs="Times New Roman"/>
          <w:b/>
          <w:bCs/>
          <w:sz w:val="22"/>
          <w:szCs w:val="22"/>
          <w:lang w:val="fr-FR"/>
        </w:rPr>
        <w:t>LIGNE STRATÉGIQUE</w:t>
      </w:r>
      <w:r w:rsidR="0022022F" w:rsidRPr="005D062F">
        <w:rPr>
          <w:rFonts w:ascii="Times New Roman" w:hAnsi="Times New Roman" w:cs="Times New Roman"/>
          <w:b/>
          <w:bCs/>
          <w:sz w:val="22"/>
          <w:szCs w:val="22"/>
          <w:lang w:val="fr-FR"/>
        </w:rPr>
        <w:t xml:space="preserve"> 3</w:t>
      </w:r>
    </w:p>
    <w:p w14:paraId="13D07C81" w14:textId="4D2510D5" w:rsidR="00901F40" w:rsidRPr="005D062F" w:rsidRDefault="008A1A5F" w:rsidP="00BC7DB3">
      <w:pPr>
        <w:jc w:val="both"/>
        <w:rPr>
          <w:rFonts w:ascii="Times New Roman" w:hAnsi="Times New Roman" w:cs="Times New Roman"/>
          <w:sz w:val="22"/>
          <w:szCs w:val="22"/>
          <w:lang w:val="fr-FR"/>
        </w:rPr>
      </w:pPr>
      <w:r w:rsidRPr="005D062F">
        <w:rPr>
          <w:rFonts w:ascii="Times New Roman" w:hAnsi="Times New Roman" w:cs="Times New Roman"/>
          <w:sz w:val="22"/>
          <w:szCs w:val="22"/>
          <w:lang w:val="fr-FR"/>
        </w:rPr>
        <w:t>PROMOUVOIR L’</w:t>
      </w:r>
      <w:r w:rsidR="004B56D1" w:rsidRPr="005D062F">
        <w:rPr>
          <w:rFonts w:ascii="Times New Roman" w:hAnsi="Times New Roman" w:cs="Times New Roman"/>
          <w:sz w:val="22"/>
          <w:szCs w:val="22"/>
          <w:lang w:val="fr-FR"/>
        </w:rPr>
        <w:t>ÉDUCATION ET LE DÉVELOPPEMENT HUMAIN DANS LES AMÉRIQUES</w:t>
      </w:r>
    </w:p>
    <w:p w14:paraId="01D9F93D" w14:textId="77777777" w:rsidR="00901F40" w:rsidRPr="005D062F" w:rsidRDefault="00901F40" w:rsidP="00BC7DB3">
      <w:pPr>
        <w:jc w:val="both"/>
        <w:rPr>
          <w:rFonts w:ascii="Times New Roman" w:hAnsi="Times New Roman" w:cs="Times New Roman"/>
          <w:b/>
          <w:bCs/>
          <w:sz w:val="22"/>
          <w:szCs w:val="22"/>
          <w:lang w:val="fr-FR"/>
        </w:rPr>
      </w:pPr>
    </w:p>
    <w:p w14:paraId="57CF9CB3" w14:textId="77777777" w:rsidR="00901F40" w:rsidRPr="005D062F" w:rsidRDefault="00901F40" w:rsidP="00BC7DB3">
      <w:pPr>
        <w:jc w:val="both"/>
        <w:rPr>
          <w:rFonts w:ascii="Times New Roman" w:hAnsi="Times New Roman" w:cs="Times New Roman"/>
          <w:b/>
          <w:bCs/>
          <w:sz w:val="22"/>
          <w:szCs w:val="22"/>
          <w:lang w:val="fr-FR"/>
        </w:rPr>
      </w:pPr>
    </w:p>
    <w:p w14:paraId="78D4283D" w14:textId="77777777" w:rsidR="00901F40" w:rsidRPr="005D062F" w:rsidRDefault="00901F40" w:rsidP="00BC7DB3">
      <w:pPr>
        <w:jc w:val="both"/>
        <w:rPr>
          <w:rFonts w:ascii="Times New Roman" w:hAnsi="Times New Roman" w:cs="Times New Roman"/>
          <w:b/>
          <w:bCs/>
          <w:sz w:val="22"/>
          <w:szCs w:val="22"/>
          <w:lang w:val="fr-FR"/>
        </w:rPr>
      </w:pPr>
    </w:p>
    <w:p w14:paraId="0FF0A171" w14:textId="26238953" w:rsidR="0022022F" w:rsidRPr="005D062F" w:rsidRDefault="00EA3A90" w:rsidP="00BC7DB3">
      <w:pPr>
        <w:jc w:val="both"/>
        <w:rPr>
          <w:rFonts w:ascii="Times New Roman" w:hAnsi="Times New Roman" w:cs="Times New Roman"/>
          <w:b/>
          <w:bCs/>
          <w:sz w:val="22"/>
          <w:szCs w:val="22"/>
          <w:lang w:val="fr-FR"/>
        </w:rPr>
      </w:pPr>
      <w:r w:rsidRPr="005D062F">
        <w:rPr>
          <w:rFonts w:ascii="Times New Roman" w:hAnsi="Times New Roman" w:cs="Times New Roman"/>
          <w:b/>
          <w:bCs/>
          <w:sz w:val="22"/>
          <w:szCs w:val="22"/>
          <w:lang w:val="fr-FR"/>
        </w:rPr>
        <w:t>LIGNE STRATÉGIQUE</w:t>
      </w:r>
      <w:r w:rsidR="0022022F" w:rsidRPr="005D062F">
        <w:rPr>
          <w:rFonts w:ascii="Times New Roman" w:hAnsi="Times New Roman" w:cs="Times New Roman"/>
          <w:b/>
          <w:bCs/>
          <w:sz w:val="22"/>
          <w:szCs w:val="22"/>
          <w:lang w:val="fr-FR"/>
        </w:rPr>
        <w:t xml:space="preserve"> 4</w:t>
      </w:r>
    </w:p>
    <w:p w14:paraId="19AD837F" w14:textId="7F46D978" w:rsidR="00901F40" w:rsidRPr="005D062F" w:rsidRDefault="004B56D1" w:rsidP="00BC7DB3">
      <w:pPr>
        <w:jc w:val="both"/>
        <w:rPr>
          <w:rFonts w:ascii="Times New Roman" w:hAnsi="Times New Roman" w:cs="Times New Roman"/>
          <w:sz w:val="22"/>
          <w:szCs w:val="22"/>
          <w:lang w:val="fr-FR"/>
        </w:rPr>
      </w:pPr>
      <w:r w:rsidRPr="005D062F">
        <w:rPr>
          <w:rFonts w:ascii="Times New Roman" w:hAnsi="Times New Roman" w:cs="Times New Roman"/>
          <w:sz w:val="22"/>
          <w:szCs w:val="22"/>
          <w:lang w:val="fr-FR"/>
        </w:rPr>
        <w:t>PROMOUVOIR LE TRAVAIL DÉCENT, DIGNE ET PRODUCTIF POUR TOUS</w:t>
      </w:r>
    </w:p>
    <w:p w14:paraId="13402178" w14:textId="77777777" w:rsidR="00901F40" w:rsidRPr="005D062F" w:rsidRDefault="00901F40" w:rsidP="00BC7DB3">
      <w:pPr>
        <w:jc w:val="both"/>
        <w:rPr>
          <w:rFonts w:ascii="Times New Roman" w:hAnsi="Times New Roman" w:cs="Times New Roman"/>
          <w:b/>
          <w:bCs/>
          <w:sz w:val="22"/>
          <w:szCs w:val="22"/>
          <w:lang w:val="fr-FR"/>
        </w:rPr>
      </w:pPr>
    </w:p>
    <w:p w14:paraId="19BD6B01" w14:textId="77777777" w:rsidR="00901F40" w:rsidRPr="005D062F" w:rsidRDefault="00901F40" w:rsidP="00BC7DB3">
      <w:pPr>
        <w:jc w:val="both"/>
        <w:rPr>
          <w:rFonts w:ascii="Times New Roman" w:hAnsi="Times New Roman" w:cs="Times New Roman"/>
          <w:b/>
          <w:bCs/>
          <w:sz w:val="22"/>
          <w:szCs w:val="22"/>
          <w:lang w:val="fr-FR"/>
        </w:rPr>
      </w:pPr>
    </w:p>
    <w:p w14:paraId="3BE80935" w14:textId="77777777" w:rsidR="00901F40" w:rsidRPr="005D062F" w:rsidRDefault="00901F40" w:rsidP="00BC7DB3">
      <w:pPr>
        <w:jc w:val="both"/>
        <w:rPr>
          <w:rFonts w:ascii="Times New Roman" w:hAnsi="Times New Roman" w:cs="Times New Roman"/>
          <w:b/>
          <w:bCs/>
          <w:sz w:val="22"/>
          <w:szCs w:val="22"/>
          <w:lang w:val="fr-FR"/>
        </w:rPr>
      </w:pPr>
    </w:p>
    <w:p w14:paraId="32A6EF91" w14:textId="14841A28" w:rsidR="0022022F" w:rsidRPr="005D062F" w:rsidRDefault="00EA3A90" w:rsidP="00BC7DB3">
      <w:pPr>
        <w:jc w:val="both"/>
        <w:rPr>
          <w:rFonts w:ascii="Times New Roman" w:hAnsi="Times New Roman" w:cs="Times New Roman"/>
          <w:b/>
          <w:bCs/>
          <w:sz w:val="22"/>
          <w:szCs w:val="22"/>
          <w:lang w:val="fr-FR"/>
        </w:rPr>
      </w:pPr>
      <w:r w:rsidRPr="005D062F">
        <w:rPr>
          <w:rFonts w:ascii="Times New Roman" w:hAnsi="Times New Roman" w:cs="Times New Roman"/>
          <w:b/>
          <w:bCs/>
          <w:sz w:val="22"/>
          <w:szCs w:val="22"/>
          <w:lang w:val="fr-FR"/>
        </w:rPr>
        <w:t>LIGNE STRATÉGIQUE</w:t>
      </w:r>
      <w:r w:rsidR="0022022F" w:rsidRPr="005D062F">
        <w:rPr>
          <w:rFonts w:ascii="Times New Roman" w:hAnsi="Times New Roman" w:cs="Times New Roman"/>
          <w:b/>
          <w:bCs/>
          <w:sz w:val="22"/>
          <w:szCs w:val="22"/>
          <w:lang w:val="fr-FR"/>
        </w:rPr>
        <w:t xml:space="preserve"> 5</w:t>
      </w:r>
    </w:p>
    <w:p w14:paraId="723A7958" w14:textId="22038E07" w:rsidR="00901F40" w:rsidRPr="005D062F" w:rsidRDefault="004B56D1" w:rsidP="00BC7DB3">
      <w:pPr>
        <w:jc w:val="both"/>
        <w:rPr>
          <w:rFonts w:ascii="Times New Roman" w:hAnsi="Times New Roman" w:cs="Times New Roman"/>
          <w:sz w:val="22"/>
          <w:szCs w:val="22"/>
          <w:lang w:val="fr-FR"/>
        </w:rPr>
      </w:pPr>
      <w:r w:rsidRPr="005D062F">
        <w:rPr>
          <w:rFonts w:ascii="Times New Roman" w:hAnsi="Times New Roman" w:cs="Times New Roman"/>
          <w:sz w:val="22"/>
          <w:szCs w:val="22"/>
          <w:lang w:val="fr-FR"/>
        </w:rPr>
        <w:t>ENCOURAGER LA COOPÉRATION POUR LE DÉVELOPPEMENT ET LA CRÉATION DE PARTENARIAT</w:t>
      </w:r>
      <w:r w:rsidR="008A1A5F" w:rsidRPr="005D062F">
        <w:rPr>
          <w:rFonts w:ascii="Times New Roman" w:hAnsi="Times New Roman" w:cs="Times New Roman"/>
          <w:sz w:val="22"/>
          <w:szCs w:val="22"/>
          <w:lang w:val="fr-FR"/>
        </w:rPr>
        <w:t>S</w:t>
      </w:r>
    </w:p>
    <w:p w14:paraId="0E231071" w14:textId="77777777" w:rsidR="00901F40" w:rsidRPr="005D062F" w:rsidRDefault="00901F40" w:rsidP="00CB030B">
      <w:pPr>
        <w:rPr>
          <w:rFonts w:ascii="Times New Roman" w:hAnsi="Times New Roman" w:cs="Times New Roman"/>
          <w:b/>
          <w:bCs/>
          <w:sz w:val="22"/>
          <w:szCs w:val="22"/>
          <w:lang w:val="fr-FR"/>
        </w:rPr>
      </w:pPr>
    </w:p>
    <w:p w14:paraId="6229646F" w14:textId="77777777" w:rsidR="00723DAD" w:rsidRPr="005D062F" w:rsidRDefault="00723DAD" w:rsidP="00CB030B">
      <w:pPr>
        <w:rPr>
          <w:rFonts w:ascii="Times New Roman" w:hAnsi="Times New Roman" w:cs="Times New Roman"/>
          <w:sz w:val="22"/>
          <w:szCs w:val="22"/>
          <w:lang w:val="fr-FR"/>
        </w:rPr>
        <w:sectPr w:rsidR="00723DAD" w:rsidRPr="005D062F" w:rsidSect="00BC7DB3">
          <w:headerReference w:type="default" r:id="rId12"/>
          <w:footerReference w:type="default" r:id="rId13"/>
          <w:headerReference w:type="first" r:id="rId14"/>
          <w:footerReference w:type="first" r:id="rId15"/>
          <w:type w:val="oddPage"/>
          <w:pgSz w:w="12240" w:h="15840" w:code="1"/>
          <w:pgMar w:top="2160" w:right="1570" w:bottom="1296" w:left="1699" w:header="720" w:footer="720" w:gutter="0"/>
          <w:pgNumType w:fmt="lowerRoman" w:start="3"/>
          <w:cols w:space="708"/>
          <w:titlePg/>
          <w:docGrid w:linePitch="360"/>
        </w:sectPr>
      </w:pPr>
    </w:p>
    <w:p w14:paraId="2CF07F0C" w14:textId="4BF447C6" w:rsidR="00D26AF2" w:rsidRPr="005D062F" w:rsidRDefault="00D26AF2" w:rsidP="00D26AF2">
      <w:pPr>
        <w:jc w:val="center"/>
        <w:rPr>
          <w:rFonts w:ascii="Times New Roman" w:eastAsia="Times New Roman" w:hAnsi="Times New Roman" w:cs="Times New Roman"/>
          <w:color w:val="000000"/>
          <w:sz w:val="22"/>
          <w:szCs w:val="22"/>
          <w:lang w:val="fr-FR"/>
        </w:rPr>
      </w:pPr>
      <w:r w:rsidRPr="005D062F">
        <w:rPr>
          <w:rFonts w:ascii="Times New Roman" w:eastAsia="Times New Roman" w:hAnsi="Times New Roman" w:cs="Times New Roman"/>
          <w:color w:val="000000"/>
          <w:sz w:val="22"/>
          <w:szCs w:val="22"/>
          <w:lang w:val="fr-FR"/>
        </w:rPr>
        <w:t>RAPPORT ANNUEL DU</w:t>
      </w:r>
    </w:p>
    <w:p w14:paraId="2146C947" w14:textId="77777777" w:rsidR="00D26AF2" w:rsidRPr="005D062F" w:rsidRDefault="00D26AF2" w:rsidP="00D26AF2">
      <w:pPr>
        <w:jc w:val="center"/>
        <w:rPr>
          <w:rFonts w:ascii="Times New Roman" w:hAnsi="Times New Roman" w:cs="Times New Roman"/>
          <w:sz w:val="22"/>
          <w:szCs w:val="22"/>
          <w:lang w:val="fr-FR"/>
        </w:rPr>
      </w:pPr>
      <w:r w:rsidRPr="005D062F">
        <w:rPr>
          <w:rFonts w:ascii="Times New Roman" w:eastAsia="Times New Roman" w:hAnsi="Times New Roman" w:cs="Times New Roman"/>
          <w:color w:val="000000"/>
          <w:sz w:val="22"/>
          <w:szCs w:val="22"/>
          <w:lang w:val="fr-FR"/>
        </w:rPr>
        <w:t xml:space="preserve">SECRÉTARIAT EXÉCUTIF AU DÉVELOPPEMENT INTÉGRÉ </w:t>
      </w:r>
      <w:r w:rsidRPr="005D062F">
        <w:rPr>
          <w:rFonts w:ascii="Times New Roman" w:hAnsi="Times New Roman" w:cs="Times New Roman"/>
          <w:sz w:val="22"/>
          <w:szCs w:val="22"/>
          <w:lang w:val="fr-FR"/>
        </w:rPr>
        <w:t>(SEDI)</w:t>
      </w:r>
    </w:p>
    <w:p w14:paraId="33A45B12" w14:textId="77777777" w:rsidR="00D26AF2" w:rsidRPr="005D062F" w:rsidRDefault="00D26AF2" w:rsidP="00D26AF2">
      <w:pPr>
        <w:jc w:val="center"/>
        <w:rPr>
          <w:rFonts w:ascii="Times New Roman" w:hAnsi="Times New Roman" w:cs="Times New Roman"/>
          <w:sz w:val="22"/>
          <w:szCs w:val="22"/>
          <w:lang w:val="fr-FR"/>
        </w:rPr>
      </w:pPr>
      <w:r w:rsidRPr="005D062F">
        <w:rPr>
          <w:rFonts w:ascii="Times New Roman" w:eastAsia="Times New Roman" w:hAnsi="Times New Roman" w:cs="Times New Roman"/>
          <w:color w:val="000000"/>
          <w:sz w:val="22"/>
          <w:szCs w:val="22"/>
          <w:lang w:val="fr-FR"/>
        </w:rPr>
        <w:t xml:space="preserve">ADRESSÉ AU CONSEIL INTERAMÉRICAIN POUR LE DÉVELOPPEMENT INTÉGRÉ </w:t>
      </w:r>
      <w:r w:rsidRPr="005D062F">
        <w:rPr>
          <w:rFonts w:ascii="Times New Roman" w:hAnsi="Times New Roman" w:cs="Times New Roman"/>
          <w:sz w:val="22"/>
          <w:szCs w:val="22"/>
          <w:lang w:val="fr-FR"/>
        </w:rPr>
        <w:t>(CIDI)</w:t>
      </w:r>
    </w:p>
    <w:p w14:paraId="434696CF" w14:textId="77777777" w:rsidR="00D26AF2" w:rsidRPr="005D062F" w:rsidRDefault="00D26AF2" w:rsidP="00D26AF2">
      <w:pPr>
        <w:rPr>
          <w:rFonts w:ascii="Times New Roman" w:hAnsi="Times New Roman" w:cs="Times New Roman"/>
          <w:sz w:val="22"/>
          <w:szCs w:val="22"/>
          <w:lang w:val="fr-FR"/>
        </w:rPr>
      </w:pPr>
    </w:p>
    <w:p w14:paraId="061451CE" w14:textId="77777777" w:rsidR="00D26AF2" w:rsidRPr="005D062F" w:rsidRDefault="00D26AF2" w:rsidP="00D26AF2">
      <w:pPr>
        <w:jc w:val="center"/>
        <w:rPr>
          <w:rFonts w:ascii="Times New Roman" w:hAnsi="Times New Roman" w:cs="Times New Roman"/>
          <w:sz w:val="22"/>
          <w:szCs w:val="22"/>
          <w:lang w:val="fr-FR"/>
        </w:rPr>
      </w:pPr>
      <w:r w:rsidRPr="005D062F">
        <w:rPr>
          <w:rFonts w:ascii="Times New Roman" w:hAnsi="Times New Roman" w:cs="Times New Roman"/>
          <w:sz w:val="22"/>
          <w:szCs w:val="22"/>
          <w:lang w:val="fr-FR"/>
        </w:rPr>
        <w:t>Janvier – décembre 2022</w:t>
      </w:r>
    </w:p>
    <w:p w14:paraId="33C0BCEC" w14:textId="77777777" w:rsidR="0074320E" w:rsidRPr="005D062F" w:rsidRDefault="0074320E" w:rsidP="00CB030B">
      <w:pPr>
        <w:rPr>
          <w:rFonts w:ascii="Times New Roman" w:hAnsi="Times New Roman" w:cs="Times New Roman"/>
          <w:b/>
          <w:bCs/>
          <w:sz w:val="22"/>
          <w:szCs w:val="22"/>
          <w:lang w:val="fr-FR"/>
        </w:rPr>
      </w:pPr>
    </w:p>
    <w:p w14:paraId="503E89EE" w14:textId="77777777" w:rsidR="0074320E" w:rsidRPr="005D062F" w:rsidRDefault="0074320E" w:rsidP="00CB030B">
      <w:pPr>
        <w:rPr>
          <w:rFonts w:ascii="Times New Roman" w:hAnsi="Times New Roman" w:cs="Times New Roman"/>
          <w:b/>
          <w:bCs/>
          <w:sz w:val="22"/>
          <w:szCs w:val="22"/>
          <w:lang w:val="fr-FR"/>
        </w:rPr>
      </w:pPr>
    </w:p>
    <w:p w14:paraId="76874DB5" w14:textId="21157BE3" w:rsidR="008A5D55" w:rsidRPr="005D062F" w:rsidRDefault="008A5D55" w:rsidP="00002E24">
      <w:pPr>
        <w:pStyle w:val="Heading1"/>
        <w:rPr>
          <w:b w:val="0"/>
          <w:bCs w:val="0"/>
        </w:rPr>
      </w:pPr>
      <w:bookmarkStart w:id="2" w:name="_Toc124243396"/>
      <w:r w:rsidRPr="005D062F">
        <w:t>INTRODUCTION</w:t>
      </w:r>
      <w:bookmarkEnd w:id="2"/>
    </w:p>
    <w:p w14:paraId="3D45D761" w14:textId="3C96C0F7" w:rsidR="008A5D55" w:rsidRPr="005D062F" w:rsidRDefault="00396972" w:rsidP="00CB030B">
      <w:pPr>
        <w:pBdr>
          <w:bottom w:val="single" w:sz="6" w:space="1" w:color="auto"/>
        </w:pBdr>
        <w:rPr>
          <w:rFonts w:ascii="Times New Roman" w:hAnsi="Times New Roman" w:cs="Times New Roman"/>
          <w:sz w:val="22"/>
          <w:szCs w:val="22"/>
          <w:lang w:val="fr-FR"/>
        </w:rPr>
      </w:pPr>
      <w:r w:rsidRPr="005D062F">
        <w:rPr>
          <w:rFonts w:ascii="Times New Roman" w:hAnsi="Times New Roman" w:cs="Times New Roman"/>
          <w:sz w:val="22"/>
          <w:szCs w:val="22"/>
          <w:lang w:val="fr-FR"/>
        </w:rPr>
        <w:t>RAP</w:t>
      </w:r>
      <w:r w:rsidR="008A5D55" w:rsidRPr="005D062F">
        <w:rPr>
          <w:rFonts w:ascii="Times New Roman" w:hAnsi="Times New Roman" w:cs="Times New Roman"/>
          <w:sz w:val="22"/>
          <w:szCs w:val="22"/>
          <w:lang w:val="fr-FR"/>
        </w:rPr>
        <w:t>PORT</w:t>
      </w:r>
      <w:r w:rsidRPr="005D062F">
        <w:rPr>
          <w:rFonts w:ascii="Times New Roman" w:hAnsi="Times New Roman" w:cs="Times New Roman"/>
          <w:sz w:val="22"/>
          <w:szCs w:val="22"/>
          <w:lang w:val="fr-FR"/>
        </w:rPr>
        <w:t xml:space="preserve"> ANNUEL 2022 DU SEDI : VUE D’ENSEMBLE</w:t>
      </w:r>
    </w:p>
    <w:p w14:paraId="674878DE" w14:textId="6AB5A4A0" w:rsidR="008A5D55" w:rsidRPr="005D062F" w:rsidRDefault="008A5D55" w:rsidP="00CB030B">
      <w:pPr>
        <w:rPr>
          <w:rFonts w:ascii="Times New Roman" w:hAnsi="Times New Roman" w:cs="Times New Roman"/>
          <w:sz w:val="22"/>
          <w:szCs w:val="22"/>
          <w:lang w:val="fr-FR"/>
        </w:rPr>
      </w:pPr>
    </w:p>
    <w:p w14:paraId="55797E37" w14:textId="77777777" w:rsidR="0074320E" w:rsidRPr="005D062F" w:rsidRDefault="0074320E" w:rsidP="00CB030B">
      <w:pPr>
        <w:rPr>
          <w:rFonts w:ascii="Times New Roman" w:hAnsi="Times New Roman" w:cs="Times New Roman"/>
          <w:sz w:val="22"/>
          <w:szCs w:val="22"/>
          <w:lang w:val="fr-FR"/>
        </w:rPr>
      </w:pPr>
    </w:p>
    <w:p w14:paraId="629CD874" w14:textId="70BF5B07" w:rsidR="00C6516E" w:rsidRPr="005D062F" w:rsidRDefault="00506B9D" w:rsidP="00CB030B">
      <w:pPr>
        <w:pStyle w:val="PlainText"/>
        <w:ind w:firstLine="720"/>
        <w:jc w:val="both"/>
        <w:rPr>
          <w:rFonts w:ascii="Times New Roman" w:hAnsi="Times New Roman" w:cs="Times New Roman"/>
          <w:color w:val="000000" w:themeColor="text1"/>
          <w:sz w:val="22"/>
          <w:szCs w:val="22"/>
          <w:lang w:val="fr-FR"/>
        </w:rPr>
      </w:pPr>
      <w:r w:rsidRPr="005D062F">
        <w:rPr>
          <w:rFonts w:ascii="Times New Roman" w:eastAsia="Times New Roman" w:hAnsi="Times New Roman" w:cs="Times New Roman"/>
          <w:color w:val="000000"/>
          <w:sz w:val="22"/>
          <w:szCs w:val="22"/>
          <w:lang w:val="fr-FR"/>
        </w:rPr>
        <w:t>Le travail du Secrétariat exécuti</w:t>
      </w:r>
      <w:r w:rsidR="00151146" w:rsidRPr="005D062F">
        <w:rPr>
          <w:rFonts w:ascii="Times New Roman" w:eastAsia="Times New Roman" w:hAnsi="Times New Roman" w:cs="Times New Roman"/>
          <w:color w:val="000000"/>
          <w:sz w:val="22"/>
          <w:szCs w:val="22"/>
          <w:lang w:val="fr-FR"/>
        </w:rPr>
        <w:t>f au développement intégré de l’</w:t>
      </w:r>
      <w:r w:rsidRPr="005D062F">
        <w:rPr>
          <w:rFonts w:ascii="Times New Roman" w:eastAsia="Times New Roman" w:hAnsi="Times New Roman" w:cs="Times New Roman"/>
          <w:color w:val="000000"/>
          <w:sz w:val="22"/>
          <w:szCs w:val="22"/>
          <w:lang w:val="fr-FR"/>
        </w:rPr>
        <w:t>Organisation des États Américains (SEDI/OEA) est guidé par les principes fondament</w:t>
      </w:r>
      <w:r w:rsidR="001D32D3" w:rsidRPr="005D062F">
        <w:rPr>
          <w:rFonts w:ascii="Times New Roman" w:eastAsia="Times New Roman" w:hAnsi="Times New Roman" w:cs="Times New Roman"/>
          <w:color w:val="000000"/>
          <w:sz w:val="22"/>
          <w:szCs w:val="22"/>
          <w:lang w:val="fr-FR"/>
        </w:rPr>
        <w:t>aux énoncés dans la Charte de l’</w:t>
      </w:r>
      <w:r w:rsidRPr="005D062F">
        <w:rPr>
          <w:rFonts w:ascii="Times New Roman" w:eastAsia="Times New Roman" w:hAnsi="Times New Roman" w:cs="Times New Roman"/>
          <w:color w:val="000000"/>
          <w:sz w:val="22"/>
          <w:szCs w:val="22"/>
          <w:lang w:val="fr-FR"/>
        </w:rPr>
        <w:t>OEA et la Charte sociale des Amériques. Le SEDI tire ses mandat</w:t>
      </w:r>
      <w:r w:rsidR="001D32D3" w:rsidRPr="005D062F">
        <w:rPr>
          <w:rFonts w:ascii="Times New Roman" w:eastAsia="Times New Roman" w:hAnsi="Times New Roman" w:cs="Times New Roman"/>
          <w:color w:val="000000"/>
          <w:sz w:val="22"/>
          <w:szCs w:val="22"/>
          <w:lang w:val="fr-FR"/>
        </w:rPr>
        <w:t>s du Sommet des Amériques, de l’Assemblée générale de l’</w:t>
      </w:r>
      <w:r w:rsidRPr="005D062F">
        <w:rPr>
          <w:rFonts w:ascii="Times New Roman" w:eastAsia="Times New Roman" w:hAnsi="Times New Roman" w:cs="Times New Roman"/>
          <w:color w:val="000000"/>
          <w:sz w:val="22"/>
          <w:szCs w:val="22"/>
          <w:lang w:val="fr-FR"/>
        </w:rPr>
        <w:t>OEA et des différentes réunions sectorielles au niveau ministériel</w:t>
      </w:r>
      <w:r w:rsidR="00B870D5" w:rsidRPr="005D062F">
        <w:rPr>
          <w:rFonts w:ascii="Times New Roman" w:eastAsia="Times New Roman" w:hAnsi="Times New Roman" w:cs="Times New Roman"/>
          <w:color w:val="000000"/>
          <w:sz w:val="22"/>
          <w:szCs w:val="22"/>
          <w:lang w:val="fr-FR"/>
        </w:rPr>
        <w:t xml:space="preserve">. </w:t>
      </w:r>
      <w:r w:rsidR="002506B6" w:rsidRPr="005D062F">
        <w:rPr>
          <w:rFonts w:ascii="Times New Roman" w:eastAsia="Times New Roman" w:hAnsi="Times New Roman" w:cs="Times New Roman"/>
          <w:color w:val="000000"/>
          <w:sz w:val="22"/>
          <w:szCs w:val="22"/>
          <w:lang w:val="fr-FR"/>
        </w:rPr>
        <w:t>Le travail du SEDI/OEA repose sur le dialogue politique et la coopération technique entre les États membres, qui œuvrent au développement socio-économique de la région. Par le biais d’un dialogue politique de haut niveau, le SEDI/OEA travaille avec les États membres pour définir</w:t>
      </w:r>
      <w:r w:rsidR="001D32D3" w:rsidRPr="005D062F">
        <w:rPr>
          <w:rFonts w:ascii="Times New Roman" w:eastAsia="Times New Roman" w:hAnsi="Times New Roman" w:cs="Times New Roman"/>
          <w:color w:val="000000"/>
          <w:sz w:val="22"/>
          <w:szCs w:val="22"/>
          <w:lang w:val="fr-FR"/>
        </w:rPr>
        <w:t xml:space="preserve"> les politiques et priorités qu’</w:t>
      </w:r>
      <w:r w:rsidR="002506B6" w:rsidRPr="005D062F">
        <w:rPr>
          <w:rFonts w:ascii="Times New Roman" w:eastAsia="Times New Roman" w:hAnsi="Times New Roman" w:cs="Times New Roman"/>
          <w:color w:val="000000"/>
          <w:sz w:val="22"/>
          <w:szCs w:val="22"/>
          <w:lang w:val="fr-FR"/>
        </w:rPr>
        <w:t xml:space="preserve">ils considèrent comme essentielles à la </w:t>
      </w:r>
      <w:r w:rsidR="001D32D3" w:rsidRPr="005D062F">
        <w:rPr>
          <w:rFonts w:ascii="Times New Roman" w:eastAsia="Times New Roman" w:hAnsi="Times New Roman" w:cs="Times New Roman"/>
          <w:color w:val="000000"/>
          <w:sz w:val="22"/>
          <w:szCs w:val="22"/>
          <w:lang w:val="fr-FR"/>
        </w:rPr>
        <w:t>réduction de la pauvreté et à l’</w:t>
      </w:r>
      <w:r w:rsidR="002506B6" w:rsidRPr="005D062F">
        <w:rPr>
          <w:rFonts w:ascii="Times New Roman" w:eastAsia="Times New Roman" w:hAnsi="Times New Roman" w:cs="Times New Roman"/>
          <w:color w:val="000000"/>
          <w:sz w:val="22"/>
          <w:szCs w:val="22"/>
          <w:lang w:val="fr-FR"/>
        </w:rPr>
        <w:t>élimination des inégalités dans le continent américain</w:t>
      </w:r>
      <w:r w:rsidR="00B870D5" w:rsidRPr="005D062F">
        <w:rPr>
          <w:rFonts w:ascii="Times New Roman" w:eastAsia="Times New Roman" w:hAnsi="Times New Roman" w:cs="Times New Roman"/>
          <w:color w:val="000000"/>
          <w:sz w:val="22"/>
          <w:szCs w:val="22"/>
          <w:lang w:val="fr-FR"/>
        </w:rPr>
        <w:t xml:space="preserve">. </w:t>
      </w:r>
      <w:r w:rsidR="00CC223D" w:rsidRPr="005D062F">
        <w:rPr>
          <w:rFonts w:ascii="Times New Roman" w:eastAsia="Times New Roman" w:hAnsi="Times New Roman" w:cs="Times New Roman"/>
          <w:color w:val="000000"/>
          <w:sz w:val="22"/>
          <w:szCs w:val="22"/>
          <w:lang w:val="fr-FR"/>
        </w:rPr>
        <w:t xml:space="preserve">La devise </w:t>
      </w:r>
      <w:r w:rsidR="002506B6" w:rsidRPr="005D062F">
        <w:rPr>
          <w:rFonts w:ascii="Times New Roman" w:eastAsia="Times New Roman" w:hAnsi="Times New Roman" w:cs="Times New Roman"/>
          <w:color w:val="000000"/>
          <w:sz w:val="22"/>
          <w:szCs w:val="22"/>
          <w:lang w:val="fr-FR"/>
        </w:rPr>
        <w:t xml:space="preserve">de l’OEA « Plus de droits pour plus de personnes » </w:t>
      </w:r>
      <w:r w:rsidR="005E67CA" w:rsidRPr="005D062F">
        <w:rPr>
          <w:rFonts w:ascii="Times New Roman" w:eastAsia="Times New Roman" w:hAnsi="Times New Roman" w:cs="Times New Roman"/>
          <w:color w:val="000000"/>
          <w:sz w:val="22"/>
          <w:szCs w:val="22"/>
          <w:lang w:val="fr-FR"/>
        </w:rPr>
        <w:t>est réellement au cœur de la propre philosophie opérationnelle du SEDI</w:t>
      </w:r>
      <w:r w:rsidR="00C6516E" w:rsidRPr="005D062F">
        <w:rPr>
          <w:rFonts w:ascii="Times New Roman" w:eastAsia="Times New Roman" w:hAnsi="Times New Roman" w:cs="Times New Roman"/>
          <w:color w:val="000000"/>
          <w:sz w:val="22"/>
          <w:szCs w:val="22"/>
          <w:lang w:val="fr-FR"/>
        </w:rPr>
        <w:t xml:space="preserve">. </w:t>
      </w:r>
      <w:r w:rsidR="002506B6" w:rsidRPr="005D062F">
        <w:rPr>
          <w:rFonts w:ascii="Times New Roman" w:eastAsia="Times New Roman" w:hAnsi="Times New Roman" w:cs="Times New Roman"/>
          <w:color w:val="000000"/>
          <w:sz w:val="22"/>
          <w:szCs w:val="22"/>
          <w:lang w:val="fr-FR"/>
        </w:rPr>
        <w:t>Les impératifs politiques sont traduits en programmes, projets et activités, qui sont mis en œuvre par le biais de partenariats avec des organisations d</w:t>
      </w:r>
      <w:r w:rsidR="00D8592F" w:rsidRPr="005D062F">
        <w:rPr>
          <w:rFonts w:ascii="Times New Roman" w:eastAsia="Times New Roman" w:hAnsi="Times New Roman" w:cs="Times New Roman"/>
          <w:color w:val="000000"/>
          <w:sz w:val="22"/>
          <w:szCs w:val="22"/>
          <w:lang w:val="fr-FR"/>
        </w:rPr>
        <w:t>e la société civile ainsi que d’</w:t>
      </w:r>
      <w:r w:rsidR="002506B6" w:rsidRPr="005D062F">
        <w:rPr>
          <w:rFonts w:ascii="Times New Roman" w:eastAsia="Times New Roman" w:hAnsi="Times New Roman" w:cs="Times New Roman"/>
          <w:color w:val="000000"/>
          <w:sz w:val="22"/>
          <w:szCs w:val="22"/>
          <w:lang w:val="fr-FR"/>
        </w:rPr>
        <w:t>autres institutions publiques et privées, régionales et internationales ayant des objectifs communs</w:t>
      </w:r>
      <w:r w:rsidR="00E42D96" w:rsidRPr="005D062F">
        <w:rPr>
          <w:rFonts w:ascii="Times New Roman" w:eastAsia="Times New Roman" w:hAnsi="Times New Roman" w:cs="Times New Roman"/>
          <w:color w:val="000000"/>
          <w:sz w:val="22"/>
          <w:szCs w:val="22"/>
          <w:lang w:val="fr-FR"/>
        </w:rPr>
        <w:t>.</w:t>
      </w:r>
      <w:r w:rsidR="00B870D5" w:rsidRPr="005D062F">
        <w:rPr>
          <w:rFonts w:ascii="Times New Roman" w:hAnsi="Times New Roman" w:cs="Times New Roman"/>
          <w:color w:val="000000" w:themeColor="text1"/>
          <w:sz w:val="22"/>
          <w:szCs w:val="22"/>
          <w:lang w:val="fr-FR"/>
        </w:rPr>
        <w:t xml:space="preserve"> </w:t>
      </w:r>
    </w:p>
    <w:p w14:paraId="57BA9A3C" w14:textId="77777777" w:rsidR="00C6516E" w:rsidRPr="005D062F" w:rsidRDefault="00C6516E" w:rsidP="00723DAD">
      <w:pPr>
        <w:rPr>
          <w:rFonts w:ascii="Times New Roman" w:hAnsi="Times New Roman" w:cs="Times New Roman"/>
          <w:color w:val="000000" w:themeColor="text1"/>
          <w:sz w:val="22"/>
          <w:szCs w:val="22"/>
          <w:lang w:val="fr-FR"/>
        </w:rPr>
      </w:pPr>
    </w:p>
    <w:p w14:paraId="063E0A4E" w14:textId="1C0F22C6" w:rsidR="00B870D5" w:rsidRPr="005D062F" w:rsidRDefault="005E67CA" w:rsidP="00CB030B">
      <w:pPr>
        <w:pStyle w:val="PlainText"/>
        <w:ind w:firstLine="720"/>
        <w:jc w:val="both"/>
        <w:rPr>
          <w:rFonts w:ascii="Times New Roman" w:hAnsi="Times New Roman" w:cs="Times New Roman"/>
          <w:color w:val="000000" w:themeColor="text1"/>
          <w:sz w:val="22"/>
          <w:szCs w:val="22"/>
          <w:lang w:val="fr-FR"/>
        </w:rPr>
      </w:pPr>
      <w:r w:rsidRPr="005D062F">
        <w:rPr>
          <w:rFonts w:ascii="Times New Roman" w:eastAsia="Times New Roman" w:hAnsi="Times New Roman" w:cs="Times New Roman"/>
          <w:color w:val="000000"/>
          <w:sz w:val="22"/>
          <w:szCs w:val="22"/>
          <w:lang w:val="fr-FR"/>
        </w:rPr>
        <w:t>Le Plan stratégique intégral de l’OEA, approuvé en 2016, a confié au SEDI/OEA la réalisation de certains objectifs spécifiques dans les domaines ci-après</w:t>
      </w:r>
      <w:r w:rsidR="001D32D3" w:rsidRPr="005D062F">
        <w:rPr>
          <w:rFonts w:ascii="Times New Roman" w:eastAsia="Times New Roman" w:hAnsi="Times New Roman" w:cs="Times New Roman"/>
          <w:color w:val="000000"/>
          <w:sz w:val="22"/>
          <w:szCs w:val="22"/>
          <w:lang w:val="fr-FR"/>
        </w:rPr>
        <w:t> </w:t>
      </w:r>
      <w:r w:rsidRPr="005D062F">
        <w:rPr>
          <w:rFonts w:ascii="Times New Roman" w:eastAsia="Times New Roman" w:hAnsi="Times New Roman" w:cs="Times New Roman"/>
          <w:color w:val="000000"/>
          <w:sz w:val="22"/>
          <w:szCs w:val="22"/>
          <w:lang w:val="fr-FR"/>
        </w:rPr>
        <w:t xml:space="preserve">: éducation, compétitivité, petites et moyennes entreprises, travail, culture, science et technologie, gestion des ressources, énergies renouvelables et efficacité énergétique, tourisme et développement durable. Les activités dans ces domaines fondamentaux sont principalement axées sur le développement des capacités humaines et le renforcement des institutions afin de favoriser un écosystème socio-économique solide permettant de renforcer la gouvernance démocratique </w:t>
      </w:r>
      <w:r w:rsidR="00326F6A" w:rsidRPr="005D062F">
        <w:rPr>
          <w:rFonts w:ascii="Times New Roman" w:eastAsia="Times New Roman" w:hAnsi="Times New Roman" w:cs="Times New Roman"/>
          <w:color w:val="000000"/>
          <w:sz w:val="22"/>
          <w:szCs w:val="22"/>
          <w:lang w:val="fr-FR"/>
        </w:rPr>
        <w:t>dans chaque État membre. L</w:t>
      </w:r>
      <w:r w:rsidRPr="005D062F">
        <w:rPr>
          <w:rFonts w:ascii="Times New Roman" w:eastAsia="Times New Roman" w:hAnsi="Times New Roman" w:cs="Times New Roman"/>
          <w:color w:val="000000"/>
          <w:sz w:val="22"/>
          <w:szCs w:val="22"/>
          <w:lang w:val="fr-FR"/>
        </w:rPr>
        <w:t xml:space="preserve">e SEDI/OEA favorise </w:t>
      </w:r>
      <w:r w:rsidR="00326F6A" w:rsidRPr="005D062F">
        <w:rPr>
          <w:rFonts w:ascii="Times New Roman" w:eastAsia="Times New Roman" w:hAnsi="Times New Roman" w:cs="Times New Roman"/>
          <w:color w:val="000000"/>
          <w:sz w:val="22"/>
          <w:szCs w:val="22"/>
          <w:lang w:val="fr-FR"/>
        </w:rPr>
        <w:t xml:space="preserve">aussi </w:t>
      </w:r>
      <w:r w:rsidRPr="005D062F">
        <w:rPr>
          <w:rFonts w:ascii="Times New Roman" w:eastAsia="Times New Roman" w:hAnsi="Times New Roman" w:cs="Times New Roman"/>
          <w:color w:val="000000"/>
          <w:sz w:val="22"/>
          <w:szCs w:val="22"/>
          <w:lang w:val="fr-FR"/>
        </w:rPr>
        <w:t>un développement compétitif, sûr, durable et inclusif des po</w:t>
      </w:r>
      <w:r w:rsidR="00A56CB6" w:rsidRPr="005D062F">
        <w:rPr>
          <w:rFonts w:ascii="Times New Roman" w:eastAsia="Times New Roman" w:hAnsi="Times New Roman" w:cs="Times New Roman"/>
          <w:color w:val="000000"/>
          <w:sz w:val="22"/>
          <w:szCs w:val="22"/>
          <w:lang w:val="fr-FR"/>
        </w:rPr>
        <w:t>rts dans les États membres de l’</w:t>
      </w:r>
      <w:r w:rsidRPr="005D062F">
        <w:rPr>
          <w:rFonts w:ascii="Times New Roman" w:eastAsia="Times New Roman" w:hAnsi="Times New Roman" w:cs="Times New Roman"/>
          <w:color w:val="000000"/>
          <w:sz w:val="22"/>
          <w:szCs w:val="22"/>
          <w:lang w:val="fr-FR"/>
        </w:rPr>
        <w:t>OEA</w:t>
      </w:r>
      <w:r w:rsidR="00B870D5" w:rsidRPr="005D062F">
        <w:rPr>
          <w:rFonts w:ascii="Times New Roman" w:hAnsi="Times New Roman" w:cs="Times New Roman"/>
          <w:color w:val="000000" w:themeColor="text1"/>
          <w:sz w:val="22"/>
          <w:szCs w:val="22"/>
          <w:lang w:val="fr-FR"/>
        </w:rPr>
        <w:t>.</w:t>
      </w:r>
    </w:p>
    <w:p w14:paraId="7A169CB4" w14:textId="77777777" w:rsidR="008A5D55" w:rsidRPr="005D062F" w:rsidRDefault="008A5D55" w:rsidP="00723DAD">
      <w:pPr>
        <w:rPr>
          <w:rFonts w:ascii="Times New Roman" w:hAnsi="Times New Roman" w:cs="Times New Roman"/>
          <w:sz w:val="22"/>
          <w:szCs w:val="22"/>
          <w:lang w:val="fr-FR"/>
        </w:rPr>
      </w:pPr>
    </w:p>
    <w:p w14:paraId="24A19BE7" w14:textId="3E4E92ED" w:rsidR="00B870D5" w:rsidRPr="005D062F" w:rsidRDefault="005E67CA" w:rsidP="00CB030B">
      <w:pPr>
        <w:pStyle w:val="PlainText"/>
        <w:ind w:firstLine="720"/>
        <w:jc w:val="both"/>
        <w:rPr>
          <w:rFonts w:ascii="Times New Roman" w:hAnsi="Times New Roman" w:cs="Times New Roman"/>
          <w:color w:val="000000" w:themeColor="text1"/>
          <w:sz w:val="22"/>
          <w:szCs w:val="22"/>
          <w:lang w:val="fr-FR"/>
        </w:rPr>
      </w:pPr>
      <w:r w:rsidRPr="005D062F">
        <w:rPr>
          <w:rFonts w:ascii="Times New Roman" w:eastAsia="Times New Roman" w:hAnsi="Times New Roman" w:cs="Times New Roman"/>
          <w:color w:val="000000"/>
          <w:sz w:val="22"/>
          <w:szCs w:val="22"/>
          <w:lang w:val="fr-FR"/>
        </w:rPr>
        <w:t>La structure institutionnelle du SEDI/OEA comprend le Bureau du Secréta</w:t>
      </w:r>
      <w:r w:rsidR="00A56CB6" w:rsidRPr="005D062F">
        <w:rPr>
          <w:rFonts w:ascii="Times New Roman" w:eastAsia="Times New Roman" w:hAnsi="Times New Roman" w:cs="Times New Roman"/>
          <w:color w:val="000000"/>
          <w:sz w:val="22"/>
          <w:szCs w:val="22"/>
          <w:lang w:val="fr-FR"/>
        </w:rPr>
        <w:t>riat exécutif</w:t>
      </w:r>
      <w:r w:rsidR="00B870D5" w:rsidRPr="005D062F">
        <w:rPr>
          <w:rFonts w:ascii="Times New Roman" w:hAnsi="Times New Roman" w:cs="Times New Roman"/>
          <w:color w:val="000000" w:themeColor="text1"/>
          <w:sz w:val="22"/>
          <w:szCs w:val="22"/>
          <w:lang w:val="fr-FR"/>
        </w:rPr>
        <w:t xml:space="preserve">, </w:t>
      </w:r>
      <w:r w:rsidRPr="005D062F">
        <w:rPr>
          <w:rFonts w:ascii="Times New Roman" w:hAnsi="Times New Roman" w:cs="Times New Roman"/>
          <w:color w:val="000000" w:themeColor="text1"/>
          <w:sz w:val="22"/>
          <w:szCs w:val="22"/>
          <w:lang w:val="fr-FR"/>
        </w:rPr>
        <w:t xml:space="preserve">les </w:t>
      </w:r>
      <w:r w:rsidRPr="005D062F">
        <w:rPr>
          <w:rFonts w:ascii="Times New Roman" w:eastAsia="Times New Roman" w:hAnsi="Times New Roman" w:cs="Times New Roman"/>
          <w:color w:val="000000"/>
          <w:sz w:val="22"/>
          <w:szCs w:val="22"/>
          <w:lang w:val="fr-FR"/>
        </w:rPr>
        <w:t>trois départements ci-après : le Départemen</w:t>
      </w:r>
      <w:r w:rsidR="00151146" w:rsidRPr="005D062F">
        <w:rPr>
          <w:rFonts w:ascii="Times New Roman" w:eastAsia="Times New Roman" w:hAnsi="Times New Roman" w:cs="Times New Roman"/>
          <w:color w:val="000000"/>
          <w:sz w:val="22"/>
          <w:szCs w:val="22"/>
          <w:lang w:val="fr-FR"/>
        </w:rPr>
        <w:t>t du développement humain, de l’</w:t>
      </w:r>
      <w:r w:rsidR="00933951" w:rsidRPr="005D062F">
        <w:rPr>
          <w:rFonts w:ascii="Times New Roman" w:eastAsia="Times New Roman" w:hAnsi="Times New Roman" w:cs="Times New Roman"/>
          <w:color w:val="000000"/>
          <w:sz w:val="22"/>
          <w:szCs w:val="22"/>
          <w:lang w:val="fr-FR"/>
        </w:rPr>
        <w:t>éducation et de l’</w:t>
      </w:r>
      <w:r w:rsidRPr="005D062F">
        <w:rPr>
          <w:rFonts w:ascii="Times New Roman" w:eastAsia="Times New Roman" w:hAnsi="Times New Roman" w:cs="Times New Roman"/>
          <w:color w:val="000000"/>
          <w:sz w:val="22"/>
          <w:szCs w:val="22"/>
          <w:lang w:val="fr-FR"/>
        </w:rPr>
        <w:t>emploi</w:t>
      </w:r>
      <w:r w:rsidR="00B870D5" w:rsidRPr="005D062F">
        <w:rPr>
          <w:rFonts w:ascii="Times New Roman" w:hAnsi="Times New Roman" w:cs="Times New Roman"/>
          <w:color w:val="000000" w:themeColor="text1"/>
          <w:sz w:val="22"/>
          <w:szCs w:val="22"/>
          <w:lang w:val="fr-FR"/>
        </w:rPr>
        <w:t xml:space="preserve"> (</w:t>
      </w:r>
      <w:r w:rsidR="00C83F55" w:rsidRPr="005D062F">
        <w:rPr>
          <w:rFonts w:ascii="Times New Roman" w:hAnsi="Times New Roman" w:cs="Times New Roman"/>
          <w:color w:val="000000" w:themeColor="text1"/>
          <w:sz w:val="22"/>
          <w:szCs w:val="22"/>
          <w:lang w:val="fr-FR"/>
        </w:rPr>
        <w:t>D</w:t>
      </w:r>
      <w:r w:rsidR="00B870D5" w:rsidRPr="005D062F">
        <w:rPr>
          <w:rFonts w:ascii="Times New Roman" w:hAnsi="Times New Roman" w:cs="Times New Roman"/>
          <w:color w:val="000000" w:themeColor="text1"/>
          <w:sz w:val="22"/>
          <w:szCs w:val="22"/>
          <w:lang w:val="fr-FR"/>
        </w:rPr>
        <w:t>D</w:t>
      </w:r>
      <w:r w:rsidR="00C83F55" w:rsidRPr="005D062F">
        <w:rPr>
          <w:rFonts w:ascii="Times New Roman" w:hAnsi="Times New Roman" w:cs="Times New Roman"/>
          <w:color w:val="000000" w:themeColor="text1"/>
          <w:sz w:val="22"/>
          <w:szCs w:val="22"/>
          <w:lang w:val="fr-FR"/>
        </w:rPr>
        <w:t>H</w:t>
      </w:r>
      <w:r w:rsidR="00B870D5" w:rsidRPr="005D062F">
        <w:rPr>
          <w:rFonts w:ascii="Times New Roman" w:hAnsi="Times New Roman" w:cs="Times New Roman"/>
          <w:color w:val="000000" w:themeColor="text1"/>
          <w:sz w:val="22"/>
          <w:szCs w:val="22"/>
          <w:lang w:val="fr-FR"/>
        </w:rPr>
        <w:t>EE)</w:t>
      </w:r>
      <w:r w:rsidRPr="005D062F">
        <w:rPr>
          <w:rFonts w:ascii="Times New Roman" w:hAnsi="Times New Roman" w:cs="Times New Roman"/>
          <w:color w:val="000000" w:themeColor="text1"/>
          <w:sz w:val="22"/>
          <w:szCs w:val="22"/>
          <w:lang w:val="fr-FR"/>
        </w:rPr>
        <w:t> </w:t>
      </w:r>
      <w:r w:rsidR="00B870D5" w:rsidRPr="005D062F">
        <w:rPr>
          <w:rFonts w:ascii="Times New Roman" w:hAnsi="Times New Roman" w:cs="Times New Roman"/>
          <w:color w:val="000000" w:themeColor="text1"/>
          <w:sz w:val="22"/>
          <w:szCs w:val="22"/>
          <w:lang w:val="fr-FR"/>
        </w:rPr>
        <w:t xml:space="preserve">; </w:t>
      </w:r>
      <w:r w:rsidRPr="005D062F">
        <w:rPr>
          <w:rFonts w:ascii="Times New Roman" w:hAnsi="Times New Roman" w:cs="Times New Roman"/>
          <w:color w:val="000000" w:themeColor="text1"/>
          <w:sz w:val="22"/>
          <w:szCs w:val="22"/>
          <w:lang w:val="fr-FR"/>
        </w:rPr>
        <w:t xml:space="preserve">le </w:t>
      </w:r>
      <w:r w:rsidRPr="005D062F">
        <w:rPr>
          <w:rFonts w:ascii="Times New Roman" w:eastAsia="Times New Roman" w:hAnsi="Times New Roman" w:cs="Times New Roman"/>
          <w:color w:val="000000"/>
          <w:sz w:val="22"/>
          <w:szCs w:val="22"/>
          <w:lang w:val="fr-FR"/>
        </w:rPr>
        <w:t>Département du développement économique</w:t>
      </w:r>
      <w:r w:rsidR="00B870D5" w:rsidRPr="005D062F">
        <w:rPr>
          <w:rFonts w:ascii="Times New Roman" w:hAnsi="Times New Roman" w:cs="Times New Roman"/>
          <w:color w:val="000000" w:themeColor="text1"/>
          <w:sz w:val="22"/>
          <w:szCs w:val="22"/>
          <w:lang w:val="fr-FR"/>
        </w:rPr>
        <w:t xml:space="preserve"> (DD</w:t>
      </w:r>
      <w:r w:rsidR="00C83F55" w:rsidRPr="005D062F">
        <w:rPr>
          <w:rFonts w:ascii="Times New Roman" w:hAnsi="Times New Roman" w:cs="Times New Roman"/>
          <w:color w:val="000000" w:themeColor="text1"/>
          <w:sz w:val="22"/>
          <w:szCs w:val="22"/>
          <w:lang w:val="fr-FR"/>
        </w:rPr>
        <w:t>E</w:t>
      </w:r>
      <w:r w:rsidR="00B870D5" w:rsidRPr="005D062F">
        <w:rPr>
          <w:rFonts w:ascii="Times New Roman" w:hAnsi="Times New Roman" w:cs="Times New Roman"/>
          <w:color w:val="000000" w:themeColor="text1"/>
          <w:sz w:val="22"/>
          <w:szCs w:val="22"/>
          <w:lang w:val="fr-FR"/>
        </w:rPr>
        <w:t>)</w:t>
      </w:r>
      <w:r w:rsidRPr="005D062F">
        <w:rPr>
          <w:rFonts w:ascii="Times New Roman" w:hAnsi="Times New Roman" w:cs="Times New Roman"/>
          <w:color w:val="000000" w:themeColor="text1"/>
          <w:sz w:val="22"/>
          <w:szCs w:val="22"/>
          <w:lang w:val="fr-FR"/>
        </w:rPr>
        <w:t> </w:t>
      </w:r>
      <w:r w:rsidR="00B870D5" w:rsidRPr="005D062F">
        <w:rPr>
          <w:rFonts w:ascii="Times New Roman" w:hAnsi="Times New Roman" w:cs="Times New Roman"/>
          <w:color w:val="000000" w:themeColor="text1"/>
          <w:sz w:val="22"/>
          <w:szCs w:val="22"/>
          <w:lang w:val="fr-FR"/>
        </w:rPr>
        <w:t xml:space="preserve">; </w:t>
      </w:r>
      <w:r w:rsidRPr="005D062F">
        <w:rPr>
          <w:rFonts w:ascii="Times New Roman" w:hAnsi="Times New Roman" w:cs="Times New Roman"/>
          <w:color w:val="000000" w:themeColor="text1"/>
          <w:sz w:val="22"/>
          <w:szCs w:val="22"/>
          <w:lang w:val="fr-FR"/>
        </w:rPr>
        <w:t>et le</w:t>
      </w:r>
      <w:r w:rsidR="00B870D5" w:rsidRPr="005D062F">
        <w:rPr>
          <w:rFonts w:ascii="Times New Roman" w:hAnsi="Times New Roman" w:cs="Times New Roman"/>
          <w:color w:val="000000" w:themeColor="text1"/>
          <w:sz w:val="22"/>
          <w:szCs w:val="22"/>
          <w:lang w:val="fr-FR"/>
        </w:rPr>
        <w:t xml:space="preserve"> </w:t>
      </w:r>
      <w:r w:rsidRPr="005D062F">
        <w:rPr>
          <w:rFonts w:ascii="Times New Roman" w:eastAsia="Times New Roman" w:hAnsi="Times New Roman" w:cs="Times New Roman"/>
          <w:color w:val="000000"/>
          <w:sz w:val="22"/>
          <w:szCs w:val="22"/>
          <w:lang w:val="fr-FR"/>
        </w:rPr>
        <w:t>Département du développement durable</w:t>
      </w:r>
      <w:r w:rsidRPr="005D062F">
        <w:rPr>
          <w:rFonts w:ascii="Times New Roman" w:hAnsi="Times New Roman" w:cs="Times New Roman"/>
          <w:color w:val="000000" w:themeColor="text1"/>
          <w:sz w:val="22"/>
          <w:szCs w:val="22"/>
          <w:lang w:val="fr-FR"/>
        </w:rPr>
        <w:t xml:space="preserve"> </w:t>
      </w:r>
      <w:r w:rsidR="00B870D5" w:rsidRPr="005D062F">
        <w:rPr>
          <w:rFonts w:ascii="Times New Roman" w:hAnsi="Times New Roman" w:cs="Times New Roman"/>
          <w:color w:val="000000" w:themeColor="text1"/>
          <w:sz w:val="22"/>
          <w:szCs w:val="22"/>
          <w:lang w:val="fr-FR"/>
        </w:rPr>
        <w:t>(D</w:t>
      </w:r>
      <w:r w:rsidR="00C83F55" w:rsidRPr="005D062F">
        <w:rPr>
          <w:rFonts w:ascii="Times New Roman" w:hAnsi="Times New Roman" w:cs="Times New Roman"/>
          <w:color w:val="000000" w:themeColor="text1"/>
          <w:sz w:val="22"/>
          <w:szCs w:val="22"/>
          <w:lang w:val="fr-FR"/>
        </w:rPr>
        <w:t>D</w:t>
      </w:r>
      <w:r w:rsidR="00B870D5" w:rsidRPr="005D062F">
        <w:rPr>
          <w:rFonts w:ascii="Times New Roman" w:hAnsi="Times New Roman" w:cs="Times New Roman"/>
          <w:color w:val="000000" w:themeColor="text1"/>
          <w:sz w:val="22"/>
          <w:szCs w:val="22"/>
          <w:lang w:val="fr-FR"/>
        </w:rPr>
        <w:t>D)</w:t>
      </w:r>
      <w:r w:rsidRPr="005D062F">
        <w:rPr>
          <w:rFonts w:ascii="Times New Roman" w:hAnsi="Times New Roman" w:cs="Times New Roman"/>
          <w:color w:val="000000" w:themeColor="text1"/>
          <w:sz w:val="22"/>
          <w:szCs w:val="22"/>
          <w:lang w:val="fr-FR"/>
        </w:rPr>
        <w:t> </w:t>
      </w:r>
      <w:r w:rsidR="00E42D96" w:rsidRPr="005D062F">
        <w:rPr>
          <w:rFonts w:ascii="Times New Roman" w:hAnsi="Times New Roman" w:cs="Times New Roman"/>
          <w:color w:val="000000" w:themeColor="text1"/>
          <w:sz w:val="22"/>
          <w:szCs w:val="22"/>
          <w:lang w:val="fr-FR"/>
        </w:rPr>
        <w:t xml:space="preserve">; </w:t>
      </w:r>
      <w:r w:rsidRPr="005D062F">
        <w:rPr>
          <w:rFonts w:ascii="Times New Roman" w:eastAsia="Times New Roman" w:hAnsi="Times New Roman" w:cs="Times New Roman"/>
          <w:color w:val="000000"/>
          <w:sz w:val="22"/>
          <w:szCs w:val="22"/>
          <w:lang w:val="fr-FR"/>
        </w:rPr>
        <w:t xml:space="preserve">ainsi que le Secrétariat de la Commission interaméricaine des ports </w:t>
      </w:r>
      <w:r w:rsidR="00B870D5" w:rsidRPr="005D062F">
        <w:rPr>
          <w:rFonts w:ascii="Times New Roman" w:hAnsi="Times New Roman" w:cs="Times New Roman"/>
          <w:color w:val="000000" w:themeColor="text1"/>
          <w:sz w:val="22"/>
          <w:szCs w:val="22"/>
          <w:lang w:val="fr-FR"/>
        </w:rPr>
        <w:t xml:space="preserve">(CIP). </w:t>
      </w:r>
      <w:r w:rsidR="00151146" w:rsidRPr="005D062F">
        <w:rPr>
          <w:rFonts w:ascii="Times New Roman" w:eastAsia="Times New Roman" w:hAnsi="Times New Roman" w:cs="Times New Roman"/>
          <w:color w:val="000000"/>
          <w:sz w:val="22"/>
          <w:szCs w:val="22"/>
          <w:lang w:val="fr-FR"/>
        </w:rPr>
        <w:t>L’</w:t>
      </w:r>
      <w:r w:rsidRPr="005D062F">
        <w:rPr>
          <w:rFonts w:ascii="Times New Roman" w:eastAsia="Times New Roman" w:hAnsi="Times New Roman" w:cs="Times New Roman"/>
          <w:color w:val="000000"/>
          <w:sz w:val="22"/>
          <w:szCs w:val="22"/>
          <w:lang w:val="fr-FR"/>
        </w:rPr>
        <w:t xml:space="preserve">OEA/SEDI travaille également </w:t>
      </w:r>
      <w:r w:rsidR="00D8592F" w:rsidRPr="005D062F">
        <w:rPr>
          <w:rFonts w:ascii="Times New Roman" w:eastAsia="Times New Roman" w:hAnsi="Times New Roman" w:cs="Times New Roman"/>
          <w:color w:val="000000"/>
          <w:sz w:val="22"/>
          <w:szCs w:val="22"/>
          <w:lang w:val="fr-FR"/>
        </w:rPr>
        <w:t>en étroite collaboration avec d’</w:t>
      </w:r>
      <w:r w:rsidRPr="005D062F">
        <w:rPr>
          <w:rFonts w:ascii="Times New Roman" w:eastAsia="Times New Roman" w:hAnsi="Times New Roman" w:cs="Times New Roman"/>
          <w:color w:val="000000"/>
          <w:sz w:val="22"/>
          <w:szCs w:val="22"/>
          <w:lang w:val="fr-FR"/>
        </w:rPr>
        <w:t>a</w:t>
      </w:r>
      <w:r w:rsidR="00933951" w:rsidRPr="005D062F">
        <w:rPr>
          <w:rFonts w:ascii="Times New Roman" w:eastAsia="Times New Roman" w:hAnsi="Times New Roman" w:cs="Times New Roman"/>
          <w:color w:val="000000"/>
          <w:sz w:val="22"/>
          <w:szCs w:val="22"/>
          <w:lang w:val="fr-FR"/>
        </w:rPr>
        <w:t>utres secrétariats au sein de l’</w:t>
      </w:r>
      <w:r w:rsidRPr="005D062F">
        <w:rPr>
          <w:rFonts w:ascii="Times New Roman" w:eastAsia="Times New Roman" w:hAnsi="Times New Roman" w:cs="Times New Roman"/>
          <w:color w:val="000000"/>
          <w:sz w:val="22"/>
          <w:szCs w:val="22"/>
          <w:lang w:val="fr-FR"/>
        </w:rPr>
        <w:t>OEA, ainsi que des entités qui lui sont apparentées, telles que la Fondation pour les Amériques, le Young Americas Business Trust (</w:t>
      </w:r>
      <w:r w:rsidRPr="005D062F">
        <w:rPr>
          <w:rFonts w:ascii="Times New Roman" w:hAnsi="Times New Roman" w:cs="Times New Roman"/>
          <w:color w:val="000000" w:themeColor="text1"/>
          <w:sz w:val="22"/>
          <w:szCs w:val="22"/>
          <w:lang w:val="fr-FR"/>
        </w:rPr>
        <w:t>YABT</w:t>
      </w:r>
      <w:r w:rsidRPr="005D062F">
        <w:rPr>
          <w:rFonts w:ascii="Times New Roman" w:eastAsia="Times New Roman" w:hAnsi="Times New Roman" w:cs="Times New Roman"/>
          <w:color w:val="000000"/>
          <w:sz w:val="22"/>
          <w:szCs w:val="22"/>
          <w:lang w:val="fr-FR"/>
        </w:rPr>
        <w:t xml:space="preserve"> - Fonds pour les jeun</w:t>
      </w:r>
      <w:r w:rsidR="00933951" w:rsidRPr="005D062F">
        <w:rPr>
          <w:rFonts w:ascii="Times New Roman" w:eastAsia="Times New Roman" w:hAnsi="Times New Roman" w:cs="Times New Roman"/>
          <w:color w:val="000000"/>
          <w:sz w:val="22"/>
          <w:szCs w:val="22"/>
          <w:lang w:val="fr-FR"/>
        </w:rPr>
        <w:t>es entrepreneurs des Amériques)</w:t>
      </w:r>
      <w:r w:rsidRPr="005D062F">
        <w:rPr>
          <w:rFonts w:ascii="Times New Roman" w:eastAsia="Times New Roman" w:hAnsi="Times New Roman" w:cs="Times New Roman"/>
          <w:color w:val="000000"/>
          <w:sz w:val="22"/>
          <w:szCs w:val="22"/>
          <w:lang w:val="fr-FR"/>
        </w:rPr>
        <w:t xml:space="preserve"> et la Fondation panaméricaine pour le développement (FUPAD). En outre, le SEDI a</w:t>
      </w:r>
      <w:r w:rsidR="00D8592F" w:rsidRPr="005D062F">
        <w:rPr>
          <w:rFonts w:ascii="Times New Roman" w:eastAsia="Times New Roman" w:hAnsi="Times New Roman" w:cs="Times New Roman"/>
          <w:color w:val="000000"/>
          <w:sz w:val="22"/>
          <w:szCs w:val="22"/>
          <w:lang w:val="fr-FR"/>
        </w:rPr>
        <w:t xml:space="preserve"> établi des partenariats avec d’</w:t>
      </w:r>
      <w:r w:rsidRPr="005D062F">
        <w:rPr>
          <w:rFonts w:ascii="Times New Roman" w:eastAsia="Times New Roman" w:hAnsi="Times New Roman" w:cs="Times New Roman"/>
          <w:color w:val="000000"/>
          <w:sz w:val="22"/>
          <w:szCs w:val="22"/>
          <w:lang w:val="fr-FR"/>
        </w:rPr>
        <w:t>autres organisations internationales, des organisations de la société civile, la communauté universitaire, et le secteur privé</w:t>
      </w:r>
      <w:r w:rsidR="00B870D5" w:rsidRPr="005D062F">
        <w:rPr>
          <w:rFonts w:ascii="Times New Roman" w:hAnsi="Times New Roman" w:cs="Times New Roman"/>
          <w:color w:val="000000" w:themeColor="text1"/>
          <w:sz w:val="22"/>
          <w:szCs w:val="22"/>
          <w:lang w:val="fr-FR"/>
        </w:rPr>
        <w:t>.</w:t>
      </w:r>
    </w:p>
    <w:p w14:paraId="66E6BC57" w14:textId="77777777" w:rsidR="00B870D5" w:rsidRPr="005D062F" w:rsidRDefault="00B870D5" w:rsidP="00723DAD">
      <w:pPr>
        <w:rPr>
          <w:rFonts w:ascii="Times New Roman" w:hAnsi="Times New Roman" w:cs="Times New Roman"/>
          <w:color w:val="000000" w:themeColor="text1"/>
          <w:sz w:val="22"/>
          <w:szCs w:val="22"/>
          <w:lang w:val="fr-FR"/>
        </w:rPr>
      </w:pPr>
    </w:p>
    <w:p w14:paraId="13AA821F" w14:textId="2A1425AD" w:rsidR="00047D85" w:rsidRPr="005D062F" w:rsidRDefault="00326F6A" w:rsidP="00CB030B">
      <w:pPr>
        <w:pStyle w:val="PlainText"/>
        <w:ind w:firstLine="720"/>
        <w:jc w:val="both"/>
        <w:rPr>
          <w:rFonts w:ascii="Times New Roman" w:hAnsi="Times New Roman" w:cs="Times New Roman"/>
          <w:color w:val="000000" w:themeColor="text1"/>
          <w:sz w:val="22"/>
          <w:szCs w:val="22"/>
          <w:lang w:val="fr-FR"/>
        </w:rPr>
      </w:pPr>
      <w:r w:rsidRPr="005D062F">
        <w:rPr>
          <w:rFonts w:ascii="Times New Roman" w:hAnsi="Times New Roman" w:cs="Times New Roman"/>
          <w:color w:val="000000" w:themeColor="text1"/>
          <w:sz w:val="22"/>
          <w:szCs w:val="22"/>
          <w:lang w:val="fr-FR"/>
        </w:rPr>
        <w:t>En plus de faire office de secrétariat du Conseil interaméricain pour le développement intégré (CIDI), qui est le principal forum multilatéral de concertation sur les défis de développement auxquels la région est confrontée, le SEDI fournit des services consultatifs et une assistance technique directe aux États membres sur des questions spécifiques</w:t>
      </w:r>
      <w:r w:rsidR="007E6660" w:rsidRPr="005D062F">
        <w:rPr>
          <w:rFonts w:ascii="Times New Roman" w:hAnsi="Times New Roman" w:cs="Times New Roman"/>
          <w:color w:val="000000" w:themeColor="text1"/>
          <w:sz w:val="22"/>
          <w:szCs w:val="22"/>
          <w:lang w:val="fr-FR"/>
        </w:rPr>
        <w:t xml:space="preserve">. </w:t>
      </w:r>
      <w:r w:rsidRPr="005D062F">
        <w:rPr>
          <w:rFonts w:ascii="Times New Roman" w:hAnsi="Times New Roman" w:cs="Times New Roman"/>
          <w:color w:val="000000" w:themeColor="text1"/>
          <w:sz w:val="22"/>
          <w:szCs w:val="22"/>
          <w:lang w:val="fr-FR"/>
        </w:rPr>
        <w:t>En outre, il finance, met en œuvre et coordonne des projet</w:t>
      </w:r>
      <w:r w:rsidR="00933951" w:rsidRPr="005D062F">
        <w:rPr>
          <w:rFonts w:ascii="Times New Roman" w:hAnsi="Times New Roman" w:cs="Times New Roman"/>
          <w:color w:val="000000" w:themeColor="text1"/>
          <w:sz w:val="22"/>
          <w:szCs w:val="22"/>
          <w:lang w:val="fr-FR"/>
        </w:rPr>
        <w:t>s de développement concrets à l’</w:t>
      </w:r>
      <w:r w:rsidRPr="005D062F">
        <w:rPr>
          <w:rFonts w:ascii="Times New Roman" w:hAnsi="Times New Roman" w:cs="Times New Roman"/>
          <w:color w:val="000000" w:themeColor="text1"/>
          <w:sz w:val="22"/>
          <w:szCs w:val="22"/>
          <w:lang w:val="fr-FR"/>
        </w:rPr>
        <w:t>aide des ressources du Fonds de coopération pour le développement</w:t>
      </w:r>
      <w:r w:rsidR="00B870D5" w:rsidRPr="005D062F">
        <w:rPr>
          <w:rFonts w:ascii="Times New Roman" w:hAnsi="Times New Roman" w:cs="Times New Roman"/>
          <w:color w:val="000000" w:themeColor="text1"/>
          <w:sz w:val="22"/>
          <w:szCs w:val="22"/>
          <w:lang w:val="fr-FR"/>
        </w:rPr>
        <w:t xml:space="preserve"> </w:t>
      </w:r>
      <w:r w:rsidRPr="005D062F">
        <w:rPr>
          <w:rFonts w:ascii="Times New Roman" w:hAnsi="Times New Roman" w:cs="Times New Roman"/>
          <w:color w:val="000000" w:themeColor="text1"/>
          <w:sz w:val="22"/>
          <w:szCs w:val="22"/>
          <w:lang w:val="fr-FR"/>
        </w:rPr>
        <w:t>(FCD</w:t>
      </w:r>
      <w:r w:rsidR="006C54A2" w:rsidRPr="005D062F">
        <w:rPr>
          <w:rFonts w:ascii="Times New Roman" w:hAnsi="Times New Roman" w:cs="Times New Roman"/>
          <w:color w:val="000000" w:themeColor="text1"/>
          <w:sz w:val="22"/>
          <w:szCs w:val="22"/>
          <w:lang w:val="fr-FR"/>
        </w:rPr>
        <w:t>)</w:t>
      </w:r>
      <w:r w:rsidR="007E6660" w:rsidRPr="005D062F">
        <w:rPr>
          <w:rFonts w:ascii="Times New Roman" w:hAnsi="Times New Roman" w:cs="Times New Roman"/>
          <w:color w:val="000000" w:themeColor="text1"/>
          <w:sz w:val="22"/>
          <w:szCs w:val="22"/>
          <w:lang w:val="fr-FR"/>
        </w:rPr>
        <w:t xml:space="preserve"> </w:t>
      </w:r>
      <w:r w:rsidRPr="005D062F">
        <w:rPr>
          <w:rFonts w:ascii="Times New Roman" w:hAnsi="Times New Roman" w:cs="Times New Roman"/>
          <w:color w:val="000000" w:themeColor="text1"/>
          <w:sz w:val="22"/>
          <w:szCs w:val="22"/>
          <w:lang w:val="fr-FR"/>
        </w:rPr>
        <w:t>et avec des ressources externes provenant des États membres, des États membres observateurs, des</w:t>
      </w:r>
      <w:r w:rsidRPr="005D062F">
        <w:rPr>
          <w:rFonts w:ascii="Times New Roman" w:eastAsia="Times New Roman" w:hAnsi="Times New Roman" w:cs="Times New Roman"/>
          <w:color w:val="000000"/>
          <w:sz w:val="22"/>
          <w:szCs w:val="22"/>
          <w:lang w:val="fr-FR"/>
        </w:rPr>
        <w:t xml:space="preserve"> </w:t>
      </w:r>
      <w:r w:rsidRPr="005D062F">
        <w:rPr>
          <w:rFonts w:ascii="Times New Roman" w:hAnsi="Times New Roman" w:cs="Times New Roman"/>
          <w:color w:val="000000" w:themeColor="text1"/>
          <w:sz w:val="22"/>
          <w:szCs w:val="22"/>
          <w:lang w:val="fr-FR"/>
        </w:rPr>
        <w:t>banques de développement</w:t>
      </w:r>
      <w:r w:rsidR="00B870D5" w:rsidRPr="005D062F">
        <w:rPr>
          <w:rFonts w:ascii="Times New Roman" w:hAnsi="Times New Roman" w:cs="Times New Roman"/>
          <w:color w:val="000000" w:themeColor="text1"/>
          <w:sz w:val="22"/>
          <w:szCs w:val="22"/>
          <w:lang w:val="fr-FR"/>
        </w:rPr>
        <w:t xml:space="preserve">, </w:t>
      </w:r>
      <w:r w:rsidRPr="005D062F">
        <w:rPr>
          <w:rFonts w:ascii="Times New Roman" w:hAnsi="Times New Roman" w:cs="Times New Roman"/>
          <w:color w:val="000000" w:themeColor="text1"/>
          <w:sz w:val="22"/>
          <w:szCs w:val="22"/>
          <w:lang w:val="fr-FR"/>
        </w:rPr>
        <w:t>du secteur privé, du monde universitaire, a</w:t>
      </w:r>
      <w:r w:rsidR="00D8592F" w:rsidRPr="005D062F">
        <w:rPr>
          <w:rFonts w:ascii="Times New Roman" w:hAnsi="Times New Roman" w:cs="Times New Roman"/>
          <w:color w:val="000000" w:themeColor="text1"/>
          <w:sz w:val="22"/>
          <w:szCs w:val="22"/>
          <w:lang w:val="fr-FR"/>
        </w:rPr>
        <w:t>insi que d’</w:t>
      </w:r>
      <w:r w:rsidR="00D81009" w:rsidRPr="005D062F">
        <w:rPr>
          <w:rFonts w:ascii="Times New Roman" w:hAnsi="Times New Roman" w:cs="Times New Roman"/>
          <w:color w:val="000000" w:themeColor="text1"/>
          <w:sz w:val="22"/>
          <w:szCs w:val="22"/>
          <w:lang w:val="fr-FR"/>
        </w:rPr>
        <w:t xml:space="preserve">autres partenaires. </w:t>
      </w:r>
      <w:r w:rsidRPr="005D062F">
        <w:rPr>
          <w:rFonts w:ascii="Times New Roman" w:hAnsi="Times New Roman" w:cs="Times New Roman"/>
          <w:color w:val="000000" w:themeColor="text1"/>
          <w:sz w:val="22"/>
          <w:szCs w:val="22"/>
          <w:lang w:val="fr-FR"/>
        </w:rPr>
        <w:t>La missi</w:t>
      </w:r>
      <w:r w:rsidR="00933951" w:rsidRPr="005D062F">
        <w:rPr>
          <w:rFonts w:ascii="Times New Roman" w:hAnsi="Times New Roman" w:cs="Times New Roman"/>
          <w:color w:val="000000" w:themeColor="text1"/>
          <w:sz w:val="22"/>
          <w:szCs w:val="22"/>
          <w:lang w:val="fr-FR"/>
        </w:rPr>
        <w:t>on principale du SEDI, telle qu’</w:t>
      </w:r>
      <w:r w:rsidRPr="005D062F">
        <w:rPr>
          <w:rFonts w:ascii="Times New Roman" w:hAnsi="Times New Roman" w:cs="Times New Roman"/>
          <w:color w:val="000000" w:themeColor="text1"/>
          <w:sz w:val="22"/>
          <w:szCs w:val="22"/>
          <w:lang w:val="fr-FR"/>
        </w:rPr>
        <w:t xml:space="preserve">elle </w:t>
      </w:r>
      <w:r w:rsidR="00933951" w:rsidRPr="005D062F">
        <w:rPr>
          <w:rFonts w:ascii="Times New Roman" w:hAnsi="Times New Roman" w:cs="Times New Roman"/>
          <w:color w:val="000000" w:themeColor="text1"/>
          <w:sz w:val="22"/>
          <w:szCs w:val="22"/>
          <w:lang w:val="fr-FR"/>
        </w:rPr>
        <w:t>est définie dans la Charte de l’</w:t>
      </w:r>
      <w:r w:rsidRPr="005D062F">
        <w:rPr>
          <w:rFonts w:ascii="Times New Roman" w:hAnsi="Times New Roman" w:cs="Times New Roman"/>
          <w:color w:val="000000" w:themeColor="text1"/>
          <w:sz w:val="22"/>
          <w:szCs w:val="22"/>
          <w:lang w:val="fr-FR"/>
        </w:rPr>
        <w:t>OEA</w:t>
      </w:r>
      <w:r w:rsidR="00B870D5" w:rsidRPr="005D062F">
        <w:rPr>
          <w:rFonts w:ascii="Times New Roman" w:hAnsi="Times New Roman" w:cs="Times New Roman"/>
          <w:color w:val="000000" w:themeColor="text1"/>
          <w:sz w:val="22"/>
          <w:szCs w:val="22"/>
          <w:lang w:val="fr-FR"/>
        </w:rPr>
        <w:t xml:space="preserve">, </w:t>
      </w:r>
      <w:r w:rsidRPr="005D062F">
        <w:rPr>
          <w:rFonts w:ascii="Times New Roman" w:hAnsi="Times New Roman" w:cs="Times New Roman"/>
          <w:color w:val="000000" w:themeColor="text1"/>
          <w:sz w:val="22"/>
          <w:szCs w:val="22"/>
          <w:lang w:val="fr-FR"/>
        </w:rPr>
        <w:t>est de servir d</w:t>
      </w:r>
      <w:r w:rsidR="004B3BF6" w:rsidRPr="005D062F">
        <w:rPr>
          <w:rFonts w:ascii="Times New Roman" w:hAnsi="Times New Roman" w:cs="Times New Roman"/>
          <w:color w:val="000000" w:themeColor="text1"/>
          <w:sz w:val="22"/>
          <w:szCs w:val="22"/>
          <w:lang w:val="fr-FR"/>
        </w:rPr>
        <w:t>e vecteur</w:t>
      </w:r>
      <w:r w:rsidR="00D81009" w:rsidRPr="005D062F">
        <w:rPr>
          <w:rFonts w:ascii="Times New Roman" w:hAnsi="Times New Roman" w:cs="Times New Roman"/>
          <w:color w:val="000000" w:themeColor="text1"/>
          <w:sz w:val="22"/>
          <w:szCs w:val="22"/>
          <w:lang w:val="fr-FR"/>
        </w:rPr>
        <w:t xml:space="preserve"> </w:t>
      </w:r>
      <w:r w:rsidRPr="005D062F">
        <w:rPr>
          <w:rFonts w:ascii="Times New Roman" w:hAnsi="Times New Roman" w:cs="Times New Roman"/>
          <w:color w:val="000000" w:themeColor="text1"/>
          <w:sz w:val="22"/>
          <w:szCs w:val="22"/>
          <w:lang w:val="fr-FR"/>
        </w:rPr>
        <w:t>pour les coopérations triangulaire, Sud-Sud et horizontale. Par le biais de ses nombreux réseaux, programmes et projets, le SEDI/OEA favorise le transfert des connaissances, des leçons apprises et des bonnes pratiques entre les États membres, qui dirigent et gèrent leur propre développement socio-économique</w:t>
      </w:r>
      <w:r w:rsidR="00B870D5" w:rsidRPr="005D062F">
        <w:rPr>
          <w:rFonts w:ascii="Times New Roman" w:hAnsi="Times New Roman" w:cs="Times New Roman"/>
          <w:color w:val="000000" w:themeColor="text1"/>
          <w:sz w:val="22"/>
          <w:szCs w:val="22"/>
          <w:lang w:val="fr-FR"/>
        </w:rPr>
        <w:t>.</w:t>
      </w:r>
    </w:p>
    <w:p w14:paraId="5ADE01E8" w14:textId="11FC1739" w:rsidR="00047D85" w:rsidRPr="005D062F" w:rsidRDefault="00047D85" w:rsidP="00723DAD">
      <w:pPr>
        <w:rPr>
          <w:rFonts w:ascii="Times New Roman" w:hAnsi="Times New Roman" w:cs="Times New Roman"/>
          <w:color w:val="000000" w:themeColor="text1"/>
          <w:sz w:val="22"/>
          <w:szCs w:val="22"/>
          <w:lang w:val="fr-FR"/>
        </w:rPr>
      </w:pPr>
    </w:p>
    <w:p w14:paraId="2B4D877D" w14:textId="3606604B" w:rsidR="004859C2" w:rsidRPr="005D062F" w:rsidRDefault="00B2550C" w:rsidP="00CB030B">
      <w:pPr>
        <w:pStyle w:val="PlainText"/>
        <w:ind w:firstLine="720"/>
        <w:jc w:val="both"/>
        <w:rPr>
          <w:rFonts w:ascii="Times New Roman" w:hAnsi="Times New Roman" w:cs="Times New Roman"/>
          <w:color w:val="000000" w:themeColor="text1"/>
          <w:sz w:val="22"/>
          <w:szCs w:val="22"/>
          <w:lang w:val="fr-FR"/>
        </w:rPr>
      </w:pPr>
      <w:r w:rsidRPr="005D062F">
        <w:rPr>
          <w:rFonts w:ascii="Times New Roman" w:hAnsi="Times New Roman" w:cs="Times New Roman"/>
          <w:color w:val="000000" w:themeColor="text1"/>
          <w:sz w:val="22"/>
          <w:szCs w:val="22"/>
          <w:lang w:val="fr-FR"/>
        </w:rPr>
        <w:t xml:space="preserve">Cependant, le </w:t>
      </w:r>
      <w:r w:rsidR="00047D85" w:rsidRPr="005D062F">
        <w:rPr>
          <w:rFonts w:ascii="Times New Roman" w:hAnsi="Times New Roman" w:cs="Times New Roman"/>
          <w:color w:val="000000" w:themeColor="text1"/>
          <w:sz w:val="22"/>
          <w:szCs w:val="22"/>
          <w:lang w:val="fr-FR"/>
        </w:rPr>
        <w:t xml:space="preserve">SEDI </w:t>
      </w:r>
      <w:r w:rsidR="00D869A2" w:rsidRPr="005D062F">
        <w:rPr>
          <w:rFonts w:ascii="Times New Roman" w:hAnsi="Times New Roman" w:cs="Times New Roman"/>
          <w:color w:val="000000" w:themeColor="text1"/>
          <w:sz w:val="22"/>
          <w:szCs w:val="22"/>
          <w:lang w:val="fr-FR"/>
        </w:rPr>
        <w:t>reste</w:t>
      </w:r>
      <w:r w:rsidRPr="005D062F">
        <w:rPr>
          <w:rFonts w:ascii="Times New Roman" w:hAnsi="Times New Roman" w:cs="Times New Roman"/>
          <w:color w:val="000000" w:themeColor="text1"/>
          <w:sz w:val="22"/>
          <w:szCs w:val="22"/>
          <w:lang w:val="fr-FR"/>
        </w:rPr>
        <w:t xml:space="preserve"> parfaitement conscient des </w:t>
      </w:r>
      <w:r w:rsidRPr="005D062F">
        <w:rPr>
          <w:rFonts w:ascii="Times New Roman" w:eastAsia="Times New Roman" w:hAnsi="Times New Roman" w:cs="Times New Roman"/>
          <w:color w:val="000000"/>
          <w:sz w:val="22"/>
          <w:szCs w:val="22"/>
          <w:lang w:val="fr-FR"/>
        </w:rPr>
        <w:t>problèmes auxquels la région est confrontée</w:t>
      </w:r>
      <w:r w:rsidR="00047D85" w:rsidRPr="005D062F">
        <w:rPr>
          <w:rFonts w:ascii="Times New Roman" w:hAnsi="Times New Roman" w:cs="Times New Roman"/>
          <w:color w:val="000000" w:themeColor="text1"/>
          <w:sz w:val="22"/>
          <w:szCs w:val="22"/>
          <w:lang w:val="fr-FR"/>
        </w:rPr>
        <w:t xml:space="preserve">. </w:t>
      </w:r>
      <w:r w:rsidR="00D869A2" w:rsidRPr="005D062F">
        <w:rPr>
          <w:rFonts w:ascii="Times New Roman" w:hAnsi="Times New Roman" w:cs="Times New Roman"/>
          <w:color w:val="000000" w:themeColor="text1"/>
          <w:sz w:val="22"/>
          <w:szCs w:val="22"/>
          <w:lang w:val="fr-FR"/>
        </w:rPr>
        <w:t xml:space="preserve">Selon un rapport de l’Organisation internationale du travail publié en </w:t>
      </w:r>
      <w:r w:rsidR="00047D85" w:rsidRPr="005D062F">
        <w:rPr>
          <w:rFonts w:ascii="Times New Roman" w:hAnsi="Times New Roman" w:cs="Times New Roman"/>
          <w:color w:val="000000" w:themeColor="text1"/>
          <w:sz w:val="22"/>
          <w:szCs w:val="22"/>
          <w:lang w:val="fr-FR"/>
        </w:rPr>
        <w:t>2020</w:t>
      </w:r>
      <w:r w:rsidR="00933951" w:rsidRPr="005D062F">
        <w:rPr>
          <w:rFonts w:ascii="Times New Roman" w:hAnsi="Times New Roman" w:cs="Times New Roman"/>
          <w:color w:val="000000" w:themeColor="text1"/>
          <w:sz w:val="22"/>
          <w:szCs w:val="22"/>
          <w:lang w:val="fr-FR"/>
        </w:rPr>
        <w:t>, l’</w:t>
      </w:r>
      <w:r w:rsidR="00D869A2" w:rsidRPr="005D062F">
        <w:rPr>
          <w:rFonts w:ascii="Times New Roman" w:hAnsi="Times New Roman" w:cs="Times New Roman"/>
          <w:color w:val="000000" w:themeColor="text1"/>
          <w:sz w:val="22"/>
          <w:szCs w:val="22"/>
          <w:lang w:val="fr-FR"/>
        </w:rPr>
        <w:t>Amérique latine et les Caraïbes</w:t>
      </w:r>
      <w:r w:rsidR="00047D85" w:rsidRPr="005D062F">
        <w:rPr>
          <w:rFonts w:ascii="Times New Roman" w:hAnsi="Times New Roman" w:cs="Times New Roman"/>
          <w:color w:val="000000" w:themeColor="text1"/>
          <w:sz w:val="22"/>
          <w:szCs w:val="22"/>
          <w:lang w:val="fr-FR"/>
        </w:rPr>
        <w:t xml:space="preserve"> </w:t>
      </w:r>
      <w:r w:rsidR="00D869A2" w:rsidRPr="005D062F">
        <w:rPr>
          <w:rFonts w:ascii="Times New Roman" w:hAnsi="Times New Roman" w:cs="Times New Roman"/>
          <w:color w:val="000000" w:themeColor="text1"/>
          <w:sz w:val="22"/>
          <w:szCs w:val="22"/>
          <w:lang w:val="fr-FR"/>
        </w:rPr>
        <w:t xml:space="preserve">ont été la région du monde la plus touchée en termes </w:t>
      </w:r>
      <w:r w:rsidR="00DC0D51" w:rsidRPr="005D062F">
        <w:rPr>
          <w:rFonts w:ascii="Times New Roman" w:hAnsi="Times New Roman" w:cs="Times New Roman"/>
          <w:color w:val="000000" w:themeColor="text1"/>
          <w:sz w:val="22"/>
          <w:szCs w:val="22"/>
          <w:lang w:val="fr-FR"/>
        </w:rPr>
        <w:t xml:space="preserve">de perte </w:t>
      </w:r>
      <w:r w:rsidR="00D869A2" w:rsidRPr="005D062F">
        <w:rPr>
          <w:rFonts w:ascii="Times New Roman" w:hAnsi="Times New Roman" w:cs="Times New Roman"/>
          <w:color w:val="000000" w:themeColor="text1"/>
          <w:sz w:val="22"/>
          <w:szCs w:val="22"/>
          <w:lang w:val="fr-FR"/>
        </w:rPr>
        <w:t>d’</w:t>
      </w:r>
      <w:r w:rsidR="00DC0D51" w:rsidRPr="005D062F">
        <w:rPr>
          <w:rFonts w:ascii="Times New Roman" w:hAnsi="Times New Roman" w:cs="Times New Roman"/>
          <w:color w:val="000000" w:themeColor="text1"/>
          <w:sz w:val="22"/>
          <w:szCs w:val="22"/>
          <w:lang w:val="fr-FR"/>
        </w:rPr>
        <w:t xml:space="preserve">heures travaillées et de réduction des revenus du travail en raison de la Covid-19. Le Fonds monétaire international (FMI) a également conclu dans une étude similaire </w:t>
      </w:r>
      <w:r w:rsidR="009603E2" w:rsidRPr="005D062F">
        <w:rPr>
          <w:rFonts w:ascii="Times New Roman" w:hAnsi="Times New Roman" w:cs="Times New Roman"/>
          <w:color w:val="000000" w:themeColor="text1"/>
          <w:sz w:val="22"/>
          <w:szCs w:val="22"/>
          <w:lang w:val="fr-FR"/>
        </w:rPr>
        <w:t>que la contraction [économique</w:t>
      </w:r>
      <w:r w:rsidR="00047D85" w:rsidRPr="005D062F">
        <w:rPr>
          <w:rFonts w:ascii="Times New Roman" w:hAnsi="Times New Roman" w:cs="Times New Roman"/>
          <w:color w:val="000000" w:themeColor="text1"/>
          <w:sz w:val="22"/>
          <w:szCs w:val="22"/>
          <w:lang w:val="fr-FR"/>
        </w:rPr>
        <w:t xml:space="preserve">] </w:t>
      </w:r>
      <w:r w:rsidR="009603E2" w:rsidRPr="005D062F">
        <w:rPr>
          <w:rFonts w:ascii="Times New Roman" w:hAnsi="Times New Roman" w:cs="Times New Roman"/>
          <w:color w:val="000000" w:themeColor="text1"/>
          <w:sz w:val="22"/>
          <w:szCs w:val="22"/>
          <w:lang w:val="fr-FR"/>
        </w:rPr>
        <w:t>de 7 % enregistrée en</w:t>
      </w:r>
      <w:r w:rsidR="00047D85" w:rsidRPr="005D062F">
        <w:rPr>
          <w:rFonts w:ascii="Times New Roman" w:hAnsi="Times New Roman" w:cs="Times New Roman"/>
          <w:color w:val="000000" w:themeColor="text1"/>
          <w:sz w:val="22"/>
          <w:szCs w:val="22"/>
          <w:lang w:val="fr-FR"/>
        </w:rPr>
        <w:t xml:space="preserve"> 2020</w:t>
      </w:r>
      <w:r w:rsidR="009603E2" w:rsidRPr="005D062F">
        <w:rPr>
          <w:rFonts w:ascii="Times New Roman" w:hAnsi="Times New Roman" w:cs="Times New Roman"/>
          <w:color w:val="000000" w:themeColor="text1"/>
          <w:sz w:val="22"/>
          <w:szCs w:val="22"/>
          <w:lang w:val="fr-FR"/>
        </w:rPr>
        <w:t xml:space="preserve"> dans la région était la plus forte au monde. Dans ce contexte, </w:t>
      </w:r>
      <w:r w:rsidR="00AB4C70" w:rsidRPr="005D062F">
        <w:rPr>
          <w:rFonts w:ascii="Times New Roman" w:hAnsi="Times New Roman" w:cs="Times New Roman"/>
          <w:color w:val="000000" w:themeColor="text1"/>
          <w:sz w:val="22"/>
          <w:szCs w:val="22"/>
          <w:lang w:val="fr-FR"/>
        </w:rPr>
        <w:t xml:space="preserve">en 2021, </w:t>
      </w:r>
      <w:r w:rsidR="009603E2" w:rsidRPr="005D062F">
        <w:rPr>
          <w:rFonts w:ascii="Times New Roman" w:hAnsi="Times New Roman" w:cs="Times New Roman"/>
          <w:color w:val="000000" w:themeColor="text1"/>
          <w:sz w:val="22"/>
          <w:szCs w:val="22"/>
          <w:lang w:val="fr-FR"/>
        </w:rPr>
        <w:t xml:space="preserve">face aux obstacles sans précédent, le </w:t>
      </w:r>
      <w:r w:rsidR="004859C2" w:rsidRPr="005D062F">
        <w:rPr>
          <w:rFonts w:ascii="Times New Roman" w:hAnsi="Times New Roman" w:cs="Times New Roman"/>
          <w:color w:val="000000" w:themeColor="text1"/>
          <w:sz w:val="22"/>
          <w:szCs w:val="22"/>
          <w:lang w:val="fr-FR"/>
        </w:rPr>
        <w:t xml:space="preserve">SEDI </w:t>
      </w:r>
      <w:r w:rsidR="009603E2" w:rsidRPr="005D062F">
        <w:rPr>
          <w:rFonts w:ascii="Times New Roman" w:hAnsi="Times New Roman" w:cs="Times New Roman"/>
          <w:color w:val="000000" w:themeColor="text1"/>
          <w:sz w:val="22"/>
          <w:szCs w:val="22"/>
          <w:lang w:val="fr-FR"/>
        </w:rPr>
        <w:t>a procédé à la refonte de ses programmes existants pour répondre aux nouveaux besoins des États membres</w:t>
      </w:r>
      <w:r w:rsidR="004859C2" w:rsidRPr="005D062F">
        <w:rPr>
          <w:rFonts w:ascii="Times New Roman" w:hAnsi="Times New Roman" w:cs="Times New Roman"/>
          <w:color w:val="000000" w:themeColor="text1"/>
          <w:sz w:val="22"/>
          <w:szCs w:val="22"/>
          <w:lang w:val="fr-FR"/>
        </w:rPr>
        <w:t>.</w:t>
      </w:r>
      <w:r w:rsidR="00BC32BD" w:rsidRPr="005D062F">
        <w:rPr>
          <w:rFonts w:ascii="Times New Roman" w:hAnsi="Times New Roman" w:cs="Times New Roman"/>
          <w:color w:val="000000" w:themeColor="text1"/>
          <w:sz w:val="22"/>
          <w:szCs w:val="22"/>
          <w:lang w:val="fr-FR"/>
        </w:rPr>
        <w:t xml:space="preserve"> </w:t>
      </w:r>
      <w:r w:rsidR="00AB4C70" w:rsidRPr="005D062F">
        <w:rPr>
          <w:rFonts w:ascii="Times New Roman" w:hAnsi="Times New Roman" w:cs="Times New Roman"/>
          <w:color w:val="000000" w:themeColor="text1"/>
          <w:sz w:val="22"/>
          <w:szCs w:val="22"/>
          <w:lang w:val="fr-FR"/>
        </w:rPr>
        <w:t xml:space="preserve">Cette année, malgré sa transition prudente vers un environnement post-pandémie, la région est restée </w:t>
      </w:r>
      <w:r w:rsidR="00BC32BD" w:rsidRPr="005D062F">
        <w:rPr>
          <w:rFonts w:ascii="Times New Roman" w:hAnsi="Times New Roman" w:cs="Times New Roman"/>
          <w:color w:val="000000" w:themeColor="text1"/>
          <w:sz w:val="22"/>
          <w:szCs w:val="22"/>
          <w:lang w:val="fr-FR"/>
        </w:rPr>
        <w:t>vuln</w:t>
      </w:r>
      <w:r w:rsidR="00AB4C70" w:rsidRPr="005D062F">
        <w:rPr>
          <w:rFonts w:ascii="Times New Roman" w:hAnsi="Times New Roman" w:cs="Times New Roman"/>
          <w:color w:val="000000" w:themeColor="text1"/>
          <w:sz w:val="22"/>
          <w:szCs w:val="22"/>
          <w:lang w:val="fr-FR"/>
        </w:rPr>
        <w:t>é</w:t>
      </w:r>
      <w:r w:rsidR="00BC32BD" w:rsidRPr="005D062F">
        <w:rPr>
          <w:rFonts w:ascii="Times New Roman" w:hAnsi="Times New Roman" w:cs="Times New Roman"/>
          <w:color w:val="000000" w:themeColor="text1"/>
          <w:sz w:val="22"/>
          <w:szCs w:val="22"/>
          <w:lang w:val="fr-FR"/>
        </w:rPr>
        <w:t>rable</w:t>
      </w:r>
      <w:r w:rsidR="00AB4C70" w:rsidRPr="005D062F">
        <w:rPr>
          <w:rFonts w:ascii="Times New Roman" w:hAnsi="Times New Roman" w:cs="Times New Roman"/>
          <w:color w:val="000000" w:themeColor="text1"/>
          <w:sz w:val="22"/>
          <w:szCs w:val="22"/>
          <w:lang w:val="fr-FR"/>
        </w:rPr>
        <w:t xml:space="preserve"> à la conjoncture mondiale difficile</w:t>
      </w:r>
      <w:r w:rsidR="00BC32BD" w:rsidRPr="005D062F">
        <w:rPr>
          <w:rFonts w:ascii="Times New Roman" w:hAnsi="Times New Roman" w:cs="Times New Roman"/>
          <w:color w:val="000000" w:themeColor="text1"/>
          <w:sz w:val="22"/>
          <w:szCs w:val="22"/>
          <w:lang w:val="fr-FR"/>
        </w:rPr>
        <w:t xml:space="preserve">. </w:t>
      </w:r>
      <w:r w:rsidR="00AB4C70" w:rsidRPr="005D062F">
        <w:rPr>
          <w:rFonts w:ascii="Times New Roman" w:hAnsi="Times New Roman" w:cs="Times New Roman"/>
          <w:color w:val="000000" w:themeColor="text1"/>
          <w:sz w:val="22"/>
          <w:szCs w:val="22"/>
          <w:lang w:val="fr-FR"/>
        </w:rPr>
        <w:t xml:space="preserve">D’après les prévisions d’un rapport de la Banque mondiale publié en juin 2022, </w:t>
      </w:r>
      <w:r w:rsidR="006C6EE4" w:rsidRPr="005D062F">
        <w:rPr>
          <w:rFonts w:ascii="Times New Roman" w:hAnsi="Times New Roman" w:cs="Times New Roman"/>
          <w:color w:val="000000" w:themeColor="text1"/>
          <w:sz w:val="22"/>
          <w:szCs w:val="22"/>
          <w:lang w:val="fr-FR"/>
        </w:rPr>
        <w:t>la croissance économique en Amérique latine et dans les Caraïbes devrait ralentir fortement à 2,</w:t>
      </w:r>
      <w:r w:rsidR="00BC32BD" w:rsidRPr="005D062F">
        <w:rPr>
          <w:rFonts w:ascii="Times New Roman" w:hAnsi="Times New Roman" w:cs="Times New Roman"/>
          <w:color w:val="000000" w:themeColor="text1"/>
          <w:sz w:val="22"/>
          <w:szCs w:val="22"/>
          <w:lang w:val="fr-FR"/>
        </w:rPr>
        <w:t>5</w:t>
      </w:r>
      <w:r w:rsidR="006C6EE4" w:rsidRPr="005D062F">
        <w:rPr>
          <w:rFonts w:ascii="Times New Roman" w:hAnsi="Times New Roman" w:cs="Times New Roman"/>
          <w:color w:val="000000" w:themeColor="text1"/>
          <w:sz w:val="22"/>
          <w:szCs w:val="22"/>
          <w:lang w:val="fr-FR"/>
        </w:rPr>
        <w:t> % pour cette année</w:t>
      </w:r>
      <w:r w:rsidR="00BC32BD" w:rsidRPr="005D062F">
        <w:rPr>
          <w:rFonts w:ascii="Times New Roman" w:hAnsi="Times New Roman" w:cs="Times New Roman"/>
          <w:color w:val="000000" w:themeColor="text1"/>
          <w:sz w:val="22"/>
          <w:szCs w:val="22"/>
          <w:lang w:val="fr-FR"/>
        </w:rPr>
        <w:t xml:space="preserve">, </w:t>
      </w:r>
      <w:r w:rsidR="006C6EE4" w:rsidRPr="005D062F">
        <w:rPr>
          <w:rFonts w:ascii="Times New Roman" w:hAnsi="Times New Roman" w:cs="Times New Roman"/>
          <w:color w:val="000000" w:themeColor="text1"/>
          <w:sz w:val="22"/>
          <w:szCs w:val="22"/>
          <w:lang w:val="fr-FR"/>
        </w:rPr>
        <w:t>après un rebond post-pandémie de 6,7 % en 2021.</w:t>
      </w:r>
    </w:p>
    <w:p w14:paraId="06A0C4D9" w14:textId="60AC5C92" w:rsidR="00BC32BD" w:rsidRPr="005D062F" w:rsidRDefault="00BC32BD" w:rsidP="00CB030B">
      <w:pPr>
        <w:pStyle w:val="PlainText"/>
        <w:jc w:val="both"/>
        <w:rPr>
          <w:rFonts w:ascii="Times New Roman" w:hAnsi="Times New Roman" w:cs="Times New Roman"/>
          <w:color w:val="000000" w:themeColor="text1"/>
          <w:sz w:val="22"/>
          <w:szCs w:val="22"/>
          <w:lang w:val="fr-FR"/>
        </w:rPr>
      </w:pPr>
    </w:p>
    <w:p w14:paraId="6E6245A9" w14:textId="47F15779" w:rsidR="00756B6D" w:rsidRPr="005D062F" w:rsidRDefault="00FC18B1" w:rsidP="00CB030B">
      <w:pPr>
        <w:pStyle w:val="PlainText"/>
        <w:ind w:firstLine="720"/>
        <w:jc w:val="both"/>
        <w:rPr>
          <w:rFonts w:ascii="Times New Roman" w:eastAsia="Cambria" w:hAnsi="Times New Roman" w:cs="Times New Roman"/>
          <w:color w:val="000000" w:themeColor="text1"/>
          <w:sz w:val="22"/>
          <w:szCs w:val="22"/>
          <w:lang w:val="fr-FR"/>
        </w:rPr>
      </w:pPr>
      <w:r w:rsidRPr="005D062F">
        <w:rPr>
          <w:rFonts w:ascii="Times New Roman" w:hAnsi="Times New Roman" w:cs="Times New Roman"/>
          <w:color w:val="000000" w:themeColor="text1"/>
          <w:sz w:val="22"/>
          <w:szCs w:val="22"/>
          <w:lang w:val="fr-FR"/>
        </w:rPr>
        <w:t>É</w:t>
      </w:r>
      <w:r w:rsidR="005B3541" w:rsidRPr="005D062F">
        <w:rPr>
          <w:rFonts w:ascii="Times New Roman" w:hAnsi="Times New Roman" w:cs="Times New Roman"/>
          <w:color w:val="000000" w:themeColor="text1"/>
          <w:sz w:val="22"/>
          <w:szCs w:val="22"/>
          <w:lang w:val="fr-FR"/>
        </w:rPr>
        <w:t>lément important des efforts de refonte déployés par le SEDI en 2021</w:t>
      </w:r>
      <w:r w:rsidRPr="005D062F">
        <w:rPr>
          <w:rFonts w:ascii="Times New Roman" w:hAnsi="Times New Roman" w:cs="Times New Roman"/>
          <w:color w:val="000000" w:themeColor="text1"/>
          <w:sz w:val="22"/>
          <w:szCs w:val="22"/>
          <w:lang w:val="fr-FR"/>
        </w:rPr>
        <w:t xml:space="preserve">, </w:t>
      </w:r>
      <w:r w:rsidR="005B3541" w:rsidRPr="005D062F">
        <w:rPr>
          <w:rFonts w:ascii="Times New Roman" w:hAnsi="Times New Roman" w:cs="Times New Roman"/>
          <w:color w:val="000000" w:themeColor="text1"/>
          <w:sz w:val="22"/>
          <w:szCs w:val="22"/>
          <w:lang w:val="fr-FR"/>
        </w:rPr>
        <w:t xml:space="preserve">une </w:t>
      </w:r>
      <w:r w:rsidR="00F81044" w:rsidRPr="005D062F">
        <w:rPr>
          <w:rFonts w:ascii="Times New Roman" w:hAnsi="Times New Roman" w:cs="Times New Roman"/>
          <w:color w:val="000000" w:themeColor="text1"/>
          <w:sz w:val="22"/>
          <w:szCs w:val="22"/>
          <w:lang w:val="fr-FR"/>
        </w:rPr>
        <w:t>approche améliorée tenant compte de la transformation numérique dans le</w:t>
      </w:r>
      <w:r w:rsidRPr="005D062F">
        <w:rPr>
          <w:rFonts w:ascii="Times New Roman" w:hAnsi="Times New Roman" w:cs="Times New Roman"/>
          <w:color w:val="000000" w:themeColor="text1"/>
          <w:sz w:val="22"/>
          <w:szCs w:val="22"/>
          <w:lang w:val="fr-FR"/>
        </w:rPr>
        <w:t xml:space="preserve"> continent américain </w:t>
      </w:r>
      <w:r w:rsidR="00F81044" w:rsidRPr="005D062F">
        <w:rPr>
          <w:rFonts w:ascii="Times New Roman" w:hAnsi="Times New Roman" w:cs="Times New Roman"/>
          <w:color w:val="000000" w:themeColor="text1"/>
          <w:sz w:val="22"/>
          <w:szCs w:val="22"/>
          <w:lang w:val="fr-FR"/>
        </w:rPr>
        <w:t xml:space="preserve">s’est considérablement développée en </w:t>
      </w:r>
      <w:r w:rsidR="003B3FBD" w:rsidRPr="005D062F">
        <w:rPr>
          <w:rFonts w:ascii="Times New Roman" w:hAnsi="Times New Roman" w:cs="Times New Roman"/>
          <w:color w:val="000000" w:themeColor="text1"/>
          <w:sz w:val="22"/>
          <w:szCs w:val="22"/>
          <w:lang w:val="fr-FR"/>
        </w:rPr>
        <w:t xml:space="preserve">2022. </w:t>
      </w:r>
      <w:r w:rsidR="001E32D9" w:rsidRPr="005D062F">
        <w:rPr>
          <w:rFonts w:ascii="Times New Roman" w:hAnsi="Times New Roman" w:cs="Times New Roman"/>
          <w:color w:val="000000" w:themeColor="text1"/>
          <w:sz w:val="22"/>
          <w:szCs w:val="22"/>
          <w:lang w:val="fr-FR"/>
        </w:rPr>
        <w:t>La pandémie a mis en évidence la nécessité d’élargir l’accès numérique (La Banque mondiale constate que quelque 170 </w:t>
      </w:r>
      <w:r w:rsidR="002823A1" w:rsidRPr="005D062F">
        <w:rPr>
          <w:rFonts w:ascii="Times New Roman" w:hAnsi="Times New Roman" w:cs="Times New Roman"/>
          <w:color w:val="000000" w:themeColor="text1"/>
          <w:sz w:val="22"/>
          <w:szCs w:val="22"/>
          <w:lang w:val="fr-FR"/>
        </w:rPr>
        <w:t>million</w:t>
      </w:r>
      <w:r w:rsidR="001E32D9" w:rsidRPr="005D062F">
        <w:rPr>
          <w:rFonts w:ascii="Times New Roman" w:hAnsi="Times New Roman" w:cs="Times New Roman"/>
          <w:color w:val="000000" w:themeColor="text1"/>
          <w:sz w:val="22"/>
          <w:szCs w:val="22"/>
          <w:lang w:val="fr-FR"/>
        </w:rPr>
        <w:t xml:space="preserve">s d’étudiants de la région ont été touchés par la fermeture de leurs établissements) et le </w:t>
      </w:r>
      <w:r w:rsidR="002823A1" w:rsidRPr="005D062F">
        <w:rPr>
          <w:rFonts w:ascii="Times New Roman" w:hAnsi="Times New Roman" w:cs="Times New Roman"/>
          <w:color w:val="000000" w:themeColor="text1"/>
          <w:sz w:val="22"/>
          <w:szCs w:val="22"/>
          <w:lang w:val="fr-FR"/>
        </w:rPr>
        <w:t xml:space="preserve">SEDI </w:t>
      </w:r>
      <w:r w:rsidR="001E32D9" w:rsidRPr="005D062F">
        <w:rPr>
          <w:rFonts w:ascii="Times New Roman" w:hAnsi="Times New Roman" w:cs="Times New Roman"/>
          <w:color w:val="000000" w:themeColor="text1"/>
          <w:sz w:val="22"/>
          <w:szCs w:val="22"/>
          <w:lang w:val="fr-FR"/>
        </w:rPr>
        <w:t>a réagi en accélérant l’adoption, par la région, de</w:t>
      </w:r>
      <w:r w:rsidR="008A6E03" w:rsidRPr="005D062F">
        <w:rPr>
          <w:rFonts w:ascii="Times New Roman" w:hAnsi="Times New Roman" w:cs="Times New Roman"/>
          <w:color w:val="000000" w:themeColor="text1"/>
          <w:sz w:val="22"/>
          <w:szCs w:val="22"/>
          <w:lang w:val="fr-FR"/>
        </w:rPr>
        <w:t>s</w:t>
      </w:r>
      <w:r w:rsidR="001E32D9" w:rsidRPr="005D062F">
        <w:rPr>
          <w:rFonts w:ascii="Times New Roman" w:hAnsi="Times New Roman" w:cs="Times New Roman"/>
          <w:color w:val="000000" w:themeColor="text1"/>
          <w:sz w:val="22"/>
          <w:szCs w:val="22"/>
          <w:lang w:val="fr-FR"/>
        </w:rPr>
        <w:t xml:space="preserve"> nouvelles technologies et en facilitant son adaptation aux écosystèmes numériques</w:t>
      </w:r>
      <w:r w:rsidR="00756B6D" w:rsidRPr="005D062F">
        <w:rPr>
          <w:rFonts w:ascii="Times New Roman" w:eastAsia="Cambria" w:hAnsi="Times New Roman" w:cs="Times New Roman"/>
          <w:color w:val="000000" w:themeColor="text1"/>
          <w:sz w:val="22"/>
          <w:szCs w:val="22"/>
          <w:lang w:val="fr-FR"/>
        </w:rPr>
        <w:t xml:space="preserve">. </w:t>
      </w:r>
      <w:r w:rsidR="00BF575E" w:rsidRPr="005D062F">
        <w:rPr>
          <w:rFonts w:ascii="Times New Roman" w:eastAsia="Cambria" w:hAnsi="Times New Roman" w:cs="Times New Roman"/>
          <w:color w:val="000000" w:themeColor="text1"/>
          <w:sz w:val="22"/>
          <w:szCs w:val="22"/>
          <w:lang w:val="fr-FR"/>
        </w:rPr>
        <w:t xml:space="preserve">La </w:t>
      </w:r>
      <w:r w:rsidR="00756B6D" w:rsidRPr="005D062F">
        <w:rPr>
          <w:rFonts w:ascii="Times New Roman" w:eastAsia="Cambria" w:hAnsi="Times New Roman" w:cs="Times New Roman"/>
          <w:color w:val="000000" w:themeColor="text1"/>
          <w:sz w:val="22"/>
          <w:szCs w:val="22"/>
          <w:lang w:val="fr-FR"/>
        </w:rPr>
        <w:t>transformation</w:t>
      </w:r>
      <w:r w:rsidR="00BF575E" w:rsidRPr="005D062F">
        <w:rPr>
          <w:rFonts w:ascii="Times New Roman" w:eastAsia="Cambria" w:hAnsi="Times New Roman" w:cs="Times New Roman"/>
          <w:color w:val="000000" w:themeColor="text1"/>
          <w:sz w:val="22"/>
          <w:szCs w:val="22"/>
          <w:lang w:val="fr-FR"/>
        </w:rPr>
        <w:t xml:space="preserve"> numérique en cours, qui se caractérise par des programmes inclusifs visant à faire participer les petites entreprises, les femmes et les populations autochtones, engendre des économies plus compétitives et plus résilientes pour le bénéfice des États membres</w:t>
      </w:r>
      <w:r w:rsidR="00756B6D" w:rsidRPr="005D062F">
        <w:rPr>
          <w:rFonts w:ascii="Times New Roman" w:eastAsia="Cambria" w:hAnsi="Times New Roman" w:cs="Times New Roman"/>
          <w:color w:val="000000" w:themeColor="text1"/>
          <w:sz w:val="22"/>
          <w:szCs w:val="22"/>
          <w:lang w:val="fr-FR"/>
        </w:rPr>
        <w:t xml:space="preserve">. </w:t>
      </w:r>
      <w:r w:rsidR="00BF575E" w:rsidRPr="005D062F">
        <w:rPr>
          <w:rFonts w:ascii="Times New Roman" w:eastAsia="Cambria" w:hAnsi="Times New Roman" w:cs="Times New Roman"/>
          <w:color w:val="000000" w:themeColor="text1"/>
          <w:sz w:val="22"/>
          <w:szCs w:val="22"/>
          <w:lang w:val="fr-FR"/>
        </w:rPr>
        <w:t xml:space="preserve">De plus, les activités de renforcement des capacités et les partenariats clés avec des institutions de premier plan </w:t>
      </w:r>
      <w:r w:rsidR="00B054C0" w:rsidRPr="005D062F">
        <w:rPr>
          <w:rFonts w:ascii="Times New Roman" w:eastAsia="Cambria" w:hAnsi="Times New Roman" w:cs="Times New Roman"/>
          <w:color w:val="000000" w:themeColor="text1"/>
          <w:sz w:val="22"/>
          <w:szCs w:val="22"/>
          <w:lang w:val="fr-FR"/>
        </w:rPr>
        <w:t>visent à accroître les efforts en matière de partage des connaissances dans toute la région</w:t>
      </w:r>
      <w:r w:rsidR="00756B6D" w:rsidRPr="005D062F">
        <w:rPr>
          <w:rFonts w:ascii="Times New Roman" w:eastAsia="Cambria" w:hAnsi="Times New Roman" w:cs="Times New Roman"/>
          <w:color w:val="000000" w:themeColor="text1"/>
          <w:sz w:val="22"/>
          <w:szCs w:val="22"/>
          <w:lang w:val="fr-FR"/>
        </w:rPr>
        <w:t xml:space="preserve">. </w:t>
      </w:r>
      <w:r w:rsidR="00B054C0" w:rsidRPr="005D062F">
        <w:rPr>
          <w:rFonts w:ascii="Times New Roman" w:eastAsia="Cambria" w:hAnsi="Times New Roman" w:cs="Times New Roman"/>
          <w:color w:val="000000" w:themeColor="text1"/>
          <w:sz w:val="22"/>
          <w:szCs w:val="22"/>
          <w:lang w:val="fr-FR"/>
        </w:rPr>
        <w:t xml:space="preserve">Un plus grand partage des connaissances, en particulier avec les populations </w:t>
      </w:r>
      <w:r w:rsidR="00756B6D" w:rsidRPr="005D062F">
        <w:rPr>
          <w:rFonts w:ascii="Times New Roman" w:eastAsia="Cambria" w:hAnsi="Times New Roman" w:cs="Times New Roman"/>
          <w:color w:val="000000" w:themeColor="text1"/>
          <w:sz w:val="22"/>
          <w:szCs w:val="22"/>
          <w:lang w:val="fr-FR"/>
        </w:rPr>
        <w:t>tradition</w:t>
      </w:r>
      <w:r w:rsidR="00B054C0" w:rsidRPr="005D062F">
        <w:rPr>
          <w:rFonts w:ascii="Times New Roman" w:eastAsia="Cambria" w:hAnsi="Times New Roman" w:cs="Times New Roman"/>
          <w:color w:val="000000" w:themeColor="text1"/>
          <w:sz w:val="22"/>
          <w:szCs w:val="22"/>
          <w:lang w:val="fr-FR"/>
        </w:rPr>
        <w:t>nellement mal desservies, permet aux États membres de promouvoir plus efficacement un développement économique durable et inclusif</w:t>
      </w:r>
      <w:r w:rsidR="00D12E1A" w:rsidRPr="005D062F">
        <w:rPr>
          <w:rFonts w:ascii="Times New Roman" w:eastAsia="Cambria" w:hAnsi="Times New Roman" w:cs="Times New Roman"/>
          <w:color w:val="000000" w:themeColor="text1"/>
          <w:sz w:val="22"/>
          <w:szCs w:val="22"/>
          <w:lang w:val="fr-FR"/>
        </w:rPr>
        <w:t>.</w:t>
      </w:r>
    </w:p>
    <w:p w14:paraId="56EEE7C8" w14:textId="77777777" w:rsidR="00756B6D" w:rsidRPr="005D062F" w:rsidRDefault="00756B6D" w:rsidP="00723DAD">
      <w:pPr>
        <w:rPr>
          <w:rFonts w:ascii="Times New Roman" w:hAnsi="Times New Roman" w:cs="Times New Roman"/>
          <w:color w:val="000000" w:themeColor="text1"/>
          <w:sz w:val="22"/>
          <w:szCs w:val="22"/>
          <w:lang w:val="fr-FR"/>
        </w:rPr>
      </w:pPr>
    </w:p>
    <w:p w14:paraId="5F250EA5" w14:textId="15AD5173" w:rsidR="00BF49B3" w:rsidRPr="005D062F" w:rsidRDefault="00F81044" w:rsidP="00CB030B">
      <w:pPr>
        <w:pStyle w:val="PlainText"/>
        <w:ind w:firstLine="720"/>
        <w:jc w:val="both"/>
        <w:rPr>
          <w:rFonts w:ascii="Times New Roman" w:hAnsi="Times New Roman" w:cs="Times New Roman"/>
          <w:bCs/>
          <w:sz w:val="22"/>
          <w:szCs w:val="22"/>
          <w:lang w:val="fr-FR"/>
        </w:rPr>
      </w:pPr>
      <w:r w:rsidRPr="005D062F">
        <w:rPr>
          <w:rFonts w:ascii="Times New Roman" w:hAnsi="Times New Roman" w:cs="Times New Roman"/>
          <w:color w:val="000000" w:themeColor="text1"/>
          <w:sz w:val="22"/>
          <w:szCs w:val="22"/>
          <w:lang w:val="fr-FR"/>
        </w:rPr>
        <w:t>E</w:t>
      </w:r>
      <w:r w:rsidR="0067583B" w:rsidRPr="005D062F">
        <w:rPr>
          <w:rFonts w:ascii="Times New Roman" w:hAnsi="Times New Roman" w:cs="Times New Roman"/>
          <w:color w:val="000000" w:themeColor="text1"/>
          <w:sz w:val="22"/>
          <w:szCs w:val="22"/>
          <w:lang w:val="fr-FR"/>
        </w:rPr>
        <w:t xml:space="preserve">n 2022, </w:t>
      </w:r>
      <w:r w:rsidRPr="005D062F">
        <w:rPr>
          <w:rFonts w:ascii="Times New Roman" w:hAnsi="Times New Roman" w:cs="Times New Roman"/>
          <w:color w:val="000000" w:themeColor="text1"/>
          <w:sz w:val="22"/>
          <w:szCs w:val="22"/>
          <w:lang w:val="fr-FR"/>
        </w:rPr>
        <w:t xml:space="preserve">le </w:t>
      </w:r>
      <w:r w:rsidR="0067583B" w:rsidRPr="005D062F">
        <w:rPr>
          <w:rFonts w:ascii="Times New Roman" w:hAnsi="Times New Roman" w:cs="Times New Roman"/>
          <w:color w:val="000000" w:themeColor="text1"/>
          <w:sz w:val="22"/>
          <w:szCs w:val="22"/>
          <w:lang w:val="fr-FR"/>
        </w:rPr>
        <w:t xml:space="preserve">SEDI </w:t>
      </w:r>
      <w:r w:rsidR="008127F7" w:rsidRPr="005D062F">
        <w:rPr>
          <w:rFonts w:ascii="Times New Roman" w:hAnsi="Times New Roman" w:cs="Times New Roman"/>
          <w:color w:val="000000" w:themeColor="text1"/>
          <w:sz w:val="22"/>
          <w:szCs w:val="22"/>
          <w:lang w:val="fr-FR"/>
        </w:rPr>
        <w:t>a attiré une attention renouvelé</w:t>
      </w:r>
      <w:r w:rsidR="00C16994" w:rsidRPr="005D062F">
        <w:rPr>
          <w:rFonts w:ascii="Times New Roman" w:hAnsi="Times New Roman" w:cs="Times New Roman"/>
          <w:color w:val="000000" w:themeColor="text1"/>
          <w:sz w:val="22"/>
          <w:szCs w:val="22"/>
          <w:lang w:val="fr-FR"/>
        </w:rPr>
        <w:t>e</w:t>
      </w:r>
      <w:r w:rsidR="008127F7" w:rsidRPr="005D062F">
        <w:rPr>
          <w:rFonts w:ascii="Times New Roman" w:hAnsi="Times New Roman" w:cs="Times New Roman"/>
          <w:color w:val="000000" w:themeColor="text1"/>
          <w:sz w:val="22"/>
          <w:szCs w:val="22"/>
          <w:lang w:val="fr-FR"/>
        </w:rPr>
        <w:t xml:space="preserve"> sur la résilience environnementale tout en continuant d’assurer les programmes essentiels afin de renforcer la </w:t>
      </w:r>
      <w:r w:rsidR="00197942" w:rsidRPr="005D062F">
        <w:rPr>
          <w:rFonts w:ascii="Times New Roman" w:hAnsi="Times New Roman" w:cs="Times New Roman"/>
          <w:color w:val="000000" w:themeColor="text1"/>
          <w:sz w:val="22"/>
          <w:szCs w:val="22"/>
          <w:lang w:val="fr-FR"/>
        </w:rPr>
        <w:t>durabilité au sein des États membres</w:t>
      </w:r>
      <w:r w:rsidR="0067583B" w:rsidRPr="005D062F">
        <w:rPr>
          <w:rFonts w:ascii="Times New Roman" w:hAnsi="Times New Roman" w:cs="Times New Roman"/>
          <w:bCs/>
          <w:sz w:val="22"/>
          <w:szCs w:val="22"/>
          <w:lang w:val="fr-FR"/>
        </w:rPr>
        <w:t>.</w:t>
      </w:r>
      <w:r w:rsidR="00BF49B3" w:rsidRPr="005D062F">
        <w:rPr>
          <w:rFonts w:ascii="Times New Roman" w:hAnsi="Times New Roman" w:cs="Times New Roman"/>
          <w:bCs/>
          <w:sz w:val="22"/>
          <w:szCs w:val="22"/>
          <w:lang w:val="fr-FR"/>
        </w:rPr>
        <w:t xml:space="preserve"> </w:t>
      </w:r>
      <w:r w:rsidR="00197942" w:rsidRPr="005D062F">
        <w:rPr>
          <w:rFonts w:ascii="Times New Roman" w:hAnsi="Times New Roman" w:cs="Times New Roman"/>
          <w:bCs/>
          <w:sz w:val="22"/>
          <w:szCs w:val="22"/>
          <w:lang w:val="fr-FR"/>
        </w:rPr>
        <w:t xml:space="preserve">La menace imminente de catastrophes, qu’elles soient liées au climat ou à d’autres facteurs, replace en particulier </w:t>
      </w:r>
      <w:r w:rsidR="00C16994" w:rsidRPr="005D062F">
        <w:rPr>
          <w:rFonts w:ascii="Times New Roman" w:hAnsi="Times New Roman" w:cs="Times New Roman"/>
          <w:bCs/>
          <w:sz w:val="22"/>
          <w:szCs w:val="22"/>
          <w:lang w:val="fr-FR"/>
        </w:rPr>
        <w:t xml:space="preserve">ce domaine prioritaire </w:t>
      </w:r>
      <w:r w:rsidR="00197942" w:rsidRPr="005D062F">
        <w:rPr>
          <w:rFonts w:ascii="Times New Roman" w:hAnsi="Times New Roman" w:cs="Times New Roman"/>
          <w:bCs/>
          <w:sz w:val="22"/>
          <w:szCs w:val="22"/>
          <w:lang w:val="fr-FR"/>
        </w:rPr>
        <w:t>dans un contexte plus large </w:t>
      </w:r>
      <w:r w:rsidR="00BF49B3" w:rsidRPr="005D062F">
        <w:rPr>
          <w:rFonts w:ascii="Times New Roman" w:hAnsi="Times New Roman" w:cs="Times New Roman"/>
          <w:bCs/>
          <w:sz w:val="22"/>
          <w:szCs w:val="22"/>
          <w:lang w:val="fr-FR"/>
        </w:rPr>
        <w:t xml:space="preserve">; </w:t>
      </w:r>
      <w:r w:rsidR="00197942" w:rsidRPr="005D062F">
        <w:rPr>
          <w:rFonts w:ascii="Times New Roman" w:hAnsi="Times New Roman" w:cs="Times New Roman"/>
          <w:bCs/>
          <w:sz w:val="22"/>
          <w:szCs w:val="22"/>
          <w:lang w:val="fr-FR"/>
        </w:rPr>
        <w:t>Selon les estimations de la Banque mondiale, la région a perdu, au cours des deux dernières décennies, l’équivalent de 1,7 % du PIB d’une année en raison des catastrophes clim</w:t>
      </w:r>
      <w:r w:rsidR="00A56E61" w:rsidRPr="005D062F">
        <w:rPr>
          <w:rFonts w:ascii="Times New Roman" w:hAnsi="Times New Roman" w:cs="Times New Roman"/>
          <w:bCs/>
          <w:sz w:val="22"/>
          <w:szCs w:val="22"/>
          <w:lang w:val="fr-FR"/>
        </w:rPr>
        <w:t xml:space="preserve">atiques. Des projets tels que le projet « Renforcement de la résilience face aux catastrophes dans les petites entreprises touristiques des Caraïbes » revêtent donc une </w:t>
      </w:r>
      <w:r w:rsidR="00385C63" w:rsidRPr="005D062F">
        <w:rPr>
          <w:rFonts w:ascii="Times New Roman" w:hAnsi="Times New Roman" w:cs="Times New Roman"/>
          <w:bCs/>
          <w:sz w:val="22"/>
          <w:szCs w:val="22"/>
          <w:lang w:val="fr-FR"/>
        </w:rPr>
        <w:t>importance</w:t>
      </w:r>
      <w:r w:rsidR="00A56E61" w:rsidRPr="005D062F">
        <w:rPr>
          <w:rFonts w:ascii="Times New Roman" w:hAnsi="Times New Roman" w:cs="Times New Roman"/>
          <w:bCs/>
          <w:sz w:val="22"/>
          <w:szCs w:val="22"/>
          <w:lang w:val="fr-FR"/>
        </w:rPr>
        <w:t xml:space="preserve"> capitale, représentant ainsi une pierre angulaire du programme du SEDI en matière de durabilité</w:t>
      </w:r>
      <w:r w:rsidR="00385C63" w:rsidRPr="005D062F">
        <w:rPr>
          <w:rFonts w:ascii="Times New Roman" w:hAnsi="Times New Roman" w:cs="Times New Roman"/>
          <w:bCs/>
          <w:sz w:val="22"/>
          <w:szCs w:val="22"/>
          <w:lang w:val="fr-FR"/>
        </w:rPr>
        <w:t xml:space="preserve">. </w:t>
      </w:r>
    </w:p>
    <w:p w14:paraId="3ECB128D" w14:textId="0F9386A3" w:rsidR="00344D52" w:rsidRPr="005D062F" w:rsidRDefault="00344D52" w:rsidP="00723DAD">
      <w:pPr>
        <w:rPr>
          <w:rFonts w:ascii="Times New Roman" w:hAnsi="Times New Roman" w:cs="Times New Roman"/>
          <w:bCs/>
          <w:i/>
          <w:iCs/>
          <w:sz w:val="22"/>
          <w:szCs w:val="22"/>
          <w:lang w:val="fr-FR"/>
        </w:rPr>
      </w:pPr>
    </w:p>
    <w:p w14:paraId="115D3CA8" w14:textId="4DAD0C4E" w:rsidR="00B31F3D" w:rsidRPr="005D062F" w:rsidRDefault="00A56E61" w:rsidP="00CB030B">
      <w:pPr>
        <w:pStyle w:val="PlainText"/>
        <w:ind w:firstLine="720"/>
        <w:jc w:val="both"/>
        <w:rPr>
          <w:rFonts w:ascii="Times New Roman" w:hAnsi="Times New Roman" w:cs="Times New Roman"/>
          <w:bCs/>
          <w:sz w:val="22"/>
          <w:szCs w:val="22"/>
          <w:lang w:val="fr-FR"/>
        </w:rPr>
      </w:pPr>
      <w:r w:rsidRPr="005D062F">
        <w:rPr>
          <w:rFonts w:ascii="Times New Roman" w:hAnsi="Times New Roman" w:cs="Times New Roman"/>
          <w:bCs/>
          <w:sz w:val="22"/>
          <w:szCs w:val="22"/>
          <w:lang w:val="fr-FR"/>
        </w:rPr>
        <w:t xml:space="preserve">La </w:t>
      </w:r>
      <w:r w:rsidR="00A861CF" w:rsidRPr="005D062F">
        <w:rPr>
          <w:rFonts w:ascii="Times New Roman" w:hAnsi="Times New Roman" w:cs="Times New Roman"/>
          <w:bCs/>
          <w:sz w:val="22"/>
          <w:szCs w:val="22"/>
          <w:lang w:val="fr-FR"/>
        </w:rPr>
        <w:t xml:space="preserve">pandémie de </w:t>
      </w:r>
      <w:r w:rsidR="002F38B8" w:rsidRPr="005D062F">
        <w:rPr>
          <w:rFonts w:ascii="Times New Roman" w:hAnsi="Times New Roman" w:cs="Times New Roman"/>
          <w:bCs/>
          <w:sz w:val="22"/>
          <w:szCs w:val="22"/>
          <w:lang w:val="fr-FR"/>
        </w:rPr>
        <w:t xml:space="preserve">Covid-19 </w:t>
      </w:r>
      <w:r w:rsidRPr="005D062F">
        <w:rPr>
          <w:rFonts w:ascii="Times New Roman" w:hAnsi="Times New Roman" w:cs="Times New Roman"/>
          <w:bCs/>
          <w:sz w:val="22"/>
          <w:szCs w:val="22"/>
          <w:lang w:val="fr-FR"/>
        </w:rPr>
        <w:t xml:space="preserve">a aggravé les écarts </w:t>
      </w:r>
      <w:r w:rsidR="007315B0" w:rsidRPr="005D062F">
        <w:rPr>
          <w:rFonts w:ascii="Times New Roman" w:hAnsi="Times New Roman" w:cs="Times New Roman"/>
          <w:bCs/>
          <w:sz w:val="22"/>
          <w:szCs w:val="22"/>
          <w:lang w:val="fr-FR"/>
        </w:rPr>
        <w:t>qui existaient déjà dans l’accès à une éducation de qualité et la disponibilité d’emplois décents dans le continent américain</w:t>
      </w:r>
      <w:r w:rsidR="002F38B8" w:rsidRPr="005D062F">
        <w:rPr>
          <w:rFonts w:ascii="Times New Roman" w:hAnsi="Times New Roman" w:cs="Times New Roman"/>
          <w:bCs/>
          <w:sz w:val="22"/>
          <w:szCs w:val="22"/>
          <w:lang w:val="fr-FR"/>
        </w:rPr>
        <w:t xml:space="preserve">. </w:t>
      </w:r>
      <w:r w:rsidR="007315B0" w:rsidRPr="005D062F">
        <w:rPr>
          <w:rFonts w:ascii="Times New Roman" w:hAnsi="Times New Roman" w:cs="Times New Roman"/>
          <w:bCs/>
          <w:sz w:val="22"/>
          <w:szCs w:val="22"/>
          <w:lang w:val="fr-FR"/>
        </w:rPr>
        <w:t xml:space="preserve">Face à ces deux problèmes, le </w:t>
      </w:r>
      <w:r w:rsidR="002F38B8" w:rsidRPr="005D062F">
        <w:rPr>
          <w:rFonts w:ascii="Times New Roman" w:hAnsi="Times New Roman" w:cs="Times New Roman"/>
          <w:bCs/>
          <w:sz w:val="22"/>
          <w:szCs w:val="22"/>
          <w:lang w:val="fr-FR"/>
        </w:rPr>
        <w:t xml:space="preserve">SEDI </w:t>
      </w:r>
      <w:r w:rsidR="007315B0" w:rsidRPr="005D062F">
        <w:rPr>
          <w:rFonts w:ascii="Times New Roman" w:hAnsi="Times New Roman" w:cs="Times New Roman"/>
          <w:bCs/>
          <w:sz w:val="22"/>
          <w:szCs w:val="22"/>
          <w:lang w:val="fr-FR"/>
        </w:rPr>
        <w:t xml:space="preserve">a réagi en développant les possibilités de renforcement des capacités de ses principales parties prenantes. </w:t>
      </w:r>
      <w:r w:rsidR="00B265B9" w:rsidRPr="005D062F">
        <w:rPr>
          <w:rFonts w:ascii="Times New Roman" w:hAnsi="Times New Roman" w:cs="Times New Roman"/>
          <w:bCs/>
          <w:sz w:val="22"/>
          <w:szCs w:val="22"/>
          <w:lang w:val="fr-FR"/>
        </w:rPr>
        <w:t>Dans s</w:t>
      </w:r>
      <w:r w:rsidR="003503CF" w:rsidRPr="005D062F">
        <w:rPr>
          <w:rFonts w:ascii="Times New Roman" w:hAnsi="Times New Roman" w:cs="Times New Roman"/>
          <w:bCs/>
          <w:sz w:val="22"/>
          <w:szCs w:val="22"/>
          <w:lang w:val="fr-FR"/>
        </w:rPr>
        <w:t>a programmation</w:t>
      </w:r>
      <w:r w:rsidR="00E04E08" w:rsidRPr="005D062F">
        <w:rPr>
          <w:rFonts w:ascii="Times New Roman" w:hAnsi="Times New Roman" w:cs="Times New Roman"/>
          <w:bCs/>
          <w:sz w:val="22"/>
          <w:szCs w:val="22"/>
          <w:lang w:val="fr-FR"/>
        </w:rPr>
        <w:t xml:space="preserve"> </w:t>
      </w:r>
      <w:r w:rsidR="00462353" w:rsidRPr="005D062F">
        <w:rPr>
          <w:rFonts w:ascii="Times New Roman" w:hAnsi="Times New Roman" w:cs="Times New Roman"/>
          <w:bCs/>
          <w:sz w:val="22"/>
          <w:szCs w:val="22"/>
          <w:lang w:val="fr-FR"/>
        </w:rPr>
        <w:t xml:space="preserve">de </w:t>
      </w:r>
      <w:r w:rsidR="00B265B9" w:rsidRPr="005D062F">
        <w:rPr>
          <w:rFonts w:ascii="Times New Roman" w:hAnsi="Times New Roman" w:cs="Times New Roman"/>
          <w:bCs/>
          <w:sz w:val="22"/>
          <w:szCs w:val="22"/>
          <w:lang w:val="fr-FR"/>
        </w:rPr>
        <w:t>2022 figuraient</w:t>
      </w:r>
      <w:r w:rsidR="007315B0" w:rsidRPr="005D062F">
        <w:rPr>
          <w:rFonts w:ascii="Times New Roman" w:hAnsi="Times New Roman" w:cs="Times New Roman"/>
          <w:bCs/>
          <w:sz w:val="22"/>
          <w:szCs w:val="22"/>
          <w:lang w:val="fr-FR"/>
        </w:rPr>
        <w:t xml:space="preserve"> </w:t>
      </w:r>
      <w:r w:rsidR="00B265B9" w:rsidRPr="005D062F">
        <w:rPr>
          <w:rFonts w:ascii="Times New Roman" w:hAnsi="Times New Roman" w:cs="Times New Roman"/>
          <w:bCs/>
          <w:sz w:val="22"/>
          <w:szCs w:val="22"/>
          <w:lang w:val="fr-FR"/>
        </w:rPr>
        <w:t xml:space="preserve">(par le biais de partenaires stratégiques) </w:t>
      </w:r>
      <w:r w:rsidR="007315B0" w:rsidRPr="005D062F">
        <w:rPr>
          <w:rFonts w:ascii="Times New Roman" w:hAnsi="Times New Roman" w:cs="Times New Roman"/>
          <w:bCs/>
          <w:sz w:val="22"/>
          <w:szCs w:val="22"/>
          <w:lang w:val="fr-FR"/>
        </w:rPr>
        <w:t xml:space="preserve">des organismes de formation des enseignants, des ateliers virtuels, des séminaires, des publications, des </w:t>
      </w:r>
      <w:r w:rsidR="00E04E08" w:rsidRPr="005D062F">
        <w:rPr>
          <w:rFonts w:ascii="Times New Roman" w:hAnsi="Times New Roman" w:cs="Times New Roman"/>
          <w:bCs/>
          <w:sz w:val="22"/>
          <w:szCs w:val="22"/>
          <w:lang w:val="fr-FR"/>
        </w:rPr>
        <w:t>accords</w:t>
      </w:r>
      <w:r w:rsidR="007315B0" w:rsidRPr="005D062F">
        <w:rPr>
          <w:rFonts w:ascii="Times New Roman" w:hAnsi="Times New Roman" w:cs="Times New Roman"/>
          <w:bCs/>
          <w:sz w:val="22"/>
          <w:szCs w:val="22"/>
          <w:lang w:val="fr-FR"/>
        </w:rPr>
        <w:t xml:space="preserve">, des programmes de formation et des possibilités </w:t>
      </w:r>
      <w:r w:rsidR="00E04E08" w:rsidRPr="005D062F">
        <w:rPr>
          <w:rFonts w:ascii="Times New Roman" w:hAnsi="Times New Roman" w:cs="Times New Roman"/>
          <w:bCs/>
          <w:sz w:val="22"/>
          <w:szCs w:val="22"/>
          <w:lang w:val="fr-FR"/>
        </w:rPr>
        <w:t xml:space="preserve">de bourses dans le cadre d’une approche holistique visant à promouvoir l’éducation et le </w:t>
      </w:r>
      <w:r w:rsidR="00B31F3D" w:rsidRPr="005D062F">
        <w:rPr>
          <w:rFonts w:ascii="Times New Roman" w:hAnsi="Times New Roman" w:cs="Times New Roman"/>
          <w:bCs/>
          <w:sz w:val="22"/>
          <w:szCs w:val="22"/>
          <w:lang w:val="fr-FR"/>
        </w:rPr>
        <w:t>d</w:t>
      </w:r>
      <w:r w:rsidR="00E04E08" w:rsidRPr="005D062F">
        <w:rPr>
          <w:rFonts w:ascii="Times New Roman" w:hAnsi="Times New Roman" w:cs="Times New Roman"/>
          <w:bCs/>
          <w:sz w:val="22"/>
          <w:szCs w:val="22"/>
          <w:lang w:val="fr-FR"/>
        </w:rPr>
        <w:t>é</w:t>
      </w:r>
      <w:r w:rsidR="00B31F3D" w:rsidRPr="005D062F">
        <w:rPr>
          <w:rFonts w:ascii="Times New Roman" w:hAnsi="Times New Roman" w:cs="Times New Roman"/>
          <w:bCs/>
          <w:sz w:val="22"/>
          <w:szCs w:val="22"/>
          <w:lang w:val="fr-FR"/>
        </w:rPr>
        <w:t>velop</w:t>
      </w:r>
      <w:r w:rsidR="00E04E08" w:rsidRPr="005D062F">
        <w:rPr>
          <w:rFonts w:ascii="Times New Roman" w:hAnsi="Times New Roman" w:cs="Times New Roman"/>
          <w:bCs/>
          <w:sz w:val="22"/>
          <w:szCs w:val="22"/>
          <w:lang w:val="fr-FR"/>
        </w:rPr>
        <w:t>pe</w:t>
      </w:r>
      <w:r w:rsidR="00B31F3D" w:rsidRPr="005D062F">
        <w:rPr>
          <w:rFonts w:ascii="Times New Roman" w:hAnsi="Times New Roman" w:cs="Times New Roman"/>
          <w:bCs/>
          <w:sz w:val="22"/>
          <w:szCs w:val="22"/>
          <w:lang w:val="fr-FR"/>
        </w:rPr>
        <w:t>ment</w:t>
      </w:r>
      <w:r w:rsidR="00E04E08" w:rsidRPr="005D062F">
        <w:rPr>
          <w:rFonts w:ascii="Times New Roman" w:hAnsi="Times New Roman" w:cs="Times New Roman"/>
          <w:bCs/>
          <w:sz w:val="22"/>
          <w:szCs w:val="22"/>
          <w:lang w:val="fr-FR"/>
        </w:rPr>
        <w:t xml:space="preserve"> humain dans les Amé</w:t>
      </w:r>
      <w:r w:rsidR="00B31F3D" w:rsidRPr="005D062F">
        <w:rPr>
          <w:rFonts w:ascii="Times New Roman" w:hAnsi="Times New Roman" w:cs="Times New Roman"/>
          <w:bCs/>
          <w:sz w:val="22"/>
          <w:szCs w:val="22"/>
          <w:lang w:val="fr-FR"/>
        </w:rPr>
        <w:t>ri</w:t>
      </w:r>
      <w:r w:rsidR="00E04E08" w:rsidRPr="005D062F">
        <w:rPr>
          <w:rFonts w:ascii="Times New Roman" w:hAnsi="Times New Roman" w:cs="Times New Roman"/>
          <w:bCs/>
          <w:sz w:val="22"/>
          <w:szCs w:val="22"/>
          <w:lang w:val="fr-FR"/>
        </w:rPr>
        <w:t>ques</w:t>
      </w:r>
      <w:r w:rsidR="00B31F3D" w:rsidRPr="005D062F">
        <w:rPr>
          <w:rFonts w:ascii="Times New Roman" w:hAnsi="Times New Roman" w:cs="Times New Roman"/>
          <w:bCs/>
          <w:sz w:val="22"/>
          <w:szCs w:val="22"/>
          <w:lang w:val="fr-FR"/>
        </w:rPr>
        <w:t xml:space="preserve">. </w:t>
      </w:r>
      <w:r w:rsidR="00A861CF" w:rsidRPr="005D062F">
        <w:rPr>
          <w:rFonts w:ascii="Times New Roman" w:hAnsi="Times New Roman" w:cs="Times New Roman"/>
          <w:bCs/>
          <w:sz w:val="22"/>
          <w:szCs w:val="22"/>
          <w:lang w:val="fr-FR"/>
        </w:rPr>
        <w:t>Afin de favoriser les possibilités d’un emploi décen</w:t>
      </w:r>
      <w:r w:rsidR="00462353" w:rsidRPr="005D062F">
        <w:rPr>
          <w:rFonts w:ascii="Times New Roman" w:hAnsi="Times New Roman" w:cs="Times New Roman"/>
          <w:bCs/>
          <w:sz w:val="22"/>
          <w:szCs w:val="22"/>
          <w:lang w:val="fr-FR"/>
        </w:rPr>
        <w:t>t, digne et productif</w:t>
      </w:r>
      <w:r w:rsidR="00A861CF" w:rsidRPr="005D062F">
        <w:rPr>
          <w:rFonts w:ascii="Times New Roman" w:hAnsi="Times New Roman" w:cs="Times New Roman"/>
          <w:bCs/>
          <w:sz w:val="22"/>
          <w:szCs w:val="22"/>
          <w:lang w:val="fr-FR"/>
        </w:rPr>
        <w:t>,</w:t>
      </w:r>
      <w:r w:rsidR="00462353" w:rsidRPr="005D062F">
        <w:rPr>
          <w:rFonts w:ascii="Times New Roman" w:hAnsi="Times New Roman" w:cs="Times New Roman"/>
          <w:bCs/>
          <w:sz w:val="22"/>
          <w:szCs w:val="22"/>
          <w:lang w:val="fr-FR"/>
        </w:rPr>
        <w:t xml:space="preserve"> </w:t>
      </w:r>
      <w:r w:rsidR="00A861CF" w:rsidRPr="005D062F">
        <w:rPr>
          <w:rFonts w:ascii="Times New Roman" w:hAnsi="Times New Roman" w:cs="Times New Roman"/>
          <w:bCs/>
          <w:sz w:val="22"/>
          <w:szCs w:val="22"/>
          <w:lang w:val="fr-FR"/>
        </w:rPr>
        <w:t>les actions du SEDI ont principalement porté cette dernière année sur l’approfondissement du dialogue social entre les gouvernements, les travailleurs et les employeurs et le renforcement des capacités des ministères du travail de la région</w:t>
      </w:r>
      <w:r w:rsidR="00B31F3D" w:rsidRPr="005D062F">
        <w:rPr>
          <w:rFonts w:ascii="Times New Roman" w:hAnsi="Times New Roman" w:cs="Times New Roman"/>
          <w:sz w:val="22"/>
          <w:szCs w:val="22"/>
          <w:lang w:val="fr-FR"/>
        </w:rPr>
        <w:t xml:space="preserve">. </w:t>
      </w:r>
      <w:r w:rsidR="00A861CF" w:rsidRPr="005D062F">
        <w:rPr>
          <w:rFonts w:ascii="Times New Roman" w:hAnsi="Times New Roman" w:cs="Times New Roman"/>
          <w:sz w:val="22"/>
          <w:szCs w:val="22"/>
          <w:lang w:val="fr-FR"/>
        </w:rPr>
        <w:t>De plus, un certain nombre d’activités de coopération bilatérale ont permi</w:t>
      </w:r>
      <w:r w:rsidR="00462353" w:rsidRPr="005D062F">
        <w:rPr>
          <w:rFonts w:ascii="Times New Roman" w:hAnsi="Times New Roman" w:cs="Times New Roman"/>
          <w:sz w:val="22"/>
          <w:szCs w:val="22"/>
          <w:lang w:val="fr-FR"/>
        </w:rPr>
        <w:t xml:space="preserve">s de fournir à des personnes travaillant habituellement dans l’économie informelle les compétences </w:t>
      </w:r>
      <w:r w:rsidR="00151146" w:rsidRPr="005D062F">
        <w:rPr>
          <w:rFonts w:ascii="Times New Roman" w:hAnsi="Times New Roman" w:cs="Times New Roman"/>
          <w:sz w:val="22"/>
          <w:szCs w:val="22"/>
          <w:lang w:val="fr-FR"/>
        </w:rPr>
        <w:t>nécessaires</w:t>
      </w:r>
      <w:r w:rsidR="00462353" w:rsidRPr="005D062F">
        <w:rPr>
          <w:rFonts w:ascii="Times New Roman" w:hAnsi="Times New Roman" w:cs="Times New Roman"/>
          <w:sz w:val="22"/>
          <w:szCs w:val="22"/>
          <w:lang w:val="fr-FR"/>
        </w:rPr>
        <w:t xml:space="preserve"> pour passer dans l’économie formelle</w:t>
      </w:r>
      <w:r w:rsidR="00B31F3D" w:rsidRPr="005D062F">
        <w:rPr>
          <w:rFonts w:ascii="Times New Roman" w:hAnsi="Times New Roman" w:cs="Times New Roman"/>
          <w:sz w:val="22"/>
          <w:szCs w:val="22"/>
          <w:lang w:val="fr-FR"/>
        </w:rPr>
        <w:t>.</w:t>
      </w:r>
    </w:p>
    <w:p w14:paraId="1575E92C" w14:textId="677F0B82" w:rsidR="00344D52" w:rsidRPr="005D062F" w:rsidRDefault="00344D52" w:rsidP="00723DAD">
      <w:pPr>
        <w:rPr>
          <w:rFonts w:ascii="Times New Roman" w:hAnsi="Times New Roman" w:cs="Times New Roman"/>
          <w:bCs/>
          <w:sz w:val="22"/>
          <w:szCs w:val="22"/>
          <w:lang w:val="fr-FR"/>
        </w:rPr>
      </w:pPr>
    </w:p>
    <w:p w14:paraId="10A62614" w14:textId="495FD478" w:rsidR="00BF49B3" w:rsidRPr="005D062F" w:rsidRDefault="00A147B6" w:rsidP="00CB030B">
      <w:pPr>
        <w:pStyle w:val="PlainText"/>
        <w:ind w:firstLine="720"/>
        <w:jc w:val="both"/>
        <w:rPr>
          <w:rFonts w:ascii="Times New Roman" w:hAnsi="Times New Roman" w:cs="Times New Roman"/>
          <w:bCs/>
          <w:sz w:val="22"/>
          <w:szCs w:val="22"/>
          <w:lang w:val="fr-FR"/>
        </w:rPr>
      </w:pPr>
      <w:r w:rsidRPr="005D062F">
        <w:rPr>
          <w:rFonts w:ascii="Times New Roman" w:hAnsi="Times New Roman" w:cs="Times New Roman"/>
          <w:bCs/>
          <w:sz w:val="22"/>
          <w:szCs w:val="22"/>
          <w:lang w:val="fr-FR"/>
        </w:rPr>
        <w:t xml:space="preserve">Les attributions du </w:t>
      </w:r>
      <w:r w:rsidR="00962984" w:rsidRPr="005D062F">
        <w:rPr>
          <w:rFonts w:ascii="Times New Roman" w:hAnsi="Times New Roman" w:cs="Times New Roman"/>
          <w:bCs/>
          <w:sz w:val="22"/>
          <w:szCs w:val="22"/>
          <w:lang w:val="fr-FR"/>
        </w:rPr>
        <w:t>SEDI</w:t>
      </w:r>
      <w:r w:rsidRPr="005D062F">
        <w:rPr>
          <w:rFonts w:ascii="Times New Roman" w:hAnsi="Times New Roman" w:cs="Times New Roman"/>
          <w:bCs/>
          <w:sz w:val="22"/>
          <w:szCs w:val="22"/>
          <w:lang w:val="fr-FR"/>
        </w:rPr>
        <w:t xml:space="preserve"> sont vastes et très largement tributaires des partenariats et des </w:t>
      </w:r>
      <w:r w:rsidR="00962984" w:rsidRPr="005D062F">
        <w:rPr>
          <w:rFonts w:ascii="Times New Roman" w:hAnsi="Times New Roman" w:cs="Times New Roman"/>
          <w:bCs/>
          <w:sz w:val="22"/>
          <w:szCs w:val="22"/>
          <w:lang w:val="fr-FR"/>
        </w:rPr>
        <w:t xml:space="preserve">contributions </w:t>
      </w:r>
      <w:r w:rsidRPr="005D062F">
        <w:rPr>
          <w:rFonts w:ascii="Times New Roman" w:hAnsi="Times New Roman" w:cs="Times New Roman"/>
          <w:bCs/>
          <w:sz w:val="22"/>
          <w:szCs w:val="22"/>
          <w:lang w:val="fr-FR"/>
        </w:rPr>
        <w:t>volontaires des États membres et d’autres donateu</w:t>
      </w:r>
      <w:r w:rsidR="00962984" w:rsidRPr="005D062F">
        <w:rPr>
          <w:rFonts w:ascii="Times New Roman" w:hAnsi="Times New Roman" w:cs="Times New Roman"/>
          <w:bCs/>
          <w:sz w:val="22"/>
          <w:szCs w:val="22"/>
          <w:lang w:val="fr-FR"/>
        </w:rPr>
        <w:t xml:space="preserve">rs. </w:t>
      </w:r>
      <w:r w:rsidR="00526991" w:rsidRPr="005D062F">
        <w:rPr>
          <w:rFonts w:ascii="Times New Roman" w:hAnsi="Times New Roman" w:cs="Times New Roman"/>
          <w:bCs/>
          <w:sz w:val="22"/>
          <w:szCs w:val="22"/>
          <w:lang w:val="fr-FR"/>
        </w:rPr>
        <w:t xml:space="preserve">Dans un contexte </w:t>
      </w:r>
      <w:r w:rsidR="00554470" w:rsidRPr="005D062F">
        <w:rPr>
          <w:rFonts w:ascii="Times New Roman" w:hAnsi="Times New Roman" w:cs="Times New Roman"/>
          <w:bCs/>
          <w:sz w:val="22"/>
          <w:szCs w:val="22"/>
          <w:lang w:val="fr-FR"/>
        </w:rPr>
        <w:t xml:space="preserve">marqué par </w:t>
      </w:r>
      <w:r w:rsidR="00526991" w:rsidRPr="005D062F">
        <w:rPr>
          <w:rFonts w:ascii="Times New Roman" w:hAnsi="Times New Roman" w:cs="Times New Roman"/>
          <w:bCs/>
          <w:sz w:val="22"/>
          <w:szCs w:val="22"/>
          <w:lang w:val="fr-FR"/>
        </w:rPr>
        <w:t>de</w:t>
      </w:r>
      <w:r w:rsidR="00554470" w:rsidRPr="005D062F">
        <w:rPr>
          <w:rFonts w:ascii="Times New Roman" w:hAnsi="Times New Roman" w:cs="Times New Roman"/>
          <w:bCs/>
          <w:sz w:val="22"/>
          <w:szCs w:val="22"/>
          <w:lang w:val="fr-FR"/>
        </w:rPr>
        <w:t>s priorités et</w:t>
      </w:r>
      <w:r w:rsidR="00526991" w:rsidRPr="005D062F">
        <w:rPr>
          <w:rFonts w:ascii="Times New Roman" w:hAnsi="Times New Roman" w:cs="Times New Roman"/>
          <w:bCs/>
          <w:sz w:val="22"/>
          <w:szCs w:val="22"/>
          <w:lang w:val="fr-FR"/>
        </w:rPr>
        <w:t xml:space="preserve"> programmes </w:t>
      </w:r>
      <w:r w:rsidR="00554470" w:rsidRPr="005D062F">
        <w:rPr>
          <w:rFonts w:ascii="Times New Roman" w:hAnsi="Times New Roman" w:cs="Times New Roman"/>
          <w:bCs/>
          <w:sz w:val="22"/>
          <w:szCs w:val="22"/>
          <w:lang w:val="fr-FR"/>
        </w:rPr>
        <w:t>concurrents, d’une part, et des taux d’inflation anormalement élevés dans le monde entier en 2022, d’autre part, les ressources de développement disponibles pour l’Amérique latine et les Caraïbes ont accusé une baisse</w:t>
      </w:r>
      <w:r w:rsidR="00962984" w:rsidRPr="005D062F">
        <w:rPr>
          <w:rFonts w:ascii="Times New Roman" w:hAnsi="Times New Roman" w:cs="Times New Roman"/>
          <w:bCs/>
          <w:sz w:val="22"/>
          <w:szCs w:val="22"/>
          <w:lang w:val="fr-FR"/>
        </w:rPr>
        <w:t xml:space="preserve">. </w:t>
      </w:r>
      <w:r w:rsidR="006B7FE1" w:rsidRPr="005D062F">
        <w:rPr>
          <w:rFonts w:ascii="Times New Roman" w:hAnsi="Times New Roman" w:cs="Times New Roman"/>
          <w:bCs/>
          <w:sz w:val="22"/>
          <w:szCs w:val="22"/>
          <w:lang w:val="fr-FR"/>
        </w:rPr>
        <w:t xml:space="preserve">Cela a </w:t>
      </w:r>
      <w:r w:rsidR="007B6741" w:rsidRPr="005D062F">
        <w:rPr>
          <w:rFonts w:ascii="Times New Roman" w:hAnsi="Times New Roman" w:cs="Times New Roman"/>
          <w:bCs/>
          <w:sz w:val="22"/>
          <w:szCs w:val="22"/>
          <w:lang w:val="fr-FR"/>
        </w:rPr>
        <w:t>mis à rude épreuve</w:t>
      </w:r>
      <w:r w:rsidR="006B7FE1" w:rsidRPr="005D062F">
        <w:rPr>
          <w:rFonts w:ascii="Times New Roman" w:hAnsi="Times New Roman" w:cs="Times New Roman"/>
          <w:bCs/>
          <w:sz w:val="22"/>
          <w:szCs w:val="22"/>
          <w:lang w:val="fr-FR"/>
        </w:rPr>
        <w:t xml:space="preserve"> la capacité du SEDI à répondre aux nouveaux besoins des États membres et mis en péril une grande partie de ses eff</w:t>
      </w:r>
      <w:r w:rsidR="004707D5" w:rsidRPr="005D062F">
        <w:rPr>
          <w:rFonts w:ascii="Times New Roman" w:hAnsi="Times New Roman" w:cs="Times New Roman"/>
          <w:bCs/>
          <w:sz w:val="22"/>
          <w:szCs w:val="22"/>
          <w:lang w:val="fr-FR"/>
        </w:rPr>
        <w:t>orts en matière de programmes</w:t>
      </w:r>
      <w:r w:rsidR="00C05579" w:rsidRPr="005D062F">
        <w:rPr>
          <w:rFonts w:ascii="Times New Roman" w:hAnsi="Times New Roman" w:cs="Times New Roman"/>
          <w:bCs/>
          <w:sz w:val="22"/>
          <w:szCs w:val="22"/>
          <w:lang w:val="fr-FR"/>
        </w:rPr>
        <w:t xml:space="preserve">. </w:t>
      </w:r>
      <w:r w:rsidR="006B7FE1" w:rsidRPr="005D062F">
        <w:rPr>
          <w:rFonts w:ascii="Times New Roman" w:hAnsi="Times New Roman" w:cs="Times New Roman"/>
          <w:bCs/>
          <w:sz w:val="22"/>
          <w:szCs w:val="22"/>
          <w:lang w:val="fr-FR"/>
        </w:rPr>
        <w:t xml:space="preserve">La </w:t>
      </w:r>
      <w:r w:rsidR="00554470" w:rsidRPr="005D062F">
        <w:rPr>
          <w:rFonts w:ascii="Times New Roman" w:hAnsi="Times New Roman" w:cs="Times New Roman"/>
          <w:bCs/>
          <w:sz w:val="22"/>
          <w:szCs w:val="22"/>
          <w:lang w:val="fr-FR"/>
        </w:rPr>
        <w:t>mobilisation des ressources reste un éléme</w:t>
      </w:r>
      <w:r w:rsidR="006C6986" w:rsidRPr="005D062F">
        <w:rPr>
          <w:rFonts w:ascii="Times New Roman" w:hAnsi="Times New Roman" w:cs="Times New Roman"/>
          <w:bCs/>
          <w:sz w:val="22"/>
          <w:szCs w:val="22"/>
          <w:lang w:val="fr-FR"/>
        </w:rPr>
        <w:t>nt essentiel du travail du SEDI.</w:t>
      </w:r>
      <w:r w:rsidR="00554470" w:rsidRPr="005D062F">
        <w:rPr>
          <w:rFonts w:ascii="Times New Roman" w:hAnsi="Times New Roman" w:cs="Times New Roman"/>
          <w:bCs/>
          <w:sz w:val="22"/>
          <w:szCs w:val="22"/>
          <w:lang w:val="fr-FR"/>
        </w:rPr>
        <w:t xml:space="preserve"> </w:t>
      </w:r>
      <w:r w:rsidR="006C6986" w:rsidRPr="005D062F">
        <w:rPr>
          <w:rFonts w:ascii="Times New Roman" w:hAnsi="Times New Roman" w:cs="Times New Roman"/>
          <w:bCs/>
          <w:sz w:val="22"/>
          <w:szCs w:val="22"/>
          <w:lang w:val="fr-FR"/>
        </w:rPr>
        <w:t>C</w:t>
      </w:r>
      <w:r w:rsidR="00C83F24" w:rsidRPr="005D062F">
        <w:rPr>
          <w:rFonts w:ascii="Times New Roman" w:hAnsi="Times New Roman" w:cs="Times New Roman"/>
          <w:bCs/>
          <w:sz w:val="22"/>
          <w:szCs w:val="22"/>
          <w:lang w:val="fr-FR"/>
        </w:rPr>
        <w:t>’est pourquoi l</w:t>
      </w:r>
      <w:r w:rsidR="006C6986" w:rsidRPr="005D062F">
        <w:rPr>
          <w:rFonts w:ascii="Times New Roman" w:hAnsi="Times New Roman" w:cs="Times New Roman"/>
          <w:bCs/>
          <w:sz w:val="22"/>
          <w:szCs w:val="22"/>
          <w:lang w:val="fr-FR"/>
        </w:rPr>
        <w:t>es partenariats avec des organisation</w:t>
      </w:r>
      <w:r w:rsidR="00554470" w:rsidRPr="005D062F">
        <w:rPr>
          <w:rFonts w:ascii="Times New Roman" w:hAnsi="Times New Roman" w:cs="Times New Roman"/>
          <w:bCs/>
          <w:sz w:val="22"/>
          <w:szCs w:val="22"/>
          <w:lang w:val="fr-FR"/>
        </w:rPr>
        <w:t>s inte</w:t>
      </w:r>
      <w:r w:rsidR="006B7FE1" w:rsidRPr="005D062F">
        <w:rPr>
          <w:rFonts w:ascii="Times New Roman" w:hAnsi="Times New Roman" w:cs="Times New Roman"/>
          <w:bCs/>
          <w:sz w:val="22"/>
          <w:szCs w:val="22"/>
          <w:lang w:val="fr-FR"/>
        </w:rPr>
        <w:t>rnationa</w:t>
      </w:r>
      <w:r w:rsidR="006C6986" w:rsidRPr="005D062F">
        <w:rPr>
          <w:rFonts w:ascii="Times New Roman" w:hAnsi="Times New Roman" w:cs="Times New Roman"/>
          <w:bCs/>
          <w:sz w:val="22"/>
          <w:szCs w:val="22"/>
          <w:lang w:val="fr-FR"/>
        </w:rPr>
        <w:t>les</w:t>
      </w:r>
      <w:r w:rsidR="006B7FE1" w:rsidRPr="005D062F">
        <w:rPr>
          <w:rFonts w:ascii="Times New Roman" w:hAnsi="Times New Roman" w:cs="Times New Roman"/>
          <w:bCs/>
          <w:sz w:val="22"/>
          <w:szCs w:val="22"/>
          <w:lang w:val="fr-FR"/>
        </w:rPr>
        <w:t xml:space="preserve"> et régiona</w:t>
      </w:r>
      <w:r w:rsidR="006C6986" w:rsidRPr="005D062F">
        <w:rPr>
          <w:rFonts w:ascii="Times New Roman" w:hAnsi="Times New Roman" w:cs="Times New Roman"/>
          <w:bCs/>
          <w:sz w:val="22"/>
          <w:szCs w:val="22"/>
          <w:lang w:val="fr-FR"/>
        </w:rPr>
        <w:t>les</w:t>
      </w:r>
      <w:r w:rsidR="006B7FE1" w:rsidRPr="005D062F">
        <w:rPr>
          <w:rFonts w:ascii="Times New Roman" w:hAnsi="Times New Roman" w:cs="Times New Roman"/>
          <w:bCs/>
          <w:sz w:val="22"/>
          <w:szCs w:val="22"/>
          <w:lang w:val="fr-FR"/>
        </w:rPr>
        <w:t xml:space="preserve"> majeur</w:t>
      </w:r>
      <w:r w:rsidR="006C6986" w:rsidRPr="005D062F">
        <w:rPr>
          <w:rFonts w:ascii="Times New Roman" w:hAnsi="Times New Roman" w:cs="Times New Roman"/>
          <w:bCs/>
          <w:sz w:val="22"/>
          <w:szCs w:val="22"/>
          <w:lang w:val="fr-FR"/>
        </w:rPr>
        <w:t>e</w:t>
      </w:r>
      <w:r w:rsidR="006B7FE1" w:rsidRPr="005D062F">
        <w:rPr>
          <w:rFonts w:ascii="Times New Roman" w:hAnsi="Times New Roman" w:cs="Times New Roman"/>
          <w:bCs/>
          <w:sz w:val="22"/>
          <w:szCs w:val="22"/>
          <w:lang w:val="fr-FR"/>
        </w:rPr>
        <w:t xml:space="preserve">s </w:t>
      </w:r>
      <w:r w:rsidR="00B114BC" w:rsidRPr="005D062F">
        <w:rPr>
          <w:rFonts w:ascii="Times New Roman" w:hAnsi="Times New Roman" w:cs="Times New Roman"/>
          <w:bCs/>
          <w:sz w:val="22"/>
          <w:szCs w:val="22"/>
          <w:lang w:val="fr-FR"/>
        </w:rPr>
        <w:t>tel</w:t>
      </w:r>
      <w:r w:rsidR="006C6986" w:rsidRPr="005D062F">
        <w:rPr>
          <w:rFonts w:ascii="Times New Roman" w:hAnsi="Times New Roman" w:cs="Times New Roman"/>
          <w:bCs/>
          <w:sz w:val="22"/>
          <w:szCs w:val="22"/>
          <w:lang w:val="fr-FR"/>
        </w:rPr>
        <w:t>le</w:t>
      </w:r>
      <w:r w:rsidR="006B7FE1" w:rsidRPr="005D062F">
        <w:rPr>
          <w:rFonts w:ascii="Times New Roman" w:hAnsi="Times New Roman" w:cs="Times New Roman"/>
          <w:bCs/>
          <w:sz w:val="22"/>
          <w:szCs w:val="22"/>
          <w:lang w:val="fr-FR"/>
        </w:rPr>
        <w:t>s qu’</w:t>
      </w:r>
      <w:r w:rsidR="00C05579" w:rsidRPr="005D062F">
        <w:rPr>
          <w:rFonts w:ascii="Times New Roman" w:hAnsi="Times New Roman" w:cs="Times New Roman"/>
          <w:bCs/>
          <w:sz w:val="22"/>
          <w:szCs w:val="22"/>
          <w:lang w:val="fr-FR"/>
        </w:rPr>
        <w:t xml:space="preserve">Amazon, </w:t>
      </w:r>
      <w:r w:rsidR="00B114BC" w:rsidRPr="005D062F">
        <w:rPr>
          <w:rFonts w:ascii="Times New Roman" w:hAnsi="Times New Roman" w:cs="Times New Roman"/>
          <w:bCs/>
          <w:sz w:val="22"/>
          <w:szCs w:val="22"/>
          <w:lang w:val="fr-FR"/>
        </w:rPr>
        <w:t>l’Agence allemande de coopération internationale</w:t>
      </w:r>
      <w:r w:rsidR="00C05579" w:rsidRPr="005D062F">
        <w:rPr>
          <w:rFonts w:ascii="Times New Roman" w:hAnsi="Times New Roman" w:cs="Times New Roman"/>
          <w:bCs/>
          <w:sz w:val="22"/>
          <w:szCs w:val="22"/>
          <w:lang w:val="fr-FR"/>
        </w:rPr>
        <w:t xml:space="preserve"> (GIZ), </w:t>
      </w:r>
      <w:r w:rsidR="00EB5440" w:rsidRPr="005D062F">
        <w:rPr>
          <w:rFonts w:ascii="Times New Roman" w:hAnsi="Times New Roman" w:cs="Times New Roman"/>
          <w:bCs/>
          <w:sz w:val="22"/>
          <w:szCs w:val="22"/>
          <w:lang w:val="fr-FR"/>
        </w:rPr>
        <w:t xml:space="preserve">la </w:t>
      </w:r>
      <w:r w:rsidR="00C05579" w:rsidRPr="005D062F">
        <w:rPr>
          <w:rFonts w:ascii="Times New Roman" w:hAnsi="Times New Roman" w:cs="Times New Roman"/>
          <w:bCs/>
          <w:sz w:val="22"/>
          <w:szCs w:val="22"/>
          <w:lang w:val="fr-FR"/>
        </w:rPr>
        <w:t>Ban</w:t>
      </w:r>
      <w:r w:rsidR="00EB5440" w:rsidRPr="005D062F">
        <w:rPr>
          <w:rFonts w:ascii="Times New Roman" w:hAnsi="Times New Roman" w:cs="Times New Roman"/>
          <w:bCs/>
          <w:sz w:val="22"/>
          <w:szCs w:val="22"/>
          <w:lang w:val="fr-FR"/>
        </w:rPr>
        <w:t xml:space="preserve">que de </w:t>
      </w:r>
      <w:r w:rsidR="00B114BC" w:rsidRPr="005D062F">
        <w:rPr>
          <w:rFonts w:ascii="Times New Roman" w:hAnsi="Times New Roman" w:cs="Times New Roman"/>
          <w:bCs/>
          <w:sz w:val="22"/>
          <w:szCs w:val="22"/>
          <w:lang w:val="fr-FR"/>
        </w:rPr>
        <w:t>dé</w:t>
      </w:r>
      <w:r w:rsidR="00EB5440" w:rsidRPr="005D062F">
        <w:rPr>
          <w:rFonts w:ascii="Times New Roman" w:hAnsi="Times New Roman" w:cs="Times New Roman"/>
          <w:bCs/>
          <w:sz w:val="22"/>
          <w:szCs w:val="22"/>
          <w:lang w:val="fr-FR"/>
        </w:rPr>
        <w:t>velop</w:t>
      </w:r>
      <w:r w:rsidR="00B114BC" w:rsidRPr="005D062F">
        <w:rPr>
          <w:rFonts w:ascii="Times New Roman" w:hAnsi="Times New Roman" w:cs="Times New Roman"/>
          <w:bCs/>
          <w:sz w:val="22"/>
          <w:szCs w:val="22"/>
          <w:lang w:val="fr-FR"/>
        </w:rPr>
        <w:t>pe</w:t>
      </w:r>
      <w:r w:rsidR="00EB5440" w:rsidRPr="005D062F">
        <w:rPr>
          <w:rFonts w:ascii="Times New Roman" w:hAnsi="Times New Roman" w:cs="Times New Roman"/>
          <w:bCs/>
          <w:sz w:val="22"/>
          <w:szCs w:val="22"/>
          <w:lang w:val="fr-FR"/>
        </w:rPr>
        <w:t>ment</w:t>
      </w:r>
      <w:r w:rsidR="00C05579" w:rsidRPr="005D062F">
        <w:rPr>
          <w:rFonts w:ascii="Times New Roman" w:hAnsi="Times New Roman" w:cs="Times New Roman"/>
          <w:bCs/>
          <w:sz w:val="22"/>
          <w:szCs w:val="22"/>
          <w:lang w:val="fr-FR"/>
        </w:rPr>
        <w:t xml:space="preserve"> </w:t>
      </w:r>
      <w:r w:rsidR="00B114BC" w:rsidRPr="005D062F">
        <w:rPr>
          <w:rFonts w:ascii="Times New Roman" w:hAnsi="Times New Roman" w:cs="Times New Roman"/>
          <w:bCs/>
          <w:sz w:val="22"/>
          <w:szCs w:val="22"/>
          <w:lang w:val="fr-FR"/>
        </w:rPr>
        <w:t>d’</w:t>
      </w:r>
      <w:r w:rsidR="00C05579" w:rsidRPr="005D062F">
        <w:rPr>
          <w:rFonts w:ascii="Times New Roman" w:hAnsi="Times New Roman" w:cs="Times New Roman"/>
          <w:bCs/>
          <w:sz w:val="22"/>
          <w:szCs w:val="22"/>
          <w:lang w:val="fr-FR"/>
        </w:rPr>
        <w:t>Am</w:t>
      </w:r>
      <w:r w:rsidR="00B114BC" w:rsidRPr="005D062F">
        <w:rPr>
          <w:rFonts w:ascii="Times New Roman" w:hAnsi="Times New Roman" w:cs="Times New Roman"/>
          <w:bCs/>
          <w:sz w:val="22"/>
          <w:szCs w:val="22"/>
          <w:lang w:val="fr-FR"/>
        </w:rPr>
        <w:t>é</w:t>
      </w:r>
      <w:r w:rsidR="00C05579" w:rsidRPr="005D062F">
        <w:rPr>
          <w:rFonts w:ascii="Times New Roman" w:hAnsi="Times New Roman" w:cs="Times New Roman"/>
          <w:bCs/>
          <w:sz w:val="22"/>
          <w:szCs w:val="22"/>
          <w:lang w:val="fr-FR"/>
        </w:rPr>
        <w:t>ri</w:t>
      </w:r>
      <w:r w:rsidR="00B114BC" w:rsidRPr="005D062F">
        <w:rPr>
          <w:rFonts w:ascii="Times New Roman" w:hAnsi="Times New Roman" w:cs="Times New Roman"/>
          <w:bCs/>
          <w:sz w:val="22"/>
          <w:szCs w:val="22"/>
          <w:lang w:val="fr-FR"/>
        </w:rPr>
        <w:t>que latine</w:t>
      </w:r>
      <w:r w:rsidR="00C05579" w:rsidRPr="005D062F">
        <w:rPr>
          <w:rFonts w:ascii="Times New Roman" w:hAnsi="Times New Roman" w:cs="Times New Roman"/>
          <w:bCs/>
          <w:sz w:val="22"/>
          <w:szCs w:val="22"/>
          <w:lang w:val="fr-FR"/>
        </w:rPr>
        <w:t xml:space="preserve"> (CAF), </w:t>
      </w:r>
      <w:r w:rsidR="006B7FE1" w:rsidRPr="005D062F">
        <w:rPr>
          <w:rFonts w:ascii="Times New Roman" w:hAnsi="Times New Roman" w:cs="Times New Roman"/>
          <w:bCs/>
          <w:sz w:val="22"/>
          <w:szCs w:val="22"/>
          <w:lang w:val="fr-FR"/>
        </w:rPr>
        <w:t>la fondation</w:t>
      </w:r>
      <w:r w:rsidR="00C05579" w:rsidRPr="005D062F">
        <w:rPr>
          <w:rFonts w:ascii="Times New Roman" w:hAnsi="Times New Roman" w:cs="Times New Roman"/>
          <w:bCs/>
          <w:sz w:val="22"/>
          <w:szCs w:val="22"/>
          <w:lang w:val="fr-FR"/>
        </w:rPr>
        <w:t xml:space="preserve"> Internet Society, IBM, </w:t>
      </w:r>
      <w:r w:rsidR="006B7FE1" w:rsidRPr="005D062F">
        <w:rPr>
          <w:rFonts w:ascii="Times New Roman" w:hAnsi="Times New Roman" w:cs="Times New Roman"/>
          <w:bCs/>
          <w:sz w:val="22"/>
          <w:szCs w:val="22"/>
          <w:lang w:val="fr-FR"/>
        </w:rPr>
        <w:t>la Banque interaméricaine de développement (BID</w:t>
      </w:r>
      <w:r w:rsidR="00B114BC" w:rsidRPr="005D062F">
        <w:rPr>
          <w:rFonts w:ascii="Times New Roman" w:hAnsi="Times New Roman" w:cs="Times New Roman"/>
          <w:bCs/>
          <w:sz w:val="22"/>
          <w:szCs w:val="22"/>
          <w:lang w:val="fr-FR"/>
        </w:rPr>
        <w:t>)</w:t>
      </w:r>
      <w:r w:rsidR="00C05579" w:rsidRPr="005D062F">
        <w:rPr>
          <w:rFonts w:ascii="Times New Roman" w:hAnsi="Times New Roman" w:cs="Times New Roman"/>
          <w:bCs/>
          <w:sz w:val="22"/>
          <w:szCs w:val="22"/>
          <w:lang w:val="fr-FR"/>
        </w:rPr>
        <w:t xml:space="preserve">, </w:t>
      </w:r>
      <w:r w:rsidR="006B7FE1" w:rsidRPr="005D062F">
        <w:rPr>
          <w:rFonts w:ascii="Times New Roman" w:hAnsi="Times New Roman" w:cs="Times New Roman"/>
          <w:bCs/>
          <w:sz w:val="22"/>
          <w:szCs w:val="22"/>
          <w:lang w:val="fr-FR"/>
        </w:rPr>
        <w:t>la</w:t>
      </w:r>
      <w:r w:rsidR="00C05579" w:rsidRPr="005D062F">
        <w:rPr>
          <w:rFonts w:ascii="Times New Roman" w:hAnsi="Times New Roman" w:cs="Times New Roman"/>
          <w:bCs/>
          <w:sz w:val="22"/>
          <w:szCs w:val="22"/>
          <w:lang w:val="fr-FR"/>
        </w:rPr>
        <w:t xml:space="preserve"> Space Foundation</w:t>
      </w:r>
      <w:r w:rsidR="00B114BC" w:rsidRPr="005D062F">
        <w:rPr>
          <w:rFonts w:ascii="Times New Roman" w:hAnsi="Times New Roman" w:cs="Times New Roman"/>
          <w:bCs/>
          <w:sz w:val="22"/>
          <w:szCs w:val="22"/>
          <w:lang w:val="fr-FR"/>
        </w:rPr>
        <w:t>, la Direction suisse du développement et de la coopération</w:t>
      </w:r>
      <w:r w:rsidR="00C16994" w:rsidRPr="005D062F">
        <w:rPr>
          <w:rFonts w:ascii="Times New Roman" w:hAnsi="Times New Roman" w:cs="Times New Roman"/>
          <w:bCs/>
          <w:sz w:val="22"/>
          <w:szCs w:val="22"/>
          <w:lang w:val="fr-FR"/>
        </w:rPr>
        <w:t xml:space="preserve"> (DDC)</w:t>
      </w:r>
      <w:r w:rsidR="00C05579" w:rsidRPr="005D062F">
        <w:rPr>
          <w:rFonts w:ascii="Times New Roman" w:hAnsi="Times New Roman" w:cs="Times New Roman"/>
          <w:bCs/>
          <w:sz w:val="22"/>
          <w:szCs w:val="22"/>
          <w:lang w:val="fr-FR"/>
        </w:rPr>
        <w:t xml:space="preserve">, WhatsApp (META), </w:t>
      </w:r>
      <w:r w:rsidR="00B114BC" w:rsidRPr="005D062F">
        <w:rPr>
          <w:rFonts w:ascii="Times New Roman" w:hAnsi="Times New Roman" w:cs="Times New Roman"/>
          <w:bCs/>
          <w:sz w:val="22"/>
          <w:szCs w:val="22"/>
          <w:lang w:val="fr-FR"/>
        </w:rPr>
        <w:t>l’Agence des États-Unis pour le développement international (</w:t>
      </w:r>
      <w:r w:rsidR="00C05579" w:rsidRPr="005D062F">
        <w:rPr>
          <w:rFonts w:ascii="Times New Roman" w:hAnsi="Times New Roman" w:cs="Times New Roman"/>
          <w:bCs/>
          <w:sz w:val="22"/>
          <w:szCs w:val="22"/>
          <w:lang w:val="fr-FR"/>
        </w:rPr>
        <w:t>USAID</w:t>
      </w:r>
      <w:r w:rsidR="00B114BC" w:rsidRPr="005D062F">
        <w:rPr>
          <w:rFonts w:ascii="Times New Roman" w:hAnsi="Times New Roman" w:cs="Times New Roman"/>
          <w:bCs/>
          <w:sz w:val="22"/>
          <w:szCs w:val="22"/>
          <w:lang w:val="fr-FR"/>
        </w:rPr>
        <w:t>)</w:t>
      </w:r>
      <w:r w:rsidR="00C05579" w:rsidRPr="005D062F">
        <w:rPr>
          <w:rFonts w:ascii="Times New Roman" w:hAnsi="Times New Roman" w:cs="Times New Roman"/>
          <w:bCs/>
          <w:sz w:val="22"/>
          <w:szCs w:val="22"/>
          <w:lang w:val="fr-FR"/>
        </w:rPr>
        <w:t xml:space="preserve">, </w:t>
      </w:r>
      <w:r w:rsidR="006B7FE1" w:rsidRPr="005D062F">
        <w:rPr>
          <w:rFonts w:ascii="Times New Roman" w:hAnsi="Times New Roman" w:cs="Times New Roman"/>
          <w:bCs/>
          <w:sz w:val="22"/>
          <w:szCs w:val="22"/>
          <w:lang w:val="fr-FR"/>
        </w:rPr>
        <w:t xml:space="preserve">et le </w:t>
      </w:r>
      <w:r w:rsidR="008C1A5B" w:rsidRPr="005D062F">
        <w:rPr>
          <w:rFonts w:ascii="Times New Roman" w:hAnsi="Times New Roman" w:cs="Times New Roman"/>
          <w:bCs/>
          <w:sz w:val="22"/>
          <w:szCs w:val="22"/>
          <w:lang w:val="fr-FR"/>
        </w:rPr>
        <w:t>m</w:t>
      </w:r>
      <w:r w:rsidR="006B7FE1" w:rsidRPr="005D062F">
        <w:rPr>
          <w:rFonts w:ascii="Times New Roman" w:hAnsi="Times New Roman" w:cs="Times New Roman"/>
          <w:bCs/>
          <w:sz w:val="22"/>
          <w:szCs w:val="22"/>
          <w:lang w:val="fr-FR"/>
        </w:rPr>
        <w:t>inistère du commerce des États-Unis</w:t>
      </w:r>
      <w:r w:rsidR="00674601" w:rsidRPr="005D062F">
        <w:rPr>
          <w:rFonts w:ascii="Times New Roman" w:hAnsi="Times New Roman" w:cs="Times New Roman"/>
          <w:bCs/>
          <w:sz w:val="22"/>
          <w:szCs w:val="22"/>
          <w:lang w:val="fr-FR"/>
        </w:rPr>
        <w:t xml:space="preserve">, </w:t>
      </w:r>
      <w:r w:rsidR="006B7FE1" w:rsidRPr="005D062F">
        <w:rPr>
          <w:rFonts w:ascii="Times New Roman" w:hAnsi="Times New Roman" w:cs="Times New Roman"/>
          <w:bCs/>
          <w:sz w:val="22"/>
          <w:szCs w:val="22"/>
          <w:lang w:val="fr-FR"/>
        </w:rPr>
        <w:t>entre autres, et des institutions universitair</w:t>
      </w:r>
      <w:r w:rsidR="00151146" w:rsidRPr="005D062F">
        <w:rPr>
          <w:rFonts w:ascii="Times New Roman" w:hAnsi="Times New Roman" w:cs="Times New Roman"/>
          <w:bCs/>
          <w:sz w:val="22"/>
          <w:szCs w:val="22"/>
          <w:lang w:val="fr-FR"/>
        </w:rPr>
        <w:t>es de premier plan telles que l’</w:t>
      </w:r>
      <w:r w:rsidR="006B7FE1" w:rsidRPr="005D062F">
        <w:rPr>
          <w:rFonts w:ascii="Times New Roman" w:hAnsi="Times New Roman" w:cs="Times New Roman"/>
          <w:bCs/>
          <w:sz w:val="22"/>
          <w:szCs w:val="22"/>
          <w:lang w:val="fr-FR"/>
        </w:rPr>
        <w:t xml:space="preserve">Université </w:t>
      </w:r>
      <w:r w:rsidR="00674601" w:rsidRPr="005D062F">
        <w:rPr>
          <w:rFonts w:ascii="Times New Roman" w:hAnsi="Times New Roman" w:cs="Times New Roman"/>
          <w:bCs/>
          <w:sz w:val="22"/>
          <w:szCs w:val="22"/>
          <w:lang w:val="fr-FR"/>
        </w:rPr>
        <w:t xml:space="preserve">Duke, </w:t>
      </w:r>
      <w:r w:rsidR="00C83F24" w:rsidRPr="005D062F">
        <w:rPr>
          <w:rFonts w:ascii="Times New Roman" w:hAnsi="Times New Roman" w:cs="Times New Roman"/>
          <w:bCs/>
          <w:sz w:val="22"/>
          <w:szCs w:val="22"/>
          <w:lang w:val="fr-FR"/>
        </w:rPr>
        <w:t>l’</w:t>
      </w:r>
      <w:r w:rsidR="00674601" w:rsidRPr="005D062F">
        <w:rPr>
          <w:rFonts w:ascii="Times New Roman" w:hAnsi="Times New Roman" w:cs="Times New Roman"/>
          <w:bCs/>
          <w:sz w:val="22"/>
          <w:szCs w:val="22"/>
          <w:lang w:val="fr-FR"/>
        </w:rPr>
        <w:t>Universit</w:t>
      </w:r>
      <w:r w:rsidR="00C83F24" w:rsidRPr="005D062F">
        <w:rPr>
          <w:rFonts w:ascii="Times New Roman" w:hAnsi="Times New Roman" w:cs="Times New Roman"/>
          <w:bCs/>
          <w:sz w:val="22"/>
          <w:szCs w:val="22"/>
          <w:lang w:val="fr-FR"/>
        </w:rPr>
        <w:t>é de Georgetown</w:t>
      </w:r>
      <w:r w:rsidR="00674601" w:rsidRPr="005D062F">
        <w:rPr>
          <w:rFonts w:ascii="Times New Roman" w:hAnsi="Times New Roman" w:cs="Times New Roman"/>
          <w:bCs/>
          <w:sz w:val="22"/>
          <w:szCs w:val="22"/>
          <w:lang w:val="fr-FR"/>
        </w:rPr>
        <w:t xml:space="preserve">, </w:t>
      </w:r>
      <w:r w:rsidR="00151146" w:rsidRPr="005D062F">
        <w:rPr>
          <w:rFonts w:ascii="Times New Roman" w:hAnsi="Times New Roman" w:cs="Times New Roman"/>
          <w:bCs/>
          <w:sz w:val="22"/>
          <w:szCs w:val="22"/>
          <w:lang w:val="fr-FR"/>
        </w:rPr>
        <w:t>l’</w:t>
      </w:r>
      <w:r w:rsidR="006B7FE1" w:rsidRPr="005D062F">
        <w:rPr>
          <w:rFonts w:ascii="Times New Roman" w:hAnsi="Times New Roman" w:cs="Times New Roman"/>
          <w:bCs/>
          <w:sz w:val="22"/>
          <w:szCs w:val="22"/>
          <w:lang w:val="fr-FR"/>
        </w:rPr>
        <w:t xml:space="preserve">Université </w:t>
      </w:r>
      <w:r w:rsidR="00674601" w:rsidRPr="005D062F">
        <w:rPr>
          <w:rFonts w:ascii="Times New Roman" w:hAnsi="Times New Roman" w:cs="Times New Roman"/>
          <w:bCs/>
          <w:sz w:val="22"/>
          <w:szCs w:val="22"/>
          <w:lang w:val="fr-FR"/>
        </w:rPr>
        <w:t xml:space="preserve">Texas A&amp;M, </w:t>
      </w:r>
      <w:r w:rsidR="00151146" w:rsidRPr="005D062F">
        <w:rPr>
          <w:rFonts w:ascii="Times New Roman" w:hAnsi="Times New Roman" w:cs="Times New Roman"/>
          <w:bCs/>
          <w:sz w:val="22"/>
          <w:szCs w:val="22"/>
          <w:lang w:val="fr-FR"/>
        </w:rPr>
        <w:t>l’</w:t>
      </w:r>
      <w:r w:rsidR="006B7FE1" w:rsidRPr="005D062F">
        <w:rPr>
          <w:rFonts w:ascii="Times New Roman" w:hAnsi="Times New Roman" w:cs="Times New Roman"/>
          <w:bCs/>
          <w:sz w:val="22"/>
          <w:szCs w:val="22"/>
          <w:lang w:val="fr-FR"/>
        </w:rPr>
        <w:t>Université de Californie</w:t>
      </w:r>
      <w:r w:rsidR="00674601" w:rsidRPr="005D062F">
        <w:rPr>
          <w:rFonts w:ascii="Times New Roman" w:hAnsi="Times New Roman" w:cs="Times New Roman"/>
          <w:bCs/>
          <w:sz w:val="22"/>
          <w:szCs w:val="22"/>
          <w:lang w:val="fr-FR"/>
        </w:rPr>
        <w:t xml:space="preserve"> Riverside</w:t>
      </w:r>
      <w:r w:rsidR="008C1A5B" w:rsidRPr="005D062F">
        <w:rPr>
          <w:rFonts w:ascii="Times New Roman" w:hAnsi="Times New Roman" w:cs="Times New Roman"/>
          <w:bCs/>
          <w:sz w:val="22"/>
          <w:szCs w:val="22"/>
          <w:lang w:val="fr-FR"/>
        </w:rPr>
        <w:t xml:space="preserve"> et l’</w:t>
      </w:r>
      <w:r w:rsidR="006B7FE1" w:rsidRPr="005D062F">
        <w:rPr>
          <w:rFonts w:ascii="Times New Roman" w:hAnsi="Times New Roman" w:cs="Times New Roman"/>
          <w:bCs/>
          <w:sz w:val="22"/>
          <w:szCs w:val="22"/>
          <w:lang w:val="fr-FR"/>
        </w:rPr>
        <w:t xml:space="preserve">Université de </w:t>
      </w:r>
      <w:r w:rsidR="00674601" w:rsidRPr="005D062F">
        <w:rPr>
          <w:rFonts w:ascii="Times New Roman" w:hAnsi="Times New Roman" w:cs="Times New Roman"/>
          <w:bCs/>
          <w:sz w:val="22"/>
          <w:szCs w:val="22"/>
          <w:lang w:val="fr-FR"/>
        </w:rPr>
        <w:t>Chicago</w:t>
      </w:r>
      <w:r w:rsidR="00C83F24" w:rsidRPr="005D062F">
        <w:rPr>
          <w:rFonts w:ascii="Times New Roman" w:hAnsi="Times New Roman" w:cs="Times New Roman"/>
          <w:bCs/>
          <w:sz w:val="22"/>
          <w:szCs w:val="22"/>
          <w:lang w:val="fr-FR"/>
        </w:rPr>
        <w:t xml:space="preserve"> sont d’une </w:t>
      </w:r>
      <w:r w:rsidR="00674601" w:rsidRPr="005D062F">
        <w:rPr>
          <w:rFonts w:ascii="Times New Roman" w:hAnsi="Times New Roman" w:cs="Times New Roman"/>
          <w:bCs/>
          <w:sz w:val="22"/>
          <w:szCs w:val="22"/>
          <w:lang w:val="fr-FR"/>
        </w:rPr>
        <w:t>importance</w:t>
      </w:r>
      <w:r w:rsidR="00C83F24" w:rsidRPr="005D062F">
        <w:rPr>
          <w:rFonts w:ascii="Times New Roman" w:hAnsi="Times New Roman" w:cs="Times New Roman"/>
          <w:bCs/>
          <w:sz w:val="22"/>
          <w:szCs w:val="22"/>
          <w:lang w:val="fr-FR"/>
        </w:rPr>
        <w:t xml:space="preserve"> capitale</w:t>
      </w:r>
      <w:r w:rsidR="00674601" w:rsidRPr="005D062F">
        <w:rPr>
          <w:rFonts w:ascii="Times New Roman" w:hAnsi="Times New Roman" w:cs="Times New Roman"/>
          <w:bCs/>
          <w:sz w:val="22"/>
          <w:szCs w:val="22"/>
          <w:lang w:val="fr-FR"/>
        </w:rPr>
        <w:t xml:space="preserve">. </w:t>
      </w:r>
    </w:p>
    <w:p w14:paraId="0CACC6BA" w14:textId="55FBDEA1" w:rsidR="00C05579" w:rsidRPr="005D062F" w:rsidRDefault="00C05579" w:rsidP="00CB030B">
      <w:pPr>
        <w:pStyle w:val="PlainText"/>
        <w:jc w:val="both"/>
        <w:rPr>
          <w:rFonts w:ascii="Times New Roman" w:hAnsi="Times New Roman" w:cs="Times New Roman"/>
          <w:bCs/>
          <w:sz w:val="22"/>
          <w:szCs w:val="22"/>
          <w:lang w:val="fr-FR"/>
        </w:rPr>
      </w:pPr>
    </w:p>
    <w:p w14:paraId="5AC63BDF" w14:textId="13A94EBA" w:rsidR="004859C2" w:rsidRPr="005D062F" w:rsidRDefault="006C6986" w:rsidP="00CB030B">
      <w:pPr>
        <w:ind w:firstLine="720"/>
        <w:jc w:val="both"/>
        <w:rPr>
          <w:rFonts w:ascii="Times New Roman" w:eastAsia="Calibri" w:hAnsi="Times New Roman" w:cs="Times New Roman"/>
          <w:bCs/>
          <w:sz w:val="22"/>
          <w:szCs w:val="22"/>
          <w:lang w:val="fr-FR"/>
        </w:rPr>
      </w:pPr>
      <w:r w:rsidRPr="005D062F">
        <w:rPr>
          <w:rFonts w:ascii="Times New Roman" w:eastAsia="Calibri" w:hAnsi="Times New Roman" w:cs="Times New Roman"/>
          <w:bCs/>
          <w:sz w:val="22"/>
          <w:szCs w:val="22"/>
          <w:lang w:val="fr-FR"/>
        </w:rPr>
        <w:t xml:space="preserve">Le présent rapport présente une vue d’ensemble des programmes, projets et </w:t>
      </w:r>
      <w:r w:rsidR="00674601" w:rsidRPr="005D062F">
        <w:rPr>
          <w:rFonts w:ascii="Times New Roman" w:eastAsia="Calibri" w:hAnsi="Times New Roman" w:cs="Times New Roman"/>
          <w:bCs/>
          <w:sz w:val="22"/>
          <w:szCs w:val="22"/>
          <w:lang w:val="fr-FR"/>
        </w:rPr>
        <w:t xml:space="preserve">initiatives </w:t>
      </w:r>
      <w:r w:rsidRPr="005D062F">
        <w:rPr>
          <w:rFonts w:ascii="Times New Roman" w:eastAsia="Calibri" w:hAnsi="Times New Roman" w:cs="Times New Roman"/>
          <w:bCs/>
          <w:sz w:val="22"/>
          <w:szCs w:val="22"/>
          <w:lang w:val="fr-FR"/>
        </w:rPr>
        <w:t>du SEDI e</w:t>
      </w:r>
      <w:r w:rsidR="00674601" w:rsidRPr="005D062F">
        <w:rPr>
          <w:rFonts w:ascii="Times New Roman" w:eastAsia="Calibri" w:hAnsi="Times New Roman" w:cs="Times New Roman"/>
          <w:bCs/>
          <w:sz w:val="22"/>
          <w:szCs w:val="22"/>
          <w:lang w:val="fr-FR"/>
        </w:rPr>
        <w:t>n 2022.</w:t>
      </w:r>
      <w:r w:rsidRPr="005D062F">
        <w:rPr>
          <w:rFonts w:ascii="Times New Roman" w:eastAsia="Calibri" w:hAnsi="Times New Roman" w:cs="Times New Roman"/>
          <w:bCs/>
          <w:sz w:val="22"/>
          <w:szCs w:val="22"/>
          <w:lang w:val="fr-FR"/>
        </w:rPr>
        <w:t xml:space="preserve"> Il est organisé en fonction des cinq lignes stratégiques </w:t>
      </w:r>
      <w:r w:rsidR="001C2D0F" w:rsidRPr="005D062F">
        <w:rPr>
          <w:rFonts w:ascii="Times New Roman" w:eastAsia="Calibri" w:hAnsi="Times New Roman" w:cs="Times New Roman"/>
          <w:bCs/>
          <w:sz w:val="22"/>
          <w:szCs w:val="22"/>
          <w:lang w:val="fr-FR"/>
        </w:rPr>
        <w:t>et objectifs énoncés dans le pilier développement du Plan stratégique intégral de l’Organisation</w:t>
      </w:r>
      <w:r w:rsidR="00674601" w:rsidRPr="005D062F">
        <w:rPr>
          <w:rFonts w:ascii="Times New Roman" w:eastAsia="Calibri" w:hAnsi="Times New Roman" w:cs="Times New Roman"/>
          <w:bCs/>
          <w:sz w:val="22"/>
          <w:szCs w:val="22"/>
          <w:lang w:val="fr-FR"/>
        </w:rPr>
        <w:t xml:space="preserve">. </w:t>
      </w:r>
    </w:p>
    <w:p w14:paraId="382F7CD0" w14:textId="10D3F66E" w:rsidR="00674601" w:rsidRPr="005D062F" w:rsidRDefault="00674601" w:rsidP="00CB030B">
      <w:pPr>
        <w:jc w:val="both"/>
        <w:rPr>
          <w:rFonts w:ascii="Times New Roman" w:eastAsia="Calibri" w:hAnsi="Times New Roman" w:cs="Times New Roman"/>
          <w:bCs/>
          <w:sz w:val="22"/>
          <w:szCs w:val="22"/>
          <w:lang w:val="fr-FR"/>
        </w:rPr>
      </w:pPr>
    </w:p>
    <w:p w14:paraId="2EA19CA6" w14:textId="61399B8D" w:rsidR="00674601" w:rsidRPr="005D062F" w:rsidRDefault="008A6E03" w:rsidP="00CB030B">
      <w:pPr>
        <w:ind w:firstLine="720"/>
        <w:jc w:val="both"/>
        <w:rPr>
          <w:rFonts w:ascii="Times New Roman" w:eastAsia="Calibri" w:hAnsi="Times New Roman" w:cs="Times New Roman"/>
          <w:b/>
          <w:sz w:val="22"/>
          <w:szCs w:val="22"/>
          <w:lang w:val="fr-FR"/>
        </w:rPr>
      </w:pPr>
      <w:r w:rsidRPr="005D062F">
        <w:rPr>
          <w:rFonts w:ascii="Times New Roman" w:eastAsia="Calibri" w:hAnsi="Times New Roman" w:cs="Times New Roman"/>
          <w:b/>
          <w:sz w:val="22"/>
          <w:szCs w:val="22"/>
          <w:lang w:val="fr-FR"/>
        </w:rPr>
        <w:t xml:space="preserve">Le </w:t>
      </w:r>
      <w:r w:rsidR="00674601" w:rsidRPr="005D062F">
        <w:rPr>
          <w:rFonts w:ascii="Times New Roman" w:eastAsia="Calibri" w:hAnsi="Times New Roman" w:cs="Times New Roman"/>
          <w:b/>
          <w:sz w:val="22"/>
          <w:szCs w:val="22"/>
          <w:lang w:val="fr-FR"/>
        </w:rPr>
        <w:t xml:space="preserve">SEDI </w:t>
      </w:r>
      <w:r w:rsidRPr="005D062F">
        <w:rPr>
          <w:rFonts w:ascii="Times New Roman" w:eastAsia="Calibri" w:hAnsi="Times New Roman" w:cs="Times New Roman"/>
          <w:b/>
          <w:sz w:val="22"/>
          <w:szCs w:val="22"/>
          <w:lang w:val="fr-FR"/>
        </w:rPr>
        <w:t>souhaite remercier tous ses partenaires et parties prenantes pour une nouvelle année d’engagement et de service en faveur du continent américain</w:t>
      </w:r>
      <w:r w:rsidR="00674601" w:rsidRPr="005D062F">
        <w:rPr>
          <w:rFonts w:ascii="Times New Roman" w:eastAsia="Calibri" w:hAnsi="Times New Roman" w:cs="Times New Roman"/>
          <w:b/>
          <w:sz w:val="22"/>
          <w:szCs w:val="22"/>
          <w:lang w:val="fr-FR"/>
        </w:rPr>
        <w:t>.</w:t>
      </w:r>
    </w:p>
    <w:p w14:paraId="628D2C94" w14:textId="30EBF9FE" w:rsidR="004113B4" w:rsidRPr="005D062F" w:rsidRDefault="004113B4" w:rsidP="00CB030B">
      <w:pPr>
        <w:rPr>
          <w:rFonts w:ascii="Times New Roman" w:hAnsi="Times New Roman" w:cs="Times New Roman"/>
          <w:b/>
          <w:bCs/>
          <w:sz w:val="22"/>
          <w:szCs w:val="22"/>
          <w:lang w:val="fr-FR"/>
        </w:rPr>
      </w:pPr>
    </w:p>
    <w:p w14:paraId="67E26255" w14:textId="77777777" w:rsidR="0074320E" w:rsidRPr="005D062F" w:rsidRDefault="0074320E" w:rsidP="00CB030B">
      <w:pPr>
        <w:rPr>
          <w:rFonts w:ascii="Times New Roman" w:hAnsi="Times New Roman" w:cs="Times New Roman"/>
          <w:b/>
          <w:bCs/>
          <w:sz w:val="22"/>
          <w:szCs w:val="22"/>
          <w:lang w:val="fr-FR"/>
        </w:rPr>
      </w:pPr>
    </w:p>
    <w:p w14:paraId="64ADFDA8" w14:textId="36366A01" w:rsidR="0076146E" w:rsidRPr="005D062F" w:rsidRDefault="00EA3A90" w:rsidP="00002E24">
      <w:pPr>
        <w:pStyle w:val="Heading1"/>
        <w:rPr>
          <w:b w:val="0"/>
          <w:bCs w:val="0"/>
        </w:rPr>
      </w:pPr>
      <w:bookmarkStart w:id="3" w:name="_Toc124243397"/>
      <w:r w:rsidRPr="005D062F">
        <w:t>LIGNE STRATÉGIQUE</w:t>
      </w:r>
      <w:r w:rsidR="00ED78BF" w:rsidRPr="005D062F">
        <w:t xml:space="preserve"> 1</w:t>
      </w:r>
      <w:bookmarkEnd w:id="3"/>
    </w:p>
    <w:p w14:paraId="18B9EA6F" w14:textId="1C1EC267" w:rsidR="00ED78BF" w:rsidRPr="005D062F" w:rsidRDefault="00CB28A9" w:rsidP="00CB030B">
      <w:pPr>
        <w:pBdr>
          <w:bottom w:val="single" w:sz="6" w:space="1" w:color="auto"/>
        </w:pBdr>
        <w:rPr>
          <w:rFonts w:ascii="Times New Roman" w:hAnsi="Times New Roman" w:cs="Times New Roman"/>
          <w:sz w:val="22"/>
          <w:szCs w:val="22"/>
          <w:lang w:val="fr-FR"/>
        </w:rPr>
      </w:pPr>
      <w:r w:rsidRPr="005D062F">
        <w:rPr>
          <w:rFonts w:ascii="Times New Roman" w:hAnsi="Times New Roman" w:cs="Times New Roman"/>
          <w:sz w:val="22"/>
          <w:szCs w:val="22"/>
          <w:lang w:val="fr-FR"/>
        </w:rPr>
        <w:t>PROMO</w:t>
      </w:r>
      <w:r w:rsidR="00EA3A90" w:rsidRPr="005D062F">
        <w:rPr>
          <w:rFonts w:ascii="Times New Roman" w:hAnsi="Times New Roman" w:cs="Times New Roman"/>
          <w:sz w:val="22"/>
          <w:szCs w:val="22"/>
          <w:lang w:val="fr-FR"/>
        </w:rPr>
        <w:t>UVOIR DES ÉCONOMIES</w:t>
      </w:r>
      <w:r w:rsidR="008D58EF" w:rsidRPr="005D062F">
        <w:rPr>
          <w:rFonts w:ascii="Times New Roman" w:hAnsi="Times New Roman" w:cs="Times New Roman"/>
          <w:sz w:val="22"/>
          <w:szCs w:val="22"/>
          <w:lang w:val="fr-FR"/>
        </w:rPr>
        <w:t xml:space="preserve"> </w:t>
      </w:r>
      <w:r w:rsidRPr="005D062F">
        <w:rPr>
          <w:rFonts w:ascii="Times New Roman" w:hAnsi="Times New Roman" w:cs="Times New Roman"/>
          <w:sz w:val="22"/>
          <w:szCs w:val="22"/>
          <w:lang w:val="fr-FR"/>
        </w:rPr>
        <w:t>INCLUSIVE</w:t>
      </w:r>
      <w:r w:rsidR="00EA3A90" w:rsidRPr="005D062F">
        <w:rPr>
          <w:rFonts w:ascii="Times New Roman" w:hAnsi="Times New Roman" w:cs="Times New Roman"/>
          <w:sz w:val="22"/>
          <w:szCs w:val="22"/>
          <w:lang w:val="fr-FR"/>
        </w:rPr>
        <w:t>S</w:t>
      </w:r>
      <w:r w:rsidRPr="005D062F">
        <w:rPr>
          <w:rFonts w:ascii="Times New Roman" w:hAnsi="Times New Roman" w:cs="Times New Roman"/>
          <w:sz w:val="22"/>
          <w:szCs w:val="22"/>
          <w:lang w:val="fr-FR"/>
        </w:rPr>
        <w:t xml:space="preserve"> </w:t>
      </w:r>
      <w:r w:rsidR="00EA3A90" w:rsidRPr="005D062F">
        <w:rPr>
          <w:rFonts w:ascii="Times New Roman" w:hAnsi="Times New Roman" w:cs="Times New Roman"/>
          <w:sz w:val="22"/>
          <w:szCs w:val="22"/>
          <w:lang w:val="fr-FR"/>
        </w:rPr>
        <w:t>ET</w:t>
      </w:r>
      <w:r w:rsidRPr="005D062F">
        <w:rPr>
          <w:rFonts w:ascii="Times New Roman" w:hAnsi="Times New Roman" w:cs="Times New Roman"/>
          <w:sz w:val="22"/>
          <w:szCs w:val="22"/>
          <w:lang w:val="fr-FR"/>
        </w:rPr>
        <w:t xml:space="preserve"> COMP</w:t>
      </w:r>
      <w:r w:rsidR="00EA3A90" w:rsidRPr="005D062F">
        <w:rPr>
          <w:rFonts w:ascii="Times New Roman" w:hAnsi="Times New Roman" w:cs="Times New Roman"/>
          <w:sz w:val="22"/>
          <w:szCs w:val="22"/>
          <w:lang w:val="fr-FR"/>
        </w:rPr>
        <w:t>É</w:t>
      </w:r>
      <w:r w:rsidRPr="005D062F">
        <w:rPr>
          <w:rFonts w:ascii="Times New Roman" w:hAnsi="Times New Roman" w:cs="Times New Roman"/>
          <w:sz w:val="22"/>
          <w:szCs w:val="22"/>
          <w:lang w:val="fr-FR"/>
        </w:rPr>
        <w:t>TITIVE</w:t>
      </w:r>
      <w:r w:rsidR="00EA3A90" w:rsidRPr="005D062F">
        <w:rPr>
          <w:rFonts w:ascii="Times New Roman" w:hAnsi="Times New Roman" w:cs="Times New Roman"/>
          <w:sz w:val="22"/>
          <w:szCs w:val="22"/>
          <w:lang w:val="fr-FR"/>
        </w:rPr>
        <w:t>S</w:t>
      </w:r>
    </w:p>
    <w:p w14:paraId="4402405D" w14:textId="256C0EA5" w:rsidR="00ED78BF" w:rsidRPr="005D062F" w:rsidRDefault="00ED78BF" w:rsidP="00CB030B">
      <w:pPr>
        <w:rPr>
          <w:rFonts w:ascii="Times New Roman" w:hAnsi="Times New Roman" w:cs="Times New Roman"/>
          <w:b/>
          <w:bCs/>
          <w:sz w:val="22"/>
          <w:szCs w:val="22"/>
          <w:lang w:val="fr-FR"/>
        </w:rPr>
      </w:pPr>
    </w:p>
    <w:p w14:paraId="711FA741" w14:textId="76F98140" w:rsidR="002E459A" w:rsidRPr="005D062F" w:rsidRDefault="0076146E" w:rsidP="00CB030B">
      <w:pPr>
        <w:ind w:firstLine="720"/>
        <w:contextualSpacing/>
        <w:jc w:val="both"/>
        <w:rPr>
          <w:rFonts w:ascii="Times New Roman" w:eastAsia="Cambria" w:hAnsi="Times New Roman" w:cs="Times New Roman"/>
          <w:color w:val="000000" w:themeColor="text1"/>
          <w:sz w:val="22"/>
          <w:szCs w:val="22"/>
          <w:lang w:val="fr-FR"/>
        </w:rPr>
      </w:pPr>
      <w:r w:rsidRPr="005D062F">
        <w:rPr>
          <w:rFonts w:ascii="Times New Roman" w:eastAsia="Cambria" w:hAnsi="Times New Roman" w:cs="Times New Roman"/>
          <w:color w:val="000000" w:themeColor="text1"/>
          <w:sz w:val="22"/>
          <w:szCs w:val="22"/>
          <w:lang w:val="fr-FR"/>
        </w:rPr>
        <w:t>A</w:t>
      </w:r>
      <w:r w:rsidR="004817D7" w:rsidRPr="005D062F">
        <w:rPr>
          <w:rFonts w:ascii="Times New Roman" w:eastAsia="Cambria" w:hAnsi="Times New Roman" w:cs="Times New Roman"/>
          <w:color w:val="000000" w:themeColor="text1"/>
          <w:sz w:val="22"/>
          <w:szCs w:val="22"/>
          <w:lang w:val="fr-FR"/>
        </w:rPr>
        <w:t xml:space="preserve">lors que </w:t>
      </w:r>
      <w:r w:rsidR="008A6E03" w:rsidRPr="005D062F">
        <w:rPr>
          <w:rFonts w:ascii="Times New Roman" w:eastAsia="Cambria" w:hAnsi="Times New Roman" w:cs="Times New Roman"/>
          <w:color w:val="000000" w:themeColor="text1"/>
          <w:sz w:val="22"/>
          <w:szCs w:val="22"/>
          <w:lang w:val="fr-FR"/>
        </w:rPr>
        <w:t xml:space="preserve">s’opère </w:t>
      </w:r>
      <w:r w:rsidR="004817D7" w:rsidRPr="005D062F">
        <w:rPr>
          <w:rFonts w:ascii="Times New Roman" w:eastAsia="Cambria" w:hAnsi="Times New Roman" w:cs="Times New Roman"/>
          <w:color w:val="000000" w:themeColor="text1"/>
          <w:sz w:val="22"/>
          <w:szCs w:val="22"/>
          <w:lang w:val="fr-FR"/>
        </w:rPr>
        <w:t>la transition de la région vers un environnement post-pandémie</w:t>
      </w:r>
      <w:r w:rsidRPr="005D062F">
        <w:rPr>
          <w:rFonts w:ascii="Times New Roman" w:eastAsia="Cambria" w:hAnsi="Times New Roman" w:cs="Times New Roman"/>
          <w:color w:val="000000" w:themeColor="text1"/>
          <w:sz w:val="22"/>
          <w:szCs w:val="22"/>
          <w:lang w:val="fr-FR"/>
        </w:rPr>
        <w:t xml:space="preserve">, </w:t>
      </w:r>
      <w:r w:rsidR="008A6E03" w:rsidRPr="005D062F">
        <w:rPr>
          <w:rFonts w:ascii="Times New Roman" w:eastAsia="Cambria" w:hAnsi="Times New Roman" w:cs="Times New Roman"/>
          <w:color w:val="000000" w:themeColor="text1"/>
          <w:sz w:val="22"/>
          <w:szCs w:val="22"/>
          <w:lang w:val="fr-FR"/>
        </w:rPr>
        <w:t xml:space="preserve">le </w:t>
      </w:r>
      <w:r w:rsidRPr="005D062F">
        <w:rPr>
          <w:rFonts w:ascii="Times New Roman" w:eastAsia="Cambria" w:hAnsi="Times New Roman" w:cs="Times New Roman"/>
          <w:color w:val="000000" w:themeColor="text1"/>
          <w:sz w:val="22"/>
          <w:szCs w:val="22"/>
          <w:lang w:val="fr-FR"/>
        </w:rPr>
        <w:t xml:space="preserve">SEDI </w:t>
      </w:r>
      <w:r w:rsidR="008A6E03" w:rsidRPr="005D062F">
        <w:rPr>
          <w:rFonts w:ascii="Times New Roman" w:eastAsia="Cambria" w:hAnsi="Times New Roman" w:cs="Times New Roman"/>
          <w:color w:val="000000" w:themeColor="text1"/>
          <w:sz w:val="22"/>
          <w:szCs w:val="22"/>
          <w:lang w:val="fr-FR"/>
        </w:rPr>
        <w:t xml:space="preserve">poursuit son engagement en faveur de la promotion d’économies </w:t>
      </w:r>
      <w:r w:rsidRPr="005D062F">
        <w:rPr>
          <w:rFonts w:ascii="Times New Roman" w:eastAsia="Cambria" w:hAnsi="Times New Roman" w:cs="Times New Roman"/>
          <w:color w:val="000000" w:themeColor="text1"/>
          <w:sz w:val="22"/>
          <w:szCs w:val="22"/>
          <w:lang w:val="fr-FR"/>
        </w:rPr>
        <w:t>inclusive</w:t>
      </w:r>
      <w:r w:rsidR="008A6E03" w:rsidRPr="005D062F">
        <w:rPr>
          <w:rFonts w:ascii="Times New Roman" w:eastAsia="Cambria" w:hAnsi="Times New Roman" w:cs="Times New Roman"/>
          <w:color w:val="000000" w:themeColor="text1"/>
          <w:sz w:val="22"/>
          <w:szCs w:val="22"/>
          <w:lang w:val="fr-FR"/>
        </w:rPr>
        <w:t>s</w:t>
      </w:r>
      <w:r w:rsidRPr="005D062F">
        <w:rPr>
          <w:rFonts w:ascii="Times New Roman" w:eastAsia="Cambria" w:hAnsi="Times New Roman" w:cs="Times New Roman"/>
          <w:color w:val="000000" w:themeColor="text1"/>
          <w:sz w:val="22"/>
          <w:szCs w:val="22"/>
          <w:lang w:val="fr-FR"/>
        </w:rPr>
        <w:t xml:space="preserve"> </w:t>
      </w:r>
      <w:r w:rsidR="008A6E03" w:rsidRPr="005D062F">
        <w:rPr>
          <w:rFonts w:ascii="Times New Roman" w:eastAsia="Cambria" w:hAnsi="Times New Roman" w:cs="Times New Roman"/>
          <w:color w:val="000000" w:themeColor="text1"/>
          <w:sz w:val="22"/>
          <w:szCs w:val="22"/>
          <w:lang w:val="fr-FR"/>
        </w:rPr>
        <w:t>et</w:t>
      </w:r>
      <w:r w:rsidRPr="005D062F">
        <w:rPr>
          <w:rFonts w:ascii="Times New Roman" w:eastAsia="Cambria" w:hAnsi="Times New Roman" w:cs="Times New Roman"/>
          <w:color w:val="000000" w:themeColor="text1"/>
          <w:sz w:val="22"/>
          <w:szCs w:val="22"/>
          <w:lang w:val="fr-FR"/>
        </w:rPr>
        <w:t xml:space="preserve"> comp</w:t>
      </w:r>
      <w:r w:rsidR="008A6E03" w:rsidRPr="005D062F">
        <w:rPr>
          <w:rFonts w:ascii="Times New Roman" w:eastAsia="Cambria" w:hAnsi="Times New Roman" w:cs="Times New Roman"/>
          <w:color w:val="000000" w:themeColor="text1"/>
          <w:sz w:val="22"/>
          <w:szCs w:val="22"/>
          <w:lang w:val="fr-FR"/>
        </w:rPr>
        <w:t>é</w:t>
      </w:r>
      <w:r w:rsidRPr="005D062F">
        <w:rPr>
          <w:rFonts w:ascii="Times New Roman" w:eastAsia="Cambria" w:hAnsi="Times New Roman" w:cs="Times New Roman"/>
          <w:color w:val="000000" w:themeColor="text1"/>
          <w:sz w:val="22"/>
          <w:szCs w:val="22"/>
          <w:lang w:val="fr-FR"/>
        </w:rPr>
        <w:t>titive</w:t>
      </w:r>
      <w:r w:rsidR="008A6E03" w:rsidRPr="005D062F">
        <w:rPr>
          <w:rFonts w:ascii="Times New Roman" w:eastAsia="Cambria" w:hAnsi="Times New Roman" w:cs="Times New Roman"/>
          <w:color w:val="000000" w:themeColor="text1"/>
          <w:sz w:val="22"/>
          <w:szCs w:val="22"/>
          <w:lang w:val="fr-FR"/>
        </w:rPr>
        <w:t>s</w:t>
      </w:r>
      <w:r w:rsidRPr="005D062F">
        <w:rPr>
          <w:rFonts w:ascii="Times New Roman" w:eastAsia="Cambria" w:hAnsi="Times New Roman" w:cs="Times New Roman"/>
          <w:color w:val="000000" w:themeColor="text1"/>
          <w:sz w:val="22"/>
          <w:szCs w:val="22"/>
          <w:lang w:val="fr-FR"/>
        </w:rPr>
        <w:t xml:space="preserve"> </w:t>
      </w:r>
      <w:r w:rsidR="008A6E03" w:rsidRPr="005D062F">
        <w:rPr>
          <w:rFonts w:ascii="Times New Roman" w:eastAsia="Cambria" w:hAnsi="Times New Roman" w:cs="Times New Roman"/>
          <w:color w:val="000000" w:themeColor="text1"/>
          <w:sz w:val="22"/>
          <w:szCs w:val="22"/>
          <w:lang w:val="fr-FR"/>
        </w:rPr>
        <w:t>dans l’ensemble du continent américain</w:t>
      </w:r>
      <w:r w:rsidR="00CB28A9" w:rsidRPr="005D062F">
        <w:rPr>
          <w:rFonts w:ascii="Times New Roman" w:eastAsia="Cambria" w:hAnsi="Times New Roman" w:cs="Times New Roman"/>
          <w:color w:val="000000" w:themeColor="text1"/>
          <w:sz w:val="22"/>
          <w:szCs w:val="22"/>
          <w:lang w:val="fr-FR"/>
        </w:rPr>
        <w:t xml:space="preserve">. </w:t>
      </w:r>
      <w:r w:rsidR="00CD130A" w:rsidRPr="005D062F">
        <w:rPr>
          <w:rFonts w:ascii="Times New Roman" w:eastAsia="Cambria" w:hAnsi="Times New Roman" w:cs="Times New Roman"/>
          <w:color w:val="000000" w:themeColor="text1"/>
          <w:sz w:val="22"/>
          <w:szCs w:val="22"/>
          <w:lang w:val="fr-FR"/>
        </w:rPr>
        <w:t xml:space="preserve">Ses </w:t>
      </w:r>
      <w:r w:rsidR="00F103AE" w:rsidRPr="005D062F">
        <w:rPr>
          <w:rFonts w:ascii="Times New Roman" w:eastAsia="Cambria" w:hAnsi="Times New Roman" w:cs="Times New Roman"/>
          <w:color w:val="000000" w:themeColor="text1"/>
          <w:sz w:val="22"/>
          <w:szCs w:val="22"/>
          <w:lang w:val="fr-FR"/>
        </w:rPr>
        <w:t>efforts</w:t>
      </w:r>
      <w:r w:rsidR="00CB28A9" w:rsidRPr="005D062F">
        <w:rPr>
          <w:rFonts w:ascii="Times New Roman" w:eastAsia="Cambria" w:hAnsi="Times New Roman" w:cs="Times New Roman"/>
          <w:color w:val="000000" w:themeColor="text1"/>
          <w:sz w:val="22"/>
          <w:szCs w:val="22"/>
          <w:lang w:val="fr-FR"/>
        </w:rPr>
        <w:t xml:space="preserve">, </w:t>
      </w:r>
      <w:r w:rsidR="00CD130A" w:rsidRPr="005D062F">
        <w:rPr>
          <w:rFonts w:ascii="Times New Roman" w:eastAsia="Cambria" w:hAnsi="Times New Roman" w:cs="Times New Roman"/>
          <w:color w:val="000000" w:themeColor="text1"/>
          <w:sz w:val="22"/>
          <w:szCs w:val="22"/>
          <w:lang w:val="fr-FR"/>
        </w:rPr>
        <w:t>qui se caractérisent par les activités de renforcement des capacités et la coopération entre les États membres, ont permis d’</w:t>
      </w:r>
      <w:r w:rsidR="00B95352" w:rsidRPr="005D062F">
        <w:rPr>
          <w:rFonts w:ascii="Times New Roman" w:eastAsia="Cambria" w:hAnsi="Times New Roman" w:cs="Times New Roman"/>
          <w:color w:val="000000" w:themeColor="text1"/>
          <w:sz w:val="22"/>
          <w:szCs w:val="22"/>
          <w:lang w:val="fr-FR"/>
        </w:rPr>
        <w:t>accélé</w:t>
      </w:r>
      <w:r w:rsidR="00CD130A" w:rsidRPr="005D062F">
        <w:rPr>
          <w:rFonts w:ascii="Times New Roman" w:eastAsia="Cambria" w:hAnsi="Times New Roman" w:cs="Times New Roman"/>
          <w:color w:val="000000" w:themeColor="text1"/>
          <w:sz w:val="22"/>
          <w:szCs w:val="22"/>
          <w:lang w:val="fr-FR"/>
        </w:rPr>
        <w:t>r</w:t>
      </w:r>
      <w:r w:rsidR="00B95352" w:rsidRPr="005D062F">
        <w:rPr>
          <w:rFonts w:ascii="Times New Roman" w:eastAsia="Cambria" w:hAnsi="Times New Roman" w:cs="Times New Roman"/>
          <w:color w:val="000000" w:themeColor="text1"/>
          <w:sz w:val="22"/>
          <w:szCs w:val="22"/>
          <w:lang w:val="fr-FR"/>
        </w:rPr>
        <w:t>er</w:t>
      </w:r>
      <w:r w:rsidR="00CD130A" w:rsidRPr="005D062F">
        <w:rPr>
          <w:rFonts w:ascii="Times New Roman" w:eastAsia="Cambria" w:hAnsi="Times New Roman" w:cs="Times New Roman"/>
          <w:color w:val="000000" w:themeColor="text1"/>
          <w:sz w:val="22"/>
          <w:szCs w:val="22"/>
          <w:lang w:val="fr-FR"/>
        </w:rPr>
        <w:t xml:space="preserve"> l’adoption, par la région, des nouvelles technologies </w:t>
      </w:r>
      <w:r w:rsidR="00B95352" w:rsidRPr="005D062F">
        <w:rPr>
          <w:rFonts w:ascii="Times New Roman" w:eastAsia="Cambria" w:hAnsi="Times New Roman" w:cs="Times New Roman"/>
          <w:color w:val="000000" w:themeColor="text1"/>
          <w:sz w:val="22"/>
          <w:szCs w:val="22"/>
          <w:lang w:val="fr-FR"/>
        </w:rPr>
        <w:t>et de faciliter son adaptation aux écosystèmes numériques</w:t>
      </w:r>
      <w:r w:rsidR="00591999" w:rsidRPr="005D062F">
        <w:rPr>
          <w:rFonts w:ascii="Times New Roman" w:eastAsia="Cambria" w:hAnsi="Times New Roman" w:cs="Times New Roman"/>
          <w:color w:val="000000" w:themeColor="text1"/>
          <w:sz w:val="22"/>
          <w:szCs w:val="22"/>
          <w:lang w:val="fr-FR"/>
        </w:rPr>
        <w:t xml:space="preserve">. </w:t>
      </w:r>
      <w:r w:rsidR="0092634C" w:rsidRPr="005D062F">
        <w:rPr>
          <w:rFonts w:ascii="Times New Roman" w:eastAsia="Times New Roman" w:hAnsi="Times New Roman" w:cs="Times New Roman"/>
          <w:color w:val="000000"/>
          <w:sz w:val="22"/>
          <w:szCs w:val="22"/>
          <w:lang w:val="fr-FR"/>
        </w:rPr>
        <w:t>L’</w:t>
      </w:r>
      <w:r w:rsidR="006A44E4" w:rsidRPr="005D062F">
        <w:rPr>
          <w:rFonts w:ascii="Times New Roman" w:eastAsia="Times New Roman" w:hAnsi="Times New Roman" w:cs="Times New Roman"/>
          <w:color w:val="000000"/>
          <w:sz w:val="22"/>
          <w:szCs w:val="22"/>
          <w:lang w:val="fr-FR"/>
        </w:rPr>
        <w:t>attention particulière portée aux</w:t>
      </w:r>
      <w:r w:rsidR="00B95352" w:rsidRPr="005D062F">
        <w:rPr>
          <w:rFonts w:ascii="Times New Roman" w:eastAsia="Times New Roman" w:hAnsi="Times New Roman" w:cs="Times New Roman"/>
          <w:color w:val="000000"/>
          <w:sz w:val="22"/>
          <w:szCs w:val="22"/>
          <w:lang w:val="fr-FR"/>
        </w:rPr>
        <w:t xml:space="preserve"> </w:t>
      </w:r>
      <w:r w:rsidR="006A44E4" w:rsidRPr="005D062F">
        <w:rPr>
          <w:rFonts w:ascii="Times New Roman" w:eastAsia="Times New Roman" w:hAnsi="Times New Roman" w:cs="Times New Roman"/>
          <w:color w:val="000000"/>
          <w:sz w:val="22"/>
          <w:szCs w:val="22"/>
          <w:lang w:val="fr-FR"/>
        </w:rPr>
        <w:t>microentreprises et aux petites et moyennes entreprises (MPME) s’est avérée essentielle dans l</w:t>
      </w:r>
      <w:r w:rsidR="00F103AE" w:rsidRPr="005D062F">
        <w:rPr>
          <w:rFonts w:ascii="Times New Roman" w:eastAsia="Times New Roman" w:hAnsi="Times New Roman" w:cs="Times New Roman"/>
          <w:color w:val="000000"/>
          <w:sz w:val="22"/>
          <w:szCs w:val="22"/>
          <w:lang w:val="fr-FR"/>
        </w:rPr>
        <w:t>es</w:t>
      </w:r>
      <w:r w:rsidR="006A44E4" w:rsidRPr="005D062F">
        <w:rPr>
          <w:rFonts w:ascii="Times New Roman" w:eastAsia="Times New Roman" w:hAnsi="Times New Roman" w:cs="Times New Roman"/>
          <w:color w:val="000000"/>
          <w:sz w:val="22"/>
          <w:szCs w:val="22"/>
          <w:lang w:val="fr-FR"/>
        </w:rPr>
        <w:t xml:space="preserve"> programm</w:t>
      </w:r>
      <w:r w:rsidR="00F103AE" w:rsidRPr="005D062F">
        <w:rPr>
          <w:rFonts w:ascii="Times New Roman" w:eastAsia="Times New Roman" w:hAnsi="Times New Roman" w:cs="Times New Roman"/>
          <w:color w:val="000000"/>
          <w:sz w:val="22"/>
          <w:szCs w:val="22"/>
          <w:lang w:val="fr-FR"/>
        </w:rPr>
        <w:t>mes</w:t>
      </w:r>
      <w:r w:rsidR="006A44E4" w:rsidRPr="005D062F">
        <w:rPr>
          <w:rFonts w:ascii="Times New Roman" w:eastAsia="Times New Roman" w:hAnsi="Times New Roman" w:cs="Times New Roman"/>
          <w:color w:val="000000"/>
          <w:sz w:val="22"/>
          <w:szCs w:val="22"/>
          <w:lang w:val="fr-FR"/>
        </w:rPr>
        <w:t xml:space="preserve"> du SEDI</w:t>
      </w:r>
      <w:r w:rsidR="00591999" w:rsidRPr="005D062F">
        <w:rPr>
          <w:rFonts w:ascii="Times New Roman" w:eastAsia="Cambria" w:hAnsi="Times New Roman" w:cs="Times New Roman"/>
          <w:color w:val="000000" w:themeColor="text1"/>
          <w:sz w:val="22"/>
          <w:szCs w:val="22"/>
          <w:lang w:val="fr-FR"/>
        </w:rPr>
        <w:t xml:space="preserve">. </w:t>
      </w:r>
      <w:r w:rsidR="00397959" w:rsidRPr="005D062F">
        <w:rPr>
          <w:rFonts w:ascii="Times New Roman" w:eastAsia="Cambria" w:hAnsi="Times New Roman" w:cs="Times New Roman"/>
          <w:color w:val="000000" w:themeColor="text1"/>
          <w:sz w:val="22"/>
          <w:szCs w:val="22"/>
          <w:lang w:val="fr-FR"/>
        </w:rPr>
        <w:t>Reco</w:t>
      </w:r>
      <w:r w:rsidR="00B95352" w:rsidRPr="005D062F">
        <w:rPr>
          <w:rFonts w:ascii="Times New Roman" w:eastAsia="Cambria" w:hAnsi="Times New Roman" w:cs="Times New Roman"/>
          <w:color w:val="000000" w:themeColor="text1"/>
          <w:sz w:val="22"/>
          <w:szCs w:val="22"/>
          <w:lang w:val="fr-FR"/>
        </w:rPr>
        <w:t xml:space="preserve">nnaissant que les </w:t>
      </w:r>
      <w:r w:rsidR="00591999" w:rsidRPr="005D062F">
        <w:rPr>
          <w:rFonts w:ascii="Times New Roman" w:eastAsia="Cambria" w:hAnsi="Times New Roman" w:cs="Times New Roman"/>
          <w:color w:val="000000" w:themeColor="text1"/>
          <w:sz w:val="22"/>
          <w:szCs w:val="22"/>
          <w:lang w:val="fr-FR"/>
        </w:rPr>
        <w:t>M</w:t>
      </w:r>
      <w:r w:rsidR="00B95352" w:rsidRPr="005D062F">
        <w:rPr>
          <w:rFonts w:ascii="Times New Roman" w:eastAsia="Cambria" w:hAnsi="Times New Roman" w:cs="Times New Roman"/>
          <w:color w:val="000000" w:themeColor="text1"/>
          <w:sz w:val="22"/>
          <w:szCs w:val="22"/>
          <w:lang w:val="fr-FR"/>
        </w:rPr>
        <w:t xml:space="preserve">PME constituent l’ossature structurelle des économies des États membres de l’OEA et emploient </w:t>
      </w:r>
      <w:r w:rsidR="00397959" w:rsidRPr="005D062F">
        <w:rPr>
          <w:rFonts w:ascii="Times New Roman" w:eastAsia="Cambria" w:hAnsi="Times New Roman" w:cs="Times New Roman"/>
          <w:color w:val="000000" w:themeColor="text1"/>
          <w:sz w:val="22"/>
          <w:szCs w:val="22"/>
          <w:lang w:val="fr-FR"/>
        </w:rPr>
        <w:t>75</w:t>
      </w:r>
      <w:r w:rsidR="00F103AE" w:rsidRPr="005D062F">
        <w:rPr>
          <w:rFonts w:ascii="Times New Roman" w:eastAsia="Cambria" w:hAnsi="Times New Roman" w:cs="Times New Roman"/>
          <w:color w:val="000000" w:themeColor="text1"/>
          <w:sz w:val="22"/>
          <w:szCs w:val="22"/>
          <w:lang w:val="fr-FR"/>
        </w:rPr>
        <w:t> % de la main-</w:t>
      </w:r>
      <w:r w:rsidR="00B95352" w:rsidRPr="005D062F">
        <w:rPr>
          <w:rFonts w:ascii="Times New Roman" w:eastAsia="Cambria" w:hAnsi="Times New Roman" w:cs="Times New Roman"/>
          <w:color w:val="000000" w:themeColor="text1"/>
          <w:sz w:val="22"/>
          <w:szCs w:val="22"/>
          <w:lang w:val="fr-FR"/>
        </w:rPr>
        <w:t xml:space="preserve">d’œuvre, le SEDI a poursuivi ses </w:t>
      </w:r>
      <w:r w:rsidR="00F103AE" w:rsidRPr="005D062F">
        <w:rPr>
          <w:rFonts w:ascii="Times New Roman" w:eastAsia="Cambria" w:hAnsi="Times New Roman" w:cs="Times New Roman"/>
          <w:color w:val="000000" w:themeColor="text1"/>
          <w:sz w:val="22"/>
          <w:szCs w:val="22"/>
          <w:lang w:val="fr-FR"/>
        </w:rPr>
        <w:t>efforts</w:t>
      </w:r>
      <w:r w:rsidR="00B95352" w:rsidRPr="005D062F">
        <w:rPr>
          <w:rFonts w:ascii="Times New Roman" w:eastAsia="Cambria" w:hAnsi="Times New Roman" w:cs="Times New Roman"/>
          <w:color w:val="000000" w:themeColor="text1"/>
          <w:sz w:val="22"/>
          <w:szCs w:val="22"/>
          <w:lang w:val="fr-FR"/>
        </w:rPr>
        <w:t xml:space="preserve"> de transformation numérique pour aider ces entreprises à tirer parti des nouvelles possibilités économiques</w:t>
      </w:r>
      <w:r w:rsidR="0051535F" w:rsidRPr="005D062F">
        <w:rPr>
          <w:rFonts w:ascii="Times New Roman" w:eastAsia="Cambria" w:hAnsi="Times New Roman" w:cs="Times New Roman"/>
          <w:color w:val="000000" w:themeColor="text1"/>
          <w:sz w:val="22"/>
          <w:szCs w:val="22"/>
          <w:lang w:val="fr-FR"/>
        </w:rPr>
        <w:t>.</w:t>
      </w:r>
      <w:r w:rsidR="00B95352" w:rsidRPr="005D062F">
        <w:rPr>
          <w:rFonts w:ascii="Times New Roman" w:eastAsia="Cambria" w:hAnsi="Times New Roman" w:cs="Times New Roman"/>
          <w:color w:val="000000" w:themeColor="text1"/>
          <w:sz w:val="22"/>
          <w:szCs w:val="22"/>
          <w:lang w:val="fr-FR"/>
        </w:rPr>
        <w:t xml:space="preserve"> Les partenariats en cours avec le</w:t>
      </w:r>
      <w:r w:rsidR="008D58EF" w:rsidRPr="005D062F">
        <w:rPr>
          <w:rFonts w:ascii="Times New Roman" w:eastAsia="Cambria" w:hAnsi="Times New Roman" w:cs="Times New Roman"/>
          <w:color w:val="000000" w:themeColor="text1"/>
          <w:sz w:val="22"/>
          <w:szCs w:val="22"/>
          <w:lang w:val="fr-FR"/>
        </w:rPr>
        <w:t xml:space="preserve"> </w:t>
      </w:r>
      <w:r w:rsidR="00591999" w:rsidRPr="005D062F">
        <w:rPr>
          <w:rFonts w:ascii="Times New Roman" w:eastAsia="Cambria" w:hAnsi="Times New Roman" w:cs="Times New Roman"/>
          <w:color w:val="000000" w:themeColor="text1"/>
          <w:sz w:val="22"/>
          <w:szCs w:val="22"/>
          <w:lang w:val="fr-FR"/>
        </w:rPr>
        <w:t>Go</w:t>
      </w:r>
      <w:r w:rsidR="00B95352" w:rsidRPr="005D062F">
        <w:rPr>
          <w:rFonts w:ascii="Times New Roman" w:eastAsia="Cambria" w:hAnsi="Times New Roman" w:cs="Times New Roman"/>
          <w:color w:val="000000" w:themeColor="text1"/>
          <w:sz w:val="22"/>
          <w:szCs w:val="22"/>
          <w:lang w:val="fr-FR"/>
        </w:rPr>
        <w:t>u</w:t>
      </w:r>
      <w:r w:rsidR="00591999" w:rsidRPr="005D062F">
        <w:rPr>
          <w:rFonts w:ascii="Times New Roman" w:eastAsia="Cambria" w:hAnsi="Times New Roman" w:cs="Times New Roman"/>
          <w:color w:val="000000" w:themeColor="text1"/>
          <w:sz w:val="22"/>
          <w:szCs w:val="22"/>
          <w:lang w:val="fr-FR"/>
        </w:rPr>
        <w:t>vern</w:t>
      </w:r>
      <w:r w:rsidR="00B95352" w:rsidRPr="005D062F">
        <w:rPr>
          <w:rFonts w:ascii="Times New Roman" w:eastAsia="Cambria" w:hAnsi="Times New Roman" w:cs="Times New Roman"/>
          <w:color w:val="000000" w:themeColor="text1"/>
          <w:sz w:val="22"/>
          <w:szCs w:val="22"/>
          <w:lang w:val="fr-FR"/>
        </w:rPr>
        <w:t>e</w:t>
      </w:r>
      <w:r w:rsidR="00591999" w:rsidRPr="005D062F">
        <w:rPr>
          <w:rFonts w:ascii="Times New Roman" w:eastAsia="Cambria" w:hAnsi="Times New Roman" w:cs="Times New Roman"/>
          <w:color w:val="000000" w:themeColor="text1"/>
          <w:sz w:val="22"/>
          <w:szCs w:val="22"/>
          <w:lang w:val="fr-FR"/>
        </w:rPr>
        <w:t xml:space="preserve">ment </w:t>
      </w:r>
      <w:r w:rsidR="00B95352" w:rsidRPr="005D062F">
        <w:rPr>
          <w:rFonts w:ascii="Times New Roman" w:eastAsia="Cambria" w:hAnsi="Times New Roman" w:cs="Times New Roman"/>
          <w:color w:val="000000" w:themeColor="text1"/>
          <w:sz w:val="22"/>
          <w:szCs w:val="22"/>
          <w:lang w:val="fr-FR"/>
        </w:rPr>
        <w:t>du</w:t>
      </w:r>
      <w:r w:rsidR="00591999" w:rsidRPr="005D062F">
        <w:rPr>
          <w:rFonts w:ascii="Times New Roman" w:eastAsia="Cambria" w:hAnsi="Times New Roman" w:cs="Times New Roman"/>
          <w:color w:val="000000" w:themeColor="text1"/>
          <w:sz w:val="22"/>
          <w:szCs w:val="22"/>
          <w:lang w:val="fr-FR"/>
        </w:rPr>
        <w:t xml:space="preserve"> Chil</w:t>
      </w:r>
      <w:r w:rsidR="00B95352" w:rsidRPr="005D062F">
        <w:rPr>
          <w:rFonts w:ascii="Times New Roman" w:eastAsia="Cambria" w:hAnsi="Times New Roman" w:cs="Times New Roman"/>
          <w:color w:val="000000" w:themeColor="text1"/>
          <w:sz w:val="22"/>
          <w:szCs w:val="22"/>
          <w:lang w:val="fr-FR"/>
        </w:rPr>
        <w:t>i, WhatsApp ainsi que les petites entreprises</w:t>
      </w:r>
      <w:r w:rsidR="00591999" w:rsidRPr="005D062F">
        <w:rPr>
          <w:rFonts w:ascii="Times New Roman" w:eastAsia="Cambria" w:hAnsi="Times New Roman" w:cs="Times New Roman"/>
          <w:color w:val="000000" w:themeColor="text1"/>
          <w:sz w:val="22"/>
          <w:szCs w:val="22"/>
          <w:lang w:val="fr-FR"/>
        </w:rPr>
        <w:t xml:space="preserve"> </w:t>
      </w:r>
      <w:r w:rsidR="006A44E4" w:rsidRPr="005D062F">
        <w:rPr>
          <w:rFonts w:ascii="Times New Roman" w:eastAsia="Cambria" w:hAnsi="Times New Roman" w:cs="Times New Roman"/>
          <w:color w:val="000000" w:themeColor="text1"/>
          <w:sz w:val="22"/>
          <w:szCs w:val="22"/>
          <w:lang w:val="fr-FR"/>
        </w:rPr>
        <w:t>dans</w:t>
      </w:r>
      <w:r w:rsidR="00B95352" w:rsidRPr="005D062F">
        <w:rPr>
          <w:rFonts w:ascii="Times New Roman" w:eastAsia="Cambria" w:hAnsi="Times New Roman" w:cs="Times New Roman"/>
          <w:color w:val="000000" w:themeColor="text1"/>
          <w:sz w:val="22"/>
          <w:szCs w:val="22"/>
          <w:lang w:val="fr-FR"/>
        </w:rPr>
        <w:t xml:space="preserve"> </w:t>
      </w:r>
      <w:r w:rsidR="006A44E4" w:rsidRPr="005D062F">
        <w:rPr>
          <w:rFonts w:ascii="Times New Roman" w:eastAsia="Cambria" w:hAnsi="Times New Roman" w:cs="Times New Roman"/>
          <w:color w:val="000000" w:themeColor="text1"/>
          <w:sz w:val="22"/>
          <w:szCs w:val="22"/>
          <w:lang w:val="fr-FR"/>
        </w:rPr>
        <w:t>tous les</w:t>
      </w:r>
      <w:r w:rsidR="00B95352" w:rsidRPr="005D062F">
        <w:rPr>
          <w:rFonts w:ascii="Times New Roman" w:eastAsia="Cambria" w:hAnsi="Times New Roman" w:cs="Times New Roman"/>
          <w:color w:val="000000" w:themeColor="text1"/>
          <w:sz w:val="22"/>
          <w:szCs w:val="22"/>
          <w:lang w:val="fr-FR"/>
        </w:rPr>
        <w:t xml:space="preserve"> </w:t>
      </w:r>
      <w:r w:rsidR="006A44E4" w:rsidRPr="005D062F">
        <w:rPr>
          <w:rFonts w:ascii="Times New Roman" w:eastAsia="Cambria" w:hAnsi="Times New Roman" w:cs="Times New Roman"/>
          <w:color w:val="000000" w:themeColor="text1"/>
          <w:sz w:val="22"/>
          <w:szCs w:val="22"/>
          <w:lang w:val="fr-FR"/>
        </w:rPr>
        <w:t>États membres de l’OEA soutiennent aussi les initiatives de croissance des MPME</w:t>
      </w:r>
      <w:r w:rsidR="00591999" w:rsidRPr="005D062F">
        <w:rPr>
          <w:rFonts w:ascii="Times New Roman" w:eastAsia="Cambria" w:hAnsi="Times New Roman" w:cs="Times New Roman"/>
          <w:color w:val="000000" w:themeColor="text1"/>
          <w:sz w:val="22"/>
          <w:szCs w:val="22"/>
          <w:lang w:val="fr-FR"/>
        </w:rPr>
        <w:t xml:space="preserve">. </w:t>
      </w:r>
      <w:r w:rsidR="00B95352" w:rsidRPr="005D062F">
        <w:rPr>
          <w:rFonts w:ascii="Times New Roman" w:eastAsia="Times New Roman" w:hAnsi="Times New Roman" w:cs="Times New Roman"/>
          <w:color w:val="000000"/>
          <w:sz w:val="22"/>
          <w:szCs w:val="22"/>
          <w:lang w:val="fr-FR"/>
        </w:rPr>
        <w:t xml:space="preserve">En outre, le SEDI a </w:t>
      </w:r>
      <w:r w:rsidR="00B95352" w:rsidRPr="005D062F">
        <w:rPr>
          <w:rFonts w:ascii="Times New Roman" w:eastAsia="Cambria" w:hAnsi="Times New Roman" w:cs="Times New Roman"/>
          <w:color w:val="000000" w:themeColor="text1"/>
          <w:sz w:val="22"/>
          <w:szCs w:val="22"/>
          <w:lang w:val="fr-FR"/>
        </w:rPr>
        <w:t>lancé le projet « </w:t>
      </w:r>
      <w:r w:rsidR="00591999" w:rsidRPr="005D062F">
        <w:rPr>
          <w:rFonts w:ascii="Times New Roman" w:eastAsia="Cambria" w:hAnsi="Times New Roman" w:cs="Times New Roman"/>
          <w:color w:val="000000" w:themeColor="text1"/>
          <w:sz w:val="22"/>
          <w:szCs w:val="22"/>
          <w:lang w:val="fr-FR"/>
        </w:rPr>
        <w:t>Economically Empowered Women for Equitable and Resilient Societies</w:t>
      </w:r>
      <w:r w:rsidR="00B95352" w:rsidRPr="005D062F">
        <w:rPr>
          <w:rFonts w:ascii="Times New Roman" w:eastAsia="Cambria" w:hAnsi="Times New Roman" w:cs="Times New Roman"/>
          <w:color w:val="000000" w:themeColor="text1"/>
          <w:sz w:val="22"/>
          <w:szCs w:val="22"/>
          <w:lang w:val="fr-FR"/>
        </w:rPr>
        <w:t> » (Femmes économiquement autonomes pour des sociétés équitables et résilientes)</w:t>
      </w:r>
      <w:r w:rsidR="00591999" w:rsidRPr="005D062F">
        <w:rPr>
          <w:rFonts w:ascii="Times New Roman" w:eastAsia="Cambria" w:hAnsi="Times New Roman" w:cs="Times New Roman"/>
          <w:color w:val="000000" w:themeColor="text1"/>
          <w:sz w:val="22"/>
          <w:szCs w:val="22"/>
          <w:lang w:val="fr-FR"/>
        </w:rPr>
        <w:t xml:space="preserve"> </w:t>
      </w:r>
      <w:r w:rsidR="00B95352" w:rsidRPr="005D062F">
        <w:rPr>
          <w:rFonts w:ascii="Times New Roman" w:eastAsia="Cambria" w:hAnsi="Times New Roman" w:cs="Times New Roman"/>
          <w:color w:val="000000" w:themeColor="text1"/>
          <w:sz w:val="22"/>
          <w:szCs w:val="22"/>
          <w:lang w:val="fr-FR"/>
        </w:rPr>
        <w:t>pour accroître la participation des femmes à l</w:t>
      </w:r>
      <w:r w:rsidR="0092634C" w:rsidRPr="005D062F">
        <w:rPr>
          <w:rFonts w:ascii="Times New Roman" w:eastAsia="Cambria" w:hAnsi="Times New Roman" w:cs="Times New Roman"/>
          <w:color w:val="000000" w:themeColor="text1"/>
          <w:sz w:val="22"/>
          <w:szCs w:val="22"/>
          <w:lang w:val="fr-FR"/>
        </w:rPr>
        <w:t>a croissance de l</w:t>
      </w:r>
      <w:r w:rsidR="00F103AE" w:rsidRPr="005D062F">
        <w:rPr>
          <w:rFonts w:ascii="Times New Roman" w:eastAsia="Cambria" w:hAnsi="Times New Roman" w:cs="Times New Roman"/>
          <w:color w:val="000000" w:themeColor="text1"/>
          <w:sz w:val="22"/>
          <w:szCs w:val="22"/>
          <w:lang w:val="fr-FR"/>
        </w:rPr>
        <w:t>’</w:t>
      </w:r>
      <w:r w:rsidR="00B95352" w:rsidRPr="005D062F">
        <w:rPr>
          <w:rFonts w:ascii="Times New Roman" w:eastAsia="Cambria" w:hAnsi="Times New Roman" w:cs="Times New Roman"/>
          <w:color w:val="000000" w:themeColor="text1"/>
          <w:sz w:val="22"/>
          <w:szCs w:val="22"/>
          <w:lang w:val="fr-FR"/>
        </w:rPr>
        <w:t>économie numérique</w:t>
      </w:r>
      <w:r w:rsidR="00591999" w:rsidRPr="005D062F">
        <w:rPr>
          <w:rFonts w:ascii="Times New Roman" w:eastAsia="Cambria" w:hAnsi="Times New Roman" w:cs="Times New Roman"/>
          <w:color w:val="000000" w:themeColor="text1"/>
          <w:sz w:val="22"/>
          <w:szCs w:val="22"/>
          <w:lang w:val="fr-FR"/>
        </w:rPr>
        <w:t>.</w:t>
      </w:r>
    </w:p>
    <w:p w14:paraId="3B13FD7D" w14:textId="08F0672D" w:rsidR="00ED7A8E" w:rsidRPr="005D062F" w:rsidRDefault="00ED7A8E" w:rsidP="00723DAD">
      <w:pPr>
        <w:rPr>
          <w:rFonts w:ascii="Times New Roman" w:eastAsia="Cambria" w:hAnsi="Times New Roman" w:cs="Times New Roman"/>
          <w:color w:val="000000" w:themeColor="text1"/>
          <w:sz w:val="22"/>
          <w:szCs w:val="22"/>
          <w:lang w:val="fr-FR"/>
        </w:rPr>
      </w:pPr>
    </w:p>
    <w:p w14:paraId="6A9A662B" w14:textId="35C3FF57" w:rsidR="00ED7A8E" w:rsidRPr="005D062F" w:rsidRDefault="00D8592F" w:rsidP="00CB030B">
      <w:pPr>
        <w:ind w:firstLine="720"/>
        <w:contextualSpacing/>
        <w:jc w:val="both"/>
        <w:rPr>
          <w:rFonts w:ascii="Times New Roman" w:eastAsia="Cambria" w:hAnsi="Times New Roman" w:cs="Times New Roman"/>
          <w:color w:val="000000" w:themeColor="text1"/>
          <w:sz w:val="22"/>
          <w:szCs w:val="22"/>
          <w:lang w:val="fr-FR"/>
        </w:rPr>
      </w:pPr>
      <w:r w:rsidRPr="005D062F">
        <w:rPr>
          <w:rFonts w:ascii="Times New Roman" w:eastAsia="Cambria" w:hAnsi="Times New Roman" w:cs="Times New Roman"/>
          <w:color w:val="000000" w:themeColor="text1"/>
          <w:sz w:val="22"/>
          <w:szCs w:val="22"/>
          <w:lang w:val="fr-FR"/>
        </w:rPr>
        <w:t>D’</w:t>
      </w:r>
      <w:r w:rsidR="003215FB" w:rsidRPr="005D062F">
        <w:rPr>
          <w:rFonts w:ascii="Times New Roman" w:eastAsia="Cambria" w:hAnsi="Times New Roman" w:cs="Times New Roman"/>
          <w:color w:val="000000" w:themeColor="text1"/>
          <w:sz w:val="22"/>
          <w:szCs w:val="22"/>
          <w:lang w:val="fr-FR"/>
        </w:rPr>
        <w:t xml:space="preserve">autres initiatives ont permis de soutenir le partage des connaissances et la </w:t>
      </w:r>
      <w:r w:rsidR="00151146" w:rsidRPr="005D062F">
        <w:rPr>
          <w:rFonts w:ascii="Times New Roman" w:eastAsia="Cambria" w:hAnsi="Times New Roman" w:cs="Times New Roman"/>
          <w:color w:val="000000" w:themeColor="text1"/>
          <w:sz w:val="22"/>
          <w:szCs w:val="22"/>
          <w:lang w:val="fr-FR"/>
        </w:rPr>
        <w:t>collaboration</w:t>
      </w:r>
      <w:r w:rsidR="00ED7A8E" w:rsidRPr="005D062F">
        <w:rPr>
          <w:rFonts w:ascii="Times New Roman" w:eastAsia="Cambria" w:hAnsi="Times New Roman" w:cs="Times New Roman"/>
          <w:color w:val="000000" w:themeColor="text1"/>
          <w:sz w:val="22"/>
          <w:szCs w:val="22"/>
          <w:lang w:val="fr-FR"/>
        </w:rPr>
        <w:t xml:space="preserve"> </w:t>
      </w:r>
      <w:r w:rsidR="003215FB" w:rsidRPr="005D062F">
        <w:rPr>
          <w:rFonts w:ascii="Times New Roman" w:eastAsia="Cambria" w:hAnsi="Times New Roman" w:cs="Times New Roman"/>
          <w:color w:val="000000" w:themeColor="text1"/>
          <w:sz w:val="22"/>
          <w:szCs w:val="22"/>
          <w:lang w:val="fr-FR"/>
        </w:rPr>
        <w:t>intersectorielle</w:t>
      </w:r>
      <w:r w:rsidR="00151146" w:rsidRPr="005D062F">
        <w:rPr>
          <w:rFonts w:ascii="Times New Roman" w:eastAsia="Cambria" w:hAnsi="Times New Roman" w:cs="Times New Roman"/>
          <w:color w:val="000000" w:themeColor="text1"/>
          <w:sz w:val="22"/>
          <w:szCs w:val="22"/>
          <w:lang w:val="fr-FR"/>
        </w:rPr>
        <w:t xml:space="preserve">, en particulier dans les domaines de la reprise économique </w:t>
      </w:r>
      <w:r w:rsidR="00ED7A8E" w:rsidRPr="005D062F">
        <w:rPr>
          <w:rFonts w:ascii="Times New Roman" w:eastAsia="Cambria" w:hAnsi="Times New Roman" w:cs="Times New Roman"/>
          <w:color w:val="000000" w:themeColor="text1"/>
          <w:sz w:val="22"/>
          <w:szCs w:val="22"/>
          <w:lang w:val="fr-FR"/>
        </w:rPr>
        <w:t xml:space="preserve">inclusive, </w:t>
      </w:r>
      <w:r w:rsidR="00151146" w:rsidRPr="005D062F">
        <w:rPr>
          <w:rFonts w:ascii="Times New Roman" w:eastAsia="Cambria" w:hAnsi="Times New Roman" w:cs="Times New Roman"/>
          <w:color w:val="000000" w:themeColor="text1"/>
          <w:sz w:val="22"/>
          <w:szCs w:val="22"/>
          <w:lang w:val="fr-FR"/>
        </w:rPr>
        <w:t xml:space="preserve">du développement économique et de la </w:t>
      </w:r>
      <w:r w:rsidR="00ED7A8E" w:rsidRPr="005D062F">
        <w:rPr>
          <w:rFonts w:ascii="Times New Roman" w:eastAsia="Cambria" w:hAnsi="Times New Roman" w:cs="Times New Roman"/>
          <w:color w:val="000000" w:themeColor="text1"/>
          <w:sz w:val="22"/>
          <w:szCs w:val="22"/>
          <w:lang w:val="fr-FR"/>
        </w:rPr>
        <w:t>transformation</w:t>
      </w:r>
      <w:r w:rsidR="00151146" w:rsidRPr="005D062F">
        <w:rPr>
          <w:rFonts w:ascii="Times New Roman" w:eastAsia="Cambria" w:hAnsi="Times New Roman" w:cs="Times New Roman"/>
          <w:color w:val="000000" w:themeColor="text1"/>
          <w:sz w:val="22"/>
          <w:szCs w:val="22"/>
          <w:lang w:val="fr-FR"/>
        </w:rPr>
        <w:t xml:space="preserve"> numérique</w:t>
      </w:r>
      <w:r w:rsidR="00ED7A8E" w:rsidRPr="005D062F">
        <w:rPr>
          <w:rFonts w:ascii="Times New Roman" w:eastAsia="Cambria" w:hAnsi="Times New Roman" w:cs="Times New Roman"/>
          <w:color w:val="000000" w:themeColor="text1"/>
          <w:sz w:val="22"/>
          <w:szCs w:val="22"/>
          <w:lang w:val="fr-FR"/>
        </w:rPr>
        <w:t xml:space="preserve">. </w:t>
      </w:r>
      <w:r w:rsidR="003215FB" w:rsidRPr="005D062F">
        <w:rPr>
          <w:rFonts w:ascii="Times New Roman" w:eastAsia="Cambria" w:hAnsi="Times New Roman" w:cs="Times New Roman"/>
          <w:color w:val="000000" w:themeColor="text1"/>
          <w:sz w:val="22"/>
          <w:szCs w:val="22"/>
          <w:lang w:val="fr-FR"/>
        </w:rPr>
        <w:t xml:space="preserve">La </w:t>
      </w:r>
      <w:r w:rsidR="00ED7A8E" w:rsidRPr="005D062F">
        <w:rPr>
          <w:rFonts w:ascii="Times New Roman" w:eastAsia="Cambria" w:hAnsi="Times New Roman" w:cs="Times New Roman"/>
          <w:color w:val="000000" w:themeColor="text1"/>
          <w:sz w:val="22"/>
          <w:szCs w:val="22"/>
          <w:lang w:val="fr-FR"/>
        </w:rPr>
        <w:t>coop</w:t>
      </w:r>
      <w:r w:rsidR="003215FB" w:rsidRPr="005D062F">
        <w:rPr>
          <w:rFonts w:ascii="Times New Roman" w:eastAsia="Cambria" w:hAnsi="Times New Roman" w:cs="Times New Roman"/>
          <w:color w:val="000000" w:themeColor="text1"/>
          <w:sz w:val="22"/>
          <w:szCs w:val="22"/>
          <w:lang w:val="fr-FR"/>
        </w:rPr>
        <w:t>é</w:t>
      </w:r>
      <w:r w:rsidR="00ED7A8E" w:rsidRPr="005D062F">
        <w:rPr>
          <w:rFonts w:ascii="Times New Roman" w:eastAsia="Cambria" w:hAnsi="Times New Roman" w:cs="Times New Roman"/>
          <w:color w:val="000000" w:themeColor="text1"/>
          <w:sz w:val="22"/>
          <w:szCs w:val="22"/>
          <w:lang w:val="fr-FR"/>
        </w:rPr>
        <w:t xml:space="preserve">ration </w:t>
      </w:r>
      <w:r w:rsidR="003215FB" w:rsidRPr="005D062F">
        <w:rPr>
          <w:rFonts w:ascii="Times New Roman" w:eastAsia="Cambria" w:hAnsi="Times New Roman" w:cs="Times New Roman"/>
          <w:color w:val="000000" w:themeColor="text1"/>
          <w:sz w:val="22"/>
          <w:szCs w:val="22"/>
          <w:lang w:val="fr-FR"/>
        </w:rPr>
        <w:t xml:space="preserve">continue avec la </w:t>
      </w:r>
      <w:r w:rsidR="003215FB" w:rsidRPr="005D062F">
        <w:rPr>
          <w:rFonts w:ascii="Times New Roman" w:eastAsia="Times New Roman" w:hAnsi="Times New Roman" w:cs="Times New Roman"/>
          <w:color w:val="000000"/>
          <w:sz w:val="22"/>
          <w:szCs w:val="22"/>
          <w:lang w:val="fr-FR"/>
        </w:rPr>
        <w:t>Commission interaméricaine de la science et de la technologie</w:t>
      </w:r>
      <w:r w:rsidR="003215FB" w:rsidRPr="005D062F">
        <w:rPr>
          <w:rFonts w:ascii="Times New Roman" w:eastAsia="Cambria" w:hAnsi="Times New Roman" w:cs="Times New Roman"/>
          <w:color w:val="000000" w:themeColor="text1"/>
          <w:sz w:val="22"/>
          <w:szCs w:val="22"/>
          <w:lang w:val="fr-FR"/>
        </w:rPr>
        <w:t xml:space="preserve"> </w:t>
      </w:r>
      <w:r w:rsidR="00ED7A8E" w:rsidRPr="005D062F">
        <w:rPr>
          <w:rFonts w:ascii="Times New Roman" w:hAnsi="Times New Roman" w:cs="Times New Roman"/>
          <w:color w:val="000000" w:themeColor="text1"/>
          <w:sz w:val="22"/>
          <w:szCs w:val="22"/>
          <w:lang w:val="fr-FR"/>
        </w:rPr>
        <w:t xml:space="preserve">(COMCYT) </w:t>
      </w:r>
      <w:r w:rsidR="003215FB" w:rsidRPr="005D062F">
        <w:rPr>
          <w:rFonts w:ascii="Times New Roman" w:hAnsi="Times New Roman" w:cs="Times New Roman"/>
          <w:color w:val="000000" w:themeColor="text1"/>
          <w:sz w:val="22"/>
          <w:szCs w:val="22"/>
          <w:lang w:val="fr-FR"/>
        </w:rPr>
        <w:t xml:space="preserve">s’est </w:t>
      </w:r>
      <w:r w:rsidR="00151146" w:rsidRPr="005D062F">
        <w:rPr>
          <w:rFonts w:ascii="Times New Roman" w:hAnsi="Times New Roman" w:cs="Times New Roman"/>
          <w:color w:val="000000" w:themeColor="text1"/>
          <w:sz w:val="22"/>
          <w:szCs w:val="22"/>
          <w:lang w:val="fr-FR"/>
        </w:rPr>
        <w:t>traduite</w:t>
      </w:r>
      <w:r w:rsidR="003215FB" w:rsidRPr="005D062F">
        <w:rPr>
          <w:rFonts w:ascii="Times New Roman" w:hAnsi="Times New Roman" w:cs="Times New Roman"/>
          <w:color w:val="000000" w:themeColor="text1"/>
          <w:sz w:val="22"/>
          <w:szCs w:val="22"/>
          <w:lang w:val="fr-FR"/>
        </w:rPr>
        <w:t xml:space="preserve"> par des progrès considérables dans la préparation des jeunes</w:t>
      </w:r>
      <w:r w:rsidR="001C22B9" w:rsidRPr="005D062F">
        <w:rPr>
          <w:rFonts w:ascii="Times New Roman" w:hAnsi="Times New Roman" w:cs="Times New Roman"/>
          <w:color w:val="000000" w:themeColor="text1"/>
          <w:sz w:val="22"/>
          <w:szCs w:val="22"/>
          <w:lang w:val="fr-FR"/>
        </w:rPr>
        <w:t>,</w:t>
      </w:r>
      <w:r w:rsidR="003215FB" w:rsidRPr="005D062F">
        <w:rPr>
          <w:rFonts w:ascii="Times New Roman" w:hAnsi="Times New Roman" w:cs="Times New Roman"/>
          <w:color w:val="000000" w:themeColor="text1"/>
          <w:sz w:val="22"/>
          <w:szCs w:val="22"/>
          <w:lang w:val="fr-FR"/>
        </w:rPr>
        <w:t xml:space="preserve"> et souvent des populations à risque</w:t>
      </w:r>
      <w:r w:rsidR="001C22B9" w:rsidRPr="005D062F">
        <w:rPr>
          <w:rFonts w:ascii="Times New Roman" w:hAnsi="Times New Roman" w:cs="Times New Roman"/>
          <w:color w:val="000000" w:themeColor="text1"/>
          <w:sz w:val="22"/>
          <w:szCs w:val="22"/>
          <w:lang w:val="fr-FR"/>
        </w:rPr>
        <w:t>,</w:t>
      </w:r>
      <w:r w:rsidR="003215FB" w:rsidRPr="005D062F">
        <w:rPr>
          <w:rFonts w:ascii="Times New Roman" w:hAnsi="Times New Roman" w:cs="Times New Roman"/>
          <w:color w:val="000000" w:themeColor="text1"/>
          <w:sz w:val="22"/>
          <w:szCs w:val="22"/>
          <w:lang w:val="fr-FR"/>
        </w:rPr>
        <w:t xml:space="preserve"> à l’économie </w:t>
      </w:r>
      <w:r w:rsidR="00ED7A8E" w:rsidRPr="005D062F">
        <w:rPr>
          <w:rFonts w:ascii="Times New Roman" w:hAnsi="Times New Roman" w:cs="Times New Roman"/>
          <w:color w:val="000000" w:themeColor="text1"/>
          <w:sz w:val="22"/>
          <w:szCs w:val="22"/>
          <w:lang w:val="fr-FR"/>
        </w:rPr>
        <w:t xml:space="preserve">inclusive </w:t>
      </w:r>
      <w:r w:rsidR="003215FB" w:rsidRPr="005D062F">
        <w:rPr>
          <w:rFonts w:ascii="Times New Roman" w:hAnsi="Times New Roman" w:cs="Times New Roman"/>
          <w:color w:val="000000" w:themeColor="text1"/>
          <w:sz w:val="22"/>
          <w:szCs w:val="22"/>
          <w:lang w:val="fr-FR"/>
        </w:rPr>
        <w:t>dans toute l’Amérique</w:t>
      </w:r>
      <w:r w:rsidR="00ED7A8E" w:rsidRPr="005D062F">
        <w:rPr>
          <w:rFonts w:ascii="Times New Roman" w:hAnsi="Times New Roman" w:cs="Times New Roman"/>
          <w:color w:val="000000" w:themeColor="text1"/>
          <w:sz w:val="22"/>
          <w:szCs w:val="22"/>
          <w:lang w:val="fr-FR"/>
        </w:rPr>
        <w:t xml:space="preserve">. </w:t>
      </w:r>
      <w:r w:rsidR="003215FB" w:rsidRPr="005D062F">
        <w:rPr>
          <w:rFonts w:ascii="Times New Roman" w:hAnsi="Times New Roman" w:cs="Times New Roman"/>
          <w:color w:val="000000" w:themeColor="text1"/>
          <w:sz w:val="22"/>
          <w:szCs w:val="22"/>
          <w:lang w:val="fr-FR"/>
        </w:rPr>
        <w:t>De plus, le</w:t>
      </w:r>
      <w:r w:rsidR="00C2663A" w:rsidRPr="005D062F">
        <w:rPr>
          <w:rFonts w:ascii="Times New Roman" w:hAnsi="Times New Roman" w:cs="Times New Roman"/>
          <w:color w:val="000000" w:themeColor="text1"/>
          <w:sz w:val="22"/>
          <w:szCs w:val="22"/>
          <w:lang w:val="fr-FR"/>
        </w:rPr>
        <w:t xml:space="preserve"> </w:t>
      </w:r>
      <w:r w:rsidR="003215FB" w:rsidRPr="005D062F">
        <w:rPr>
          <w:rFonts w:ascii="Times New Roman" w:hAnsi="Times New Roman" w:cs="Times New Roman"/>
          <w:color w:val="000000" w:themeColor="text1"/>
          <w:sz w:val="22"/>
          <w:szCs w:val="22"/>
          <w:lang w:val="fr-FR"/>
        </w:rPr>
        <w:t xml:space="preserve">travail du </w:t>
      </w:r>
      <w:r w:rsidR="00ED7A8E" w:rsidRPr="005D062F">
        <w:rPr>
          <w:rFonts w:ascii="Times New Roman" w:hAnsi="Times New Roman" w:cs="Times New Roman"/>
          <w:color w:val="000000" w:themeColor="text1"/>
          <w:sz w:val="22"/>
          <w:szCs w:val="22"/>
          <w:lang w:val="fr-FR"/>
        </w:rPr>
        <w:t>SEDI</w:t>
      </w:r>
      <w:r w:rsidR="00C2663A" w:rsidRPr="005D062F">
        <w:rPr>
          <w:rFonts w:ascii="Times New Roman" w:hAnsi="Times New Roman" w:cs="Times New Roman"/>
          <w:color w:val="000000" w:themeColor="text1"/>
          <w:sz w:val="22"/>
          <w:szCs w:val="22"/>
          <w:lang w:val="fr-FR"/>
        </w:rPr>
        <w:t xml:space="preserve"> en faveur de la </w:t>
      </w:r>
      <w:r w:rsidR="003215FB" w:rsidRPr="005D062F">
        <w:rPr>
          <w:rFonts w:ascii="Times New Roman" w:hAnsi="Times New Roman" w:cs="Times New Roman"/>
          <w:color w:val="000000" w:themeColor="text1"/>
          <w:sz w:val="22"/>
          <w:szCs w:val="22"/>
          <w:lang w:val="fr-FR"/>
        </w:rPr>
        <w:t>consolidati</w:t>
      </w:r>
      <w:r w:rsidR="00C2663A" w:rsidRPr="005D062F">
        <w:rPr>
          <w:rFonts w:ascii="Times New Roman" w:hAnsi="Times New Roman" w:cs="Times New Roman"/>
          <w:color w:val="000000" w:themeColor="text1"/>
          <w:sz w:val="22"/>
          <w:szCs w:val="22"/>
          <w:lang w:val="fr-FR"/>
        </w:rPr>
        <w:t>on de</w:t>
      </w:r>
      <w:r w:rsidR="003215FB" w:rsidRPr="005D062F">
        <w:rPr>
          <w:rFonts w:ascii="Times New Roman" w:hAnsi="Times New Roman" w:cs="Times New Roman"/>
          <w:color w:val="000000" w:themeColor="text1"/>
          <w:sz w:val="22"/>
          <w:szCs w:val="22"/>
          <w:lang w:val="fr-FR"/>
        </w:rPr>
        <w:t xml:space="preserve"> l’</w:t>
      </w:r>
      <w:r w:rsidR="00392C24" w:rsidRPr="005D062F">
        <w:rPr>
          <w:rFonts w:ascii="Times New Roman" w:hAnsi="Times New Roman" w:cs="Times New Roman"/>
          <w:color w:val="000000" w:themeColor="text1"/>
          <w:sz w:val="22"/>
          <w:szCs w:val="22"/>
          <w:lang w:val="fr-FR"/>
        </w:rPr>
        <w:t>Indigenous Tourism Collaborati</w:t>
      </w:r>
      <w:r w:rsidR="00F4186C" w:rsidRPr="005D062F">
        <w:rPr>
          <w:rFonts w:ascii="Times New Roman" w:hAnsi="Times New Roman" w:cs="Times New Roman"/>
          <w:color w:val="000000" w:themeColor="text1"/>
          <w:sz w:val="22"/>
          <w:szCs w:val="22"/>
          <w:lang w:val="fr-FR"/>
        </w:rPr>
        <w:t>on</w:t>
      </w:r>
      <w:r w:rsidR="00392C24" w:rsidRPr="005D062F">
        <w:rPr>
          <w:rFonts w:ascii="Times New Roman" w:hAnsi="Times New Roman" w:cs="Times New Roman"/>
          <w:color w:val="000000" w:themeColor="text1"/>
          <w:sz w:val="22"/>
          <w:szCs w:val="22"/>
          <w:lang w:val="fr-FR"/>
        </w:rPr>
        <w:t xml:space="preserve"> of the Americas</w:t>
      </w:r>
      <w:r w:rsidR="00C2663A" w:rsidRPr="005D062F">
        <w:rPr>
          <w:rFonts w:ascii="Times New Roman" w:hAnsi="Times New Roman" w:cs="Times New Roman"/>
          <w:color w:val="000000" w:themeColor="text1"/>
          <w:sz w:val="22"/>
          <w:szCs w:val="22"/>
          <w:lang w:val="fr-FR"/>
        </w:rPr>
        <w:t xml:space="preserve"> (ITCA)</w:t>
      </w:r>
      <w:r w:rsidR="002C4F3F" w:rsidRPr="005D062F">
        <w:rPr>
          <w:rFonts w:ascii="Times New Roman" w:hAnsi="Times New Roman" w:cs="Times New Roman"/>
          <w:color w:val="000000" w:themeColor="text1"/>
          <w:sz w:val="22"/>
          <w:szCs w:val="22"/>
          <w:lang w:val="fr-FR"/>
        </w:rPr>
        <w:t xml:space="preserve">, un réseau </w:t>
      </w:r>
      <w:r w:rsidR="00AB67B9" w:rsidRPr="005D062F">
        <w:rPr>
          <w:rFonts w:ascii="Times New Roman" w:hAnsi="Times New Roman" w:cs="Times New Roman"/>
          <w:color w:val="000000" w:themeColor="text1"/>
          <w:sz w:val="22"/>
          <w:szCs w:val="22"/>
          <w:lang w:val="fr-FR"/>
        </w:rPr>
        <w:t xml:space="preserve">de dirigeants et </w:t>
      </w:r>
      <w:r w:rsidR="002C4F3F" w:rsidRPr="005D062F">
        <w:rPr>
          <w:rFonts w:ascii="Times New Roman" w:hAnsi="Times New Roman" w:cs="Times New Roman"/>
          <w:color w:val="000000" w:themeColor="text1"/>
          <w:sz w:val="22"/>
          <w:szCs w:val="22"/>
          <w:lang w:val="fr-FR"/>
        </w:rPr>
        <w:t>d’</w:t>
      </w:r>
      <w:r w:rsidR="003215FB" w:rsidRPr="005D062F">
        <w:rPr>
          <w:rFonts w:ascii="Times New Roman" w:hAnsi="Times New Roman" w:cs="Times New Roman"/>
          <w:color w:val="000000" w:themeColor="text1"/>
          <w:sz w:val="22"/>
          <w:szCs w:val="22"/>
          <w:lang w:val="fr-FR"/>
        </w:rPr>
        <w:t>orga</w:t>
      </w:r>
      <w:r w:rsidR="001C22B9" w:rsidRPr="005D062F">
        <w:rPr>
          <w:rFonts w:ascii="Times New Roman" w:hAnsi="Times New Roman" w:cs="Times New Roman"/>
          <w:color w:val="000000" w:themeColor="text1"/>
          <w:sz w:val="22"/>
          <w:szCs w:val="22"/>
          <w:lang w:val="fr-FR"/>
        </w:rPr>
        <w:t>nisations autochtones liées à l’</w:t>
      </w:r>
      <w:r w:rsidR="003215FB" w:rsidRPr="005D062F">
        <w:rPr>
          <w:rFonts w:ascii="Times New Roman" w:hAnsi="Times New Roman" w:cs="Times New Roman"/>
          <w:color w:val="000000" w:themeColor="text1"/>
          <w:sz w:val="22"/>
          <w:szCs w:val="22"/>
          <w:lang w:val="fr-FR"/>
        </w:rPr>
        <w:t>industrie du tourisme</w:t>
      </w:r>
      <w:r w:rsidR="001C22B9" w:rsidRPr="005D062F">
        <w:rPr>
          <w:rFonts w:ascii="Times New Roman" w:hAnsi="Times New Roman" w:cs="Times New Roman"/>
          <w:color w:val="000000" w:themeColor="text1"/>
          <w:sz w:val="22"/>
          <w:szCs w:val="22"/>
          <w:lang w:val="fr-FR"/>
        </w:rPr>
        <w:t xml:space="preserve"> dans les Amériques</w:t>
      </w:r>
      <w:r w:rsidR="00C2663A" w:rsidRPr="005D062F">
        <w:rPr>
          <w:rFonts w:ascii="Times New Roman" w:hAnsi="Times New Roman" w:cs="Times New Roman"/>
          <w:color w:val="000000" w:themeColor="text1"/>
          <w:sz w:val="22"/>
          <w:szCs w:val="22"/>
          <w:lang w:val="fr-FR"/>
        </w:rPr>
        <w:t xml:space="preserve">, est un corollaire </w:t>
      </w:r>
      <w:r w:rsidR="00392C24" w:rsidRPr="005D062F">
        <w:rPr>
          <w:rFonts w:ascii="Times New Roman" w:hAnsi="Times New Roman" w:cs="Times New Roman"/>
          <w:color w:val="000000" w:themeColor="text1"/>
          <w:sz w:val="22"/>
          <w:szCs w:val="22"/>
          <w:lang w:val="fr-FR"/>
        </w:rPr>
        <w:t xml:space="preserve">important </w:t>
      </w:r>
      <w:r w:rsidR="002C4F3F" w:rsidRPr="005D062F">
        <w:rPr>
          <w:rFonts w:ascii="Times New Roman" w:hAnsi="Times New Roman" w:cs="Times New Roman"/>
          <w:color w:val="000000" w:themeColor="text1"/>
          <w:sz w:val="22"/>
          <w:szCs w:val="22"/>
          <w:lang w:val="fr-FR"/>
        </w:rPr>
        <w:t>du trava</w:t>
      </w:r>
      <w:r w:rsidR="00C2663A" w:rsidRPr="005D062F">
        <w:rPr>
          <w:rFonts w:ascii="Times New Roman" w:hAnsi="Times New Roman" w:cs="Times New Roman"/>
          <w:color w:val="000000" w:themeColor="text1"/>
          <w:sz w:val="22"/>
          <w:szCs w:val="22"/>
          <w:lang w:val="fr-FR"/>
        </w:rPr>
        <w:t>il des autres partenaires stratégiques</w:t>
      </w:r>
      <w:r w:rsidR="00392C24" w:rsidRPr="005D062F">
        <w:rPr>
          <w:rFonts w:ascii="Times New Roman" w:hAnsi="Times New Roman" w:cs="Times New Roman"/>
          <w:sz w:val="22"/>
          <w:szCs w:val="22"/>
          <w:lang w:val="fr-FR"/>
        </w:rPr>
        <w:t xml:space="preserve">. </w:t>
      </w:r>
    </w:p>
    <w:p w14:paraId="6C504B9F" w14:textId="77777777" w:rsidR="00E01782" w:rsidRPr="005D062F" w:rsidRDefault="00E01782" w:rsidP="00723DAD">
      <w:pPr>
        <w:rPr>
          <w:rFonts w:ascii="Times New Roman" w:hAnsi="Times New Roman" w:cs="Times New Roman"/>
          <w:bCs/>
          <w:sz w:val="22"/>
          <w:szCs w:val="22"/>
          <w:lang w:val="fr-FR"/>
        </w:rPr>
      </w:pPr>
    </w:p>
    <w:p w14:paraId="7018626A" w14:textId="5758F533" w:rsidR="004C5116" w:rsidRPr="005D062F" w:rsidRDefault="00C2663A" w:rsidP="002D4DF7">
      <w:pPr>
        <w:pStyle w:val="Heading2"/>
      </w:pPr>
      <w:bookmarkStart w:id="4" w:name="_Toc124243398"/>
      <w:r w:rsidRPr="002D4DF7">
        <w:t>OBJECTIF</w:t>
      </w:r>
      <w:r w:rsidR="00ED78BF" w:rsidRPr="005D062F">
        <w:t xml:space="preserve"> 1.1</w:t>
      </w:r>
      <w:bookmarkEnd w:id="4"/>
    </w:p>
    <w:p w14:paraId="4685982C" w14:textId="77777777" w:rsidR="0027642A" w:rsidRPr="005D062F" w:rsidRDefault="0027642A" w:rsidP="00CB030B">
      <w:pPr>
        <w:rPr>
          <w:rFonts w:ascii="Times New Roman" w:hAnsi="Times New Roman" w:cs="Times New Roman"/>
          <w:bCs/>
          <w:sz w:val="22"/>
          <w:szCs w:val="22"/>
          <w:lang w:val="fr-FR"/>
        </w:rPr>
      </w:pPr>
    </w:p>
    <w:p w14:paraId="021BB249" w14:textId="7EAE69E4" w:rsidR="00ED78BF" w:rsidRPr="005D062F" w:rsidRDefault="00C2663A" w:rsidP="00CB030B">
      <w:pPr>
        <w:ind w:firstLine="720"/>
        <w:contextualSpacing/>
        <w:jc w:val="both"/>
        <w:rPr>
          <w:rFonts w:ascii="Times New Roman" w:eastAsia="Cambria" w:hAnsi="Times New Roman" w:cs="Times New Roman"/>
          <w:color w:val="000000" w:themeColor="text1"/>
          <w:sz w:val="22"/>
          <w:szCs w:val="22"/>
          <w:lang w:val="fr-FR"/>
        </w:rPr>
      </w:pPr>
      <w:r w:rsidRPr="005D062F">
        <w:rPr>
          <w:rFonts w:ascii="Times New Roman" w:eastAsia="Cambria" w:hAnsi="Times New Roman" w:cs="Times New Roman"/>
          <w:color w:val="000000" w:themeColor="text1"/>
          <w:sz w:val="22"/>
          <w:szCs w:val="22"/>
          <w:lang w:val="fr-FR"/>
        </w:rPr>
        <w:t>Accroître la capacité des institutions des États membres qui contribuent à l’élaboration et la mise en œuvre de politiques et programmes favorisant la productivité, l’entrepreneuriat, l’innovation et l’internationalisation des MPME</w:t>
      </w:r>
      <w:r w:rsidR="00ED78BF" w:rsidRPr="005D062F">
        <w:rPr>
          <w:rFonts w:ascii="Times New Roman" w:eastAsia="Cambria" w:hAnsi="Times New Roman" w:cs="Times New Roman"/>
          <w:color w:val="000000" w:themeColor="text1"/>
          <w:sz w:val="22"/>
          <w:szCs w:val="22"/>
          <w:lang w:val="fr-FR"/>
        </w:rPr>
        <w:t xml:space="preserve">, </w:t>
      </w:r>
      <w:r w:rsidRPr="005D062F">
        <w:rPr>
          <w:rFonts w:ascii="Times New Roman" w:eastAsia="Cambria" w:hAnsi="Times New Roman" w:cs="Times New Roman"/>
          <w:color w:val="000000" w:themeColor="text1"/>
          <w:sz w:val="22"/>
          <w:szCs w:val="22"/>
          <w:lang w:val="fr-FR"/>
        </w:rPr>
        <w:t>ainsi que des coopératives et autres unités de production</w:t>
      </w:r>
      <w:r w:rsidR="00ED78BF" w:rsidRPr="005D062F">
        <w:rPr>
          <w:rFonts w:ascii="Times New Roman" w:eastAsia="Cambria" w:hAnsi="Times New Roman" w:cs="Times New Roman"/>
          <w:color w:val="000000" w:themeColor="text1"/>
          <w:sz w:val="22"/>
          <w:szCs w:val="22"/>
          <w:lang w:val="fr-FR"/>
        </w:rPr>
        <w:t xml:space="preserve">. </w:t>
      </w:r>
    </w:p>
    <w:p w14:paraId="7B93417B" w14:textId="77777777" w:rsidR="00ED78BF" w:rsidRPr="005D062F" w:rsidRDefault="00ED78BF" w:rsidP="00723DAD">
      <w:pPr>
        <w:rPr>
          <w:rFonts w:ascii="Times New Roman" w:hAnsi="Times New Roman" w:cs="Times New Roman"/>
          <w:bCs/>
          <w:sz w:val="22"/>
          <w:szCs w:val="22"/>
          <w:lang w:val="fr-FR"/>
        </w:rPr>
      </w:pPr>
    </w:p>
    <w:p w14:paraId="5B43F6E8" w14:textId="1E893B26" w:rsidR="00ED78BF" w:rsidRPr="005D062F" w:rsidRDefault="007D5150" w:rsidP="00CB030B">
      <w:pPr>
        <w:ind w:firstLine="720"/>
        <w:jc w:val="both"/>
        <w:rPr>
          <w:rFonts w:ascii="Times New Roman" w:hAnsi="Times New Roman" w:cs="Times New Roman"/>
          <w:b/>
          <w:bCs/>
          <w:color w:val="000000"/>
          <w:sz w:val="22"/>
          <w:szCs w:val="22"/>
          <w:lang w:val="fr-FR"/>
        </w:rPr>
      </w:pPr>
      <w:r w:rsidRPr="005D062F">
        <w:rPr>
          <w:rFonts w:ascii="Times New Roman" w:hAnsi="Times New Roman" w:cs="Times New Roman"/>
          <w:b/>
          <w:bCs/>
          <w:color w:val="000000"/>
          <w:sz w:val="22"/>
          <w:szCs w:val="22"/>
          <w:lang w:val="fr-FR"/>
        </w:rPr>
        <w:t>Renforcement des MP</w:t>
      </w:r>
      <w:r w:rsidR="00ED78BF" w:rsidRPr="005D062F">
        <w:rPr>
          <w:rFonts w:ascii="Times New Roman" w:hAnsi="Times New Roman" w:cs="Times New Roman"/>
          <w:b/>
          <w:bCs/>
          <w:color w:val="000000"/>
          <w:sz w:val="22"/>
          <w:szCs w:val="22"/>
          <w:lang w:val="fr-FR"/>
        </w:rPr>
        <w:t xml:space="preserve">ME </w:t>
      </w:r>
      <w:r w:rsidRPr="005D062F">
        <w:rPr>
          <w:rFonts w:ascii="Times New Roman" w:hAnsi="Times New Roman" w:cs="Times New Roman"/>
          <w:b/>
          <w:bCs/>
          <w:color w:val="000000"/>
          <w:sz w:val="22"/>
          <w:szCs w:val="22"/>
          <w:lang w:val="fr-FR"/>
        </w:rPr>
        <w:t>et coopé</w:t>
      </w:r>
      <w:r w:rsidR="00ED78BF" w:rsidRPr="005D062F">
        <w:rPr>
          <w:rFonts w:ascii="Times New Roman" w:hAnsi="Times New Roman" w:cs="Times New Roman"/>
          <w:b/>
          <w:bCs/>
          <w:color w:val="000000"/>
          <w:sz w:val="22"/>
          <w:szCs w:val="22"/>
          <w:lang w:val="fr-FR"/>
        </w:rPr>
        <w:t>ration</w:t>
      </w:r>
      <w:r w:rsidRPr="005D062F">
        <w:rPr>
          <w:rFonts w:ascii="Times New Roman" w:hAnsi="Times New Roman" w:cs="Times New Roman"/>
          <w:b/>
          <w:bCs/>
          <w:color w:val="000000"/>
          <w:sz w:val="22"/>
          <w:szCs w:val="22"/>
          <w:lang w:val="fr-FR"/>
        </w:rPr>
        <w:t xml:space="preserve"> régionale</w:t>
      </w:r>
    </w:p>
    <w:p w14:paraId="5964105A" w14:textId="77777777" w:rsidR="00ED78BF" w:rsidRPr="005D062F" w:rsidRDefault="00ED78BF" w:rsidP="00723DAD">
      <w:pPr>
        <w:rPr>
          <w:rFonts w:ascii="Times New Roman" w:hAnsi="Times New Roman" w:cs="Times New Roman"/>
          <w:bCs/>
          <w:sz w:val="22"/>
          <w:szCs w:val="22"/>
          <w:lang w:val="fr-FR"/>
        </w:rPr>
      </w:pPr>
    </w:p>
    <w:p w14:paraId="6ED42003" w14:textId="684B3FC9" w:rsidR="00ED78BF" w:rsidRPr="005D062F" w:rsidRDefault="001C22B9" w:rsidP="00CB030B">
      <w:pPr>
        <w:pStyle w:val="ListParagraph"/>
        <w:numPr>
          <w:ilvl w:val="0"/>
          <w:numId w:val="6"/>
        </w:numPr>
        <w:ind w:left="1440" w:hanging="720"/>
        <w:contextualSpacing/>
        <w:jc w:val="both"/>
        <w:rPr>
          <w:rFonts w:eastAsia="Times New Roman"/>
          <w:color w:val="000000"/>
          <w:sz w:val="22"/>
          <w:szCs w:val="22"/>
          <w:lang w:val="fr-FR"/>
        </w:rPr>
      </w:pPr>
      <w:r w:rsidRPr="005D062F">
        <w:rPr>
          <w:rFonts w:eastAsia="Times New Roman"/>
          <w:color w:val="000000"/>
          <w:sz w:val="22"/>
          <w:szCs w:val="22"/>
          <w:lang w:val="fr-FR"/>
        </w:rPr>
        <w:t>En partenariat avec l’</w:t>
      </w:r>
      <w:r w:rsidR="004D74C2" w:rsidRPr="005D062F">
        <w:rPr>
          <w:rFonts w:eastAsia="Times New Roman"/>
          <w:color w:val="000000"/>
          <w:sz w:val="22"/>
          <w:szCs w:val="22"/>
          <w:lang w:val="fr-FR"/>
        </w:rPr>
        <w:t>orga</w:t>
      </w:r>
      <w:r w:rsidR="00D8592F" w:rsidRPr="005D062F">
        <w:rPr>
          <w:rFonts w:eastAsia="Times New Roman"/>
          <w:color w:val="000000"/>
          <w:sz w:val="22"/>
          <w:szCs w:val="22"/>
          <w:lang w:val="fr-FR"/>
        </w:rPr>
        <w:t>nisme du Gouvernement chilien d’</w:t>
      </w:r>
      <w:r w:rsidR="004D74C2" w:rsidRPr="005D062F">
        <w:rPr>
          <w:rFonts w:eastAsia="Times New Roman"/>
          <w:color w:val="000000"/>
          <w:sz w:val="22"/>
          <w:szCs w:val="22"/>
          <w:lang w:val="fr-FR"/>
        </w:rPr>
        <w:t xml:space="preserve">aide aux microentreprises et petites entreprises </w:t>
      </w:r>
      <w:r w:rsidR="00ED78BF" w:rsidRPr="005D062F">
        <w:rPr>
          <w:rFonts w:eastAsia="Times New Roman"/>
          <w:color w:val="000000"/>
          <w:sz w:val="22"/>
          <w:szCs w:val="22"/>
          <w:lang w:val="fr-FR"/>
        </w:rPr>
        <w:t xml:space="preserve">(SERCOTEC), </w:t>
      </w:r>
      <w:r w:rsidR="00F0346D" w:rsidRPr="005D062F">
        <w:rPr>
          <w:rFonts w:eastAsia="Times New Roman"/>
          <w:color w:val="000000"/>
          <w:sz w:val="22"/>
          <w:szCs w:val="22"/>
          <w:lang w:val="fr-FR"/>
        </w:rPr>
        <w:t xml:space="preserve">quatre </w:t>
      </w:r>
      <w:r w:rsidR="00ED78BF" w:rsidRPr="005D062F">
        <w:rPr>
          <w:rFonts w:eastAsia="Times New Roman"/>
          <w:color w:val="000000"/>
          <w:sz w:val="22"/>
          <w:szCs w:val="22"/>
          <w:lang w:val="fr-FR"/>
        </w:rPr>
        <w:t>webina</w:t>
      </w:r>
      <w:r w:rsidR="00F0346D" w:rsidRPr="005D062F">
        <w:rPr>
          <w:rFonts w:eastAsia="Times New Roman"/>
          <w:color w:val="000000"/>
          <w:sz w:val="22"/>
          <w:szCs w:val="22"/>
          <w:lang w:val="fr-FR"/>
        </w:rPr>
        <w:t>i</w:t>
      </w:r>
      <w:r w:rsidR="00ED78BF" w:rsidRPr="005D062F">
        <w:rPr>
          <w:rFonts w:eastAsia="Times New Roman"/>
          <w:color w:val="000000"/>
          <w:sz w:val="22"/>
          <w:szCs w:val="22"/>
          <w:lang w:val="fr-FR"/>
        </w:rPr>
        <w:t>r</w:t>
      </w:r>
      <w:r w:rsidR="00F0346D" w:rsidRPr="005D062F">
        <w:rPr>
          <w:rFonts w:eastAsia="Times New Roman"/>
          <w:color w:val="000000"/>
          <w:sz w:val="22"/>
          <w:szCs w:val="22"/>
          <w:lang w:val="fr-FR"/>
        </w:rPr>
        <w:t>e</w:t>
      </w:r>
      <w:r w:rsidR="00ED78BF" w:rsidRPr="005D062F">
        <w:rPr>
          <w:rFonts w:eastAsia="Times New Roman"/>
          <w:color w:val="000000"/>
          <w:sz w:val="22"/>
          <w:szCs w:val="22"/>
          <w:lang w:val="fr-FR"/>
        </w:rPr>
        <w:t>s</w:t>
      </w:r>
      <w:r w:rsidR="00F0346D" w:rsidRPr="005D062F">
        <w:rPr>
          <w:rFonts w:eastAsia="Times New Roman"/>
          <w:color w:val="000000"/>
          <w:sz w:val="22"/>
          <w:szCs w:val="22"/>
          <w:lang w:val="fr-FR"/>
        </w:rPr>
        <w:t xml:space="preserve"> individualisés</w:t>
      </w:r>
      <w:r w:rsidR="00ED78BF" w:rsidRPr="005D062F">
        <w:rPr>
          <w:rFonts w:eastAsia="Times New Roman"/>
          <w:color w:val="000000"/>
          <w:sz w:val="22"/>
          <w:szCs w:val="22"/>
          <w:lang w:val="fr-FR"/>
        </w:rPr>
        <w:t xml:space="preserve"> (</w:t>
      </w:r>
      <w:r w:rsidR="00F0346D" w:rsidRPr="005D062F">
        <w:rPr>
          <w:rFonts w:eastAsia="Times New Roman"/>
          <w:color w:val="000000"/>
          <w:sz w:val="22"/>
          <w:szCs w:val="22"/>
          <w:lang w:val="fr-FR"/>
        </w:rPr>
        <w:t xml:space="preserve">institutions d’appui aux </w:t>
      </w:r>
      <w:r w:rsidR="00ED78BF" w:rsidRPr="005D062F">
        <w:rPr>
          <w:rFonts w:eastAsia="Times New Roman"/>
          <w:color w:val="000000"/>
          <w:sz w:val="22"/>
          <w:szCs w:val="22"/>
          <w:lang w:val="fr-FR"/>
        </w:rPr>
        <w:t>M</w:t>
      </w:r>
      <w:r w:rsidR="00F0346D" w:rsidRPr="005D062F">
        <w:rPr>
          <w:rFonts w:eastAsia="Times New Roman"/>
          <w:color w:val="000000"/>
          <w:sz w:val="22"/>
          <w:szCs w:val="22"/>
          <w:lang w:val="fr-FR"/>
        </w:rPr>
        <w:t>P</w:t>
      </w:r>
      <w:r w:rsidR="00ED78BF" w:rsidRPr="005D062F">
        <w:rPr>
          <w:rFonts w:eastAsia="Times New Roman"/>
          <w:color w:val="000000"/>
          <w:sz w:val="22"/>
          <w:szCs w:val="22"/>
          <w:lang w:val="fr-FR"/>
        </w:rPr>
        <w:t xml:space="preserve">ME, </w:t>
      </w:r>
      <w:r w:rsidR="00F0346D" w:rsidRPr="005D062F">
        <w:rPr>
          <w:rFonts w:eastAsia="Times New Roman"/>
          <w:color w:val="000000"/>
          <w:sz w:val="22"/>
          <w:szCs w:val="22"/>
          <w:lang w:val="fr-FR"/>
        </w:rPr>
        <w:t>é</w:t>
      </w:r>
      <w:r w:rsidR="00ED78BF" w:rsidRPr="005D062F">
        <w:rPr>
          <w:rFonts w:eastAsia="Times New Roman"/>
          <w:color w:val="000000"/>
          <w:sz w:val="22"/>
          <w:szCs w:val="22"/>
          <w:lang w:val="fr-FR"/>
        </w:rPr>
        <w:t>cosyst</w:t>
      </w:r>
      <w:r w:rsidR="00F0346D" w:rsidRPr="005D062F">
        <w:rPr>
          <w:rFonts w:eastAsia="Times New Roman"/>
          <w:color w:val="000000"/>
          <w:sz w:val="22"/>
          <w:szCs w:val="22"/>
          <w:lang w:val="fr-FR"/>
        </w:rPr>
        <w:t>è</w:t>
      </w:r>
      <w:r w:rsidR="00ED78BF" w:rsidRPr="005D062F">
        <w:rPr>
          <w:rFonts w:eastAsia="Times New Roman"/>
          <w:color w:val="000000"/>
          <w:sz w:val="22"/>
          <w:szCs w:val="22"/>
          <w:lang w:val="fr-FR"/>
        </w:rPr>
        <w:t>m</w:t>
      </w:r>
      <w:r w:rsidR="00F0346D" w:rsidRPr="005D062F">
        <w:rPr>
          <w:rFonts w:eastAsia="Times New Roman"/>
          <w:color w:val="000000"/>
          <w:sz w:val="22"/>
          <w:szCs w:val="22"/>
          <w:lang w:val="fr-FR"/>
        </w:rPr>
        <w:t>e entrepreneurial chilien</w:t>
      </w:r>
      <w:r w:rsidR="00ED78BF" w:rsidRPr="005D062F">
        <w:rPr>
          <w:rFonts w:eastAsia="Times New Roman"/>
          <w:color w:val="000000"/>
          <w:sz w:val="22"/>
          <w:szCs w:val="22"/>
          <w:lang w:val="fr-FR"/>
        </w:rPr>
        <w:t>, commerce</w:t>
      </w:r>
      <w:r w:rsidR="00F0346D" w:rsidRPr="005D062F">
        <w:rPr>
          <w:rFonts w:eastAsia="Times New Roman"/>
          <w:color w:val="000000"/>
          <w:sz w:val="22"/>
          <w:szCs w:val="22"/>
          <w:lang w:val="fr-FR"/>
        </w:rPr>
        <w:t xml:space="preserve"> local et </w:t>
      </w:r>
      <w:r w:rsidR="00ED78BF" w:rsidRPr="005D062F">
        <w:rPr>
          <w:rFonts w:eastAsia="Times New Roman"/>
          <w:color w:val="000000"/>
          <w:sz w:val="22"/>
          <w:szCs w:val="22"/>
          <w:lang w:val="fr-FR"/>
        </w:rPr>
        <w:t>commerce</w:t>
      </w:r>
      <w:r w:rsidR="00F0346D" w:rsidRPr="005D062F">
        <w:rPr>
          <w:rFonts w:eastAsia="Times New Roman"/>
          <w:color w:val="000000"/>
          <w:sz w:val="22"/>
          <w:szCs w:val="22"/>
          <w:lang w:val="fr-FR"/>
        </w:rPr>
        <w:t xml:space="preserve"> électronique</w:t>
      </w:r>
      <w:r w:rsidR="00ED78BF" w:rsidRPr="005D062F">
        <w:rPr>
          <w:rFonts w:eastAsia="Times New Roman"/>
          <w:color w:val="000000"/>
          <w:sz w:val="22"/>
          <w:szCs w:val="22"/>
          <w:lang w:val="fr-FR"/>
        </w:rPr>
        <w:t xml:space="preserve">) </w:t>
      </w:r>
      <w:r w:rsidR="00F0346D" w:rsidRPr="005D062F">
        <w:rPr>
          <w:rFonts w:eastAsia="Times New Roman"/>
          <w:color w:val="000000"/>
          <w:sz w:val="22"/>
          <w:szCs w:val="22"/>
          <w:lang w:val="fr-FR"/>
        </w:rPr>
        <w:t xml:space="preserve">ont été organisés dans le cadre de l’Accord de coopération entre l’OEA et le </w:t>
      </w:r>
      <w:r w:rsidR="00ED78BF" w:rsidRPr="005D062F">
        <w:rPr>
          <w:rFonts w:eastAsia="Times New Roman"/>
          <w:color w:val="000000"/>
          <w:sz w:val="22"/>
          <w:szCs w:val="22"/>
          <w:lang w:val="fr-FR"/>
        </w:rPr>
        <w:t>Go</w:t>
      </w:r>
      <w:r w:rsidR="00F0346D" w:rsidRPr="005D062F">
        <w:rPr>
          <w:rFonts w:eastAsia="Times New Roman"/>
          <w:color w:val="000000"/>
          <w:sz w:val="22"/>
          <w:szCs w:val="22"/>
          <w:lang w:val="fr-FR"/>
        </w:rPr>
        <w:t>u</w:t>
      </w:r>
      <w:r w:rsidR="00ED78BF" w:rsidRPr="005D062F">
        <w:rPr>
          <w:rFonts w:eastAsia="Times New Roman"/>
          <w:color w:val="000000"/>
          <w:sz w:val="22"/>
          <w:szCs w:val="22"/>
          <w:lang w:val="fr-FR"/>
        </w:rPr>
        <w:t>vern</w:t>
      </w:r>
      <w:r w:rsidR="00F0346D" w:rsidRPr="005D062F">
        <w:rPr>
          <w:rFonts w:eastAsia="Times New Roman"/>
          <w:color w:val="000000"/>
          <w:sz w:val="22"/>
          <w:szCs w:val="22"/>
          <w:lang w:val="fr-FR"/>
        </w:rPr>
        <w:t>e</w:t>
      </w:r>
      <w:r w:rsidR="00ED78BF" w:rsidRPr="005D062F">
        <w:rPr>
          <w:rFonts w:eastAsia="Times New Roman"/>
          <w:color w:val="000000"/>
          <w:sz w:val="22"/>
          <w:szCs w:val="22"/>
          <w:lang w:val="fr-FR"/>
        </w:rPr>
        <w:t xml:space="preserve">ment </w:t>
      </w:r>
      <w:r w:rsidR="00F0346D" w:rsidRPr="005D062F">
        <w:rPr>
          <w:rFonts w:eastAsia="Times New Roman"/>
          <w:color w:val="000000"/>
          <w:sz w:val="22"/>
          <w:szCs w:val="22"/>
          <w:lang w:val="fr-FR"/>
        </w:rPr>
        <w:t>péruvien pour soutenir les</w:t>
      </w:r>
      <w:r w:rsidR="00ED78BF" w:rsidRPr="005D062F">
        <w:rPr>
          <w:rFonts w:eastAsia="Times New Roman"/>
          <w:color w:val="000000"/>
          <w:sz w:val="22"/>
          <w:szCs w:val="22"/>
          <w:lang w:val="fr-FR"/>
        </w:rPr>
        <w:t xml:space="preserve"> M</w:t>
      </w:r>
      <w:r w:rsidR="00F0346D" w:rsidRPr="005D062F">
        <w:rPr>
          <w:rFonts w:eastAsia="Times New Roman"/>
          <w:color w:val="000000"/>
          <w:sz w:val="22"/>
          <w:szCs w:val="22"/>
          <w:lang w:val="fr-FR"/>
        </w:rPr>
        <w:t>PME</w:t>
      </w:r>
      <w:r w:rsidR="00ED78BF" w:rsidRPr="005D062F">
        <w:rPr>
          <w:rFonts w:eastAsia="Times New Roman"/>
          <w:color w:val="000000"/>
          <w:sz w:val="22"/>
          <w:szCs w:val="22"/>
          <w:lang w:val="fr-FR"/>
        </w:rPr>
        <w:t>.</w:t>
      </w:r>
    </w:p>
    <w:p w14:paraId="5ADD12B1" w14:textId="77777777" w:rsidR="00ED78BF" w:rsidRPr="005D062F" w:rsidRDefault="00ED78BF" w:rsidP="00723DAD">
      <w:pPr>
        <w:rPr>
          <w:rFonts w:ascii="Times New Roman" w:hAnsi="Times New Roman" w:cs="Times New Roman"/>
          <w:color w:val="000000"/>
          <w:sz w:val="22"/>
          <w:szCs w:val="22"/>
          <w:lang w:val="fr-FR"/>
        </w:rPr>
      </w:pPr>
    </w:p>
    <w:p w14:paraId="6E22F706" w14:textId="2B9B1FA0" w:rsidR="00ED78BF" w:rsidRPr="005D062F" w:rsidRDefault="001B478A" w:rsidP="00CB030B">
      <w:pPr>
        <w:pStyle w:val="paragraph"/>
        <w:spacing w:before="0" w:beforeAutospacing="0" w:after="0" w:afterAutospacing="0"/>
        <w:ind w:left="1440" w:hanging="720"/>
        <w:jc w:val="both"/>
        <w:textAlignment w:val="baseline"/>
        <w:rPr>
          <w:b/>
          <w:bCs/>
          <w:color w:val="000000"/>
          <w:sz w:val="22"/>
          <w:szCs w:val="22"/>
          <w:lang w:val="fr-FR"/>
        </w:rPr>
      </w:pPr>
      <w:r w:rsidRPr="005D062F">
        <w:rPr>
          <w:rFonts w:eastAsia="Times New Roman"/>
          <w:b/>
          <w:color w:val="000000"/>
          <w:sz w:val="22"/>
          <w:szCs w:val="22"/>
          <w:lang w:val="fr-FR"/>
        </w:rPr>
        <w:t>Programme de numérisation de l’</w:t>
      </w:r>
      <w:r w:rsidR="00657864" w:rsidRPr="005D062F">
        <w:rPr>
          <w:rFonts w:eastAsia="Times New Roman"/>
          <w:b/>
          <w:color w:val="000000"/>
          <w:sz w:val="22"/>
          <w:szCs w:val="22"/>
          <w:lang w:val="fr-FR"/>
        </w:rPr>
        <w:t xml:space="preserve">OEA pour les </w:t>
      </w:r>
      <w:r w:rsidR="00ED78BF" w:rsidRPr="005D062F">
        <w:rPr>
          <w:b/>
          <w:bCs/>
          <w:color w:val="000000"/>
          <w:sz w:val="22"/>
          <w:szCs w:val="22"/>
          <w:lang w:val="fr-FR"/>
        </w:rPr>
        <w:t>M</w:t>
      </w:r>
      <w:r w:rsidR="00657864" w:rsidRPr="005D062F">
        <w:rPr>
          <w:b/>
          <w:bCs/>
          <w:color w:val="000000"/>
          <w:sz w:val="22"/>
          <w:szCs w:val="22"/>
          <w:lang w:val="fr-FR"/>
        </w:rPr>
        <w:t>P</w:t>
      </w:r>
      <w:r w:rsidR="00ED78BF" w:rsidRPr="005D062F">
        <w:rPr>
          <w:b/>
          <w:bCs/>
          <w:color w:val="000000"/>
          <w:sz w:val="22"/>
          <w:szCs w:val="22"/>
          <w:lang w:val="fr-FR"/>
        </w:rPr>
        <w:t xml:space="preserve">ME </w:t>
      </w:r>
    </w:p>
    <w:p w14:paraId="4E6BA281" w14:textId="77777777" w:rsidR="00ED78BF" w:rsidRPr="005D062F" w:rsidRDefault="00ED78BF" w:rsidP="00723DAD">
      <w:pPr>
        <w:rPr>
          <w:rFonts w:ascii="Times New Roman" w:hAnsi="Times New Roman" w:cs="Times New Roman"/>
          <w:bCs/>
          <w:sz w:val="22"/>
          <w:szCs w:val="22"/>
          <w:lang w:val="fr-FR"/>
        </w:rPr>
      </w:pPr>
    </w:p>
    <w:p w14:paraId="12461C7D" w14:textId="6E332C79" w:rsidR="00ED78BF" w:rsidRPr="005D062F" w:rsidRDefault="00657864" w:rsidP="00CB030B">
      <w:pPr>
        <w:pStyle w:val="ListParagraph"/>
        <w:numPr>
          <w:ilvl w:val="0"/>
          <w:numId w:val="6"/>
        </w:numPr>
        <w:ind w:left="1440" w:hanging="720"/>
        <w:contextualSpacing/>
        <w:jc w:val="both"/>
        <w:rPr>
          <w:color w:val="000000" w:themeColor="text1"/>
          <w:sz w:val="22"/>
          <w:szCs w:val="22"/>
          <w:lang w:val="fr-FR"/>
        </w:rPr>
      </w:pPr>
      <w:r w:rsidRPr="005D062F">
        <w:rPr>
          <w:color w:val="000000" w:themeColor="text1"/>
          <w:sz w:val="22"/>
          <w:szCs w:val="22"/>
          <w:lang w:val="fr-FR"/>
        </w:rPr>
        <w:t xml:space="preserve">Dans le cadre du partenariat commercial </w:t>
      </w:r>
      <w:r w:rsidR="00ED78BF" w:rsidRPr="005D062F">
        <w:rPr>
          <w:color w:val="000000" w:themeColor="text1"/>
          <w:sz w:val="22"/>
          <w:szCs w:val="22"/>
          <w:lang w:val="fr-FR"/>
        </w:rPr>
        <w:t>O</w:t>
      </w:r>
      <w:r w:rsidRPr="005D062F">
        <w:rPr>
          <w:color w:val="000000" w:themeColor="text1"/>
          <w:sz w:val="22"/>
          <w:szCs w:val="22"/>
          <w:lang w:val="fr-FR"/>
        </w:rPr>
        <w:t>EA</w:t>
      </w:r>
      <w:r w:rsidR="00ED78BF" w:rsidRPr="005D062F">
        <w:rPr>
          <w:color w:val="000000" w:themeColor="text1"/>
          <w:sz w:val="22"/>
          <w:szCs w:val="22"/>
          <w:lang w:val="fr-FR"/>
        </w:rPr>
        <w:t xml:space="preserve">-WhatsApp Business </w:t>
      </w:r>
      <w:r w:rsidRPr="005D062F">
        <w:rPr>
          <w:color w:val="000000" w:themeColor="text1"/>
          <w:sz w:val="22"/>
          <w:szCs w:val="22"/>
          <w:lang w:val="fr-FR"/>
        </w:rPr>
        <w:t>pour les</w:t>
      </w:r>
      <w:r w:rsidR="00ED78BF" w:rsidRPr="005D062F">
        <w:rPr>
          <w:color w:val="000000" w:themeColor="text1"/>
          <w:sz w:val="22"/>
          <w:szCs w:val="22"/>
          <w:lang w:val="fr-FR"/>
        </w:rPr>
        <w:t xml:space="preserve"> M</w:t>
      </w:r>
      <w:r w:rsidRPr="005D062F">
        <w:rPr>
          <w:color w:val="000000" w:themeColor="text1"/>
          <w:sz w:val="22"/>
          <w:szCs w:val="22"/>
          <w:lang w:val="fr-FR"/>
        </w:rPr>
        <w:t>PME</w:t>
      </w:r>
      <w:r w:rsidR="00ED78BF" w:rsidRPr="005D062F">
        <w:rPr>
          <w:color w:val="000000" w:themeColor="text1"/>
          <w:sz w:val="22"/>
          <w:szCs w:val="22"/>
          <w:lang w:val="fr-FR"/>
        </w:rPr>
        <w:t xml:space="preserve">, WhatsApp </w:t>
      </w:r>
      <w:r w:rsidRPr="005D062F">
        <w:rPr>
          <w:color w:val="000000" w:themeColor="text1"/>
          <w:sz w:val="22"/>
          <w:szCs w:val="22"/>
          <w:lang w:val="fr-FR"/>
        </w:rPr>
        <w:t xml:space="preserve">a proposé de collaborer avec l’OEA dans l’optique d’organiser une série de sessions de formation de formateurs pour les autorités et les autres responsables de l’aide au développement du secteur des </w:t>
      </w:r>
      <w:r w:rsidR="00ED78BF" w:rsidRPr="005D062F">
        <w:rPr>
          <w:color w:val="000000" w:themeColor="text1"/>
          <w:sz w:val="22"/>
          <w:szCs w:val="22"/>
          <w:lang w:val="fr-FR"/>
        </w:rPr>
        <w:t>M</w:t>
      </w:r>
      <w:r w:rsidRPr="005D062F">
        <w:rPr>
          <w:color w:val="000000" w:themeColor="text1"/>
          <w:sz w:val="22"/>
          <w:szCs w:val="22"/>
          <w:lang w:val="fr-FR"/>
        </w:rPr>
        <w:t>P</w:t>
      </w:r>
      <w:r w:rsidR="00ED78BF" w:rsidRPr="005D062F">
        <w:rPr>
          <w:color w:val="000000" w:themeColor="text1"/>
          <w:sz w:val="22"/>
          <w:szCs w:val="22"/>
          <w:lang w:val="fr-FR"/>
        </w:rPr>
        <w:t xml:space="preserve">ME </w:t>
      </w:r>
      <w:r w:rsidRPr="005D062F">
        <w:rPr>
          <w:color w:val="000000" w:themeColor="text1"/>
          <w:sz w:val="22"/>
          <w:szCs w:val="22"/>
          <w:lang w:val="fr-FR"/>
        </w:rPr>
        <w:t>sur l’utilisation des outils WhatsApp Business, l’objectif étant de leur permettre d’établir un lien direct avec les clients et</w:t>
      </w:r>
      <w:r w:rsidR="00E57626" w:rsidRPr="005D062F">
        <w:rPr>
          <w:color w:val="000000" w:themeColor="text1"/>
          <w:sz w:val="22"/>
          <w:szCs w:val="22"/>
          <w:lang w:val="fr-FR"/>
        </w:rPr>
        <w:t xml:space="preserve"> de conquérir de nouveaux marchés au moyen d’une technologie gratuite, </w:t>
      </w:r>
      <w:r w:rsidR="00ED78BF" w:rsidRPr="005D062F">
        <w:rPr>
          <w:color w:val="000000" w:themeColor="text1"/>
          <w:sz w:val="22"/>
          <w:szCs w:val="22"/>
          <w:lang w:val="fr-FR"/>
        </w:rPr>
        <w:t xml:space="preserve">simple, </w:t>
      </w:r>
      <w:r w:rsidR="00E57626" w:rsidRPr="005D062F">
        <w:rPr>
          <w:color w:val="000000" w:themeColor="text1"/>
          <w:sz w:val="22"/>
          <w:szCs w:val="22"/>
          <w:lang w:val="fr-FR"/>
        </w:rPr>
        <w:t>f</w:t>
      </w:r>
      <w:r w:rsidR="00E01782" w:rsidRPr="005D062F">
        <w:rPr>
          <w:color w:val="000000" w:themeColor="text1"/>
          <w:sz w:val="22"/>
          <w:szCs w:val="22"/>
          <w:lang w:val="fr-FR"/>
        </w:rPr>
        <w:t>iable</w:t>
      </w:r>
      <w:r w:rsidR="00E57626" w:rsidRPr="005D062F">
        <w:rPr>
          <w:color w:val="000000" w:themeColor="text1"/>
          <w:sz w:val="22"/>
          <w:szCs w:val="22"/>
          <w:lang w:val="fr-FR"/>
        </w:rPr>
        <w:t xml:space="preserve"> et sûre</w:t>
      </w:r>
      <w:r w:rsidR="00ED78BF" w:rsidRPr="005D062F">
        <w:rPr>
          <w:color w:val="000000" w:themeColor="text1"/>
          <w:sz w:val="22"/>
          <w:szCs w:val="22"/>
          <w:lang w:val="fr-FR"/>
        </w:rPr>
        <w:t>.</w:t>
      </w:r>
    </w:p>
    <w:p w14:paraId="26BF90EC" w14:textId="4BA686E1" w:rsidR="0074320E" w:rsidRPr="005D062F" w:rsidRDefault="0074320E" w:rsidP="00723DAD">
      <w:pPr>
        <w:rPr>
          <w:rFonts w:ascii="Times New Roman" w:hAnsi="Times New Roman" w:cs="Times New Roman"/>
          <w:color w:val="000000"/>
          <w:sz w:val="22"/>
          <w:szCs w:val="22"/>
          <w:lang w:val="fr-FR"/>
        </w:rPr>
      </w:pPr>
    </w:p>
    <w:p w14:paraId="1E277957" w14:textId="77187D4F" w:rsidR="00ED78BF" w:rsidRPr="005D062F" w:rsidRDefault="00E57626" w:rsidP="00BC7DB3">
      <w:pPr>
        <w:keepNext/>
        <w:ind w:left="1440" w:hanging="720"/>
        <w:jc w:val="both"/>
        <w:rPr>
          <w:rFonts w:ascii="Times New Roman" w:hAnsi="Times New Roman" w:cs="Times New Roman"/>
          <w:b/>
          <w:bCs/>
          <w:color w:val="000000"/>
          <w:sz w:val="22"/>
          <w:szCs w:val="22"/>
          <w:lang w:val="fr-FR"/>
        </w:rPr>
      </w:pPr>
      <w:r w:rsidRPr="005D062F">
        <w:rPr>
          <w:rFonts w:ascii="Times New Roman" w:hAnsi="Times New Roman" w:cs="Times New Roman"/>
          <w:b/>
          <w:bCs/>
          <w:color w:val="000000"/>
          <w:sz w:val="22"/>
          <w:szCs w:val="22"/>
          <w:lang w:val="fr-FR"/>
        </w:rPr>
        <w:t>Autonomisation économique des femmes</w:t>
      </w:r>
    </w:p>
    <w:p w14:paraId="6B66BCA5" w14:textId="77777777" w:rsidR="00ED78BF" w:rsidRPr="005D062F" w:rsidRDefault="00ED78BF" w:rsidP="00BC7DB3">
      <w:pPr>
        <w:keepNext/>
        <w:jc w:val="both"/>
        <w:rPr>
          <w:rFonts w:ascii="Times New Roman" w:hAnsi="Times New Roman" w:cs="Times New Roman"/>
          <w:b/>
          <w:bCs/>
          <w:color w:val="000000"/>
          <w:sz w:val="22"/>
          <w:szCs w:val="22"/>
          <w:lang w:val="fr-FR"/>
        </w:rPr>
      </w:pPr>
    </w:p>
    <w:p w14:paraId="5F5FEF10" w14:textId="11B2944B" w:rsidR="00ED78BF" w:rsidRPr="005D062F" w:rsidRDefault="00356F10" w:rsidP="00CB030B">
      <w:pPr>
        <w:pStyle w:val="ListParagraph"/>
        <w:numPr>
          <w:ilvl w:val="0"/>
          <w:numId w:val="6"/>
        </w:numPr>
        <w:ind w:left="1440" w:hanging="720"/>
        <w:contextualSpacing/>
        <w:jc w:val="both"/>
        <w:rPr>
          <w:color w:val="000000" w:themeColor="text1"/>
          <w:sz w:val="22"/>
          <w:szCs w:val="22"/>
          <w:lang w:val="fr-FR"/>
        </w:rPr>
      </w:pPr>
      <w:r w:rsidRPr="005D062F">
        <w:rPr>
          <w:rFonts w:eastAsia="Times New Roman"/>
          <w:color w:val="000000"/>
          <w:sz w:val="22"/>
          <w:szCs w:val="22"/>
          <w:lang w:val="fr-FR"/>
        </w:rPr>
        <w:t>Le projet « </w:t>
      </w:r>
      <w:r w:rsidRPr="005D062F">
        <w:rPr>
          <w:b/>
          <w:bCs/>
          <w:color w:val="000000" w:themeColor="text1"/>
          <w:sz w:val="22"/>
          <w:szCs w:val="22"/>
          <w:lang w:val="fr-FR"/>
        </w:rPr>
        <w:t>Economically Empowered Women for Equitable and Resilient Societies </w:t>
      </w:r>
      <w:r w:rsidRPr="005D062F">
        <w:rPr>
          <w:bCs/>
          <w:color w:val="000000" w:themeColor="text1"/>
          <w:sz w:val="22"/>
          <w:szCs w:val="22"/>
          <w:lang w:val="fr-FR"/>
        </w:rPr>
        <w:t>»</w:t>
      </w:r>
      <w:r w:rsidRPr="005D062F">
        <w:rPr>
          <w:rFonts w:eastAsia="Times New Roman"/>
          <w:color w:val="000000"/>
          <w:sz w:val="22"/>
          <w:szCs w:val="22"/>
          <w:lang w:val="fr-FR"/>
        </w:rPr>
        <w:t xml:space="preserve"> visant à promouvoir l’autonomisation économique des femmes pour des sociétés équitables et résilientes a été lancé</w:t>
      </w:r>
      <w:r w:rsidRPr="005D062F">
        <w:rPr>
          <w:color w:val="000000" w:themeColor="text1"/>
          <w:sz w:val="22"/>
          <w:szCs w:val="22"/>
          <w:lang w:val="fr-FR"/>
        </w:rPr>
        <w:t xml:space="preserve"> dans trois États</w:t>
      </w:r>
      <w:r w:rsidR="00ED78BF" w:rsidRPr="005D062F">
        <w:rPr>
          <w:color w:val="000000" w:themeColor="text1"/>
          <w:sz w:val="22"/>
          <w:szCs w:val="22"/>
          <w:lang w:val="fr-FR"/>
        </w:rPr>
        <w:t xml:space="preserve"> </w:t>
      </w:r>
      <w:r w:rsidR="00E05025" w:rsidRPr="005D062F">
        <w:rPr>
          <w:color w:val="000000" w:themeColor="text1"/>
          <w:sz w:val="22"/>
          <w:szCs w:val="22"/>
          <w:lang w:val="fr-FR"/>
        </w:rPr>
        <w:t>m</w:t>
      </w:r>
      <w:r w:rsidR="00C67D84" w:rsidRPr="005D062F">
        <w:rPr>
          <w:color w:val="000000" w:themeColor="text1"/>
          <w:sz w:val="22"/>
          <w:szCs w:val="22"/>
          <w:lang w:val="fr-FR"/>
        </w:rPr>
        <w:t>embr</w:t>
      </w:r>
      <w:r w:rsidRPr="005D062F">
        <w:rPr>
          <w:color w:val="000000" w:themeColor="text1"/>
          <w:sz w:val="22"/>
          <w:szCs w:val="22"/>
          <w:lang w:val="fr-FR"/>
        </w:rPr>
        <w:t>es</w:t>
      </w:r>
      <w:r w:rsidR="005F30B1" w:rsidRPr="005D062F">
        <w:rPr>
          <w:color w:val="000000" w:themeColor="text1"/>
          <w:sz w:val="22"/>
          <w:szCs w:val="22"/>
          <w:lang w:val="fr-FR"/>
        </w:rPr>
        <w:t xml:space="preserve"> </w:t>
      </w:r>
      <w:r w:rsidRPr="005D062F">
        <w:rPr>
          <w:color w:val="000000" w:themeColor="text1"/>
          <w:sz w:val="22"/>
          <w:szCs w:val="22"/>
          <w:lang w:val="fr-FR"/>
        </w:rPr>
        <w:t xml:space="preserve">du </w:t>
      </w:r>
      <w:r w:rsidR="00ED78BF" w:rsidRPr="005D062F">
        <w:rPr>
          <w:color w:val="000000" w:themeColor="text1"/>
          <w:sz w:val="22"/>
          <w:szCs w:val="22"/>
          <w:lang w:val="fr-FR"/>
        </w:rPr>
        <w:t>Triangle</w:t>
      </w:r>
      <w:r w:rsidRPr="005D062F">
        <w:rPr>
          <w:color w:val="000000" w:themeColor="text1"/>
          <w:sz w:val="22"/>
          <w:szCs w:val="22"/>
          <w:lang w:val="fr-FR"/>
        </w:rPr>
        <w:t xml:space="preserve"> du Nord (El Salvador, Guatemala et </w:t>
      </w:r>
      <w:r w:rsidR="00ED78BF" w:rsidRPr="005D062F">
        <w:rPr>
          <w:color w:val="000000" w:themeColor="text1"/>
          <w:sz w:val="22"/>
          <w:szCs w:val="22"/>
          <w:lang w:val="fr-FR"/>
        </w:rPr>
        <w:t xml:space="preserve">Honduras) </w:t>
      </w:r>
      <w:r w:rsidRPr="005D062F">
        <w:rPr>
          <w:color w:val="000000" w:themeColor="text1"/>
          <w:sz w:val="22"/>
          <w:szCs w:val="22"/>
          <w:lang w:val="fr-FR"/>
        </w:rPr>
        <w:t>et six pays de l’</w:t>
      </w:r>
      <w:r w:rsidRPr="005D062F">
        <w:rPr>
          <w:sz w:val="22"/>
          <w:szCs w:val="22"/>
          <w:lang w:val="fr-FR"/>
        </w:rPr>
        <w:t xml:space="preserve">Organisation des États des Caraïbes orientales </w:t>
      </w:r>
      <w:r w:rsidR="00E01782" w:rsidRPr="005D062F">
        <w:rPr>
          <w:color w:val="000000" w:themeColor="text1"/>
          <w:sz w:val="22"/>
          <w:szCs w:val="22"/>
          <w:lang w:val="fr-FR"/>
        </w:rPr>
        <w:t>(OEC</w:t>
      </w:r>
      <w:r w:rsidRPr="005D062F">
        <w:rPr>
          <w:color w:val="000000" w:themeColor="text1"/>
          <w:sz w:val="22"/>
          <w:szCs w:val="22"/>
          <w:lang w:val="fr-FR"/>
        </w:rPr>
        <w:t>O</w:t>
      </w:r>
      <w:r w:rsidR="00E01782" w:rsidRPr="005D062F">
        <w:rPr>
          <w:color w:val="000000" w:themeColor="text1"/>
          <w:sz w:val="22"/>
          <w:szCs w:val="22"/>
          <w:lang w:val="fr-FR"/>
        </w:rPr>
        <w:t xml:space="preserve">) </w:t>
      </w:r>
      <w:r w:rsidRPr="005D062F">
        <w:rPr>
          <w:color w:val="000000" w:themeColor="text1"/>
          <w:sz w:val="22"/>
          <w:szCs w:val="22"/>
          <w:lang w:val="fr-FR"/>
        </w:rPr>
        <w:t>qui sont membres de l’OEA (Antigua-et-Barbuda, Saint Kitts-et-Nevis, Dominique</w:t>
      </w:r>
      <w:r w:rsidR="00ED78BF" w:rsidRPr="005D062F">
        <w:rPr>
          <w:color w:val="000000" w:themeColor="text1"/>
          <w:sz w:val="22"/>
          <w:szCs w:val="22"/>
          <w:lang w:val="fr-FR"/>
        </w:rPr>
        <w:t>, Saint</w:t>
      </w:r>
      <w:r w:rsidRPr="005D062F">
        <w:rPr>
          <w:color w:val="000000" w:themeColor="text1"/>
          <w:sz w:val="22"/>
          <w:szCs w:val="22"/>
          <w:lang w:val="fr-FR"/>
        </w:rPr>
        <w:t>e-</w:t>
      </w:r>
      <w:r w:rsidR="00ED78BF" w:rsidRPr="005D062F">
        <w:rPr>
          <w:color w:val="000000" w:themeColor="text1"/>
          <w:sz w:val="22"/>
          <w:szCs w:val="22"/>
          <w:lang w:val="fr-FR"/>
        </w:rPr>
        <w:t>Luci</w:t>
      </w:r>
      <w:r w:rsidRPr="005D062F">
        <w:rPr>
          <w:color w:val="000000" w:themeColor="text1"/>
          <w:sz w:val="22"/>
          <w:szCs w:val="22"/>
          <w:lang w:val="fr-FR"/>
        </w:rPr>
        <w:t>e, Saint-Vincent-et-Grenadines et Grenade</w:t>
      </w:r>
      <w:r w:rsidR="00ED78BF" w:rsidRPr="005D062F">
        <w:rPr>
          <w:color w:val="000000" w:themeColor="text1"/>
          <w:sz w:val="22"/>
          <w:szCs w:val="22"/>
          <w:lang w:val="fr-FR"/>
        </w:rPr>
        <w:t xml:space="preserve">), </w:t>
      </w:r>
      <w:r w:rsidRPr="005D062F">
        <w:rPr>
          <w:rFonts w:eastAsia="Times New Roman"/>
          <w:color w:val="000000"/>
          <w:sz w:val="22"/>
          <w:szCs w:val="22"/>
          <w:lang w:val="fr-FR"/>
        </w:rPr>
        <w:t>avec un financement de la Mission p</w:t>
      </w:r>
      <w:r w:rsidR="0004403B" w:rsidRPr="005D062F">
        <w:rPr>
          <w:rFonts w:eastAsia="Times New Roman"/>
          <w:color w:val="000000"/>
          <w:sz w:val="22"/>
          <w:szCs w:val="22"/>
          <w:lang w:val="fr-FR"/>
        </w:rPr>
        <w:t>ermanente des États-Unis près l’</w:t>
      </w:r>
      <w:r w:rsidRPr="005D062F">
        <w:rPr>
          <w:rFonts w:eastAsia="Times New Roman"/>
          <w:color w:val="000000"/>
          <w:sz w:val="22"/>
          <w:szCs w:val="22"/>
          <w:lang w:val="fr-FR"/>
        </w:rPr>
        <w:t>OEA</w:t>
      </w:r>
      <w:r w:rsidRPr="005D062F">
        <w:rPr>
          <w:color w:val="000000" w:themeColor="text1"/>
          <w:sz w:val="22"/>
          <w:szCs w:val="22"/>
          <w:lang w:val="fr-FR"/>
        </w:rPr>
        <w:t xml:space="preserve"> </w:t>
      </w:r>
      <w:r w:rsidR="00630EF2" w:rsidRPr="005D062F">
        <w:rPr>
          <w:color w:val="000000" w:themeColor="text1"/>
          <w:sz w:val="22"/>
          <w:szCs w:val="22"/>
          <w:lang w:val="fr-FR"/>
        </w:rPr>
        <w:t>et</w:t>
      </w:r>
      <w:r w:rsidR="00ED78BF" w:rsidRPr="005D062F">
        <w:rPr>
          <w:color w:val="000000" w:themeColor="text1"/>
          <w:sz w:val="22"/>
          <w:szCs w:val="22"/>
          <w:lang w:val="fr-FR"/>
        </w:rPr>
        <w:t xml:space="preserve"> META, </w:t>
      </w:r>
      <w:r w:rsidRPr="005D062F">
        <w:rPr>
          <w:rFonts w:eastAsia="Times New Roman"/>
          <w:color w:val="000000"/>
          <w:sz w:val="22"/>
          <w:szCs w:val="22"/>
          <w:lang w:val="fr-FR"/>
        </w:rPr>
        <w:t>afin de renforcer la capacité des femmes à fonctionne</w:t>
      </w:r>
      <w:r w:rsidR="0004403B" w:rsidRPr="005D062F">
        <w:rPr>
          <w:rFonts w:eastAsia="Times New Roman"/>
          <w:color w:val="000000"/>
          <w:sz w:val="22"/>
          <w:szCs w:val="22"/>
          <w:lang w:val="fr-FR"/>
        </w:rPr>
        <w:t>r efficacement dans l’</w:t>
      </w:r>
      <w:r w:rsidRPr="005D062F">
        <w:rPr>
          <w:rFonts w:eastAsia="Times New Roman"/>
          <w:color w:val="000000"/>
          <w:sz w:val="22"/>
          <w:szCs w:val="22"/>
          <w:lang w:val="fr-FR"/>
        </w:rPr>
        <w:t>économie, à créer des moyens de subsistance durables et à a</w:t>
      </w:r>
      <w:r w:rsidR="0004403B" w:rsidRPr="005D062F">
        <w:rPr>
          <w:rFonts w:eastAsia="Times New Roman"/>
          <w:color w:val="000000"/>
          <w:sz w:val="22"/>
          <w:szCs w:val="22"/>
          <w:lang w:val="fr-FR"/>
        </w:rPr>
        <w:t>ccroître leur participation à l’</w:t>
      </w:r>
      <w:r w:rsidRPr="005D062F">
        <w:rPr>
          <w:rFonts w:eastAsia="Times New Roman"/>
          <w:color w:val="000000"/>
          <w:sz w:val="22"/>
          <w:szCs w:val="22"/>
          <w:lang w:val="fr-FR"/>
        </w:rPr>
        <w:t>élaboration des politiques et au leadership au sein de leurs sociétés</w:t>
      </w:r>
      <w:r w:rsidR="00ED78BF" w:rsidRPr="005D062F">
        <w:rPr>
          <w:color w:val="000000" w:themeColor="text1"/>
          <w:sz w:val="22"/>
          <w:szCs w:val="22"/>
          <w:lang w:val="fr-FR"/>
        </w:rPr>
        <w:t>.</w:t>
      </w:r>
    </w:p>
    <w:p w14:paraId="7E633304" w14:textId="77777777" w:rsidR="00ED78BF" w:rsidRPr="005D062F" w:rsidRDefault="00ED78BF" w:rsidP="00CB030B">
      <w:pPr>
        <w:jc w:val="both"/>
        <w:rPr>
          <w:rFonts w:ascii="Times New Roman" w:hAnsi="Times New Roman" w:cs="Times New Roman"/>
          <w:color w:val="000000" w:themeColor="text1"/>
          <w:sz w:val="22"/>
          <w:szCs w:val="22"/>
          <w:lang w:val="fr-FR"/>
        </w:rPr>
      </w:pPr>
    </w:p>
    <w:p w14:paraId="3EA92A79" w14:textId="17382496" w:rsidR="00ED78BF" w:rsidRPr="005D062F" w:rsidRDefault="00ED78BF" w:rsidP="00CB030B">
      <w:pPr>
        <w:tabs>
          <w:tab w:val="left" w:pos="720"/>
        </w:tabs>
        <w:ind w:left="720"/>
        <w:jc w:val="both"/>
        <w:rPr>
          <w:rFonts w:ascii="Times New Roman" w:hAnsi="Times New Roman" w:cs="Times New Roman"/>
          <w:b/>
          <w:bCs/>
          <w:color w:val="000000" w:themeColor="text1"/>
          <w:sz w:val="22"/>
          <w:szCs w:val="22"/>
          <w:lang w:val="fr-FR"/>
        </w:rPr>
      </w:pPr>
      <w:bookmarkStart w:id="5" w:name="_Hlk87013042"/>
      <w:r w:rsidRPr="005D062F">
        <w:rPr>
          <w:rFonts w:ascii="Times New Roman" w:hAnsi="Times New Roman" w:cs="Times New Roman"/>
          <w:b/>
          <w:bCs/>
          <w:color w:val="000000" w:themeColor="text1"/>
          <w:sz w:val="22"/>
          <w:szCs w:val="22"/>
          <w:lang w:val="fr-FR"/>
        </w:rPr>
        <w:t>Program</w:t>
      </w:r>
      <w:r w:rsidR="00BE396E" w:rsidRPr="005D062F">
        <w:rPr>
          <w:rFonts w:ascii="Times New Roman" w:hAnsi="Times New Roman" w:cs="Times New Roman"/>
          <w:b/>
          <w:bCs/>
          <w:color w:val="000000" w:themeColor="text1"/>
          <w:sz w:val="22"/>
          <w:szCs w:val="22"/>
          <w:lang w:val="fr-FR"/>
        </w:rPr>
        <w:t>me des</w:t>
      </w:r>
      <w:r w:rsidR="00BC56D0" w:rsidRPr="005D062F">
        <w:rPr>
          <w:rFonts w:ascii="Times New Roman" w:hAnsi="Times New Roman" w:cs="Times New Roman"/>
          <w:b/>
          <w:bCs/>
          <w:color w:val="000000" w:themeColor="text1"/>
          <w:sz w:val="22"/>
          <w:szCs w:val="22"/>
          <w:lang w:val="fr-FR"/>
        </w:rPr>
        <w:t xml:space="preserve"> Centre</w:t>
      </w:r>
      <w:r w:rsidR="00BE396E" w:rsidRPr="005D062F">
        <w:rPr>
          <w:rFonts w:ascii="Times New Roman" w:hAnsi="Times New Roman" w:cs="Times New Roman"/>
          <w:b/>
          <w:bCs/>
          <w:color w:val="000000" w:themeColor="text1"/>
          <w:sz w:val="22"/>
          <w:szCs w:val="22"/>
          <w:lang w:val="fr-FR"/>
        </w:rPr>
        <w:t>s</w:t>
      </w:r>
      <w:r w:rsidR="00BC56D0" w:rsidRPr="005D062F">
        <w:rPr>
          <w:rFonts w:ascii="Times New Roman" w:hAnsi="Times New Roman" w:cs="Times New Roman"/>
          <w:b/>
          <w:bCs/>
          <w:color w:val="000000" w:themeColor="text1"/>
          <w:sz w:val="22"/>
          <w:szCs w:val="22"/>
          <w:lang w:val="fr-FR"/>
        </w:rPr>
        <w:t xml:space="preserve"> de développement des petites entreprises (SBDC)</w:t>
      </w:r>
      <w:r w:rsidR="0004403B" w:rsidRPr="005D062F">
        <w:rPr>
          <w:rFonts w:ascii="Times New Roman" w:hAnsi="Times New Roman" w:cs="Times New Roman"/>
          <w:b/>
          <w:bCs/>
          <w:color w:val="000000" w:themeColor="text1"/>
          <w:sz w:val="22"/>
          <w:szCs w:val="22"/>
          <w:lang w:val="fr-FR"/>
        </w:rPr>
        <w:t xml:space="preserve"> des Caraïbes</w:t>
      </w:r>
    </w:p>
    <w:p w14:paraId="7ACF2DE8" w14:textId="77777777" w:rsidR="00ED78BF" w:rsidRPr="005D062F" w:rsidRDefault="00ED78BF" w:rsidP="00723DAD">
      <w:pPr>
        <w:rPr>
          <w:rFonts w:ascii="Times New Roman" w:hAnsi="Times New Roman" w:cs="Times New Roman"/>
          <w:color w:val="000000" w:themeColor="text1"/>
          <w:sz w:val="22"/>
          <w:szCs w:val="22"/>
          <w:lang w:val="fr-FR"/>
        </w:rPr>
      </w:pPr>
    </w:p>
    <w:bookmarkEnd w:id="5"/>
    <w:p w14:paraId="02BB8E8B" w14:textId="1C8F000A" w:rsidR="00603D26" w:rsidRPr="005D062F" w:rsidRDefault="002211A4" w:rsidP="00C67D84">
      <w:pPr>
        <w:pStyle w:val="ListParagraph"/>
        <w:numPr>
          <w:ilvl w:val="0"/>
          <w:numId w:val="6"/>
        </w:numPr>
        <w:tabs>
          <w:tab w:val="left" w:pos="720"/>
        </w:tabs>
        <w:ind w:left="1440" w:hanging="720"/>
        <w:contextualSpacing/>
        <w:jc w:val="both"/>
        <w:rPr>
          <w:color w:val="000000" w:themeColor="text1"/>
          <w:sz w:val="22"/>
          <w:szCs w:val="22"/>
          <w:lang w:val="fr-FR"/>
        </w:rPr>
      </w:pPr>
      <w:r w:rsidRPr="005D062F">
        <w:rPr>
          <w:color w:val="000000" w:themeColor="text1"/>
          <w:sz w:val="22"/>
          <w:szCs w:val="22"/>
          <w:lang w:val="fr-FR"/>
        </w:rPr>
        <w:t>L</w:t>
      </w:r>
      <w:r w:rsidR="00ED78BF" w:rsidRPr="005D062F">
        <w:rPr>
          <w:color w:val="000000" w:themeColor="text1"/>
          <w:sz w:val="22"/>
          <w:szCs w:val="22"/>
          <w:lang w:val="fr-FR"/>
        </w:rPr>
        <w:t>e Programme</w:t>
      </w:r>
      <w:r w:rsidRPr="005D062F">
        <w:rPr>
          <w:color w:val="000000" w:themeColor="text1"/>
          <w:sz w:val="22"/>
          <w:szCs w:val="22"/>
          <w:lang w:val="fr-FR"/>
        </w:rPr>
        <w:t xml:space="preserve"> SBDC</w:t>
      </w:r>
      <w:r w:rsidR="00ED78BF" w:rsidRPr="005D062F">
        <w:rPr>
          <w:color w:val="000000" w:themeColor="text1"/>
          <w:sz w:val="22"/>
          <w:szCs w:val="22"/>
          <w:lang w:val="fr-FR"/>
        </w:rPr>
        <w:t xml:space="preserve"> </w:t>
      </w:r>
      <w:r w:rsidRPr="005D062F">
        <w:rPr>
          <w:color w:val="000000" w:themeColor="text1"/>
          <w:sz w:val="22"/>
          <w:szCs w:val="22"/>
          <w:lang w:val="fr-FR"/>
        </w:rPr>
        <w:t xml:space="preserve">a scellé les liens </w:t>
      </w:r>
      <w:r w:rsidR="00737C6C" w:rsidRPr="005D062F">
        <w:rPr>
          <w:color w:val="000000" w:themeColor="text1"/>
          <w:sz w:val="22"/>
          <w:szCs w:val="22"/>
          <w:lang w:val="fr-FR"/>
        </w:rPr>
        <w:t xml:space="preserve">entre les parties prenantes </w:t>
      </w:r>
      <w:r w:rsidRPr="005D062F">
        <w:rPr>
          <w:color w:val="000000" w:themeColor="text1"/>
          <w:sz w:val="22"/>
          <w:szCs w:val="22"/>
          <w:lang w:val="fr-FR"/>
        </w:rPr>
        <w:t xml:space="preserve">grâce à l’application de plusieurs mémorandums d’accord signés avec le </w:t>
      </w:r>
      <w:r w:rsidR="00ED78BF" w:rsidRPr="005D062F">
        <w:rPr>
          <w:color w:val="000000" w:themeColor="text1"/>
          <w:sz w:val="22"/>
          <w:szCs w:val="22"/>
          <w:lang w:val="fr-FR"/>
        </w:rPr>
        <w:t>Go</w:t>
      </w:r>
      <w:r w:rsidRPr="005D062F">
        <w:rPr>
          <w:color w:val="000000" w:themeColor="text1"/>
          <w:sz w:val="22"/>
          <w:szCs w:val="22"/>
          <w:lang w:val="fr-FR"/>
        </w:rPr>
        <w:t>u</w:t>
      </w:r>
      <w:r w:rsidR="00ED78BF" w:rsidRPr="005D062F">
        <w:rPr>
          <w:color w:val="000000" w:themeColor="text1"/>
          <w:sz w:val="22"/>
          <w:szCs w:val="22"/>
          <w:lang w:val="fr-FR"/>
        </w:rPr>
        <w:t>vern</w:t>
      </w:r>
      <w:r w:rsidRPr="005D062F">
        <w:rPr>
          <w:color w:val="000000" w:themeColor="text1"/>
          <w:sz w:val="22"/>
          <w:szCs w:val="22"/>
          <w:lang w:val="fr-FR"/>
        </w:rPr>
        <w:t>e</w:t>
      </w:r>
      <w:r w:rsidR="00ED78BF" w:rsidRPr="005D062F">
        <w:rPr>
          <w:color w:val="000000" w:themeColor="text1"/>
          <w:sz w:val="22"/>
          <w:szCs w:val="22"/>
          <w:lang w:val="fr-FR"/>
        </w:rPr>
        <w:t>ment</w:t>
      </w:r>
      <w:r w:rsidRPr="005D062F">
        <w:rPr>
          <w:color w:val="000000" w:themeColor="text1"/>
          <w:sz w:val="22"/>
          <w:szCs w:val="22"/>
          <w:lang w:val="fr-FR"/>
        </w:rPr>
        <w:t xml:space="preserve"> équatorien et le </w:t>
      </w:r>
      <w:r w:rsidR="00ED78BF" w:rsidRPr="005D062F">
        <w:rPr>
          <w:color w:val="000000" w:themeColor="text1"/>
          <w:sz w:val="22"/>
          <w:szCs w:val="22"/>
          <w:lang w:val="fr-FR"/>
        </w:rPr>
        <w:t>SEBRAE</w:t>
      </w:r>
      <w:r w:rsidR="00E01782" w:rsidRPr="005D062F">
        <w:rPr>
          <w:color w:val="000000" w:themeColor="text1"/>
          <w:sz w:val="22"/>
          <w:szCs w:val="22"/>
          <w:lang w:val="fr-FR"/>
        </w:rPr>
        <w:t xml:space="preserve">, </w:t>
      </w:r>
      <w:r w:rsidRPr="005D062F">
        <w:rPr>
          <w:color w:val="000000" w:themeColor="text1"/>
          <w:sz w:val="22"/>
          <w:szCs w:val="22"/>
          <w:lang w:val="fr-FR"/>
        </w:rPr>
        <w:t xml:space="preserve">le service brésilien d’appui aux </w:t>
      </w:r>
      <w:r w:rsidR="00ED78BF" w:rsidRPr="005D062F">
        <w:rPr>
          <w:color w:val="000000" w:themeColor="text1"/>
          <w:sz w:val="22"/>
          <w:szCs w:val="22"/>
          <w:lang w:val="fr-FR"/>
        </w:rPr>
        <w:t>M</w:t>
      </w:r>
      <w:r w:rsidRPr="005D062F">
        <w:rPr>
          <w:color w:val="000000" w:themeColor="text1"/>
          <w:sz w:val="22"/>
          <w:szCs w:val="22"/>
          <w:lang w:val="fr-FR"/>
        </w:rPr>
        <w:t>P</w:t>
      </w:r>
      <w:r w:rsidR="00ED78BF" w:rsidRPr="005D062F">
        <w:rPr>
          <w:color w:val="000000" w:themeColor="text1"/>
          <w:sz w:val="22"/>
          <w:szCs w:val="22"/>
          <w:lang w:val="fr-FR"/>
        </w:rPr>
        <w:t xml:space="preserve">ME. </w:t>
      </w:r>
      <w:r w:rsidRPr="005D062F">
        <w:rPr>
          <w:color w:val="000000" w:themeColor="text1"/>
          <w:sz w:val="22"/>
          <w:szCs w:val="22"/>
          <w:lang w:val="fr-FR"/>
        </w:rPr>
        <w:t xml:space="preserve">La </w:t>
      </w:r>
      <w:r w:rsidR="00ED78BF" w:rsidRPr="005D062F">
        <w:rPr>
          <w:color w:val="000000" w:themeColor="text1"/>
          <w:sz w:val="22"/>
          <w:szCs w:val="22"/>
          <w:lang w:val="fr-FR"/>
        </w:rPr>
        <w:t xml:space="preserve">signature </w:t>
      </w:r>
      <w:r w:rsidRPr="005D062F">
        <w:rPr>
          <w:color w:val="000000" w:themeColor="text1"/>
          <w:sz w:val="22"/>
          <w:szCs w:val="22"/>
          <w:lang w:val="fr-FR"/>
        </w:rPr>
        <w:t>de ces mémorandums d’accord (MA</w:t>
      </w:r>
      <w:r w:rsidR="00214438" w:rsidRPr="005D062F">
        <w:rPr>
          <w:color w:val="000000" w:themeColor="text1"/>
          <w:sz w:val="22"/>
          <w:szCs w:val="22"/>
          <w:lang w:val="fr-FR"/>
        </w:rPr>
        <w:t xml:space="preserve">) </w:t>
      </w:r>
      <w:r w:rsidR="00BE396E" w:rsidRPr="005D062F">
        <w:rPr>
          <w:color w:val="000000" w:themeColor="text1"/>
          <w:sz w:val="22"/>
          <w:szCs w:val="22"/>
          <w:lang w:val="fr-FR"/>
        </w:rPr>
        <w:t xml:space="preserve">avec les pays concernés par un nouveau projet </w:t>
      </w:r>
      <w:r w:rsidRPr="005D062F">
        <w:rPr>
          <w:color w:val="000000" w:themeColor="text1"/>
          <w:sz w:val="22"/>
          <w:szCs w:val="22"/>
          <w:lang w:val="fr-FR"/>
        </w:rPr>
        <w:t>constitue une étape cruciale d</w:t>
      </w:r>
      <w:r w:rsidR="00BE396E" w:rsidRPr="005D062F">
        <w:rPr>
          <w:color w:val="000000" w:themeColor="text1"/>
          <w:sz w:val="22"/>
          <w:szCs w:val="22"/>
          <w:lang w:val="fr-FR"/>
        </w:rPr>
        <w:t xml:space="preserve">u démarrage du projet car elle permet de définir les rôles et responsabilités de l’OEA, des parties prenantes des pays bénéficiaires ainsi que des consultants, et ce, afin de formaliser les engagements pris par les gouvernements en matière d’adaptation du modèle </w:t>
      </w:r>
      <w:r w:rsidR="00ED78BF" w:rsidRPr="005D062F">
        <w:rPr>
          <w:color w:val="000000" w:themeColor="text1"/>
          <w:sz w:val="22"/>
          <w:szCs w:val="22"/>
          <w:lang w:val="fr-FR"/>
        </w:rPr>
        <w:t xml:space="preserve">SBDC </w:t>
      </w:r>
      <w:r w:rsidR="00BE396E" w:rsidRPr="005D062F">
        <w:rPr>
          <w:color w:val="000000" w:themeColor="text1"/>
          <w:sz w:val="22"/>
          <w:szCs w:val="22"/>
          <w:lang w:val="fr-FR"/>
        </w:rPr>
        <w:t>dans leurs pays</w:t>
      </w:r>
      <w:r w:rsidR="00ED78BF" w:rsidRPr="005D062F">
        <w:rPr>
          <w:color w:val="000000" w:themeColor="text1"/>
          <w:sz w:val="22"/>
          <w:szCs w:val="22"/>
          <w:lang w:val="fr-FR"/>
        </w:rPr>
        <w:t>.</w:t>
      </w:r>
    </w:p>
    <w:p w14:paraId="4858E24C" w14:textId="77777777" w:rsidR="00603D26" w:rsidRPr="005D062F" w:rsidRDefault="00603D26" w:rsidP="00723DAD">
      <w:pPr>
        <w:rPr>
          <w:rFonts w:ascii="Times New Roman" w:hAnsi="Times New Roman" w:cs="Times New Roman"/>
          <w:color w:val="000000" w:themeColor="text1"/>
          <w:sz w:val="22"/>
          <w:szCs w:val="22"/>
          <w:lang w:val="fr-FR"/>
        </w:rPr>
      </w:pPr>
    </w:p>
    <w:p w14:paraId="64402FAB" w14:textId="74771055" w:rsidR="00ED78BF" w:rsidRPr="005D062F" w:rsidRDefault="001D47A8" w:rsidP="00CB030B">
      <w:pPr>
        <w:pStyle w:val="ListParagraph"/>
        <w:numPr>
          <w:ilvl w:val="0"/>
          <w:numId w:val="6"/>
        </w:numPr>
        <w:tabs>
          <w:tab w:val="left" w:pos="1440"/>
        </w:tabs>
        <w:ind w:left="1440" w:hanging="720"/>
        <w:contextualSpacing/>
        <w:jc w:val="both"/>
        <w:rPr>
          <w:color w:val="000000" w:themeColor="text1"/>
          <w:sz w:val="22"/>
          <w:szCs w:val="22"/>
          <w:lang w:val="fr-FR"/>
        </w:rPr>
      </w:pPr>
      <w:r w:rsidRPr="005D062F">
        <w:rPr>
          <w:color w:val="000000" w:themeColor="text1"/>
          <w:sz w:val="22"/>
          <w:szCs w:val="22"/>
          <w:lang w:val="fr-FR"/>
        </w:rPr>
        <w:t>Dans ce but</w:t>
      </w:r>
      <w:r w:rsidR="00891A67" w:rsidRPr="005D062F">
        <w:rPr>
          <w:color w:val="000000" w:themeColor="text1"/>
          <w:sz w:val="22"/>
          <w:szCs w:val="22"/>
          <w:lang w:val="fr-FR"/>
        </w:rPr>
        <w:t xml:space="preserve">, </w:t>
      </w:r>
      <w:r w:rsidR="00BE396E" w:rsidRPr="005D062F">
        <w:rPr>
          <w:color w:val="000000" w:themeColor="text1"/>
          <w:sz w:val="22"/>
          <w:szCs w:val="22"/>
          <w:lang w:val="fr-FR"/>
        </w:rPr>
        <w:t xml:space="preserve">le </w:t>
      </w:r>
      <w:r w:rsidR="00ED78BF" w:rsidRPr="005D062F">
        <w:rPr>
          <w:color w:val="000000" w:themeColor="text1"/>
          <w:sz w:val="22"/>
          <w:szCs w:val="22"/>
          <w:lang w:val="fr-FR"/>
        </w:rPr>
        <w:t xml:space="preserve">SEBRAE </w:t>
      </w:r>
      <w:r w:rsidRPr="005D062F">
        <w:rPr>
          <w:color w:val="000000" w:themeColor="text1"/>
          <w:sz w:val="22"/>
          <w:szCs w:val="22"/>
          <w:lang w:val="fr-FR"/>
        </w:rPr>
        <w:t xml:space="preserve">a finalisé la mise en œuvre de plusieurs activités de lancement au cours de la phase de transfert du modèle, notamment la création d’une équipe nationale d’administration du réseau </w:t>
      </w:r>
      <w:r w:rsidR="00ED78BF" w:rsidRPr="005D062F">
        <w:rPr>
          <w:color w:val="000000" w:themeColor="text1"/>
          <w:sz w:val="22"/>
          <w:szCs w:val="22"/>
          <w:lang w:val="fr-FR"/>
        </w:rPr>
        <w:t>SBDC</w:t>
      </w:r>
      <w:r w:rsidRPr="005D062F">
        <w:rPr>
          <w:color w:val="000000" w:themeColor="text1"/>
          <w:sz w:val="22"/>
          <w:szCs w:val="22"/>
          <w:lang w:val="fr-FR"/>
        </w:rPr>
        <w:t xml:space="preserve"> ainsi que l’organisation de consultations avec les principales parties prenantes de l’aide aux MPME afin d’assurer leur adhésion</w:t>
      </w:r>
      <w:r w:rsidR="00ED78BF" w:rsidRPr="005D062F">
        <w:rPr>
          <w:color w:val="000000" w:themeColor="text1"/>
          <w:sz w:val="22"/>
          <w:szCs w:val="22"/>
          <w:lang w:val="fr-FR"/>
        </w:rPr>
        <w:t xml:space="preserve">. </w:t>
      </w:r>
      <w:r w:rsidR="00BE396E" w:rsidRPr="005D062F">
        <w:rPr>
          <w:color w:val="000000" w:themeColor="text1"/>
          <w:sz w:val="22"/>
          <w:szCs w:val="22"/>
          <w:lang w:val="fr-FR"/>
        </w:rPr>
        <w:t xml:space="preserve">L’équipe du </w:t>
      </w:r>
      <w:r w:rsidR="00ED78BF" w:rsidRPr="005D062F">
        <w:rPr>
          <w:color w:val="000000" w:themeColor="text1"/>
          <w:sz w:val="22"/>
          <w:szCs w:val="22"/>
          <w:lang w:val="fr-FR"/>
        </w:rPr>
        <w:t xml:space="preserve">SEBRAE </w:t>
      </w:r>
      <w:r w:rsidR="00BE396E" w:rsidRPr="005D062F">
        <w:rPr>
          <w:color w:val="000000" w:themeColor="text1"/>
          <w:sz w:val="22"/>
          <w:szCs w:val="22"/>
          <w:lang w:val="fr-FR"/>
        </w:rPr>
        <w:t>a aussi participé à des visites techniques au SBDC de l’</w:t>
      </w:r>
      <w:r w:rsidR="00214438" w:rsidRPr="005D062F">
        <w:rPr>
          <w:color w:val="000000" w:themeColor="text1"/>
          <w:sz w:val="22"/>
          <w:szCs w:val="22"/>
          <w:lang w:val="fr-FR"/>
        </w:rPr>
        <w:t>Universit</w:t>
      </w:r>
      <w:r w:rsidR="00BE396E" w:rsidRPr="005D062F">
        <w:rPr>
          <w:color w:val="000000" w:themeColor="text1"/>
          <w:sz w:val="22"/>
          <w:szCs w:val="22"/>
          <w:lang w:val="fr-FR"/>
        </w:rPr>
        <w:t>é</w:t>
      </w:r>
      <w:r w:rsidR="00214438" w:rsidRPr="005D062F">
        <w:rPr>
          <w:color w:val="000000" w:themeColor="text1"/>
          <w:sz w:val="22"/>
          <w:szCs w:val="22"/>
          <w:lang w:val="fr-FR"/>
        </w:rPr>
        <w:t xml:space="preserve"> </w:t>
      </w:r>
      <w:r w:rsidR="00BE396E" w:rsidRPr="005D062F">
        <w:rPr>
          <w:color w:val="000000" w:themeColor="text1"/>
          <w:sz w:val="22"/>
          <w:szCs w:val="22"/>
          <w:lang w:val="fr-FR"/>
        </w:rPr>
        <w:t>du</w:t>
      </w:r>
      <w:r w:rsidR="00214438" w:rsidRPr="005D062F">
        <w:rPr>
          <w:color w:val="000000" w:themeColor="text1"/>
          <w:sz w:val="22"/>
          <w:szCs w:val="22"/>
          <w:lang w:val="fr-FR"/>
        </w:rPr>
        <w:t xml:space="preserve"> Texas </w:t>
      </w:r>
      <w:r w:rsidR="00BE396E" w:rsidRPr="005D062F">
        <w:rPr>
          <w:color w:val="000000" w:themeColor="text1"/>
          <w:sz w:val="22"/>
          <w:szCs w:val="22"/>
          <w:lang w:val="fr-FR"/>
        </w:rPr>
        <w:t>à</w:t>
      </w:r>
      <w:r w:rsidR="00214438" w:rsidRPr="005D062F">
        <w:rPr>
          <w:color w:val="000000" w:themeColor="text1"/>
          <w:sz w:val="22"/>
          <w:szCs w:val="22"/>
          <w:lang w:val="fr-FR"/>
        </w:rPr>
        <w:t xml:space="preserve"> San Antonio (UTSA)</w:t>
      </w:r>
      <w:r w:rsidR="00ED78BF" w:rsidRPr="005D062F">
        <w:rPr>
          <w:color w:val="000000" w:themeColor="text1"/>
          <w:sz w:val="22"/>
          <w:szCs w:val="22"/>
          <w:lang w:val="fr-FR"/>
        </w:rPr>
        <w:t xml:space="preserve"> </w:t>
      </w:r>
      <w:r w:rsidR="00BE396E" w:rsidRPr="005D062F">
        <w:rPr>
          <w:color w:val="000000" w:themeColor="text1"/>
          <w:sz w:val="22"/>
          <w:szCs w:val="22"/>
          <w:lang w:val="fr-FR"/>
        </w:rPr>
        <w:t>et</w:t>
      </w:r>
      <w:r w:rsidR="00ED78BF" w:rsidRPr="005D062F">
        <w:rPr>
          <w:color w:val="000000" w:themeColor="text1"/>
          <w:sz w:val="22"/>
          <w:szCs w:val="22"/>
          <w:lang w:val="fr-FR"/>
        </w:rPr>
        <w:t xml:space="preserve"> </w:t>
      </w:r>
      <w:r w:rsidR="00B208F6" w:rsidRPr="005D062F">
        <w:rPr>
          <w:color w:val="000000" w:themeColor="text1"/>
          <w:sz w:val="22"/>
          <w:szCs w:val="22"/>
          <w:lang w:val="fr-FR"/>
        </w:rPr>
        <w:t xml:space="preserve">à </w:t>
      </w:r>
      <w:r w:rsidR="00ED78BF" w:rsidRPr="005D062F">
        <w:rPr>
          <w:color w:val="000000" w:themeColor="text1"/>
          <w:sz w:val="22"/>
          <w:szCs w:val="22"/>
          <w:lang w:val="fr-FR"/>
        </w:rPr>
        <w:t>Washington, D</w:t>
      </w:r>
      <w:r w:rsidR="00E01782" w:rsidRPr="005D062F">
        <w:rPr>
          <w:color w:val="000000" w:themeColor="text1"/>
          <w:sz w:val="22"/>
          <w:szCs w:val="22"/>
          <w:lang w:val="fr-FR"/>
        </w:rPr>
        <w:t>.</w:t>
      </w:r>
      <w:r w:rsidR="00ED78BF" w:rsidRPr="005D062F">
        <w:rPr>
          <w:color w:val="000000" w:themeColor="text1"/>
          <w:sz w:val="22"/>
          <w:szCs w:val="22"/>
          <w:lang w:val="fr-FR"/>
        </w:rPr>
        <w:t>C</w:t>
      </w:r>
      <w:r w:rsidR="00E01782" w:rsidRPr="005D062F">
        <w:rPr>
          <w:color w:val="000000" w:themeColor="text1"/>
          <w:sz w:val="22"/>
          <w:szCs w:val="22"/>
          <w:lang w:val="fr-FR"/>
        </w:rPr>
        <w:t>.</w:t>
      </w:r>
      <w:r w:rsidR="00ED78BF" w:rsidRPr="005D062F">
        <w:rPr>
          <w:color w:val="000000" w:themeColor="text1"/>
          <w:sz w:val="22"/>
          <w:szCs w:val="22"/>
          <w:lang w:val="fr-FR"/>
        </w:rPr>
        <w:t xml:space="preserve"> </w:t>
      </w:r>
      <w:r w:rsidR="00BE396E" w:rsidRPr="005D062F">
        <w:rPr>
          <w:color w:val="000000" w:themeColor="text1"/>
          <w:sz w:val="22"/>
          <w:szCs w:val="22"/>
          <w:lang w:val="fr-FR"/>
        </w:rPr>
        <w:t xml:space="preserve">pour </w:t>
      </w:r>
      <w:r w:rsidR="00E3364C" w:rsidRPr="005D062F">
        <w:rPr>
          <w:color w:val="000000" w:themeColor="text1"/>
          <w:sz w:val="22"/>
          <w:szCs w:val="22"/>
          <w:lang w:val="fr-FR"/>
        </w:rPr>
        <w:t xml:space="preserve">aider à mieux comprendre le modèle </w:t>
      </w:r>
      <w:r w:rsidR="00ED78BF" w:rsidRPr="005D062F">
        <w:rPr>
          <w:color w:val="000000" w:themeColor="text1"/>
          <w:sz w:val="22"/>
          <w:szCs w:val="22"/>
          <w:lang w:val="fr-FR"/>
        </w:rPr>
        <w:t xml:space="preserve">SBDC </w:t>
      </w:r>
      <w:r w:rsidR="00E3364C" w:rsidRPr="005D062F">
        <w:rPr>
          <w:color w:val="000000" w:themeColor="text1"/>
          <w:sz w:val="22"/>
          <w:szCs w:val="22"/>
          <w:lang w:val="fr-FR"/>
        </w:rPr>
        <w:t>dans le</w:t>
      </w:r>
      <w:r w:rsidR="00ED78BF" w:rsidRPr="005D062F">
        <w:rPr>
          <w:color w:val="000000" w:themeColor="text1"/>
          <w:sz w:val="22"/>
          <w:szCs w:val="22"/>
          <w:lang w:val="fr-FR"/>
        </w:rPr>
        <w:t xml:space="preserve"> context</w:t>
      </w:r>
      <w:r w:rsidR="00E3364C" w:rsidRPr="005D062F">
        <w:rPr>
          <w:color w:val="000000" w:themeColor="text1"/>
          <w:sz w:val="22"/>
          <w:szCs w:val="22"/>
          <w:lang w:val="fr-FR"/>
        </w:rPr>
        <w:t>e des États-Unis</w:t>
      </w:r>
      <w:r w:rsidR="00ED78BF" w:rsidRPr="005D062F">
        <w:rPr>
          <w:color w:val="000000" w:themeColor="text1"/>
          <w:sz w:val="22"/>
          <w:szCs w:val="22"/>
          <w:lang w:val="fr-FR"/>
        </w:rPr>
        <w:t xml:space="preserve">. </w:t>
      </w:r>
      <w:r w:rsidR="00E3364C" w:rsidRPr="005D062F">
        <w:rPr>
          <w:color w:val="000000" w:themeColor="text1"/>
          <w:sz w:val="22"/>
          <w:szCs w:val="22"/>
          <w:lang w:val="fr-FR"/>
        </w:rPr>
        <w:t xml:space="preserve">Outre les </w:t>
      </w:r>
      <w:r w:rsidR="00ED78BF" w:rsidRPr="005D062F">
        <w:rPr>
          <w:color w:val="000000" w:themeColor="text1"/>
          <w:sz w:val="22"/>
          <w:szCs w:val="22"/>
          <w:lang w:val="fr-FR"/>
        </w:rPr>
        <w:t xml:space="preserve">consultations </w:t>
      </w:r>
      <w:r w:rsidR="00E3364C" w:rsidRPr="005D062F">
        <w:rPr>
          <w:color w:val="000000" w:themeColor="text1"/>
          <w:sz w:val="22"/>
          <w:szCs w:val="22"/>
          <w:lang w:val="fr-FR"/>
        </w:rPr>
        <w:t xml:space="preserve">avec les dirigeants du </w:t>
      </w:r>
      <w:r w:rsidR="00ED78BF" w:rsidRPr="005D062F">
        <w:rPr>
          <w:color w:val="000000" w:themeColor="text1"/>
          <w:sz w:val="22"/>
          <w:szCs w:val="22"/>
          <w:lang w:val="fr-FR"/>
        </w:rPr>
        <w:t>SBDC</w:t>
      </w:r>
      <w:r w:rsidR="00E3364C" w:rsidRPr="005D062F">
        <w:rPr>
          <w:color w:val="000000" w:themeColor="text1"/>
          <w:sz w:val="22"/>
          <w:szCs w:val="22"/>
          <w:lang w:val="fr-FR"/>
        </w:rPr>
        <w:t xml:space="preserve"> de l’UTSA</w:t>
      </w:r>
      <w:r w:rsidR="00E01782" w:rsidRPr="005D062F">
        <w:rPr>
          <w:color w:val="000000" w:themeColor="text1"/>
          <w:sz w:val="22"/>
          <w:szCs w:val="22"/>
          <w:lang w:val="fr-FR"/>
        </w:rPr>
        <w:t xml:space="preserve">, </w:t>
      </w:r>
      <w:r w:rsidR="00E3364C" w:rsidRPr="005D062F">
        <w:rPr>
          <w:color w:val="000000" w:themeColor="text1"/>
          <w:sz w:val="22"/>
          <w:szCs w:val="22"/>
          <w:lang w:val="fr-FR"/>
        </w:rPr>
        <w:t>la délégation de haut niveau du Brésil a pu rencontrer à plusieurs reprises des représentants de l</w:t>
      </w:r>
      <w:r w:rsidR="00151146" w:rsidRPr="005D062F">
        <w:rPr>
          <w:color w:val="000000" w:themeColor="text1"/>
          <w:sz w:val="22"/>
          <w:szCs w:val="22"/>
          <w:lang w:val="fr-FR"/>
        </w:rPr>
        <w:t>’</w:t>
      </w:r>
      <w:r w:rsidR="00ED78BF" w:rsidRPr="005D062F">
        <w:rPr>
          <w:color w:val="000000" w:themeColor="text1"/>
          <w:sz w:val="22"/>
          <w:szCs w:val="22"/>
          <w:lang w:val="fr-FR"/>
        </w:rPr>
        <w:t>U</w:t>
      </w:r>
      <w:r w:rsidR="00E01782" w:rsidRPr="005D062F">
        <w:rPr>
          <w:color w:val="000000" w:themeColor="text1"/>
          <w:sz w:val="22"/>
          <w:szCs w:val="22"/>
          <w:lang w:val="fr-FR"/>
        </w:rPr>
        <w:t>.</w:t>
      </w:r>
      <w:r w:rsidR="00ED78BF" w:rsidRPr="005D062F">
        <w:rPr>
          <w:color w:val="000000" w:themeColor="text1"/>
          <w:sz w:val="22"/>
          <w:szCs w:val="22"/>
          <w:lang w:val="fr-FR"/>
        </w:rPr>
        <w:t>S</w:t>
      </w:r>
      <w:r w:rsidR="00E01782" w:rsidRPr="005D062F">
        <w:rPr>
          <w:color w:val="000000" w:themeColor="text1"/>
          <w:sz w:val="22"/>
          <w:szCs w:val="22"/>
          <w:lang w:val="fr-FR"/>
        </w:rPr>
        <w:t>.</w:t>
      </w:r>
      <w:r w:rsidR="00ED78BF" w:rsidRPr="005D062F">
        <w:rPr>
          <w:color w:val="000000" w:themeColor="text1"/>
          <w:sz w:val="22"/>
          <w:szCs w:val="22"/>
          <w:lang w:val="fr-FR"/>
        </w:rPr>
        <w:t xml:space="preserve"> Small Business Association, </w:t>
      </w:r>
      <w:r w:rsidR="00E3364C" w:rsidRPr="005D062F">
        <w:rPr>
          <w:color w:val="000000" w:themeColor="text1"/>
          <w:sz w:val="22"/>
          <w:szCs w:val="22"/>
          <w:lang w:val="fr-FR"/>
        </w:rPr>
        <w:t>du Département d’État</w:t>
      </w:r>
      <w:r w:rsidR="00ED78BF" w:rsidRPr="005D062F">
        <w:rPr>
          <w:color w:val="000000" w:themeColor="text1"/>
          <w:sz w:val="22"/>
          <w:szCs w:val="22"/>
          <w:lang w:val="fr-FR"/>
        </w:rPr>
        <w:t xml:space="preserve">, </w:t>
      </w:r>
      <w:r w:rsidR="00E3364C" w:rsidRPr="005D062F">
        <w:rPr>
          <w:color w:val="000000" w:themeColor="text1"/>
          <w:sz w:val="22"/>
          <w:szCs w:val="22"/>
          <w:lang w:val="fr-FR"/>
        </w:rPr>
        <w:t xml:space="preserve">du Sénat des États-Unis et de la </w:t>
      </w:r>
      <w:r w:rsidR="00ED78BF" w:rsidRPr="005D062F">
        <w:rPr>
          <w:color w:val="000000" w:themeColor="text1"/>
          <w:sz w:val="22"/>
          <w:szCs w:val="22"/>
          <w:lang w:val="fr-FR"/>
        </w:rPr>
        <w:t xml:space="preserve">Congress Small Business Committee </w:t>
      </w:r>
      <w:r w:rsidR="002F4FEA" w:rsidRPr="005D062F">
        <w:rPr>
          <w:color w:val="000000" w:themeColor="text1"/>
          <w:sz w:val="22"/>
          <w:szCs w:val="22"/>
          <w:lang w:val="fr-FR"/>
        </w:rPr>
        <w:t xml:space="preserve">pour partager les bonnes pratiques d’administration du réseau </w:t>
      </w:r>
      <w:r w:rsidR="00ED78BF" w:rsidRPr="005D062F">
        <w:rPr>
          <w:color w:val="000000" w:themeColor="text1"/>
          <w:sz w:val="22"/>
          <w:szCs w:val="22"/>
          <w:lang w:val="fr-FR"/>
        </w:rPr>
        <w:t xml:space="preserve">SBDC </w:t>
      </w:r>
      <w:r w:rsidR="002F4FEA" w:rsidRPr="005D062F">
        <w:rPr>
          <w:color w:val="000000" w:themeColor="text1"/>
          <w:sz w:val="22"/>
          <w:szCs w:val="22"/>
          <w:lang w:val="fr-FR"/>
        </w:rPr>
        <w:t xml:space="preserve">des États-Unis et d’élaboration et de contrôle des politiques destinées aux </w:t>
      </w:r>
      <w:r w:rsidR="00214438" w:rsidRPr="005D062F">
        <w:rPr>
          <w:color w:val="000000" w:themeColor="text1"/>
          <w:sz w:val="22"/>
          <w:szCs w:val="22"/>
          <w:lang w:val="fr-FR"/>
        </w:rPr>
        <w:t>M</w:t>
      </w:r>
      <w:r w:rsidR="002F4FEA" w:rsidRPr="005D062F">
        <w:rPr>
          <w:color w:val="000000" w:themeColor="text1"/>
          <w:sz w:val="22"/>
          <w:szCs w:val="22"/>
          <w:lang w:val="fr-FR"/>
        </w:rPr>
        <w:t>P</w:t>
      </w:r>
      <w:r w:rsidR="00ED78BF" w:rsidRPr="005D062F">
        <w:rPr>
          <w:color w:val="000000" w:themeColor="text1"/>
          <w:sz w:val="22"/>
          <w:szCs w:val="22"/>
          <w:lang w:val="fr-FR"/>
        </w:rPr>
        <w:t>ME.</w:t>
      </w:r>
    </w:p>
    <w:p w14:paraId="3F8A4D90" w14:textId="77777777" w:rsidR="004C5116" w:rsidRPr="005D062F" w:rsidRDefault="004C5116" w:rsidP="00723DAD">
      <w:pPr>
        <w:rPr>
          <w:rFonts w:ascii="Times New Roman" w:hAnsi="Times New Roman" w:cs="Times New Roman"/>
          <w:color w:val="000000" w:themeColor="text1"/>
          <w:sz w:val="22"/>
          <w:szCs w:val="22"/>
          <w:lang w:val="fr-FR"/>
        </w:rPr>
      </w:pPr>
    </w:p>
    <w:p w14:paraId="0D719D00" w14:textId="68A82A73" w:rsidR="00ED78BF" w:rsidRPr="005D062F" w:rsidRDefault="00A06E1C" w:rsidP="00CB030B">
      <w:pPr>
        <w:pStyle w:val="ListParagraph"/>
        <w:numPr>
          <w:ilvl w:val="0"/>
          <w:numId w:val="6"/>
        </w:numPr>
        <w:tabs>
          <w:tab w:val="left" w:pos="1440"/>
        </w:tabs>
        <w:ind w:left="1440" w:hanging="720"/>
        <w:contextualSpacing/>
        <w:jc w:val="both"/>
        <w:rPr>
          <w:color w:val="000000" w:themeColor="text1"/>
          <w:sz w:val="22"/>
          <w:szCs w:val="22"/>
          <w:lang w:val="fr-FR"/>
        </w:rPr>
      </w:pPr>
      <w:r w:rsidRPr="005D062F">
        <w:rPr>
          <w:color w:val="000000" w:themeColor="text1"/>
          <w:sz w:val="22"/>
          <w:szCs w:val="22"/>
          <w:lang w:val="fr-FR"/>
        </w:rPr>
        <w:t>I</w:t>
      </w:r>
      <w:r w:rsidR="004C5116" w:rsidRPr="005D062F">
        <w:rPr>
          <w:color w:val="000000" w:themeColor="text1"/>
          <w:sz w:val="22"/>
          <w:szCs w:val="22"/>
          <w:lang w:val="fr-FR"/>
        </w:rPr>
        <w:t>mpact</w:t>
      </w:r>
      <w:r w:rsidRPr="005D062F">
        <w:rPr>
          <w:color w:val="000000" w:themeColor="text1"/>
          <w:sz w:val="22"/>
          <w:szCs w:val="22"/>
          <w:lang w:val="fr-FR"/>
        </w:rPr>
        <w:t xml:space="preserve"> économique global : les</w:t>
      </w:r>
      <w:r w:rsidR="004C5116" w:rsidRPr="005D062F">
        <w:rPr>
          <w:color w:val="000000" w:themeColor="text1"/>
          <w:sz w:val="22"/>
          <w:szCs w:val="22"/>
          <w:lang w:val="fr-FR"/>
        </w:rPr>
        <w:t xml:space="preserve"> </w:t>
      </w:r>
      <w:r w:rsidRPr="005D062F">
        <w:rPr>
          <w:color w:val="000000" w:themeColor="text1"/>
          <w:sz w:val="22"/>
          <w:szCs w:val="22"/>
          <w:lang w:val="fr-FR"/>
        </w:rPr>
        <w:t>interventions du SBDC ont permis de servir 4</w:t>
      </w:r>
      <w:r w:rsidR="00737C6C" w:rsidRPr="005D062F">
        <w:rPr>
          <w:color w:val="000000" w:themeColor="text1"/>
          <w:sz w:val="22"/>
          <w:szCs w:val="22"/>
          <w:lang w:val="fr-FR"/>
        </w:rPr>
        <w:t> </w:t>
      </w:r>
      <w:r w:rsidRPr="005D062F">
        <w:rPr>
          <w:color w:val="000000" w:themeColor="text1"/>
          <w:sz w:val="22"/>
          <w:szCs w:val="22"/>
          <w:lang w:val="fr-FR"/>
        </w:rPr>
        <w:t>628 clients</w:t>
      </w:r>
      <w:r w:rsidR="00ED78BF" w:rsidRPr="005D062F">
        <w:rPr>
          <w:color w:val="000000" w:themeColor="text1"/>
          <w:sz w:val="22"/>
          <w:szCs w:val="22"/>
          <w:lang w:val="fr-FR"/>
        </w:rPr>
        <w:t xml:space="preserve">, </w:t>
      </w:r>
      <w:r w:rsidRPr="005D062F">
        <w:rPr>
          <w:color w:val="000000" w:themeColor="text1"/>
          <w:sz w:val="22"/>
          <w:szCs w:val="22"/>
          <w:lang w:val="fr-FR"/>
        </w:rPr>
        <w:t>de lancer 91 nouvelles entreprises</w:t>
      </w:r>
      <w:r w:rsidR="004C5116" w:rsidRPr="005D062F">
        <w:rPr>
          <w:color w:val="000000" w:themeColor="text1"/>
          <w:sz w:val="22"/>
          <w:szCs w:val="22"/>
          <w:lang w:val="fr-FR"/>
        </w:rPr>
        <w:t>,</w:t>
      </w:r>
      <w:r w:rsidR="00ED78BF" w:rsidRPr="005D062F">
        <w:rPr>
          <w:color w:val="000000" w:themeColor="text1"/>
          <w:sz w:val="22"/>
          <w:szCs w:val="22"/>
          <w:lang w:val="fr-FR"/>
        </w:rPr>
        <w:t xml:space="preserve"> </w:t>
      </w:r>
      <w:r w:rsidRPr="005D062F">
        <w:rPr>
          <w:color w:val="000000" w:themeColor="text1"/>
          <w:sz w:val="22"/>
          <w:szCs w:val="22"/>
          <w:lang w:val="fr-FR"/>
        </w:rPr>
        <w:t>de créer 2</w:t>
      </w:r>
      <w:r w:rsidR="00D071DE" w:rsidRPr="005D062F">
        <w:rPr>
          <w:color w:val="000000" w:themeColor="text1"/>
          <w:sz w:val="22"/>
          <w:szCs w:val="22"/>
          <w:lang w:val="fr-FR"/>
        </w:rPr>
        <w:t> </w:t>
      </w:r>
      <w:r w:rsidRPr="005D062F">
        <w:rPr>
          <w:color w:val="000000" w:themeColor="text1"/>
          <w:sz w:val="22"/>
          <w:szCs w:val="22"/>
          <w:lang w:val="fr-FR"/>
        </w:rPr>
        <w:t>158 poste</w:t>
      </w:r>
      <w:r w:rsidR="00ED78BF" w:rsidRPr="005D062F">
        <w:rPr>
          <w:color w:val="000000" w:themeColor="text1"/>
          <w:sz w:val="22"/>
          <w:szCs w:val="22"/>
          <w:lang w:val="fr-FR"/>
        </w:rPr>
        <w:t xml:space="preserve">s </w:t>
      </w:r>
      <w:r w:rsidRPr="005D062F">
        <w:rPr>
          <w:color w:val="000000" w:themeColor="text1"/>
          <w:sz w:val="22"/>
          <w:szCs w:val="22"/>
          <w:lang w:val="fr-FR"/>
        </w:rPr>
        <w:t>et de soutenir 6</w:t>
      </w:r>
      <w:r w:rsidR="00D071DE" w:rsidRPr="005D062F">
        <w:rPr>
          <w:color w:val="000000" w:themeColor="text1"/>
          <w:sz w:val="22"/>
          <w:szCs w:val="22"/>
          <w:lang w:val="fr-FR"/>
        </w:rPr>
        <w:t> </w:t>
      </w:r>
      <w:r w:rsidRPr="005D062F">
        <w:rPr>
          <w:color w:val="000000" w:themeColor="text1"/>
          <w:sz w:val="22"/>
          <w:szCs w:val="22"/>
          <w:lang w:val="fr-FR"/>
        </w:rPr>
        <w:t>678 emplois</w:t>
      </w:r>
      <w:r w:rsidR="004C5116" w:rsidRPr="005D062F">
        <w:rPr>
          <w:color w:val="000000" w:themeColor="text1"/>
          <w:sz w:val="22"/>
          <w:szCs w:val="22"/>
          <w:lang w:val="fr-FR"/>
        </w:rPr>
        <w:t xml:space="preserve">, </w:t>
      </w:r>
      <w:r w:rsidRPr="005D062F">
        <w:rPr>
          <w:color w:val="000000" w:themeColor="text1"/>
          <w:sz w:val="22"/>
          <w:szCs w:val="22"/>
          <w:lang w:val="fr-FR"/>
        </w:rPr>
        <w:t>de générer 96 078 265,</w:t>
      </w:r>
      <w:r w:rsidR="00ED78BF" w:rsidRPr="005D062F">
        <w:rPr>
          <w:color w:val="000000" w:themeColor="text1"/>
          <w:sz w:val="22"/>
          <w:szCs w:val="22"/>
          <w:lang w:val="fr-FR"/>
        </w:rPr>
        <w:t>25</w:t>
      </w:r>
      <w:r w:rsidRPr="005D062F">
        <w:rPr>
          <w:color w:val="000000" w:themeColor="text1"/>
          <w:sz w:val="22"/>
          <w:szCs w:val="22"/>
          <w:lang w:val="fr-FR"/>
        </w:rPr>
        <w:t> USD de recettes commerciales et</w:t>
      </w:r>
      <w:r w:rsidR="008D58EF" w:rsidRPr="005D062F">
        <w:rPr>
          <w:color w:val="000000" w:themeColor="text1"/>
          <w:sz w:val="22"/>
          <w:szCs w:val="22"/>
          <w:lang w:val="fr-FR"/>
        </w:rPr>
        <w:t xml:space="preserve"> </w:t>
      </w:r>
      <w:r w:rsidRPr="005D062F">
        <w:rPr>
          <w:color w:val="000000" w:themeColor="text1"/>
          <w:sz w:val="22"/>
          <w:szCs w:val="22"/>
          <w:lang w:val="fr-FR"/>
        </w:rPr>
        <w:t>7 645 798,</w:t>
      </w:r>
      <w:r w:rsidR="00ED78BF" w:rsidRPr="005D062F">
        <w:rPr>
          <w:color w:val="000000" w:themeColor="text1"/>
          <w:sz w:val="22"/>
          <w:szCs w:val="22"/>
          <w:lang w:val="fr-FR"/>
        </w:rPr>
        <w:t>50</w:t>
      </w:r>
      <w:r w:rsidRPr="005D062F">
        <w:rPr>
          <w:color w:val="000000" w:themeColor="text1"/>
          <w:sz w:val="22"/>
          <w:szCs w:val="22"/>
          <w:lang w:val="fr-FR"/>
        </w:rPr>
        <w:t> USD</w:t>
      </w:r>
      <w:r w:rsidR="00ED78BF" w:rsidRPr="005D062F">
        <w:rPr>
          <w:color w:val="000000" w:themeColor="text1"/>
          <w:sz w:val="22"/>
          <w:szCs w:val="22"/>
          <w:lang w:val="fr-FR"/>
        </w:rPr>
        <w:t xml:space="preserve"> </w:t>
      </w:r>
      <w:r w:rsidRPr="005D062F">
        <w:rPr>
          <w:color w:val="000000" w:themeColor="text1"/>
          <w:sz w:val="22"/>
          <w:szCs w:val="22"/>
          <w:lang w:val="fr-FR"/>
        </w:rPr>
        <w:t>de bénéfices</w:t>
      </w:r>
      <w:r w:rsidR="004C5116" w:rsidRPr="005D062F">
        <w:rPr>
          <w:color w:val="000000" w:themeColor="text1"/>
          <w:sz w:val="22"/>
          <w:szCs w:val="22"/>
          <w:lang w:val="fr-FR"/>
        </w:rPr>
        <w:t>,</w:t>
      </w:r>
      <w:r w:rsidR="00ED78BF" w:rsidRPr="005D062F">
        <w:rPr>
          <w:color w:val="000000" w:themeColor="text1"/>
          <w:sz w:val="22"/>
          <w:szCs w:val="22"/>
          <w:lang w:val="fr-FR"/>
        </w:rPr>
        <w:t xml:space="preserve"> </w:t>
      </w:r>
      <w:r w:rsidRPr="005D062F">
        <w:rPr>
          <w:color w:val="000000" w:themeColor="text1"/>
          <w:sz w:val="22"/>
          <w:szCs w:val="22"/>
          <w:lang w:val="fr-FR"/>
        </w:rPr>
        <w:t>de favoriser l’expansion de 11 entreprises et de réaliser des injections de capitaux d’un montant de 61 425 554,</w:t>
      </w:r>
      <w:r w:rsidR="00ED78BF" w:rsidRPr="005D062F">
        <w:rPr>
          <w:color w:val="000000" w:themeColor="text1"/>
          <w:sz w:val="22"/>
          <w:szCs w:val="22"/>
          <w:lang w:val="fr-FR"/>
        </w:rPr>
        <w:t>63</w:t>
      </w:r>
      <w:r w:rsidRPr="005D062F">
        <w:rPr>
          <w:color w:val="000000" w:themeColor="text1"/>
          <w:sz w:val="22"/>
          <w:szCs w:val="22"/>
          <w:lang w:val="fr-FR"/>
        </w:rPr>
        <w:t> USD par le biais de prêts et de prises de participation dans cinq États membres des Caraïbes</w:t>
      </w:r>
      <w:r w:rsidR="00ED78BF" w:rsidRPr="005D062F">
        <w:rPr>
          <w:color w:val="000000" w:themeColor="text1"/>
          <w:sz w:val="22"/>
          <w:szCs w:val="22"/>
          <w:lang w:val="fr-FR"/>
        </w:rPr>
        <w:t>.</w:t>
      </w:r>
    </w:p>
    <w:p w14:paraId="61745C9F" w14:textId="77777777" w:rsidR="00ED78BF" w:rsidRPr="005D062F" w:rsidRDefault="00ED78BF" w:rsidP="00723DAD">
      <w:pPr>
        <w:rPr>
          <w:rFonts w:ascii="Times New Roman" w:hAnsi="Times New Roman" w:cs="Times New Roman"/>
          <w:color w:val="000000"/>
          <w:sz w:val="22"/>
          <w:szCs w:val="22"/>
          <w:lang w:val="fr-FR"/>
        </w:rPr>
      </w:pPr>
    </w:p>
    <w:p w14:paraId="481237CC" w14:textId="20B480F9" w:rsidR="00ED78BF" w:rsidRPr="005D062F" w:rsidRDefault="00C00A21" w:rsidP="00BC7DB3">
      <w:pPr>
        <w:keepNext/>
        <w:tabs>
          <w:tab w:val="left" w:pos="720"/>
        </w:tabs>
        <w:ind w:left="720"/>
        <w:jc w:val="both"/>
        <w:rPr>
          <w:rFonts w:ascii="Times New Roman" w:hAnsi="Times New Roman" w:cs="Times New Roman"/>
          <w:b/>
          <w:bCs/>
          <w:color w:val="000000"/>
          <w:sz w:val="22"/>
          <w:szCs w:val="22"/>
          <w:lang w:val="fr-FR"/>
        </w:rPr>
      </w:pPr>
      <w:r w:rsidRPr="005D062F">
        <w:rPr>
          <w:rFonts w:ascii="Times New Roman" w:hAnsi="Times New Roman" w:cs="Times New Roman"/>
          <w:b/>
          <w:bCs/>
          <w:color w:val="000000"/>
          <w:sz w:val="22"/>
          <w:szCs w:val="22"/>
          <w:lang w:val="fr-FR"/>
        </w:rPr>
        <w:t>Systè</w:t>
      </w:r>
      <w:r w:rsidR="00ED78BF" w:rsidRPr="005D062F">
        <w:rPr>
          <w:rFonts w:ascii="Times New Roman" w:hAnsi="Times New Roman" w:cs="Times New Roman"/>
          <w:b/>
          <w:bCs/>
          <w:color w:val="000000"/>
          <w:sz w:val="22"/>
          <w:szCs w:val="22"/>
          <w:lang w:val="fr-FR"/>
        </w:rPr>
        <w:t>m</w:t>
      </w:r>
      <w:r w:rsidRPr="005D062F">
        <w:rPr>
          <w:rFonts w:ascii="Times New Roman" w:hAnsi="Times New Roman" w:cs="Times New Roman"/>
          <w:b/>
          <w:bCs/>
          <w:color w:val="000000"/>
          <w:sz w:val="22"/>
          <w:szCs w:val="22"/>
          <w:lang w:val="fr-FR"/>
        </w:rPr>
        <w:t>e d’information sur le commerce extérieur</w:t>
      </w:r>
      <w:r w:rsidR="00ED78BF" w:rsidRPr="005D062F">
        <w:rPr>
          <w:rFonts w:ascii="Times New Roman" w:hAnsi="Times New Roman" w:cs="Times New Roman"/>
          <w:b/>
          <w:bCs/>
          <w:color w:val="000000"/>
          <w:sz w:val="22"/>
          <w:szCs w:val="22"/>
          <w:lang w:val="fr-FR"/>
        </w:rPr>
        <w:t xml:space="preserve"> (SICE)</w:t>
      </w:r>
      <w:r w:rsidRPr="005D062F">
        <w:rPr>
          <w:rFonts w:ascii="Times New Roman" w:hAnsi="Times New Roman" w:cs="Times New Roman"/>
          <w:b/>
          <w:bCs/>
          <w:color w:val="000000"/>
          <w:sz w:val="22"/>
          <w:szCs w:val="22"/>
          <w:lang w:val="fr-FR"/>
        </w:rPr>
        <w:t xml:space="preserve"> de l’OEA</w:t>
      </w:r>
    </w:p>
    <w:p w14:paraId="7DF3667F" w14:textId="77777777" w:rsidR="00ED78BF" w:rsidRPr="005D062F" w:rsidRDefault="00ED78BF" w:rsidP="00BC7DB3">
      <w:pPr>
        <w:keepNext/>
        <w:rPr>
          <w:rFonts w:ascii="Times New Roman" w:hAnsi="Times New Roman" w:cs="Times New Roman"/>
          <w:color w:val="000000" w:themeColor="text1"/>
          <w:sz w:val="22"/>
          <w:szCs w:val="22"/>
          <w:lang w:val="fr-FR"/>
        </w:rPr>
      </w:pPr>
    </w:p>
    <w:p w14:paraId="7DB00AB9" w14:textId="230CA818" w:rsidR="00ED78BF" w:rsidRPr="005D062F" w:rsidRDefault="00070513" w:rsidP="00CB030B">
      <w:pPr>
        <w:pStyle w:val="ListParagraph"/>
        <w:numPr>
          <w:ilvl w:val="0"/>
          <w:numId w:val="7"/>
        </w:numPr>
        <w:tabs>
          <w:tab w:val="left" w:pos="1440"/>
        </w:tabs>
        <w:ind w:left="1440" w:hanging="720"/>
        <w:contextualSpacing/>
        <w:jc w:val="both"/>
        <w:rPr>
          <w:color w:val="000000" w:themeColor="text1"/>
          <w:sz w:val="22"/>
          <w:szCs w:val="22"/>
          <w:lang w:val="fr-FR"/>
        </w:rPr>
      </w:pPr>
      <w:r w:rsidRPr="005D062F">
        <w:rPr>
          <w:rFonts w:eastAsia="Times New Roman"/>
          <w:color w:val="000000"/>
          <w:sz w:val="22"/>
          <w:szCs w:val="22"/>
          <w:lang w:val="fr-FR"/>
        </w:rPr>
        <w:t>Le SEDI a mis à jour le centre d’échange d’informations en ligne pour les MPME (</w:t>
      </w:r>
      <w:r w:rsidR="00ED78BF" w:rsidRPr="005D062F">
        <w:rPr>
          <w:color w:val="000000" w:themeColor="text1"/>
          <w:sz w:val="22"/>
          <w:szCs w:val="22"/>
          <w:lang w:val="fr-FR"/>
        </w:rPr>
        <w:t>MSME Online Clearinghouse</w:t>
      </w:r>
      <w:r w:rsidRPr="005D062F">
        <w:rPr>
          <w:color w:val="000000" w:themeColor="text1"/>
          <w:sz w:val="22"/>
          <w:szCs w:val="22"/>
          <w:lang w:val="fr-FR"/>
        </w:rPr>
        <w:t>)</w:t>
      </w:r>
      <w:r w:rsidR="00ED78BF" w:rsidRPr="005D062F">
        <w:rPr>
          <w:color w:val="000000" w:themeColor="text1"/>
          <w:sz w:val="22"/>
          <w:szCs w:val="22"/>
          <w:lang w:val="fr-FR"/>
        </w:rPr>
        <w:t xml:space="preserve"> </w:t>
      </w:r>
      <w:r w:rsidRPr="005D062F">
        <w:rPr>
          <w:rFonts w:eastAsia="Times New Roman"/>
          <w:color w:val="000000"/>
          <w:sz w:val="22"/>
          <w:szCs w:val="22"/>
          <w:lang w:val="fr-FR"/>
        </w:rPr>
        <w:t xml:space="preserve">et produit </w:t>
      </w:r>
      <w:r w:rsidR="006E3B11" w:rsidRPr="005D062F">
        <w:rPr>
          <w:rFonts w:eastAsia="Times New Roman"/>
          <w:color w:val="000000"/>
          <w:sz w:val="22"/>
          <w:szCs w:val="22"/>
          <w:lang w:val="fr-FR"/>
        </w:rPr>
        <w:t>11</w:t>
      </w:r>
      <w:r w:rsidR="00737C6C" w:rsidRPr="005D062F">
        <w:rPr>
          <w:rFonts w:eastAsia="Times New Roman"/>
          <w:color w:val="000000"/>
          <w:sz w:val="22"/>
          <w:szCs w:val="22"/>
          <w:lang w:val="fr-FR"/>
        </w:rPr>
        <w:t xml:space="preserve"> </w:t>
      </w:r>
      <w:r w:rsidRPr="005D062F">
        <w:rPr>
          <w:rFonts w:eastAsia="Times New Roman"/>
          <w:color w:val="000000"/>
          <w:sz w:val="22"/>
          <w:szCs w:val="22"/>
          <w:lang w:val="fr-FR"/>
        </w:rPr>
        <w:t>é</w:t>
      </w:r>
      <w:r w:rsidR="00D8592F" w:rsidRPr="005D062F">
        <w:rPr>
          <w:rFonts w:eastAsia="Times New Roman"/>
          <w:color w:val="000000"/>
          <w:sz w:val="22"/>
          <w:szCs w:val="22"/>
          <w:lang w:val="fr-FR"/>
        </w:rPr>
        <w:t>ditions spéciales du bulletin d’</w:t>
      </w:r>
      <w:r w:rsidRPr="005D062F">
        <w:rPr>
          <w:rFonts w:eastAsia="Times New Roman"/>
          <w:color w:val="000000"/>
          <w:sz w:val="22"/>
          <w:szCs w:val="22"/>
          <w:lang w:val="fr-FR"/>
        </w:rPr>
        <w:t>informati</w:t>
      </w:r>
      <w:r w:rsidR="00737C6C" w:rsidRPr="005D062F">
        <w:rPr>
          <w:rFonts w:eastAsia="Times New Roman"/>
          <w:color w:val="000000"/>
          <w:sz w:val="22"/>
          <w:szCs w:val="22"/>
          <w:lang w:val="fr-FR"/>
        </w:rPr>
        <w:t>on de l’</w:t>
      </w:r>
      <w:r w:rsidR="00D8592F" w:rsidRPr="005D062F">
        <w:rPr>
          <w:rFonts w:eastAsia="Times New Roman"/>
          <w:color w:val="000000"/>
          <w:sz w:val="22"/>
          <w:szCs w:val="22"/>
          <w:lang w:val="fr-FR"/>
        </w:rPr>
        <w:t>OEA sur les MPME afin d’</w:t>
      </w:r>
      <w:r w:rsidRPr="005D062F">
        <w:rPr>
          <w:rFonts w:eastAsia="Times New Roman"/>
          <w:color w:val="000000"/>
          <w:sz w:val="22"/>
          <w:szCs w:val="22"/>
          <w:lang w:val="fr-FR"/>
        </w:rPr>
        <w:t>améliorer le partage des bonnes pratiques, des initiatives de coopération horizontale, des politiques, programmes et projets qui soutiennent le secteur des M</w:t>
      </w:r>
      <w:r w:rsidR="00737C6C" w:rsidRPr="005D062F">
        <w:rPr>
          <w:rFonts w:eastAsia="Times New Roman"/>
          <w:color w:val="000000"/>
          <w:sz w:val="22"/>
          <w:szCs w:val="22"/>
          <w:lang w:val="fr-FR"/>
        </w:rPr>
        <w:t>PME dans les États membres de l’</w:t>
      </w:r>
      <w:r w:rsidRPr="005D062F">
        <w:rPr>
          <w:rFonts w:eastAsia="Times New Roman"/>
          <w:color w:val="000000"/>
          <w:sz w:val="22"/>
          <w:szCs w:val="22"/>
          <w:lang w:val="fr-FR"/>
        </w:rPr>
        <w:t>OEA.</w:t>
      </w:r>
    </w:p>
    <w:p w14:paraId="65984D52" w14:textId="77777777" w:rsidR="00ED78BF" w:rsidRPr="005D062F" w:rsidRDefault="00ED78BF" w:rsidP="00723DAD">
      <w:pPr>
        <w:rPr>
          <w:rFonts w:ascii="Times New Roman" w:hAnsi="Times New Roman" w:cs="Times New Roman"/>
          <w:color w:val="000000" w:themeColor="text1"/>
          <w:sz w:val="22"/>
          <w:szCs w:val="22"/>
          <w:lang w:val="fr-FR"/>
        </w:rPr>
      </w:pPr>
    </w:p>
    <w:p w14:paraId="1EDB3535" w14:textId="121A1E80" w:rsidR="00ED78BF" w:rsidRPr="005D062F" w:rsidRDefault="00070513" w:rsidP="00C67D84">
      <w:pPr>
        <w:pStyle w:val="ListParagraph"/>
        <w:numPr>
          <w:ilvl w:val="0"/>
          <w:numId w:val="7"/>
        </w:numPr>
        <w:tabs>
          <w:tab w:val="left" w:pos="720"/>
        </w:tabs>
        <w:ind w:left="1440" w:hanging="720"/>
        <w:contextualSpacing/>
        <w:jc w:val="both"/>
        <w:rPr>
          <w:color w:val="000000" w:themeColor="text1"/>
          <w:sz w:val="22"/>
          <w:szCs w:val="22"/>
          <w:lang w:val="fr-FR"/>
        </w:rPr>
      </w:pPr>
      <w:r w:rsidRPr="005D062F">
        <w:rPr>
          <w:rFonts w:eastAsia="Times New Roman"/>
          <w:color w:val="000000"/>
          <w:sz w:val="22"/>
          <w:szCs w:val="22"/>
          <w:lang w:val="fr-FR"/>
        </w:rPr>
        <w:t xml:space="preserve">Le portail sur les politiques commerciales en ligne </w:t>
      </w:r>
      <w:r w:rsidR="00737C6C" w:rsidRPr="005D062F">
        <w:rPr>
          <w:rFonts w:eastAsia="Times New Roman"/>
          <w:color w:val="000000"/>
          <w:sz w:val="22"/>
          <w:szCs w:val="22"/>
          <w:lang w:val="fr-FR"/>
        </w:rPr>
        <w:t>a été amélioré : plus de 37 000</w:t>
      </w:r>
      <w:r w:rsidR="006E3B11" w:rsidRPr="005D062F">
        <w:rPr>
          <w:rFonts w:eastAsia="Times New Roman"/>
          <w:color w:val="000000"/>
          <w:sz w:val="22"/>
          <w:szCs w:val="22"/>
          <w:lang w:val="fr-FR"/>
        </w:rPr>
        <w:t xml:space="preserve"> </w:t>
      </w:r>
      <w:r w:rsidRPr="005D062F">
        <w:rPr>
          <w:rFonts w:eastAsia="Times New Roman"/>
          <w:color w:val="000000"/>
          <w:sz w:val="22"/>
          <w:szCs w:val="22"/>
          <w:lang w:val="fr-FR"/>
        </w:rPr>
        <w:t>documents officiels sont disponibles et 37 millions de vues ont été enregistrées</w:t>
      </w:r>
      <w:r w:rsidR="00ED78BF" w:rsidRPr="005D062F">
        <w:rPr>
          <w:color w:val="000000" w:themeColor="text1"/>
          <w:sz w:val="22"/>
          <w:szCs w:val="22"/>
          <w:lang w:val="fr-FR"/>
        </w:rPr>
        <w:t>.</w:t>
      </w:r>
    </w:p>
    <w:p w14:paraId="330D7BC9" w14:textId="77777777" w:rsidR="005F2C83" w:rsidRPr="005D062F" w:rsidRDefault="005F2C83" w:rsidP="00CB030B">
      <w:pPr>
        <w:jc w:val="both"/>
        <w:rPr>
          <w:rFonts w:ascii="Times New Roman" w:hAnsi="Times New Roman" w:cs="Times New Roman"/>
          <w:iCs/>
          <w:color w:val="000000" w:themeColor="text1"/>
          <w:sz w:val="22"/>
          <w:szCs w:val="22"/>
          <w:lang w:val="fr-FR"/>
        </w:rPr>
      </w:pPr>
    </w:p>
    <w:p w14:paraId="26185495" w14:textId="0BFC682A" w:rsidR="004C5116" w:rsidRPr="002D4DF7" w:rsidRDefault="00C2663A" w:rsidP="002D4DF7">
      <w:pPr>
        <w:pStyle w:val="Heading2"/>
      </w:pPr>
      <w:bookmarkStart w:id="6" w:name="_Toc124243399"/>
      <w:r w:rsidRPr="005D062F">
        <w:t>OBJECTIF</w:t>
      </w:r>
      <w:r w:rsidR="00ED78BF" w:rsidRPr="005D062F">
        <w:t xml:space="preserve"> 1.2</w:t>
      </w:r>
      <w:bookmarkEnd w:id="6"/>
    </w:p>
    <w:p w14:paraId="75A61063" w14:textId="77777777" w:rsidR="0074320E" w:rsidRPr="005D062F" w:rsidRDefault="0074320E" w:rsidP="00723DAD">
      <w:pPr>
        <w:rPr>
          <w:rFonts w:ascii="Times New Roman" w:hAnsi="Times New Roman" w:cs="Times New Roman"/>
          <w:bCs/>
          <w:sz w:val="22"/>
          <w:szCs w:val="22"/>
          <w:lang w:val="fr-FR"/>
        </w:rPr>
      </w:pPr>
    </w:p>
    <w:p w14:paraId="7D4C5540" w14:textId="598575E0" w:rsidR="00ED78BF" w:rsidRPr="005D062F" w:rsidRDefault="000C1DFB" w:rsidP="00CB030B">
      <w:pPr>
        <w:ind w:firstLine="720"/>
        <w:contextualSpacing/>
        <w:jc w:val="both"/>
        <w:rPr>
          <w:rFonts w:ascii="Times New Roman" w:eastAsia="Cambria" w:hAnsi="Times New Roman" w:cs="Times New Roman"/>
          <w:color w:val="000000" w:themeColor="text1"/>
          <w:sz w:val="22"/>
          <w:szCs w:val="22"/>
          <w:lang w:val="fr-FR"/>
        </w:rPr>
      </w:pPr>
      <w:r w:rsidRPr="005D062F">
        <w:rPr>
          <w:rFonts w:ascii="Times New Roman" w:eastAsia="Times New Roman" w:hAnsi="Times New Roman" w:cs="Times New Roman"/>
          <w:color w:val="000000"/>
          <w:sz w:val="22"/>
          <w:szCs w:val="22"/>
          <w:lang w:val="fr-FR"/>
        </w:rPr>
        <w:t xml:space="preserve">Intensifier la coopération régionale, les échanges de connaissances, le transfert de technologie à des conditions et selon des modalités établies d’un commun accord, et la collaboration intersectorielle entre les États membres et au sein de ces derniers en matière de compétitivité, </w:t>
      </w:r>
      <w:r w:rsidR="00737C6C" w:rsidRPr="005D062F">
        <w:rPr>
          <w:rFonts w:ascii="Times New Roman" w:eastAsia="Times New Roman" w:hAnsi="Times New Roman" w:cs="Times New Roman"/>
          <w:color w:val="000000"/>
          <w:sz w:val="22"/>
          <w:szCs w:val="22"/>
          <w:lang w:val="fr-FR"/>
        </w:rPr>
        <w:t xml:space="preserve">de </w:t>
      </w:r>
      <w:r w:rsidRPr="005D062F">
        <w:rPr>
          <w:rFonts w:ascii="Times New Roman" w:eastAsia="Times New Roman" w:hAnsi="Times New Roman" w:cs="Times New Roman"/>
          <w:color w:val="000000"/>
          <w:sz w:val="22"/>
          <w:szCs w:val="22"/>
          <w:lang w:val="fr-FR"/>
        </w:rPr>
        <w:t xml:space="preserve">productivité et </w:t>
      </w:r>
      <w:r w:rsidR="00737C6C" w:rsidRPr="005D062F">
        <w:rPr>
          <w:rFonts w:ascii="Times New Roman" w:eastAsia="Times New Roman" w:hAnsi="Times New Roman" w:cs="Times New Roman"/>
          <w:color w:val="000000"/>
          <w:sz w:val="22"/>
          <w:szCs w:val="22"/>
          <w:lang w:val="fr-FR"/>
        </w:rPr>
        <w:t>d’</w:t>
      </w:r>
      <w:r w:rsidRPr="005D062F">
        <w:rPr>
          <w:rFonts w:ascii="Times New Roman" w:eastAsia="Times New Roman" w:hAnsi="Times New Roman" w:cs="Times New Roman"/>
          <w:color w:val="000000"/>
          <w:sz w:val="22"/>
          <w:szCs w:val="22"/>
          <w:lang w:val="fr-FR"/>
        </w:rPr>
        <w:t>innovation</w:t>
      </w:r>
      <w:r w:rsidR="00ED78BF" w:rsidRPr="005D062F">
        <w:rPr>
          <w:rFonts w:ascii="Times New Roman" w:eastAsia="Cambria" w:hAnsi="Times New Roman" w:cs="Times New Roman"/>
          <w:color w:val="000000" w:themeColor="text1"/>
          <w:sz w:val="22"/>
          <w:szCs w:val="22"/>
          <w:lang w:val="fr-FR"/>
        </w:rPr>
        <w:t>.</w:t>
      </w:r>
    </w:p>
    <w:p w14:paraId="746F662B" w14:textId="77777777" w:rsidR="00ED78BF" w:rsidRPr="005D062F" w:rsidRDefault="00ED78BF" w:rsidP="00723DAD">
      <w:pPr>
        <w:rPr>
          <w:rFonts w:ascii="Times New Roman" w:hAnsi="Times New Roman" w:cs="Times New Roman"/>
          <w:bCs/>
          <w:sz w:val="22"/>
          <w:szCs w:val="22"/>
          <w:lang w:val="fr-FR"/>
        </w:rPr>
      </w:pPr>
    </w:p>
    <w:p w14:paraId="70AF6B71" w14:textId="26B3046D" w:rsidR="00ED78BF" w:rsidRPr="005D062F" w:rsidRDefault="000C1DFB" w:rsidP="00CB030B">
      <w:pPr>
        <w:ind w:left="720"/>
        <w:jc w:val="both"/>
        <w:rPr>
          <w:rFonts w:ascii="Times New Roman" w:hAnsi="Times New Roman" w:cs="Times New Roman"/>
          <w:b/>
          <w:bCs/>
          <w:color w:val="000000" w:themeColor="text1"/>
          <w:sz w:val="22"/>
          <w:szCs w:val="22"/>
          <w:lang w:val="fr-FR"/>
        </w:rPr>
      </w:pPr>
      <w:r w:rsidRPr="005D062F">
        <w:rPr>
          <w:rFonts w:ascii="Times New Roman" w:eastAsia="Times New Roman" w:hAnsi="Times New Roman" w:cs="Times New Roman"/>
          <w:b/>
          <w:color w:val="000000"/>
          <w:sz w:val="22"/>
          <w:szCs w:val="22"/>
          <w:lang w:val="fr-FR"/>
        </w:rPr>
        <w:t>Réseau interaméricain de compétitivité</w:t>
      </w:r>
      <w:r w:rsidR="00ED78BF" w:rsidRPr="005D062F">
        <w:rPr>
          <w:rFonts w:ascii="Times New Roman" w:hAnsi="Times New Roman" w:cs="Times New Roman"/>
          <w:b/>
          <w:bCs/>
          <w:color w:val="000000" w:themeColor="text1"/>
          <w:sz w:val="22"/>
          <w:szCs w:val="22"/>
          <w:lang w:val="fr-FR"/>
        </w:rPr>
        <w:t xml:space="preserve"> (RIAC), </w:t>
      </w:r>
      <w:r w:rsidRPr="005D062F">
        <w:rPr>
          <w:rFonts w:ascii="Times New Roman" w:eastAsia="Times New Roman" w:hAnsi="Times New Roman" w:cs="Times New Roman"/>
          <w:b/>
          <w:color w:val="000000"/>
          <w:sz w:val="22"/>
          <w:szCs w:val="22"/>
          <w:lang w:val="fr-FR"/>
        </w:rPr>
        <w:t>Échange pour la compétitivité des Amériques</w:t>
      </w:r>
      <w:r w:rsidR="00ED78BF" w:rsidRPr="005D062F">
        <w:rPr>
          <w:rFonts w:ascii="Times New Roman" w:hAnsi="Times New Roman" w:cs="Times New Roman"/>
          <w:b/>
          <w:bCs/>
          <w:color w:val="000000" w:themeColor="text1"/>
          <w:sz w:val="22"/>
          <w:szCs w:val="22"/>
          <w:lang w:val="fr-FR"/>
        </w:rPr>
        <w:t xml:space="preserve"> (ACE)</w:t>
      </w:r>
    </w:p>
    <w:p w14:paraId="14B9B694" w14:textId="77777777" w:rsidR="00ED78BF" w:rsidRPr="005D062F" w:rsidRDefault="00ED78BF" w:rsidP="00723DAD">
      <w:pPr>
        <w:rPr>
          <w:rFonts w:ascii="Times New Roman" w:hAnsi="Times New Roman" w:cs="Times New Roman"/>
          <w:bCs/>
          <w:sz w:val="22"/>
          <w:szCs w:val="22"/>
          <w:lang w:val="fr-FR"/>
        </w:rPr>
      </w:pPr>
    </w:p>
    <w:p w14:paraId="339E0E3A" w14:textId="416C1E04" w:rsidR="00ED78BF" w:rsidRPr="005D062F" w:rsidRDefault="000C1DFB" w:rsidP="00CB030B">
      <w:pPr>
        <w:pStyle w:val="NormalWeb"/>
        <w:numPr>
          <w:ilvl w:val="0"/>
          <w:numId w:val="8"/>
        </w:numPr>
        <w:spacing w:before="0" w:beforeAutospacing="0" w:after="0" w:afterAutospacing="0"/>
        <w:ind w:left="1440" w:hanging="720"/>
        <w:jc w:val="both"/>
        <w:rPr>
          <w:color w:val="000000" w:themeColor="text1"/>
          <w:sz w:val="22"/>
          <w:szCs w:val="22"/>
          <w:bdr w:val="none" w:sz="0" w:space="0" w:color="auto" w:frame="1"/>
          <w:shd w:val="clear" w:color="auto" w:fill="FFFFFF"/>
          <w:lang w:val="fr-FR"/>
        </w:rPr>
      </w:pPr>
      <w:r w:rsidRPr="005D062F">
        <w:rPr>
          <w:color w:val="000000" w:themeColor="text1"/>
          <w:sz w:val="22"/>
          <w:szCs w:val="22"/>
          <w:bdr w:val="none" w:sz="0" w:space="0" w:color="auto" w:frame="1"/>
          <w:shd w:val="clear" w:color="auto" w:fill="FFFFFF"/>
          <w:lang w:val="fr-FR"/>
        </w:rPr>
        <w:t xml:space="preserve">Plus de 30 bonnes pratiques liées </w:t>
      </w:r>
      <w:r w:rsidR="006C7FF8" w:rsidRPr="005D062F">
        <w:rPr>
          <w:color w:val="000000" w:themeColor="text1"/>
          <w:sz w:val="22"/>
          <w:szCs w:val="22"/>
          <w:bdr w:val="none" w:sz="0" w:space="0" w:color="auto" w:frame="1"/>
          <w:shd w:val="clear" w:color="auto" w:fill="FFFFFF"/>
          <w:lang w:val="fr-FR"/>
        </w:rPr>
        <w:t xml:space="preserve">au développement économique inclusif et au relèvement économique ont </w:t>
      </w:r>
      <w:r w:rsidR="00CB2B58" w:rsidRPr="005D062F">
        <w:rPr>
          <w:color w:val="000000" w:themeColor="text1"/>
          <w:sz w:val="22"/>
          <w:szCs w:val="22"/>
          <w:bdr w:val="none" w:sz="0" w:space="0" w:color="auto" w:frame="1"/>
          <w:shd w:val="clear" w:color="auto" w:fill="FFFFFF"/>
          <w:lang w:val="fr-FR"/>
        </w:rPr>
        <w:t>été partagées par des centres d’</w:t>
      </w:r>
      <w:r w:rsidR="006C7FF8" w:rsidRPr="005D062F">
        <w:rPr>
          <w:color w:val="000000" w:themeColor="text1"/>
          <w:sz w:val="22"/>
          <w:szCs w:val="22"/>
          <w:bdr w:val="none" w:sz="0" w:space="0" w:color="auto" w:frame="1"/>
          <w:shd w:val="clear" w:color="auto" w:fill="FFFFFF"/>
          <w:lang w:val="fr-FR"/>
        </w:rPr>
        <w:t>innovation, des centres de recherche</w:t>
      </w:r>
      <w:r w:rsidR="00ED78BF" w:rsidRPr="005D062F">
        <w:rPr>
          <w:color w:val="000000" w:themeColor="text1"/>
          <w:sz w:val="22"/>
          <w:szCs w:val="22"/>
          <w:bdr w:val="none" w:sz="0" w:space="0" w:color="auto" w:frame="1"/>
          <w:shd w:val="clear" w:color="auto" w:fill="FFFFFF"/>
          <w:lang w:val="fr-FR"/>
        </w:rPr>
        <w:t xml:space="preserve">, </w:t>
      </w:r>
      <w:r w:rsidR="006C7FF8" w:rsidRPr="005D062F">
        <w:rPr>
          <w:color w:val="000000" w:themeColor="text1"/>
          <w:sz w:val="22"/>
          <w:szCs w:val="22"/>
          <w:bdr w:val="none" w:sz="0" w:space="0" w:color="auto" w:frame="1"/>
          <w:shd w:val="clear" w:color="auto" w:fill="FFFFFF"/>
          <w:lang w:val="fr-FR"/>
        </w:rPr>
        <w:t>des entreprises, des université</w:t>
      </w:r>
      <w:r w:rsidR="00ED78BF" w:rsidRPr="005D062F">
        <w:rPr>
          <w:color w:val="000000" w:themeColor="text1"/>
          <w:sz w:val="22"/>
          <w:szCs w:val="22"/>
          <w:bdr w:val="none" w:sz="0" w:space="0" w:color="auto" w:frame="1"/>
          <w:shd w:val="clear" w:color="auto" w:fill="FFFFFF"/>
          <w:lang w:val="fr-FR"/>
        </w:rPr>
        <w:t>s</w:t>
      </w:r>
      <w:r w:rsidR="006C7FF8" w:rsidRPr="005D062F">
        <w:rPr>
          <w:color w:val="000000" w:themeColor="text1"/>
          <w:sz w:val="22"/>
          <w:szCs w:val="22"/>
          <w:bdr w:val="none" w:sz="0" w:space="0" w:color="auto" w:frame="1"/>
          <w:shd w:val="clear" w:color="auto" w:fill="FFFFFF"/>
          <w:lang w:val="fr-FR"/>
        </w:rPr>
        <w:t xml:space="preserve"> et des entités publiques à la Nouvelle-Orléans</w:t>
      </w:r>
      <w:r w:rsidR="00382C14" w:rsidRPr="005D062F">
        <w:rPr>
          <w:color w:val="000000" w:themeColor="text1"/>
          <w:sz w:val="22"/>
          <w:szCs w:val="22"/>
          <w:bdr w:val="none" w:sz="0" w:space="0" w:color="auto" w:frame="1"/>
          <w:shd w:val="clear" w:color="auto" w:fill="FFFFFF"/>
          <w:lang w:val="fr-FR"/>
        </w:rPr>
        <w:t>,</w:t>
      </w:r>
      <w:r w:rsidR="00ED78BF" w:rsidRPr="005D062F">
        <w:rPr>
          <w:color w:val="000000" w:themeColor="text1"/>
          <w:sz w:val="22"/>
          <w:szCs w:val="22"/>
          <w:bdr w:val="none" w:sz="0" w:space="0" w:color="auto" w:frame="1"/>
          <w:shd w:val="clear" w:color="auto" w:fill="FFFFFF"/>
          <w:lang w:val="fr-FR"/>
        </w:rPr>
        <w:t xml:space="preserve"> </w:t>
      </w:r>
      <w:r w:rsidR="006C7FF8" w:rsidRPr="005D062F">
        <w:rPr>
          <w:color w:val="000000" w:themeColor="text1"/>
          <w:sz w:val="22"/>
          <w:szCs w:val="22"/>
          <w:bdr w:val="none" w:sz="0" w:space="0" w:color="auto" w:frame="1"/>
          <w:shd w:val="clear" w:color="auto" w:fill="FFFFFF"/>
          <w:lang w:val="fr-FR"/>
        </w:rPr>
        <w:t>à</w:t>
      </w:r>
      <w:r w:rsidR="00ED78BF" w:rsidRPr="005D062F">
        <w:rPr>
          <w:color w:val="000000" w:themeColor="text1"/>
          <w:sz w:val="22"/>
          <w:szCs w:val="22"/>
          <w:bdr w:val="none" w:sz="0" w:space="0" w:color="auto" w:frame="1"/>
          <w:shd w:val="clear" w:color="auto" w:fill="FFFFFF"/>
          <w:lang w:val="fr-FR"/>
        </w:rPr>
        <w:t xml:space="preserve"> Baton Rouge, </w:t>
      </w:r>
      <w:r w:rsidR="006C7FF8" w:rsidRPr="005D062F">
        <w:rPr>
          <w:color w:val="000000" w:themeColor="text1"/>
          <w:sz w:val="22"/>
          <w:szCs w:val="22"/>
          <w:bdr w:val="none" w:sz="0" w:space="0" w:color="auto" w:frame="1"/>
          <w:shd w:val="clear" w:color="auto" w:fill="FFFFFF"/>
          <w:lang w:val="fr-FR"/>
        </w:rPr>
        <w:t>à Lafayette et à Acadiana (Louisiane)</w:t>
      </w:r>
      <w:r w:rsidR="00BF1E64" w:rsidRPr="005D062F">
        <w:rPr>
          <w:color w:val="000000" w:themeColor="text1"/>
          <w:sz w:val="22"/>
          <w:szCs w:val="22"/>
          <w:bdr w:val="none" w:sz="0" w:space="0" w:color="auto" w:frame="1"/>
          <w:shd w:val="clear" w:color="auto" w:fill="FFFFFF"/>
          <w:lang w:val="fr-FR"/>
        </w:rPr>
        <w:t>,</w:t>
      </w:r>
      <w:r w:rsidR="00ED78BF" w:rsidRPr="005D062F">
        <w:rPr>
          <w:color w:val="000000" w:themeColor="text1"/>
          <w:sz w:val="22"/>
          <w:szCs w:val="22"/>
          <w:bdr w:val="none" w:sz="0" w:space="0" w:color="auto" w:frame="1"/>
          <w:shd w:val="clear" w:color="auto" w:fill="FFFFFF"/>
          <w:lang w:val="fr-FR"/>
        </w:rPr>
        <w:t xml:space="preserve"> </w:t>
      </w:r>
      <w:r w:rsidR="006C7FF8" w:rsidRPr="005D062F">
        <w:rPr>
          <w:color w:val="000000" w:themeColor="text1"/>
          <w:sz w:val="22"/>
          <w:szCs w:val="22"/>
          <w:bdr w:val="none" w:sz="0" w:space="0" w:color="auto" w:frame="1"/>
          <w:shd w:val="clear" w:color="auto" w:fill="FFFFFF"/>
          <w:lang w:val="fr-FR"/>
        </w:rPr>
        <w:t xml:space="preserve">lors du </w:t>
      </w:r>
      <w:r w:rsidR="00ED78BF" w:rsidRPr="005D062F">
        <w:rPr>
          <w:color w:val="000000" w:themeColor="text1"/>
          <w:sz w:val="22"/>
          <w:szCs w:val="22"/>
          <w:bdr w:val="none" w:sz="0" w:space="0" w:color="auto" w:frame="1"/>
          <w:shd w:val="clear" w:color="auto" w:fill="FFFFFF"/>
          <w:lang w:val="fr-FR"/>
        </w:rPr>
        <w:t>14</w:t>
      </w:r>
      <w:r w:rsidR="006C7FF8" w:rsidRPr="005D062F">
        <w:rPr>
          <w:color w:val="000000" w:themeColor="text1"/>
          <w:sz w:val="22"/>
          <w:szCs w:val="22"/>
          <w:bdr w:val="none" w:sz="0" w:space="0" w:color="auto" w:frame="1"/>
          <w:shd w:val="clear" w:color="auto" w:fill="FFFFFF"/>
          <w:vertAlign w:val="superscript"/>
          <w:lang w:val="fr-FR"/>
        </w:rPr>
        <w:t>e</w:t>
      </w:r>
      <w:r w:rsidR="00ED78BF" w:rsidRPr="005D062F">
        <w:rPr>
          <w:color w:val="000000" w:themeColor="text1"/>
          <w:sz w:val="22"/>
          <w:szCs w:val="22"/>
          <w:bdr w:val="none" w:sz="0" w:space="0" w:color="auto" w:frame="1"/>
          <w:shd w:val="clear" w:color="auto" w:fill="FFFFFF"/>
          <w:lang w:val="fr-FR"/>
        </w:rPr>
        <w:t xml:space="preserve"> AC</w:t>
      </w:r>
      <w:r w:rsidR="00891A67" w:rsidRPr="005D062F">
        <w:rPr>
          <w:color w:val="000000" w:themeColor="text1"/>
          <w:sz w:val="22"/>
          <w:szCs w:val="22"/>
          <w:bdr w:val="none" w:sz="0" w:space="0" w:color="auto" w:frame="1"/>
          <w:shd w:val="clear" w:color="auto" w:fill="FFFFFF"/>
          <w:lang w:val="fr-FR"/>
        </w:rPr>
        <w:t>E</w:t>
      </w:r>
      <w:r w:rsidR="00ED78BF" w:rsidRPr="005D062F">
        <w:rPr>
          <w:color w:val="000000" w:themeColor="text1"/>
          <w:sz w:val="22"/>
          <w:szCs w:val="22"/>
          <w:bdr w:val="none" w:sz="0" w:space="0" w:color="auto" w:frame="1"/>
          <w:shd w:val="clear" w:color="auto" w:fill="FFFFFF"/>
          <w:lang w:val="fr-FR"/>
        </w:rPr>
        <w:t xml:space="preserve"> </w:t>
      </w:r>
      <w:r w:rsidR="006C7FF8" w:rsidRPr="005D062F">
        <w:rPr>
          <w:color w:val="000000" w:themeColor="text1"/>
          <w:sz w:val="22"/>
          <w:szCs w:val="22"/>
          <w:bdr w:val="none" w:sz="0" w:space="0" w:color="auto" w:frame="1"/>
          <w:shd w:val="clear" w:color="auto" w:fill="FFFFFF"/>
          <w:lang w:val="fr-FR"/>
        </w:rPr>
        <w:t>qui s’</w:t>
      </w:r>
      <w:r w:rsidR="001014D3" w:rsidRPr="005D062F">
        <w:rPr>
          <w:color w:val="000000" w:themeColor="text1"/>
          <w:sz w:val="22"/>
          <w:szCs w:val="22"/>
          <w:bdr w:val="none" w:sz="0" w:space="0" w:color="auto" w:frame="1"/>
          <w:shd w:val="clear" w:color="auto" w:fill="FFFFFF"/>
          <w:lang w:val="fr-FR"/>
        </w:rPr>
        <w:t>est tenu du 27 mars au 2 </w:t>
      </w:r>
      <w:r w:rsidR="006C7FF8" w:rsidRPr="005D062F">
        <w:rPr>
          <w:color w:val="000000" w:themeColor="text1"/>
          <w:sz w:val="22"/>
          <w:szCs w:val="22"/>
          <w:bdr w:val="none" w:sz="0" w:space="0" w:color="auto" w:frame="1"/>
          <w:shd w:val="clear" w:color="auto" w:fill="FFFFFF"/>
          <w:lang w:val="fr-FR"/>
        </w:rPr>
        <w:t xml:space="preserve">avril </w:t>
      </w:r>
      <w:r w:rsidR="00ED78BF" w:rsidRPr="005D062F">
        <w:rPr>
          <w:color w:val="000000" w:themeColor="text1"/>
          <w:sz w:val="22"/>
          <w:szCs w:val="22"/>
          <w:bdr w:val="none" w:sz="0" w:space="0" w:color="auto" w:frame="1"/>
          <w:shd w:val="clear" w:color="auto" w:fill="FFFFFF"/>
          <w:lang w:val="fr-FR"/>
        </w:rPr>
        <w:t xml:space="preserve">2022, </w:t>
      </w:r>
      <w:r w:rsidR="006C7FF8" w:rsidRPr="005D062F">
        <w:rPr>
          <w:color w:val="000000" w:themeColor="text1"/>
          <w:sz w:val="22"/>
          <w:szCs w:val="22"/>
          <w:bdr w:val="none" w:sz="0" w:space="0" w:color="auto" w:frame="1"/>
          <w:shd w:val="clear" w:color="auto" w:fill="FFFFFF"/>
          <w:lang w:val="fr-FR"/>
        </w:rPr>
        <w:t xml:space="preserve">ce qui a </w:t>
      </w:r>
      <w:r w:rsidR="00F70F5C" w:rsidRPr="005D062F">
        <w:rPr>
          <w:color w:val="000000" w:themeColor="text1"/>
          <w:sz w:val="22"/>
          <w:szCs w:val="22"/>
          <w:bdr w:val="none" w:sz="0" w:space="0" w:color="auto" w:frame="1"/>
          <w:shd w:val="clear" w:color="auto" w:fill="FFFFFF"/>
          <w:lang w:val="fr-FR"/>
        </w:rPr>
        <w:t xml:space="preserve">créé </w:t>
      </w:r>
      <w:r w:rsidR="006C7FF8" w:rsidRPr="005D062F">
        <w:rPr>
          <w:color w:val="000000" w:themeColor="text1"/>
          <w:sz w:val="22"/>
          <w:szCs w:val="22"/>
          <w:bdr w:val="none" w:sz="0" w:space="0" w:color="auto" w:frame="1"/>
          <w:shd w:val="clear" w:color="auto" w:fill="FFFFFF"/>
          <w:lang w:val="fr-FR"/>
        </w:rPr>
        <w:t>plus de 30 pistes de collaboration concrètes entre plus de</w:t>
      </w:r>
      <w:r w:rsidR="00ED78BF" w:rsidRPr="005D062F">
        <w:rPr>
          <w:color w:val="000000" w:themeColor="text1"/>
          <w:sz w:val="22"/>
          <w:szCs w:val="22"/>
          <w:bdr w:val="none" w:sz="0" w:space="0" w:color="auto" w:frame="1"/>
          <w:shd w:val="clear" w:color="auto" w:fill="FFFFFF"/>
          <w:lang w:val="fr-FR"/>
        </w:rPr>
        <w:t xml:space="preserve"> 60</w:t>
      </w:r>
      <w:r w:rsidR="006C7FF8" w:rsidRPr="005D062F">
        <w:rPr>
          <w:color w:val="000000" w:themeColor="text1"/>
          <w:sz w:val="22"/>
          <w:szCs w:val="22"/>
          <w:bdr w:val="none" w:sz="0" w:space="0" w:color="auto" w:frame="1"/>
          <w:shd w:val="clear" w:color="auto" w:fill="FFFFFF"/>
          <w:lang w:val="fr-FR"/>
        </w:rPr>
        <w:t> dirigeants des secteurs privé, public et unive</w:t>
      </w:r>
      <w:r w:rsidR="00BB2532" w:rsidRPr="005D062F">
        <w:rPr>
          <w:color w:val="000000" w:themeColor="text1"/>
          <w:sz w:val="22"/>
          <w:szCs w:val="22"/>
          <w:bdr w:val="none" w:sz="0" w:space="0" w:color="auto" w:frame="1"/>
          <w:shd w:val="clear" w:color="auto" w:fill="FFFFFF"/>
          <w:lang w:val="fr-FR"/>
        </w:rPr>
        <w:t>rsitaire des États membres de l’</w:t>
      </w:r>
      <w:r w:rsidR="006C7FF8" w:rsidRPr="005D062F">
        <w:rPr>
          <w:color w:val="000000" w:themeColor="text1"/>
          <w:sz w:val="22"/>
          <w:szCs w:val="22"/>
          <w:bdr w:val="none" w:sz="0" w:space="0" w:color="auto" w:frame="1"/>
          <w:shd w:val="clear" w:color="auto" w:fill="FFFFFF"/>
          <w:lang w:val="fr-FR"/>
        </w:rPr>
        <w:t>OEA et les partenaires</w:t>
      </w:r>
      <w:r w:rsidR="00ED78BF" w:rsidRPr="005D062F">
        <w:rPr>
          <w:color w:val="000000" w:themeColor="text1"/>
          <w:sz w:val="22"/>
          <w:szCs w:val="22"/>
          <w:bdr w:val="none" w:sz="0" w:space="0" w:color="auto" w:frame="1"/>
          <w:shd w:val="clear" w:color="auto" w:fill="FFFFFF"/>
          <w:lang w:val="fr-FR"/>
        </w:rPr>
        <w:t>.</w:t>
      </w:r>
    </w:p>
    <w:p w14:paraId="5194A554" w14:textId="77777777" w:rsidR="00ED78BF" w:rsidRPr="005D062F" w:rsidRDefault="00ED78BF" w:rsidP="00723DAD">
      <w:pPr>
        <w:rPr>
          <w:rFonts w:ascii="Times New Roman" w:hAnsi="Times New Roman" w:cs="Times New Roman"/>
          <w:bCs/>
          <w:sz w:val="22"/>
          <w:szCs w:val="22"/>
          <w:lang w:val="fr-FR"/>
        </w:rPr>
      </w:pPr>
    </w:p>
    <w:p w14:paraId="4E9774B0" w14:textId="6D87BA22" w:rsidR="00ED78BF" w:rsidRPr="005D062F" w:rsidRDefault="00F70F5C" w:rsidP="00CB030B">
      <w:pPr>
        <w:pStyle w:val="NormalWeb"/>
        <w:numPr>
          <w:ilvl w:val="0"/>
          <w:numId w:val="8"/>
        </w:numPr>
        <w:spacing w:before="0" w:beforeAutospacing="0" w:after="0" w:afterAutospacing="0"/>
        <w:ind w:left="1440" w:hanging="720"/>
        <w:jc w:val="both"/>
        <w:rPr>
          <w:color w:val="000000" w:themeColor="text1"/>
          <w:sz w:val="22"/>
          <w:szCs w:val="22"/>
          <w:lang w:val="fr-FR"/>
        </w:rPr>
      </w:pPr>
      <w:r w:rsidRPr="005D062F">
        <w:rPr>
          <w:color w:val="000000" w:themeColor="text1"/>
          <w:sz w:val="22"/>
          <w:szCs w:val="22"/>
          <w:bdr w:val="none" w:sz="0" w:space="0" w:color="auto" w:frame="1"/>
          <w:shd w:val="clear" w:color="auto" w:fill="FFFFFF"/>
          <w:lang w:val="fr-FR"/>
        </w:rPr>
        <w:t xml:space="preserve">Plus de </w:t>
      </w:r>
      <w:r w:rsidR="00ED78BF" w:rsidRPr="005D062F">
        <w:rPr>
          <w:color w:val="000000" w:themeColor="text1"/>
          <w:sz w:val="22"/>
          <w:szCs w:val="22"/>
          <w:bdr w:val="none" w:sz="0" w:space="0" w:color="auto" w:frame="1"/>
          <w:shd w:val="clear" w:color="auto" w:fill="FFFFFF"/>
          <w:lang w:val="fr-FR"/>
        </w:rPr>
        <w:t>20</w:t>
      </w:r>
      <w:r w:rsidRPr="005D062F">
        <w:rPr>
          <w:color w:val="000000" w:themeColor="text1"/>
          <w:sz w:val="22"/>
          <w:szCs w:val="22"/>
          <w:bdr w:val="none" w:sz="0" w:space="0" w:color="auto" w:frame="1"/>
          <w:shd w:val="clear" w:color="auto" w:fill="FFFFFF"/>
          <w:lang w:val="fr-FR"/>
        </w:rPr>
        <w:t xml:space="preserve"> bonnes pratiques liées </w:t>
      </w:r>
      <w:r w:rsidR="00697B86" w:rsidRPr="005D062F">
        <w:rPr>
          <w:color w:val="000000" w:themeColor="text1"/>
          <w:sz w:val="22"/>
          <w:szCs w:val="22"/>
          <w:bdr w:val="none" w:sz="0" w:space="0" w:color="auto" w:frame="1"/>
          <w:shd w:val="clear" w:color="auto" w:fill="FFFFFF"/>
          <w:lang w:val="fr-FR"/>
        </w:rPr>
        <w:t>au développement économique</w:t>
      </w:r>
      <w:r w:rsidR="008D58EF" w:rsidRPr="005D062F">
        <w:rPr>
          <w:color w:val="000000" w:themeColor="text1"/>
          <w:sz w:val="22"/>
          <w:szCs w:val="22"/>
          <w:bdr w:val="none" w:sz="0" w:space="0" w:color="auto" w:frame="1"/>
          <w:shd w:val="clear" w:color="auto" w:fill="FFFFFF"/>
          <w:lang w:val="fr-FR"/>
        </w:rPr>
        <w:t xml:space="preserve"> </w:t>
      </w:r>
      <w:r w:rsidR="00697B86" w:rsidRPr="005D062F">
        <w:rPr>
          <w:color w:val="000000" w:themeColor="text1"/>
          <w:sz w:val="22"/>
          <w:szCs w:val="22"/>
          <w:bdr w:val="none" w:sz="0" w:space="0" w:color="auto" w:frame="1"/>
          <w:shd w:val="clear" w:color="auto" w:fill="FFFFFF"/>
          <w:lang w:val="fr-FR"/>
        </w:rPr>
        <w:t>dur</w:t>
      </w:r>
      <w:r w:rsidR="00697B86" w:rsidRPr="005D062F">
        <w:rPr>
          <w:color w:val="000000" w:themeColor="text1"/>
          <w:sz w:val="22"/>
          <w:szCs w:val="22"/>
          <w:bdr w:val="none" w:sz="0" w:space="0" w:color="auto" w:frame="1"/>
          <w:lang w:val="fr-FR"/>
        </w:rPr>
        <w:t>able, inclusif</w:t>
      </w:r>
      <w:r w:rsidR="00ED78BF" w:rsidRPr="005D062F">
        <w:rPr>
          <w:color w:val="000000" w:themeColor="text1"/>
          <w:sz w:val="22"/>
          <w:szCs w:val="22"/>
          <w:bdr w:val="none" w:sz="0" w:space="0" w:color="auto" w:frame="1"/>
          <w:lang w:val="fr-FR"/>
        </w:rPr>
        <w:t xml:space="preserve">, </w:t>
      </w:r>
      <w:r w:rsidR="00697B86" w:rsidRPr="005D062F">
        <w:rPr>
          <w:color w:val="000000" w:themeColor="text1"/>
          <w:sz w:val="22"/>
          <w:szCs w:val="22"/>
          <w:bdr w:val="none" w:sz="0" w:space="0" w:color="auto" w:frame="1"/>
          <w:lang w:val="fr-FR"/>
        </w:rPr>
        <w:t>et</w:t>
      </w:r>
      <w:r w:rsidR="00ED78BF" w:rsidRPr="005D062F">
        <w:rPr>
          <w:color w:val="000000" w:themeColor="text1"/>
          <w:sz w:val="22"/>
          <w:szCs w:val="22"/>
          <w:bdr w:val="none" w:sz="0" w:space="0" w:color="auto" w:frame="1"/>
          <w:lang w:val="fr-FR"/>
        </w:rPr>
        <w:t xml:space="preserve"> </w:t>
      </w:r>
      <w:r w:rsidR="00697B86" w:rsidRPr="005D062F">
        <w:rPr>
          <w:color w:val="000000" w:themeColor="text1"/>
          <w:sz w:val="22"/>
          <w:szCs w:val="22"/>
          <w:bdr w:val="none" w:sz="0" w:space="0" w:color="auto" w:frame="1"/>
          <w:lang w:val="fr-FR"/>
        </w:rPr>
        <w:t>é</w:t>
      </w:r>
      <w:r w:rsidR="00ED78BF" w:rsidRPr="005D062F">
        <w:rPr>
          <w:color w:val="000000" w:themeColor="text1"/>
          <w:sz w:val="22"/>
          <w:szCs w:val="22"/>
          <w:bdr w:val="none" w:sz="0" w:space="0" w:color="auto" w:frame="1"/>
          <w:lang w:val="fr-FR"/>
        </w:rPr>
        <w:t xml:space="preserve">quitable, </w:t>
      </w:r>
      <w:r w:rsidR="00697B86" w:rsidRPr="005D062F">
        <w:rPr>
          <w:color w:val="000000" w:themeColor="text1"/>
          <w:sz w:val="22"/>
          <w:szCs w:val="22"/>
          <w:bdr w:val="none" w:sz="0" w:space="0" w:color="auto" w:frame="1"/>
          <w:lang w:val="fr-FR"/>
        </w:rPr>
        <w:t>à l’</w:t>
      </w:r>
      <w:r w:rsidR="00ED78BF" w:rsidRPr="005D062F">
        <w:rPr>
          <w:color w:val="000000" w:themeColor="text1"/>
          <w:sz w:val="22"/>
          <w:szCs w:val="22"/>
          <w:bdr w:val="none" w:sz="0" w:space="0" w:color="auto" w:frame="1"/>
          <w:lang w:val="fr-FR"/>
        </w:rPr>
        <w:t xml:space="preserve">innovation </w:t>
      </w:r>
      <w:r w:rsidR="00697B86" w:rsidRPr="005D062F">
        <w:rPr>
          <w:color w:val="000000" w:themeColor="text1"/>
          <w:sz w:val="22"/>
          <w:szCs w:val="22"/>
          <w:bdr w:val="none" w:sz="0" w:space="0" w:color="auto" w:frame="1"/>
          <w:lang w:val="fr-FR"/>
        </w:rPr>
        <w:t>et à</w:t>
      </w:r>
      <w:r w:rsidR="00ED78BF" w:rsidRPr="005D062F">
        <w:rPr>
          <w:color w:val="000000" w:themeColor="text1"/>
          <w:sz w:val="22"/>
          <w:szCs w:val="22"/>
          <w:bdr w:val="none" w:sz="0" w:space="0" w:color="auto" w:frame="1"/>
          <w:lang w:val="fr-FR"/>
        </w:rPr>
        <w:t xml:space="preserve"> </w:t>
      </w:r>
      <w:r w:rsidR="00697B86" w:rsidRPr="005D062F">
        <w:rPr>
          <w:color w:val="000000" w:themeColor="text1"/>
          <w:sz w:val="22"/>
          <w:szCs w:val="22"/>
          <w:bdr w:val="none" w:sz="0" w:space="0" w:color="auto" w:frame="1"/>
          <w:lang w:val="fr-FR"/>
        </w:rPr>
        <w:t>l’entrepreneuriat</w:t>
      </w:r>
      <w:r w:rsidR="00ED78BF" w:rsidRPr="005D062F">
        <w:rPr>
          <w:color w:val="000000" w:themeColor="text1"/>
          <w:sz w:val="22"/>
          <w:szCs w:val="22"/>
          <w:bdr w:val="none" w:sz="0" w:space="0" w:color="auto" w:frame="1"/>
          <w:lang w:val="fr-FR"/>
        </w:rPr>
        <w:t xml:space="preserve"> </w:t>
      </w:r>
      <w:r w:rsidR="0086404E" w:rsidRPr="005D062F">
        <w:rPr>
          <w:color w:val="000000" w:themeColor="text1"/>
          <w:sz w:val="22"/>
          <w:szCs w:val="22"/>
          <w:bdr w:val="none" w:sz="0" w:space="0" w:color="auto" w:frame="1"/>
          <w:lang w:val="fr-FR"/>
        </w:rPr>
        <w:t xml:space="preserve">ont été partagées par </w:t>
      </w:r>
      <w:r w:rsidR="00BF1E64" w:rsidRPr="005D062F">
        <w:rPr>
          <w:color w:val="000000" w:themeColor="text1"/>
          <w:sz w:val="22"/>
          <w:szCs w:val="22"/>
          <w:bdr w:val="none" w:sz="0" w:space="0" w:color="auto" w:frame="1"/>
          <w:lang w:val="fr-FR"/>
        </w:rPr>
        <w:t>des e</w:t>
      </w:r>
      <w:r w:rsidR="00ED78BF" w:rsidRPr="005D062F">
        <w:rPr>
          <w:color w:val="000000" w:themeColor="text1"/>
          <w:sz w:val="22"/>
          <w:szCs w:val="22"/>
          <w:bdr w:val="none" w:sz="0" w:space="0" w:color="auto" w:frame="1"/>
          <w:lang w:val="fr-FR"/>
        </w:rPr>
        <w:t>spaces</w:t>
      </w:r>
      <w:r w:rsidR="00BF1E64" w:rsidRPr="005D062F">
        <w:rPr>
          <w:color w:val="000000" w:themeColor="text1"/>
          <w:sz w:val="22"/>
          <w:szCs w:val="22"/>
          <w:bdr w:val="none" w:sz="0" w:space="0" w:color="auto" w:frame="1"/>
          <w:lang w:val="fr-FR"/>
        </w:rPr>
        <w:t xml:space="preserve"> de travail communs</w:t>
      </w:r>
      <w:r w:rsidR="00ED78BF" w:rsidRPr="005D062F">
        <w:rPr>
          <w:color w:val="000000" w:themeColor="text1"/>
          <w:sz w:val="22"/>
          <w:szCs w:val="22"/>
          <w:bdr w:val="none" w:sz="0" w:space="0" w:color="auto" w:frame="1"/>
          <w:lang w:val="fr-FR"/>
        </w:rPr>
        <w:t xml:space="preserve">, </w:t>
      </w:r>
      <w:r w:rsidR="00886D41" w:rsidRPr="005D062F">
        <w:rPr>
          <w:color w:val="000000" w:themeColor="text1"/>
          <w:sz w:val="22"/>
          <w:szCs w:val="22"/>
          <w:bdr w:val="none" w:sz="0" w:space="0" w:color="auto" w:frame="1"/>
          <w:lang w:val="fr-FR"/>
        </w:rPr>
        <w:t>des entreprises à croissance rapide</w:t>
      </w:r>
      <w:r w:rsidR="00ED78BF" w:rsidRPr="005D062F">
        <w:rPr>
          <w:color w:val="000000" w:themeColor="text1"/>
          <w:sz w:val="22"/>
          <w:szCs w:val="22"/>
          <w:bdr w:val="none" w:sz="0" w:space="0" w:color="auto" w:frame="1"/>
          <w:lang w:val="fr-FR"/>
        </w:rPr>
        <w:t xml:space="preserve">, </w:t>
      </w:r>
      <w:r w:rsidR="00886D41" w:rsidRPr="005D062F">
        <w:rPr>
          <w:color w:val="000000" w:themeColor="text1"/>
          <w:sz w:val="22"/>
          <w:szCs w:val="22"/>
          <w:bdr w:val="none" w:sz="0" w:space="0" w:color="auto" w:frame="1"/>
          <w:lang w:val="fr-FR"/>
        </w:rPr>
        <w:t xml:space="preserve">des groupements </w:t>
      </w:r>
      <w:r w:rsidR="00ED78BF" w:rsidRPr="005D062F">
        <w:rPr>
          <w:color w:val="000000" w:themeColor="text1"/>
          <w:sz w:val="22"/>
          <w:szCs w:val="22"/>
          <w:bdr w:val="none" w:sz="0" w:space="0" w:color="auto" w:frame="1"/>
          <w:lang w:val="fr-FR"/>
        </w:rPr>
        <w:t>industr</w:t>
      </w:r>
      <w:r w:rsidR="00886D41" w:rsidRPr="005D062F">
        <w:rPr>
          <w:color w:val="000000" w:themeColor="text1"/>
          <w:sz w:val="22"/>
          <w:szCs w:val="22"/>
          <w:bdr w:val="none" w:sz="0" w:space="0" w:color="auto" w:frame="1"/>
          <w:lang w:val="fr-FR"/>
        </w:rPr>
        <w:t>iels</w:t>
      </w:r>
      <w:r w:rsidR="00ED78BF" w:rsidRPr="005D062F">
        <w:rPr>
          <w:color w:val="000000" w:themeColor="text1"/>
          <w:sz w:val="22"/>
          <w:szCs w:val="22"/>
          <w:bdr w:val="none" w:sz="0" w:space="0" w:color="auto" w:frame="1"/>
          <w:lang w:val="fr-FR"/>
        </w:rPr>
        <w:t xml:space="preserve">, </w:t>
      </w:r>
      <w:r w:rsidR="00886D41" w:rsidRPr="005D062F">
        <w:rPr>
          <w:color w:val="000000" w:themeColor="text1"/>
          <w:sz w:val="22"/>
          <w:szCs w:val="22"/>
          <w:bdr w:val="none" w:sz="0" w:space="0" w:color="auto" w:frame="1"/>
          <w:lang w:val="fr-FR"/>
        </w:rPr>
        <w:t xml:space="preserve">des </w:t>
      </w:r>
      <w:r w:rsidR="00ED78BF" w:rsidRPr="005D062F">
        <w:rPr>
          <w:color w:val="000000" w:themeColor="text1"/>
          <w:sz w:val="22"/>
          <w:szCs w:val="22"/>
          <w:bdr w:val="none" w:sz="0" w:space="0" w:color="auto" w:frame="1"/>
          <w:lang w:val="fr-FR"/>
        </w:rPr>
        <w:t>initiatives</w:t>
      </w:r>
      <w:r w:rsidR="00886D41" w:rsidRPr="005D062F">
        <w:rPr>
          <w:color w:val="000000" w:themeColor="text1"/>
          <w:sz w:val="22"/>
          <w:szCs w:val="22"/>
          <w:bdr w:val="none" w:sz="0" w:space="0" w:color="auto" w:frame="1"/>
          <w:lang w:val="fr-FR"/>
        </w:rPr>
        <w:t xml:space="preserve"> entrepreneuriales</w:t>
      </w:r>
      <w:r w:rsidR="00ED78BF" w:rsidRPr="005D062F">
        <w:rPr>
          <w:color w:val="000000" w:themeColor="text1"/>
          <w:sz w:val="22"/>
          <w:szCs w:val="22"/>
          <w:bdr w:val="none" w:sz="0" w:space="0" w:color="auto" w:frame="1"/>
          <w:lang w:val="fr-FR"/>
        </w:rPr>
        <w:t xml:space="preserve">, </w:t>
      </w:r>
      <w:r w:rsidR="00886D41" w:rsidRPr="005D062F">
        <w:rPr>
          <w:color w:val="000000" w:themeColor="text1"/>
          <w:sz w:val="22"/>
          <w:szCs w:val="22"/>
          <w:bdr w:val="none" w:sz="0" w:space="0" w:color="auto" w:frame="1"/>
          <w:lang w:val="fr-FR"/>
        </w:rPr>
        <w:t xml:space="preserve">des </w:t>
      </w:r>
      <w:r w:rsidR="00886D41" w:rsidRPr="005D062F">
        <w:rPr>
          <w:color w:val="000000"/>
          <w:sz w:val="22"/>
          <w:szCs w:val="22"/>
          <w:lang w:val="fr-FR"/>
        </w:rPr>
        <w:t>institutions universitaires</w:t>
      </w:r>
      <w:r w:rsidR="00886D41" w:rsidRPr="005D062F">
        <w:rPr>
          <w:color w:val="000000" w:themeColor="text1"/>
          <w:sz w:val="22"/>
          <w:szCs w:val="22"/>
          <w:bdr w:val="none" w:sz="0" w:space="0" w:color="auto" w:frame="1"/>
          <w:lang w:val="fr-FR"/>
        </w:rPr>
        <w:t xml:space="preserve"> et d’autres centres d’innovation </w:t>
      </w:r>
      <w:r w:rsidR="0086404E" w:rsidRPr="005D062F">
        <w:rPr>
          <w:color w:val="000000" w:themeColor="text1"/>
          <w:sz w:val="22"/>
          <w:szCs w:val="22"/>
          <w:bdr w:val="none" w:sz="0" w:space="0" w:color="auto" w:frame="1"/>
          <w:shd w:val="clear" w:color="auto" w:fill="FFFFFF"/>
          <w:lang w:val="fr-FR"/>
        </w:rPr>
        <w:t>à Quito (Équateu</w:t>
      </w:r>
      <w:r w:rsidR="00ED78BF" w:rsidRPr="005D062F">
        <w:rPr>
          <w:color w:val="000000" w:themeColor="text1"/>
          <w:sz w:val="22"/>
          <w:szCs w:val="22"/>
          <w:bdr w:val="none" w:sz="0" w:space="0" w:color="auto" w:frame="1"/>
          <w:shd w:val="clear" w:color="auto" w:fill="FFFFFF"/>
          <w:lang w:val="fr-FR"/>
        </w:rPr>
        <w:t>r</w:t>
      </w:r>
      <w:r w:rsidR="0086404E" w:rsidRPr="005D062F">
        <w:rPr>
          <w:color w:val="000000" w:themeColor="text1"/>
          <w:sz w:val="22"/>
          <w:szCs w:val="22"/>
          <w:bdr w:val="none" w:sz="0" w:space="0" w:color="auto" w:frame="1"/>
          <w:shd w:val="clear" w:color="auto" w:fill="FFFFFF"/>
          <w:lang w:val="fr-FR"/>
        </w:rPr>
        <w:t>)</w:t>
      </w:r>
      <w:r w:rsidR="00BF1E64" w:rsidRPr="005D062F">
        <w:rPr>
          <w:color w:val="000000" w:themeColor="text1"/>
          <w:sz w:val="22"/>
          <w:szCs w:val="22"/>
          <w:bdr w:val="none" w:sz="0" w:space="0" w:color="auto" w:frame="1"/>
          <w:shd w:val="clear" w:color="auto" w:fill="FFFFFF"/>
          <w:lang w:val="fr-FR"/>
        </w:rPr>
        <w:t>,</w:t>
      </w:r>
      <w:r w:rsidR="00ED78BF" w:rsidRPr="005D062F">
        <w:rPr>
          <w:color w:val="000000" w:themeColor="text1"/>
          <w:sz w:val="22"/>
          <w:szCs w:val="22"/>
          <w:bdr w:val="none" w:sz="0" w:space="0" w:color="auto" w:frame="1"/>
          <w:shd w:val="clear" w:color="auto" w:fill="FFFFFF"/>
          <w:lang w:val="fr-FR"/>
        </w:rPr>
        <w:t xml:space="preserve"> </w:t>
      </w:r>
      <w:r w:rsidR="0086404E" w:rsidRPr="005D062F">
        <w:rPr>
          <w:color w:val="000000" w:themeColor="text1"/>
          <w:sz w:val="22"/>
          <w:szCs w:val="22"/>
          <w:bdr w:val="none" w:sz="0" w:space="0" w:color="auto" w:frame="1"/>
          <w:shd w:val="clear" w:color="auto" w:fill="FFFFFF"/>
          <w:lang w:val="fr-FR"/>
        </w:rPr>
        <w:t>lors du</w:t>
      </w:r>
      <w:r w:rsidR="00ED78BF" w:rsidRPr="005D062F">
        <w:rPr>
          <w:color w:val="000000" w:themeColor="text1"/>
          <w:sz w:val="22"/>
          <w:szCs w:val="22"/>
          <w:bdr w:val="none" w:sz="0" w:space="0" w:color="auto" w:frame="1"/>
          <w:shd w:val="clear" w:color="auto" w:fill="FFFFFF"/>
          <w:lang w:val="fr-FR"/>
        </w:rPr>
        <w:t xml:space="preserve"> 15</w:t>
      </w:r>
      <w:r w:rsidR="0086404E" w:rsidRPr="005D062F">
        <w:rPr>
          <w:color w:val="000000" w:themeColor="text1"/>
          <w:sz w:val="22"/>
          <w:szCs w:val="22"/>
          <w:bdr w:val="none" w:sz="0" w:space="0" w:color="auto" w:frame="1"/>
          <w:shd w:val="clear" w:color="auto" w:fill="FFFFFF"/>
          <w:vertAlign w:val="superscript"/>
          <w:lang w:val="fr-FR"/>
        </w:rPr>
        <w:t>e</w:t>
      </w:r>
      <w:r w:rsidR="0086404E" w:rsidRPr="005D062F">
        <w:rPr>
          <w:color w:val="000000" w:themeColor="text1"/>
          <w:sz w:val="22"/>
          <w:szCs w:val="22"/>
          <w:bdr w:val="none" w:sz="0" w:space="0" w:color="auto" w:frame="1"/>
          <w:shd w:val="clear" w:color="auto" w:fill="FFFFFF"/>
          <w:lang w:val="fr-FR"/>
        </w:rPr>
        <w:t xml:space="preserve"> </w:t>
      </w:r>
      <w:r w:rsidR="00ED78BF" w:rsidRPr="005D062F">
        <w:rPr>
          <w:color w:val="000000" w:themeColor="text1"/>
          <w:sz w:val="22"/>
          <w:szCs w:val="22"/>
          <w:lang w:val="fr-FR"/>
        </w:rPr>
        <w:t>ACE</w:t>
      </w:r>
      <w:r w:rsidR="0086404E" w:rsidRPr="005D062F">
        <w:rPr>
          <w:color w:val="000000" w:themeColor="text1"/>
          <w:sz w:val="22"/>
          <w:szCs w:val="22"/>
          <w:lang w:val="fr-FR"/>
        </w:rPr>
        <w:t xml:space="preserve"> qui s’est tenu du 13 au 17</w:t>
      </w:r>
      <w:r w:rsidR="001014D3" w:rsidRPr="005D062F">
        <w:rPr>
          <w:color w:val="000000" w:themeColor="text1"/>
          <w:sz w:val="22"/>
          <w:szCs w:val="22"/>
          <w:lang w:val="fr-FR"/>
        </w:rPr>
        <w:t> </w:t>
      </w:r>
      <w:r w:rsidR="0086404E" w:rsidRPr="005D062F">
        <w:rPr>
          <w:color w:val="000000" w:themeColor="text1"/>
          <w:sz w:val="22"/>
          <w:szCs w:val="22"/>
          <w:lang w:val="fr-FR"/>
        </w:rPr>
        <w:t>novemb</w:t>
      </w:r>
      <w:r w:rsidR="00ED78BF" w:rsidRPr="005D062F">
        <w:rPr>
          <w:color w:val="000000" w:themeColor="text1"/>
          <w:sz w:val="22"/>
          <w:szCs w:val="22"/>
          <w:lang w:val="fr-FR"/>
        </w:rPr>
        <w:t>r</w:t>
      </w:r>
      <w:r w:rsidR="0086404E" w:rsidRPr="005D062F">
        <w:rPr>
          <w:color w:val="000000" w:themeColor="text1"/>
          <w:sz w:val="22"/>
          <w:szCs w:val="22"/>
          <w:lang w:val="fr-FR"/>
        </w:rPr>
        <w:t>e</w:t>
      </w:r>
      <w:r w:rsidR="00ED78BF" w:rsidRPr="005D062F">
        <w:rPr>
          <w:color w:val="000000" w:themeColor="text1"/>
          <w:sz w:val="22"/>
          <w:szCs w:val="22"/>
          <w:bdr w:val="none" w:sz="0" w:space="0" w:color="auto" w:frame="1"/>
          <w:shd w:val="clear" w:color="auto" w:fill="FFFFFF"/>
          <w:lang w:val="fr-FR"/>
        </w:rPr>
        <w:t xml:space="preserve"> 2022, </w:t>
      </w:r>
      <w:r w:rsidR="0086404E" w:rsidRPr="005D062F">
        <w:rPr>
          <w:color w:val="000000" w:themeColor="text1"/>
          <w:sz w:val="22"/>
          <w:szCs w:val="22"/>
          <w:bdr w:val="none" w:sz="0" w:space="0" w:color="auto" w:frame="1"/>
          <w:shd w:val="clear" w:color="auto" w:fill="FFFFFF"/>
          <w:lang w:val="fr-FR"/>
        </w:rPr>
        <w:t xml:space="preserve">ce qui a créé plus de 25 pistes de collaboration concrètes entre plus de </w:t>
      </w:r>
      <w:r w:rsidR="00ED78BF" w:rsidRPr="005D062F">
        <w:rPr>
          <w:color w:val="000000" w:themeColor="text1"/>
          <w:sz w:val="22"/>
          <w:szCs w:val="22"/>
          <w:bdr w:val="none" w:sz="0" w:space="0" w:color="auto" w:frame="1"/>
          <w:shd w:val="clear" w:color="auto" w:fill="FFFFFF"/>
          <w:lang w:val="fr-FR"/>
        </w:rPr>
        <w:t>60</w:t>
      </w:r>
      <w:r w:rsidR="0086404E" w:rsidRPr="005D062F">
        <w:rPr>
          <w:color w:val="000000" w:themeColor="text1"/>
          <w:sz w:val="22"/>
          <w:szCs w:val="22"/>
          <w:bdr w:val="none" w:sz="0" w:space="0" w:color="auto" w:frame="1"/>
          <w:shd w:val="clear" w:color="auto" w:fill="FFFFFF"/>
          <w:lang w:val="fr-FR"/>
        </w:rPr>
        <w:t> dirigeants des secteurs privé, public et unive</w:t>
      </w:r>
      <w:r w:rsidR="008D1F59" w:rsidRPr="005D062F">
        <w:rPr>
          <w:color w:val="000000" w:themeColor="text1"/>
          <w:sz w:val="22"/>
          <w:szCs w:val="22"/>
          <w:bdr w:val="none" w:sz="0" w:space="0" w:color="auto" w:frame="1"/>
          <w:shd w:val="clear" w:color="auto" w:fill="FFFFFF"/>
          <w:lang w:val="fr-FR"/>
        </w:rPr>
        <w:t>rsitaire des États membres de l’</w:t>
      </w:r>
      <w:r w:rsidR="0086404E" w:rsidRPr="005D062F">
        <w:rPr>
          <w:color w:val="000000" w:themeColor="text1"/>
          <w:sz w:val="22"/>
          <w:szCs w:val="22"/>
          <w:bdr w:val="none" w:sz="0" w:space="0" w:color="auto" w:frame="1"/>
          <w:shd w:val="clear" w:color="auto" w:fill="FFFFFF"/>
          <w:lang w:val="fr-FR"/>
        </w:rPr>
        <w:t>OEA et les partenaires</w:t>
      </w:r>
      <w:r w:rsidR="00ED78BF" w:rsidRPr="005D062F">
        <w:rPr>
          <w:color w:val="000000" w:themeColor="text1"/>
          <w:sz w:val="22"/>
          <w:szCs w:val="22"/>
          <w:bdr w:val="none" w:sz="0" w:space="0" w:color="auto" w:frame="1"/>
          <w:shd w:val="clear" w:color="auto" w:fill="FFFFFF"/>
          <w:lang w:val="fr-FR"/>
        </w:rPr>
        <w:t>.</w:t>
      </w:r>
    </w:p>
    <w:p w14:paraId="2364505E" w14:textId="77777777" w:rsidR="00ED78BF" w:rsidRPr="005D062F" w:rsidRDefault="00ED78BF" w:rsidP="00723DAD">
      <w:pPr>
        <w:rPr>
          <w:rFonts w:ascii="Times New Roman" w:hAnsi="Times New Roman" w:cs="Times New Roman"/>
          <w:color w:val="000000" w:themeColor="text1"/>
          <w:sz w:val="22"/>
          <w:szCs w:val="22"/>
          <w:bdr w:val="none" w:sz="0" w:space="0" w:color="auto" w:frame="1"/>
          <w:shd w:val="clear" w:color="auto" w:fill="FFFFFF"/>
          <w:lang w:val="fr-FR"/>
        </w:rPr>
      </w:pPr>
    </w:p>
    <w:p w14:paraId="781B0EB0" w14:textId="36B93BCE" w:rsidR="00ED78BF" w:rsidRPr="005D062F" w:rsidRDefault="001014D3" w:rsidP="00CB030B">
      <w:pPr>
        <w:pStyle w:val="NormalWeb"/>
        <w:numPr>
          <w:ilvl w:val="0"/>
          <w:numId w:val="8"/>
        </w:numPr>
        <w:spacing w:before="0" w:beforeAutospacing="0" w:after="0" w:afterAutospacing="0"/>
        <w:ind w:left="1440" w:hanging="720"/>
        <w:jc w:val="both"/>
        <w:rPr>
          <w:color w:val="000000" w:themeColor="text1"/>
          <w:sz w:val="22"/>
          <w:szCs w:val="22"/>
          <w:lang w:val="fr-FR"/>
        </w:rPr>
      </w:pPr>
      <w:r w:rsidRPr="005D062F">
        <w:rPr>
          <w:color w:val="000000" w:themeColor="text1"/>
          <w:sz w:val="22"/>
          <w:szCs w:val="22"/>
          <w:bdr w:val="none" w:sz="0" w:space="0" w:color="auto" w:frame="1"/>
          <w:shd w:val="clear" w:color="auto" w:fill="FFFFFF"/>
          <w:lang w:val="fr-FR"/>
        </w:rPr>
        <w:t xml:space="preserve">Les parties prenantes de l’ACE 2021/2022 ont mis en place les programmes, partenariats et </w:t>
      </w:r>
      <w:r w:rsidR="00382C14" w:rsidRPr="005D062F">
        <w:rPr>
          <w:color w:val="000000" w:themeColor="text1"/>
          <w:sz w:val="22"/>
          <w:szCs w:val="22"/>
          <w:bdr w:val="none" w:sz="0" w:space="0" w:color="auto" w:frame="1"/>
          <w:shd w:val="clear" w:color="auto" w:fill="FFFFFF"/>
          <w:lang w:val="fr-FR"/>
        </w:rPr>
        <w:t>initiatives</w:t>
      </w:r>
      <w:r w:rsidRPr="005D062F">
        <w:rPr>
          <w:color w:val="000000" w:themeColor="text1"/>
          <w:sz w:val="22"/>
          <w:szCs w:val="22"/>
          <w:bdr w:val="none" w:sz="0" w:space="0" w:color="auto" w:frame="1"/>
          <w:shd w:val="clear" w:color="auto" w:fill="FFFFFF"/>
          <w:lang w:val="fr-FR"/>
        </w:rPr>
        <w:t xml:space="preserve"> suivants </w:t>
      </w:r>
      <w:r w:rsidR="00382C14" w:rsidRPr="005D062F">
        <w:rPr>
          <w:color w:val="000000" w:themeColor="text1"/>
          <w:sz w:val="22"/>
          <w:szCs w:val="22"/>
          <w:bdr w:val="none" w:sz="0" w:space="0" w:color="auto" w:frame="1"/>
          <w:shd w:val="clear" w:color="auto" w:fill="FFFFFF"/>
          <w:lang w:val="fr-FR"/>
        </w:rPr>
        <w:t>:</w:t>
      </w:r>
    </w:p>
    <w:p w14:paraId="5E4A8A63" w14:textId="77777777" w:rsidR="003C2BE7" w:rsidRPr="005D062F" w:rsidRDefault="003C2BE7" w:rsidP="00723DAD">
      <w:pPr>
        <w:rPr>
          <w:rFonts w:ascii="Times New Roman" w:hAnsi="Times New Roman" w:cs="Times New Roman"/>
          <w:color w:val="000000" w:themeColor="text1"/>
          <w:sz w:val="22"/>
          <w:szCs w:val="22"/>
          <w:lang w:val="fr-FR"/>
        </w:rPr>
      </w:pPr>
    </w:p>
    <w:p w14:paraId="1906A1B5" w14:textId="0EE5833E" w:rsidR="003C2BE7" w:rsidRPr="005D062F" w:rsidRDefault="008A2262" w:rsidP="00CB030B">
      <w:pPr>
        <w:pStyle w:val="NormalWeb"/>
        <w:numPr>
          <w:ilvl w:val="1"/>
          <w:numId w:val="8"/>
        </w:numPr>
        <w:spacing w:before="0" w:beforeAutospacing="0" w:after="0" w:afterAutospacing="0"/>
        <w:ind w:left="1980" w:hanging="540"/>
        <w:jc w:val="both"/>
        <w:rPr>
          <w:color w:val="000000" w:themeColor="text1"/>
          <w:sz w:val="22"/>
          <w:szCs w:val="22"/>
          <w:lang w:val="fr-FR"/>
        </w:rPr>
      </w:pPr>
      <w:r w:rsidRPr="005D062F">
        <w:rPr>
          <w:color w:val="000000" w:themeColor="text1"/>
          <w:sz w:val="22"/>
          <w:szCs w:val="22"/>
          <w:bdr w:val="none" w:sz="0" w:space="0" w:color="auto" w:frame="1"/>
          <w:shd w:val="clear" w:color="auto" w:fill="FFFFFF"/>
          <w:lang w:val="fr-FR"/>
        </w:rPr>
        <w:t>Plus de 40 </w:t>
      </w:r>
      <w:r w:rsidR="00ED78BF" w:rsidRPr="005D062F">
        <w:rPr>
          <w:color w:val="000000" w:themeColor="text1"/>
          <w:sz w:val="22"/>
          <w:szCs w:val="22"/>
          <w:bdr w:val="none" w:sz="0" w:space="0" w:color="auto" w:frame="1"/>
          <w:shd w:val="clear" w:color="auto" w:fill="FFFFFF"/>
          <w:lang w:val="fr-FR"/>
        </w:rPr>
        <w:t>n</w:t>
      </w:r>
      <w:r w:rsidRPr="005D062F">
        <w:rPr>
          <w:color w:val="000000" w:themeColor="text1"/>
          <w:sz w:val="22"/>
          <w:szCs w:val="22"/>
          <w:bdr w:val="none" w:sz="0" w:space="0" w:color="auto" w:frame="1"/>
          <w:shd w:val="clear" w:color="auto" w:fill="FFFFFF"/>
          <w:lang w:val="fr-FR"/>
        </w:rPr>
        <w:t xml:space="preserve">ouvelles </w:t>
      </w:r>
      <w:r w:rsidR="00ED78BF" w:rsidRPr="005D062F">
        <w:rPr>
          <w:color w:val="000000" w:themeColor="text1"/>
          <w:sz w:val="22"/>
          <w:szCs w:val="22"/>
          <w:bdr w:val="none" w:sz="0" w:space="0" w:color="auto" w:frame="1"/>
          <w:shd w:val="clear" w:color="auto" w:fill="FFFFFF"/>
          <w:lang w:val="fr-FR"/>
        </w:rPr>
        <w:t xml:space="preserve">collaborations </w:t>
      </w:r>
      <w:r w:rsidRPr="005D062F">
        <w:rPr>
          <w:color w:val="000000" w:themeColor="text1"/>
          <w:sz w:val="22"/>
          <w:szCs w:val="22"/>
          <w:bdr w:val="none" w:sz="0" w:space="0" w:color="auto" w:frame="1"/>
          <w:shd w:val="clear" w:color="auto" w:fill="FFFFFF"/>
          <w:lang w:val="fr-FR"/>
        </w:rPr>
        <w:t xml:space="preserve">établies entre les actuelles et les anciennes parties prenantes de l’ACE originaires des États membres de l’OEA en vue de promouvoir l’innovation et l’entrepreneuriat ont été </w:t>
      </w:r>
      <w:r w:rsidR="00151146" w:rsidRPr="005D062F">
        <w:rPr>
          <w:color w:val="000000" w:themeColor="text1"/>
          <w:sz w:val="22"/>
          <w:szCs w:val="22"/>
          <w:bdr w:val="none" w:sz="0" w:space="0" w:color="auto" w:frame="1"/>
          <w:shd w:val="clear" w:color="auto" w:fill="FFFFFF"/>
          <w:lang w:val="fr-FR"/>
        </w:rPr>
        <w:t>recensées</w:t>
      </w:r>
      <w:r w:rsidRPr="005D062F">
        <w:rPr>
          <w:color w:val="000000" w:themeColor="text1"/>
          <w:sz w:val="22"/>
          <w:szCs w:val="22"/>
          <w:bdr w:val="none" w:sz="0" w:space="0" w:color="auto" w:frame="1"/>
          <w:shd w:val="clear" w:color="auto" w:fill="FFFFFF"/>
          <w:lang w:val="fr-FR"/>
        </w:rPr>
        <w:t xml:space="preserve"> au cours de la période visée</w:t>
      </w:r>
      <w:r w:rsidR="00ED78BF" w:rsidRPr="005D062F">
        <w:rPr>
          <w:color w:val="000000" w:themeColor="text1"/>
          <w:sz w:val="22"/>
          <w:szCs w:val="22"/>
          <w:bdr w:val="none" w:sz="0" w:space="0" w:color="auto" w:frame="1"/>
          <w:shd w:val="clear" w:color="auto" w:fill="FFFFFF"/>
          <w:lang w:val="fr-FR"/>
        </w:rPr>
        <w:t xml:space="preserve">. </w:t>
      </w:r>
    </w:p>
    <w:p w14:paraId="0B558018" w14:textId="7FF9E81B" w:rsidR="003C2BE7" w:rsidRPr="005D062F" w:rsidRDefault="00AC0FD0" w:rsidP="00CB030B">
      <w:pPr>
        <w:pStyle w:val="ListParagraph"/>
        <w:numPr>
          <w:ilvl w:val="1"/>
          <w:numId w:val="8"/>
        </w:numPr>
        <w:ind w:left="1980" w:hanging="540"/>
        <w:contextualSpacing/>
        <w:jc w:val="both"/>
        <w:rPr>
          <w:color w:val="000000" w:themeColor="text1"/>
          <w:sz w:val="22"/>
          <w:szCs w:val="22"/>
          <w:bdr w:val="none" w:sz="0" w:space="0" w:color="auto" w:frame="1"/>
          <w:shd w:val="clear" w:color="auto" w:fill="FFFFFF"/>
          <w:lang w:val="fr-FR"/>
        </w:rPr>
      </w:pPr>
      <w:r w:rsidRPr="005D062F">
        <w:rPr>
          <w:color w:val="000000" w:themeColor="text1"/>
          <w:sz w:val="22"/>
          <w:szCs w:val="22"/>
          <w:bdr w:val="none" w:sz="0" w:space="0" w:color="auto" w:frame="1"/>
          <w:shd w:val="clear" w:color="auto" w:fill="FFFFFF"/>
          <w:lang w:val="fr-FR"/>
        </w:rPr>
        <w:t xml:space="preserve">Le Programme </w:t>
      </w:r>
      <w:r w:rsidR="00ED78BF" w:rsidRPr="005D062F">
        <w:rPr>
          <w:i/>
          <w:iCs/>
          <w:color w:val="000000" w:themeColor="text1"/>
          <w:sz w:val="22"/>
          <w:szCs w:val="22"/>
          <w:bdr w:val="none" w:sz="0" w:space="0" w:color="auto" w:frame="1"/>
          <w:shd w:val="clear" w:color="auto" w:fill="FFFFFF"/>
          <w:lang w:val="fr-FR"/>
        </w:rPr>
        <w:t>Córdoba Acelera</w:t>
      </w:r>
      <w:r w:rsidRPr="005D062F">
        <w:rPr>
          <w:color w:val="000000" w:themeColor="text1"/>
          <w:sz w:val="22"/>
          <w:szCs w:val="22"/>
          <w:bdr w:val="none" w:sz="0" w:space="0" w:color="auto" w:frame="1"/>
          <w:shd w:val="clear" w:color="auto" w:fill="FFFFFF"/>
          <w:lang w:val="fr-FR"/>
        </w:rPr>
        <w:t xml:space="preserve">, élaboré et mis en œuvre dans la municipalité de Cordoba (Argentine), est destiné à soutenir les projets entrepreneuriaux innovants et </w:t>
      </w:r>
      <w:r w:rsidR="00ED78BF" w:rsidRPr="005D062F">
        <w:rPr>
          <w:color w:val="000000" w:themeColor="text1"/>
          <w:sz w:val="22"/>
          <w:szCs w:val="22"/>
          <w:bdr w:val="none" w:sz="0" w:space="0" w:color="auto" w:frame="1"/>
          <w:shd w:val="clear" w:color="auto" w:fill="FFFFFF"/>
          <w:lang w:val="fr-FR"/>
        </w:rPr>
        <w:t>tech</w:t>
      </w:r>
      <w:r w:rsidRPr="005D062F">
        <w:rPr>
          <w:color w:val="000000" w:themeColor="text1"/>
          <w:sz w:val="22"/>
          <w:szCs w:val="22"/>
          <w:bdr w:val="none" w:sz="0" w:space="0" w:color="auto" w:frame="1"/>
          <w:shd w:val="clear" w:color="auto" w:fill="FFFFFF"/>
          <w:lang w:val="fr-FR"/>
        </w:rPr>
        <w:t xml:space="preserve">niques pour améliorer les résultats </w:t>
      </w:r>
      <w:r w:rsidR="00ED78BF" w:rsidRPr="005D062F">
        <w:rPr>
          <w:color w:val="000000" w:themeColor="text1"/>
          <w:sz w:val="22"/>
          <w:szCs w:val="22"/>
          <w:bdr w:val="none" w:sz="0" w:space="0" w:color="auto" w:frame="1"/>
          <w:shd w:val="clear" w:color="auto" w:fill="FFFFFF"/>
          <w:lang w:val="fr-FR"/>
        </w:rPr>
        <w:t>socio-</w:t>
      </w:r>
      <w:r w:rsidRPr="005D062F">
        <w:rPr>
          <w:color w:val="000000" w:themeColor="text1"/>
          <w:sz w:val="22"/>
          <w:szCs w:val="22"/>
          <w:bdr w:val="none" w:sz="0" w:space="0" w:color="auto" w:frame="1"/>
          <w:shd w:val="clear" w:color="auto" w:fill="FFFFFF"/>
          <w:lang w:val="fr-FR"/>
        </w:rPr>
        <w:t>é</w:t>
      </w:r>
      <w:r w:rsidR="00ED78BF" w:rsidRPr="005D062F">
        <w:rPr>
          <w:color w:val="000000" w:themeColor="text1"/>
          <w:sz w:val="22"/>
          <w:szCs w:val="22"/>
          <w:bdr w:val="none" w:sz="0" w:space="0" w:color="auto" w:frame="1"/>
          <w:shd w:val="clear" w:color="auto" w:fill="FFFFFF"/>
          <w:lang w:val="fr-FR"/>
        </w:rPr>
        <w:t>conomi</w:t>
      </w:r>
      <w:r w:rsidRPr="005D062F">
        <w:rPr>
          <w:color w:val="000000" w:themeColor="text1"/>
          <w:sz w:val="22"/>
          <w:szCs w:val="22"/>
          <w:bdr w:val="none" w:sz="0" w:space="0" w:color="auto" w:frame="1"/>
          <w:shd w:val="clear" w:color="auto" w:fill="FFFFFF"/>
          <w:lang w:val="fr-FR"/>
        </w:rPr>
        <w:t>ques de la</w:t>
      </w:r>
      <w:r w:rsidR="00ED78BF" w:rsidRPr="005D062F">
        <w:rPr>
          <w:color w:val="000000" w:themeColor="text1"/>
          <w:sz w:val="22"/>
          <w:szCs w:val="22"/>
          <w:bdr w:val="none" w:sz="0" w:space="0" w:color="auto" w:frame="1"/>
          <w:shd w:val="clear" w:color="auto" w:fill="FFFFFF"/>
          <w:lang w:val="fr-FR"/>
        </w:rPr>
        <w:t xml:space="preserve"> r</w:t>
      </w:r>
      <w:r w:rsidRPr="005D062F">
        <w:rPr>
          <w:color w:val="000000" w:themeColor="text1"/>
          <w:sz w:val="22"/>
          <w:szCs w:val="22"/>
          <w:bdr w:val="none" w:sz="0" w:space="0" w:color="auto" w:frame="1"/>
          <w:shd w:val="clear" w:color="auto" w:fill="FFFFFF"/>
          <w:lang w:val="fr-FR"/>
        </w:rPr>
        <w:t>é</w:t>
      </w:r>
      <w:r w:rsidR="00ED78BF" w:rsidRPr="005D062F">
        <w:rPr>
          <w:color w:val="000000" w:themeColor="text1"/>
          <w:sz w:val="22"/>
          <w:szCs w:val="22"/>
          <w:bdr w:val="none" w:sz="0" w:space="0" w:color="auto" w:frame="1"/>
          <w:shd w:val="clear" w:color="auto" w:fill="FFFFFF"/>
          <w:lang w:val="fr-FR"/>
        </w:rPr>
        <w:t xml:space="preserve">gion. </w:t>
      </w:r>
      <w:r w:rsidR="00ED78BF" w:rsidRPr="005D062F">
        <w:rPr>
          <w:i/>
          <w:iCs/>
          <w:color w:val="000000" w:themeColor="text1"/>
          <w:sz w:val="22"/>
          <w:szCs w:val="22"/>
          <w:bdr w:val="none" w:sz="0" w:space="0" w:color="auto" w:frame="1"/>
          <w:shd w:val="clear" w:color="auto" w:fill="FFFFFF"/>
          <w:lang w:val="fr-FR"/>
        </w:rPr>
        <w:t>Córdoba Acelera</w:t>
      </w:r>
      <w:r w:rsidR="00ED78BF" w:rsidRPr="005D062F">
        <w:rPr>
          <w:color w:val="000000" w:themeColor="text1"/>
          <w:sz w:val="22"/>
          <w:szCs w:val="22"/>
          <w:bdr w:val="none" w:sz="0" w:space="0" w:color="auto" w:frame="1"/>
          <w:shd w:val="clear" w:color="auto" w:fill="FFFFFF"/>
          <w:lang w:val="fr-FR"/>
        </w:rPr>
        <w:t xml:space="preserve"> </w:t>
      </w:r>
      <w:r w:rsidR="00151146" w:rsidRPr="005D062F">
        <w:rPr>
          <w:color w:val="000000" w:themeColor="text1"/>
          <w:sz w:val="22"/>
          <w:szCs w:val="22"/>
          <w:bdr w:val="none" w:sz="0" w:space="0" w:color="auto" w:frame="1"/>
          <w:shd w:val="clear" w:color="auto" w:fill="FFFFFF"/>
          <w:lang w:val="fr-FR"/>
        </w:rPr>
        <w:t>bénéfice</w:t>
      </w:r>
      <w:r w:rsidRPr="005D062F">
        <w:rPr>
          <w:color w:val="000000" w:themeColor="text1"/>
          <w:sz w:val="22"/>
          <w:szCs w:val="22"/>
          <w:bdr w:val="none" w:sz="0" w:space="0" w:color="auto" w:frame="1"/>
          <w:shd w:val="clear" w:color="auto" w:fill="FFFFFF"/>
          <w:lang w:val="fr-FR"/>
        </w:rPr>
        <w:t xml:space="preserve"> du soutien des parties prenantes régionales des secteurs public, privé et universitaire et vise à positionner la province de </w:t>
      </w:r>
      <w:r w:rsidR="00ED78BF" w:rsidRPr="005D062F">
        <w:rPr>
          <w:color w:val="000000" w:themeColor="text1"/>
          <w:sz w:val="22"/>
          <w:szCs w:val="22"/>
          <w:bdr w:val="none" w:sz="0" w:space="0" w:color="auto" w:frame="1"/>
          <w:shd w:val="clear" w:color="auto" w:fill="FFFFFF"/>
          <w:lang w:val="fr-FR"/>
        </w:rPr>
        <w:t>C</w:t>
      </w:r>
      <w:r w:rsidR="00C67D84" w:rsidRPr="005D062F">
        <w:rPr>
          <w:color w:val="000000" w:themeColor="text1"/>
          <w:sz w:val="22"/>
          <w:szCs w:val="22"/>
          <w:bdr w:val="none" w:sz="0" w:space="0" w:color="auto" w:frame="1"/>
          <w:shd w:val="clear" w:color="auto" w:fill="FFFFFF"/>
          <w:lang w:val="fr-FR"/>
        </w:rPr>
        <w:t>o</w:t>
      </w:r>
      <w:r w:rsidR="00ED78BF" w:rsidRPr="005D062F">
        <w:rPr>
          <w:color w:val="000000" w:themeColor="text1"/>
          <w:sz w:val="22"/>
          <w:szCs w:val="22"/>
          <w:bdr w:val="none" w:sz="0" w:space="0" w:color="auto" w:frame="1"/>
          <w:shd w:val="clear" w:color="auto" w:fill="FFFFFF"/>
          <w:lang w:val="fr-FR"/>
        </w:rPr>
        <w:t xml:space="preserve">rdoba </w:t>
      </w:r>
      <w:r w:rsidRPr="005D062F">
        <w:rPr>
          <w:color w:val="000000" w:themeColor="text1"/>
          <w:sz w:val="22"/>
          <w:szCs w:val="22"/>
          <w:bdr w:val="none" w:sz="0" w:space="0" w:color="auto" w:frame="1"/>
          <w:shd w:val="clear" w:color="auto" w:fill="FFFFFF"/>
          <w:lang w:val="fr-FR"/>
        </w:rPr>
        <w:t xml:space="preserve">comme une région </w:t>
      </w:r>
      <w:r w:rsidR="00ED78BF" w:rsidRPr="005D062F">
        <w:rPr>
          <w:color w:val="000000" w:themeColor="text1"/>
          <w:sz w:val="22"/>
          <w:szCs w:val="22"/>
          <w:bdr w:val="none" w:sz="0" w:space="0" w:color="auto" w:frame="1"/>
          <w:shd w:val="clear" w:color="auto" w:fill="FFFFFF"/>
          <w:lang w:val="fr-FR"/>
        </w:rPr>
        <w:t>innova</w:t>
      </w:r>
      <w:r w:rsidRPr="005D062F">
        <w:rPr>
          <w:color w:val="000000" w:themeColor="text1"/>
          <w:sz w:val="22"/>
          <w:szCs w:val="22"/>
          <w:bdr w:val="none" w:sz="0" w:space="0" w:color="auto" w:frame="1"/>
          <w:shd w:val="clear" w:color="auto" w:fill="FFFFFF"/>
          <w:lang w:val="fr-FR"/>
        </w:rPr>
        <w:t xml:space="preserve">nte et </w:t>
      </w:r>
      <w:r w:rsidR="00ED78BF" w:rsidRPr="005D062F">
        <w:rPr>
          <w:color w:val="000000" w:themeColor="text1"/>
          <w:sz w:val="22"/>
          <w:szCs w:val="22"/>
          <w:bdr w:val="none" w:sz="0" w:space="0" w:color="auto" w:frame="1"/>
          <w:shd w:val="clear" w:color="auto" w:fill="FFFFFF"/>
          <w:lang w:val="fr-FR"/>
        </w:rPr>
        <w:t>modern</w:t>
      </w:r>
      <w:r w:rsidRPr="005D062F">
        <w:rPr>
          <w:color w:val="000000" w:themeColor="text1"/>
          <w:sz w:val="22"/>
          <w:szCs w:val="22"/>
          <w:bdr w:val="none" w:sz="0" w:space="0" w:color="auto" w:frame="1"/>
          <w:shd w:val="clear" w:color="auto" w:fill="FFFFFF"/>
          <w:lang w:val="fr-FR"/>
        </w:rPr>
        <w:t>e, ouverte aux talents et aux investissements</w:t>
      </w:r>
      <w:r w:rsidR="00ED78BF" w:rsidRPr="005D062F">
        <w:rPr>
          <w:color w:val="000000" w:themeColor="text1"/>
          <w:sz w:val="22"/>
          <w:szCs w:val="22"/>
          <w:bdr w:val="none" w:sz="0" w:space="0" w:color="auto" w:frame="1"/>
          <w:shd w:val="clear" w:color="auto" w:fill="FFFFFF"/>
          <w:lang w:val="fr-FR"/>
        </w:rPr>
        <w:t>.</w:t>
      </w:r>
    </w:p>
    <w:p w14:paraId="5FB2F9CD" w14:textId="3282C96E" w:rsidR="003C2BE7" w:rsidRPr="005D062F" w:rsidRDefault="00CB27C5" w:rsidP="00CB030B">
      <w:pPr>
        <w:pStyle w:val="ListParagraph"/>
        <w:numPr>
          <w:ilvl w:val="1"/>
          <w:numId w:val="8"/>
        </w:numPr>
        <w:ind w:left="1980" w:hanging="540"/>
        <w:contextualSpacing/>
        <w:jc w:val="both"/>
        <w:rPr>
          <w:color w:val="000000" w:themeColor="text1"/>
          <w:sz w:val="22"/>
          <w:szCs w:val="22"/>
          <w:bdr w:val="none" w:sz="0" w:space="0" w:color="auto" w:frame="1"/>
          <w:shd w:val="clear" w:color="auto" w:fill="FFFFFF"/>
          <w:lang w:val="fr-FR"/>
        </w:rPr>
      </w:pPr>
      <w:r w:rsidRPr="005D062F">
        <w:rPr>
          <w:color w:val="000000" w:themeColor="text1"/>
          <w:sz w:val="22"/>
          <w:szCs w:val="22"/>
          <w:bdr w:val="none" w:sz="0" w:space="0" w:color="auto" w:frame="1"/>
          <w:shd w:val="clear" w:color="auto" w:fill="FFFFFF"/>
          <w:lang w:val="fr-FR"/>
        </w:rPr>
        <w:t>L’</w:t>
      </w:r>
      <w:r w:rsidR="00ED78BF" w:rsidRPr="005D062F">
        <w:rPr>
          <w:color w:val="000000" w:themeColor="text1"/>
          <w:sz w:val="22"/>
          <w:szCs w:val="22"/>
          <w:bdr w:val="none" w:sz="0" w:space="0" w:color="auto" w:frame="1"/>
          <w:shd w:val="clear" w:color="auto" w:fill="FFFFFF"/>
          <w:lang w:val="fr-FR"/>
        </w:rPr>
        <w:t>Observato</w:t>
      </w:r>
      <w:r w:rsidRPr="005D062F">
        <w:rPr>
          <w:color w:val="000000" w:themeColor="text1"/>
          <w:sz w:val="22"/>
          <w:szCs w:val="22"/>
          <w:bdr w:val="none" w:sz="0" w:space="0" w:color="auto" w:frame="1"/>
          <w:shd w:val="clear" w:color="auto" w:fill="FFFFFF"/>
          <w:lang w:val="fr-FR"/>
        </w:rPr>
        <w:t>i</w:t>
      </w:r>
      <w:r w:rsidR="00ED78BF" w:rsidRPr="005D062F">
        <w:rPr>
          <w:color w:val="000000" w:themeColor="text1"/>
          <w:sz w:val="22"/>
          <w:szCs w:val="22"/>
          <w:bdr w:val="none" w:sz="0" w:space="0" w:color="auto" w:frame="1"/>
          <w:shd w:val="clear" w:color="auto" w:fill="FFFFFF"/>
          <w:lang w:val="fr-FR"/>
        </w:rPr>
        <w:t>r</w:t>
      </w:r>
      <w:r w:rsidRPr="005D062F">
        <w:rPr>
          <w:color w:val="000000" w:themeColor="text1"/>
          <w:sz w:val="22"/>
          <w:szCs w:val="22"/>
          <w:bdr w:val="none" w:sz="0" w:space="0" w:color="auto" w:frame="1"/>
          <w:shd w:val="clear" w:color="auto" w:fill="FFFFFF"/>
          <w:lang w:val="fr-FR"/>
        </w:rPr>
        <w:t>e</w:t>
      </w:r>
      <w:r w:rsidR="00ED78BF" w:rsidRPr="005D062F">
        <w:rPr>
          <w:color w:val="000000" w:themeColor="text1"/>
          <w:sz w:val="22"/>
          <w:szCs w:val="22"/>
          <w:bdr w:val="none" w:sz="0" w:space="0" w:color="auto" w:frame="1"/>
          <w:shd w:val="clear" w:color="auto" w:fill="FFFFFF"/>
          <w:lang w:val="fr-FR"/>
        </w:rPr>
        <w:t xml:space="preserve"> </w:t>
      </w:r>
      <w:r w:rsidRPr="005D062F">
        <w:rPr>
          <w:color w:val="000000" w:themeColor="text1"/>
          <w:sz w:val="22"/>
          <w:szCs w:val="22"/>
          <w:bdr w:val="none" w:sz="0" w:space="0" w:color="auto" w:frame="1"/>
          <w:shd w:val="clear" w:color="auto" w:fill="FFFFFF"/>
          <w:lang w:val="fr-FR"/>
        </w:rPr>
        <w:t>de la compétitivité de l’</w:t>
      </w:r>
      <w:r w:rsidR="00ED78BF" w:rsidRPr="005D062F">
        <w:rPr>
          <w:color w:val="000000" w:themeColor="text1"/>
          <w:sz w:val="22"/>
          <w:szCs w:val="22"/>
          <w:bdr w:val="none" w:sz="0" w:space="0" w:color="auto" w:frame="1"/>
          <w:shd w:val="clear" w:color="auto" w:fill="FFFFFF"/>
          <w:lang w:val="fr-FR"/>
        </w:rPr>
        <w:t>Universit</w:t>
      </w:r>
      <w:r w:rsidRPr="005D062F">
        <w:rPr>
          <w:color w:val="000000" w:themeColor="text1"/>
          <w:sz w:val="22"/>
          <w:szCs w:val="22"/>
          <w:bdr w:val="none" w:sz="0" w:space="0" w:color="auto" w:frame="1"/>
          <w:shd w:val="clear" w:color="auto" w:fill="FFFFFF"/>
          <w:lang w:val="fr-FR"/>
        </w:rPr>
        <w:t>é</w:t>
      </w:r>
      <w:r w:rsidR="00ED78BF" w:rsidRPr="005D062F">
        <w:rPr>
          <w:color w:val="000000" w:themeColor="text1"/>
          <w:sz w:val="22"/>
          <w:szCs w:val="22"/>
          <w:bdr w:val="none" w:sz="0" w:space="0" w:color="auto" w:frame="1"/>
          <w:shd w:val="clear" w:color="auto" w:fill="FFFFFF"/>
          <w:lang w:val="fr-FR"/>
        </w:rPr>
        <w:t xml:space="preserve"> Santiago </w:t>
      </w:r>
      <w:r w:rsidRPr="005D062F">
        <w:rPr>
          <w:color w:val="000000" w:themeColor="text1"/>
          <w:sz w:val="22"/>
          <w:szCs w:val="22"/>
          <w:bdr w:val="none" w:sz="0" w:space="0" w:color="auto" w:frame="1"/>
          <w:shd w:val="clear" w:color="auto" w:fill="FFFFFF"/>
          <w:lang w:val="fr-FR"/>
        </w:rPr>
        <w:t xml:space="preserve">de </w:t>
      </w:r>
      <w:r w:rsidR="00ED78BF" w:rsidRPr="005D062F">
        <w:rPr>
          <w:color w:val="000000" w:themeColor="text1"/>
          <w:sz w:val="22"/>
          <w:szCs w:val="22"/>
          <w:bdr w:val="none" w:sz="0" w:space="0" w:color="auto" w:frame="1"/>
          <w:shd w:val="clear" w:color="auto" w:fill="FFFFFF"/>
          <w:lang w:val="fr-FR"/>
        </w:rPr>
        <w:t xml:space="preserve">Guayaquil </w:t>
      </w:r>
      <w:r w:rsidRPr="005D062F">
        <w:rPr>
          <w:color w:val="000000" w:themeColor="text1"/>
          <w:sz w:val="22"/>
          <w:szCs w:val="22"/>
          <w:bdr w:val="none" w:sz="0" w:space="0" w:color="auto" w:frame="1"/>
          <w:shd w:val="clear" w:color="auto" w:fill="FFFFFF"/>
          <w:lang w:val="fr-FR"/>
        </w:rPr>
        <w:t xml:space="preserve">a été créé et lancé en </w:t>
      </w:r>
      <w:r w:rsidR="00FC65A2" w:rsidRPr="005D062F">
        <w:rPr>
          <w:color w:val="000000" w:themeColor="text1"/>
          <w:sz w:val="22"/>
          <w:szCs w:val="22"/>
          <w:bdr w:val="none" w:sz="0" w:space="0" w:color="auto" w:frame="1"/>
          <w:shd w:val="clear" w:color="auto" w:fill="FFFFFF"/>
          <w:lang w:val="fr-FR"/>
        </w:rPr>
        <w:t xml:space="preserve">collaboration </w:t>
      </w:r>
      <w:r w:rsidRPr="005D062F">
        <w:rPr>
          <w:color w:val="000000" w:themeColor="text1"/>
          <w:sz w:val="22"/>
          <w:szCs w:val="22"/>
          <w:bdr w:val="none" w:sz="0" w:space="0" w:color="auto" w:frame="1"/>
          <w:shd w:val="clear" w:color="auto" w:fill="FFFFFF"/>
          <w:lang w:val="fr-FR"/>
        </w:rPr>
        <w:t>avec</w:t>
      </w:r>
      <w:r w:rsidR="00ED78BF" w:rsidRPr="005D062F">
        <w:rPr>
          <w:color w:val="000000" w:themeColor="text1"/>
          <w:sz w:val="22"/>
          <w:szCs w:val="22"/>
          <w:bdr w:val="none" w:sz="0" w:space="0" w:color="auto" w:frame="1"/>
          <w:shd w:val="clear" w:color="auto" w:fill="FFFFFF"/>
          <w:lang w:val="fr-FR"/>
        </w:rPr>
        <w:t xml:space="preserve"> EPICO, </w:t>
      </w:r>
      <w:r w:rsidRPr="005D062F">
        <w:rPr>
          <w:color w:val="000000" w:themeColor="text1"/>
          <w:sz w:val="22"/>
          <w:szCs w:val="22"/>
          <w:bdr w:val="none" w:sz="0" w:space="0" w:color="auto" w:frame="1"/>
          <w:shd w:val="clear" w:color="auto" w:fill="FFFFFF"/>
          <w:lang w:val="fr-FR"/>
        </w:rPr>
        <w:t>une entreprise privée de la ville qui se consacre à la promotion de la compétitivité et de l’</w:t>
      </w:r>
      <w:r w:rsidR="00ED78BF" w:rsidRPr="005D062F">
        <w:rPr>
          <w:color w:val="000000" w:themeColor="text1"/>
          <w:sz w:val="22"/>
          <w:szCs w:val="22"/>
          <w:bdr w:val="none" w:sz="0" w:space="0" w:color="auto" w:frame="1"/>
          <w:shd w:val="clear" w:color="auto" w:fill="FFFFFF"/>
          <w:lang w:val="fr-FR"/>
        </w:rPr>
        <w:t>innovation.</w:t>
      </w:r>
    </w:p>
    <w:p w14:paraId="015772AF" w14:textId="05B96B6C" w:rsidR="003C2BE7" w:rsidRPr="005D062F" w:rsidRDefault="00FC65A2" w:rsidP="00CB030B">
      <w:pPr>
        <w:pStyle w:val="ListParagraph"/>
        <w:numPr>
          <w:ilvl w:val="1"/>
          <w:numId w:val="8"/>
        </w:numPr>
        <w:ind w:left="1980" w:hanging="540"/>
        <w:contextualSpacing/>
        <w:jc w:val="both"/>
        <w:rPr>
          <w:color w:val="000000" w:themeColor="text1"/>
          <w:sz w:val="22"/>
          <w:szCs w:val="22"/>
          <w:bdr w:val="none" w:sz="0" w:space="0" w:color="auto" w:frame="1"/>
          <w:shd w:val="clear" w:color="auto" w:fill="FFFFFF"/>
          <w:lang w:val="fr-FR"/>
        </w:rPr>
      </w:pPr>
      <w:r w:rsidRPr="005D062F">
        <w:rPr>
          <w:iCs/>
          <w:color w:val="000000" w:themeColor="text1"/>
          <w:sz w:val="22"/>
          <w:szCs w:val="22"/>
          <w:bdr w:val="none" w:sz="0" w:space="0" w:color="auto" w:frame="1"/>
          <w:shd w:val="clear" w:color="auto" w:fill="FFFFFF"/>
          <w:lang w:val="fr-FR"/>
        </w:rPr>
        <w:t xml:space="preserve">L’entreprise brésilienne </w:t>
      </w:r>
      <w:r w:rsidR="00ED78BF" w:rsidRPr="005D062F">
        <w:rPr>
          <w:i/>
          <w:iCs/>
          <w:color w:val="000000" w:themeColor="text1"/>
          <w:sz w:val="22"/>
          <w:szCs w:val="22"/>
          <w:bdr w:val="none" w:sz="0" w:space="0" w:color="auto" w:frame="1"/>
          <w:shd w:val="clear" w:color="auto" w:fill="FFFFFF"/>
          <w:lang w:val="fr-FR"/>
        </w:rPr>
        <w:t>Orbital Engenharia</w:t>
      </w:r>
      <w:r w:rsidRPr="005D062F">
        <w:rPr>
          <w:color w:val="000000" w:themeColor="text1"/>
          <w:sz w:val="22"/>
          <w:szCs w:val="22"/>
          <w:bdr w:val="none" w:sz="0" w:space="0" w:color="auto" w:frame="1"/>
          <w:shd w:val="clear" w:color="auto" w:fill="FFFFFF"/>
          <w:lang w:val="fr-FR"/>
        </w:rPr>
        <w:t xml:space="preserve"> a </w:t>
      </w:r>
      <w:r w:rsidR="00ED78BF" w:rsidRPr="005D062F">
        <w:rPr>
          <w:color w:val="000000" w:themeColor="text1"/>
          <w:sz w:val="22"/>
          <w:szCs w:val="22"/>
          <w:bdr w:val="none" w:sz="0" w:space="0" w:color="auto" w:frame="1"/>
          <w:shd w:val="clear" w:color="auto" w:fill="FFFFFF"/>
          <w:lang w:val="fr-FR"/>
        </w:rPr>
        <w:t>sign</w:t>
      </w:r>
      <w:r w:rsidRPr="005D062F">
        <w:rPr>
          <w:color w:val="000000" w:themeColor="text1"/>
          <w:sz w:val="22"/>
          <w:szCs w:val="22"/>
          <w:bdr w:val="none" w:sz="0" w:space="0" w:color="auto" w:frame="1"/>
          <w:shd w:val="clear" w:color="auto" w:fill="FFFFFF"/>
          <w:lang w:val="fr-FR"/>
        </w:rPr>
        <w:t>é un accord</w:t>
      </w:r>
      <w:r w:rsidR="00ED78BF" w:rsidRPr="005D062F">
        <w:rPr>
          <w:color w:val="000000" w:themeColor="text1"/>
          <w:sz w:val="22"/>
          <w:szCs w:val="22"/>
          <w:bdr w:val="none" w:sz="0" w:space="0" w:color="auto" w:frame="1"/>
          <w:shd w:val="clear" w:color="auto" w:fill="FFFFFF"/>
          <w:lang w:val="fr-FR"/>
        </w:rPr>
        <w:t xml:space="preserve"> </w:t>
      </w:r>
      <w:r w:rsidRPr="005D062F">
        <w:rPr>
          <w:color w:val="000000" w:themeColor="text1"/>
          <w:sz w:val="22"/>
          <w:szCs w:val="22"/>
          <w:bdr w:val="none" w:sz="0" w:space="0" w:color="auto" w:frame="1"/>
          <w:shd w:val="clear" w:color="auto" w:fill="FFFFFF"/>
          <w:lang w:val="fr-FR"/>
        </w:rPr>
        <w:t>c</w:t>
      </w:r>
      <w:r w:rsidR="00ED78BF" w:rsidRPr="005D062F">
        <w:rPr>
          <w:color w:val="000000" w:themeColor="text1"/>
          <w:sz w:val="22"/>
          <w:szCs w:val="22"/>
          <w:bdr w:val="none" w:sz="0" w:space="0" w:color="auto" w:frame="1"/>
          <w:shd w:val="clear" w:color="auto" w:fill="FFFFFF"/>
          <w:lang w:val="fr-FR"/>
        </w:rPr>
        <w:t xml:space="preserve">ommercial </w:t>
      </w:r>
      <w:r w:rsidRPr="005D062F">
        <w:rPr>
          <w:color w:val="000000" w:themeColor="text1"/>
          <w:sz w:val="22"/>
          <w:szCs w:val="22"/>
          <w:bdr w:val="none" w:sz="0" w:space="0" w:color="auto" w:frame="1"/>
          <w:shd w:val="clear" w:color="auto" w:fill="FFFFFF"/>
          <w:lang w:val="fr-FR"/>
        </w:rPr>
        <w:t xml:space="preserve">et technologique avec </w:t>
      </w:r>
      <w:r w:rsidR="00ED78BF" w:rsidRPr="005D062F">
        <w:rPr>
          <w:color w:val="000000" w:themeColor="text1"/>
          <w:sz w:val="22"/>
          <w:szCs w:val="22"/>
          <w:bdr w:val="none" w:sz="0" w:space="0" w:color="auto" w:frame="1"/>
          <w:shd w:val="clear" w:color="auto" w:fill="FFFFFF"/>
          <w:lang w:val="fr-FR"/>
        </w:rPr>
        <w:t>Cubesat (</w:t>
      </w:r>
      <w:r w:rsidRPr="005D062F">
        <w:rPr>
          <w:color w:val="000000" w:themeColor="text1"/>
          <w:sz w:val="22"/>
          <w:szCs w:val="22"/>
          <w:bdr w:val="none" w:sz="0" w:space="0" w:color="auto" w:frame="1"/>
          <w:shd w:val="clear" w:color="auto" w:fill="FFFFFF"/>
          <w:lang w:val="fr-FR"/>
        </w:rPr>
        <w:t>une entreprise implantée aux États-Unis) et a élaboré et mis en œuvre une série d’ateliers sur les technologies spatiales à</w:t>
      </w:r>
      <w:r w:rsidR="008D58EF" w:rsidRPr="005D062F">
        <w:rPr>
          <w:color w:val="000000" w:themeColor="text1"/>
          <w:sz w:val="22"/>
          <w:szCs w:val="22"/>
          <w:bdr w:val="none" w:sz="0" w:space="0" w:color="auto" w:frame="1"/>
          <w:shd w:val="clear" w:color="auto" w:fill="FFFFFF"/>
          <w:lang w:val="fr-FR"/>
        </w:rPr>
        <w:t xml:space="preserve"> </w:t>
      </w:r>
      <w:r w:rsidRPr="005D062F">
        <w:rPr>
          <w:color w:val="000000" w:themeColor="text1"/>
          <w:sz w:val="22"/>
          <w:szCs w:val="22"/>
          <w:bdr w:val="none" w:sz="0" w:space="0" w:color="auto" w:frame="1"/>
          <w:shd w:val="clear" w:color="auto" w:fill="FFFFFF"/>
          <w:lang w:val="fr-FR"/>
        </w:rPr>
        <w:t xml:space="preserve">Tucuman (Argentine) tout au long de l’année </w:t>
      </w:r>
      <w:r w:rsidR="00ED78BF" w:rsidRPr="005D062F">
        <w:rPr>
          <w:color w:val="000000" w:themeColor="text1"/>
          <w:sz w:val="22"/>
          <w:szCs w:val="22"/>
          <w:bdr w:val="none" w:sz="0" w:space="0" w:color="auto" w:frame="1"/>
          <w:shd w:val="clear" w:color="auto" w:fill="FFFFFF"/>
          <w:lang w:val="fr-FR"/>
        </w:rPr>
        <w:t xml:space="preserve">2022. </w:t>
      </w:r>
    </w:p>
    <w:p w14:paraId="0FCCC89A" w14:textId="6BD85121" w:rsidR="00ED78BF" w:rsidRPr="005D062F" w:rsidRDefault="00063CD0" w:rsidP="00CB030B">
      <w:pPr>
        <w:pStyle w:val="ListParagraph"/>
        <w:numPr>
          <w:ilvl w:val="1"/>
          <w:numId w:val="8"/>
        </w:numPr>
        <w:ind w:left="1980" w:hanging="540"/>
        <w:contextualSpacing/>
        <w:jc w:val="both"/>
        <w:rPr>
          <w:color w:val="000000" w:themeColor="text1"/>
          <w:sz w:val="22"/>
          <w:szCs w:val="22"/>
          <w:bdr w:val="none" w:sz="0" w:space="0" w:color="auto" w:frame="1"/>
          <w:shd w:val="clear" w:color="auto" w:fill="FFFFFF"/>
          <w:lang w:val="fr-FR"/>
        </w:rPr>
      </w:pPr>
      <w:r w:rsidRPr="005D062F">
        <w:rPr>
          <w:color w:val="000000" w:themeColor="text1"/>
          <w:sz w:val="22"/>
          <w:szCs w:val="22"/>
          <w:bdr w:val="none" w:sz="0" w:space="0" w:color="auto" w:frame="1"/>
          <w:shd w:val="clear" w:color="auto" w:fill="FFFFFF"/>
          <w:lang w:val="fr-FR"/>
        </w:rPr>
        <w:t xml:space="preserve">La première Unité </w:t>
      </w:r>
      <w:r w:rsidR="00ED78BF" w:rsidRPr="005D062F">
        <w:rPr>
          <w:color w:val="000000" w:themeColor="text1"/>
          <w:sz w:val="22"/>
          <w:szCs w:val="22"/>
          <w:bdr w:val="none" w:sz="0" w:space="0" w:color="auto" w:frame="1"/>
          <w:shd w:val="clear" w:color="auto" w:fill="FFFFFF"/>
          <w:lang w:val="fr-FR"/>
        </w:rPr>
        <w:t xml:space="preserve">ACE </w:t>
      </w:r>
      <w:r w:rsidRPr="005D062F">
        <w:rPr>
          <w:color w:val="000000" w:themeColor="text1"/>
          <w:sz w:val="22"/>
          <w:szCs w:val="22"/>
          <w:bdr w:val="none" w:sz="0" w:space="0" w:color="auto" w:frame="1"/>
          <w:shd w:val="clear" w:color="auto" w:fill="FFFFFF"/>
          <w:lang w:val="fr-FR"/>
        </w:rPr>
        <w:t xml:space="preserve">a été créée par </w:t>
      </w:r>
      <w:r w:rsidR="00ED78BF" w:rsidRPr="005D062F">
        <w:rPr>
          <w:color w:val="000000" w:themeColor="text1"/>
          <w:sz w:val="22"/>
          <w:szCs w:val="22"/>
          <w:bdr w:val="none" w:sz="0" w:space="0" w:color="auto" w:frame="1"/>
          <w:shd w:val="clear" w:color="auto" w:fill="FFFFFF"/>
          <w:lang w:val="fr-FR"/>
        </w:rPr>
        <w:t>Region 9</w:t>
      </w:r>
      <w:r w:rsidRPr="005D062F">
        <w:rPr>
          <w:color w:val="000000" w:themeColor="text1"/>
          <w:sz w:val="22"/>
          <w:szCs w:val="22"/>
          <w:bdr w:val="none" w:sz="0" w:space="0" w:color="auto" w:frame="1"/>
          <w:shd w:val="clear" w:color="auto" w:fill="FFFFFF"/>
          <w:lang w:val="fr-FR"/>
        </w:rPr>
        <w:t xml:space="preserve"> dans le Minnesota (États-Unis) </w:t>
      </w:r>
      <w:r w:rsidR="00B33E89" w:rsidRPr="005D062F">
        <w:rPr>
          <w:color w:val="000000" w:themeColor="text1"/>
          <w:sz w:val="22"/>
          <w:szCs w:val="22"/>
          <w:bdr w:val="none" w:sz="0" w:space="0" w:color="auto" w:frame="1"/>
          <w:shd w:val="clear" w:color="auto" w:fill="FFFFFF"/>
          <w:lang w:val="fr-FR"/>
        </w:rPr>
        <w:t xml:space="preserve">pour faire office </w:t>
      </w:r>
      <w:r w:rsidRPr="005D062F">
        <w:rPr>
          <w:color w:val="000000" w:themeColor="text1"/>
          <w:sz w:val="22"/>
          <w:szCs w:val="22"/>
          <w:bdr w:val="none" w:sz="0" w:space="0" w:color="auto" w:frame="1"/>
          <w:shd w:val="clear" w:color="auto" w:fill="FFFFFF"/>
          <w:lang w:val="fr-FR"/>
        </w:rPr>
        <w:t xml:space="preserve">d’équipe spéciale de travail </w:t>
      </w:r>
      <w:r w:rsidR="00B33E89" w:rsidRPr="005D062F">
        <w:rPr>
          <w:color w:val="000000" w:themeColor="text1"/>
          <w:sz w:val="22"/>
          <w:szCs w:val="22"/>
          <w:bdr w:val="none" w:sz="0" w:space="0" w:color="auto" w:frame="1"/>
          <w:shd w:val="clear" w:color="auto" w:fill="FFFFFF"/>
          <w:lang w:val="fr-FR"/>
        </w:rPr>
        <w:t>avec l’objectif principal d’accroître les partenariats internationaux en coordination avec les réseaux au niveau local, des États et fédéral afin de renforcer les résultats économiques de la région</w:t>
      </w:r>
      <w:r w:rsidR="00ED78BF" w:rsidRPr="005D062F">
        <w:rPr>
          <w:color w:val="000000" w:themeColor="text1"/>
          <w:sz w:val="22"/>
          <w:szCs w:val="22"/>
          <w:bdr w:val="none" w:sz="0" w:space="0" w:color="auto" w:frame="1"/>
          <w:shd w:val="clear" w:color="auto" w:fill="FFFFFF"/>
          <w:lang w:val="fr-FR"/>
        </w:rPr>
        <w:t xml:space="preserve">. </w:t>
      </w:r>
      <w:r w:rsidR="00B33E89" w:rsidRPr="005D062F">
        <w:rPr>
          <w:color w:val="000000" w:themeColor="text1"/>
          <w:sz w:val="22"/>
          <w:szCs w:val="22"/>
          <w:bdr w:val="none" w:sz="0" w:space="0" w:color="auto" w:frame="1"/>
          <w:shd w:val="clear" w:color="auto" w:fill="FFFFFF"/>
          <w:lang w:val="fr-FR"/>
        </w:rPr>
        <w:t xml:space="preserve">L’une des principales priorités de l’Unité </w:t>
      </w:r>
      <w:r w:rsidR="00ED78BF" w:rsidRPr="005D062F">
        <w:rPr>
          <w:color w:val="000000" w:themeColor="text1"/>
          <w:sz w:val="22"/>
          <w:szCs w:val="22"/>
          <w:bdr w:val="none" w:sz="0" w:space="0" w:color="auto" w:frame="1"/>
          <w:shd w:val="clear" w:color="auto" w:fill="FFFFFF"/>
          <w:lang w:val="fr-FR"/>
        </w:rPr>
        <w:t>ACE</w:t>
      </w:r>
      <w:r w:rsidR="00B33E89" w:rsidRPr="005D062F">
        <w:rPr>
          <w:color w:val="000000" w:themeColor="text1"/>
          <w:sz w:val="22"/>
          <w:szCs w:val="22"/>
          <w:bdr w:val="none" w:sz="0" w:space="0" w:color="auto" w:frame="1"/>
          <w:shd w:val="clear" w:color="auto" w:fill="FFFFFF"/>
          <w:lang w:val="fr-FR"/>
        </w:rPr>
        <w:t xml:space="preserve"> est d’optimiser le développement et la rétention de la main-d’œuvre qualifiée locale, la création d’emplois bien rémunérés et les initiatives </w:t>
      </w:r>
      <w:r w:rsidR="00ED78BF" w:rsidRPr="005D062F">
        <w:rPr>
          <w:color w:val="000000" w:themeColor="text1"/>
          <w:sz w:val="22"/>
          <w:szCs w:val="22"/>
          <w:bdr w:val="none" w:sz="0" w:space="0" w:color="auto" w:frame="1"/>
          <w:shd w:val="clear" w:color="auto" w:fill="FFFFFF"/>
          <w:lang w:val="fr-FR"/>
        </w:rPr>
        <w:t>entrepreneurial</w:t>
      </w:r>
      <w:r w:rsidR="00B33E89" w:rsidRPr="005D062F">
        <w:rPr>
          <w:color w:val="000000" w:themeColor="text1"/>
          <w:sz w:val="22"/>
          <w:szCs w:val="22"/>
          <w:bdr w:val="none" w:sz="0" w:space="0" w:color="auto" w:frame="1"/>
          <w:shd w:val="clear" w:color="auto" w:fill="FFFFFF"/>
          <w:lang w:val="fr-FR"/>
        </w:rPr>
        <w:t>es en facilitant et en exploitant les possibilités d’investissement étranger direct (IED)</w:t>
      </w:r>
      <w:r w:rsidR="00ED78BF" w:rsidRPr="005D062F">
        <w:rPr>
          <w:color w:val="000000" w:themeColor="text1"/>
          <w:sz w:val="22"/>
          <w:szCs w:val="22"/>
          <w:bdr w:val="none" w:sz="0" w:space="0" w:color="auto" w:frame="1"/>
          <w:shd w:val="clear" w:color="auto" w:fill="FFFFFF"/>
          <w:lang w:val="fr-FR"/>
        </w:rPr>
        <w:t>.</w:t>
      </w:r>
    </w:p>
    <w:p w14:paraId="15E3963D" w14:textId="680F599A" w:rsidR="00ED78BF" w:rsidRPr="005D062F" w:rsidRDefault="003C2B81" w:rsidP="00CB030B">
      <w:pPr>
        <w:pStyle w:val="ListParagraph"/>
        <w:numPr>
          <w:ilvl w:val="1"/>
          <w:numId w:val="8"/>
        </w:numPr>
        <w:ind w:left="1980" w:hanging="540"/>
        <w:contextualSpacing/>
        <w:jc w:val="both"/>
        <w:rPr>
          <w:color w:val="000000" w:themeColor="text1"/>
          <w:sz w:val="22"/>
          <w:szCs w:val="22"/>
          <w:bdr w:val="none" w:sz="0" w:space="0" w:color="auto" w:frame="1"/>
          <w:shd w:val="clear" w:color="auto" w:fill="FFFFFF"/>
          <w:lang w:val="fr-FR"/>
        </w:rPr>
      </w:pPr>
      <w:r w:rsidRPr="005D062F">
        <w:rPr>
          <w:color w:val="000000" w:themeColor="text1"/>
          <w:sz w:val="22"/>
          <w:szCs w:val="22"/>
          <w:bdr w:val="none" w:sz="0" w:space="0" w:color="auto" w:frame="1"/>
          <w:shd w:val="clear" w:color="auto" w:fill="FFFFFF"/>
          <w:lang w:val="fr-FR"/>
        </w:rPr>
        <w:t>L’</w:t>
      </w:r>
      <w:r w:rsidR="00ED78BF" w:rsidRPr="005D062F">
        <w:rPr>
          <w:color w:val="000000" w:themeColor="text1"/>
          <w:sz w:val="22"/>
          <w:szCs w:val="22"/>
          <w:bdr w:val="none" w:sz="0" w:space="0" w:color="auto" w:frame="1"/>
          <w:shd w:val="clear" w:color="auto" w:fill="FFFFFF"/>
          <w:lang w:val="fr-FR"/>
        </w:rPr>
        <w:t xml:space="preserve">Eastern Caribbean Business Resilience Challenge </w:t>
      </w:r>
      <w:r w:rsidR="001B26CB" w:rsidRPr="005D062F">
        <w:rPr>
          <w:color w:val="000000" w:themeColor="text1"/>
          <w:sz w:val="22"/>
          <w:szCs w:val="22"/>
          <w:bdr w:val="none" w:sz="0" w:space="0" w:color="auto" w:frame="1"/>
          <w:shd w:val="clear" w:color="auto" w:fill="FFFFFF"/>
          <w:lang w:val="fr-FR"/>
        </w:rPr>
        <w:t xml:space="preserve">(Défi de résilience </w:t>
      </w:r>
      <w:r w:rsidRPr="005D062F">
        <w:rPr>
          <w:color w:val="000000" w:themeColor="text1"/>
          <w:sz w:val="22"/>
          <w:szCs w:val="22"/>
          <w:bdr w:val="none" w:sz="0" w:space="0" w:color="auto" w:frame="1"/>
          <w:shd w:val="clear" w:color="auto" w:fill="FFFFFF"/>
          <w:lang w:val="fr-FR"/>
        </w:rPr>
        <w:t xml:space="preserve">des entreprises des Caraïbes orientales) </w:t>
      </w:r>
      <w:r w:rsidR="001B26CB" w:rsidRPr="005D062F">
        <w:rPr>
          <w:color w:val="000000" w:themeColor="text1"/>
          <w:sz w:val="22"/>
          <w:szCs w:val="22"/>
          <w:bdr w:val="none" w:sz="0" w:space="0" w:color="auto" w:frame="1"/>
          <w:shd w:val="clear" w:color="auto" w:fill="FFFFFF"/>
          <w:lang w:val="fr-FR"/>
        </w:rPr>
        <w:t xml:space="preserve">a été lancé à </w:t>
      </w:r>
      <w:r w:rsidR="00ED78BF" w:rsidRPr="005D062F">
        <w:rPr>
          <w:color w:val="000000" w:themeColor="text1"/>
          <w:sz w:val="22"/>
          <w:szCs w:val="22"/>
          <w:bdr w:val="none" w:sz="0" w:space="0" w:color="auto" w:frame="1"/>
          <w:shd w:val="clear" w:color="auto" w:fill="FFFFFF"/>
          <w:lang w:val="fr-FR"/>
        </w:rPr>
        <w:t>Trini</w:t>
      </w:r>
      <w:r w:rsidR="001B26CB" w:rsidRPr="005D062F">
        <w:rPr>
          <w:color w:val="000000" w:themeColor="text1"/>
          <w:sz w:val="22"/>
          <w:szCs w:val="22"/>
          <w:bdr w:val="none" w:sz="0" w:space="0" w:color="auto" w:frame="1"/>
          <w:shd w:val="clear" w:color="auto" w:fill="FFFFFF"/>
          <w:lang w:val="fr-FR"/>
        </w:rPr>
        <w:t>té-et-</w:t>
      </w:r>
      <w:r w:rsidR="00ED78BF" w:rsidRPr="005D062F">
        <w:rPr>
          <w:color w:val="000000" w:themeColor="text1"/>
          <w:sz w:val="22"/>
          <w:szCs w:val="22"/>
          <w:bdr w:val="none" w:sz="0" w:space="0" w:color="auto" w:frame="1"/>
          <w:shd w:val="clear" w:color="auto" w:fill="FFFFFF"/>
          <w:lang w:val="fr-FR"/>
        </w:rPr>
        <w:t xml:space="preserve">Tobago </w:t>
      </w:r>
      <w:r w:rsidR="001B26CB" w:rsidRPr="005D062F">
        <w:rPr>
          <w:color w:val="000000" w:themeColor="text1"/>
          <w:sz w:val="22"/>
          <w:szCs w:val="22"/>
          <w:bdr w:val="none" w:sz="0" w:space="0" w:color="auto" w:frame="1"/>
          <w:shd w:val="clear" w:color="auto" w:fill="FFFFFF"/>
          <w:lang w:val="fr-FR"/>
        </w:rPr>
        <w:t xml:space="preserve">avec le soutien du ministère de l’éducation et a permis d’embaucher des </w:t>
      </w:r>
      <w:r w:rsidR="00ED78BF" w:rsidRPr="005D062F">
        <w:rPr>
          <w:color w:val="000000" w:themeColor="text1"/>
          <w:sz w:val="22"/>
          <w:szCs w:val="22"/>
          <w:bdr w:val="none" w:sz="0" w:space="0" w:color="auto" w:frame="1"/>
          <w:shd w:val="clear" w:color="auto" w:fill="FFFFFF"/>
          <w:lang w:val="fr-FR"/>
        </w:rPr>
        <w:t xml:space="preserve">entrepreneurs </w:t>
      </w:r>
      <w:r w:rsidR="001B26CB" w:rsidRPr="005D062F">
        <w:rPr>
          <w:color w:val="000000" w:themeColor="text1"/>
          <w:sz w:val="22"/>
          <w:szCs w:val="22"/>
          <w:bdr w:val="none" w:sz="0" w:space="0" w:color="auto" w:frame="1"/>
          <w:shd w:val="clear" w:color="auto" w:fill="FFFFFF"/>
          <w:lang w:val="fr-FR"/>
        </w:rPr>
        <w:t>locaux e</w:t>
      </w:r>
      <w:r w:rsidR="00ED78BF" w:rsidRPr="005D062F">
        <w:rPr>
          <w:color w:val="000000" w:themeColor="text1"/>
          <w:sz w:val="22"/>
          <w:szCs w:val="22"/>
          <w:bdr w:val="none" w:sz="0" w:space="0" w:color="auto" w:frame="1"/>
          <w:shd w:val="clear" w:color="auto" w:fill="FFFFFF"/>
          <w:lang w:val="fr-FR"/>
        </w:rPr>
        <w:t xml:space="preserve">n collaboration </w:t>
      </w:r>
      <w:r w:rsidR="001B26CB" w:rsidRPr="005D062F">
        <w:rPr>
          <w:color w:val="000000" w:themeColor="text1"/>
          <w:sz w:val="22"/>
          <w:szCs w:val="22"/>
          <w:bdr w:val="none" w:sz="0" w:space="0" w:color="auto" w:frame="1"/>
          <w:shd w:val="clear" w:color="auto" w:fill="FFFFFF"/>
          <w:lang w:val="fr-FR"/>
        </w:rPr>
        <w:t xml:space="preserve">avec la </w:t>
      </w:r>
      <w:r w:rsidR="00755D7C" w:rsidRPr="005D062F">
        <w:rPr>
          <w:color w:val="000000" w:themeColor="text1"/>
          <w:sz w:val="22"/>
          <w:szCs w:val="22"/>
          <w:bdr w:val="none" w:sz="0" w:space="0" w:color="auto" w:frame="1"/>
          <w:shd w:val="clear" w:color="auto" w:fill="FFFFFF"/>
          <w:lang w:val="fr-FR"/>
        </w:rPr>
        <w:t>F</w:t>
      </w:r>
      <w:r w:rsidR="001B26CB" w:rsidRPr="005D062F">
        <w:rPr>
          <w:color w:val="000000" w:themeColor="text1"/>
          <w:sz w:val="22"/>
          <w:szCs w:val="22"/>
          <w:bdr w:val="none" w:sz="0" w:space="0" w:color="auto" w:frame="1"/>
          <w:shd w:val="clear" w:color="auto" w:fill="FFFFFF"/>
          <w:lang w:val="fr-FR"/>
        </w:rPr>
        <w:t>UPAD</w:t>
      </w:r>
      <w:r w:rsidR="00755D7C" w:rsidRPr="005D062F">
        <w:rPr>
          <w:color w:val="000000" w:themeColor="text1"/>
          <w:sz w:val="22"/>
          <w:szCs w:val="22"/>
          <w:bdr w:val="none" w:sz="0" w:space="0" w:color="auto" w:frame="1"/>
          <w:shd w:val="clear" w:color="auto" w:fill="FFFFFF"/>
          <w:lang w:val="fr-FR"/>
        </w:rPr>
        <w:t>.</w:t>
      </w:r>
    </w:p>
    <w:p w14:paraId="4EFA250F" w14:textId="03A146F0" w:rsidR="00ED78BF" w:rsidRPr="005D062F" w:rsidRDefault="00777297" w:rsidP="00CB030B">
      <w:pPr>
        <w:pStyle w:val="ListParagraph"/>
        <w:numPr>
          <w:ilvl w:val="1"/>
          <w:numId w:val="8"/>
        </w:numPr>
        <w:ind w:left="1980" w:hanging="540"/>
        <w:contextualSpacing/>
        <w:jc w:val="both"/>
        <w:rPr>
          <w:color w:val="000000" w:themeColor="text1"/>
          <w:sz w:val="22"/>
          <w:szCs w:val="22"/>
          <w:bdr w:val="none" w:sz="0" w:space="0" w:color="auto" w:frame="1"/>
          <w:shd w:val="clear" w:color="auto" w:fill="FFFFFF"/>
          <w:lang w:val="fr-FR"/>
        </w:rPr>
      </w:pPr>
      <w:r w:rsidRPr="005D062F">
        <w:rPr>
          <w:color w:val="000000" w:themeColor="text1"/>
          <w:sz w:val="22"/>
          <w:szCs w:val="22"/>
          <w:bdr w:val="none" w:sz="0" w:space="0" w:color="auto" w:frame="1"/>
          <w:shd w:val="clear" w:color="auto" w:fill="FFFFFF"/>
          <w:lang w:val="fr-FR"/>
        </w:rPr>
        <w:t>L’Université d’État de Fort Valley</w:t>
      </w:r>
      <w:r w:rsidR="00ED78BF" w:rsidRPr="005D062F">
        <w:rPr>
          <w:color w:val="000000" w:themeColor="text1"/>
          <w:sz w:val="22"/>
          <w:szCs w:val="22"/>
          <w:bdr w:val="none" w:sz="0" w:space="0" w:color="auto" w:frame="1"/>
          <w:shd w:val="clear" w:color="auto" w:fill="FFFFFF"/>
          <w:lang w:val="fr-FR"/>
        </w:rPr>
        <w:t xml:space="preserve"> (FVSU) </w:t>
      </w:r>
      <w:r w:rsidR="003C2B81" w:rsidRPr="005D062F">
        <w:rPr>
          <w:color w:val="000000" w:themeColor="text1"/>
          <w:sz w:val="22"/>
          <w:szCs w:val="22"/>
          <w:bdr w:val="none" w:sz="0" w:space="0" w:color="auto" w:frame="1"/>
          <w:shd w:val="clear" w:color="auto" w:fill="FFFFFF"/>
          <w:lang w:val="fr-FR"/>
        </w:rPr>
        <w:t xml:space="preserve">a établi un partenariat avec </w:t>
      </w:r>
      <w:r w:rsidR="00ED78BF" w:rsidRPr="005D062F">
        <w:rPr>
          <w:color w:val="000000" w:themeColor="text1"/>
          <w:sz w:val="22"/>
          <w:szCs w:val="22"/>
          <w:bdr w:val="none" w:sz="0" w:space="0" w:color="auto" w:frame="1"/>
          <w:shd w:val="clear" w:color="auto" w:fill="FFFFFF"/>
          <w:lang w:val="fr-FR"/>
        </w:rPr>
        <w:t xml:space="preserve">Georgia Tech </w:t>
      </w:r>
      <w:r w:rsidR="003C2B81" w:rsidRPr="005D062F">
        <w:rPr>
          <w:color w:val="000000" w:themeColor="text1"/>
          <w:sz w:val="22"/>
          <w:szCs w:val="22"/>
          <w:bdr w:val="none" w:sz="0" w:space="0" w:color="auto" w:frame="1"/>
          <w:shd w:val="clear" w:color="auto" w:fill="FFFFFF"/>
          <w:lang w:val="fr-FR"/>
        </w:rPr>
        <w:t>qui a donné lieu à l’organisation d’ateliers sur l’entrepreneuriat à la</w:t>
      </w:r>
      <w:r w:rsidR="008D58EF" w:rsidRPr="005D062F">
        <w:rPr>
          <w:color w:val="000000" w:themeColor="text1"/>
          <w:sz w:val="22"/>
          <w:szCs w:val="22"/>
          <w:bdr w:val="none" w:sz="0" w:space="0" w:color="auto" w:frame="1"/>
          <w:shd w:val="clear" w:color="auto" w:fill="FFFFFF"/>
          <w:lang w:val="fr-FR"/>
        </w:rPr>
        <w:t xml:space="preserve"> </w:t>
      </w:r>
      <w:r w:rsidR="00ED78BF" w:rsidRPr="005D062F">
        <w:rPr>
          <w:color w:val="000000" w:themeColor="text1"/>
          <w:sz w:val="22"/>
          <w:szCs w:val="22"/>
          <w:bdr w:val="none" w:sz="0" w:space="0" w:color="auto" w:frame="1"/>
          <w:shd w:val="clear" w:color="auto" w:fill="FFFFFF"/>
          <w:lang w:val="fr-FR"/>
        </w:rPr>
        <w:t xml:space="preserve">FVSU. </w:t>
      </w:r>
      <w:r w:rsidR="003C2B81" w:rsidRPr="005D062F">
        <w:rPr>
          <w:color w:val="000000" w:themeColor="text1"/>
          <w:sz w:val="22"/>
          <w:szCs w:val="22"/>
          <w:bdr w:val="none" w:sz="0" w:space="0" w:color="auto" w:frame="1"/>
          <w:shd w:val="clear" w:color="auto" w:fill="FFFFFF"/>
          <w:lang w:val="fr-FR"/>
        </w:rPr>
        <w:t xml:space="preserve">De plus, la </w:t>
      </w:r>
      <w:r w:rsidR="00ED78BF" w:rsidRPr="005D062F">
        <w:rPr>
          <w:color w:val="000000" w:themeColor="text1"/>
          <w:sz w:val="22"/>
          <w:szCs w:val="22"/>
          <w:bdr w:val="none" w:sz="0" w:space="0" w:color="auto" w:frame="1"/>
          <w:shd w:val="clear" w:color="auto" w:fill="FFFFFF"/>
          <w:lang w:val="fr-FR"/>
        </w:rPr>
        <w:t>FVSU a</w:t>
      </w:r>
      <w:r w:rsidR="00AE49AF" w:rsidRPr="005D062F">
        <w:rPr>
          <w:color w:val="000000" w:themeColor="text1"/>
          <w:sz w:val="22"/>
          <w:szCs w:val="22"/>
          <w:bdr w:val="none" w:sz="0" w:space="0" w:color="auto" w:frame="1"/>
          <w:shd w:val="clear" w:color="auto" w:fill="FFFFFF"/>
          <w:lang w:val="fr-FR"/>
        </w:rPr>
        <w:t xml:space="preserve"> reçu du ministère du commerce des États-Unis des fonds de </w:t>
      </w:r>
      <w:r w:rsidR="00ED78BF" w:rsidRPr="005D062F">
        <w:rPr>
          <w:color w:val="000000" w:themeColor="text1"/>
          <w:sz w:val="22"/>
          <w:szCs w:val="22"/>
          <w:bdr w:val="none" w:sz="0" w:space="0" w:color="auto" w:frame="1"/>
          <w:shd w:val="clear" w:color="auto" w:fill="FFFFFF"/>
          <w:lang w:val="fr-FR"/>
        </w:rPr>
        <w:t>s</w:t>
      </w:r>
      <w:r w:rsidR="00AE49AF" w:rsidRPr="005D062F">
        <w:rPr>
          <w:color w:val="000000" w:themeColor="text1"/>
          <w:sz w:val="22"/>
          <w:szCs w:val="22"/>
          <w:bdr w:val="none" w:sz="0" w:space="0" w:color="auto" w:frame="1"/>
          <w:shd w:val="clear" w:color="auto" w:fill="FFFFFF"/>
          <w:lang w:val="fr-FR"/>
        </w:rPr>
        <w:t>ubvention dans le cadre du</w:t>
      </w:r>
      <w:r w:rsidR="00ED78BF" w:rsidRPr="005D062F">
        <w:rPr>
          <w:color w:val="000000" w:themeColor="text1"/>
          <w:sz w:val="22"/>
          <w:szCs w:val="22"/>
          <w:bdr w:val="none" w:sz="0" w:space="0" w:color="auto" w:frame="1"/>
          <w:shd w:val="clear" w:color="auto" w:fill="FFFFFF"/>
          <w:lang w:val="fr-FR"/>
        </w:rPr>
        <w:t xml:space="preserve"> Middle Georgia Innovation Project.</w:t>
      </w:r>
    </w:p>
    <w:p w14:paraId="65842703" w14:textId="76A58017" w:rsidR="00ED78BF" w:rsidRPr="005D062F" w:rsidRDefault="00ED78BF" w:rsidP="00CB030B">
      <w:pPr>
        <w:pStyle w:val="ListParagraph"/>
        <w:numPr>
          <w:ilvl w:val="1"/>
          <w:numId w:val="8"/>
        </w:numPr>
        <w:ind w:left="1980" w:hanging="540"/>
        <w:contextualSpacing/>
        <w:jc w:val="both"/>
        <w:rPr>
          <w:rFonts w:eastAsia="Cambria"/>
          <w:b/>
          <w:bCs/>
          <w:color w:val="000000" w:themeColor="text1"/>
          <w:sz w:val="22"/>
          <w:szCs w:val="22"/>
          <w:lang w:val="fr-FR"/>
        </w:rPr>
      </w:pPr>
      <w:r w:rsidRPr="005D062F">
        <w:rPr>
          <w:sz w:val="22"/>
          <w:szCs w:val="22"/>
          <w:lang w:val="fr-FR"/>
        </w:rPr>
        <w:t xml:space="preserve">South Hive, </w:t>
      </w:r>
      <w:r w:rsidR="0056050F" w:rsidRPr="005D062F">
        <w:rPr>
          <w:sz w:val="22"/>
          <w:szCs w:val="22"/>
          <w:lang w:val="fr-FR"/>
        </w:rPr>
        <w:t>une entreprise implantée à Cordoba (Argentine)</w:t>
      </w:r>
      <w:r w:rsidRPr="005D062F">
        <w:rPr>
          <w:sz w:val="22"/>
          <w:szCs w:val="22"/>
          <w:lang w:val="fr-FR"/>
        </w:rPr>
        <w:t xml:space="preserve">, </w:t>
      </w:r>
      <w:r w:rsidR="0056050F" w:rsidRPr="005D062F">
        <w:rPr>
          <w:sz w:val="22"/>
          <w:szCs w:val="22"/>
          <w:lang w:val="fr-FR"/>
        </w:rPr>
        <w:t>a été sélectionnée pour partici</w:t>
      </w:r>
      <w:r w:rsidR="00151146" w:rsidRPr="005D062F">
        <w:rPr>
          <w:sz w:val="22"/>
          <w:szCs w:val="22"/>
          <w:lang w:val="fr-FR"/>
        </w:rPr>
        <w:t>p</w:t>
      </w:r>
      <w:r w:rsidR="0056050F" w:rsidRPr="005D062F">
        <w:rPr>
          <w:sz w:val="22"/>
          <w:szCs w:val="22"/>
          <w:lang w:val="fr-FR"/>
        </w:rPr>
        <w:t xml:space="preserve">er à l’édition de </w:t>
      </w:r>
      <w:r w:rsidRPr="005D062F">
        <w:rPr>
          <w:sz w:val="22"/>
          <w:szCs w:val="22"/>
          <w:lang w:val="fr-FR"/>
        </w:rPr>
        <w:t xml:space="preserve">2022 </w:t>
      </w:r>
      <w:r w:rsidR="0056050F" w:rsidRPr="005D062F">
        <w:rPr>
          <w:sz w:val="22"/>
          <w:szCs w:val="22"/>
          <w:lang w:val="fr-FR"/>
        </w:rPr>
        <w:t xml:space="preserve">du programme </w:t>
      </w:r>
      <w:r w:rsidRPr="005D062F">
        <w:rPr>
          <w:sz w:val="22"/>
          <w:szCs w:val="22"/>
          <w:lang w:val="fr-FR"/>
        </w:rPr>
        <w:t>D</w:t>
      </w:r>
      <w:r w:rsidR="0056050F" w:rsidRPr="005D062F">
        <w:rPr>
          <w:sz w:val="22"/>
          <w:szCs w:val="22"/>
          <w:lang w:val="fr-FR"/>
        </w:rPr>
        <w:t xml:space="preserve">enver Global Landing Pad </w:t>
      </w:r>
      <w:r w:rsidR="003C2BE7" w:rsidRPr="005D062F">
        <w:rPr>
          <w:sz w:val="22"/>
          <w:szCs w:val="22"/>
          <w:lang w:val="fr-FR"/>
        </w:rPr>
        <w:t>(</w:t>
      </w:r>
      <w:r w:rsidR="0056050F" w:rsidRPr="005D062F">
        <w:rPr>
          <w:sz w:val="22"/>
          <w:szCs w:val="22"/>
          <w:lang w:val="fr-FR"/>
        </w:rPr>
        <w:t>un programme d’accélération des affaires d’une durée de huit semaines</w:t>
      </w:r>
      <w:r w:rsidR="003C2BE7" w:rsidRPr="005D062F">
        <w:rPr>
          <w:sz w:val="22"/>
          <w:szCs w:val="22"/>
          <w:lang w:val="fr-FR"/>
        </w:rPr>
        <w:t>)</w:t>
      </w:r>
      <w:r w:rsidRPr="005D062F">
        <w:rPr>
          <w:sz w:val="22"/>
          <w:szCs w:val="22"/>
          <w:lang w:val="fr-FR"/>
        </w:rPr>
        <w:t xml:space="preserve"> </w:t>
      </w:r>
      <w:r w:rsidR="0056050F" w:rsidRPr="005D062F">
        <w:rPr>
          <w:sz w:val="22"/>
          <w:szCs w:val="22"/>
          <w:lang w:val="fr-FR"/>
        </w:rPr>
        <w:t xml:space="preserve">suite à </w:t>
      </w:r>
      <w:r w:rsidR="00777297" w:rsidRPr="005D062F">
        <w:rPr>
          <w:sz w:val="22"/>
          <w:szCs w:val="22"/>
          <w:lang w:val="fr-FR"/>
        </w:rPr>
        <w:t xml:space="preserve">sa </w:t>
      </w:r>
      <w:r w:rsidR="00DD5BE0" w:rsidRPr="005D062F">
        <w:rPr>
          <w:sz w:val="22"/>
          <w:szCs w:val="22"/>
          <w:lang w:val="fr-FR"/>
        </w:rPr>
        <w:t>contribut</w:t>
      </w:r>
      <w:r w:rsidR="0056050F" w:rsidRPr="005D062F">
        <w:rPr>
          <w:sz w:val="22"/>
          <w:szCs w:val="22"/>
          <w:lang w:val="fr-FR"/>
        </w:rPr>
        <w:t>ion à l’</w:t>
      </w:r>
      <w:r w:rsidRPr="005D062F">
        <w:rPr>
          <w:sz w:val="22"/>
          <w:szCs w:val="22"/>
          <w:lang w:val="fr-FR"/>
        </w:rPr>
        <w:t xml:space="preserve">ACE Colorado. </w:t>
      </w:r>
    </w:p>
    <w:p w14:paraId="15F5DA16" w14:textId="77777777" w:rsidR="003C2BE7" w:rsidRPr="005D062F" w:rsidRDefault="003C2BE7" w:rsidP="00CB030B">
      <w:pPr>
        <w:contextualSpacing/>
        <w:jc w:val="both"/>
        <w:rPr>
          <w:rFonts w:ascii="Times New Roman" w:eastAsia="Cambria" w:hAnsi="Times New Roman" w:cs="Times New Roman"/>
          <w:color w:val="000000" w:themeColor="text1"/>
          <w:sz w:val="22"/>
          <w:szCs w:val="22"/>
          <w:lang w:val="fr-FR"/>
        </w:rPr>
      </w:pPr>
    </w:p>
    <w:p w14:paraId="19D97CBA" w14:textId="489D445E" w:rsidR="00ED78BF" w:rsidRPr="005D062F" w:rsidRDefault="00ED78BF" w:rsidP="00CB030B">
      <w:pPr>
        <w:ind w:firstLine="720"/>
        <w:contextualSpacing/>
        <w:jc w:val="both"/>
        <w:rPr>
          <w:rFonts w:ascii="Times New Roman" w:eastAsia="Cambria" w:hAnsi="Times New Roman" w:cs="Times New Roman"/>
          <w:b/>
          <w:bCs/>
          <w:iCs/>
          <w:color w:val="000000" w:themeColor="text1"/>
          <w:sz w:val="22"/>
          <w:szCs w:val="22"/>
          <w:lang w:val="fr-FR"/>
        </w:rPr>
      </w:pPr>
      <w:bookmarkStart w:id="7" w:name="_Hlk87264737"/>
      <w:r w:rsidRPr="005D062F">
        <w:rPr>
          <w:rFonts w:ascii="Times New Roman" w:eastAsia="Cambria" w:hAnsi="Times New Roman" w:cs="Times New Roman"/>
          <w:b/>
          <w:bCs/>
          <w:iCs/>
          <w:color w:val="000000" w:themeColor="text1"/>
          <w:sz w:val="22"/>
          <w:szCs w:val="22"/>
          <w:lang w:val="fr-FR"/>
        </w:rPr>
        <w:t>Group</w:t>
      </w:r>
      <w:r w:rsidR="004A0D98" w:rsidRPr="005D062F">
        <w:rPr>
          <w:rFonts w:ascii="Times New Roman" w:eastAsia="Cambria" w:hAnsi="Times New Roman" w:cs="Times New Roman"/>
          <w:b/>
          <w:bCs/>
          <w:iCs/>
          <w:color w:val="000000" w:themeColor="text1"/>
          <w:sz w:val="22"/>
          <w:szCs w:val="22"/>
          <w:lang w:val="fr-FR"/>
        </w:rPr>
        <w:t>e d’e</w:t>
      </w:r>
      <w:r w:rsidRPr="005D062F">
        <w:rPr>
          <w:rFonts w:ascii="Times New Roman" w:eastAsia="Cambria" w:hAnsi="Times New Roman" w:cs="Times New Roman"/>
          <w:b/>
          <w:bCs/>
          <w:iCs/>
          <w:color w:val="000000" w:themeColor="text1"/>
          <w:sz w:val="22"/>
          <w:szCs w:val="22"/>
          <w:lang w:val="fr-FR"/>
        </w:rPr>
        <w:t xml:space="preserve">xperts </w:t>
      </w:r>
      <w:r w:rsidR="004A0D98" w:rsidRPr="005D062F">
        <w:rPr>
          <w:rFonts w:ascii="Times New Roman" w:eastAsia="Cambria" w:hAnsi="Times New Roman" w:cs="Times New Roman"/>
          <w:b/>
          <w:bCs/>
          <w:iCs/>
          <w:color w:val="000000" w:themeColor="text1"/>
          <w:sz w:val="22"/>
          <w:szCs w:val="22"/>
          <w:lang w:val="fr-FR"/>
        </w:rPr>
        <w:t>en matière de compétitivité infra</w:t>
      </w:r>
      <w:r w:rsidRPr="005D062F">
        <w:rPr>
          <w:rFonts w:ascii="Times New Roman" w:eastAsia="Cambria" w:hAnsi="Times New Roman" w:cs="Times New Roman"/>
          <w:b/>
          <w:bCs/>
          <w:iCs/>
          <w:color w:val="000000" w:themeColor="text1"/>
          <w:sz w:val="22"/>
          <w:szCs w:val="22"/>
          <w:lang w:val="fr-FR"/>
        </w:rPr>
        <w:t>national</w:t>
      </w:r>
      <w:r w:rsidR="004A0D98" w:rsidRPr="005D062F">
        <w:rPr>
          <w:rFonts w:ascii="Times New Roman" w:eastAsia="Cambria" w:hAnsi="Times New Roman" w:cs="Times New Roman"/>
          <w:b/>
          <w:bCs/>
          <w:iCs/>
          <w:color w:val="000000" w:themeColor="text1"/>
          <w:sz w:val="22"/>
          <w:szCs w:val="22"/>
          <w:lang w:val="fr-FR"/>
        </w:rPr>
        <w:t>e</w:t>
      </w:r>
      <w:r w:rsidRPr="005D062F">
        <w:rPr>
          <w:rFonts w:ascii="Times New Roman" w:eastAsia="Cambria" w:hAnsi="Times New Roman" w:cs="Times New Roman"/>
          <w:b/>
          <w:bCs/>
          <w:iCs/>
          <w:color w:val="000000" w:themeColor="text1"/>
          <w:sz w:val="22"/>
          <w:szCs w:val="22"/>
          <w:lang w:val="fr-FR"/>
        </w:rPr>
        <w:t xml:space="preserve"> </w:t>
      </w:r>
    </w:p>
    <w:p w14:paraId="4792AEDB" w14:textId="77777777" w:rsidR="00ED78BF" w:rsidRPr="005D062F" w:rsidRDefault="00ED78BF" w:rsidP="00723DAD">
      <w:pPr>
        <w:rPr>
          <w:rFonts w:ascii="Times New Roman" w:eastAsia="Cambria" w:hAnsi="Times New Roman" w:cs="Times New Roman"/>
          <w:bCs/>
          <w:color w:val="000000" w:themeColor="text1"/>
          <w:sz w:val="22"/>
          <w:szCs w:val="22"/>
          <w:lang w:val="fr-FR"/>
        </w:rPr>
      </w:pPr>
    </w:p>
    <w:p w14:paraId="614AE5BE" w14:textId="549BC7C9" w:rsidR="00ED78BF" w:rsidRPr="005D062F" w:rsidRDefault="00ED78BF" w:rsidP="00CB030B">
      <w:pPr>
        <w:pStyle w:val="ListParagraph"/>
        <w:numPr>
          <w:ilvl w:val="0"/>
          <w:numId w:val="9"/>
        </w:numPr>
        <w:ind w:left="1440" w:hanging="720"/>
        <w:contextualSpacing/>
        <w:jc w:val="both"/>
        <w:rPr>
          <w:color w:val="000000" w:themeColor="text1"/>
          <w:sz w:val="22"/>
          <w:szCs w:val="22"/>
          <w:bdr w:val="none" w:sz="0" w:space="0" w:color="auto" w:frame="1"/>
          <w:shd w:val="clear" w:color="auto" w:fill="FFFFFF"/>
          <w:lang w:val="fr-FR"/>
        </w:rPr>
      </w:pPr>
      <w:r w:rsidRPr="005D062F">
        <w:rPr>
          <w:color w:val="000000" w:themeColor="text1"/>
          <w:sz w:val="22"/>
          <w:szCs w:val="22"/>
          <w:bdr w:val="none" w:sz="0" w:space="0" w:color="auto" w:frame="1"/>
          <w:shd w:val="clear" w:color="auto" w:fill="FFFFFF"/>
          <w:lang w:val="fr-FR"/>
        </w:rPr>
        <w:t>D</w:t>
      </w:r>
      <w:r w:rsidR="005824B3" w:rsidRPr="005D062F">
        <w:rPr>
          <w:color w:val="000000" w:themeColor="text1"/>
          <w:sz w:val="22"/>
          <w:szCs w:val="22"/>
          <w:bdr w:val="none" w:sz="0" w:space="0" w:color="auto" w:frame="1"/>
          <w:shd w:val="clear" w:color="auto" w:fill="FFFFFF"/>
          <w:lang w:val="fr-FR"/>
        </w:rPr>
        <w:t>ix bonnes pratiques et directives visant à promouvoir la transformation numérique ont été recensées et</w:t>
      </w:r>
      <w:r w:rsidR="005824B3" w:rsidRPr="005D062F">
        <w:rPr>
          <w:rFonts w:eastAsia="Times New Roman"/>
          <w:color w:val="000000"/>
          <w:sz w:val="22"/>
          <w:szCs w:val="22"/>
          <w:lang w:val="fr-FR"/>
        </w:rPr>
        <w:t xml:space="preserve"> partagées</w:t>
      </w:r>
      <w:r w:rsidR="000760CB" w:rsidRPr="005D062F">
        <w:rPr>
          <w:rFonts w:eastAsia="Times New Roman"/>
          <w:color w:val="000000"/>
          <w:sz w:val="22"/>
          <w:szCs w:val="22"/>
          <w:lang w:val="fr-FR"/>
        </w:rPr>
        <w:t>,</w:t>
      </w:r>
      <w:r w:rsidR="00777297" w:rsidRPr="005D062F">
        <w:rPr>
          <w:rFonts w:eastAsia="Times New Roman"/>
          <w:color w:val="000000"/>
          <w:sz w:val="22"/>
          <w:szCs w:val="22"/>
          <w:lang w:val="fr-FR"/>
        </w:rPr>
        <w:t xml:space="preserve"> par l’</w:t>
      </w:r>
      <w:r w:rsidR="005824B3" w:rsidRPr="005D062F">
        <w:rPr>
          <w:rFonts w:eastAsia="Times New Roman"/>
          <w:color w:val="000000"/>
          <w:sz w:val="22"/>
          <w:szCs w:val="22"/>
          <w:lang w:val="fr-FR"/>
        </w:rPr>
        <w:t>intermédiaire du Groupe de travail sur les indicateurs et du Groupe de travail sur les permis de construire</w:t>
      </w:r>
      <w:r w:rsidR="000760CB" w:rsidRPr="005D062F">
        <w:rPr>
          <w:rFonts w:eastAsia="Times New Roman"/>
          <w:color w:val="000000"/>
          <w:sz w:val="22"/>
          <w:szCs w:val="22"/>
          <w:lang w:val="fr-FR"/>
        </w:rPr>
        <w:t>,</w:t>
      </w:r>
      <w:r w:rsidRPr="005D062F">
        <w:rPr>
          <w:color w:val="000000" w:themeColor="text1"/>
          <w:sz w:val="22"/>
          <w:szCs w:val="22"/>
          <w:bdr w:val="none" w:sz="0" w:space="0" w:color="auto" w:frame="1"/>
          <w:shd w:val="clear" w:color="auto" w:fill="FFFFFF"/>
          <w:lang w:val="fr-FR"/>
        </w:rPr>
        <w:t xml:space="preserve"> </w:t>
      </w:r>
      <w:r w:rsidR="005824B3" w:rsidRPr="005D062F">
        <w:rPr>
          <w:color w:val="000000" w:themeColor="text1"/>
          <w:sz w:val="22"/>
          <w:szCs w:val="22"/>
          <w:bdr w:val="none" w:sz="0" w:space="0" w:color="auto" w:frame="1"/>
          <w:shd w:val="clear" w:color="auto" w:fill="FFFFFF"/>
          <w:lang w:val="fr-FR"/>
        </w:rPr>
        <w:t>entre les parties prenantes dans les États membres de l’OEA</w:t>
      </w:r>
      <w:r w:rsidRPr="005D062F">
        <w:rPr>
          <w:color w:val="000000" w:themeColor="text1"/>
          <w:sz w:val="22"/>
          <w:szCs w:val="22"/>
          <w:bdr w:val="none" w:sz="0" w:space="0" w:color="auto" w:frame="1"/>
          <w:shd w:val="clear" w:color="auto" w:fill="FFFFFF"/>
          <w:lang w:val="fr-FR"/>
        </w:rPr>
        <w:t>.</w:t>
      </w:r>
    </w:p>
    <w:p w14:paraId="115C903B" w14:textId="77777777" w:rsidR="00ED78BF" w:rsidRPr="005D062F" w:rsidRDefault="00ED78BF" w:rsidP="00723DAD">
      <w:pPr>
        <w:rPr>
          <w:rFonts w:ascii="Times New Roman" w:hAnsi="Times New Roman" w:cs="Times New Roman"/>
          <w:color w:val="000000" w:themeColor="text1"/>
          <w:sz w:val="22"/>
          <w:szCs w:val="22"/>
          <w:bdr w:val="none" w:sz="0" w:space="0" w:color="auto" w:frame="1"/>
          <w:shd w:val="clear" w:color="auto" w:fill="FFFFFF"/>
          <w:lang w:val="fr-FR"/>
        </w:rPr>
      </w:pPr>
    </w:p>
    <w:p w14:paraId="2715D19F" w14:textId="42A14A1A" w:rsidR="00ED78BF" w:rsidRPr="005D062F" w:rsidRDefault="000760CB" w:rsidP="00CB030B">
      <w:pPr>
        <w:pStyle w:val="ListParagraph"/>
        <w:numPr>
          <w:ilvl w:val="0"/>
          <w:numId w:val="9"/>
        </w:numPr>
        <w:ind w:left="1440" w:hanging="720"/>
        <w:contextualSpacing/>
        <w:jc w:val="both"/>
        <w:rPr>
          <w:color w:val="000000" w:themeColor="text1"/>
          <w:sz w:val="22"/>
          <w:szCs w:val="22"/>
          <w:bdr w:val="none" w:sz="0" w:space="0" w:color="auto" w:frame="1"/>
          <w:shd w:val="clear" w:color="auto" w:fill="FFFFFF"/>
          <w:lang w:val="fr-FR"/>
        </w:rPr>
      </w:pPr>
      <w:r w:rsidRPr="005D062F">
        <w:rPr>
          <w:color w:val="000000" w:themeColor="text1"/>
          <w:sz w:val="22"/>
          <w:szCs w:val="22"/>
          <w:bdr w:val="none" w:sz="0" w:space="0" w:color="auto" w:frame="1"/>
          <w:shd w:val="clear" w:color="auto" w:fill="FFFFFF"/>
          <w:lang w:val="fr-FR"/>
        </w:rPr>
        <w:t xml:space="preserve">L’Université catholique d’Uruguay a élaboré et mis en œuvre, en collaboration avec l’Université catholique pontificale du </w:t>
      </w:r>
      <w:r w:rsidR="00151146" w:rsidRPr="005D062F">
        <w:rPr>
          <w:color w:val="000000" w:themeColor="text1"/>
          <w:sz w:val="22"/>
          <w:szCs w:val="22"/>
          <w:bdr w:val="none" w:sz="0" w:space="0" w:color="auto" w:frame="1"/>
          <w:shd w:val="clear" w:color="auto" w:fill="FFFFFF"/>
          <w:lang w:val="fr-FR"/>
        </w:rPr>
        <w:t>Pérou</w:t>
      </w:r>
      <w:r w:rsidRPr="005D062F">
        <w:rPr>
          <w:color w:val="000000" w:themeColor="text1"/>
          <w:sz w:val="22"/>
          <w:szCs w:val="22"/>
          <w:bdr w:val="none" w:sz="0" w:space="0" w:color="auto" w:frame="1"/>
          <w:shd w:val="clear" w:color="auto" w:fill="FFFFFF"/>
          <w:lang w:val="fr-FR"/>
        </w:rPr>
        <w:t>, un c</w:t>
      </w:r>
      <w:r w:rsidR="00ED78BF" w:rsidRPr="005D062F">
        <w:rPr>
          <w:color w:val="000000" w:themeColor="text1"/>
          <w:sz w:val="22"/>
          <w:szCs w:val="22"/>
          <w:bdr w:val="none" w:sz="0" w:space="0" w:color="auto" w:frame="1"/>
          <w:shd w:val="clear" w:color="auto" w:fill="FFFFFF"/>
          <w:lang w:val="fr-FR"/>
        </w:rPr>
        <w:t>ours</w:t>
      </w:r>
      <w:r w:rsidRPr="005D062F">
        <w:rPr>
          <w:color w:val="000000" w:themeColor="text1"/>
          <w:sz w:val="22"/>
          <w:szCs w:val="22"/>
          <w:bdr w:val="none" w:sz="0" w:space="0" w:color="auto" w:frame="1"/>
          <w:shd w:val="clear" w:color="auto" w:fill="FFFFFF"/>
          <w:lang w:val="fr-FR"/>
        </w:rPr>
        <w:t xml:space="preserve"> international sur l</w:t>
      </w:r>
      <w:r w:rsidR="00ED78BF" w:rsidRPr="005D062F">
        <w:rPr>
          <w:color w:val="000000" w:themeColor="text1"/>
          <w:sz w:val="22"/>
          <w:szCs w:val="22"/>
          <w:bdr w:val="none" w:sz="0" w:space="0" w:color="auto" w:frame="1"/>
          <w:shd w:val="clear" w:color="auto" w:fill="FFFFFF"/>
          <w:lang w:val="fr-FR"/>
        </w:rPr>
        <w:t>e</w:t>
      </w:r>
      <w:r w:rsidRPr="005D062F">
        <w:rPr>
          <w:color w:val="000000" w:themeColor="text1"/>
          <w:sz w:val="22"/>
          <w:szCs w:val="22"/>
          <w:bdr w:val="none" w:sz="0" w:space="0" w:color="auto" w:frame="1"/>
          <w:shd w:val="clear" w:color="auto" w:fill="FFFFFF"/>
          <w:lang w:val="fr-FR"/>
        </w:rPr>
        <w:t>s indicateurs infranationaux et le progrès s</w:t>
      </w:r>
      <w:r w:rsidR="00ED78BF" w:rsidRPr="005D062F">
        <w:rPr>
          <w:color w:val="000000" w:themeColor="text1"/>
          <w:sz w:val="22"/>
          <w:szCs w:val="22"/>
          <w:bdr w:val="none" w:sz="0" w:space="0" w:color="auto" w:frame="1"/>
          <w:shd w:val="clear" w:color="auto" w:fill="FFFFFF"/>
          <w:lang w:val="fr-FR"/>
        </w:rPr>
        <w:t>ocial</w:t>
      </w:r>
      <w:r w:rsidRPr="005D062F">
        <w:rPr>
          <w:color w:val="000000" w:themeColor="text1"/>
          <w:sz w:val="22"/>
          <w:szCs w:val="22"/>
          <w:bdr w:val="none" w:sz="0" w:space="0" w:color="auto" w:frame="1"/>
          <w:shd w:val="clear" w:color="auto" w:fill="FFFFFF"/>
          <w:lang w:val="fr-FR"/>
        </w:rPr>
        <w:t xml:space="preserve"> à l’intention des parties prenantes, des décideurs en matière de compétitivité et des chercheurs des Amériques</w:t>
      </w:r>
      <w:r w:rsidR="00ED78BF" w:rsidRPr="005D062F">
        <w:rPr>
          <w:color w:val="000000" w:themeColor="text1"/>
          <w:sz w:val="22"/>
          <w:szCs w:val="22"/>
          <w:bdr w:val="none" w:sz="0" w:space="0" w:color="auto" w:frame="1"/>
          <w:shd w:val="clear" w:color="auto" w:fill="FFFFFF"/>
          <w:lang w:val="fr-FR"/>
        </w:rPr>
        <w:t xml:space="preserve">. </w:t>
      </w:r>
    </w:p>
    <w:bookmarkEnd w:id="7"/>
    <w:p w14:paraId="1F572860" w14:textId="63A048C2" w:rsidR="00ED78BF" w:rsidRPr="005D062F" w:rsidRDefault="00ED78BF" w:rsidP="00CB030B">
      <w:pPr>
        <w:contextualSpacing/>
        <w:jc w:val="both"/>
        <w:rPr>
          <w:rFonts w:ascii="Times New Roman" w:eastAsia="Cambria" w:hAnsi="Times New Roman" w:cs="Times New Roman"/>
          <w:color w:val="000000" w:themeColor="text1"/>
          <w:sz w:val="22"/>
          <w:szCs w:val="22"/>
          <w:lang w:val="fr-FR"/>
        </w:rPr>
      </w:pPr>
    </w:p>
    <w:p w14:paraId="79EF125C" w14:textId="1DDE1EC8" w:rsidR="00603D26" w:rsidRPr="002D4DF7" w:rsidRDefault="00C2663A" w:rsidP="002D4DF7">
      <w:pPr>
        <w:pStyle w:val="Heading2"/>
        <w:keepNext/>
      </w:pPr>
      <w:bookmarkStart w:id="8" w:name="_Toc124243400"/>
      <w:r w:rsidRPr="005D062F">
        <w:t>OBJECTIF</w:t>
      </w:r>
      <w:r w:rsidR="00ED78BF" w:rsidRPr="005D062F">
        <w:t xml:space="preserve"> 1.3</w:t>
      </w:r>
      <w:bookmarkEnd w:id="8"/>
    </w:p>
    <w:p w14:paraId="43BB0DAD" w14:textId="77777777" w:rsidR="0074320E" w:rsidRPr="005D062F" w:rsidRDefault="0074320E" w:rsidP="00BC7DB3">
      <w:pPr>
        <w:keepNext/>
        <w:contextualSpacing/>
        <w:jc w:val="both"/>
        <w:rPr>
          <w:rFonts w:ascii="Times New Roman" w:eastAsia="Cambria" w:hAnsi="Times New Roman" w:cs="Times New Roman"/>
          <w:b/>
          <w:bCs/>
          <w:color w:val="000000" w:themeColor="text1"/>
          <w:sz w:val="22"/>
          <w:szCs w:val="22"/>
          <w:u w:val="single"/>
          <w:lang w:val="fr-FR"/>
        </w:rPr>
      </w:pPr>
    </w:p>
    <w:p w14:paraId="6DB4B101" w14:textId="774C56D0" w:rsidR="00ED78BF" w:rsidRPr="005D062F" w:rsidRDefault="002301E9" w:rsidP="00CB030B">
      <w:pPr>
        <w:ind w:firstLine="720"/>
        <w:contextualSpacing/>
        <w:jc w:val="both"/>
        <w:rPr>
          <w:rFonts w:ascii="Times New Roman" w:eastAsia="Cambria" w:hAnsi="Times New Roman" w:cs="Times New Roman"/>
          <w:color w:val="000000" w:themeColor="text1"/>
          <w:sz w:val="22"/>
          <w:szCs w:val="22"/>
          <w:lang w:val="fr-FR"/>
        </w:rPr>
      </w:pPr>
      <w:r w:rsidRPr="005D062F">
        <w:rPr>
          <w:rFonts w:ascii="Times New Roman" w:eastAsia="Times New Roman" w:hAnsi="Times New Roman" w:cs="Times New Roman"/>
          <w:color w:val="000000"/>
          <w:sz w:val="22"/>
          <w:szCs w:val="22"/>
          <w:lang w:val="fr-FR"/>
        </w:rPr>
        <w:t xml:space="preserve">Intensifier la coopération en vue </w:t>
      </w:r>
      <w:r w:rsidR="00777297" w:rsidRPr="005D062F">
        <w:rPr>
          <w:rFonts w:ascii="Times New Roman" w:eastAsia="Times New Roman" w:hAnsi="Times New Roman" w:cs="Times New Roman"/>
          <w:color w:val="000000"/>
          <w:sz w:val="22"/>
          <w:szCs w:val="22"/>
          <w:lang w:val="fr-FR"/>
        </w:rPr>
        <w:t xml:space="preserve">de </w:t>
      </w:r>
      <w:r w:rsidRPr="005D062F">
        <w:rPr>
          <w:rFonts w:ascii="Times New Roman" w:eastAsia="Times New Roman" w:hAnsi="Times New Roman" w:cs="Times New Roman"/>
          <w:color w:val="000000"/>
          <w:sz w:val="22"/>
          <w:szCs w:val="22"/>
          <w:lang w:val="fr-FR"/>
        </w:rPr>
        <w:t>renforcer les capacités des institutions des États membres à assimiler l’innovation et les technologies transformatrices afin d’apporter une valeur ajoutée et de diversifier leurs économies de manière durable et inclusive</w:t>
      </w:r>
      <w:r w:rsidR="00ED78BF" w:rsidRPr="005D062F">
        <w:rPr>
          <w:rFonts w:ascii="Times New Roman" w:eastAsia="Cambria" w:hAnsi="Times New Roman" w:cs="Times New Roman"/>
          <w:color w:val="000000" w:themeColor="text1"/>
          <w:sz w:val="22"/>
          <w:szCs w:val="22"/>
          <w:lang w:val="fr-FR"/>
        </w:rPr>
        <w:t>.</w:t>
      </w:r>
    </w:p>
    <w:p w14:paraId="47F7742A" w14:textId="77777777" w:rsidR="00ED78BF" w:rsidRPr="005D062F" w:rsidRDefault="00ED78BF" w:rsidP="00CB030B">
      <w:pPr>
        <w:jc w:val="both"/>
        <w:rPr>
          <w:rFonts w:ascii="Times New Roman" w:hAnsi="Times New Roman" w:cs="Times New Roman"/>
          <w:b/>
          <w:bCs/>
          <w:color w:val="000000" w:themeColor="text1"/>
          <w:sz w:val="22"/>
          <w:szCs w:val="22"/>
          <w:lang w:val="fr-FR"/>
        </w:rPr>
      </w:pPr>
    </w:p>
    <w:p w14:paraId="7B305262" w14:textId="2526B08F" w:rsidR="00ED78BF" w:rsidRPr="005D062F" w:rsidRDefault="00ED78BF" w:rsidP="00CB030B">
      <w:pPr>
        <w:ind w:left="1440" w:hanging="720"/>
        <w:jc w:val="both"/>
        <w:rPr>
          <w:rFonts w:ascii="Times New Roman" w:hAnsi="Times New Roman" w:cs="Times New Roman"/>
          <w:b/>
          <w:bCs/>
          <w:color w:val="000000" w:themeColor="text1"/>
          <w:sz w:val="22"/>
          <w:szCs w:val="22"/>
          <w:lang w:val="fr-FR"/>
        </w:rPr>
      </w:pPr>
      <w:r w:rsidRPr="005D062F">
        <w:rPr>
          <w:rFonts w:ascii="Times New Roman" w:hAnsi="Times New Roman" w:cs="Times New Roman"/>
          <w:b/>
          <w:bCs/>
          <w:color w:val="000000" w:themeColor="text1"/>
          <w:sz w:val="22"/>
          <w:szCs w:val="22"/>
          <w:lang w:val="fr-FR"/>
        </w:rPr>
        <w:t xml:space="preserve">Science, </w:t>
      </w:r>
      <w:r w:rsidR="002301E9" w:rsidRPr="005D062F">
        <w:rPr>
          <w:rFonts w:ascii="Times New Roman" w:eastAsia="Times New Roman" w:hAnsi="Times New Roman" w:cs="Times New Roman"/>
          <w:b/>
          <w:color w:val="000000"/>
          <w:sz w:val="22"/>
          <w:szCs w:val="22"/>
          <w:lang w:val="fr-FR"/>
        </w:rPr>
        <w:t xml:space="preserve">technologie et </w:t>
      </w:r>
      <w:r w:rsidR="002301E9" w:rsidRPr="005D062F">
        <w:rPr>
          <w:rFonts w:ascii="Times New Roman" w:hAnsi="Times New Roman" w:cs="Times New Roman"/>
          <w:b/>
          <w:bCs/>
          <w:color w:val="000000" w:themeColor="text1"/>
          <w:sz w:val="22"/>
          <w:szCs w:val="22"/>
          <w:lang w:val="fr-FR"/>
        </w:rPr>
        <w:t>i</w:t>
      </w:r>
      <w:r w:rsidRPr="005D062F">
        <w:rPr>
          <w:rFonts w:ascii="Times New Roman" w:hAnsi="Times New Roman" w:cs="Times New Roman"/>
          <w:b/>
          <w:bCs/>
          <w:color w:val="000000" w:themeColor="text1"/>
          <w:sz w:val="22"/>
          <w:szCs w:val="22"/>
          <w:lang w:val="fr-FR"/>
        </w:rPr>
        <w:t>nnovation (STI)</w:t>
      </w:r>
    </w:p>
    <w:p w14:paraId="07D585B9" w14:textId="77777777" w:rsidR="00ED78BF" w:rsidRPr="005D062F" w:rsidRDefault="00ED78BF" w:rsidP="00723DAD">
      <w:pPr>
        <w:rPr>
          <w:rFonts w:ascii="Times New Roman" w:hAnsi="Times New Roman" w:cs="Times New Roman"/>
          <w:color w:val="000000" w:themeColor="text1"/>
          <w:sz w:val="22"/>
          <w:szCs w:val="22"/>
          <w:lang w:val="fr-FR"/>
        </w:rPr>
      </w:pPr>
    </w:p>
    <w:p w14:paraId="2577B119" w14:textId="4FEA33FC" w:rsidR="00ED78BF" w:rsidRPr="005D062F" w:rsidRDefault="002301E9" w:rsidP="00CB030B">
      <w:pPr>
        <w:pStyle w:val="ListParagraph"/>
        <w:numPr>
          <w:ilvl w:val="0"/>
          <w:numId w:val="10"/>
        </w:numPr>
        <w:ind w:left="1440" w:hanging="720"/>
        <w:contextualSpacing/>
        <w:jc w:val="both"/>
        <w:rPr>
          <w:color w:val="000000" w:themeColor="text1"/>
          <w:sz w:val="22"/>
          <w:szCs w:val="22"/>
          <w:lang w:val="fr-FR"/>
        </w:rPr>
      </w:pPr>
      <w:r w:rsidRPr="005D062F">
        <w:rPr>
          <w:color w:val="000000" w:themeColor="text1"/>
          <w:sz w:val="22"/>
          <w:szCs w:val="22"/>
          <w:lang w:val="fr-FR"/>
        </w:rPr>
        <w:t>Au cours de la période couverte par le présent rapport</w:t>
      </w:r>
      <w:r w:rsidR="00ED78BF" w:rsidRPr="005D062F">
        <w:rPr>
          <w:color w:val="000000" w:themeColor="text1"/>
          <w:sz w:val="22"/>
          <w:szCs w:val="22"/>
          <w:lang w:val="fr-FR"/>
        </w:rPr>
        <w:t xml:space="preserve">, </w:t>
      </w:r>
      <w:r w:rsidRPr="005D062F">
        <w:rPr>
          <w:color w:val="000000" w:themeColor="text1"/>
          <w:sz w:val="22"/>
          <w:szCs w:val="22"/>
          <w:lang w:val="fr-FR"/>
        </w:rPr>
        <w:t xml:space="preserve">le Bureau de la </w:t>
      </w:r>
      <w:r w:rsidR="00C9711E" w:rsidRPr="005D062F">
        <w:rPr>
          <w:color w:val="000000" w:themeColor="text1"/>
          <w:sz w:val="22"/>
          <w:szCs w:val="22"/>
          <w:lang w:val="fr-FR"/>
        </w:rPr>
        <w:t xml:space="preserve">COMCYT </w:t>
      </w:r>
      <w:r w:rsidRPr="005D062F">
        <w:rPr>
          <w:color w:val="000000" w:themeColor="text1"/>
          <w:sz w:val="22"/>
          <w:szCs w:val="22"/>
          <w:lang w:val="fr-FR"/>
        </w:rPr>
        <w:t xml:space="preserve">a été élu lors de la réunion </w:t>
      </w:r>
      <w:r w:rsidR="00454445" w:rsidRPr="005D062F">
        <w:rPr>
          <w:color w:val="000000" w:themeColor="text1"/>
          <w:sz w:val="22"/>
          <w:szCs w:val="22"/>
          <w:lang w:val="fr-FR"/>
        </w:rPr>
        <w:t>ordinaire du</w:t>
      </w:r>
      <w:r w:rsidR="00ED78BF" w:rsidRPr="005D062F">
        <w:rPr>
          <w:color w:val="000000" w:themeColor="text1"/>
          <w:sz w:val="22"/>
          <w:szCs w:val="22"/>
          <w:lang w:val="fr-FR"/>
        </w:rPr>
        <w:t xml:space="preserve"> CIDI </w:t>
      </w:r>
      <w:r w:rsidR="00454445" w:rsidRPr="005D062F">
        <w:rPr>
          <w:color w:val="000000" w:themeColor="text1"/>
          <w:sz w:val="22"/>
          <w:szCs w:val="22"/>
          <w:lang w:val="fr-FR"/>
        </w:rPr>
        <w:t xml:space="preserve">du 30 août </w:t>
      </w:r>
      <w:r w:rsidR="00ED78BF" w:rsidRPr="005D062F">
        <w:rPr>
          <w:color w:val="000000" w:themeColor="text1"/>
          <w:sz w:val="22"/>
          <w:szCs w:val="22"/>
          <w:lang w:val="fr-FR"/>
        </w:rPr>
        <w:t xml:space="preserve">2022. </w:t>
      </w:r>
      <w:r w:rsidR="00454445" w:rsidRPr="005D062F">
        <w:rPr>
          <w:color w:val="000000" w:themeColor="text1"/>
          <w:sz w:val="22"/>
          <w:szCs w:val="22"/>
          <w:lang w:val="fr-FR"/>
        </w:rPr>
        <w:t>L’</w:t>
      </w:r>
      <w:r w:rsidR="00ED78BF" w:rsidRPr="005D062F">
        <w:rPr>
          <w:color w:val="000000" w:themeColor="text1"/>
          <w:sz w:val="22"/>
          <w:szCs w:val="22"/>
          <w:lang w:val="fr-FR"/>
        </w:rPr>
        <w:t xml:space="preserve">Honorable Daryl Vaz, </w:t>
      </w:r>
      <w:r w:rsidR="00454445" w:rsidRPr="005D062F">
        <w:rPr>
          <w:color w:val="000000" w:themeColor="text1"/>
          <w:sz w:val="22"/>
          <w:szCs w:val="22"/>
          <w:lang w:val="fr-FR"/>
        </w:rPr>
        <w:t>m</w:t>
      </w:r>
      <w:r w:rsidR="00ED78BF" w:rsidRPr="005D062F">
        <w:rPr>
          <w:color w:val="000000" w:themeColor="text1"/>
          <w:sz w:val="22"/>
          <w:szCs w:val="22"/>
          <w:lang w:val="fr-FR"/>
        </w:rPr>
        <w:t>inist</w:t>
      </w:r>
      <w:r w:rsidR="00454445" w:rsidRPr="005D062F">
        <w:rPr>
          <w:color w:val="000000" w:themeColor="text1"/>
          <w:sz w:val="22"/>
          <w:szCs w:val="22"/>
          <w:lang w:val="fr-FR"/>
        </w:rPr>
        <w:t>re de la s</w:t>
      </w:r>
      <w:r w:rsidR="00ED78BF" w:rsidRPr="005D062F">
        <w:rPr>
          <w:color w:val="000000" w:themeColor="text1"/>
          <w:sz w:val="22"/>
          <w:szCs w:val="22"/>
          <w:lang w:val="fr-FR"/>
        </w:rPr>
        <w:t xml:space="preserve">cience, </w:t>
      </w:r>
      <w:r w:rsidR="00454445" w:rsidRPr="005D062F">
        <w:rPr>
          <w:color w:val="000000" w:themeColor="text1"/>
          <w:sz w:val="22"/>
          <w:szCs w:val="22"/>
          <w:lang w:val="fr-FR"/>
        </w:rPr>
        <w:t xml:space="preserve">de l’énergie et </w:t>
      </w:r>
      <w:r w:rsidR="00075C30" w:rsidRPr="005D062F">
        <w:rPr>
          <w:color w:val="000000" w:themeColor="text1"/>
          <w:sz w:val="22"/>
          <w:szCs w:val="22"/>
          <w:lang w:val="fr-FR"/>
        </w:rPr>
        <w:t xml:space="preserve">de </w:t>
      </w:r>
      <w:r w:rsidR="00454445" w:rsidRPr="005D062F">
        <w:rPr>
          <w:color w:val="000000" w:themeColor="text1"/>
          <w:sz w:val="22"/>
          <w:szCs w:val="22"/>
          <w:lang w:val="fr-FR"/>
        </w:rPr>
        <w:t>la t</w:t>
      </w:r>
      <w:r w:rsidR="00ED78BF" w:rsidRPr="005D062F">
        <w:rPr>
          <w:color w:val="000000" w:themeColor="text1"/>
          <w:sz w:val="22"/>
          <w:szCs w:val="22"/>
          <w:lang w:val="fr-FR"/>
        </w:rPr>
        <w:t>echnolog</w:t>
      </w:r>
      <w:r w:rsidR="00454445" w:rsidRPr="005D062F">
        <w:rPr>
          <w:color w:val="000000" w:themeColor="text1"/>
          <w:sz w:val="22"/>
          <w:szCs w:val="22"/>
          <w:lang w:val="fr-FR"/>
        </w:rPr>
        <w:t xml:space="preserve">ie de la Jamaïque a été élu président et le </w:t>
      </w:r>
      <w:r w:rsidR="00ED78BF" w:rsidRPr="005D062F">
        <w:rPr>
          <w:color w:val="000000" w:themeColor="text1"/>
          <w:sz w:val="22"/>
          <w:szCs w:val="22"/>
          <w:lang w:val="fr-FR"/>
        </w:rPr>
        <w:t>Dr. Benjamin Abelardo Marticorena Castillo, Pr</w:t>
      </w:r>
      <w:r w:rsidR="00454445" w:rsidRPr="005D062F">
        <w:rPr>
          <w:color w:val="000000" w:themeColor="text1"/>
          <w:sz w:val="22"/>
          <w:szCs w:val="22"/>
          <w:lang w:val="fr-FR"/>
        </w:rPr>
        <w:t>é</w:t>
      </w:r>
      <w:r w:rsidR="00ED78BF" w:rsidRPr="005D062F">
        <w:rPr>
          <w:color w:val="000000" w:themeColor="text1"/>
          <w:sz w:val="22"/>
          <w:szCs w:val="22"/>
          <w:lang w:val="fr-FR"/>
        </w:rPr>
        <w:t xml:space="preserve">sident </w:t>
      </w:r>
      <w:r w:rsidR="00454445" w:rsidRPr="005D062F">
        <w:rPr>
          <w:color w:val="000000" w:themeColor="text1"/>
          <w:sz w:val="22"/>
          <w:szCs w:val="22"/>
          <w:lang w:val="fr-FR"/>
        </w:rPr>
        <w:t>du</w:t>
      </w:r>
      <w:r w:rsidR="00ED78BF" w:rsidRPr="005D062F">
        <w:rPr>
          <w:color w:val="000000" w:themeColor="text1"/>
          <w:sz w:val="22"/>
          <w:szCs w:val="22"/>
          <w:lang w:val="fr-FR"/>
        </w:rPr>
        <w:t xml:space="preserve"> </w:t>
      </w:r>
      <w:r w:rsidR="00454445" w:rsidRPr="005D062F">
        <w:rPr>
          <w:color w:val="000000" w:themeColor="text1"/>
          <w:sz w:val="22"/>
          <w:szCs w:val="22"/>
          <w:lang w:val="fr-FR"/>
        </w:rPr>
        <w:t>Conse</w:t>
      </w:r>
      <w:r w:rsidR="00ED78BF" w:rsidRPr="005D062F">
        <w:rPr>
          <w:color w:val="000000" w:themeColor="text1"/>
          <w:sz w:val="22"/>
          <w:szCs w:val="22"/>
          <w:lang w:val="fr-FR"/>
        </w:rPr>
        <w:t>il</w:t>
      </w:r>
      <w:r w:rsidR="00454445" w:rsidRPr="005D062F">
        <w:rPr>
          <w:color w:val="000000" w:themeColor="text1"/>
          <w:sz w:val="22"/>
          <w:szCs w:val="22"/>
          <w:lang w:val="fr-FR"/>
        </w:rPr>
        <w:t xml:space="preserve"> national</w:t>
      </w:r>
      <w:r w:rsidR="00ED78BF" w:rsidRPr="005D062F">
        <w:rPr>
          <w:color w:val="000000" w:themeColor="text1"/>
          <w:sz w:val="22"/>
          <w:szCs w:val="22"/>
          <w:lang w:val="fr-FR"/>
        </w:rPr>
        <w:t xml:space="preserve"> </w:t>
      </w:r>
      <w:r w:rsidR="00454445" w:rsidRPr="005D062F">
        <w:rPr>
          <w:color w:val="000000" w:themeColor="text1"/>
          <w:sz w:val="22"/>
          <w:szCs w:val="22"/>
          <w:lang w:val="fr-FR"/>
        </w:rPr>
        <w:t>de la s</w:t>
      </w:r>
      <w:r w:rsidR="00ED78BF" w:rsidRPr="005D062F">
        <w:rPr>
          <w:color w:val="000000" w:themeColor="text1"/>
          <w:sz w:val="22"/>
          <w:szCs w:val="22"/>
          <w:lang w:val="fr-FR"/>
        </w:rPr>
        <w:t xml:space="preserve">cience, </w:t>
      </w:r>
      <w:r w:rsidR="00454445" w:rsidRPr="005D062F">
        <w:rPr>
          <w:color w:val="000000" w:themeColor="text1"/>
          <w:sz w:val="22"/>
          <w:szCs w:val="22"/>
          <w:lang w:val="fr-FR"/>
        </w:rPr>
        <w:t>de la t</w:t>
      </w:r>
      <w:r w:rsidR="00075C30" w:rsidRPr="005D062F">
        <w:rPr>
          <w:color w:val="000000" w:themeColor="text1"/>
          <w:sz w:val="22"/>
          <w:szCs w:val="22"/>
          <w:lang w:val="fr-FR"/>
        </w:rPr>
        <w:t>echnologie</w:t>
      </w:r>
      <w:r w:rsidR="00ED78BF" w:rsidRPr="005D062F">
        <w:rPr>
          <w:color w:val="000000" w:themeColor="text1"/>
          <w:sz w:val="22"/>
          <w:szCs w:val="22"/>
          <w:lang w:val="fr-FR"/>
        </w:rPr>
        <w:t xml:space="preserve"> </w:t>
      </w:r>
      <w:r w:rsidR="00454445" w:rsidRPr="005D062F">
        <w:rPr>
          <w:color w:val="000000" w:themeColor="text1"/>
          <w:sz w:val="22"/>
          <w:szCs w:val="22"/>
          <w:lang w:val="fr-FR"/>
        </w:rPr>
        <w:t>et de l’i</w:t>
      </w:r>
      <w:r w:rsidR="00ED78BF" w:rsidRPr="005D062F">
        <w:rPr>
          <w:color w:val="000000" w:themeColor="text1"/>
          <w:sz w:val="22"/>
          <w:szCs w:val="22"/>
          <w:lang w:val="fr-FR"/>
        </w:rPr>
        <w:t>nnovation</w:t>
      </w:r>
      <w:r w:rsidR="00454445" w:rsidRPr="005D062F">
        <w:rPr>
          <w:color w:val="000000" w:themeColor="text1"/>
          <w:sz w:val="22"/>
          <w:szCs w:val="22"/>
          <w:lang w:val="fr-FR"/>
        </w:rPr>
        <w:t xml:space="preserve"> technologique</w:t>
      </w:r>
      <w:r w:rsidR="00ED78BF" w:rsidRPr="005D062F">
        <w:rPr>
          <w:color w:val="000000" w:themeColor="text1"/>
          <w:sz w:val="22"/>
          <w:szCs w:val="22"/>
          <w:lang w:val="fr-FR"/>
        </w:rPr>
        <w:t xml:space="preserve"> (</w:t>
      </w:r>
      <w:r w:rsidR="003549D7" w:rsidRPr="005D062F">
        <w:rPr>
          <w:color w:val="000000" w:themeColor="text1"/>
          <w:sz w:val="22"/>
          <w:szCs w:val="22"/>
          <w:lang w:val="fr-FR"/>
        </w:rPr>
        <w:t>CONCYTEC</w:t>
      </w:r>
      <w:r w:rsidR="00ED78BF" w:rsidRPr="005D062F">
        <w:rPr>
          <w:color w:val="000000" w:themeColor="text1"/>
          <w:sz w:val="22"/>
          <w:szCs w:val="22"/>
          <w:lang w:val="fr-FR"/>
        </w:rPr>
        <w:t xml:space="preserve">) </w:t>
      </w:r>
      <w:r w:rsidR="00454445" w:rsidRPr="005D062F">
        <w:rPr>
          <w:color w:val="000000" w:themeColor="text1"/>
          <w:sz w:val="22"/>
          <w:szCs w:val="22"/>
          <w:lang w:val="fr-FR"/>
        </w:rPr>
        <w:t xml:space="preserve">du </w:t>
      </w:r>
      <w:r w:rsidR="00ED78BF" w:rsidRPr="005D062F">
        <w:rPr>
          <w:color w:val="000000" w:themeColor="text1"/>
          <w:sz w:val="22"/>
          <w:szCs w:val="22"/>
          <w:lang w:val="fr-FR"/>
        </w:rPr>
        <w:t>P</w:t>
      </w:r>
      <w:r w:rsidR="00454445" w:rsidRPr="005D062F">
        <w:rPr>
          <w:color w:val="000000" w:themeColor="text1"/>
          <w:sz w:val="22"/>
          <w:szCs w:val="22"/>
          <w:lang w:val="fr-FR"/>
        </w:rPr>
        <w:t>é</w:t>
      </w:r>
      <w:r w:rsidR="00ED78BF" w:rsidRPr="005D062F">
        <w:rPr>
          <w:color w:val="000000" w:themeColor="text1"/>
          <w:sz w:val="22"/>
          <w:szCs w:val="22"/>
          <w:lang w:val="fr-FR"/>
        </w:rPr>
        <w:t>r</w:t>
      </w:r>
      <w:r w:rsidR="00454445" w:rsidRPr="005D062F">
        <w:rPr>
          <w:color w:val="000000" w:themeColor="text1"/>
          <w:sz w:val="22"/>
          <w:szCs w:val="22"/>
          <w:lang w:val="fr-FR"/>
        </w:rPr>
        <w:t>o</w:t>
      </w:r>
      <w:r w:rsidR="00ED78BF" w:rsidRPr="005D062F">
        <w:rPr>
          <w:color w:val="000000" w:themeColor="text1"/>
          <w:sz w:val="22"/>
          <w:szCs w:val="22"/>
          <w:lang w:val="fr-FR"/>
        </w:rPr>
        <w:t xml:space="preserve">u, </w:t>
      </w:r>
      <w:r w:rsidR="00454445" w:rsidRPr="005D062F">
        <w:rPr>
          <w:color w:val="000000" w:themeColor="text1"/>
          <w:sz w:val="22"/>
          <w:szCs w:val="22"/>
          <w:lang w:val="fr-FR"/>
        </w:rPr>
        <w:t xml:space="preserve">ainsi que le </w:t>
      </w:r>
      <w:r w:rsidR="00ED78BF" w:rsidRPr="005D062F">
        <w:rPr>
          <w:color w:val="000000" w:themeColor="text1"/>
          <w:sz w:val="22"/>
          <w:szCs w:val="22"/>
          <w:lang w:val="fr-FR"/>
        </w:rPr>
        <w:t xml:space="preserve">Dr. Flavio Salazar Onfray, </w:t>
      </w:r>
      <w:r w:rsidR="00454445" w:rsidRPr="005D062F">
        <w:rPr>
          <w:color w:val="000000" w:themeColor="text1"/>
          <w:sz w:val="22"/>
          <w:szCs w:val="22"/>
          <w:lang w:val="fr-FR"/>
        </w:rPr>
        <w:t>ministre de la science, de la t</w:t>
      </w:r>
      <w:r w:rsidR="00ED78BF" w:rsidRPr="005D062F">
        <w:rPr>
          <w:color w:val="000000" w:themeColor="text1"/>
          <w:sz w:val="22"/>
          <w:szCs w:val="22"/>
          <w:lang w:val="fr-FR"/>
        </w:rPr>
        <w:t>echnolog</w:t>
      </w:r>
      <w:r w:rsidR="00454445" w:rsidRPr="005D062F">
        <w:rPr>
          <w:color w:val="000000" w:themeColor="text1"/>
          <w:sz w:val="22"/>
          <w:szCs w:val="22"/>
          <w:lang w:val="fr-FR"/>
        </w:rPr>
        <w:t>ie</w:t>
      </w:r>
      <w:r w:rsidR="00ED78BF" w:rsidRPr="005D062F">
        <w:rPr>
          <w:color w:val="000000" w:themeColor="text1"/>
          <w:sz w:val="22"/>
          <w:szCs w:val="22"/>
          <w:lang w:val="fr-FR"/>
        </w:rPr>
        <w:t xml:space="preserve">, </w:t>
      </w:r>
      <w:r w:rsidR="00454445" w:rsidRPr="005D062F">
        <w:rPr>
          <w:color w:val="000000" w:themeColor="text1"/>
          <w:sz w:val="22"/>
          <w:szCs w:val="22"/>
          <w:lang w:val="fr-FR"/>
        </w:rPr>
        <w:t>du savoir et de l’i</w:t>
      </w:r>
      <w:r w:rsidR="00ED78BF" w:rsidRPr="005D062F">
        <w:rPr>
          <w:color w:val="000000" w:themeColor="text1"/>
          <w:sz w:val="22"/>
          <w:szCs w:val="22"/>
          <w:lang w:val="fr-FR"/>
        </w:rPr>
        <w:t xml:space="preserve">nnovation </w:t>
      </w:r>
      <w:r w:rsidR="00454445" w:rsidRPr="005D062F">
        <w:rPr>
          <w:color w:val="000000" w:themeColor="text1"/>
          <w:sz w:val="22"/>
          <w:szCs w:val="22"/>
          <w:lang w:val="fr-FR"/>
        </w:rPr>
        <w:t>du</w:t>
      </w:r>
      <w:r w:rsidR="00ED78BF" w:rsidRPr="005D062F">
        <w:rPr>
          <w:color w:val="000000" w:themeColor="text1"/>
          <w:sz w:val="22"/>
          <w:szCs w:val="22"/>
          <w:lang w:val="fr-FR"/>
        </w:rPr>
        <w:t xml:space="preserve"> Chil</w:t>
      </w:r>
      <w:r w:rsidR="00454445" w:rsidRPr="005D062F">
        <w:rPr>
          <w:color w:val="000000" w:themeColor="text1"/>
          <w:sz w:val="22"/>
          <w:szCs w:val="22"/>
          <w:lang w:val="fr-FR"/>
        </w:rPr>
        <w:t>i</w:t>
      </w:r>
      <w:r w:rsidR="00075C30" w:rsidRPr="005D062F">
        <w:rPr>
          <w:color w:val="000000" w:themeColor="text1"/>
          <w:sz w:val="22"/>
          <w:szCs w:val="22"/>
          <w:lang w:val="fr-FR"/>
        </w:rPr>
        <w:t>,</w:t>
      </w:r>
      <w:r w:rsidR="00454445" w:rsidRPr="005D062F">
        <w:rPr>
          <w:color w:val="000000" w:themeColor="text1"/>
          <w:sz w:val="22"/>
          <w:szCs w:val="22"/>
          <w:lang w:val="fr-FR"/>
        </w:rPr>
        <w:t xml:space="preserve"> ont été élus vice-présidents</w:t>
      </w:r>
      <w:r w:rsidR="00ED78BF" w:rsidRPr="005D062F">
        <w:rPr>
          <w:color w:val="000000" w:themeColor="text1"/>
          <w:sz w:val="22"/>
          <w:szCs w:val="22"/>
          <w:lang w:val="fr-FR"/>
        </w:rPr>
        <w:t>.</w:t>
      </w:r>
    </w:p>
    <w:p w14:paraId="7BD1C9F8" w14:textId="77777777" w:rsidR="00ED78BF" w:rsidRPr="005D062F" w:rsidRDefault="00ED78BF" w:rsidP="00723DAD">
      <w:pPr>
        <w:rPr>
          <w:rFonts w:ascii="Times New Roman" w:hAnsi="Times New Roman" w:cs="Times New Roman"/>
          <w:color w:val="000000" w:themeColor="text1"/>
          <w:sz w:val="22"/>
          <w:szCs w:val="22"/>
          <w:lang w:val="fr-FR"/>
        </w:rPr>
      </w:pPr>
    </w:p>
    <w:p w14:paraId="3A3E30A5" w14:textId="45ACCFA2" w:rsidR="00ED78BF" w:rsidRPr="005D062F" w:rsidRDefault="00A056D1" w:rsidP="00CB030B">
      <w:pPr>
        <w:pStyle w:val="ListParagraph"/>
        <w:numPr>
          <w:ilvl w:val="0"/>
          <w:numId w:val="4"/>
        </w:numPr>
        <w:shd w:val="clear" w:color="auto" w:fill="FFFFFF"/>
        <w:ind w:left="1440" w:hanging="720"/>
        <w:jc w:val="both"/>
        <w:rPr>
          <w:color w:val="000000"/>
          <w:sz w:val="22"/>
          <w:szCs w:val="22"/>
          <w:lang w:val="fr-FR"/>
        </w:rPr>
      </w:pPr>
      <w:r w:rsidRPr="005D062F">
        <w:rPr>
          <w:color w:val="000000"/>
          <w:sz w:val="22"/>
          <w:szCs w:val="22"/>
          <w:lang w:val="fr-FR"/>
        </w:rPr>
        <w:t xml:space="preserve">Le Plan de travail de la </w:t>
      </w:r>
      <w:r w:rsidR="00ED78BF" w:rsidRPr="005D062F">
        <w:rPr>
          <w:color w:val="000000"/>
          <w:sz w:val="22"/>
          <w:szCs w:val="22"/>
          <w:lang w:val="fr-FR"/>
        </w:rPr>
        <w:t xml:space="preserve">COMCYT </w:t>
      </w:r>
      <w:r w:rsidRPr="005D062F">
        <w:rPr>
          <w:color w:val="000000"/>
          <w:sz w:val="22"/>
          <w:szCs w:val="22"/>
          <w:lang w:val="fr-FR"/>
        </w:rPr>
        <w:t>pour la période</w:t>
      </w:r>
      <w:r w:rsidR="00ED78BF" w:rsidRPr="005D062F">
        <w:rPr>
          <w:color w:val="000000"/>
          <w:sz w:val="22"/>
          <w:szCs w:val="22"/>
          <w:lang w:val="fr-FR"/>
        </w:rPr>
        <w:t xml:space="preserve"> 2022-2024</w:t>
      </w:r>
      <w:r w:rsidR="003549D7" w:rsidRPr="005D062F">
        <w:rPr>
          <w:color w:val="000000"/>
          <w:sz w:val="22"/>
          <w:szCs w:val="22"/>
          <w:lang w:val="fr-FR"/>
        </w:rPr>
        <w:t xml:space="preserve"> </w:t>
      </w:r>
      <w:r w:rsidRPr="005D062F">
        <w:rPr>
          <w:color w:val="000000"/>
          <w:sz w:val="22"/>
          <w:szCs w:val="22"/>
          <w:lang w:val="fr-FR"/>
        </w:rPr>
        <w:t xml:space="preserve">a été approuvé par le Bureau de la </w:t>
      </w:r>
      <w:r w:rsidR="00ED78BF" w:rsidRPr="005D062F">
        <w:rPr>
          <w:color w:val="000000"/>
          <w:sz w:val="22"/>
          <w:szCs w:val="22"/>
          <w:lang w:val="fr-FR"/>
        </w:rPr>
        <w:t>COMCYT</w:t>
      </w:r>
      <w:r w:rsidR="007322D4">
        <w:rPr>
          <w:color w:val="000000"/>
          <w:sz w:val="22"/>
          <w:szCs w:val="22"/>
          <w:lang w:val="fr-FR"/>
        </w:rPr>
        <w:t xml:space="preserve"> </w:t>
      </w:r>
      <w:r w:rsidRPr="005D062F">
        <w:rPr>
          <w:color w:val="000000"/>
          <w:sz w:val="22"/>
          <w:szCs w:val="22"/>
          <w:lang w:val="fr-FR"/>
        </w:rPr>
        <w:t>et la troïka lors de la réunion de planification des aut</w:t>
      </w:r>
      <w:r w:rsidR="00ED78BF" w:rsidRPr="005D062F">
        <w:rPr>
          <w:color w:val="000000"/>
          <w:sz w:val="22"/>
          <w:szCs w:val="22"/>
          <w:lang w:val="fr-FR"/>
        </w:rPr>
        <w:t>orit</w:t>
      </w:r>
      <w:r w:rsidRPr="005D062F">
        <w:rPr>
          <w:color w:val="000000"/>
          <w:sz w:val="22"/>
          <w:szCs w:val="22"/>
          <w:lang w:val="fr-FR"/>
        </w:rPr>
        <w:t>é</w:t>
      </w:r>
      <w:r w:rsidR="00ED78BF" w:rsidRPr="005D062F">
        <w:rPr>
          <w:color w:val="000000"/>
          <w:sz w:val="22"/>
          <w:szCs w:val="22"/>
          <w:lang w:val="fr-FR"/>
        </w:rPr>
        <w:t xml:space="preserve">s </w:t>
      </w:r>
      <w:r w:rsidRPr="005D062F">
        <w:rPr>
          <w:color w:val="000000"/>
          <w:sz w:val="22"/>
          <w:szCs w:val="22"/>
          <w:lang w:val="fr-FR"/>
        </w:rPr>
        <w:t>du p</w:t>
      </w:r>
      <w:r w:rsidR="00ED78BF" w:rsidRPr="005D062F">
        <w:rPr>
          <w:color w:val="000000"/>
          <w:sz w:val="22"/>
          <w:szCs w:val="22"/>
          <w:lang w:val="fr-FR"/>
        </w:rPr>
        <w:t>rocess</w:t>
      </w:r>
      <w:r w:rsidRPr="005D062F">
        <w:rPr>
          <w:color w:val="000000"/>
          <w:sz w:val="22"/>
          <w:szCs w:val="22"/>
          <w:lang w:val="fr-FR"/>
        </w:rPr>
        <w:t>us ministériel</w:t>
      </w:r>
      <w:r w:rsidR="00ED78BF" w:rsidRPr="005D062F">
        <w:rPr>
          <w:color w:val="000000"/>
          <w:sz w:val="22"/>
          <w:szCs w:val="22"/>
          <w:lang w:val="fr-FR"/>
        </w:rPr>
        <w:t xml:space="preserve"> </w:t>
      </w:r>
      <w:r w:rsidRPr="005D062F">
        <w:rPr>
          <w:color w:val="000000"/>
          <w:sz w:val="22"/>
          <w:szCs w:val="22"/>
          <w:lang w:val="fr-FR"/>
        </w:rPr>
        <w:t xml:space="preserve">du CIDI en matière de science et de technologie qui s’est tenue le </w:t>
      </w:r>
      <w:r w:rsidR="00ED78BF" w:rsidRPr="005D062F">
        <w:rPr>
          <w:color w:val="000000"/>
          <w:sz w:val="22"/>
          <w:szCs w:val="22"/>
          <w:lang w:val="fr-FR"/>
        </w:rPr>
        <w:t>2</w:t>
      </w:r>
      <w:r w:rsidRPr="005D062F">
        <w:rPr>
          <w:color w:val="000000"/>
          <w:sz w:val="22"/>
          <w:szCs w:val="22"/>
          <w:lang w:val="fr-FR"/>
        </w:rPr>
        <w:t xml:space="preserve"> novembre </w:t>
      </w:r>
      <w:r w:rsidR="00ED78BF" w:rsidRPr="005D062F">
        <w:rPr>
          <w:color w:val="000000"/>
          <w:sz w:val="22"/>
          <w:szCs w:val="22"/>
          <w:lang w:val="fr-FR"/>
        </w:rPr>
        <w:t>2022.</w:t>
      </w:r>
      <w:r w:rsidR="00A30900" w:rsidRPr="005D062F">
        <w:rPr>
          <w:color w:val="000000"/>
          <w:sz w:val="22"/>
          <w:szCs w:val="22"/>
          <w:lang w:val="fr-FR"/>
        </w:rPr>
        <w:t xml:space="preserve"> Ce plan établit une feuille de route pour la mise en œuvre des mandats énoncés dans la </w:t>
      </w:r>
      <w:r w:rsidR="00ED78BF" w:rsidRPr="005D062F">
        <w:rPr>
          <w:b/>
          <w:bCs/>
          <w:color w:val="000000"/>
          <w:sz w:val="22"/>
          <w:szCs w:val="22"/>
          <w:lang w:val="fr-FR"/>
        </w:rPr>
        <w:t>D</w:t>
      </w:r>
      <w:r w:rsidR="00A30900" w:rsidRPr="005D062F">
        <w:rPr>
          <w:b/>
          <w:bCs/>
          <w:color w:val="000000"/>
          <w:sz w:val="22"/>
          <w:szCs w:val="22"/>
          <w:lang w:val="fr-FR"/>
        </w:rPr>
        <w:t>é</w:t>
      </w:r>
      <w:r w:rsidR="00ED78BF" w:rsidRPr="005D062F">
        <w:rPr>
          <w:b/>
          <w:bCs/>
          <w:color w:val="000000"/>
          <w:sz w:val="22"/>
          <w:szCs w:val="22"/>
          <w:lang w:val="fr-FR"/>
        </w:rPr>
        <w:t xml:space="preserve">claration </w:t>
      </w:r>
      <w:r w:rsidR="00A30900" w:rsidRPr="005D062F">
        <w:rPr>
          <w:b/>
          <w:bCs/>
          <w:color w:val="000000"/>
          <w:sz w:val="22"/>
          <w:szCs w:val="22"/>
          <w:lang w:val="fr-FR"/>
        </w:rPr>
        <w:t>de la</w:t>
      </w:r>
      <w:r w:rsidR="00ED78BF" w:rsidRPr="005D062F">
        <w:rPr>
          <w:b/>
          <w:bCs/>
          <w:color w:val="000000"/>
          <w:sz w:val="22"/>
          <w:szCs w:val="22"/>
          <w:lang w:val="fr-FR"/>
        </w:rPr>
        <w:t xml:space="preserve"> Jama</w:t>
      </w:r>
      <w:r w:rsidR="00A30900" w:rsidRPr="005D062F">
        <w:rPr>
          <w:b/>
          <w:bCs/>
          <w:color w:val="000000"/>
          <w:sz w:val="22"/>
          <w:szCs w:val="22"/>
          <w:lang w:val="fr-FR"/>
        </w:rPr>
        <w:t>ïque </w:t>
      </w:r>
      <w:r w:rsidR="00A30900" w:rsidRPr="005D062F">
        <w:rPr>
          <w:color w:val="000000"/>
          <w:sz w:val="22"/>
          <w:szCs w:val="22"/>
          <w:lang w:val="fr-FR"/>
        </w:rPr>
        <w:t>« Mobiliser la puissance de la science et des technologies transformatrices pour faire avancer nos communautés »,</w:t>
      </w:r>
      <w:r w:rsidR="00ED78BF" w:rsidRPr="005D062F">
        <w:rPr>
          <w:color w:val="000000"/>
          <w:sz w:val="22"/>
          <w:szCs w:val="22"/>
          <w:lang w:val="fr-FR"/>
        </w:rPr>
        <w:t xml:space="preserve"> adopt</w:t>
      </w:r>
      <w:r w:rsidR="00A30900" w:rsidRPr="005D062F">
        <w:rPr>
          <w:color w:val="000000"/>
          <w:sz w:val="22"/>
          <w:szCs w:val="22"/>
          <w:lang w:val="fr-FR"/>
        </w:rPr>
        <w:t>ée lors de la Sixième Réunion des ministres et hauts fonctionnaires chargés de la science et de la technologie, q</w:t>
      </w:r>
      <w:r w:rsidR="00777297" w:rsidRPr="005D062F">
        <w:rPr>
          <w:color w:val="000000"/>
          <w:sz w:val="22"/>
          <w:szCs w:val="22"/>
          <w:lang w:val="fr-FR"/>
        </w:rPr>
        <w:t>ui s’</w:t>
      </w:r>
      <w:r w:rsidR="00185CEE" w:rsidRPr="005D062F">
        <w:rPr>
          <w:color w:val="000000"/>
          <w:sz w:val="22"/>
          <w:szCs w:val="22"/>
          <w:lang w:val="fr-FR"/>
        </w:rPr>
        <w:t xml:space="preserve">est tenue en mode virtuel </w:t>
      </w:r>
      <w:r w:rsidR="00A30900" w:rsidRPr="005D062F">
        <w:rPr>
          <w:color w:val="000000"/>
          <w:sz w:val="22"/>
          <w:szCs w:val="22"/>
          <w:lang w:val="fr-FR"/>
        </w:rPr>
        <w:t>les 7 et 8 décembre 2021</w:t>
      </w:r>
      <w:r w:rsidR="00ED78BF" w:rsidRPr="005D062F">
        <w:rPr>
          <w:color w:val="000000"/>
          <w:sz w:val="22"/>
          <w:szCs w:val="22"/>
          <w:lang w:val="fr-FR"/>
        </w:rPr>
        <w:t xml:space="preserve">. </w:t>
      </w:r>
      <w:r w:rsidR="00185CEE" w:rsidRPr="005D062F">
        <w:rPr>
          <w:color w:val="000000"/>
          <w:sz w:val="22"/>
          <w:szCs w:val="22"/>
          <w:lang w:val="fr-FR"/>
        </w:rPr>
        <w:t xml:space="preserve">Les principaux domaines d’action comprennent </w:t>
      </w:r>
      <w:r w:rsidR="00B20FDC" w:rsidRPr="005D062F">
        <w:rPr>
          <w:color w:val="000000"/>
          <w:sz w:val="22"/>
          <w:szCs w:val="22"/>
          <w:lang w:val="fr-FR"/>
        </w:rPr>
        <w:t>la réduction du déficit de compétences d</w:t>
      </w:r>
      <w:r w:rsidR="00777297" w:rsidRPr="005D062F">
        <w:rPr>
          <w:color w:val="000000"/>
          <w:sz w:val="22"/>
          <w:szCs w:val="22"/>
          <w:lang w:val="fr-FR"/>
        </w:rPr>
        <w:t>es jeunes et la préparation à l’</w:t>
      </w:r>
      <w:r w:rsidR="00B20FDC" w:rsidRPr="005D062F">
        <w:rPr>
          <w:color w:val="000000"/>
          <w:sz w:val="22"/>
          <w:szCs w:val="22"/>
          <w:lang w:val="fr-FR"/>
        </w:rPr>
        <w:t>industrie 4.0 ; la promotion de l</w:t>
      </w:r>
      <w:r w:rsidR="00777297" w:rsidRPr="005D062F">
        <w:rPr>
          <w:color w:val="000000"/>
          <w:sz w:val="22"/>
          <w:szCs w:val="22"/>
          <w:lang w:val="fr-FR"/>
        </w:rPr>
        <w:t>’</w:t>
      </w:r>
      <w:r w:rsidR="00B20FDC" w:rsidRPr="005D062F">
        <w:rPr>
          <w:color w:val="000000"/>
          <w:sz w:val="22"/>
          <w:szCs w:val="22"/>
          <w:lang w:val="fr-FR"/>
        </w:rPr>
        <w:t>inclusion des femmes, des communaut</w:t>
      </w:r>
      <w:r w:rsidR="00FC03D6" w:rsidRPr="005D062F">
        <w:rPr>
          <w:color w:val="000000"/>
          <w:sz w:val="22"/>
          <w:szCs w:val="22"/>
          <w:lang w:val="fr-FR"/>
        </w:rPr>
        <w:t>és rurales et autochtones, et d’</w:t>
      </w:r>
      <w:r w:rsidR="00B20FDC" w:rsidRPr="005D062F">
        <w:rPr>
          <w:color w:val="000000"/>
          <w:sz w:val="22"/>
          <w:szCs w:val="22"/>
          <w:lang w:val="fr-FR"/>
        </w:rPr>
        <w:t xml:space="preserve">autres populations en situation de vulnérabilité, dans le domaine de la science, de la technologie et de l’innovation (STI) ; la prospective technologique en tant que contribution aux décisions de politique publique ; et la collaboration entre le secteur public, le secteur privé et le monde universitaire dans le but d’améliorer la qualité de vie et de </w:t>
      </w:r>
      <w:r w:rsidR="00185CEE" w:rsidRPr="005D062F">
        <w:rPr>
          <w:color w:val="000000"/>
          <w:sz w:val="22"/>
          <w:szCs w:val="22"/>
          <w:lang w:val="fr-FR"/>
        </w:rPr>
        <w:t>renforcer</w:t>
      </w:r>
      <w:r w:rsidR="00B20FDC" w:rsidRPr="005D062F">
        <w:rPr>
          <w:color w:val="000000"/>
          <w:sz w:val="22"/>
          <w:szCs w:val="22"/>
          <w:lang w:val="fr-FR"/>
        </w:rPr>
        <w:t xml:space="preserve"> les MPME </w:t>
      </w:r>
      <w:r w:rsidR="00185CEE" w:rsidRPr="005D062F">
        <w:rPr>
          <w:color w:val="000000"/>
          <w:sz w:val="22"/>
          <w:szCs w:val="22"/>
          <w:lang w:val="fr-FR"/>
        </w:rPr>
        <w:t>grâce à la science, la technologie et l’innovation</w:t>
      </w:r>
      <w:r w:rsidR="00ED78BF" w:rsidRPr="005D062F">
        <w:rPr>
          <w:color w:val="000000"/>
          <w:sz w:val="22"/>
          <w:szCs w:val="22"/>
          <w:lang w:val="fr-FR"/>
        </w:rPr>
        <w:t>.</w:t>
      </w:r>
    </w:p>
    <w:p w14:paraId="7EDD0606" w14:textId="77777777" w:rsidR="00ED78BF" w:rsidRPr="005D062F" w:rsidRDefault="00ED78BF" w:rsidP="00723DAD">
      <w:pPr>
        <w:rPr>
          <w:rFonts w:ascii="Times New Roman" w:hAnsi="Times New Roman" w:cs="Times New Roman"/>
          <w:color w:val="000000" w:themeColor="text1"/>
          <w:sz w:val="22"/>
          <w:szCs w:val="22"/>
          <w:lang w:val="fr-FR"/>
        </w:rPr>
      </w:pPr>
    </w:p>
    <w:p w14:paraId="003D1D74" w14:textId="503B50F0" w:rsidR="00ED78BF" w:rsidRPr="005D062F" w:rsidRDefault="00E437C9" w:rsidP="00CB030B">
      <w:pPr>
        <w:numPr>
          <w:ilvl w:val="0"/>
          <w:numId w:val="4"/>
        </w:numPr>
        <w:ind w:left="1440" w:hanging="720"/>
        <w:contextualSpacing/>
        <w:jc w:val="both"/>
        <w:rPr>
          <w:rFonts w:ascii="Times New Roman" w:hAnsi="Times New Roman" w:cs="Times New Roman"/>
          <w:color w:val="000000" w:themeColor="text1"/>
          <w:sz w:val="22"/>
          <w:szCs w:val="22"/>
          <w:lang w:val="fr-FR"/>
        </w:rPr>
      </w:pPr>
      <w:r w:rsidRPr="005D062F">
        <w:rPr>
          <w:rFonts w:ascii="Times New Roman" w:hAnsi="Times New Roman" w:cs="Times New Roman"/>
          <w:color w:val="000000" w:themeColor="text1"/>
          <w:sz w:val="22"/>
          <w:szCs w:val="22"/>
          <w:lang w:val="fr-FR"/>
        </w:rPr>
        <w:t xml:space="preserve">Les 18 et </w:t>
      </w:r>
      <w:r w:rsidR="00ED78BF" w:rsidRPr="005D062F">
        <w:rPr>
          <w:rFonts w:ascii="Times New Roman" w:hAnsi="Times New Roman" w:cs="Times New Roman"/>
          <w:color w:val="000000" w:themeColor="text1"/>
          <w:sz w:val="22"/>
          <w:szCs w:val="22"/>
          <w:lang w:val="fr-FR"/>
        </w:rPr>
        <w:t>19</w:t>
      </w:r>
      <w:r w:rsidRPr="005D062F">
        <w:rPr>
          <w:rFonts w:ascii="Times New Roman" w:hAnsi="Times New Roman" w:cs="Times New Roman"/>
          <w:color w:val="000000" w:themeColor="text1"/>
          <w:sz w:val="22"/>
          <w:szCs w:val="22"/>
          <w:lang w:val="fr-FR"/>
        </w:rPr>
        <w:t xml:space="preserve"> mai </w:t>
      </w:r>
      <w:r w:rsidR="00ED78BF" w:rsidRPr="005D062F">
        <w:rPr>
          <w:rFonts w:ascii="Times New Roman" w:hAnsi="Times New Roman" w:cs="Times New Roman"/>
          <w:color w:val="000000" w:themeColor="text1"/>
          <w:sz w:val="22"/>
          <w:szCs w:val="22"/>
          <w:lang w:val="fr-FR"/>
        </w:rPr>
        <w:t xml:space="preserve">2022, </w:t>
      </w:r>
      <w:r w:rsidRPr="005D062F">
        <w:rPr>
          <w:rFonts w:ascii="Times New Roman" w:hAnsi="Times New Roman" w:cs="Times New Roman"/>
          <w:color w:val="000000" w:themeColor="text1"/>
          <w:sz w:val="22"/>
          <w:szCs w:val="22"/>
          <w:lang w:val="fr-FR"/>
        </w:rPr>
        <w:t>le séminaire international « </w:t>
      </w:r>
      <w:r w:rsidR="00ED78BF" w:rsidRPr="005D062F">
        <w:rPr>
          <w:rFonts w:ascii="Times New Roman" w:hAnsi="Times New Roman" w:cs="Times New Roman"/>
          <w:i/>
          <w:iCs/>
          <w:color w:val="000000" w:themeColor="text1"/>
          <w:sz w:val="22"/>
          <w:szCs w:val="22"/>
          <w:lang w:val="fr-FR"/>
        </w:rPr>
        <w:t>Prospecta Americas</w:t>
      </w:r>
      <w:r w:rsidRPr="005D062F">
        <w:rPr>
          <w:rFonts w:ascii="Times New Roman" w:hAnsi="Times New Roman" w:cs="Times New Roman"/>
          <w:i/>
          <w:iCs/>
          <w:color w:val="000000" w:themeColor="text1"/>
          <w:sz w:val="22"/>
          <w:szCs w:val="22"/>
          <w:lang w:val="fr-FR"/>
        </w:rPr>
        <w:t xml:space="preserve"> » </w:t>
      </w:r>
      <w:r w:rsidRPr="005D062F">
        <w:rPr>
          <w:rFonts w:ascii="Times New Roman" w:hAnsi="Times New Roman" w:cs="Times New Roman"/>
          <w:iCs/>
          <w:color w:val="000000" w:themeColor="text1"/>
          <w:sz w:val="22"/>
          <w:szCs w:val="22"/>
          <w:lang w:val="fr-FR"/>
        </w:rPr>
        <w:t>sur les</w:t>
      </w:r>
      <w:r w:rsidR="00ED78BF" w:rsidRPr="005D062F">
        <w:rPr>
          <w:rFonts w:ascii="Times New Roman" w:hAnsi="Times New Roman" w:cs="Times New Roman"/>
          <w:color w:val="000000" w:themeColor="text1"/>
          <w:sz w:val="22"/>
          <w:szCs w:val="22"/>
          <w:lang w:val="fr-FR"/>
        </w:rPr>
        <w:t xml:space="preserve"> technologies </w:t>
      </w:r>
      <w:r w:rsidRPr="005D062F">
        <w:rPr>
          <w:rFonts w:ascii="Times New Roman" w:hAnsi="Times New Roman" w:cs="Times New Roman"/>
          <w:color w:val="000000" w:themeColor="text1"/>
          <w:sz w:val="22"/>
          <w:szCs w:val="22"/>
          <w:lang w:val="fr-FR"/>
        </w:rPr>
        <w:t xml:space="preserve">transformatrices et leurs conséquences pour l’avenir économique, social et environnemental des Amériques s’est tenu </w:t>
      </w:r>
      <w:r w:rsidR="00B67832" w:rsidRPr="005D062F">
        <w:rPr>
          <w:rFonts w:ascii="Times New Roman" w:hAnsi="Times New Roman" w:cs="Times New Roman"/>
          <w:color w:val="000000" w:themeColor="text1"/>
          <w:sz w:val="22"/>
          <w:szCs w:val="22"/>
          <w:lang w:val="fr-FR"/>
        </w:rPr>
        <w:t>au sein</w:t>
      </w:r>
      <w:r w:rsidRPr="005D062F">
        <w:rPr>
          <w:rFonts w:ascii="Times New Roman" w:hAnsi="Times New Roman" w:cs="Times New Roman"/>
          <w:color w:val="000000" w:themeColor="text1"/>
          <w:sz w:val="22"/>
          <w:szCs w:val="22"/>
          <w:lang w:val="fr-FR"/>
        </w:rPr>
        <w:t xml:space="preserve"> de </w:t>
      </w:r>
      <w:r w:rsidR="00B67832" w:rsidRPr="005D062F">
        <w:rPr>
          <w:rFonts w:ascii="Times New Roman" w:hAnsi="Times New Roman" w:cs="Times New Roman"/>
          <w:color w:val="000000" w:themeColor="text1"/>
          <w:sz w:val="22"/>
          <w:szCs w:val="22"/>
          <w:lang w:val="fr-FR"/>
        </w:rPr>
        <w:t>COMCUY</w:t>
      </w:r>
      <w:r w:rsidR="00ED78BF" w:rsidRPr="005D062F">
        <w:rPr>
          <w:rFonts w:ascii="Times New Roman" w:hAnsi="Times New Roman" w:cs="Times New Roman"/>
          <w:color w:val="000000" w:themeColor="text1"/>
          <w:sz w:val="22"/>
          <w:szCs w:val="22"/>
          <w:lang w:val="fr-FR"/>
        </w:rPr>
        <w:t>.</w:t>
      </w:r>
      <w:r w:rsidR="003549D7" w:rsidRPr="005D062F">
        <w:rPr>
          <w:rFonts w:ascii="Times New Roman" w:hAnsi="Times New Roman" w:cs="Times New Roman"/>
          <w:color w:val="000000" w:themeColor="text1"/>
          <w:sz w:val="22"/>
          <w:szCs w:val="22"/>
          <w:lang w:val="fr-FR"/>
        </w:rPr>
        <w:t xml:space="preserve"> </w:t>
      </w:r>
      <w:r w:rsidR="00B67832" w:rsidRPr="005D062F">
        <w:rPr>
          <w:rFonts w:ascii="Times New Roman" w:hAnsi="Times New Roman" w:cs="Times New Roman"/>
          <w:color w:val="000000" w:themeColor="text1"/>
          <w:sz w:val="22"/>
          <w:szCs w:val="22"/>
          <w:lang w:val="fr-FR"/>
        </w:rPr>
        <w:t xml:space="preserve">Cet événement, qui s’est déroulé </w:t>
      </w:r>
      <w:r w:rsidR="00A26803" w:rsidRPr="005D062F">
        <w:rPr>
          <w:rFonts w:ascii="Times New Roman" w:hAnsi="Times New Roman" w:cs="Times New Roman"/>
          <w:color w:val="000000" w:themeColor="text1"/>
          <w:sz w:val="22"/>
          <w:szCs w:val="22"/>
          <w:lang w:val="fr-FR"/>
        </w:rPr>
        <w:t xml:space="preserve">au format hybride, </w:t>
      </w:r>
      <w:r w:rsidR="00B67832" w:rsidRPr="005D062F">
        <w:rPr>
          <w:rFonts w:ascii="Times New Roman" w:hAnsi="Times New Roman" w:cs="Times New Roman"/>
          <w:color w:val="000000" w:themeColor="text1"/>
          <w:sz w:val="22"/>
          <w:szCs w:val="22"/>
          <w:lang w:val="fr-FR"/>
        </w:rPr>
        <w:t>à la fois en mode virtuel et en présentiel</w:t>
      </w:r>
      <w:r w:rsidR="00A26803" w:rsidRPr="005D062F">
        <w:rPr>
          <w:rFonts w:ascii="Times New Roman" w:hAnsi="Times New Roman" w:cs="Times New Roman"/>
          <w:color w:val="000000" w:themeColor="text1"/>
          <w:sz w:val="22"/>
          <w:szCs w:val="22"/>
          <w:lang w:val="fr-FR"/>
        </w:rPr>
        <w:t>,</w:t>
      </w:r>
      <w:r w:rsidR="00B67832" w:rsidRPr="005D062F">
        <w:rPr>
          <w:rFonts w:ascii="Times New Roman" w:hAnsi="Times New Roman" w:cs="Times New Roman"/>
          <w:color w:val="000000" w:themeColor="text1"/>
          <w:sz w:val="22"/>
          <w:szCs w:val="22"/>
          <w:lang w:val="fr-FR"/>
        </w:rPr>
        <w:t xml:space="preserve"> à Pachuca dans l’État d’Hidalgo (Mexique), a été organisé par l’OEA et le </w:t>
      </w:r>
      <w:r w:rsidR="00ED78BF" w:rsidRPr="005D062F">
        <w:rPr>
          <w:rFonts w:ascii="Times New Roman" w:hAnsi="Times New Roman" w:cs="Times New Roman"/>
          <w:color w:val="000000" w:themeColor="text1"/>
          <w:sz w:val="22"/>
          <w:szCs w:val="22"/>
          <w:lang w:val="fr-FR"/>
        </w:rPr>
        <w:t>Go</w:t>
      </w:r>
      <w:r w:rsidR="00B67832" w:rsidRPr="005D062F">
        <w:rPr>
          <w:rFonts w:ascii="Times New Roman" w:hAnsi="Times New Roman" w:cs="Times New Roman"/>
          <w:color w:val="000000" w:themeColor="text1"/>
          <w:sz w:val="22"/>
          <w:szCs w:val="22"/>
          <w:lang w:val="fr-FR"/>
        </w:rPr>
        <w:t>u</w:t>
      </w:r>
      <w:r w:rsidR="00ED78BF" w:rsidRPr="005D062F">
        <w:rPr>
          <w:rFonts w:ascii="Times New Roman" w:hAnsi="Times New Roman" w:cs="Times New Roman"/>
          <w:color w:val="000000" w:themeColor="text1"/>
          <w:sz w:val="22"/>
          <w:szCs w:val="22"/>
          <w:lang w:val="fr-FR"/>
        </w:rPr>
        <w:t>vern</w:t>
      </w:r>
      <w:r w:rsidR="00B67832" w:rsidRPr="005D062F">
        <w:rPr>
          <w:rFonts w:ascii="Times New Roman" w:hAnsi="Times New Roman" w:cs="Times New Roman"/>
          <w:color w:val="000000" w:themeColor="text1"/>
          <w:sz w:val="22"/>
          <w:szCs w:val="22"/>
          <w:lang w:val="fr-FR"/>
        </w:rPr>
        <w:t>e</w:t>
      </w:r>
      <w:r w:rsidR="00ED78BF" w:rsidRPr="005D062F">
        <w:rPr>
          <w:rFonts w:ascii="Times New Roman" w:hAnsi="Times New Roman" w:cs="Times New Roman"/>
          <w:color w:val="000000" w:themeColor="text1"/>
          <w:sz w:val="22"/>
          <w:szCs w:val="22"/>
          <w:lang w:val="fr-FR"/>
        </w:rPr>
        <w:t xml:space="preserve">ment </w:t>
      </w:r>
      <w:r w:rsidR="00630EF2" w:rsidRPr="005D062F">
        <w:rPr>
          <w:rFonts w:ascii="Times New Roman" w:hAnsi="Times New Roman" w:cs="Times New Roman"/>
          <w:color w:val="000000" w:themeColor="text1"/>
          <w:sz w:val="22"/>
          <w:szCs w:val="22"/>
          <w:lang w:val="fr-FR"/>
        </w:rPr>
        <w:t xml:space="preserve">de </w:t>
      </w:r>
      <w:r w:rsidR="00B67832" w:rsidRPr="005D062F">
        <w:rPr>
          <w:rFonts w:ascii="Times New Roman" w:hAnsi="Times New Roman" w:cs="Times New Roman"/>
          <w:color w:val="000000" w:themeColor="text1"/>
          <w:sz w:val="22"/>
          <w:szCs w:val="22"/>
          <w:lang w:val="fr-FR"/>
        </w:rPr>
        <w:t>l’État d’Hidalgo</w:t>
      </w:r>
      <w:r w:rsidR="00ED78BF" w:rsidRPr="005D062F">
        <w:rPr>
          <w:rFonts w:ascii="Times New Roman" w:hAnsi="Times New Roman" w:cs="Times New Roman"/>
          <w:color w:val="000000" w:themeColor="text1"/>
          <w:sz w:val="22"/>
          <w:szCs w:val="22"/>
          <w:lang w:val="fr-FR"/>
        </w:rPr>
        <w:t xml:space="preserve"> </w:t>
      </w:r>
      <w:r w:rsidR="00B67832" w:rsidRPr="005D062F">
        <w:rPr>
          <w:rFonts w:ascii="Times New Roman" w:hAnsi="Times New Roman" w:cs="Times New Roman"/>
          <w:color w:val="000000" w:themeColor="text1"/>
          <w:sz w:val="22"/>
          <w:szCs w:val="22"/>
          <w:lang w:val="fr-FR"/>
        </w:rPr>
        <w:t>e</w:t>
      </w:r>
      <w:r w:rsidR="00ED78BF" w:rsidRPr="005D062F">
        <w:rPr>
          <w:rFonts w:ascii="Times New Roman" w:hAnsi="Times New Roman" w:cs="Times New Roman"/>
          <w:color w:val="000000" w:themeColor="text1"/>
          <w:sz w:val="22"/>
          <w:szCs w:val="22"/>
          <w:lang w:val="fr-FR"/>
        </w:rPr>
        <w:t xml:space="preserve">n collaboration </w:t>
      </w:r>
      <w:r w:rsidR="00B67832" w:rsidRPr="005D062F">
        <w:rPr>
          <w:rFonts w:ascii="Times New Roman" w:hAnsi="Times New Roman" w:cs="Times New Roman"/>
          <w:color w:val="000000" w:themeColor="text1"/>
          <w:sz w:val="22"/>
          <w:szCs w:val="22"/>
          <w:lang w:val="fr-FR"/>
        </w:rPr>
        <w:t>avec le ministère des relations extérieures du Mexique (SRE) et</w:t>
      </w:r>
      <w:r w:rsidR="00ED78BF" w:rsidRPr="005D062F">
        <w:rPr>
          <w:rFonts w:ascii="Times New Roman" w:hAnsi="Times New Roman" w:cs="Times New Roman"/>
          <w:color w:val="000000" w:themeColor="text1"/>
          <w:sz w:val="22"/>
          <w:szCs w:val="22"/>
          <w:lang w:val="fr-FR"/>
        </w:rPr>
        <w:t xml:space="preserve"> </w:t>
      </w:r>
      <w:r w:rsidR="00B67832" w:rsidRPr="005D062F">
        <w:rPr>
          <w:rFonts w:ascii="Times New Roman" w:hAnsi="Times New Roman" w:cs="Times New Roman"/>
          <w:color w:val="000000" w:themeColor="text1"/>
          <w:sz w:val="22"/>
          <w:szCs w:val="22"/>
          <w:lang w:val="fr-FR"/>
        </w:rPr>
        <w:t xml:space="preserve">le </w:t>
      </w:r>
      <w:r w:rsidR="00ED78BF" w:rsidRPr="005D062F">
        <w:rPr>
          <w:rFonts w:ascii="Times New Roman" w:hAnsi="Times New Roman" w:cs="Times New Roman"/>
          <w:color w:val="000000" w:themeColor="text1"/>
          <w:sz w:val="22"/>
          <w:szCs w:val="22"/>
          <w:lang w:val="fr-FR"/>
        </w:rPr>
        <w:t xml:space="preserve">CONACYT. </w:t>
      </w:r>
      <w:r w:rsidR="00D33178" w:rsidRPr="005D062F">
        <w:rPr>
          <w:rFonts w:ascii="Times New Roman" w:hAnsi="Times New Roman" w:cs="Times New Roman"/>
          <w:color w:val="000000" w:themeColor="text1"/>
          <w:sz w:val="22"/>
          <w:szCs w:val="22"/>
          <w:lang w:val="fr-FR"/>
        </w:rPr>
        <w:t>Ce sont 981 </w:t>
      </w:r>
      <w:r w:rsidR="00ED78BF" w:rsidRPr="005D062F">
        <w:rPr>
          <w:rFonts w:ascii="Times New Roman" w:hAnsi="Times New Roman" w:cs="Times New Roman"/>
          <w:color w:val="000000" w:themeColor="text1"/>
          <w:sz w:val="22"/>
          <w:szCs w:val="22"/>
          <w:lang w:val="fr-FR"/>
        </w:rPr>
        <w:t xml:space="preserve">experts, </w:t>
      </w:r>
      <w:r w:rsidR="00D33178" w:rsidRPr="005D062F">
        <w:rPr>
          <w:rFonts w:ascii="Times New Roman" w:hAnsi="Times New Roman" w:cs="Times New Roman"/>
          <w:color w:val="000000" w:themeColor="text1"/>
          <w:sz w:val="22"/>
          <w:szCs w:val="22"/>
          <w:lang w:val="fr-FR"/>
        </w:rPr>
        <w:t>universitaires et représentants des autorités dans le</w:t>
      </w:r>
      <w:r w:rsidR="003549D7" w:rsidRPr="005D062F">
        <w:rPr>
          <w:rFonts w:ascii="Times New Roman" w:hAnsi="Times New Roman" w:cs="Times New Roman"/>
          <w:color w:val="000000" w:themeColor="text1"/>
          <w:sz w:val="22"/>
          <w:szCs w:val="22"/>
          <w:lang w:val="fr-FR"/>
        </w:rPr>
        <w:t>s</w:t>
      </w:r>
      <w:r w:rsidR="00D33178" w:rsidRPr="005D062F">
        <w:rPr>
          <w:rFonts w:ascii="Times New Roman" w:hAnsi="Times New Roman" w:cs="Times New Roman"/>
          <w:color w:val="000000" w:themeColor="text1"/>
          <w:sz w:val="22"/>
          <w:szCs w:val="22"/>
          <w:lang w:val="fr-FR"/>
        </w:rPr>
        <w:t xml:space="preserve"> domaines de la </w:t>
      </w:r>
      <w:r w:rsidR="00ED78BF" w:rsidRPr="005D062F">
        <w:rPr>
          <w:rFonts w:ascii="Times New Roman" w:hAnsi="Times New Roman" w:cs="Times New Roman"/>
          <w:color w:val="000000" w:themeColor="text1"/>
          <w:sz w:val="22"/>
          <w:szCs w:val="22"/>
          <w:lang w:val="fr-FR"/>
        </w:rPr>
        <w:t xml:space="preserve">science, </w:t>
      </w:r>
      <w:r w:rsidR="00D33178" w:rsidRPr="005D062F">
        <w:rPr>
          <w:rFonts w:ascii="Times New Roman" w:hAnsi="Times New Roman" w:cs="Times New Roman"/>
          <w:color w:val="000000" w:themeColor="text1"/>
          <w:sz w:val="22"/>
          <w:szCs w:val="22"/>
          <w:lang w:val="fr-FR"/>
        </w:rPr>
        <w:t xml:space="preserve">de la </w:t>
      </w:r>
      <w:r w:rsidR="00ED78BF" w:rsidRPr="005D062F">
        <w:rPr>
          <w:rFonts w:ascii="Times New Roman" w:hAnsi="Times New Roman" w:cs="Times New Roman"/>
          <w:color w:val="000000" w:themeColor="text1"/>
          <w:sz w:val="22"/>
          <w:szCs w:val="22"/>
          <w:lang w:val="fr-FR"/>
        </w:rPr>
        <w:t>technolog</w:t>
      </w:r>
      <w:r w:rsidR="00D33178" w:rsidRPr="005D062F">
        <w:rPr>
          <w:rFonts w:ascii="Times New Roman" w:hAnsi="Times New Roman" w:cs="Times New Roman"/>
          <w:color w:val="000000" w:themeColor="text1"/>
          <w:sz w:val="22"/>
          <w:szCs w:val="22"/>
          <w:lang w:val="fr-FR"/>
        </w:rPr>
        <w:t>ie et de l’</w:t>
      </w:r>
      <w:r w:rsidR="00ED78BF" w:rsidRPr="005D062F">
        <w:rPr>
          <w:rFonts w:ascii="Times New Roman" w:hAnsi="Times New Roman" w:cs="Times New Roman"/>
          <w:color w:val="000000" w:themeColor="text1"/>
          <w:sz w:val="22"/>
          <w:szCs w:val="22"/>
          <w:lang w:val="fr-FR"/>
        </w:rPr>
        <w:t>innovation</w:t>
      </w:r>
      <w:r w:rsidR="00D33178" w:rsidRPr="005D062F">
        <w:rPr>
          <w:rFonts w:ascii="Times New Roman" w:hAnsi="Times New Roman" w:cs="Times New Roman"/>
          <w:color w:val="000000" w:themeColor="text1"/>
          <w:sz w:val="22"/>
          <w:szCs w:val="22"/>
          <w:lang w:val="fr-FR"/>
        </w:rPr>
        <w:t>,</w:t>
      </w:r>
      <w:r w:rsidR="00ED78BF" w:rsidRPr="005D062F">
        <w:rPr>
          <w:rFonts w:ascii="Times New Roman" w:hAnsi="Times New Roman" w:cs="Times New Roman"/>
          <w:color w:val="000000" w:themeColor="text1"/>
          <w:sz w:val="22"/>
          <w:szCs w:val="22"/>
          <w:lang w:val="fr-FR"/>
        </w:rPr>
        <w:t xml:space="preserve"> </w:t>
      </w:r>
      <w:r w:rsidR="00D33178" w:rsidRPr="005D062F">
        <w:rPr>
          <w:rFonts w:ascii="Times New Roman" w:hAnsi="Times New Roman" w:cs="Times New Roman"/>
          <w:color w:val="000000" w:themeColor="text1"/>
          <w:sz w:val="22"/>
          <w:szCs w:val="22"/>
          <w:lang w:val="fr-FR"/>
        </w:rPr>
        <w:t xml:space="preserve">originaires de vingt pays de la région, qui ont partagé quinze bonnes pratiques et abordé des questions cruciales telles que l’avenir de l’économie, de l’industrie, de l’éducation, des transports et de la santé </w:t>
      </w:r>
      <w:r w:rsidR="00630EF2" w:rsidRPr="005D062F">
        <w:rPr>
          <w:rFonts w:ascii="Times New Roman" w:hAnsi="Times New Roman" w:cs="Times New Roman"/>
          <w:color w:val="000000" w:themeColor="text1"/>
          <w:sz w:val="22"/>
          <w:szCs w:val="22"/>
          <w:lang w:val="fr-FR"/>
        </w:rPr>
        <w:t>dans les Amériques</w:t>
      </w:r>
      <w:r w:rsidR="00ED78BF" w:rsidRPr="005D062F">
        <w:rPr>
          <w:rFonts w:ascii="Times New Roman" w:hAnsi="Times New Roman" w:cs="Times New Roman"/>
          <w:color w:val="000000" w:themeColor="text1"/>
          <w:sz w:val="22"/>
          <w:szCs w:val="22"/>
          <w:lang w:val="fr-FR"/>
        </w:rPr>
        <w:t xml:space="preserve">. </w:t>
      </w:r>
      <w:r w:rsidR="00B67832" w:rsidRPr="005D062F">
        <w:rPr>
          <w:rFonts w:ascii="Times New Roman" w:hAnsi="Times New Roman" w:cs="Times New Roman"/>
          <w:color w:val="000000" w:themeColor="text1"/>
          <w:sz w:val="22"/>
          <w:szCs w:val="22"/>
          <w:lang w:val="fr-FR"/>
        </w:rPr>
        <w:t>Plus de 400 memb</w:t>
      </w:r>
      <w:r w:rsidR="00C67D84" w:rsidRPr="005D062F">
        <w:rPr>
          <w:rFonts w:ascii="Times New Roman" w:hAnsi="Times New Roman" w:cs="Times New Roman"/>
          <w:color w:val="000000" w:themeColor="text1"/>
          <w:sz w:val="22"/>
          <w:szCs w:val="22"/>
          <w:lang w:val="fr-FR"/>
        </w:rPr>
        <w:t>r</w:t>
      </w:r>
      <w:r w:rsidR="00B67832" w:rsidRPr="005D062F">
        <w:rPr>
          <w:rFonts w:ascii="Times New Roman" w:hAnsi="Times New Roman" w:cs="Times New Roman"/>
          <w:color w:val="000000" w:themeColor="text1"/>
          <w:sz w:val="22"/>
          <w:szCs w:val="22"/>
          <w:lang w:val="fr-FR"/>
        </w:rPr>
        <w:t>e</w:t>
      </w:r>
      <w:r w:rsidR="00ED78BF" w:rsidRPr="005D062F">
        <w:rPr>
          <w:rFonts w:ascii="Times New Roman" w:hAnsi="Times New Roman" w:cs="Times New Roman"/>
          <w:color w:val="000000" w:themeColor="text1"/>
          <w:sz w:val="22"/>
          <w:szCs w:val="22"/>
          <w:lang w:val="fr-FR"/>
        </w:rPr>
        <w:t xml:space="preserve">s </w:t>
      </w:r>
      <w:r w:rsidR="00B67832" w:rsidRPr="005D062F">
        <w:rPr>
          <w:rFonts w:ascii="Times New Roman" w:hAnsi="Times New Roman" w:cs="Times New Roman"/>
          <w:color w:val="000000" w:themeColor="text1"/>
          <w:sz w:val="22"/>
          <w:szCs w:val="22"/>
          <w:lang w:val="fr-FR"/>
        </w:rPr>
        <w:t>de la communauté scientifique</w:t>
      </w:r>
      <w:r w:rsidR="00ED78BF" w:rsidRPr="005D062F">
        <w:rPr>
          <w:rFonts w:ascii="Times New Roman" w:hAnsi="Times New Roman" w:cs="Times New Roman"/>
          <w:color w:val="000000" w:themeColor="text1"/>
          <w:sz w:val="22"/>
          <w:szCs w:val="22"/>
          <w:lang w:val="fr-FR"/>
        </w:rPr>
        <w:t xml:space="preserve"> </w:t>
      </w:r>
      <w:r w:rsidR="00B67832" w:rsidRPr="005D062F">
        <w:rPr>
          <w:rFonts w:ascii="Times New Roman" w:hAnsi="Times New Roman" w:cs="Times New Roman"/>
          <w:color w:val="000000" w:themeColor="text1"/>
          <w:sz w:val="22"/>
          <w:szCs w:val="22"/>
          <w:lang w:val="fr-FR"/>
        </w:rPr>
        <w:t xml:space="preserve">d’Hidalgo (Mexique) et les </w:t>
      </w:r>
      <w:r w:rsidR="00ED78BF" w:rsidRPr="005D062F">
        <w:rPr>
          <w:rFonts w:ascii="Times New Roman" w:hAnsi="Times New Roman" w:cs="Times New Roman"/>
          <w:color w:val="000000" w:themeColor="text1"/>
          <w:sz w:val="22"/>
          <w:szCs w:val="22"/>
          <w:lang w:val="fr-FR"/>
        </w:rPr>
        <w:t xml:space="preserve">participants </w:t>
      </w:r>
      <w:r w:rsidR="00B67832" w:rsidRPr="005D062F">
        <w:rPr>
          <w:rFonts w:ascii="Times New Roman" w:hAnsi="Times New Roman" w:cs="Times New Roman"/>
          <w:color w:val="000000" w:themeColor="text1"/>
          <w:sz w:val="22"/>
          <w:szCs w:val="22"/>
          <w:lang w:val="fr-FR"/>
        </w:rPr>
        <w:t xml:space="preserve">internationaux des treize ateliers ont été formés aux </w:t>
      </w:r>
      <w:r w:rsidR="00ED78BF" w:rsidRPr="005D062F">
        <w:rPr>
          <w:rFonts w:ascii="Times New Roman" w:hAnsi="Times New Roman" w:cs="Times New Roman"/>
          <w:color w:val="000000" w:themeColor="text1"/>
          <w:sz w:val="22"/>
          <w:szCs w:val="22"/>
          <w:lang w:val="fr-FR"/>
        </w:rPr>
        <w:t>technologies</w:t>
      </w:r>
      <w:r w:rsidR="00B67832" w:rsidRPr="005D062F">
        <w:rPr>
          <w:rFonts w:ascii="Times New Roman" w:hAnsi="Times New Roman" w:cs="Times New Roman"/>
          <w:color w:val="000000" w:themeColor="text1"/>
          <w:sz w:val="22"/>
          <w:szCs w:val="22"/>
          <w:lang w:val="fr-FR"/>
        </w:rPr>
        <w:t xml:space="preserve"> transformatrices. Le séminaire</w:t>
      </w:r>
      <w:r w:rsidR="00ED78BF" w:rsidRPr="005D062F">
        <w:rPr>
          <w:rFonts w:ascii="Times New Roman" w:hAnsi="Times New Roman" w:cs="Times New Roman"/>
          <w:color w:val="000000" w:themeColor="text1"/>
          <w:sz w:val="22"/>
          <w:szCs w:val="22"/>
          <w:lang w:val="fr-FR"/>
        </w:rPr>
        <w:t xml:space="preserve"> </w:t>
      </w:r>
      <w:r w:rsidR="00ED78BF" w:rsidRPr="005D062F">
        <w:rPr>
          <w:rFonts w:ascii="Times New Roman" w:hAnsi="Times New Roman" w:cs="Times New Roman"/>
          <w:i/>
          <w:iCs/>
          <w:color w:val="000000" w:themeColor="text1"/>
          <w:sz w:val="22"/>
          <w:szCs w:val="22"/>
          <w:lang w:val="fr-FR"/>
        </w:rPr>
        <w:t>Prospecta Americas</w:t>
      </w:r>
      <w:r w:rsidR="00B67832" w:rsidRPr="005D062F">
        <w:rPr>
          <w:rFonts w:ascii="Times New Roman" w:hAnsi="Times New Roman" w:cs="Times New Roman"/>
          <w:color w:val="000000" w:themeColor="text1"/>
          <w:sz w:val="22"/>
          <w:szCs w:val="22"/>
          <w:lang w:val="fr-FR"/>
        </w:rPr>
        <w:t xml:space="preserve"> s’est traduit par dix nouvelles pistes de </w:t>
      </w:r>
      <w:r w:rsidR="00ED78BF" w:rsidRPr="005D062F">
        <w:rPr>
          <w:rFonts w:ascii="Times New Roman" w:hAnsi="Times New Roman" w:cs="Times New Roman"/>
          <w:color w:val="000000" w:themeColor="text1"/>
          <w:sz w:val="22"/>
          <w:szCs w:val="22"/>
          <w:lang w:val="fr-FR"/>
        </w:rPr>
        <w:t xml:space="preserve">collaboration, </w:t>
      </w:r>
      <w:r w:rsidR="00B67832" w:rsidRPr="005D062F">
        <w:rPr>
          <w:rFonts w:ascii="Times New Roman" w:hAnsi="Times New Roman" w:cs="Times New Roman"/>
          <w:color w:val="000000" w:themeColor="text1"/>
          <w:sz w:val="22"/>
          <w:szCs w:val="22"/>
          <w:lang w:val="fr-FR"/>
        </w:rPr>
        <w:t>compr</w:t>
      </w:r>
      <w:r w:rsidR="00632696" w:rsidRPr="005D062F">
        <w:rPr>
          <w:rFonts w:ascii="Times New Roman" w:hAnsi="Times New Roman" w:cs="Times New Roman"/>
          <w:color w:val="000000" w:themeColor="text1"/>
          <w:sz w:val="22"/>
          <w:szCs w:val="22"/>
          <w:lang w:val="fr-FR"/>
        </w:rPr>
        <w:t xml:space="preserve">enant </w:t>
      </w:r>
      <w:r w:rsidR="00B67832" w:rsidRPr="005D062F">
        <w:rPr>
          <w:rFonts w:ascii="Times New Roman" w:hAnsi="Times New Roman" w:cs="Times New Roman"/>
          <w:color w:val="000000" w:themeColor="text1"/>
          <w:sz w:val="22"/>
          <w:szCs w:val="22"/>
          <w:lang w:val="fr-FR"/>
        </w:rPr>
        <w:t xml:space="preserve">des accords et des partenariats </w:t>
      </w:r>
      <w:r w:rsidR="00632696" w:rsidRPr="005D062F">
        <w:rPr>
          <w:rFonts w:ascii="Times New Roman" w:hAnsi="Times New Roman" w:cs="Times New Roman"/>
          <w:color w:val="000000" w:themeColor="text1"/>
          <w:sz w:val="22"/>
          <w:szCs w:val="22"/>
          <w:lang w:val="fr-FR"/>
        </w:rPr>
        <w:t>avec les centres d’excellence sur les technologies transformatrices</w:t>
      </w:r>
      <w:r w:rsidR="00ED78BF" w:rsidRPr="005D062F">
        <w:rPr>
          <w:rFonts w:ascii="Times New Roman" w:hAnsi="Times New Roman" w:cs="Times New Roman"/>
          <w:color w:val="000000" w:themeColor="text1"/>
          <w:sz w:val="22"/>
          <w:szCs w:val="22"/>
          <w:lang w:val="fr-FR"/>
        </w:rPr>
        <w:t xml:space="preserve">, </w:t>
      </w:r>
      <w:r w:rsidR="00632696" w:rsidRPr="005D062F">
        <w:rPr>
          <w:rFonts w:ascii="Times New Roman" w:hAnsi="Times New Roman" w:cs="Times New Roman"/>
          <w:color w:val="000000" w:themeColor="text1"/>
          <w:sz w:val="22"/>
          <w:szCs w:val="22"/>
          <w:lang w:val="fr-FR"/>
        </w:rPr>
        <w:t xml:space="preserve">y compris </w:t>
      </w:r>
      <w:r w:rsidR="00632696" w:rsidRPr="005D062F">
        <w:rPr>
          <w:rFonts w:ascii="Times New Roman" w:eastAsia="Times New Roman" w:hAnsi="Times New Roman" w:cs="Times New Roman"/>
          <w:color w:val="000000"/>
          <w:sz w:val="22"/>
          <w:szCs w:val="22"/>
          <w:lang w:val="fr-FR"/>
        </w:rPr>
        <w:t xml:space="preserve">la chaîne de blocs à </w:t>
      </w:r>
      <w:r w:rsidR="00632696" w:rsidRPr="005D062F">
        <w:rPr>
          <w:rFonts w:ascii="Times New Roman" w:hAnsi="Times New Roman" w:cs="Times New Roman"/>
          <w:color w:val="000000" w:themeColor="text1"/>
          <w:sz w:val="22"/>
          <w:szCs w:val="22"/>
          <w:lang w:val="fr-FR"/>
        </w:rPr>
        <w:t xml:space="preserve">Hidalgo (Mexique), </w:t>
      </w:r>
      <w:r w:rsidR="00A26803" w:rsidRPr="005D062F">
        <w:rPr>
          <w:rFonts w:ascii="Times New Roman" w:eastAsia="Times New Roman" w:hAnsi="Times New Roman" w:cs="Times New Roman"/>
          <w:color w:val="000000"/>
          <w:sz w:val="22"/>
          <w:szCs w:val="22"/>
          <w:lang w:val="fr-FR"/>
        </w:rPr>
        <w:t>l’</w:t>
      </w:r>
      <w:r w:rsidR="00632696" w:rsidRPr="005D062F">
        <w:rPr>
          <w:rFonts w:ascii="Times New Roman" w:eastAsia="Times New Roman" w:hAnsi="Times New Roman" w:cs="Times New Roman"/>
          <w:color w:val="000000"/>
          <w:sz w:val="22"/>
          <w:szCs w:val="22"/>
          <w:lang w:val="fr-FR"/>
        </w:rPr>
        <w:t xml:space="preserve">intelligence artificielle et la </w:t>
      </w:r>
      <w:r w:rsidR="00632696" w:rsidRPr="005D062F">
        <w:rPr>
          <w:rFonts w:ascii="Times New Roman" w:hAnsi="Times New Roman" w:cs="Times New Roman"/>
          <w:color w:val="000000" w:themeColor="text1"/>
          <w:sz w:val="22"/>
          <w:szCs w:val="22"/>
          <w:lang w:val="fr-FR"/>
        </w:rPr>
        <w:t>robotique à Barranquilla (Colombie) et les matériaux de pointe et les n</w:t>
      </w:r>
      <w:r w:rsidR="00ED78BF" w:rsidRPr="005D062F">
        <w:rPr>
          <w:rFonts w:ascii="Times New Roman" w:hAnsi="Times New Roman" w:cs="Times New Roman"/>
          <w:color w:val="000000" w:themeColor="text1"/>
          <w:sz w:val="22"/>
          <w:szCs w:val="22"/>
          <w:lang w:val="fr-FR"/>
        </w:rPr>
        <w:t>anotechnologies</w:t>
      </w:r>
      <w:r w:rsidR="00632696" w:rsidRPr="005D062F">
        <w:rPr>
          <w:rFonts w:ascii="Times New Roman" w:hAnsi="Times New Roman" w:cs="Times New Roman"/>
          <w:color w:val="000000" w:themeColor="text1"/>
          <w:sz w:val="22"/>
          <w:szCs w:val="22"/>
          <w:lang w:val="fr-FR"/>
        </w:rPr>
        <w:t xml:space="preserve"> à Lima (Pé</w:t>
      </w:r>
      <w:r w:rsidR="00ED78BF" w:rsidRPr="005D062F">
        <w:rPr>
          <w:rFonts w:ascii="Times New Roman" w:hAnsi="Times New Roman" w:cs="Times New Roman"/>
          <w:color w:val="000000" w:themeColor="text1"/>
          <w:sz w:val="22"/>
          <w:szCs w:val="22"/>
          <w:lang w:val="fr-FR"/>
        </w:rPr>
        <w:t>r</w:t>
      </w:r>
      <w:r w:rsidR="00632696" w:rsidRPr="005D062F">
        <w:rPr>
          <w:rFonts w:ascii="Times New Roman" w:hAnsi="Times New Roman" w:cs="Times New Roman"/>
          <w:color w:val="000000" w:themeColor="text1"/>
          <w:sz w:val="22"/>
          <w:szCs w:val="22"/>
          <w:lang w:val="fr-FR"/>
        </w:rPr>
        <w:t>o</w:t>
      </w:r>
      <w:r w:rsidR="00ED78BF" w:rsidRPr="005D062F">
        <w:rPr>
          <w:rFonts w:ascii="Times New Roman" w:hAnsi="Times New Roman" w:cs="Times New Roman"/>
          <w:color w:val="000000" w:themeColor="text1"/>
          <w:sz w:val="22"/>
          <w:szCs w:val="22"/>
          <w:lang w:val="fr-FR"/>
        </w:rPr>
        <w:t>u</w:t>
      </w:r>
      <w:r w:rsidR="00632696" w:rsidRPr="005D062F">
        <w:rPr>
          <w:rFonts w:ascii="Times New Roman" w:hAnsi="Times New Roman" w:cs="Times New Roman"/>
          <w:color w:val="000000" w:themeColor="text1"/>
          <w:sz w:val="22"/>
          <w:szCs w:val="22"/>
          <w:lang w:val="fr-FR"/>
        </w:rPr>
        <w:t>)</w:t>
      </w:r>
      <w:r w:rsidR="00ED78BF" w:rsidRPr="005D062F">
        <w:rPr>
          <w:rFonts w:ascii="Times New Roman" w:hAnsi="Times New Roman" w:cs="Times New Roman"/>
          <w:color w:val="000000" w:themeColor="text1"/>
          <w:sz w:val="22"/>
          <w:szCs w:val="22"/>
          <w:lang w:val="fr-FR"/>
        </w:rPr>
        <w:t>.</w:t>
      </w:r>
    </w:p>
    <w:p w14:paraId="439F95A0" w14:textId="77777777" w:rsidR="00ED78BF" w:rsidRPr="005D062F" w:rsidRDefault="00ED78BF" w:rsidP="00723DAD">
      <w:pPr>
        <w:rPr>
          <w:rFonts w:ascii="Times New Roman" w:hAnsi="Times New Roman" w:cs="Times New Roman"/>
          <w:color w:val="000000"/>
          <w:sz w:val="22"/>
          <w:szCs w:val="22"/>
          <w:lang w:val="fr-FR"/>
        </w:rPr>
      </w:pPr>
    </w:p>
    <w:p w14:paraId="5C3BF497" w14:textId="47A6E248" w:rsidR="00ED78BF" w:rsidRPr="005D062F" w:rsidRDefault="00630EF2" w:rsidP="00CB030B">
      <w:pPr>
        <w:pStyle w:val="ListParagraph"/>
        <w:numPr>
          <w:ilvl w:val="0"/>
          <w:numId w:val="4"/>
        </w:numPr>
        <w:shd w:val="clear" w:color="auto" w:fill="FFFFFF"/>
        <w:ind w:left="1440" w:hanging="720"/>
        <w:contextualSpacing/>
        <w:jc w:val="both"/>
        <w:rPr>
          <w:color w:val="000000"/>
          <w:sz w:val="22"/>
          <w:szCs w:val="22"/>
          <w:lang w:val="fr-FR"/>
        </w:rPr>
      </w:pPr>
      <w:r w:rsidRPr="005D062F">
        <w:rPr>
          <w:color w:val="000000" w:themeColor="text1"/>
          <w:sz w:val="22"/>
          <w:szCs w:val="22"/>
          <w:lang w:val="fr-FR"/>
        </w:rPr>
        <w:t>L’Académie des jeunes pour la science et les technologies transformatrices dans les Amériques</w:t>
      </w:r>
      <w:r w:rsidR="000D443A" w:rsidRPr="005D062F">
        <w:rPr>
          <w:color w:val="000000" w:themeColor="text1"/>
          <w:sz w:val="22"/>
          <w:szCs w:val="22"/>
          <w:lang w:val="fr-FR"/>
        </w:rPr>
        <w:t>,</w:t>
      </w:r>
      <w:r w:rsidRPr="005D062F">
        <w:rPr>
          <w:color w:val="000000" w:themeColor="text1"/>
          <w:sz w:val="22"/>
          <w:szCs w:val="22"/>
          <w:lang w:val="fr-FR"/>
        </w:rPr>
        <w:t xml:space="preserve"> </w:t>
      </w:r>
      <w:r w:rsidR="000D443A" w:rsidRPr="005D062F">
        <w:rPr>
          <w:color w:val="000000" w:themeColor="text1"/>
          <w:sz w:val="22"/>
          <w:szCs w:val="22"/>
          <w:lang w:val="fr-FR"/>
        </w:rPr>
        <w:t xml:space="preserve">créée à l’initiative </w:t>
      </w:r>
      <w:r w:rsidRPr="005D062F">
        <w:rPr>
          <w:color w:val="000000" w:themeColor="text1"/>
          <w:sz w:val="22"/>
          <w:szCs w:val="22"/>
          <w:lang w:val="fr-FR"/>
        </w:rPr>
        <w:t>de l’OEA</w:t>
      </w:r>
      <w:r w:rsidR="000D443A" w:rsidRPr="005D062F">
        <w:rPr>
          <w:color w:val="000000" w:themeColor="text1"/>
          <w:sz w:val="22"/>
          <w:szCs w:val="22"/>
          <w:lang w:val="fr-FR"/>
        </w:rPr>
        <w:t>,</w:t>
      </w:r>
      <w:r w:rsidRPr="005D062F">
        <w:rPr>
          <w:color w:val="000000" w:themeColor="text1"/>
          <w:sz w:val="22"/>
          <w:szCs w:val="22"/>
          <w:lang w:val="fr-FR"/>
        </w:rPr>
        <w:t xml:space="preserve"> a lancé en c</w:t>
      </w:r>
      <w:r w:rsidR="001F6B15" w:rsidRPr="005D062F">
        <w:rPr>
          <w:color w:val="000000" w:themeColor="text1"/>
          <w:sz w:val="22"/>
          <w:szCs w:val="22"/>
          <w:lang w:val="fr-FR"/>
        </w:rPr>
        <w:t xml:space="preserve">ollaboration </w:t>
      </w:r>
      <w:r w:rsidRPr="005D062F">
        <w:rPr>
          <w:color w:val="000000" w:themeColor="text1"/>
          <w:sz w:val="22"/>
          <w:szCs w:val="22"/>
          <w:lang w:val="fr-FR"/>
        </w:rPr>
        <w:t xml:space="preserve">avec </w:t>
      </w:r>
      <w:r w:rsidR="002761FB" w:rsidRPr="005D062F">
        <w:rPr>
          <w:color w:val="000000" w:themeColor="text1"/>
          <w:sz w:val="22"/>
          <w:szCs w:val="22"/>
          <w:lang w:val="fr-FR"/>
        </w:rPr>
        <w:t>META</w:t>
      </w:r>
      <w:r w:rsidR="001F6B15" w:rsidRPr="005D062F">
        <w:rPr>
          <w:color w:val="000000" w:themeColor="text1"/>
          <w:sz w:val="22"/>
          <w:szCs w:val="22"/>
          <w:lang w:val="fr-FR"/>
        </w:rPr>
        <w:t xml:space="preserve"> </w:t>
      </w:r>
      <w:r w:rsidRPr="005D062F">
        <w:rPr>
          <w:color w:val="000000" w:themeColor="text1"/>
          <w:sz w:val="22"/>
          <w:szCs w:val="22"/>
          <w:lang w:val="fr-FR"/>
        </w:rPr>
        <w:t xml:space="preserve">trois </w:t>
      </w:r>
      <w:r w:rsidR="00ED78BF" w:rsidRPr="005D062F">
        <w:rPr>
          <w:color w:val="000000" w:themeColor="text1"/>
          <w:sz w:val="22"/>
          <w:szCs w:val="22"/>
          <w:lang w:val="fr-FR"/>
        </w:rPr>
        <w:t xml:space="preserve">modules </w:t>
      </w:r>
      <w:r w:rsidRPr="005D062F">
        <w:rPr>
          <w:color w:val="000000" w:themeColor="text1"/>
          <w:sz w:val="22"/>
          <w:szCs w:val="22"/>
          <w:lang w:val="fr-FR"/>
        </w:rPr>
        <w:t xml:space="preserve">de cours sur la réalité augmentée (RA) </w:t>
      </w:r>
      <w:r w:rsidR="002761FB" w:rsidRPr="005D062F">
        <w:rPr>
          <w:color w:val="000000" w:themeColor="text1"/>
          <w:sz w:val="22"/>
          <w:szCs w:val="22"/>
          <w:lang w:val="fr-FR"/>
        </w:rPr>
        <w:t xml:space="preserve">afin </w:t>
      </w:r>
      <w:r w:rsidR="00244E4B" w:rsidRPr="005D062F">
        <w:rPr>
          <w:color w:val="000000" w:themeColor="text1"/>
          <w:sz w:val="22"/>
          <w:szCs w:val="22"/>
          <w:lang w:val="fr-FR"/>
        </w:rPr>
        <w:t>que 10 000 jeunes des Amériques bénéficient d’une formation et d’une certification</w:t>
      </w:r>
      <w:r w:rsidR="00ED78BF" w:rsidRPr="005D062F">
        <w:rPr>
          <w:color w:val="000000" w:themeColor="text1"/>
          <w:sz w:val="22"/>
          <w:szCs w:val="22"/>
          <w:lang w:val="fr-FR"/>
        </w:rPr>
        <w:t xml:space="preserve">. </w:t>
      </w:r>
      <w:r w:rsidR="00244E4B" w:rsidRPr="005D062F">
        <w:rPr>
          <w:color w:val="000000" w:themeColor="text1"/>
          <w:sz w:val="22"/>
          <w:szCs w:val="22"/>
          <w:lang w:val="fr-FR"/>
        </w:rPr>
        <w:t>La certification et le cours, déclinés en trois niveaux, sont proposés en anglais, en espagnol et en portugais et comportent un enseignement sur la RA (bases, fondamentaux et compétences professionnelles) dont le contenu a été enrichi avec des cas et expériences d’utilisation de créateurs locaux originaires d’Amérique latine et des Caraïbes</w:t>
      </w:r>
      <w:r w:rsidR="00ED78BF" w:rsidRPr="005D062F">
        <w:rPr>
          <w:color w:val="000000" w:themeColor="text1"/>
          <w:sz w:val="22"/>
          <w:szCs w:val="22"/>
          <w:lang w:val="fr-FR"/>
        </w:rPr>
        <w:t xml:space="preserve">. </w:t>
      </w:r>
      <w:r w:rsidR="000D443A" w:rsidRPr="005D062F">
        <w:rPr>
          <w:color w:val="000000" w:themeColor="text1"/>
          <w:sz w:val="22"/>
          <w:szCs w:val="22"/>
          <w:lang w:val="fr-FR"/>
        </w:rPr>
        <w:t>Cette Académie vise à préparer les jeunes des Amériques aux emplois et possibilités entrepreneuriales de l’économie du numérique et de</w:t>
      </w:r>
      <w:r w:rsidR="00ED78BF" w:rsidRPr="005D062F">
        <w:rPr>
          <w:color w:val="000000" w:themeColor="text1"/>
          <w:sz w:val="22"/>
          <w:szCs w:val="22"/>
          <w:lang w:val="fr-FR"/>
        </w:rPr>
        <w:t xml:space="preserve"> </w:t>
      </w:r>
      <w:r w:rsidR="000D443A" w:rsidRPr="005D062F">
        <w:rPr>
          <w:color w:val="000000" w:themeColor="text1"/>
          <w:sz w:val="22"/>
          <w:szCs w:val="22"/>
          <w:lang w:val="fr-FR"/>
        </w:rPr>
        <w:t>l’</w:t>
      </w:r>
      <w:r w:rsidR="00ED78BF" w:rsidRPr="005D062F">
        <w:rPr>
          <w:color w:val="000000" w:themeColor="text1"/>
          <w:sz w:val="22"/>
          <w:szCs w:val="22"/>
          <w:lang w:val="fr-FR"/>
        </w:rPr>
        <w:t xml:space="preserve">innovation </w:t>
      </w:r>
      <w:r w:rsidR="000D443A" w:rsidRPr="005D062F">
        <w:rPr>
          <w:color w:val="000000" w:themeColor="text1"/>
          <w:sz w:val="22"/>
          <w:szCs w:val="22"/>
          <w:lang w:val="fr-FR"/>
        </w:rPr>
        <w:t>tel qu’énoncé dans la Déclaration ministérielle de la Jamaïque</w:t>
      </w:r>
      <w:r w:rsidR="00ED78BF" w:rsidRPr="005D062F">
        <w:rPr>
          <w:color w:val="000000" w:themeColor="text1"/>
          <w:sz w:val="22"/>
          <w:szCs w:val="22"/>
          <w:lang w:val="fr-FR"/>
        </w:rPr>
        <w:t>.</w:t>
      </w:r>
      <w:r w:rsidR="000D443A" w:rsidRPr="005D062F">
        <w:rPr>
          <w:color w:val="000000" w:themeColor="text1"/>
          <w:sz w:val="22"/>
          <w:szCs w:val="22"/>
          <w:lang w:val="fr-FR"/>
        </w:rPr>
        <w:t xml:space="preserve"> Plus de 20 </w:t>
      </w:r>
      <w:r w:rsidR="00ED78BF" w:rsidRPr="005D062F">
        <w:rPr>
          <w:color w:val="000000" w:themeColor="text1"/>
          <w:sz w:val="22"/>
          <w:szCs w:val="22"/>
          <w:lang w:val="fr-FR"/>
        </w:rPr>
        <w:t>000 p</w:t>
      </w:r>
      <w:r w:rsidR="00ED78BF" w:rsidRPr="005D062F">
        <w:rPr>
          <w:color w:val="000000"/>
          <w:sz w:val="22"/>
          <w:szCs w:val="22"/>
          <w:lang w:val="fr-FR"/>
        </w:rPr>
        <w:t>articipants</w:t>
      </w:r>
      <w:r w:rsidR="000D443A" w:rsidRPr="005D062F">
        <w:rPr>
          <w:color w:val="000000"/>
          <w:sz w:val="22"/>
          <w:szCs w:val="22"/>
          <w:lang w:val="fr-FR"/>
        </w:rPr>
        <w:t xml:space="preserve"> des </w:t>
      </w:r>
      <w:r w:rsidR="00ED78BF" w:rsidRPr="005D062F">
        <w:rPr>
          <w:color w:val="000000"/>
          <w:sz w:val="22"/>
          <w:szCs w:val="22"/>
          <w:lang w:val="fr-FR"/>
        </w:rPr>
        <w:t xml:space="preserve">34 </w:t>
      </w:r>
      <w:r w:rsidR="000D443A" w:rsidRPr="005D062F">
        <w:rPr>
          <w:color w:val="000000"/>
          <w:sz w:val="22"/>
          <w:szCs w:val="22"/>
          <w:lang w:val="fr-FR"/>
        </w:rPr>
        <w:t>États membres de l’</w:t>
      </w:r>
      <w:r w:rsidR="00ED78BF" w:rsidRPr="005D062F">
        <w:rPr>
          <w:color w:val="000000"/>
          <w:sz w:val="22"/>
          <w:szCs w:val="22"/>
          <w:lang w:val="fr-FR"/>
        </w:rPr>
        <w:t>O</w:t>
      </w:r>
      <w:r w:rsidR="000D443A" w:rsidRPr="005D062F">
        <w:rPr>
          <w:color w:val="000000"/>
          <w:sz w:val="22"/>
          <w:szCs w:val="22"/>
          <w:lang w:val="fr-FR"/>
        </w:rPr>
        <w:t>E</w:t>
      </w:r>
      <w:r w:rsidR="00ED78BF" w:rsidRPr="005D062F">
        <w:rPr>
          <w:color w:val="000000"/>
          <w:sz w:val="22"/>
          <w:szCs w:val="22"/>
          <w:lang w:val="fr-FR"/>
        </w:rPr>
        <w:t>A</w:t>
      </w:r>
      <w:r w:rsidR="000D443A" w:rsidRPr="005D062F">
        <w:rPr>
          <w:color w:val="000000"/>
          <w:sz w:val="22"/>
          <w:szCs w:val="22"/>
          <w:lang w:val="fr-FR"/>
        </w:rPr>
        <w:t xml:space="preserve"> se sont inscrits à l’Académie des jeunes e</w:t>
      </w:r>
      <w:r w:rsidR="00ED78BF" w:rsidRPr="005D062F">
        <w:rPr>
          <w:color w:val="000000"/>
          <w:sz w:val="22"/>
          <w:szCs w:val="22"/>
          <w:lang w:val="fr-FR"/>
        </w:rPr>
        <w:t xml:space="preserve">n 2022. </w:t>
      </w:r>
      <w:r w:rsidR="000D443A" w:rsidRPr="005D062F">
        <w:rPr>
          <w:color w:val="000000"/>
          <w:sz w:val="22"/>
          <w:szCs w:val="22"/>
          <w:lang w:val="fr-FR"/>
        </w:rPr>
        <w:t xml:space="preserve">Des cours supplémentaires seront proposés en </w:t>
      </w:r>
      <w:r w:rsidR="00ED78BF" w:rsidRPr="005D062F">
        <w:rPr>
          <w:color w:val="000000"/>
          <w:sz w:val="22"/>
          <w:szCs w:val="22"/>
          <w:lang w:val="fr-FR"/>
        </w:rPr>
        <w:t xml:space="preserve">2023 </w:t>
      </w:r>
      <w:r w:rsidR="000D443A" w:rsidRPr="005D062F">
        <w:rPr>
          <w:color w:val="000000"/>
          <w:sz w:val="22"/>
          <w:szCs w:val="22"/>
          <w:lang w:val="fr-FR"/>
        </w:rPr>
        <w:t>et</w:t>
      </w:r>
      <w:r w:rsidR="00ED78BF" w:rsidRPr="005D062F">
        <w:rPr>
          <w:color w:val="000000"/>
          <w:sz w:val="22"/>
          <w:szCs w:val="22"/>
          <w:lang w:val="fr-FR"/>
        </w:rPr>
        <w:t xml:space="preserve"> 2024 </w:t>
      </w:r>
      <w:r w:rsidR="000D443A" w:rsidRPr="005D062F">
        <w:rPr>
          <w:color w:val="000000"/>
          <w:sz w:val="22"/>
          <w:szCs w:val="22"/>
          <w:lang w:val="fr-FR"/>
        </w:rPr>
        <w:t>e</w:t>
      </w:r>
      <w:r w:rsidR="00ED78BF" w:rsidRPr="005D062F">
        <w:rPr>
          <w:color w:val="000000"/>
          <w:sz w:val="22"/>
          <w:szCs w:val="22"/>
          <w:lang w:val="fr-FR"/>
        </w:rPr>
        <w:t xml:space="preserve">n collaboration </w:t>
      </w:r>
      <w:r w:rsidR="000D443A" w:rsidRPr="005D062F">
        <w:rPr>
          <w:color w:val="000000"/>
          <w:sz w:val="22"/>
          <w:szCs w:val="22"/>
          <w:lang w:val="fr-FR"/>
        </w:rPr>
        <w:t xml:space="preserve">avec d’autres partenaires, notamment </w:t>
      </w:r>
      <w:r w:rsidR="0074320E" w:rsidRPr="005D062F">
        <w:rPr>
          <w:color w:val="000000"/>
          <w:sz w:val="22"/>
          <w:szCs w:val="22"/>
          <w:lang w:val="fr-FR"/>
        </w:rPr>
        <w:t>Structural</w:t>
      </w:r>
      <w:r w:rsidR="00ED78BF" w:rsidRPr="005D062F">
        <w:rPr>
          <w:color w:val="000000"/>
          <w:sz w:val="22"/>
          <w:szCs w:val="22"/>
          <w:lang w:val="fr-FR"/>
        </w:rPr>
        <w:t>.</w:t>
      </w:r>
    </w:p>
    <w:p w14:paraId="03232870" w14:textId="77777777" w:rsidR="00ED78BF" w:rsidRPr="005D062F" w:rsidRDefault="00ED78BF" w:rsidP="00723DAD">
      <w:pPr>
        <w:rPr>
          <w:rFonts w:ascii="Times New Roman" w:hAnsi="Times New Roman" w:cs="Times New Roman"/>
          <w:color w:val="000000"/>
          <w:sz w:val="22"/>
          <w:szCs w:val="22"/>
          <w:lang w:val="fr-FR"/>
        </w:rPr>
      </w:pPr>
    </w:p>
    <w:p w14:paraId="76D31385" w14:textId="4147FBF3" w:rsidR="00ED78BF" w:rsidRPr="005D062F" w:rsidRDefault="001A5EA7" w:rsidP="00CB030B">
      <w:pPr>
        <w:numPr>
          <w:ilvl w:val="0"/>
          <w:numId w:val="4"/>
        </w:numPr>
        <w:shd w:val="clear" w:color="auto" w:fill="FFFFFF"/>
        <w:ind w:left="1440" w:hanging="720"/>
        <w:jc w:val="both"/>
        <w:rPr>
          <w:rFonts w:ascii="Times New Roman" w:hAnsi="Times New Roman" w:cs="Times New Roman"/>
          <w:color w:val="000000"/>
          <w:sz w:val="22"/>
          <w:szCs w:val="22"/>
          <w:lang w:val="fr-FR"/>
        </w:rPr>
      </w:pPr>
      <w:r w:rsidRPr="005D062F">
        <w:rPr>
          <w:rFonts w:ascii="Times New Roman" w:hAnsi="Times New Roman" w:cs="Times New Roman"/>
          <w:color w:val="000000"/>
          <w:sz w:val="22"/>
          <w:szCs w:val="22"/>
          <w:lang w:val="fr-FR"/>
        </w:rPr>
        <w:t>Dans le cadre de l’initiative</w:t>
      </w:r>
      <w:r w:rsidR="00ED78BF" w:rsidRPr="005D062F">
        <w:rPr>
          <w:rFonts w:ascii="Times New Roman" w:hAnsi="Times New Roman" w:cs="Times New Roman"/>
          <w:color w:val="000000"/>
          <w:sz w:val="22"/>
          <w:szCs w:val="22"/>
          <w:lang w:val="fr-FR"/>
        </w:rPr>
        <w:t xml:space="preserve"> </w:t>
      </w:r>
      <w:r w:rsidR="00ED78BF" w:rsidRPr="005D062F">
        <w:rPr>
          <w:rFonts w:ascii="Times New Roman" w:hAnsi="Times New Roman" w:cs="Times New Roman"/>
          <w:i/>
          <w:iCs/>
          <w:color w:val="000000"/>
          <w:sz w:val="22"/>
          <w:szCs w:val="22"/>
          <w:lang w:val="fr-FR"/>
        </w:rPr>
        <w:t>Prospecta Americas,</w:t>
      </w:r>
      <w:r w:rsidR="00ED78BF" w:rsidRPr="005D062F">
        <w:rPr>
          <w:rFonts w:ascii="Times New Roman" w:hAnsi="Times New Roman" w:cs="Times New Roman"/>
          <w:color w:val="000000"/>
          <w:sz w:val="22"/>
          <w:szCs w:val="22"/>
          <w:lang w:val="fr-FR"/>
        </w:rPr>
        <w:t xml:space="preserve"> </w:t>
      </w:r>
      <w:r w:rsidRPr="005D062F">
        <w:rPr>
          <w:rFonts w:ascii="Times New Roman" w:hAnsi="Times New Roman" w:cs="Times New Roman"/>
          <w:color w:val="000000"/>
          <w:sz w:val="22"/>
          <w:szCs w:val="22"/>
          <w:lang w:val="fr-FR"/>
        </w:rPr>
        <w:t xml:space="preserve">le </w:t>
      </w:r>
      <w:r w:rsidR="00ED78BF" w:rsidRPr="005D062F">
        <w:rPr>
          <w:rFonts w:ascii="Times New Roman" w:hAnsi="Times New Roman" w:cs="Times New Roman"/>
          <w:color w:val="000000"/>
          <w:sz w:val="22"/>
          <w:szCs w:val="22"/>
          <w:lang w:val="fr-FR"/>
        </w:rPr>
        <w:t xml:space="preserve">SEDI </w:t>
      </w:r>
      <w:r w:rsidRPr="005D062F">
        <w:rPr>
          <w:rFonts w:ascii="Times New Roman" w:hAnsi="Times New Roman" w:cs="Times New Roman"/>
          <w:color w:val="000000"/>
          <w:sz w:val="22"/>
          <w:szCs w:val="22"/>
          <w:lang w:val="fr-FR"/>
        </w:rPr>
        <w:t xml:space="preserve">a </w:t>
      </w:r>
      <w:r w:rsidR="00ED78BF" w:rsidRPr="005D062F">
        <w:rPr>
          <w:rFonts w:ascii="Times New Roman" w:hAnsi="Times New Roman" w:cs="Times New Roman"/>
          <w:color w:val="000000"/>
          <w:sz w:val="22"/>
          <w:szCs w:val="22"/>
          <w:lang w:val="fr-FR"/>
        </w:rPr>
        <w:t>s</w:t>
      </w:r>
      <w:r w:rsidRPr="005D062F">
        <w:rPr>
          <w:rFonts w:ascii="Times New Roman" w:hAnsi="Times New Roman" w:cs="Times New Roman"/>
          <w:color w:val="000000"/>
          <w:sz w:val="22"/>
          <w:szCs w:val="22"/>
          <w:lang w:val="fr-FR"/>
        </w:rPr>
        <w:t xml:space="preserve">outenu la mise à jour des versions et </w:t>
      </w:r>
      <w:r w:rsidR="00ED78BF" w:rsidRPr="005D062F">
        <w:rPr>
          <w:rFonts w:ascii="Times New Roman" w:hAnsi="Times New Roman" w:cs="Times New Roman"/>
          <w:color w:val="000000"/>
          <w:sz w:val="22"/>
          <w:szCs w:val="22"/>
          <w:lang w:val="fr-FR"/>
        </w:rPr>
        <w:t>pr</w:t>
      </w:r>
      <w:r w:rsidRPr="005D062F">
        <w:rPr>
          <w:rFonts w:ascii="Times New Roman" w:hAnsi="Times New Roman" w:cs="Times New Roman"/>
          <w:color w:val="000000"/>
          <w:sz w:val="22"/>
          <w:szCs w:val="22"/>
          <w:lang w:val="fr-FR"/>
        </w:rPr>
        <w:t>é</w:t>
      </w:r>
      <w:r w:rsidR="00ED78BF" w:rsidRPr="005D062F">
        <w:rPr>
          <w:rFonts w:ascii="Times New Roman" w:hAnsi="Times New Roman" w:cs="Times New Roman"/>
          <w:color w:val="000000"/>
          <w:sz w:val="22"/>
          <w:szCs w:val="22"/>
          <w:lang w:val="fr-FR"/>
        </w:rPr>
        <w:t xml:space="preserve">sentations </w:t>
      </w:r>
      <w:r w:rsidRPr="005D062F">
        <w:rPr>
          <w:rFonts w:ascii="Times New Roman" w:hAnsi="Times New Roman" w:cs="Times New Roman"/>
          <w:color w:val="000000"/>
          <w:sz w:val="22"/>
          <w:szCs w:val="22"/>
          <w:lang w:val="fr-FR"/>
        </w:rPr>
        <w:t>de deux études régionales de prospective technologique e</w:t>
      </w:r>
      <w:r w:rsidR="00ED78BF" w:rsidRPr="005D062F">
        <w:rPr>
          <w:rFonts w:ascii="Times New Roman" w:hAnsi="Times New Roman" w:cs="Times New Roman"/>
          <w:color w:val="000000"/>
          <w:sz w:val="22"/>
          <w:szCs w:val="22"/>
          <w:lang w:val="fr-FR"/>
        </w:rPr>
        <w:t xml:space="preserve">n collaboration </w:t>
      </w:r>
      <w:r w:rsidRPr="005D062F">
        <w:rPr>
          <w:rFonts w:ascii="Times New Roman" w:hAnsi="Times New Roman" w:cs="Times New Roman"/>
          <w:color w:val="000000"/>
          <w:sz w:val="22"/>
          <w:szCs w:val="22"/>
          <w:lang w:val="fr-FR"/>
        </w:rPr>
        <w:t xml:space="preserve">avec MINCIENCIAS Colombie, dont l’une portait sur </w:t>
      </w:r>
      <w:r w:rsidRPr="005D062F">
        <w:rPr>
          <w:rFonts w:ascii="Times New Roman" w:hAnsi="Times New Roman" w:cs="Times New Roman"/>
          <w:b/>
          <w:color w:val="000000"/>
          <w:sz w:val="22"/>
          <w:szCs w:val="22"/>
          <w:lang w:val="fr-FR"/>
        </w:rPr>
        <w:t>l’avenir du travail</w:t>
      </w:r>
      <w:r w:rsidRPr="005D062F">
        <w:rPr>
          <w:rFonts w:ascii="Times New Roman" w:hAnsi="Times New Roman" w:cs="Times New Roman"/>
          <w:color w:val="000000"/>
          <w:sz w:val="22"/>
          <w:szCs w:val="22"/>
          <w:lang w:val="fr-FR"/>
        </w:rPr>
        <w:t>, dirigée par le centre de réflexion stratégique et de prospective de l’</w:t>
      </w:r>
      <w:r w:rsidR="00D13B80" w:rsidRPr="005D062F">
        <w:rPr>
          <w:rFonts w:ascii="Times New Roman" w:hAnsi="Times New Roman" w:cs="Times New Roman"/>
          <w:color w:val="000000"/>
          <w:sz w:val="22"/>
          <w:szCs w:val="22"/>
          <w:lang w:val="fr-FR"/>
        </w:rPr>
        <w:t>Université Externado de Colombie</w:t>
      </w:r>
      <w:r w:rsidRPr="005D062F">
        <w:rPr>
          <w:rFonts w:ascii="Times New Roman" w:hAnsi="Times New Roman" w:cs="Times New Roman"/>
          <w:color w:val="000000"/>
          <w:sz w:val="22"/>
          <w:szCs w:val="22"/>
          <w:lang w:val="fr-FR"/>
        </w:rPr>
        <w:t xml:space="preserve">, et l’autre, sur </w:t>
      </w:r>
      <w:r w:rsidRPr="005D062F">
        <w:rPr>
          <w:rFonts w:ascii="Times New Roman" w:hAnsi="Times New Roman" w:cs="Times New Roman"/>
          <w:b/>
          <w:color w:val="000000"/>
          <w:sz w:val="22"/>
          <w:szCs w:val="22"/>
          <w:lang w:val="fr-FR"/>
        </w:rPr>
        <w:t>la prospective dans le secteur agroalimentaire en Amérique latine et dans les Caraïbes</w:t>
      </w:r>
      <w:r w:rsidRPr="005D062F">
        <w:rPr>
          <w:rFonts w:ascii="Times New Roman" w:hAnsi="Times New Roman" w:cs="Times New Roman"/>
          <w:color w:val="000000"/>
          <w:sz w:val="22"/>
          <w:szCs w:val="22"/>
          <w:lang w:val="fr-FR"/>
        </w:rPr>
        <w:t>, dirigée par le résea</w:t>
      </w:r>
      <w:r w:rsidR="0026761B" w:rsidRPr="005D062F">
        <w:rPr>
          <w:rFonts w:ascii="Times New Roman" w:hAnsi="Times New Roman" w:cs="Times New Roman"/>
          <w:color w:val="000000"/>
          <w:sz w:val="22"/>
          <w:szCs w:val="22"/>
          <w:lang w:val="fr-FR"/>
        </w:rPr>
        <w:t>u ouvert sur la prospective et l’</w:t>
      </w:r>
      <w:r w:rsidRPr="005D062F">
        <w:rPr>
          <w:rFonts w:ascii="Times New Roman" w:hAnsi="Times New Roman" w:cs="Times New Roman"/>
          <w:color w:val="000000"/>
          <w:sz w:val="22"/>
          <w:szCs w:val="22"/>
          <w:lang w:val="fr-FR"/>
        </w:rPr>
        <w:t>innovation du Programme ibéro-américain sur la science et la technologie pour le développement</w:t>
      </w:r>
      <w:r w:rsidR="00ED78BF" w:rsidRPr="005D062F">
        <w:rPr>
          <w:rFonts w:ascii="Times New Roman" w:hAnsi="Times New Roman" w:cs="Times New Roman"/>
          <w:color w:val="000000"/>
          <w:sz w:val="22"/>
          <w:szCs w:val="22"/>
          <w:lang w:val="fr-FR"/>
        </w:rPr>
        <w:t xml:space="preserve"> (CYTED).</w:t>
      </w:r>
    </w:p>
    <w:p w14:paraId="1AA0D66C" w14:textId="77777777" w:rsidR="00ED78BF" w:rsidRPr="005D062F" w:rsidRDefault="00ED78BF" w:rsidP="00CB030B">
      <w:pPr>
        <w:pStyle w:val="ListParagraph"/>
        <w:ind w:hanging="720"/>
        <w:rPr>
          <w:color w:val="000000"/>
          <w:sz w:val="22"/>
          <w:szCs w:val="22"/>
          <w:lang w:val="fr-FR"/>
        </w:rPr>
      </w:pPr>
    </w:p>
    <w:p w14:paraId="5FC689E5" w14:textId="2363C25F" w:rsidR="00960F2C" w:rsidRPr="005D062F" w:rsidRDefault="00830C24" w:rsidP="00CB030B">
      <w:pPr>
        <w:pStyle w:val="ListParagraph"/>
        <w:numPr>
          <w:ilvl w:val="0"/>
          <w:numId w:val="4"/>
        </w:numPr>
        <w:ind w:left="1440" w:hanging="720"/>
        <w:jc w:val="both"/>
        <w:rPr>
          <w:rFonts w:eastAsia="Times New Roman"/>
          <w:sz w:val="22"/>
          <w:szCs w:val="22"/>
          <w:lang w:val="fr-FR"/>
        </w:rPr>
      </w:pPr>
      <w:r w:rsidRPr="005D062F">
        <w:rPr>
          <w:rFonts w:eastAsia="Times New Roman"/>
          <w:sz w:val="22"/>
          <w:szCs w:val="22"/>
          <w:lang w:val="fr-FR"/>
        </w:rPr>
        <w:t>Deux accords de coopé</w:t>
      </w:r>
      <w:r w:rsidR="00ED78BF" w:rsidRPr="005D062F">
        <w:rPr>
          <w:rFonts w:eastAsia="Times New Roman"/>
          <w:sz w:val="22"/>
          <w:szCs w:val="22"/>
          <w:lang w:val="fr-FR"/>
        </w:rPr>
        <w:t>ration</w:t>
      </w:r>
      <w:r w:rsidRPr="005D062F">
        <w:rPr>
          <w:rFonts w:eastAsia="Times New Roman"/>
          <w:sz w:val="22"/>
          <w:szCs w:val="22"/>
          <w:lang w:val="fr-FR"/>
        </w:rPr>
        <w:t xml:space="preserve"> ont été signés pour promouvoir la recherche scientifique et technologique, la formation et l’éducation dans les domaines des </w:t>
      </w:r>
      <w:r w:rsidR="00ED78BF" w:rsidRPr="005D062F">
        <w:rPr>
          <w:rFonts w:eastAsia="Times New Roman"/>
          <w:sz w:val="22"/>
          <w:szCs w:val="22"/>
          <w:lang w:val="fr-FR"/>
        </w:rPr>
        <w:t>technologies</w:t>
      </w:r>
      <w:r w:rsidR="00960F2C" w:rsidRPr="005D062F">
        <w:rPr>
          <w:rFonts w:eastAsia="Times New Roman"/>
          <w:sz w:val="22"/>
          <w:szCs w:val="22"/>
          <w:lang w:val="fr-FR"/>
        </w:rPr>
        <w:t xml:space="preserve"> </w:t>
      </w:r>
      <w:r w:rsidRPr="005D062F">
        <w:rPr>
          <w:rFonts w:eastAsia="Times New Roman"/>
          <w:sz w:val="22"/>
          <w:szCs w:val="22"/>
          <w:lang w:val="fr-FR"/>
        </w:rPr>
        <w:t xml:space="preserve">transformatrices et de la </w:t>
      </w:r>
      <w:r w:rsidR="00ED78BF" w:rsidRPr="005D062F">
        <w:rPr>
          <w:rFonts w:eastAsia="Times New Roman"/>
          <w:sz w:val="22"/>
          <w:szCs w:val="22"/>
          <w:lang w:val="fr-FR"/>
        </w:rPr>
        <w:t>diploma</w:t>
      </w:r>
      <w:r w:rsidRPr="005D062F">
        <w:rPr>
          <w:rFonts w:eastAsia="Times New Roman"/>
          <w:sz w:val="22"/>
          <w:szCs w:val="22"/>
          <w:lang w:val="fr-FR"/>
        </w:rPr>
        <w:t>tie scientifique dans le continent américain </w:t>
      </w:r>
      <w:r w:rsidR="00ED78BF" w:rsidRPr="005D062F">
        <w:rPr>
          <w:rFonts w:eastAsia="Times New Roman"/>
          <w:sz w:val="22"/>
          <w:szCs w:val="22"/>
          <w:lang w:val="fr-FR"/>
        </w:rPr>
        <w:t>:</w:t>
      </w:r>
    </w:p>
    <w:p w14:paraId="274EB671" w14:textId="7D14CE3C" w:rsidR="00ED78BF" w:rsidRPr="005D062F" w:rsidRDefault="00ED78BF" w:rsidP="00CB030B">
      <w:pPr>
        <w:pStyle w:val="ListParagraph"/>
        <w:ind w:hanging="720"/>
        <w:jc w:val="both"/>
        <w:rPr>
          <w:rFonts w:eastAsia="Times New Roman"/>
          <w:sz w:val="22"/>
          <w:szCs w:val="22"/>
          <w:lang w:val="fr-FR"/>
        </w:rPr>
      </w:pPr>
    </w:p>
    <w:p w14:paraId="795F8BA7" w14:textId="2C6078C6" w:rsidR="00960F2C" w:rsidRPr="005D062F" w:rsidRDefault="009B1C83" w:rsidP="00CB030B">
      <w:pPr>
        <w:pStyle w:val="ListParagraph"/>
        <w:numPr>
          <w:ilvl w:val="1"/>
          <w:numId w:val="4"/>
        </w:numPr>
        <w:ind w:left="1980" w:hanging="540"/>
        <w:jc w:val="both"/>
        <w:rPr>
          <w:rFonts w:eastAsia="Times New Roman"/>
          <w:sz w:val="22"/>
          <w:szCs w:val="22"/>
          <w:lang w:val="fr-FR"/>
        </w:rPr>
      </w:pPr>
      <w:r w:rsidRPr="005D062F">
        <w:rPr>
          <w:rFonts w:eastAsia="Times New Roman"/>
          <w:sz w:val="22"/>
          <w:szCs w:val="22"/>
          <w:lang w:val="fr-FR"/>
        </w:rPr>
        <w:t xml:space="preserve">Le SEDI/OEA et le </w:t>
      </w:r>
      <w:r w:rsidR="00ED78BF" w:rsidRPr="005D062F">
        <w:rPr>
          <w:rFonts w:eastAsia="Times New Roman"/>
          <w:sz w:val="22"/>
          <w:szCs w:val="22"/>
          <w:lang w:val="fr-FR"/>
        </w:rPr>
        <w:t>Go</w:t>
      </w:r>
      <w:r w:rsidRPr="005D062F">
        <w:rPr>
          <w:rFonts w:eastAsia="Times New Roman"/>
          <w:sz w:val="22"/>
          <w:szCs w:val="22"/>
          <w:lang w:val="fr-FR"/>
        </w:rPr>
        <w:t>u</w:t>
      </w:r>
      <w:r w:rsidR="00ED78BF" w:rsidRPr="005D062F">
        <w:rPr>
          <w:rFonts w:eastAsia="Times New Roman"/>
          <w:sz w:val="22"/>
          <w:szCs w:val="22"/>
          <w:lang w:val="fr-FR"/>
        </w:rPr>
        <w:t>vern</w:t>
      </w:r>
      <w:r w:rsidRPr="005D062F">
        <w:rPr>
          <w:rFonts w:eastAsia="Times New Roman"/>
          <w:sz w:val="22"/>
          <w:szCs w:val="22"/>
          <w:lang w:val="fr-FR"/>
        </w:rPr>
        <w:t>e</w:t>
      </w:r>
      <w:r w:rsidR="00ED78BF" w:rsidRPr="005D062F">
        <w:rPr>
          <w:rFonts w:eastAsia="Times New Roman"/>
          <w:sz w:val="22"/>
          <w:szCs w:val="22"/>
          <w:lang w:val="fr-FR"/>
        </w:rPr>
        <w:t xml:space="preserve">ment </w:t>
      </w:r>
      <w:r w:rsidRPr="005D062F">
        <w:rPr>
          <w:rFonts w:eastAsia="Times New Roman"/>
          <w:sz w:val="22"/>
          <w:szCs w:val="22"/>
          <w:lang w:val="fr-FR"/>
        </w:rPr>
        <w:t>de l’État d’Hidalgo (Mexique) ont signé un mémorandum d’accord le 23 août 2022 concernant le centre régional d’excellence sur la chaîne de blocs dans le cadre de l’</w:t>
      </w:r>
      <w:r w:rsidR="00ED78BF" w:rsidRPr="005D062F">
        <w:rPr>
          <w:rFonts w:eastAsia="Times New Roman"/>
          <w:sz w:val="22"/>
          <w:szCs w:val="22"/>
          <w:lang w:val="fr-FR"/>
        </w:rPr>
        <w:t>initiative</w:t>
      </w:r>
      <w:r w:rsidRPr="005D062F">
        <w:rPr>
          <w:rFonts w:eastAsia="Times New Roman"/>
          <w:sz w:val="22"/>
          <w:szCs w:val="22"/>
          <w:lang w:val="fr-FR"/>
        </w:rPr>
        <w:t xml:space="preserve"> </w:t>
      </w:r>
      <w:r w:rsidRPr="005D062F">
        <w:rPr>
          <w:rFonts w:eastAsia="Times New Roman"/>
          <w:i/>
          <w:iCs/>
          <w:sz w:val="22"/>
          <w:szCs w:val="22"/>
          <w:lang w:val="fr-FR"/>
        </w:rPr>
        <w:t>Prospecta Americas</w:t>
      </w:r>
      <w:r w:rsidR="00ED78BF" w:rsidRPr="005D062F">
        <w:rPr>
          <w:rFonts w:eastAsia="Times New Roman"/>
          <w:sz w:val="22"/>
          <w:szCs w:val="22"/>
          <w:lang w:val="fr-FR"/>
        </w:rPr>
        <w:t xml:space="preserve">. </w:t>
      </w:r>
    </w:p>
    <w:p w14:paraId="20C50E11" w14:textId="07B1652C" w:rsidR="00ED78BF" w:rsidRPr="005D062F" w:rsidRDefault="009B1C83" w:rsidP="00CB030B">
      <w:pPr>
        <w:pStyle w:val="ListParagraph"/>
        <w:numPr>
          <w:ilvl w:val="1"/>
          <w:numId w:val="4"/>
        </w:numPr>
        <w:ind w:left="1980" w:hanging="540"/>
        <w:jc w:val="both"/>
        <w:rPr>
          <w:rFonts w:eastAsia="Times New Roman"/>
          <w:sz w:val="22"/>
          <w:szCs w:val="22"/>
          <w:lang w:val="fr-FR"/>
        </w:rPr>
      </w:pPr>
      <w:r w:rsidRPr="005D062F">
        <w:rPr>
          <w:rFonts w:eastAsia="Times New Roman"/>
          <w:sz w:val="22"/>
          <w:szCs w:val="22"/>
          <w:lang w:val="fr-FR"/>
        </w:rPr>
        <w:t>Le SEDI/OEA et l</w:t>
      </w:r>
      <w:r w:rsidR="0029755C" w:rsidRPr="005D062F">
        <w:rPr>
          <w:rFonts w:eastAsia="Times New Roman"/>
          <w:sz w:val="22"/>
          <w:szCs w:val="22"/>
          <w:lang w:val="fr-FR"/>
        </w:rPr>
        <w:t xml:space="preserve">’Institut de l’histoire des sciences </w:t>
      </w:r>
      <w:r w:rsidR="00ED78BF" w:rsidRPr="005D062F">
        <w:rPr>
          <w:rFonts w:eastAsia="Times New Roman"/>
          <w:sz w:val="22"/>
          <w:szCs w:val="22"/>
          <w:lang w:val="fr-FR"/>
        </w:rPr>
        <w:t>(</w:t>
      </w:r>
      <w:r w:rsidR="0029755C" w:rsidRPr="005D062F">
        <w:rPr>
          <w:rFonts w:eastAsia="Times New Roman"/>
          <w:sz w:val="22"/>
          <w:szCs w:val="22"/>
          <w:lang w:val="fr-FR"/>
        </w:rPr>
        <w:t xml:space="preserve">Science History Institute </w:t>
      </w:r>
      <w:r w:rsidR="0029755C" w:rsidRPr="005D062F">
        <w:rPr>
          <w:sz w:val="22"/>
          <w:szCs w:val="22"/>
          <w:lang w:val="fr-FR"/>
        </w:rPr>
        <w:t xml:space="preserve">– </w:t>
      </w:r>
      <w:r w:rsidR="0029755C" w:rsidRPr="005D062F">
        <w:rPr>
          <w:rFonts w:eastAsia="Times New Roman"/>
          <w:sz w:val="22"/>
          <w:szCs w:val="22"/>
          <w:lang w:val="fr-FR"/>
        </w:rPr>
        <w:t>SHI</w:t>
      </w:r>
      <w:r w:rsidR="00ED78BF" w:rsidRPr="005D062F">
        <w:rPr>
          <w:rFonts w:eastAsia="Times New Roman"/>
          <w:sz w:val="22"/>
          <w:szCs w:val="22"/>
          <w:lang w:val="fr-FR"/>
        </w:rPr>
        <w:t xml:space="preserve">) </w:t>
      </w:r>
      <w:r w:rsidRPr="005D062F">
        <w:rPr>
          <w:rFonts w:eastAsia="Times New Roman"/>
          <w:sz w:val="22"/>
          <w:szCs w:val="22"/>
          <w:lang w:val="fr-FR"/>
        </w:rPr>
        <w:t>ont signé un mémorandum d’accord le 29 novemb</w:t>
      </w:r>
      <w:r w:rsidR="00ED78BF" w:rsidRPr="005D062F">
        <w:rPr>
          <w:rFonts w:eastAsia="Times New Roman"/>
          <w:sz w:val="22"/>
          <w:szCs w:val="22"/>
          <w:lang w:val="fr-FR"/>
        </w:rPr>
        <w:t>r</w:t>
      </w:r>
      <w:r w:rsidRPr="005D062F">
        <w:rPr>
          <w:rFonts w:eastAsia="Times New Roman"/>
          <w:sz w:val="22"/>
          <w:szCs w:val="22"/>
          <w:lang w:val="fr-FR"/>
        </w:rPr>
        <w:t>e</w:t>
      </w:r>
      <w:r w:rsidR="00280F75" w:rsidRPr="005D062F">
        <w:rPr>
          <w:rFonts w:eastAsia="Times New Roman"/>
          <w:sz w:val="22"/>
          <w:szCs w:val="22"/>
          <w:lang w:val="fr-FR"/>
        </w:rPr>
        <w:t xml:space="preserve"> </w:t>
      </w:r>
      <w:r w:rsidR="00ED78BF" w:rsidRPr="005D062F">
        <w:rPr>
          <w:rFonts w:eastAsia="Times New Roman"/>
          <w:sz w:val="22"/>
          <w:szCs w:val="22"/>
          <w:lang w:val="fr-FR"/>
        </w:rPr>
        <w:t>2022</w:t>
      </w:r>
      <w:r w:rsidRPr="005D062F">
        <w:rPr>
          <w:rFonts w:eastAsia="Times New Roman"/>
          <w:sz w:val="22"/>
          <w:szCs w:val="22"/>
          <w:lang w:val="fr-FR"/>
        </w:rPr>
        <w:t xml:space="preserve"> pour promouvoir l’utilisation et la diffusion de l’histoire et de</w:t>
      </w:r>
      <w:r w:rsidR="00280F75" w:rsidRPr="005D062F">
        <w:rPr>
          <w:rFonts w:eastAsia="Times New Roman"/>
          <w:sz w:val="22"/>
          <w:szCs w:val="22"/>
          <w:lang w:val="fr-FR"/>
        </w:rPr>
        <w:t>s connaissances scientifiques, l’objectif étant d’élargir l’</w:t>
      </w:r>
      <w:r w:rsidR="00ED78BF" w:rsidRPr="005D062F">
        <w:rPr>
          <w:sz w:val="22"/>
          <w:szCs w:val="22"/>
          <w:lang w:val="fr-FR"/>
        </w:rPr>
        <w:t xml:space="preserve">impact </w:t>
      </w:r>
      <w:r w:rsidR="00280F75" w:rsidRPr="005D062F">
        <w:rPr>
          <w:sz w:val="22"/>
          <w:szCs w:val="22"/>
          <w:lang w:val="fr-FR"/>
        </w:rPr>
        <w:t xml:space="preserve">de la </w:t>
      </w:r>
      <w:r w:rsidR="00ED78BF" w:rsidRPr="005D062F">
        <w:rPr>
          <w:sz w:val="22"/>
          <w:szCs w:val="22"/>
          <w:lang w:val="fr-FR"/>
        </w:rPr>
        <w:t xml:space="preserve">science </w:t>
      </w:r>
      <w:r w:rsidR="00280F75" w:rsidRPr="005D062F">
        <w:rPr>
          <w:sz w:val="22"/>
          <w:szCs w:val="22"/>
          <w:lang w:val="fr-FR"/>
        </w:rPr>
        <w:t xml:space="preserve">sur la </w:t>
      </w:r>
      <w:r w:rsidR="00ED78BF" w:rsidRPr="005D062F">
        <w:rPr>
          <w:sz w:val="22"/>
          <w:szCs w:val="22"/>
          <w:lang w:val="fr-FR"/>
        </w:rPr>
        <w:t xml:space="preserve">population </w:t>
      </w:r>
      <w:r w:rsidR="00280F75" w:rsidRPr="005D062F">
        <w:rPr>
          <w:sz w:val="22"/>
          <w:szCs w:val="22"/>
          <w:lang w:val="fr-FR"/>
        </w:rPr>
        <w:t>des</w:t>
      </w:r>
      <w:r w:rsidR="00ED78BF" w:rsidRPr="005D062F">
        <w:rPr>
          <w:sz w:val="22"/>
          <w:szCs w:val="22"/>
          <w:lang w:val="fr-FR"/>
        </w:rPr>
        <w:t xml:space="preserve"> Am</w:t>
      </w:r>
      <w:r w:rsidR="00280F75" w:rsidRPr="005D062F">
        <w:rPr>
          <w:sz w:val="22"/>
          <w:szCs w:val="22"/>
          <w:lang w:val="fr-FR"/>
        </w:rPr>
        <w:t>é</w:t>
      </w:r>
      <w:r w:rsidR="00ED78BF" w:rsidRPr="005D062F">
        <w:rPr>
          <w:sz w:val="22"/>
          <w:szCs w:val="22"/>
          <w:lang w:val="fr-FR"/>
        </w:rPr>
        <w:t>ri</w:t>
      </w:r>
      <w:r w:rsidR="00280F75" w:rsidRPr="005D062F">
        <w:rPr>
          <w:sz w:val="22"/>
          <w:szCs w:val="22"/>
          <w:lang w:val="fr-FR"/>
        </w:rPr>
        <w:t>que</w:t>
      </w:r>
      <w:r w:rsidR="00ED78BF" w:rsidRPr="005D062F">
        <w:rPr>
          <w:sz w:val="22"/>
          <w:szCs w:val="22"/>
          <w:lang w:val="fr-FR"/>
        </w:rPr>
        <w:t xml:space="preserve">s </w:t>
      </w:r>
      <w:r w:rsidR="00280F75" w:rsidRPr="005D062F">
        <w:rPr>
          <w:sz w:val="22"/>
          <w:szCs w:val="22"/>
          <w:lang w:val="fr-FR"/>
        </w:rPr>
        <w:t xml:space="preserve">et </w:t>
      </w:r>
      <w:r w:rsidR="000A18D0" w:rsidRPr="005D062F">
        <w:rPr>
          <w:sz w:val="22"/>
          <w:szCs w:val="22"/>
          <w:lang w:val="fr-FR"/>
        </w:rPr>
        <w:t xml:space="preserve">de </w:t>
      </w:r>
      <w:r w:rsidR="00280F75" w:rsidRPr="005D062F">
        <w:rPr>
          <w:sz w:val="22"/>
          <w:szCs w:val="22"/>
          <w:lang w:val="fr-FR"/>
        </w:rPr>
        <w:t xml:space="preserve">favoriser le développement économique durable et </w:t>
      </w:r>
      <w:r w:rsidR="00ED78BF" w:rsidRPr="005D062F">
        <w:rPr>
          <w:sz w:val="22"/>
          <w:szCs w:val="22"/>
          <w:lang w:val="fr-FR"/>
        </w:rPr>
        <w:t>inclusi</w:t>
      </w:r>
      <w:r w:rsidR="00280F75" w:rsidRPr="005D062F">
        <w:rPr>
          <w:sz w:val="22"/>
          <w:szCs w:val="22"/>
          <w:lang w:val="fr-FR"/>
        </w:rPr>
        <w:t>f dans les États membres de l’OEA</w:t>
      </w:r>
      <w:r w:rsidR="00ED78BF" w:rsidRPr="005D062F">
        <w:rPr>
          <w:sz w:val="22"/>
          <w:szCs w:val="22"/>
          <w:lang w:val="fr-FR"/>
        </w:rPr>
        <w:t>.</w:t>
      </w:r>
    </w:p>
    <w:p w14:paraId="42B969F5" w14:textId="77777777" w:rsidR="00ED78BF" w:rsidRPr="005D062F" w:rsidRDefault="00ED78BF" w:rsidP="00723DAD">
      <w:pPr>
        <w:rPr>
          <w:rFonts w:ascii="Times New Roman" w:hAnsi="Times New Roman" w:cs="Times New Roman"/>
          <w:color w:val="000000"/>
          <w:sz w:val="22"/>
          <w:szCs w:val="22"/>
          <w:lang w:val="fr-FR"/>
        </w:rPr>
      </w:pPr>
    </w:p>
    <w:p w14:paraId="5E22B64A" w14:textId="3F930908" w:rsidR="00ED78BF" w:rsidRPr="005D062F" w:rsidRDefault="002D2BA8" w:rsidP="00CB030B">
      <w:pPr>
        <w:numPr>
          <w:ilvl w:val="0"/>
          <w:numId w:val="4"/>
        </w:numPr>
        <w:shd w:val="clear" w:color="auto" w:fill="FFFFFF"/>
        <w:ind w:left="1440" w:hanging="720"/>
        <w:jc w:val="both"/>
        <w:rPr>
          <w:rFonts w:ascii="Times New Roman" w:hAnsi="Times New Roman" w:cs="Times New Roman"/>
          <w:color w:val="000000"/>
          <w:sz w:val="22"/>
          <w:szCs w:val="22"/>
          <w:lang w:val="fr-FR"/>
        </w:rPr>
      </w:pPr>
      <w:r w:rsidRPr="005D062F">
        <w:rPr>
          <w:rFonts w:ascii="Times New Roman" w:hAnsi="Times New Roman" w:cs="Times New Roman"/>
          <w:color w:val="000000"/>
          <w:sz w:val="22"/>
          <w:szCs w:val="22"/>
          <w:lang w:val="fr-FR"/>
        </w:rPr>
        <w:t>Le SEDI a organisé, en collaboration avec les partenaires du Groupe de travail 2 de la COMCYT, t</w:t>
      </w:r>
      <w:r w:rsidR="00183AE6" w:rsidRPr="005D062F">
        <w:rPr>
          <w:rFonts w:ascii="Times New Roman" w:hAnsi="Times New Roman" w:cs="Times New Roman"/>
          <w:color w:val="000000"/>
          <w:sz w:val="22"/>
          <w:szCs w:val="22"/>
          <w:lang w:val="fr-FR"/>
        </w:rPr>
        <w:t xml:space="preserve">rois conférences </w:t>
      </w:r>
      <w:r w:rsidR="00960F2C" w:rsidRPr="005D062F">
        <w:rPr>
          <w:rFonts w:ascii="Times New Roman" w:hAnsi="Times New Roman" w:cs="Times New Roman"/>
          <w:color w:val="000000"/>
          <w:sz w:val="22"/>
          <w:szCs w:val="22"/>
          <w:lang w:val="fr-FR"/>
        </w:rPr>
        <w:t>r</w:t>
      </w:r>
      <w:r w:rsidR="00183AE6" w:rsidRPr="005D062F">
        <w:rPr>
          <w:rFonts w:ascii="Times New Roman" w:hAnsi="Times New Roman" w:cs="Times New Roman"/>
          <w:color w:val="000000"/>
          <w:sz w:val="22"/>
          <w:szCs w:val="22"/>
          <w:lang w:val="fr-FR"/>
        </w:rPr>
        <w:t>é</w:t>
      </w:r>
      <w:r w:rsidR="00960F2C" w:rsidRPr="005D062F">
        <w:rPr>
          <w:rFonts w:ascii="Times New Roman" w:hAnsi="Times New Roman" w:cs="Times New Roman"/>
          <w:color w:val="000000"/>
          <w:sz w:val="22"/>
          <w:szCs w:val="22"/>
          <w:lang w:val="fr-FR"/>
        </w:rPr>
        <w:t>gional</w:t>
      </w:r>
      <w:r w:rsidR="00183AE6" w:rsidRPr="005D062F">
        <w:rPr>
          <w:rFonts w:ascii="Times New Roman" w:hAnsi="Times New Roman" w:cs="Times New Roman"/>
          <w:color w:val="000000"/>
          <w:sz w:val="22"/>
          <w:szCs w:val="22"/>
          <w:lang w:val="fr-FR"/>
        </w:rPr>
        <w:t>es</w:t>
      </w:r>
      <w:r w:rsidR="00960F2C" w:rsidRPr="005D062F">
        <w:rPr>
          <w:rFonts w:ascii="Times New Roman" w:hAnsi="Times New Roman" w:cs="Times New Roman"/>
          <w:color w:val="000000"/>
          <w:sz w:val="22"/>
          <w:szCs w:val="22"/>
          <w:lang w:val="fr-FR"/>
        </w:rPr>
        <w:t xml:space="preserve"> </w:t>
      </w:r>
      <w:r w:rsidR="00183AE6" w:rsidRPr="005D062F">
        <w:rPr>
          <w:rFonts w:ascii="Times New Roman" w:hAnsi="Times New Roman" w:cs="Times New Roman"/>
          <w:color w:val="000000"/>
          <w:sz w:val="22"/>
          <w:szCs w:val="22"/>
          <w:lang w:val="fr-FR"/>
        </w:rPr>
        <w:t xml:space="preserve">sur l’enseignement de l’ingénierie </w:t>
      </w:r>
      <w:r w:rsidR="00960F2C" w:rsidRPr="005D062F">
        <w:rPr>
          <w:rFonts w:ascii="Times New Roman" w:hAnsi="Times New Roman" w:cs="Times New Roman"/>
          <w:color w:val="000000"/>
          <w:sz w:val="22"/>
          <w:szCs w:val="22"/>
          <w:lang w:val="fr-FR"/>
        </w:rPr>
        <w:t xml:space="preserve">(LACCEI, SPEED </w:t>
      </w:r>
      <w:r w:rsidR="00183AE6" w:rsidRPr="005D062F">
        <w:rPr>
          <w:rFonts w:ascii="Times New Roman" w:hAnsi="Times New Roman" w:cs="Times New Roman"/>
          <w:color w:val="000000"/>
          <w:sz w:val="22"/>
          <w:szCs w:val="22"/>
          <w:lang w:val="fr-FR"/>
        </w:rPr>
        <w:t>et</w:t>
      </w:r>
      <w:r w:rsidR="00960F2C" w:rsidRPr="005D062F">
        <w:rPr>
          <w:rFonts w:ascii="Times New Roman" w:hAnsi="Times New Roman" w:cs="Times New Roman"/>
          <w:color w:val="000000"/>
          <w:sz w:val="22"/>
          <w:szCs w:val="22"/>
          <w:lang w:val="fr-FR"/>
        </w:rPr>
        <w:t xml:space="preserve"> LEIRD) </w:t>
      </w:r>
      <w:r w:rsidRPr="005D062F">
        <w:rPr>
          <w:rFonts w:ascii="Times New Roman" w:hAnsi="Times New Roman" w:cs="Times New Roman"/>
          <w:color w:val="000000"/>
          <w:sz w:val="22"/>
          <w:szCs w:val="22"/>
          <w:lang w:val="fr-FR"/>
        </w:rPr>
        <w:t xml:space="preserve">qui </w:t>
      </w:r>
      <w:r w:rsidR="00183AE6" w:rsidRPr="005D062F">
        <w:rPr>
          <w:rFonts w:ascii="Times New Roman" w:hAnsi="Times New Roman" w:cs="Times New Roman"/>
          <w:color w:val="000000"/>
          <w:sz w:val="22"/>
          <w:szCs w:val="22"/>
          <w:lang w:val="fr-FR"/>
        </w:rPr>
        <w:t>ont soutenu l’échange de bonnes pratiques et fourni une formation en enseignement de l’ingénierie à plus de 1 000 professionnels et étudiants en ingénierie dans les Amériques</w:t>
      </w:r>
      <w:r w:rsidR="00ED78BF" w:rsidRPr="005D062F">
        <w:rPr>
          <w:rFonts w:ascii="Times New Roman" w:hAnsi="Times New Roman" w:cs="Times New Roman"/>
          <w:color w:val="000000"/>
          <w:sz w:val="22"/>
          <w:szCs w:val="22"/>
          <w:lang w:val="fr-FR"/>
        </w:rPr>
        <w:t>. </w:t>
      </w:r>
    </w:p>
    <w:p w14:paraId="74B8305D" w14:textId="77777777" w:rsidR="00ED78BF" w:rsidRPr="005D062F" w:rsidRDefault="00ED78BF" w:rsidP="00723DAD">
      <w:pPr>
        <w:rPr>
          <w:rFonts w:ascii="Times New Roman" w:hAnsi="Times New Roman" w:cs="Times New Roman"/>
          <w:color w:val="000000"/>
          <w:sz w:val="22"/>
          <w:szCs w:val="22"/>
          <w:lang w:val="fr-FR"/>
        </w:rPr>
      </w:pPr>
    </w:p>
    <w:p w14:paraId="009C9821" w14:textId="4ED23FC4" w:rsidR="00ED78BF" w:rsidRPr="005D062F" w:rsidRDefault="002D2BA8" w:rsidP="00CB030B">
      <w:pPr>
        <w:numPr>
          <w:ilvl w:val="0"/>
          <w:numId w:val="4"/>
        </w:numPr>
        <w:shd w:val="clear" w:color="auto" w:fill="FFFFFF"/>
        <w:ind w:left="1440" w:hanging="720"/>
        <w:jc w:val="both"/>
        <w:rPr>
          <w:rFonts w:ascii="Times New Roman" w:hAnsi="Times New Roman" w:cs="Times New Roman"/>
          <w:color w:val="000000"/>
          <w:sz w:val="22"/>
          <w:szCs w:val="22"/>
          <w:lang w:val="fr-FR"/>
        </w:rPr>
      </w:pPr>
      <w:r w:rsidRPr="005D062F">
        <w:rPr>
          <w:rFonts w:ascii="Times New Roman" w:eastAsia="Times New Roman" w:hAnsi="Times New Roman" w:cs="Times New Roman"/>
          <w:color w:val="000000"/>
          <w:sz w:val="22"/>
          <w:szCs w:val="22"/>
          <w:lang w:val="fr-FR"/>
        </w:rPr>
        <w:t xml:space="preserve">Le SEDI a soutenu des événements virtuels mettant en valeur les contributions des femmes </w:t>
      </w:r>
      <w:r w:rsidRPr="005D062F">
        <w:rPr>
          <w:rFonts w:ascii="Times New Roman" w:hAnsi="Times New Roman" w:cs="Times New Roman"/>
          <w:color w:val="000000"/>
          <w:sz w:val="22"/>
          <w:szCs w:val="22"/>
          <w:lang w:val="fr-FR"/>
        </w:rPr>
        <w:t>dans les STI</w:t>
      </w:r>
      <w:r w:rsidR="00ED78BF" w:rsidRPr="005D062F">
        <w:rPr>
          <w:rFonts w:ascii="Times New Roman" w:hAnsi="Times New Roman" w:cs="Times New Roman"/>
          <w:color w:val="000000"/>
          <w:sz w:val="22"/>
          <w:szCs w:val="22"/>
          <w:lang w:val="fr-FR"/>
        </w:rPr>
        <w:t xml:space="preserve">M, </w:t>
      </w:r>
      <w:r w:rsidRPr="005D062F">
        <w:rPr>
          <w:rFonts w:ascii="Times New Roman" w:hAnsi="Times New Roman" w:cs="Times New Roman"/>
          <w:color w:val="000000"/>
          <w:sz w:val="22"/>
          <w:szCs w:val="22"/>
          <w:lang w:val="fr-FR"/>
        </w:rPr>
        <w:t>l’</w:t>
      </w:r>
      <w:r w:rsidR="00960F2C" w:rsidRPr="005D062F">
        <w:rPr>
          <w:rFonts w:ascii="Times New Roman" w:hAnsi="Times New Roman" w:cs="Times New Roman"/>
          <w:color w:val="000000"/>
          <w:sz w:val="22"/>
          <w:szCs w:val="22"/>
          <w:lang w:val="fr-FR"/>
        </w:rPr>
        <w:t>innovation</w:t>
      </w:r>
      <w:r w:rsidRPr="005D062F">
        <w:rPr>
          <w:rFonts w:ascii="Times New Roman" w:hAnsi="Times New Roman" w:cs="Times New Roman"/>
          <w:color w:val="000000"/>
          <w:sz w:val="22"/>
          <w:szCs w:val="22"/>
          <w:lang w:val="fr-FR"/>
        </w:rPr>
        <w:t xml:space="preserve"> industrielle et l’</w:t>
      </w:r>
      <w:r w:rsidR="00ED78BF" w:rsidRPr="005D062F">
        <w:rPr>
          <w:rFonts w:ascii="Times New Roman" w:hAnsi="Times New Roman" w:cs="Times New Roman"/>
          <w:color w:val="000000"/>
          <w:sz w:val="22"/>
          <w:szCs w:val="22"/>
          <w:lang w:val="fr-FR"/>
        </w:rPr>
        <w:t>entrepreneu</w:t>
      </w:r>
      <w:r w:rsidRPr="005D062F">
        <w:rPr>
          <w:rFonts w:ascii="Times New Roman" w:hAnsi="Times New Roman" w:cs="Times New Roman"/>
          <w:color w:val="000000"/>
          <w:sz w:val="22"/>
          <w:szCs w:val="22"/>
          <w:lang w:val="fr-FR"/>
        </w:rPr>
        <w:t>riat</w:t>
      </w:r>
      <w:r w:rsidR="00ED78BF" w:rsidRPr="005D062F">
        <w:rPr>
          <w:rFonts w:ascii="Times New Roman" w:hAnsi="Times New Roman" w:cs="Times New Roman"/>
          <w:color w:val="000000"/>
          <w:sz w:val="22"/>
          <w:szCs w:val="22"/>
          <w:lang w:val="fr-FR"/>
        </w:rPr>
        <w:t xml:space="preserve"> </w:t>
      </w:r>
      <w:r w:rsidRPr="005D062F">
        <w:rPr>
          <w:rFonts w:ascii="Times New Roman" w:eastAsia="Times New Roman" w:hAnsi="Times New Roman" w:cs="Times New Roman"/>
          <w:color w:val="000000"/>
          <w:sz w:val="22"/>
          <w:szCs w:val="22"/>
          <w:lang w:val="fr-FR"/>
        </w:rPr>
        <w:t xml:space="preserve">avec des organisations universitaires de la Chaire régionale Matilda sur les femmes dans le domaine de l’ingénierie dans les Amériques et de la Chaire régionale de l’UNESCO pour les femmes, la science et la technologie en Amérique latine, hébergée à la Faculté latino-américaine des sciences sociales en </w:t>
      </w:r>
      <w:r w:rsidR="0020104C" w:rsidRPr="005D062F">
        <w:rPr>
          <w:rFonts w:ascii="Times New Roman" w:hAnsi="Times New Roman" w:cs="Times New Roman"/>
          <w:color w:val="000000"/>
          <w:sz w:val="22"/>
          <w:szCs w:val="22"/>
          <w:lang w:val="fr-FR"/>
        </w:rPr>
        <w:t>Argentin</w:t>
      </w:r>
      <w:r w:rsidRPr="005D062F">
        <w:rPr>
          <w:rFonts w:ascii="Times New Roman" w:hAnsi="Times New Roman" w:cs="Times New Roman"/>
          <w:color w:val="000000"/>
          <w:sz w:val="22"/>
          <w:szCs w:val="22"/>
          <w:lang w:val="fr-FR"/>
        </w:rPr>
        <w:t>e</w:t>
      </w:r>
      <w:r w:rsidR="0020104C" w:rsidRPr="005D062F">
        <w:rPr>
          <w:rFonts w:ascii="Times New Roman" w:hAnsi="Times New Roman" w:cs="Times New Roman"/>
          <w:color w:val="000000"/>
          <w:sz w:val="22"/>
          <w:szCs w:val="22"/>
          <w:lang w:val="fr-FR"/>
        </w:rPr>
        <w:t xml:space="preserve">. </w:t>
      </w:r>
    </w:p>
    <w:p w14:paraId="0C22CB8F" w14:textId="77777777" w:rsidR="00960F2C" w:rsidRPr="005D062F" w:rsidRDefault="00960F2C" w:rsidP="00CB030B">
      <w:pPr>
        <w:rPr>
          <w:rFonts w:ascii="Times New Roman" w:hAnsi="Times New Roman" w:cs="Times New Roman"/>
          <w:color w:val="000000" w:themeColor="text1"/>
          <w:sz w:val="22"/>
          <w:szCs w:val="22"/>
          <w:lang w:val="fr-FR"/>
        </w:rPr>
      </w:pPr>
    </w:p>
    <w:p w14:paraId="1CD0E8E0" w14:textId="20D3F1F5" w:rsidR="00960F2C" w:rsidRPr="005D062F" w:rsidRDefault="00C2663A" w:rsidP="002D4DF7">
      <w:pPr>
        <w:pStyle w:val="Heading2"/>
      </w:pPr>
      <w:bookmarkStart w:id="9" w:name="_Toc124243401"/>
      <w:r w:rsidRPr="005D062F">
        <w:t>OBJECTIF</w:t>
      </w:r>
      <w:r w:rsidR="00ED78BF" w:rsidRPr="005D062F">
        <w:t xml:space="preserve"> 1.4</w:t>
      </w:r>
      <w:bookmarkEnd w:id="9"/>
    </w:p>
    <w:p w14:paraId="4ABE47BD" w14:textId="77777777" w:rsidR="0074320E" w:rsidRPr="005D062F" w:rsidRDefault="0074320E" w:rsidP="00CB030B">
      <w:pPr>
        <w:jc w:val="both"/>
        <w:rPr>
          <w:rFonts w:ascii="Times New Roman" w:hAnsi="Times New Roman" w:cs="Times New Roman"/>
          <w:b/>
          <w:bCs/>
          <w:color w:val="000000" w:themeColor="text1"/>
          <w:sz w:val="22"/>
          <w:szCs w:val="22"/>
          <w:u w:val="single"/>
          <w:lang w:val="fr-FR"/>
        </w:rPr>
      </w:pPr>
    </w:p>
    <w:p w14:paraId="1284E94E" w14:textId="464F0CE4" w:rsidR="00ED78BF" w:rsidRPr="005D062F" w:rsidRDefault="002D2BA8" w:rsidP="00CB030B">
      <w:pPr>
        <w:ind w:firstLine="720"/>
        <w:jc w:val="both"/>
        <w:rPr>
          <w:rFonts w:ascii="Times New Roman" w:hAnsi="Times New Roman" w:cs="Times New Roman"/>
          <w:color w:val="000000" w:themeColor="text1"/>
          <w:sz w:val="22"/>
          <w:szCs w:val="22"/>
          <w:lang w:val="fr-FR"/>
        </w:rPr>
      </w:pPr>
      <w:r w:rsidRPr="005D062F">
        <w:rPr>
          <w:rFonts w:ascii="Times New Roman" w:eastAsia="Times New Roman" w:hAnsi="Times New Roman" w:cs="Times New Roman"/>
          <w:color w:val="000000"/>
          <w:sz w:val="22"/>
          <w:szCs w:val="22"/>
          <w:lang w:val="fr-FR"/>
        </w:rPr>
        <w:t>Soutenir les États membres dans le renforcement des capacités institutionnelles favorisant la création d’activités économiques durables dans les secteurs du tourisme et de la culture</w:t>
      </w:r>
      <w:r w:rsidR="00ED78BF" w:rsidRPr="005D062F">
        <w:rPr>
          <w:rFonts w:ascii="Times New Roman" w:hAnsi="Times New Roman" w:cs="Times New Roman"/>
          <w:color w:val="000000" w:themeColor="text1"/>
          <w:sz w:val="22"/>
          <w:szCs w:val="22"/>
          <w:lang w:val="fr-FR"/>
        </w:rPr>
        <w:t>.</w:t>
      </w:r>
    </w:p>
    <w:p w14:paraId="1E0979AB" w14:textId="77777777" w:rsidR="00960F2C" w:rsidRPr="005D062F" w:rsidRDefault="00960F2C" w:rsidP="00CB030B">
      <w:pPr>
        <w:jc w:val="both"/>
        <w:rPr>
          <w:rFonts w:ascii="Times New Roman" w:hAnsi="Times New Roman" w:cs="Times New Roman"/>
          <w:color w:val="000000" w:themeColor="text1"/>
          <w:sz w:val="22"/>
          <w:szCs w:val="22"/>
          <w:lang w:val="fr-FR"/>
        </w:rPr>
      </w:pPr>
    </w:p>
    <w:p w14:paraId="15E5B089" w14:textId="4FD32751" w:rsidR="00ED78BF" w:rsidRPr="005D062F" w:rsidRDefault="00ED78BF" w:rsidP="00CB030B">
      <w:pPr>
        <w:ind w:firstLine="720"/>
        <w:jc w:val="both"/>
        <w:rPr>
          <w:rFonts w:ascii="Times New Roman" w:hAnsi="Times New Roman" w:cs="Times New Roman"/>
          <w:b/>
          <w:bCs/>
          <w:color w:val="000000" w:themeColor="text1"/>
          <w:sz w:val="22"/>
          <w:szCs w:val="22"/>
          <w:lang w:val="fr-FR"/>
        </w:rPr>
      </w:pPr>
      <w:r w:rsidRPr="005D062F">
        <w:rPr>
          <w:rFonts w:ascii="Times New Roman" w:hAnsi="Times New Roman" w:cs="Times New Roman"/>
          <w:b/>
          <w:bCs/>
          <w:color w:val="000000" w:themeColor="text1"/>
          <w:sz w:val="22"/>
          <w:szCs w:val="22"/>
          <w:lang w:val="fr-FR"/>
        </w:rPr>
        <w:t xml:space="preserve">Culture </w:t>
      </w:r>
      <w:r w:rsidR="0096279A" w:rsidRPr="005D062F">
        <w:rPr>
          <w:rFonts w:ascii="Times New Roman" w:hAnsi="Times New Roman" w:cs="Times New Roman"/>
          <w:b/>
          <w:bCs/>
          <w:color w:val="000000" w:themeColor="text1"/>
          <w:sz w:val="22"/>
          <w:szCs w:val="22"/>
          <w:lang w:val="fr-FR"/>
        </w:rPr>
        <w:t>et</w:t>
      </w:r>
      <w:r w:rsidRPr="005D062F">
        <w:rPr>
          <w:rFonts w:ascii="Times New Roman" w:hAnsi="Times New Roman" w:cs="Times New Roman"/>
          <w:b/>
          <w:bCs/>
          <w:color w:val="000000" w:themeColor="text1"/>
          <w:sz w:val="22"/>
          <w:szCs w:val="22"/>
          <w:lang w:val="fr-FR"/>
        </w:rPr>
        <w:t xml:space="preserve"> </w:t>
      </w:r>
      <w:r w:rsidR="0096279A" w:rsidRPr="005D062F">
        <w:rPr>
          <w:rFonts w:ascii="Times New Roman" w:hAnsi="Times New Roman" w:cs="Times New Roman"/>
          <w:b/>
          <w:bCs/>
          <w:color w:val="000000" w:themeColor="text1"/>
          <w:sz w:val="22"/>
          <w:szCs w:val="22"/>
          <w:lang w:val="fr-FR"/>
        </w:rPr>
        <w:t>t</w:t>
      </w:r>
      <w:r w:rsidRPr="005D062F">
        <w:rPr>
          <w:rFonts w:ascii="Times New Roman" w:hAnsi="Times New Roman" w:cs="Times New Roman"/>
          <w:b/>
          <w:bCs/>
          <w:color w:val="000000" w:themeColor="text1"/>
          <w:sz w:val="22"/>
          <w:szCs w:val="22"/>
          <w:lang w:val="fr-FR"/>
        </w:rPr>
        <w:t>ourism</w:t>
      </w:r>
      <w:r w:rsidR="0096279A" w:rsidRPr="005D062F">
        <w:rPr>
          <w:rFonts w:ascii="Times New Roman" w:hAnsi="Times New Roman" w:cs="Times New Roman"/>
          <w:b/>
          <w:bCs/>
          <w:color w:val="000000" w:themeColor="text1"/>
          <w:sz w:val="22"/>
          <w:szCs w:val="22"/>
          <w:lang w:val="fr-FR"/>
        </w:rPr>
        <w:t>e</w:t>
      </w:r>
    </w:p>
    <w:p w14:paraId="27B2431D" w14:textId="77777777" w:rsidR="00ED78BF" w:rsidRPr="005D062F" w:rsidRDefault="00ED78BF" w:rsidP="00723DAD">
      <w:pPr>
        <w:rPr>
          <w:rFonts w:ascii="Times New Roman" w:hAnsi="Times New Roman" w:cs="Times New Roman"/>
          <w:color w:val="000000" w:themeColor="text1"/>
          <w:sz w:val="22"/>
          <w:szCs w:val="22"/>
          <w:lang w:val="fr-FR"/>
        </w:rPr>
      </w:pPr>
      <w:bookmarkStart w:id="10" w:name="_Toc353953882"/>
    </w:p>
    <w:p w14:paraId="7CC5685D" w14:textId="3E94B62B" w:rsidR="00ED78BF" w:rsidRPr="005D062F" w:rsidRDefault="00523CF7" w:rsidP="00CB030B">
      <w:pPr>
        <w:pStyle w:val="ListParagraph"/>
        <w:numPr>
          <w:ilvl w:val="0"/>
          <w:numId w:val="11"/>
        </w:numPr>
        <w:ind w:left="1440" w:hanging="720"/>
        <w:jc w:val="both"/>
        <w:rPr>
          <w:color w:val="000000" w:themeColor="text1"/>
          <w:sz w:val="22"/>
          <w:szCs w:val="22"/>
          <w:lang w:val="fr-FR"/>
        </w:rPr>
      </w:pPr>
      <w:r w:rsidRPr="005D062F">
        <w:rPr>
          <w:color w:val="000000" w:themeColor="text1"/>
          <w:sz w:val="22"/>
          <w:szCs w:val="22"/>
          <w:lang w:val="fr-FR"/>
        </w:rPr>
        <w:t>Le SEDI a organisé et animé avec succès la réunion de planification des autorités du processus ministériel du tourisme qui s’est tenue en mode virtuel le 18 mai 2022</w:t>
      </w:r>
      <w:r w:rsidR="00ED78BF" w:rsidRPr="005D062F">
        <w:rPr>
          <w:color w:val="000000" w:themeColor="text1"/>
          <w:sz w:val="22"/>
          <w:szCs w:val="22"/>
          <w:lang w:val="fr-FR"/>
        </w:rPr>
        <w:t xml:space="preserve">. </w:t>
      </w:r>
      <w:r w:rsidR="00704E20" w:rsidRPr="005D062F">
        <w:rPr>
          <w:color w:val="000000" w:themeColor="text1"/>
          <w:sz w:val="22"/>
          <w:szCs w:val="22"/>
          <w:lang w:val="fr-FR"/>
        </w:rPr>
        <w:t>Les autorités se sont mises d’accord sur le projet de Plan de travail 2022-2024 de la Commission interaméricaine du tourisme</w:t>
      </w:r>
      <w:r w:rsidR="00ED78BF" w:rsidRPr="005D062F">
        <w:rPr>
          <w:color w:val="000000" w:themeColor="text1"/>
          <w:sz w:val="22"/>
          <w:szCs w:val="22"/>
          <w:lang w:val="fr-FR"/>
        </w:rPr>
        <w:t xml:space="preserve"> (CITUR)</w:t>
      </w:r>
      <w:r w:rsidR="00447799" w:rsidRPr="005D062F">
        <w:rPr>
          <w:color w:val="000000" w:themeColor="text1"/>
          <w:sz w:val="22"/>
          <w:szCs w:val="22"/>
          <w:lang w:val="fr-FR"/>
        </w:rPr>
        <w:t>,</w:t>
      </w:r>
      <w:r w:rsidR="00ED78BF" w:rsidRPr="005D062F">
        <w:rPr>
          <w:color w:val="000000" w:themeColor="text1"/>
          <w:sz w:val="22"/>
          <w:szCs w:val="22"/>
          <w:lang w:val="fr-FR"/>
        </w:rPr>
        <w:t xml:space="preserve"> </w:t>
      </w:r>
      <w:r w:rsidR="004E7086" w:rsidRPr="005D062F">
        <w:rPr>
          <w:color w:val="000000" w:themeColor="text1"/>
          <w:sz w:val="22"/>
          <w:szCs w:val="22"/>
          <w:lang w:val="fr-FR"/>
        </w:rPr>
        <w:t>lequel</w:t>
      </w:r>
      <w:r w:rsidR="00704E20" w:rsidRPr="005D062F">
        <w:rPr>
          <w:color w:val="000000" w:themeColor="text1"/>
          <w:sz w:val="22"/>
          <w:szCs w:val="22"/>
          <w:lang w:val="fr-FR"/>
        </w:rPr>
        <w:t xml:space="preserve"> a été précédemment approuvé par le Comité des politiques de</w:t>
      </w:r>
      <w:r w:rsidR="004E7086" w:rsidRPr="005D062F">
        <w:rPr>
          <w:color w:val="000000" w:themeColor="text1"/>
          <w:sz w:val="22"/>
          <w:szCs w:val="22"/>
          <w:lang w:val="fr-FR"/>
        </w:rPr>
        <w:t xml:space="preserve"> </w:t>
      </w:r>
      <w:r w:rsidR="00704E20" w:rsidRPr="005D062F">
        <w:rPr>
          <w:color w:val="000000" w:themeColor="text1"/>
          <w:sz w:val="22"/>
          <w:szCs w:val="22"/>
          <w:lang w:val="fr-FR"/>
        </w:rPr>
        <w:t>coopération</w:t>
      </w:r>
      <w:r w:rsidR="004E7086" w:rsidRPr="005D062F">
        <w:rPr>
          <w:color w:val="000000" w:themeColor="text1"/>
          <w:sz w:val="22"/>
          <w:szCs w:val="22"/>
          <w:lang w:val="fr-FR"/>
        </w:rPr>
        <w:t xml:space="preserve"> </w:t>
      </w:r>
      <w:r w:rsidR="00704E20" w:rsidRPr="005D062F">
        <w:rPr>
          <w:color w:val="000000" w:themeColor="text1"/>
          <w:sz w:val="22"/>
          <w:szCs w:val="22"/>
          <w:lang w:val="fr-FR"/>
        </w:rPr>
        <w:t>en</w:t>
      </w:r>
      <w:r w:rsidR="004E7086" w:rsidRPr="005D062F">
        <w:rPr>
          <w:color w:val="000000" w:themeColor="text1"/>
          <w:sz w:val="22"/>
          <w:szCs w:val="22"/>
          <w:lang w:val="fr-FR"/>
        </w:rPr>
        <w:t xml:space="preserve"> </w:t>
      </w:r>
      <w:r w:rsidR="00704E20" w:rsidRPr="005D062F">
        <w:rPr>
          <w:color w:val="000000" w:themeColor="text1"/>
          <w:sz w:val="22"/>
          <w:szCs w:val="22"/>
          <w:lang w:val="fr-FR"/>
        </w:rPr>
        <w:t>solidarité</w:t>
      </w:r>
      <w:r w:rsidR="004E7086" w:rsidRPr="005D062F">
        <w:rPr>
          <w:color w:val="000000" w:themeColor="text1"/>
          <w:sz w:val="22"/>
          <w:szCs w:val="22"/>
          <w:lang w:val="fr-FR"/>
        </w:rPr>
        <w:t xml:space="preserve"> </w:t>
      </w:r>
      <w:r w:rsidR="00704E20" w:rsidRPr="005D062F">
        <w:rPr>
          <w:color w:val="000000" w:themeColor="text1"/>
          <w:sz w:val="22"/>
          <w:szCs w:val="22"/>
          <w:lang w:val="fr-FR"/>
        </w:rPr>
        <w:t xml:space="preserve">pour le développement du </w:t>
      </w:r>
      <w:r w:rsidR="00ED78BF" w:rsidRPr="005D062F">
        <w:rPr>
          <w:color w:val="000000" w:themeColor="text1"/>
          <w:sz w:val="22"/>
          <w:szCs w:val="22"/>
          <w:lang w:val="fr-FR"/>
        </w:rPr>
        <w:t>CIDI</w:t>
      </w:r>
      <w:r w:rsidR="00704E20" w:rsidRPr="005D062F">
        <w:rPr>
          <w:color w:val="000000" w:themeColor="text1"/>
          <w:sz w:val="22"/>
          <w:szCs w:val="22"/>
          <w:lang w:val="fr-FR"/>
        </w:rPr>
        <w:t xml:space="preserve"> lors de sa réunion de juillet </w:t>
      </w:r>
      <w:r w:rsidR="00ED78BF" w:rsidRPr="005D062F">
        <w:rPr>
          <w:color w:val="000000" w:themeColor="text1"/>
          <w:sz w:val="22"/>
          <w:szCs w:val="22"/>
          <w:lang w:val="fr-FR"/>
        </w:rPr>
        <w:t xml:space="preserve">2022. </w:t>
      </w:r>
      <w:r w:rsidR="00704E20" w:rsidRPr="005D062F">
        <w:rPr>
          <w:color w:val="000000" w:themeColor="text1"/>
          <w:sz w:val="22"/>
          <w:szCs w:val="22"/>
          <w:lang w:val="fr-FR"/>
        </w:rPr>
        <w:t>L</w:t>
      </w:r>
      <w:r w:rsidR="00ED78BF" w:rsidRPr="005D062F">
        <w:rPr>
          <w:color w:val="000000" w:themeColor="text1"/>
          <w:sz w:val="22"/>
          <w:szCs w:val="22"/>
          <w:lang w:val="fr-FR"/>
        </w:rPr>
        <w:t xml:space="preserve">e Plan </w:t>
      </w:r>
      <w:r w:rsidR="00704E20" w:rsidRPr="005D062F">
        <w:rPr>
          <w:color w:val="000000" w:themeColor="text1"/>
          <w:sz w:val="22"/>
          <w:szCs w:val="22"/>
          <w:lang w:val="fr-FR"/>
        </w:rPr>
        <w:t xml:space="preserve">décrit les mesures concrètes pour </w:t>
      </w:r>
      <w:r w:rsidR="0031520B" w:rsidRPr="005D062F">
        <w:rPr>
          <w:color w:val="000000" w:themeColor="text1"/>
          <w:sz w:val="22"/>
          <w:szCs w:val="22"/>
          <w:lang w:val="fr-FR"/>
        </w:rPr>
        <w:t>exécuter l</w:t>
      </w:r>
      <w:r w:rsidR="00704E20" w:rsidRPr="005D062F">
        <w:rPr>
          <w:color w:val="000000" w:themeColor="text1"/>
          <w:sz w:val="22"/>
          <w:szCs w:val="22"/>
          <w:lang w:val="fr-FR"/>
        </w:rPr>
        <w:t xml:space="preserve">es mandats et engagements de la Déclaration du </w:t>
      </w:r>
      <w:r w:rsidR="00ED78BF" w:rsidRPr="005D062F">
        <w:rPr>
          <w:color w:val="000000" w:themeColor="text1"/>
          <w:sz w:val="22"/>
          <w:szCs w:val="22"/>
          <w:lang w:val="fr-FR"/>
        </w:rPr>
        <w:t xml:space="preserve">Paraguay </w:t>
      </w:r>
      <w:r w:rsidR="009939C5" w:rsidRPr="005D062F">
        <w:rPr>
          <w:color w:val="000000" w:themeColor="text1"/>
          <w:sz w:val="22"/>
          <w:szCs w:val="22"/>
          <w:lang w:val="fr-FR"/>
        </w:rPr>
        <w:t>et les intègre d</w:t>
      </w:r>
      <w:r w:rsidR="000A18D0" w:rsidRPr="005D062F">
        <w:rPr>
          <w:color w:val="000000" w:themeColor="text1"/>
          <w:sz w:val="22"/>
          <w:szCs w:val="22"/>
          <w:lang w:val="fr-FR"/>
        </w:rPr>
        <w:t>ans le cadre des plans d’action</w:t>
      </w:r>
      <w:r w:rsidR="009939C5" w:rsidRPr="005D062F">
        <w:rPr>
          <w:color w:val="000000" w:themeColor="text1"/>
          <w:sz w:val="22"/>
          <w:szCs w:val="22"/>
          <w:lang w:val="fr-FR"/>
        </w:rPr>
        <w:t xml:space="preserve"> des quatre groupes de travail spécialisés de la CITUR créés en </w:t>
      </w:r>
      <w:r w:rsidR="00ED78BF" w:rsidRPr="005D062F">
        <w:rPr>
          <w:color w:val="000000" w:themeColor="text1"/>
          <w:sz w:val="22"/>
          <w:szCs w:val="22"/>
          <w:lang w:val="fr-FR"/>
        </w:rPr>
        <w:t xml:space="preserve">2020. </w:t>
      </w:r>
    </w:p>
    <w:p w14:paraId="3C41C284" w14:textId="77777777" w:rsidR="00ED78BF" w:rsidRPr="005D062F" w:rsidRDefault="00ED78BF" w:rsidP="00723DAD">
      <w:pPr>
        <w:rPr>
          <w:rFonts w:ascii="Times New Roman" w:hAnsi="Times New Roman" w:cs="Times New Roman"/>
          <w:color w:val="000000" w:themeColor="text1"/>
          <w:sz w:val="22"/>
          <w:szCs w:val="22"/>
          <w:lang w:val="fr-FR"/>
        </w:rPr>
      </w:pPr>
    </w:p>
    <w:p w14:paraId="41D01473" w14:textId="07577192" w:rsidR="00ED78BF" w:rsidRPr="005D062F" w:rsidRDefault="0031520B" w:rsidP="00CB030B">
      <w:pPr>
        <w:pStyle w:val="ListParagraph"/>
        <w:numPr>
          <w:ilvl w:val="0"/>
          <w:numId w:val="11"/>
        </w:numPr>
        <w:ind w:left="1440" w:hanging="720"/>
        <w:jc w:val="both"/>
        <w:rPr>
          <w:sz w:val="22"/>
          <w:szCs w:val="22"/>
          <w:lang w:val="fr-FR"/>
        </w:rPr>
      </w:pPr>
      <w:r w:rsidRPr="005D062F">
        <w:rPr>
          <w:color w:val="000000" w:themeColor="text1"/>
          <w:sz w:val="22"/>
          <w:szCs w:val="22"/>
          <w:lang w:val="fr-FR"/>
        </w:rPr>
        <w:t>Des progrès considérables ont été réalis</w:t>
      </w:r>
      <w:r w:rsidR="007C29F0" w:rsidRPr="005D062F">
        <w:rPr>
          <w:color w:val="000000" w:themeColor="text1"/>
          <w:sz w:val="22"/>
          <w:szCs w:val="22"/>
          <w:lang w:val="fr-FR"/>
        </w:rPr>
        <w:t>és en faveur du renforcement</w:t>
      </w:r>
      <w:r w:rsidR="004D63D2" w:rsidRPr="005D062F">
        <w:rPr>
          <w:color w:val="000000" w:themeColor="text1"/>
          <w:sz w:val="22"/>
          <w:szCs w:val="22"/>
          <w:lang w:val="fr-FR"/>
        </w:rPr>
        <w:t xml:space="preserve"> de l’</w:t>
      </w:r>
      <w:r w:rsidR="00447799" w:rsidRPr="005D062F">
        <w:rPr>
          <w:color w:val="000000" w:themeColor="text1"/>
          <w:sz w:val="22"/>
          <w:szCs w:val="22"/>
          <w:lang w:val="fr-FR"/>
        </w:rPr>
        <w:t>ITCA</w:t>
      </w:r>
      <w:r w:rsidR="00ED78BF" w:rsidRPr="005D062F">
        <w:rPr>
          <w:color w:val="000000" w:themeColor="text1"/>
          <w:sz w:val="22"/>
          <w:szCs w:val="22"/>
          <w:lang w:val="fr-FR"/>
        </w:rPr>
        <w:t xml:space="preserve">, </w:t>
      </w:r>
      <w:r w:rsidRPr="005D062F">
        <w:rPr>
          <w:color w:val="000000" w:themeColor="text1"/>
          <w:sz w:val="22"/>
          <w:szCs w:val="22"/>
          <w:lang w:val="fr-FR"/>
        </w:rPr>
        <w:t>en p</w:t>
      </w:r>
      <w:r w:rsidR="00447799" w:rsidRPr="005D062F">
        <w:rPr>
          <w:color w:val="000000" w:themeColor="text1"/>
          <w:sz w:val="22"/>
          <w:szCs w:val="22"/>
          <w:lang w:val="fr-FR"/>
        </w:rPr>
        <w:t>articul</w:t>
      </w:r>
      <w:r w:rsidRPr="005D062F">
        <w:rPr>
          <w:color w:val="000000" w:themeColor="text1"/>
          <w:sz w:val="22"/>
          <w:szCs w:val="22"/>
          <w:lang w:val="fr-FR"/>
        </w:rPr>
        <w:t xml:space="preserve">ier concernant son développement et la mise en place de son </w:t>
      </w:r>
      <w:r w:rsidR="000A18D0" w:rsidRPr="005D062F">
        <w:rPr>
          <w:color w:val="000000" w:themeColor="text1"/>
          <w:sz w:val="22"/>
          <w:szCs w:val="22"/>
          <w:lang w:val="fr-FR"/>
        </w:rPr>
        <w:t>dépôt</w:t>
      </w:r>
      <w:r w:rsidRPr="005D062F">
        <w:rPr>
          <w:color w:val="000000" w:themeColor="text1"/>
          <w:sz w:val="22"/>
          <w:szCs w:val="22"/>
          <w:lang w:val="fr-FR"/>
        </w:rPr>
        <w:t xml:space="preserve"> numérique</w:t>
      </w:r>
      <w:r w:rsidR="00ED78BF" w:rsidRPr="005D062F">
        <w:rPr>
          <w:sz w:val="22"/>
          <w:szCs w:val="22"/>
          <w:lang w:val="fr-FR"/>
        </w:rPr>
        <w:t xml:space="preserve">. </w:t>
      </w:r>
      <w:r w:rsidRPr="005D062F">
        <w:rPr>
          <w:sz w:val="22"/>
          <w:szCs w:val="22"/>
          <w:lang w:val="fr-FR"/>
        </w:rPr>
        <w:t>Au cours de l’année, le nombre d’adhésions à cette initiative de collaboration a augmenté de plus de 20 %</w:t>
      </w:r>
      <w:r w:rsidR="00ED78BF" w:rsidRPr="005D062F">
        <w:rPr>
          <w:sz w:val="22"/>
          <w:szCs w:val="22"/>
          <w:lang w:val="fr-FR"/>
        </w:rPr>
        <w:t xml:space="preserve">. </w:t>
      </w:r>
      <w:r w:rsidR="008307EE" w:rsidRPr="005D062F">
        <w:rPr>
          <w:sz w:val="22"/>
          <w:szCs w:val="22"/>
          <w:lang w:val="fr-FR"/>
        </w:rPr>
        <w:t>Une</w:t>
      </w:r>
      <w:r w:rsidR="00ED78BF" w:rsidRPr="005D062F">
        <w:rPr>
          <w:sz w:val="22"/>
          <w:szCs w:val="22"/>
          <w:lang w:val="fr-FR"/>
        </w:rPr>
        <w:t xml:space="preserve"> </w:t>
      </w:r>
      <w:hyperlink r:id="rId16" w:history="1">
        <w:r w:rsidR="008307EE" w:rsidRPr="005D062F">
          <w:rPr>
            <w:rStyle w:val="Hyperlink"/>
            <w:sz w:val="22"/>
            <w:szCs w:val="22"/>
            <w:lang w:val="fr-FR"/>
          </w:rPr>
          <w:t>demande de ressources</w:t>
        </w:r>
      </w:hyperlink>
      <w:r w:rsidR="00ED78BF" w:rsidRPr="005D062F">
        <w:rPr>
          <w:sz w:val="22"/>
          <w:szCs w:val="22"/>
          <w:lang w:val="fr-FR"/>
        </w:rPr>
        <w:t xml:space="preserve"> </w:t>
      </w:r>
      <w:r w:rsidR="007025D5" w:rsidRPr="005D062F">
        <w:rPr>
          <w:sz w:val="22"/>
          <w:szCs w:val="22"/>
          <w:lang w:val="fr-FR"/>
        </w:rPr>
        <w:t xml:space="preserve">a été lancée en août 2022 et clôturée le 16 décembre 2022 afin d’établir </w:t>
      </w:r>
      <w:r w:rsidR="002565B3" w:rsidRPr="005D062F">
        <w:rPr>
          <w:sz w:val="22"/>
          <w:szCs w:val="22"/>
          <w:lang w:val="fr-FR"/>
        </w:rPr>
        <w:t>ce</w:t>
      </w:r>
      <w:r w:rsidR="007025D5" w:rsidRPr="005D062F">
        <w:rPr>
          <w:sz w:val="22"/>
          <w:szCs w:val="22"/>
          <w:lang w:val="fr-FR"/>
        </w:rPr>
        <w:t xml:space="preserve"> </w:t>
      </w:r>
      <w:r w:rsidR="002565B3" w:rsidRPr="005D062F">
        <w:rPr>
          <w:sz w:val="22"/>
          <w:szCs w:val="22"/>
          <w:lang w:val="fr-FR"/>
        </w:rPr>
        <w:t>dépôt</w:t>
      </w:r>
      <w:r w:rsidR="007025D5" w:rsidRPr="005D062F">
        <w:rPr>
          <w:sz w:val="22"/>
          <w:szCs w:val="22"/>
          <w:lang w:val="fr-FR"/>
        </w:rPr>
        <w:t xml:space="preserve"> numérique comme portail de ressources du tourisme autochtone</w:t>
      </w:r>
      <w:r w:rsidR="00ED78BF" w:rsidRPr="005D062F">
        <w:rPr>
          <w:sz w:val="22"/>
          <w:szCs w:val="22"/>
          <w:lang w:val="fr-FR"/>
        </w:rPr>
        <w:t xml:space="preserve">, </w:t>
      </w:r>
      <w:r w:rsidR="007025D5" w:rsidRPr="005D062F">
        <w:rPr>
          <w:sz w:val="22"/>
          <w:szCs w:val="22"/>
          <w:lang w:val="fr-FR"/>
        </w:rPr>
        <w:t xml:space="preserve">comportant </w:t>
      </w:r>
      <w:r w:rsidR="008307EE" w:rsidRPr="005D062F">
        <w:rPr>
          <w:sz w:val="22"/>
          <w:szCs w:val="22"/>
          <w:lang w:val="fr-FR"/>
        </w:rPr>
        <w:t>un inventaire complet et facilement accessible des outils et ressources disponibles pour aider les peuples autochtones, leurs parties prenantes et les partenaires à développer et mieux gérer l’activité touristique</w:t>
      </w:r>
      <w:r w:rsidR="00ED78BF" w:rsidRPr="005D062F">
        <w:rPr>
          <w:sz w:val="22"/>
          <w:szCs w:val="22"/>
          <w:lang w:val="fr-FR"/>
        </w:rPr>
        <w:t xml:space="preserve">. </w:t>
      </w:r>
    </w:p>
    <w:p w14:paraId="44B3A607" w14:textId="77777777" w:rsidR="00447799" w:rsidRPr="005D062F" w:rsidRDefault="00447799" w:rsidP="00723DAD">
      <w:pPr>
        <w:rPr>
          <w:rFonts w:ascii="Times New Roman" w:eastAsia="Calibri" w:hAnsi="Times New Roman" w:cs="Times New Roman"/>
          <w:color w:val="000000" w:themeColor="text1"/>
          <w:sz w:val="22"/>
          <w:szCs w:val="22"/>
          <w:lang w:val="fr-FR"/>
        </w:rPr>
      </w:pPr>
    </w:p>
    <w:p w14:paraId="233FB4FA" w14:textId="3C658625" w:rsidR="00ED78BF" w:rsidRPr="005D062F" w:rsidRDefault="00A07D1E" w:rsidP="00CB030B">
      <w:pPr>
        <w:pStyle w:val="ListParagraph"/>
        <w:numPr>
          <w:ilvl w:val="0"/>
          <w:numId w:val="11"/>
        </w:numPr>
        <w:ind w:left="1440" w:hanging="720"/>
        <w:jc w:val="both"/>
        <w:rPr>
          <w:color w:val="000000" w:themeColor="text1"/>
          <w:sz w:val="22"/>
          <w:szCs w:val="22"/>
          <w:lang w:val="fr-FR"/>
        </w:rPr>
      </w:pPr>
      <w:r w:rsidRPr="005D062F">
        <w:rPr>
          <w:color w:val="000000" w:themeColor="text1"/>
          <w:sz w:val="22"/>
          <w:szCs w:val="22"/>
          <w:lang w:val="fr-FR"/>
        </w:rPr>
        <w:t>Le projet</w:t>
      </w:r>
      <w:r w:rsidR="00006ED5" w:rsidRPr="005D062F">
        <w:rPr>
          <w:color w:val="000000" w:themeColor="text1"/>
          <w:sz w:val="22"/>
          <w:szCs w:val="22"/>
          <w:lang w:val="fr-FR"/>
        </w:rPr>
        <w:t xml:space="preserve"> « </w:t>
      </w:r>
      <w:r w:rsidRPr="005D062F">
        <w:rPr>
          <w:b/>
          <w:color w:val="000000" w:themeColor="text1"/>
          <w:sz w:val="22"/>
          <w:szCs w:val="22"/>
          <w:lang w:val="fr-FR"/>
        </w:rPr>
        <w:t>Renforcer la résilience</w:t>
      </w:r>
      <w:r w:rsidR="00006ED5" w:rsidRPr="005D062F">
        <w:rPr>
          <w:b/>
          <w:color w:val="000000" w:themeColor="text1"/>
          <w:sz w:val="22"/>
          <w:szCs w:val="22"/>
          <w:lang w:val="fr-FR"/>
        </w:rPr>
        <w:t xml:space="preserve"> </w:t>
      </w:r>
      <w:r w:rsidRPr="005D062F">
        <w:rPr>
          <w:b/>
          <w:color w:val="000000" w:themeColor="text1"/>
          <w:sz w:val="22"/>
          <w:szCs w:val="22"/>
          <w:lang w:val="fr-FR"/>
        </w:rPr>
        <w:t>des petites entreprises</w:t>
      </w:r>
      <w:r w:rsidR="00006ED5" w:rsidRPr="005D062F">
        <w:rPr>
          <w:b/>
          <w:color w:val="000000" w:themeColor="text1"/>
          <w:sz w:val="22"/>
          <w:szCs w:val="22"/>
          <w:lang w:val="fr-FR"/>
        </w:rPr>
        <w:t xml:space="preserve"> </w:t>
      </w:r>
      <w:r w:rsidRPr="005D062F">
        <w:rPr>
          <w:b/>
          <w:color w:val="000000" w:themeColor="text1"/>
          <w:sz w:val="22"/>
          <w:szCs w:val="22"/>
          <w:lang w:val="fr-FR"/>
        </w:rPr>
        <w:t>touristiques</w:t>
      </w:r>
      <w:r w:rsidR="00006ED5" w:rsidRPr="005D062F">
        <w:rPr>
          <w:b/>
          <w:color w:val="000000" w:themeColor="text1"/>
          <w:sz w:val="22"/>
          <w:szCs w:val="22"/>
          <w:lang w:val="fr-FR"/>
        </w:rPr>
        <w:t xml:space="preserve"> </w:t>
      </w:r>
      <w:r w:rsidRPr="005D062F">
        <w:rPr>
          <w:b/>
          <w:color w:val="000000" w:themeColor="text1"/>
          <w:sz w:val="22"/>
          <w:szCs w:val="22"/>
          <w:lang w:val="fr-FR"/>
        </w:rPr>
        <w:t>des</w:t>
      </w:r>
      <w:r w:rsidR="00006ED5" w:rsidRPr="005D062F">
        <w:rPr>
          <w:b/>
          <w:color w:val="000000" w:themeColor="text1"/>
          <w:sz w:val="22"/>
          <w:szCs w:val="22"/>
          <w:lang w:val="fr-FR"/>
        </w:rPr>
        <w:t xml:space="preserve"> </w:t>
      </w:r>
      <w:r w:rsidRPr="005D062F">
        <w:rPr>
          <w:b/>
          <w:color w:val="000000" w:themeColor="text1"/>
          <w:sz w:val="22"/>
          <w:szCs w:val="22"/>
          <w:lang w:val="fr-FR"/>
        </w:rPr>
        <w:t>Caraïbes</w:t>
      </w:r>
      <w:r w:rsidR="00006ED5" w:rsidRPr="005D062F">
        <w:rPr>
          <w:b/>
          <w:color w:val="000000" w:themeColor="text1"/>
          <w:sz w:val="22"/>
          <w:szCs w:val="22"/>
          <w:lang w:val="fr-FR"/>
        </w:rPr>
        <w:t xml:space="preserve"> </w:t>
      </w:r>
      <w:r w:rsidRPr="005D062F">
        <w:rPr>
          <w:b/>
          <w:color w:val="000000" w:themeColor="text1"/>
          <w:sz w:val="22"/>
          <w:szCs w:val="22"/>
          <w:lang w:val="fr-FR"/>
        </w:rPr>
        <w:t>face aux</w:t>
      </w:r>
      <w:r w:rsidR="00006ED5" w:rsidRPr="005D062F">
        <w:rPr>
          <w:b/>
          <w:color w:val="000000" w:themeColor="text1"/>
          <w:sz w:val="22"/>
          <w:szCs w:val="22"/>
          <w:lang w:val="fr-FR"/>
        </w:rPr>
        <w:t xml:space="preserve"> </w:t>
      </w:r>
      <w:r w:rsidRPr="005D062F">
        <w:rPr>
          <w:b/>
          <w:color w:val="000000" w:themeColor="text1"/>
          <w:sz w:val="22"/>
          <w:szCs w:val="22"/>
          <w:lang w:val="fr-FR"/>
        </w:rPr>
        <w:t>catastrophes</w:t>
      </w:r>
      <w:r w:rsidR="00006ED5" w:rsidRPr="005D062F">
        <w:rPr>
          <w:color w:val="000000" w:themeColor="text1"/>
          <w:sz w:val="22"/>
          <w:szCs w:val="22"/>
          <w:lang w:val="fr-FR"/>
        </w:rPr>
        <w:t> »</w:t>
      </w:r>
      <w:r w:rsidR="0031196C" w:rsidRPr="005D062F">
        <w:rPr>
          <w:color w:val="000000" w:themeColor="text1"/>
          <w:sz w:val="22"/>
          <w:szCs w:val="22"/>
          <w:lang w:val="fr-FR"/>
        </w:rPr>
        <w:t>,</w:t>
      </w:r>
      <w:r w:rsidR="00006ED5" w:rsidRPr="005D062F">
        <w:rPr>
          <w:color w:val="000000" w:themeColor="text1"/>
          <w:sz w:val="22"/>
          <w:szCs w:val="22"/>
          <w:lang w:val="fr-FR"/>
        </w:rPr>
        <w:t xml:space="preserve"> mené</w:t>
      </w:r>
      <w:r w:rsidR="002565B3" w:rsidRPr="005D062F">
        <w:rPr>
          <w:color w:val="000000" w:themeColor="text1"/>
          <w:sz w:val="22"/>
          <w:szCs w:val="22"/>
          <w:lang w:val="fr-FR"/>
        </w:rPr>
        <w:t xml:space="preserve"> en collaboration avec le DD</w:t>
      </w:r>
      <w:r w:rsidR="00ED78BF" w:rsidRPr="005D062F">
        <w:rPr>
          <w:color w:val="000000" w:themeColor="text1"/>
          <w:sz w:val="22"/>
          <w:szCs w:val="22"/>
          <w:lang w:val="fr-FR"/>
        </w:rPr>
        <w:t>D</w:t>
      </w:r>
      <w:r w:rsidR="0031196C" w:rsidRPr="005D062F">
        <w:rPr>
          <w:color w:val="000000" w:themeColor="text1"/>
          <w:sz w:val="22"/>
          <w:szCs w:val="22"/>
          <w:lang w:val="fr-FR"/>
        </w:rPr>
        <w:t>,</w:t>
      </w:r>
      <w:r w:rsidR="00006ED5" w:rsidRPr="005D062F">
        <w:rPr>
          <w:color w:val="000000" w:themeColor="text1"/>
          <w:sz w:val="22"/>
          <w:szCs w:val="22"/>
          <w:lang w:val="fr-FR"/>
        </w:rPr>
        <w:t xml:space="preserve"> s’est terminé le 30 septembre </w:t>
      </w:r>
      <w:r w:rsidR="00ED78BF" w:rsidRPr="005D062F">
        <w:rPr>
          <w:color w:val="000000" w:themeColor="text1"/>
          <w:sz w:val="22"/>
          <w:szCs w:val="22"/>
          <w:lang w:val="fr-FR"/>
        </w:rPr>
        <w:t xml:space="preserve">2022. </w:t>
      </w:r>
      <w:r w:rsidR="00C213DE" w:rsidRPr="005D062F">
        <w:rPr>
          <w:color w:val="000000" w:themeColor="text1"/>
          <w:sz w:val="22"/>
          <w:szCs w:val="22"/>
          <w:lang w:val="fr-FR"/>
        </w:rPr>
        <w:t xml:space="preserve">L’activité clé restante pour l’année </w:t>
      </w:r>
      <w:r w:rsidR="00ED78BF" w:rsidRPr="005D062F">
        <w:rPr>
          <w:color w:val="000000" w:themeColor="text1"/>
          <w:sz w:val="22"/>
          <w:szCs w:val="22"/>
          <w:lang w:val="fr-FR"/>
        </w:rPr>
        <w:t>2022</w:t>
      </w:r>
      <w:r w:rsidR="00C213DE" w:rsidRPr="005D062F">
        <w:rPr>
          <w:color w:val="000000" w:themeColor="text1"/>
          <w:sz w:val="22"/>
          <w:szCs w:val="22"/>
          <w:lang w:val="fr-FR"/>
        </w:rPr>
        <w:t xml:space="preserve">, à savoir le </w:t>
      </w:r>
      <w:r w:rsidR="00ED78BF" w:rsidRPr="005D062F">
        <w:rPr>
          <w:color w:val="000000" w:themeColor="text1"/>
          <w:sz w:val="22"/>
          <w:szCs w:val="22"/>
          <w:lang w:val="fr-FR"/>
        </w:rPr>
        <w:t>Forum</w:t>
      </w:r>
      <w:r w:rsidR="00C213DE" w:rsidRPr="005D062F">
        <w:rPr>
          <w:color w:val="000000" w:themeColor="text1"/>
          <w:sz w:val="22"/>
          <w:szCs w:val="22"/>
          <w:lang w:val="fr-FR"/>
        </w:rPr>
        <w:t xml:space="preserve"> de haut niveau sur les politiques,</w:t>
      </w:r>
      <w:r w:rsidR="00402FDE" w:rsidRPr="005D062F">
        <w:rPr>
          <w:color w:val="000000" w:themeColor="text1"/>
          <w:sz w:val="22"/>
          <w:szCs w:val="22"/>
          <w:lang w:val="fr-FR"/>
        </w:rPr>
        <w:t xml:space="preserve"> a été organisée avec succès en </w:t>
      </w:r>
      <w:r w:rsidR="00ED78BF" w:rsidRPr="005D062F">
        <w:rPr>
          <w:color w:val="000000" w:themeColor="text1"/>
          <w:sz w:val="22"/>
          <w:szCs w:val="22"/>
          <w:lang w:val="fr-FR"/>
        </w:rPr>
        <w:t xml:space="preserve">collaboration </w:t>
      </w:r>
      <w:r w:rsidR="00402FDE" w:rsidRPr="005D062F">
        <w:rPr>
          <w:color w:val="000000" w:themeColor="text1"/>
          <w:sz w:val="22"/>
          <w:szCs w:val="22"/>
          <w:lang w:val="fr-FR"/>
        </w:rPr>
        <w:t xml:space="preserve">avec le ministère du tourisme de la </w:t>
      </w:r>
      <w:r w:rsidR="00ED78BF" w:rsidRPr="005D062F">
        <w:rPr>
          <w:color w:val="000000" w:themeColor="text1"/>
          <w:sz w:val="22"/>
          <w:szCs w:val="22"/>
          <w:lang w:val="fr-FR"/>
        </w:rPr>
        <w:t>Jama</w:t>
      </w:r>
      <w:r w:rsidR="00402FDE" w:rsidRPr="005D062F">
        <w:rPr>
          <w:color w:val="000000" w:themeColor="text1"/>
          <w:sz w:val="22"/>
          <w:szCs w:val="22"/>
          <w:lang w:val="fr-FR"/>
        </w:rPr>
        <w:t xml:space="preserve">ïque et </w:t>
      </w:r>
      <w:r w:rsidR="00C213DE" w:rsidRPr="005D062F">
        <w:rPr>
          <w:color w:val="000000" w:themeColor="text1"/>
          <w:sz w:val="22"/>
          <w:szCs w:val="22"/>
          <w:lang w:val="fr-FR"/>
        </w:rPr>
        <w:t>la</w:t>
      </w:r>
      <w:r w:rsidR="00ED78BF" w:rsidRPr="005D062F">
        <w:rPr>
          <w:color w:val="000000" w:themeColor="text1"/>
          <w:sz w:val="22"/>
          <w:szCs w:val="22"/>
          <w:lang w:val="fr-FR"/>
        </w:rPr>
        <w:t xml:space="preserve"> Caribbean Hotel and Tourism Association</w:t>
      </w:r>
      <w:r w:rsidR="00C213DE" w:rsidRPr="005D062F">
        <w:rPr>
          <w:color w:val="000000" w:themeColor="text1"/>
          <w:sz w:val="22"/>
          <w:szCs w:val="22"/>
          <w:lang w:val="fr-FR"/>
        </w:rPr>
        <w:t xml:space="preserve"> (Association hôtelière et touristique des Caraïbes) et s’est tenue à Montego Bay en Jamaïque les 20 et 21 juillet </w:t>
      </w:r>
      <w:r w:rsidR="00E97409" w:rsidRPr="005D062F">
        <w:rPr>
          <w:color w:val="000000" w:themeColor="text1"/>
          <w:sz w:val="22"/>
          <w:szCs w:val="22"/>
          <w:lang w:val="fr-FR"/>
        </w:rPr>
        <w:t>2022. L</w:t>
      </w:r>
      <w:r w:rsidR="0031196C" w:rsidRPr="005D062F">
        <w:rPr>
          <w:color w:val="000000" w:themeColor="text1"/>
          <w:sz w:val="22"/>
          <w:szCs w:val="22"/>
          <w:lang w:val="fr-FR"/>
        </w:rPr>
        <w:t>e F</w:t>
      </w:r>
      <w:r w:rsidR="00ED78BF" w:rsidRPr="005D062F">
        <w:rPr>
          <w:color w:val="000000" w:themeColor="text1"/>
          <w:sz w:val="22"/>
          <w:szCs w:val="22"/>
          <w:lang w:val="fr-FR"/>
        </w:rPr>
        <w:t xml:space="preserve">orum </w:t>
      </w:r>
      <w:r w:rsidR="00E97409" w:rsidRPr="005D062F">
        <w:rPr>
          <w:color w:val="000000" w:themeColor="text1"/>
          <w:sz w:val="22"/>
          <w:szCs w:val="22"/>
          <w:lang w:val="fr-FR"/>
        </w:rPr>
        <w:t xml:space="preserve">a enregistré un taux de </w:t>
      </w:r>
      <w:r w:rsidR="00ED78BF" w:rsidRPr="005D062F">
        <w:rPr>
          <w:color w:val="000000" w:themeColor="text1"/>
          <w:sz w:val="22"/>
          <w:szCs w:val="22"/>
          <w:lang w:val="fr-FR"/>
        </w:rPr>
        <w:t xml:space="preserve">participation </w:t>
      </w:r>
      <w:r w:rsidR="00E97409" w:rsidRPr="005D062F">
        <w:rPr>
          <w:color w:val="000000" w:themeColor="text1"/>
          <w:sz w:val="22"/>
          <w:szCs w:val="22"/>
          <w:lang w:val="fr-FR"/>
        </w:rPr>
        <w:t xml:space="preserve">élevé des délégués en présentiel </w:t>
      </w:r>
      <w:r w:rsidR="00A05F17" w:rsidRPr="005D062F">
        <w:rPr>
          <w:color w:val="000000" w:themeColor="text1"/>
          <w:sz w:val="22"/>
          <w:szCs w:val="22"/>
          <w:lang w:val="fr-FR"/>
        </w:rPr>
        <w:t>(70</w:t>
      </w:r>
      <w:r w:rsidR="00E97409" w:rsidRPr="005D062F">
        <w:rPr>
          <w:color w:val="000000" w:themeColor="text1"/>
          <w:sz w:val="22"/>
          <w:szCs w:val="22"/>
          <w:lang w:val="fr-FR"/>
        </w:rPr>
        <w:t> personnes</w:t>
      </w:r>
      <w:r w:rsidR="00A05F17" w:rsidRPr="005D062F">
        <w:rPr>
          <w:color w:val="000000" w:themeColor="text1"/>
          <w:sz w:val="22"/>
          <w:szCs w:val="22"/>
          <w:lang w:val="fr-FR"/>
        </w:rPr>
        <w:t xml:space="preserve">) </w:t>
      </w:r>
      <w:r w:rsidR="00E97409" w:rsidRPr="005D062F">
        <w:rPr>
          <w:color w:val="000000" w:themeColor="text1"/>
          <w:sz w:val="22"/>
          <w:szCs w:val="22"/>
          <w:lang w:val="fr-FR"/>
        </w:rPr>
        <w:t>et des</w:t>
      </w:r>
      <w:r w:rsidR="00ED78BF" w:rsidRPr="005D062F">
        <w:rPr>
          <w:color w:val="000000" w:themeColor="text1"/>
          <w:sz w:val="22"/>
          <w:szCs w:val="22"/>
          <w:lang w:val="fr-FR"/>
        </w:rPr>
        <w:t xml:space="preserve"> </w:t>
      </w:r>
      <w:r w:rsidR="00A05F17" w:rsidRPr="005D062F">
        <w:rPr>
          <w:color w:val="000000" w:themeColor="text1"/>
          <w:sz w:val="22"/>
          <w:szCs w:val="22"/>
          <w:lang w:val="fr-FR"/>
        </w:rPr>
        <w:t>participants</w:t>
      </w:r>
      <w:r w:rsidR="00E97409" w:rsidRPr="005D062F">
        <w:rPr>
          <w:color w:val="000000" w:themeColor="text1"/>
          <w:sz w:val="22"/>
          <w:szCs w:val="22"/>
          <w:lang w:val="fr-FR"/>
        </w:rPr>
        <w:t xml:space="preserve"> à distance</w:t>
      </w:r>
      <w:r w:rsidR="00A05F17" w:rsidRPr="005D062F">
        <w:rPr>
          <w:color w:val="000000" w:themeColor="text1"/>
          <w:sz w:val="22"/>
          <w:szCs w:val="22"/>
          <w:lang w:val="fr-FR"/>
        </w:rPr>
        <w:t xml:space="preserve"> (159</w:t>
      </w:r>
      <w:r w:rsidR="00E97409" w:rsidRPr="005D062F">
        <w:rPr>
          <w:color w:val="000000" w:themeColor="text1"/>
          <w:sz w:val="22"/>
          <w:szCs w:val="22"/>
          <w:lang w:val="fr-FR"/>
        </w:rPr>
        <w:t> personnes</w:t>
      </w:r>
      <w:r w:rsidR="00A05F17" w:rsidRPr="005D062F">
        <w:rPr>
          <w:color w:val="000000" w:themeColor="text1"/>
          <w:sz w:val="22"/>
          <w:szCs w:val="22"/>
          <w:lang w:val="fr-FR"/>
        </w:rPr>
        <w:t>)</w:t>
      </w:r>
      <w:r w:rsidR="00ED78BF" w:rsidRPr="005D062F">
        <w:rPr>
          <w:color w:val="000000" w:themeColor="text1"/>
          <w:sz w:val="22"/>
          <w:szCs w:val="22"/>
          <w:lang w:val="fr-FR"/>
        </w:rPr>
        <w:t xml:space="preserve">. </w:t>
      </w:r>
      <w:r w:rsidR="00E97409" w:rsidRPr="005D062F">
        <w:rPr>
          <w:color w:val="000000" w:themeColor="text1"/>
          <w:sz w:val="22"/>
          <w:szCs w:val="22"/>
          <w:lang w:val="fr-FR"/>
        </w:rPr>
        <w:t>Les conclusions et les recomma</w:t>
      </w:r>
      <w:r w:rsidR="00ED78BF" w:rsidRPr="005D062F">
        <w:rPr>
          <w:color w:val="000000" w:themeColor="text1"/>
          <w:sz w:val="22"/>
          <w:szCs w:val="22"/>
          <w:lang w:val="fr-FR"/>
        </w:rPr>
        <w:t>ndations</w:t>
      </w:r>
      <w:r w:rsidR="00E97409" w:rsidRPr="005D062F">
        <w:rPr>
          <w:color w:val="000000" w:themeColor="text1"/>
          <w:sz w:val="22"/>
          <w:szCs w:val="22"/>
          <w:lang w:val="fr-FR"/>
        </w:rPr>
        <w:t xml:space="preserve"> formulées dans le cadre de ce projet ont été communiquées aux pays bénéficiaires par les voix officielles le 18 novembre </w:t>
      </w:r>
      <w:r w:rsidR="00ED78BF" w:rsidRPr="005D062F">
        <w:rPr>
          <w:color w:val="000000" w:themeColor="text1"/>
          <w:sz w:val="22"/>
          <w:szCs w:val="22"/>
          <w:lang w:val="fr-FR"/>
        </w:rPr>
        <w:t>2022.</w:t>
      </w:r>
    </w:p>
    <w:p w14:paraId="5E0EAAB1" w14:textId="77777777" w:rsidR="00ED78BF" w:rsidRPr="005D062F" w:rsidRDefault="00ED78BF" w:rsidP="00723DAD">
      <w:pPr>
        <w:rPr>
          <w:rFonts w:ascii="Times New Roman" w:hAnsi="Times New Roman" w:cs="Times New Roman"/>
          <w:color w:val="000000" w:themeColor="text1"/>
          <w:sz w:val="22"/>
          <w:szCs w:val="22"/>
          <w:lang w:val="fr-FR"/>
        </w:rPr>
      </w:pPr>
    </w:p>
    <w:p w14:paraId="73B73A44" w14:textId="0D82CE8B" w:rsidR="00ED78BF" w:rsidRPr="005D062F" w:rsidRDefault="006701A1" w:rsidP="002B1941">
      <w:pPr>
        <w:pStyle w:val="ListParagraph"/>
        <w:numPr>
          <w:ilvl w:val="0"/>
          <w:numId w:val="11"/>
        </w:numPr>
        <w:ind w:left="1440" w:hanging="720"/>
        <w:jc w:val="both"/>
        <w:rPr>
          <w:color w:val="000000" w:themeColor="text1"/>
          <w:sz w:val="22"/>
          <w:szCs w:val="22"/>
          <w:lang w:val="fr-FR"/>
        </w:rPr>
      </w:pPr>
      <w:r w:rsidRPr="005D062F">
        <w:rPr>
          <w:color w:val="000000" w:themeColor="text1"/>
          <w:sz w:val="22"/>
          <w:szCs w:val="22"/>
          <w:lang w:val="fr-FR"/>
        </w:rPr>
        <w:t>Le SEDI a organisé la Neuvième Réunion intera</w:t>
      </w:r>
      <w:r w:rsidR="00ED78BF" w:rsidRPr="005D062F">
        <w:rPr>
          <w:color w:val="000000" w:themeColor="text1"/>
          <w:sz w:val="22"/>
          <w:szCs w:val="22"/>
          <w:lang w:val="fr-FR"/>
        </w:rPr>
        <w:t>m</w:t>
      </w:r>
      <w:r w:rsidRPr="005D062F">
        <w:rPr>
          <w:color w:val="000000" w:themeColor="text1"/>
          <w:sz w:val="22"/>
          <w:szCs w:val="22"/>
          <w:lang w:val="fr-FR"/>
        </w:rPr>
        <w:t>é</w:t>
      </w:r>
      <w:r w:rsidR="00ED78BF" w:rsidRPr="005D062F">
        <w:rPr>
          <w:color w:val="000000" w:themeColor="text1"/>
          <w:sz w:val="22"/>
          <w:szCs w:val="22"/>
          <w:lang w:val="fr-FR"/>
        </w:rPr>
        <w:t>rica</w:t>
      </w:r>
      <w:r w:rsidRPr="005D062F">
        <w:rPr>
          <w:color w:val="000000" w:themeColor="text1"/>
          <w:sz w:val="22"/>
          <w:szCs w:val="22"/>
          <w:lang w:val="fr-FR"/>
        </w:rPr>
        <w:t>i</w:t>
      </w:r>
      <w:r w:rsidR="00ED78BF" w:rsidRPr="005D062F">
        <w:rPr>
          <w:color w:val="000000" w:themeColor="text1"/>
          <w:sz w:val="22"/>
          <w:szCs w:val="22"/>
          <w:lang w:val="fr-FR"/>
        </w:rPr>
        <w:t>n</w:t>
      </w:r>
      <w:r w:rsidRPr="005D062F">
        <w:rPr>
          <w:color w:val="000000" w:themeColor="text1"/>
          <w:sz w:val="22"/>
          <w:szCs w:val="22"/>
          <w:lang w:val="fr-FR"/>
        </w:rPr>
        <w:t xml:space="preserve">e des ministres et hauts fonctionnaires chargés de la culture </w:t>
      </w:r>
      <w:r w:rsidR="0034287B" w:rsidRPr="005D062F">
        <w:rPr>
          <w:color w:val="000000" w:themeColor="text1"/>
          <w:sz w:val="22"/>
          <w:szCs w:val="22"/>
          <w:lang w:val="fr-FR"/>
        </w:rPr>
        <w:t xml:space="preserve">qui s’est </w:t>
      </w:r>
      <w:r w:rsidRPr="005D062F">
        <w:rPr>
          <w:color w:val="000000" w:themeColor="text1"/>
          <w:sz w:val="22"/>
          <w:szCs w:val="22"/>
          <w:lang w:val="fr-FR"/>
        </w:rPr>
        <w:t>tenue les 27 et 28 octob</w:t>
      </w:r>
      <w:r w:rsidR="00ED78BF" w:rsidRPr="005D062F">
        <w:rPr>
          <w:color w:val="000000" w:themeColor="text1"/>
          <w:sz w:val="22"/>
          <w:szCs w:val="22"/>
          <w:lang w:val="fr-FR"/>
        </w:rPr>
        <w:t>r</w:t>
      </w:r>
      <w:r w:rsidRPr="005D062F">
        <w:rPr>
          <w:color w:val="000000" w:themeColor="text1"/>
          <w:sz w:val="22"/>
          <w:szCs w:val="22"/>
          <w:lang w:val="fr-FR"/>
        </w:rPr>
        <w:t>e</w:t>
      </w:r>
      <w:r w:rsidR="00ED78BF" w:rsidRPr="005D062F">
        <w:rPr>
          <w:color w:val="000000" w:themeColor="text1"/>
          <w:sz w:val="22"/>
          <w:szCs w:val="22"/>
          <w:lang w:val="fr-FR"/>
        </w:rPr>
        <w:t xml:space="preserve"> 2022</w:t>
      </w:r>
      <w:r w:rsidR="0034287B" w:rsidRPr="005D062F">
        <w:rPr>
          <w:color w:val="000000" w:themeColor="text1"/>
          <w:sz w:val="22"/>
          <w:szCs w:val="22"/>
          <w:lang w:val="fr-FR"/>
        </w:rPr>
        <w:t xml:space="preserve">. La </w:t>
      </w:r>
      <w:r w:rsidR="00ED78BF" w:rsidRPr="005D062F">
        <w:rPr>
          <w:b/>
          <w:bCs/>
          <w:color w:val="000000" w:themeColor="text1"/>
          <w:sz w:val="22"/>
          <w:szCs w:val="22"/>
          <w:lang w:val="fr-FR"/>
        </w:rPr>
        <w:t>D</w:t>
      </w:r>
      <w:r w:rsidR="0034287B" w:rsidRPr="005D062F">
        <w:rPr>
          <w:b/>
          <w:bCs/>
          <w:color w:val="000000" w:themeColor="text1"/>
          <w:sz w:val="22"/>
          <w:szCs w:val="22"/>
          <w:lang w:val="fr-FR"/>
        </w:rPr>
        <w:t>é</w:t>
      </w:r>
      <w:r w:rsidR="00ED78BF" w:rsidRPr="005D062F">
        <w:rPr>
          <w:b/>
          <w:bCs/>
          <w:color w:val="000000" w:themeColor="text1"/>
          <w:sz w:val="22"/>
          <w:szCs w:val="22"/>
          <w:lang w:val="fr-FR"/>
        </w:rPr>
        <w:t xml:space="preserve">claration </w:t>
      </w:r>
      <w:r w:rsidR="0034287B" w:rsidRPr="005D062F">
        <w:rPr>
          <w:b/>
          <w:bCs/>
          <w:color w:val="000000" w:themeColor="text1"/>
          <w:sz w:val="22"/>
          <w:szCs w:val="22"/>
          <w:lang w:val="fr-FR"/>
        </w:rPr>
        <w:t>d’</w:t>
      </w:r>
      <w:r w:rsidR="00ED78BF" w:rsidRPr="005D062F">
        <w:rPr>
          <w:b/>
          <w:bCs/>
          <w:color w:val="000000" w:themeColor="text1"/>
          <w:sz w:val="22"/>
          <w:szCs w:val="22"/>
          <w:lang w:val="fr-FR"/>
        </w:rPr>
        <w:t xml:space="preserve">Antigua Guatemala </w:t>
      </w:r>
      <w:r w:rsidR="0034287B" w:rsidRPr="005D062F">
        <w:rPr>
          <w:b/>
          <w:bCs/>
          <w:color w:val="000000" w:themeColor="text1"/>
          <w:sz w:val="22"/>
          <w:szCs w:val="22"/>
          <w:lang w:val="fr-FR"/>
        </w:rPr>
        <w:t xml:space="preserve">et son Plan d’action </w:t>
      </w:r>
      <w:r w:rsidR="0034287B" w:rsidRPr="005D062F">
        <w:rPr>
          <w:color w:val="000000" w:themeColor="text1"/>
          <w:sz w:val="22"/>
          <w:szCs w:val="22"/>
          <w:lang w:val="fr-FR"/>
        </w:rPr>
        <w:t xml:space="preserve">a été adoptée sur le thème </w:t>
      </w:r>
      <w:r w:rsidR="00202B8B" w:rsidRPr="005D062F">
        <w:rPr>
          <w:color w:val="000000" w:themeColor="text1"/>
          <w:sz w:val="22"/>
          <w:szCs w:val="22"/>
          <w:lang w:val="fr-FR"/>
        </w:rPr>
        <w:t xml:space="preserve">de la réunion </w:t>
      </w:r>
      <w:r w:rsidR="0034287B" w:rsidRPr="005D062F">
        <w:rPr>
          <w:color w:val="000000" w:themeColor="text1"/>
          <w:sz w:val="22"/>
          <w:szCs w:val="22"/>
          <w:lang w:val="fr-FR"/>
        </w:rPr>
        <w:t>« Technologie, créativité et innovation comme opportunités de développement et de renforcement de la culture »</w:t>
      </w:r>
      <w:r w:rsidR="008D58EF" w:rsidRPr="005D062F">
        <w:rPr>
          <w:color w:val="000000" w:themeColor="text1"/>
          <w:sz w:val="22"/>
          <w:szCs w:val="22"/>
          <w:lang w:val="fr-FR"/>
        </w:rPr>
        <w:t>.</w:t>
      </w:r>
      <w:r w:rsidR="00ED78BF" w:rsidRPr="005D062F">
        <w:rPr>
          <w:color w:val="000000" w:themeColor="text1"/>
          <w:sz w:val="22"/>
          <w:szCs w:val="22"/>
          <w:lang w:val="fr-FR"/>
        </w:rPr>
        <w:t xml:space="preserve"> </w:t>
      </w:r>
      <w:r w:rsidR="0034287B" w:rsidRPr="005D062F">
        <w:rPr>
          <w:color w:val="000000" w:themeColor="text1"/>
          <w:sz w:val="22"/>
          <w:szCs w:val="22"/>
          <w:lang w:val="fr-FR"/>
        </w:rPr>
        <w:t xml:space="preserve">Les ministres et les plus hautes autorités concernées de </w:t>
      </w:r>
      <w:r w:rsidR="00ED78BF" w:rsidRPr="005D062F">
        <w:rPr>
          <w:color w:val="000000" w:themeColor="text1"/>
          <w:sz w:val="22"/>
          <w:szCs w:val="22"/>
          <w:lang w:val="fr-FR"/>
        </w:rPr>
        <w:t>22</w:t>
      </w:r>
      <w:r w:rsidR="0034287B" w:rsidRPr="005D062F">
        <w:rPr>
          <w:color w:val="000000" w:themeColor="text1"/>
          <w:sz w:val="22"/>
          <w:szCs w:val="22"/>
          <w:lang w:val="fr-FR"/>
        </w:rPr>
        <w:t xml:space="preserve"> États membres ont échangé des stratégies, informations et expériences sur l’utilisation des technologies </w:t>
      </w:r>
      <w:r w:rsidR="001A40EE" w:rsidRPr="005D062F">
        <w:rPr>
          <w:color w:val="000000" w:themeColor="text1"/>
          <w:sz w:val="22"/>
          <w:szCs w:val="22"/>
          <w:lang w:val="fr-FR"/>
        </w:rPr>
        <w:t xml:space="preserve">dans les actions de collecte, de préservation et de diffusion du patrimoine artistique et culturel </w:t>
      </w:r>
      <w:r w:rsidR="0034287B" w:rsidRPr="005D062F">
        <w:rPr>
          <w:color w:val="000000" w:themeColor="text1"/>
          <w:sz w:val="22"/>
          <w:szCs w:val="22"/>
          <w:lang w:val="fr-FR"/>
        </w:rPr>
        <w:t>ainsi que sur les moyens de renforcer le patrimoine matériel et immatériel grâce à l’</w:t>
      </w:r>
      <w:r w:rsidR="00ED78BF" w:rsidRPr="005D062F">
        <w:rPr>
          <w:color w:val="000000" w:themeColor="text1"/>
          <w:sz w:val="22"/>
          <w:szCs w:val="22"/>
          <w:lang w:val="fr-FR"/>
        </w:rPr>
        <w:t xml:space="preserve">innovation </w:t>
      </w:r>
      <w:r w:rsidR="0034287B" w:rsidRPr="005D062F">
        <w:rPr>
          <w:color w:val="000000" w:themeColor="text1"/>
          <w:sz w:val="22"/>
          <w:szCs w:val="22"/>
          <w:lang w:val="fr-FR"/>
        </w:rPr>
        <w:t xml:space="preserve">et </w:t>
      </w:r>
      <w:r w:rsidR="00260F3C" w:rsidRPr="005D062F">
        <w:rPr>
          <w:color w:val="000000" w:themeColor="text1"/>
          <w:sz w:val="22"/>
          <w:szCs w:val="22"/>
          <w:lang w:val="fr-FR"/>
        </w:rPr>
        <w:t>aux</w:t>
      </w:r>
      <w:r w:rsidR="0034287B" w:rsidRPr="005D062F">
        <w:rPr>
          <w:color w:val="000000" w:themeColor="text1"/>
          <w:sz w:val="22"/>
          <w:szCs w:val="22"/>
          <w:lang w:val="fr-FR"/>
        </w:rPr>
        <w:t xml:space="preserve"> nouvelles </w:t>
      </w:r>
      <w:r w:rsidR="00ED78BF" w:rsidRPr="005D062F">
        <w:rPr>
          <w:color w:val="000000" w:themeColor="text1"/>
          <w:sz w:val="22"/>
          <w:szCs w:val="22"/>
          <w:lang w:val="fr-FR"/>
        </w:rPr>
        <w:t xml:space="preserve">technologies. </w:t>
      </w:r>
      <w:r w:rsidR="0034287B" w:rsidRPr="005D062F">
        <w:rPr>
          <w:color w:val="000000" w:themeColor="text1"/>
          <w:sz w:val="22"/>
          <w:szCs w:val="22"/>
          <w:lang w:val="fr-FR"/>
        </w:rPr>
        <w:t>Les participants de la réunion ont accepté la proposition de la République dominicaine d’accueillir la Dixième Réunion interamé</w:t>
      </w:r>
      <w:r w:rsidR="00ED78BF" w:rsidRPr="005D062F">
        <w:rPr>
          <w:color w:val="000000" w:themeColor="text1"/>
          <w:sz w:val="22"/>
          <w:szCs w:val="22"/>
          <w:lang w:val="fr-FR"/>
        </w:rPr>
        <w:t>rica</w:t>
      </w:r>
      <w:r w:rsidR="0034287B" w:rsidRPr="005D062F">
        <w:rPr>
          <w:color w:val="000000" w:themeColor="text1"/>
          <w:sz w:val="22"/>
          <w:szCs w:val="22"/>
          <w:lang w:val="fr-FR"/>
        </w:rPr>
        <w:t>i</w:t>
      </w:r>
      <w:r w:rsidR="00ED78BF" w:rsidRPr="005D062F">
        <w:rPr>
          <w:color w:val="000000" w:themeColor="text1"/>
          <w:sz w:val="22"/>
          <w:szCs w:val="22"/>
          <w:lang w:val="fr-FR"/>
        </w:rPr>
        <w:t>n</w:t>
      </w:r>
      <w:r w:rsidR="0034287B" w:rsidRPr="005D062F">
        <w:rPr>
          <w:color w:val="000000" w:themeColor="text1"/>
          <w:sz w:val="22"/>
          <w:szCs w:val="22"/>
          <w:lang w:val="fr-FR"/>
        </w:rPr>
        <w:t xml:space="preserve">e des ministres et des hauts </w:t>
      </w:r>
      <w:r w:rsidR="001A40EE" w:rsidRPr="005D062F">
        <w:rPr>
          <w:color w:val="000000" w:themeColor="text1"/>
          <w:sz w:val="22"/>
          <w:szCs w:val="22"/>
          <w:lang w:val="fr-FR"/>
        </w:rPr>
        <w:t>fonctionnaires chargés de la culture</w:t>
      </w:r>
      <w:r w:rsidR="00ED78BF" w:rsidRPr="005D062F">
        <w:rPr>
          <w:color w:val="000000" w:themeColor="text1"/>
          <w:sz w:val="22"/>
          <w:szCs w:val="22"/>
          <w:lang w:val="fr-FR"/>
        </w:rPr>
        <w:t xml:space="preserve"> </w:t>
      </w:r>
      <w:r w:rsidR="001A40EE" w:rsidRPr="005D062F">
        <w:rPr>
          <w:color w:val="000000" w:themeColor="text1"/>
          <w:sz w:val="22"/>
          <w:szCs w:val="22"/>
          <w:lang w:val="fr-FR"/>
        </w:rPr>
        <w:t>en 2025 et ont élu les représentants de l’Équateur, de la Barbade et du Panama à la Commission interaméricaine de la culture respectivement à la présidence, à la première vice-présidence et à la deuxième vice-présidence</w:t>
      </w:r>
      <w:r w:rsidR="00ED78BF" w:rsidRPr="005D062F">
        <w:rPr>
          <w:color w:val="000000" w:themeColor="text1"/>
          <w:sz w:val="22"/>
          <w:szCs w:val="22"/>
          <w:lang w:val="fr-FR"/>
        </w:rPr>
        <w:t>.</w:t>
      </w:r>
    </w:p>
    <w:p w14:paraId="5743271B" w14:textId="77777777" w:rsidR="00ED78BF" w:rsidRPr="005D062F" w:rsidRDefault="00ED78BF" w:rsidP="00723DAD">
      <w:pPr>
        <w:rPr>
          <w:rFonts w:ascii="Times New Roman" w:hAnsi="Times New Roman" w:cs="Times New Roman"/>
          <w:color w:val="000000" w:themeColor="text1"/>
          <w:sz w:val="22"/>
          <w:szCs w:val="22"/>
          <w:lang w:val="fr-FR"/>
        </w:rPr>
      </w:pPr>
    </w:p>
    <w:p w14:paraId="46401FEF" w14:textId="6F34D4F6" w:rsidR="00ED78BF" w:rsidRPr="005D062F" w:rsidRDefault="006F08BC" w:rsidP="00CB030B">
      <w:pPr>
        <w:pStyle w:val="ListParagraph"/>
        <w:numPr>
          <w:ilvl w:val="0"/>
          <w:numId w:val="11"/>
        </w:numPr>
        <w:ind w:left="1440" w:hanging="720"/>
        <w:jc w:val="both"/>
        <w:rPr>
          <w:color w:val="000000" w:themeColor="text1"/>
          <w:sz w:val="22"/>
          <w:szCs w:val="22"/>
          <w:lang w:val="fr-FR"/>
        </w:rPr>
      </w:pPr>
      <w:r w:rsidRPr="005D062F">
        <w:rPr>
          <w:color w:val="000000" w:themeColor="text1"/>
          <w:sz w:val="22"/>
          <w:szCs w:val="22"/>
          <w:lang w:val="fr-FR"/>
        </w:rPr>
        <w:t xml:space="preserve">Le SEDI a achevé avec succès un livre électronique regroupant et partageant les </w:t>
      </w:r>
      <w:r w:rsidR="00ED78BF" w:rsidRPr="005D062F">
        <w:rPr>
          <w:color w:val="000000" w:themeColor="text1"/>
          <w:sz w:val="22"/>
          <w:szCs w:val="22"/>
          <w:lang w:val="fr-FR"/>
        </w:rPr>
        <w:t>exp</w:t>
      </w:r>
      <w:r w:rsidRPr="005D062F">
        <w:rPr>
          <w:color w:val="000000" w:themeColor="text1"/>
          <w:sz w:val="22"/>
          <w:szCs w:val="22"/>
          <w:lang w:val="fr-FR"/>
        </w:rPr>
        <w:t>é</w:t>
      </w:r>
      <w:r w:rsidR="00ED78BF" w:rsidRPr="005D062F">
        <w:rPr>
          <w:color w:val="000000" w:themeColor="text1"/>
          <w:sz w:val="22"/>
          <w:szCs w:val="22"/>
          <w:lang w:val="fr-FR"/>
        </w:rPr>
        <w:t xml:space="preserve">riences </w:t>
      </w:r>
      <w:r w:rsidR="00435CF8" w:rsidRPr="005D062F">
        <w:rPr>
          <w:color w:val="000000" w:themeColor="text1"/>
          <w:sz w:val="22"/>
          <w:szCs w:val="22"/>
          <w:lang w:val="fr-FR"/>
        </w:rPr>
        <w:t>de</w:t>
      </w:r>
      <w:r w:rsidR="00ED78BF" w:rsidRPr="005D062F">
        <w:rPr>
          <w:color w:val="000000" w:themeColor="text1"/>
          <w:sz w:val="22"/>
          <w:szCs w:val="22"/>
          <w:lang w:val="fr-FR"/>
        </w:rPr>
        <w:t xml:space="preserve"> coordination in</w:t>
      </w:r>
      <w:r w:rsidR="00435CF8" w:rsidRPr="005D062F">
        <w:rPr>
          <w:color w:val="000000" w:themeColor="text1"/>
          <w:sz w:val="22"/>
          <w:szCs w:val="22"/>
          <w:lang w:val="fr-FR"/>
        </w:rPr>
        <w:t xml:space="preserve">terinstitutions en appui au renforcement des secteurs de la culture et de la création dans cinq États membres de l’OEA </w:t>
      </w:r>
      <w:r w:rsidR="00A05F17" w:rsidRPr="005D062F">
        <w:rPr>
          <w:color w:val="000000" w:themeColor="text1"/>
          <w:sz w:val="22"/>
          <w:szCs w:val="22"/>
          <w:lang w:val="fr-FR"/>
        </w:rPr>
        <w:t>—</w:t>
      </w:r>
      <w:r w:rsidR="00435CF8" w:rsidRPr="005D062F">
        <w:rPr>
          <w:color w:val="000000" w:themeColor="text1"/>
          <w:sz w:val="22"/>
          <w:szCs w:val="22"/>
          <w:lang w:val="fr-FR"/>
        </w:rPr>
        <w:t xml:space="preserve"> l’Argentine</w:t>
      </w:r>
      <w:r w:rsidR="00ED78BF" w:rsidRPr="005D062F">
        <w:rPr>
          <w:color w:val="000000" w:themeColor="text1"/>
          <w:sz w:val="22"/>
          <w:szCs w:val="22"/>
          <w:lang w:val="fr-FR"/>
        </w:rPr>
        <w:t xml:space="preserve">, </w:t>
      </w:r>
      <w:r w:rsidR="00435CF8" w:rsidRPr="005D062F">
        <w:rPr>
          <w:color w:val="000000" w:themeColor="text1"/>
          <w:sz w:val="22"/>
          <w:szCs w:val="22"/>
          <w:lang w:val="fr-FR"/>
        </w:rPr>
        <w:t>la Colombie</w:t>
      </w:r>
      <w:r w:rsidR="00ED78BF" w:rsidRPr="005D062F">
        <w:rPr>
          <w:color w:val="000000" w:themeColor="text1"/>
          <w:sz w:val="22"/>
          <w:szCs w:val="22"/>
          <w:lang w:val="fr-FR"/>
        </w:rPr>
        <w:t xml:space="preserve">, </w:t>
      </w:r>
      <w:r w:rsidR="00435CF8" w:rsidRPr="005D062F">
        <w:rPr>
          <w:color w:val="000000" w:themeColor="text1"/>
          <w:sz w:val="22"/>
          <w:szCs w:val="22"/>
          <w:lang w:val="fr-FR"/>
        </w:rPr>
        <w:t xml:space="preserve">le </w:t>
      </w:r>
      <w:r w:rsidR="00ED78BF" w:rsidRPr="005D062F">
        <w:rPr>
          <w:color w:val="000000" w:themeColor="text1"/>
          <w:sz w:val="22"/>
          <w:szCs w:val="22"/>
          <w:lang w:val="fr-FR"/>
        </w:rPr>
        <w:t>Costa Rica,</w:t>
      </w:r>
      <w:r w:rsidR="00435CF8" w:rsidRPr="005D062F">
        <w:rPr>
          <w:color w:val="000000" w:themeColor="text1"/>
          <w:sz w:val="22"/>
          <w:szCs w:val="22"/>
          <w:lang w:val="fr-FR"/>
        </w:rPr>
        <w:t xml:space="preserve"> l’Équateur et le </w:t>
      </w:r>
      <w:r w:rsidR="00ED78BF" w:rsidRPr="005D062F">
        <w:rPr>
          <w:color w:val="000000" w:themeColor="text1"/>
          <w:sz w:val="22"/>
          <w:szCs w:val="22"/>
          <w:lang w:val="fr-FR"/>
        </w:rPr>
        <w:t>Paraguay</w:t>
      </w:r>
      <w:r w:rsidR="00435CF8" w:rsidRPr="005D062F">
        <w:rPr>
          <w:color w:val="000000" w:themeColor="text1"/>
          <w:sz w:val="22"/>
          <w:szCs w:val="22"/>
          <w:lang w:val="fr-FR"/>
        </w:rPr>
        <w:t xml:space="preserve"> </w:t>
      </w:r>
      <w:r w:rsidR="00A05F17" w:rsidRPr="005D062F">
        <w:rPr>
          <w:color w:val="000000" w:themeColor="text1"/>
          <w:sz w:val="22"/>
          <w:szCs w:val="22"/>
          <w:lang w:val="fr-FR"/>
        </w:rPr>
        <w:t>—</w:t>
      </w:r>
      <w:r w:rsidR="00435CF8" w:rsidRPr="005D062F">
        <w:rPr>
          <w:color w:val="000000" w:themeColor="text1"/>
          <w:sz w:val="22"/>
          <w:szCs w:val="22"/>
          <w:lang w:val="fr-FR"/>
        </w:rPr>
        <w:t xml:space="preserve"> pour lesquels ces secteurs sont des contributeurs de plus en plus importants à l’activité économique</w:t>
      </w:r>
      <w:r w:rsidR="00ED78BF" w:rsidRPr="005D062F">
        <w:rPr>
          <w:color w:val="000000" w:themeColor="text1"/>
          <w:sz w:val="22"/>
          <w:szCs w:val="22"/>
          <w:lang w:val="fr-FR"/>
        </w:rPr>
        <w:t xml:space="preserve">. </w:t>
      </w:r>
    </w:p>
    <w:p w14:paraId="2515E799" w14:textId="77777777" w:rsidR="00ED78BF" w:rsidRPr="005D062F" w:rsidRDefault="00ED78BF" w:rsidP="00723DAD">
      <w:pPr>
        <w:rPr>
          <w:rFonts w:ascii="Times New Roman" w:hAnsi="Times New Roman" w:cs="Times New Roman"/>
          <w:color w:val="000000" w:themeColor="text1"/>
          <w:sz w:val="22"/>
          <w:szCs w:val="22"/>
          <w:lang w:val="fr-FR"/>
        </w:rPr>
      </w:pPr>
    </w:p>
    <w:p w14:paraId="54628EE7" w14:textId="57BDC374" w:rsidR="00ED78BF" w:rsidRPr="005D062F" w:rsidRDefault="00435CF8" w:rsidP="00CB030B">
      <w:pPr>
        <w:pStyle w:val="ListParagraph"/>
        <w:numPr>
          <w:ilvl w:val="0"/>
          <w:numId w:val="11"/>
        </w:numPr>
        <w:ind w:left="1440" w:hanging="720"/>
        <w:jc w:val="both"/>
        <w:rPr>
          <w:color w:val="000000" w:themeColor="text1"/>
          <w:sz w:val="22"/>
          <w:szCs w:val="22"/>
          <w:lang w:val="fr-FR"/>
        </w:rPr>
      </w:pPr>
      <w:r w:rsidRPr="005D062F">
        <w:rPr>
          <w:color w:val="000000" w:themeColor="text1"/>
          <w:sz w:val="22"/>
          <w:szCs w:val="22"/>
          <w:lang w:val="fr-FR"/>
        </w:rPr>
        <w:t xml:space="preserve">Cinq États membres </w:t>
      </w:r>
      <w:r w:rsidR="00A05F17" w:rsidRPr="005D062F">
        <w:rPr>
          <w:color w:val="000000" w:themeColor="text1"/>
          <w:sz w:val="22"/>
          <w:szCs w:val="22"/>
          <w:lang w:val="fr-FR"/>
        </w:rPr>
        <w:t>—</w:t>
      </w:r>
      <w:r w:rsidRPr="005D062F">
        <w:rPr>
          <w:color w:val="000000" w:themeColor="text1"/>
          <w:sz w:val="22"/>
          <w:szCs w:val="22"/>
          <w:lang w:val="fr-FR"/>
        </w:rPr>
        <w:t xml:space="preserve"> la Colombie</w:t>
      </w:r>
      <w:r w:rsidR="00ED78BF" w:rsidRPr="005D062F">
        <w:rPr>
          <w:color w:val="000000" w:themeColor="text1"/>
          <w:sz w:val="22"/>
          <w:szCs w:val="22"/>
          <w:lang w:val="fr-FR"/>
        </w:rPr>
        <w:t xml:space="preserve">, </w:t>
      </w:r>
      <w:r w:rsidRPr="005D062F">
        <w:rPr>
          <w:color w:val="000000" w:themeColor="text1"/>
          <w:sz w:val="22"/>
          <w:szCs w:val="22"/>
          <w:lang w:val="fr-FR"/>
        </w:rPr>
        <w:t>le Brés</w:t>
      </w:r>
      <w:r w:rsidR="00ED78BF" w:rsidRPr="005D062F">
        <w:rPr>
          <w:color w:val="000000" w:themeColor="text1"/>
          <w:sz w:val="22"/>
          <w:szCs w:val="22"/>
          <w:lang w:val="fr-FR"/>
        </w:rPr>
        <w:t xml:space="preserve">il, </w:t>
      </w:r>
      <w:r w:rsidRPr="005D062F">
        <w:rPr>
          <w:color w:val="000000" w:themeColor="text1"/>
          <w:sz w:val="22"/>
          <w:szCs w:val="22"/>
          <w:lang w:val="fr-FR"/>
        </w:rPr>
        <w:t>le Mexique et le</w:t>
      </w:r>
      <w:r w:rsidR="00A05F17" w:rsidRPr="005D062F">
        <w:rPr>
          <w:color w:val="000000" w:themeColor="text1"/>
          <w:sz w:val="22"/>
          <w:szCs w:val="22"/>
          <w:lang w:val="fr-FR"/>
        </w:rPr>
        <w:t xml:space="preserve"> </w:t>
      </w:r>
      <w:r w:rsidRPr="005D062F">
        <w:rPr>
          <w:color w:val="000000" w:themeColor="text1"/>
          <w:sz w:val="22"/>
          <w:szCs w:val="22"/>
          <w:lang w:val="fr-FR"/>
        </w:rPr>
        <w:t>Pé</w:t>
      </w:r>
      <w:r w:rsidR="00ED78BF" w:rsidRPr="005D062F">
        <w:rPr>
          <w:color w:val="000000" w:themeColor="text1"/>
          <w:sz w:val="22"/>
          <w:szCs w:val="22"/>
          <w:lang w:val="fr-FR"/>
        </w:rPr>
        <w:t>r</w:t>
      </w:r>
      <w:r w:rsidRPr="005D062F">
        <w:rPr>
          <w:color w:val="000000" w:themeColor="text1"/>
          <w:sz w:val="22"/>
          <w:szCs w:val="22"/>
          <w:lang w:val="fr-FR"/>
        </w:rPr>
        <w:t>o</w:t>
      </w:r>
      <w:r w:rsidR="00ED78BF" w:rsidRPr="005D062F">
        <w:rPr>
          <w:color w:val="000000" w:themeColor="text1"/>
          <w:sz w:val="22"/>
          <w:szCs w:val="22"/>
          <w:lang w:val="fr-FR"/>
        </w:rPr>
        <w:t>u</w:t>
      </w:r>
      <w:r w:rsidRPr="005D062F">
        <w:rPr>
          <w:color w:val="000000" w:themeColor="text1"/>
          <w:sz w:val="22"/>
          <w:szCs w:val="22"/>
          <w:lang w:val="fr-FR"/>
        </w:rPr>
        <w:t xml:space="preserve"> </w:t>
      </w:r>
      <w:r w:rsidR="00A05F17" w:rsidRPr="005D062F">
        <w:rPr>
          <w:color w:val="000000" w:themeColor="text1"/>
          <w:sz w:val="22"/>
          <w:szCs w:val="22"/>
          <w:lang w:val="fr-FR"/>
        </w:rPr>
        <w:t>—</w:t>
      </w:r>
      <w:r w:rsidRPr="005D062F">
        <w:rPr>
          <w:color w:val="000000" w:themeColor="text1"/>
          <w:sz w:val="22"/>
          <w:szCs w:val="22"/>
          <w:lang w:val="fr-FR"/>
        </w:rPr>
        <w:t xml:space="preserve"> </w:t>
      </w:r>
      <w:r w:rsidR="00A05F17" w:rsidRPr="005D062F">
        <w:rPr>
          <w:color w:val="000000" w:themeColor="text1"/>
          <w:sz w:val="22"/>
          <w:szCs w:val="22"/>
          <w:lang w:val="fr-FR"/>
        </w:rPr>
        <w:t>on</w:t>
      </w:r>
      <w:r w:rsidRPr="005D062F">
        <w:rPr>
          <w:color w:val="000000" w:themeColor="text1"/>
          <w:sz w:val="22"/>
          <w:szCs w:val="22"/>
          <w:lang w:val="fr-FR"/>
        </w:rPr>
        <w:t>t partagé des études de cas sur la c</w:t>
      </w:r>
      <w:r w:rsidR="00ED78BF" w:rsidRPr="005D062F">
        <w:rPr>
          <w:color w:val="000000" w:themeColor="text1"/>
          <w:sz w:val="22"/>
          <w:szCs w:val="22"/>
          <w:lang w:val="fr-FR"/>
        </w:rPr>
        <w:t xml:space="preserve">irculation </w:t>
      </w:r>
      <w:r w:rsidRPr="005D062F">
        <w:rPr>
          <w:color w:val="000000" w:themeColor="text1"/>
          <w:sz w:val="22"/>
          <w:szCs w:val="22"/>
          <w:lang w:val="fr-FR"/>
        </w:rPr>
        <w:t>des biens et s</w:t>
      </w:r>
      <w:r w:rsidR="00ED78BF" w:rsidRPr="005D062F">
        <w:rPr>
          <w:color w:val="000000" w:themeColor="text1"/>
          <w:sz w:val="22"/>
          <w:szCs w:val="22"/>
          <w:lang w:val="fr-FR"/>
        </w:rPr>
        <w:t xml:space="preserve">ervices </w:t>
      </w:r>
      <w:r w:rsidRPr="005D062F">
        <w:rPr>
          <w:color w:val="000000" w:themeColor="text1"/>
          <w:sz w:val="22"/>
          <w:szCs w:val="22"/>
          <w:lang w:val="fr-FR"/>
        </w:rPr>
        <w:t xml:space="preserve">culturels dans les Amériques </w:t>
      </w:r>
      <w:r w:rsidR="00311315" w:rsidRPr="005D062F">
        <w:rPr>
          <w:color w:val="000000" w:themeColor="text1"/>
          <w:sz w:val="22"/>
          <w:szCs w:val="22"/>
          <w:lang w:val="fr-FR"/>
        </w:rPr>
        <w:t xml:space="preserve">lors </w:t>
      </w:r>
      <w:r w:rsidRPr="005D062F">
        <w:rPr>
          <w:color w:val="000000" w:themeColor="text1"/>
          <w:sz w:val="22"/>
          <w:szCs w:val="22"/>
          <w:lang w:val="fr-FR"/>
        </w:rPr>
        <w:t>de la quatrième é</w:t>
      </w:r>
      <w:r w:rsidR="00ED78BF" w:rsidRPr="005D062F">
        <w:rPr>
          <w:color w:val="000000" w:themeColor="text1"/>
          <w:sz w:val="22"/>
          <w:szCs w:val="22"/>
          <w:lang w:val="fr-FR"/>
        </w:rPr>
        <w:t>dition</w:t>
      </w:r>
      <w:r w:rsidR="008E55C8" w:rsidRPr="005D062F">
        <w:rPr>
          <w:color w:val="000000" w:themeColor="text1"/>
          <w:sz w:val="22"/>
          <w:szCs w:val="22"/>
          <w:lang w:val="fr-FR"/>
        </w:rPr>
        <w:t xml:space="preserve"> du </w:t>
      </w:r>
      <w:r w:rsidR="00311315" w:rsidRPr="005D062F">
        <w:rPr>
          <w:color w:val="000000" w:themeColor="text1"/>
          <w:sz w:val="22"/>
          <w:szCs w:val="22"/>
          <w:lang w:val="fr-FR"/>
        </w:rPr>
        <w:t>Sommet de l’économie orange dans le cadre du</w:t>
      </w:r>
      <w:r w:rsidR="008E55C8" w:rsidRPr="005D062F">
        <w:rPr>
          <w:color w:val="000000" w:themeColor="text1"/>
          <w:sz w:val="22"/>
          <w:szCs w:val="22"/>
          <w:lang w:val="fr-FR"/>
        </w:rPr>
        <w:t xml:space="preserve"> Grand</w:t>
      </w:r>
      <w:r w:rsidR="00311315" w:rsidRPr="005D062F">
        <w:rPr>
          <w:color w:val="000000" w:themeColor="text1"/>
          <w:sz w:val="22"/>
          <w:szCs w:val="22"/>
          <w:lang w:val="fr-FR"/>
        </w:rPr>
        <w:t xml:space="preserve"> </w:t>
      </w:r>
      <w:r w:rsidR="008E55C8" w:rsidRPr="005D062F">
        <w:rPr>
          <w:color w:val="000000" w:themeColor="text1"/>
          <w:sz w:val="22"/>
          <w:szCs w:val="22"/>
          <w:lang w:val="fr-FR"/>
        </w:rPr>
        <w:t>Forum mondial des arts, de la culture, de la créativité et de la technologie</w:t>
      </w:r>
      <w:r w:rsidR="00ED78BF" w:rsidRPr="005D062F">
        <w:rPr>
          <w:color w:val="000000" w:themeColor="text1"/>
          <w:sz w:val="22"/>
          <w:szCs w:val="22"/>
          <w:lang w:val="fr-FR"/>
        </w:rPr>
        <w:t xml:space="preserve"> </w:t>
      </w:r>
      <w:r w:rsidR="008E55C8" w:rsidRPr="005D062F">
        <w:rPr>
          <w:color w:val="000000" w:themeColor="text1"/>
          <w:sz w:val="22"/>
          <w:szCs w:val="22"/>
          <w:lang w:val="fr-FR"/>
        </w:rPr>
        <w:t>tenu en juillet </w:t>
      </w:r>
      <w:r w:rsidR="00ED78BF" w:rsidRPr="005D062F">
        <w:rPr>
          <w:color w:val="000000" w:themeColor="text1"/>
          <w:sz w:val="22"/>
          <w:szCs w:val="22"/>
          <w:lang w:val="fr-FR"/>
        </w:rPr>
        <w:t>2022.</w:t>
      </w:r>
    </w:p>
    <w:p w14:paraId="64112834" w14:textId="77777777" w:rsidR="00ED78BF" w:rsidRPr="005D062F" w:rsidRDefault="00ED78BF" w:rsidP="00723DAD">
      <w:pPr>
        <w:rPr>
          <w:rFonts w:ascii="Times New Roman" w:hAnsi="Times New Roman" w:cs="Times New Roman"/>
          <w:color w:val="000000" w:themeColor="text1"/>
          <w:sz w:val="22"/>
          <w:szCs w:val="22"/>
          <w:lang w:val="fr-FR"/>
        </w:rPr>
      </w:pPr>
    </w:p>
    <w:p w14:paraId="01404F80" w14:textId="7CB8C72B" w:rsidR="00ED78BF" w:rsidRPr="005D062F" w:rsidRDefault="00311315" w:rsidP="00CB030B">
      <w:pPr>
        <w:pStyle w:val="ListParagraph"/>
        <w:numPr>
          <w:ilvl w:val="0"/>
          <w:numId w:val="11"/>
        </w:numPr>
        <w:ind w:left="1440" w:hanging="720"/>
        <w:jc w:val="both"/>
        <w:rPr>
          <w:color w:val="000000" w:themeColor="text1"/>
          <w:sz w:val="22"/>
          <w:szCs w:val="22"/>
          <w:lang w:val="fr-FR"/>
        </w:rPr>
      </w:pPr>
      <w:r w:rsidRPr="005D062F">
        <w:rPr>
          <w:color w:val="000000" w:themeColor="text1"/>
          <w:sz w:val="22"/>
          <w:szCs w:val="22"/>
          <w:lang w:val="fr-FR"/>
        </w:rPr>
        <w:t xml:space="preserve">Neuf États membres </w:t>
      </w:r>
      <w:r w:rsidR="0084346B" w:rsidRPr="005D062F">
        <w:rPr>
          <w:color w:val="000000" w:themeColor="text1"/>
          <w:sz w:val="22"/>
          <w:szCs w:val="22"/>
          <w:lang w:val="fr-FR"/>
        </w:rPr>
        <w:t>—</w:t>
      </w:r>
      <w:r w:rsidRPr="005D062F">
        <w:rPr>
          <w:color w:val="000000" w:themeColor="text1"/>
          <w:sz w:val="22"/>
          <w:szCs w:val="22"/>
          <w:lang w:val="fr-FR"/>
        </w:rPr>
        <w:t xml:space="preserve"> la Colombie</w:t>
      </w:r>
      <w:r w:rsidR="00ED78BF" w:rsidRPr="005D062F">
        <w:rPr>
          <w:color w:val="000000" w:themeColor="text1"/>
          <w:sz w:val="22"/>
          <w:szCs w:val="22"/>
          <w:lang w:val="fr-FR"/>
        </w:rPr>
        <w:t xml:space="preserve">, </w:t>
      </w:r>
      <w:r w:rsidRPr="005D062F">
        <w:rPr>
          <w:color w:val="000000" w:themeColor="text1"/>
          <w:sz w:val="22"/>
          <w:szCs w:val="22"/>
          <w:lang w:val="fr-FR"/>
        </w:rPr>
        <w:t>la Bolivie</w:t>
      </w:r>
      <w:r w:rsidR="00ED78BF" w:rsidRPr="005D062F">
        <w:rPr>
          <w:color w:val="000000" w:themeColor="text1"/>
          <w:sz w:val="22"/>
          <w:szCs w:val="22"/>
          <w:lang w:val="fr-FR"/>
        </w:rPr>
        <w:t xml:space="preserve">, </w:t>
      </w:r>
      <w:r w:rsidRPr="005D062F">
        <w:rPr>
          <w:color w:val="000000" w:themeColor="text1"/>
          <w:sz w:val="22"/>
          <w:szCs w:val="22"/>
          <w:lang w:val="fr-FR"/>
        </w:rPr>
        <w:t>le Chili</w:t>
      </w:r>
      <w:r w:rsidR="00ED78BF" w:rsidRPr="005D062F">
        <w:rPr>
          <w:color w:val="000000" w:themeColor="text1"/>
          <w:sz w:val="22"/>
          <w:szCs w:val="22"/>
          <w:lang w:val="fr-FR"/>
        </w:rPr>
        <w:t xml:space="preserve">, </w:t>
      </w:r>
      <w:r w:rsidRPr="005D062F">
        <w:rPr>
          <w:color w:val="000000" w:themeColor="text1"/>
          <w:sz w:val="22"/>
          <w:szCs w:val="22"/>
          <w:lang w:val="fr-FR"/>
        </w:rPr>
        <w:t xml:space="preserve">le </w:t>
      </w:r>
      <w:r w:rsidR="00ED78BF" w:rsidRPr="005D062F">
        <w:rPr>
          <w:color w:val="000000" w:themeColor="text1"/>
          <w:sz w:val="22"/>
          <w:szCs w:val="22"/>
          <w:lang w:val="fr-FR"/>
        </w:rPr>
        <w:t>Mexi</w:t>
      </w:r>
      <w:r w:rsidRPr="005D062F">
        <w:rPr>
          <w:color w:val="000000" w:themeColor="text1"/>
          <w:sz w:val="22"/>
          <w:szCs w:val="22"/>
          <w:lang w:val="fr-FR"/>
        </w:rPr>
        <w:t>que</w:t>
      </w:r>
      <w:r w:rsidR="00ED78BF" w:rsidRPr="005D062F">
        <w:rPr>
          <w:color w:val="000000" w:themeColor="text1"/>
          <w:sz w:val="22"/>
          <w:szCs w:val="22"/>
          <w:lang w:val="fr-FR"/>
        </w:rPr>
        <w:t xml:space="preserve">, </w:t>
      </w:r>
      <w:r w:rsidRPr="005D062F">
        <w:rPr>
          <w:color w:val="000000" w:themeColor="text1"/>
          <w:sz w:val="22"/>
          <w:szCs w:val="22"/>
          <w:lang w:val="fr-FR"/>
        </w:rPr>
        <w:t xml:space="preserve">le </w:t>
      </w:r>
      <w:r w:rsidR="00ED78BF" w:rsidRPr="005D062F">
        <w:rPr>
          <w:color w:val="000000" w:themeColor="text1"/>
          <w:sz w:val="22"/>
          <w:szCs w:val="22"/>
          <w:lang w:val="fr-FR"/>
        </w:rPr>
        <w:t xml:space="preserve">Nicaragua, </w:t>
      </w:r>
      <w:r w:rsidRPr="005D062F">
        <w:rPr>
          <w:color w:val="000000" w:themeColor="text1"/>
          <w:sz w:val="22"/>
          <w:szCs w:val="22"/>
          <w:lang w:val="fr-FR"/>
        </w:rPr>
        <w:t xml:space="preserve">le </w:t>
      </w:r>
      <w:r w:rsidR="00ED78BF" w:rsidRPr="005D062F">
        <w:rPr>
          <w:color w:val="000000" w:themeColor="text1"/>
          <w:sz w:val="22"/>
          <w:szCs w:val="22"/>
          <w:lang w:val="fr-FR"/>
        </w:rPr>
        <w:t xml:space="preserve">Paraguay, </w:t>
      </w:r>
      <w:r w:rsidRPr="005D062F">
        <w:rPr>
          <w:color w:val="000000" w:themeColor="text1"/>
          <w:sz w:val="22"/>
          <w:szCs w:val="22"/>
          <w:lang w:val="fr-FR"/>
        </w:rPr>
        <w:t>le Pé</w:t>
      </w:r>
      <w:r w:rsidR="00ED78BF" w:rsidRPr="005D062F">
        <w:rPr>
          <w:color w:val="000000" w:themeColor="text1"/>
          <w:sz w:val="22"/>
          <w:szCs w:val="22"/>
          <w:lang w:val="fr-FR"/>
        </w:rPr>
        <w:t>r</w:t>
      </w:r>
      <w:r w:rsidRPr="005D062F">
        <w:rPr>
          <w:color w:val="000000" w:themeColor="text1"/>
          <w:sz w:val="22"/>
          <w:szCs w:val="22"/>
          <w:lang w:val="fr-FR"/>
        </w:rPr>
        <w:t>ou et la Ré</w:t>
      </w:r>
      <w:r w:rsidR="00ED78BF" w:rsidRPr="005D062F">
        <w:rPr>
          <w:color w:val="000000" w:themeColor="text1"/>
          <w:sz w:val="22"/>
          <w:szCs w:val="22"/>
          <w:lang w:val="fr-FR"/>
        </w:rPr>
        <w:t>publi</w:t>
      </w:r>
      <w:r w:rsidRPr="005D062F">
        <w:rPr>
          <w:color w:val="000000" w:themeColor="text1"/>
          <w:sz w:val="22"/>
          <w:szCs w:val="22"/>
          <w:lang w:val="fr-FR"/>
        </w:rPr>
        <w:t>que dominicaine ont partagé leurs bonnes pratiques dans le cadre d’un d</w:t>
      </w:r>
      <w:r w:rsidR="00ED78BF" w:rsidRPr="005D062F">
        <w:rPr>
          <w:color w:val="000000" w:themeColor="text1"/>
          <w:sz w:val="22"/>
          <w:szCs w:val="22"/>
          <w:lang w:val="fr-FR"/>
        </w:rPr>
        <w:t>ialogue</w:t>
      </w:r>
      <w:r w:rsidRPr="005D062F">
        <w:rPr>
          <w:color w:val="000000" w:themeColor="text1"/>
          <w:sz w:val="22"/>
          <w:szCs w:val="22"/>
          <w:lang w:val="fr-FR"/>
        </w:rPr>
        <w:t xml:space="preserve"> virtuel sur les</w:t>
      </w:r>
      <w:r w:rsidR="00E34B9C" w:rsidRPr="005D062F">
        <w:rPr>
          <w:color w:val="000000" w:themeColor="text1"/>
          <w:sz w:val="22"/>
          <w:szCs w:val="22"/>
          <w:lang w:val="fr-FR"/>
        </w:rPr>
        <w:t xml:space="preserve"> </w:t>
      </w:r>
      <w:r w:rsidR="00E34B9C" w:rsidRPr="005D062F">
        <w:rPr>
          <w:b/>
          <w:color w:val="000000" w:themeColor="text1"/>
          <w:sz w:val="22"/>
          <w:szCs w:val="22"/>
          <w:lang w:val="fr-FR"/>
        </w:rPr>
        <w:t>e</w:t>
      </w:r>
      <w:r w:rsidR="00E34B9C" w:rsidRPr="005D062F">
        <w:rPr>
          <w:b/>
          <w:bCs/>
          <w:color w:val="000000" w:themeColor="text1"/>
          <w:sz w:val="22"/>
          <w:szCs w:val="22"/>
          <w:lang w:val="fr-FR"/>
        </w:rPr>
        <w:t>xpé</w:t>
      </w:r>
      <w:r w:rsidR="00ED78BF" w:rsidRPr="005D062F">
        <w:rPr>
          <w:b/>
          <w:bCs/>
          <w:color w:val="000000" w:themeColor="text1"/>
          <w:sz w:val="22"/>
          <w:szCs w:val="22"/>
          <w:lang w:val="fr-FR"/>
        </w:rPr>
        <w:t xml:space="preserve">riences </w:t>
      </w:r>
      <w:r w:rsidR="00E34B9C" w:rsidRPr="005D062F">
        <w:rPr>
          <w:b/>
          <w:bCs/>
          <w:color w:val="000000" w:themeColor="text1"/>
          <w:sz w:val="22"/>
          <w:szCs w:val="22"/>
          <w:lang w:val="fr-FR"/>
        </w:rPr>
        <w:t>en matière de sauvegarde des métiers traditionne</w:t>
      </w:r>
      <w:r w:rsidR="00ED78BF" w:rsidRPr="005D062F">
        <w:rPr>
          <w:b/>
          <w:bCs/>
          <w:color w:val="000000" w:themeColor="text1"/>
          <w:sz w:val="22"/>
          <w:szCs w:val="22"/>
          <w:lang w:val="fr-FR"/>
        </w:rPr>
        <w:t>l</w:t>
      </w:r>
      <w:r w:rsidR="00E34B9C" w:rsidRPr="005D062F">
        <w:rPr>
          <w:b/>
          <w:bCs/>
          <w:color w:val="000000" w:themeColor="text1"/>
          <w:sz w:val="22"/>
          <w:szCs w:val="22"/>
          <w:lang w:val="fr-FR"/>
        </w:rPr>
        <w:t>s dans les Amérique</w:t>
      </w:r>
      <w:r w:rsidR="00ED78BF" w:rsidRPr="005D062F">
        <w:rPr>
          <w:b/>
          <w:bCs/>
          <w:color w:val="000000" w:themeColor="text1"/>
          <w:sz w:val="22"/>
          <w:szCs w:val="22"/>
          <w:lang w:val="fr-FR"/>
        </w:rPr>
        <w:t>s</w:t>
      </w:r>
      <w:r w:rsidR="00E34B9C" w:rsidRPr="005D062F">
        <w:rPr>
          <w:color w:val="000000" w:themeColor="text1"/>
          <w:sz w:val="22"/>
          <w:szCs w:val="22"/>
          <w:lang w:val="fr-FR"/>
        </w:rPr>
        <w:t xml:space="preserve"> en mars</w:t>
      </w:r>
      <w:r w:rsidR="00ED78BF" w:rsidRPr="005D062F">
        <w:rPr>
          <w:color w:val="000000" w:themeColor="text1"/>
          <w:sz w:val="22"/>
          <w:szCs w:val="22"/>
          <w:lang w:val="fr-FR"/>
        </w:rPr>
        <w:t xml:space="preserve"> 2022.</w:t>
      </w:r>
    </w:p>
    <w:p w14:paraId="1B36979A" w14:textId="77777777" w:rsidR="00ED78BF" w:rsidRPr="005D062F" w:rsidRDefault="00ED78BF" w:rsidP="00723DAD">
      <w:pPr>
        <w:rPr>
          <w:rFonts w:ascii="Times New Roman" w:hAnsi="Times New Roman" w:cs="Times New Roman"/>
          <w:sz w:val="22"/>
          <w:szCs w:val="22"/>
          <w:lang w:val="fr-FR"/>
        </w:rPr>
      </w:pPr>
    </w:p>
    <w:p w14:paraId="164556F9" w14:textId="24F02562" w:rsidR="0084346B" w:rsidRPr="005D062F" w:rsidRDefault="00E34B9C" w:rsidP="00CB030B">
      <w:pPr>
        <w:pStyle w:val="ListParagraph"/>
        <w:numPr>
          <w:ilvl w:val="0"/>
          <w:numId w:val="11"/>
        </w:numPr>
        <w:ind w:left="1440" w:hanging="720"/>
        <w:jc w:val="both"/>
        <w:rPr>
          <w:sz w:val="22"/>
          <w:szCs w:val="22"/>
          <w:lang w:val="fr-FR"/>
        </w:rPr>
      </w:pPr>
      <w:r w:rsidRPr="005D062F">
        <w:rPr>
          <w:bCs/>
          <w:sz w:val="22"/>
          <w:szCs w:val="22"/>
          <w:lang w:val="fr-FR"/>
        </w:rPr>
        <w:t>Le SEDI a signé un accord établissant un cadre de coopération à la diffusion et l’accessibilité de la culture grâce aux bibliothèques numériques</w:t>
      </w:r>
      <w:r w:rsidR="00ED78BF" w:rsidRPr="005D062F">
        <w:rPr>
          <w:bCs/>
          <w:sz w:val="22"/>
          <w:szCs w:val="22"/>
          <w:lang w:val="fr-FR"/>
        </w:rPr>
        <w:t>.</w:t>
      </w:r>
      <w:r w:rsidR="00ED78BF" w:rsidRPr="005D062F">
        <w:rPr>
          <w:sz w:val="22"/>
          <w:szCs w:val="22"/>
          <w:lang w:val="fr-FR"/>
        </w:rPr>
        <w:t xml:space="preserve"> </w:t>
      </w:r>
      <w:r w:rsidRPr="005D062F">
        <w:rPr>
          <w:sz w:val="22"/>
          <w:szCs w:val="22"/>
          <w:lang w:val="fr-FR"/>
        </w:rPr>
        <w:t xml:space="preserve">Cet accord permet au </w:t>
      </w:r>
      <w:r w:rsidRPr="005D062F">
        <w:rPr>
          <w:bCs/>
          <w:sz w:val="22"/>
          <w:szCs w:val="22"/>
          <w:lang w:val="fr-FR"/>
        </w:rPr>
        <w:t>Secré</w:t>
      </w:r>
      <w:r w:rsidR="00ED78BF" w:rsidRPr="005D062F">
        <w:rPr>
          <w:bCs/>
          <w:sz w:val="22"/>
          <w:szCs w:val="22"/>
          <w:lang w:val="fr-FR"/>
        </w:rPr>
        <w:t>tariat</w:t>
      </w:r>
      <w:r w:rsidRPr="005D062F">
        <w:rPr>
          <w:bCs/>
          <w:sz w:val="22"/>
          <w:szCs w:val="22"/>
          <w:lang w:val="fr-FR"/>
        </w:rPr>
        <w:t xml:space="preserve"> général, par le biais du </w:t>
      </w:r>
      <w:r w:rsidR="00ED78BF" w:rsidRPr="005D062F">
        <w:rPr>
          <w:bCs/>
          <w:sz w:val="22"/>
          <w:szCs w:val="22"/>
          <w:lang w:val="fr-FR"/>
        </w:rPr>
        <w:t xml:space="preserve">SEDI, </w:t>
      </w:r>
      <w:r w:rsidR="00AF7726" w:rsidRPr="005D062F">
        <w:rPr>
          <w:bCs/>
          <w:sz w:val="22"/>
          <w:szCs w:val="22"/>
          <w:lang w:val="fr-FR"/>
        </w:rPr>
        <w:t xml:space="preserve">de diffuser et de promouvoir </w:t>
      </w:r>
      <w:r w:rsidRPr="005D062F">
        <w:rPr>
          <w:bCs/>
          <w:sz w:val="22"/>
          <w:szCs w:val="22"/>
          <w:lang w:val="fr-FR"/>
        </w:rPr>
        <w:t>la bibliothèque virtuelle « </w:t>
      </w:r>
      <w:hyperlink r:id="rId17" w:history="1">
        <w:r w:rsidR="00ED78BF" w:rsidRPr="005D062F">
          <w:rPr>
            <w:rStyle w:val="Hyperlink"/>
            <w:bCs/>
            <w:i/>
            <w:iCs/>
            <w:sz w:val="22"/>
            <w:szCs w:val="22"/>
            <w:lang w:val="fr-FR"/>
          </w:rPr>
          <w:t>El Libro Total</w:t>
        </w:r>
      </w:hyperlink>
      <w:r w:rsidRPr="005D062F">
        <w:rPr>
          <w:bCs/>
          <w:sz w:val="22"/>
          <w:szCs w:val="22"/>
          <w:lang w:val="fr-FR"/>
        </w:rPr>
        <w:t xml:space="preserve"> » </w:t>
      </w:r>
      <w:r w:rsidR="00202B8B" w:rsidRPr="005D062F">
        <w:rPr>
          <w:bCs/>
          <w:sz w:val="22"/>
          <w:szCs w:val="22"/>
          <w:lang w:val="fr-FR"/>
        </w:rPr>
        <w:t xml:space="preserve">(en espagnol seulement) </w:t>
      </w:r>
      <w:r w:rsidRPr="005D062F">
        <w:rPr>
          <w:bCs/>
          <w:sz w:val="22"/>
          <w:szCs w:val="22"/>
          <w:lang w:val="fr-FR"/>
        </w:rPr>
        <w:t xml:space="preserve">parmi les auteurs et les citoyens des États membres de l’OEA. </w:t>
      </w:r>
      <w:r w:rsidR="00AF7726" w:rsidRPr="005D062F">
        <w:rPr>
          <w:bCs/>
          <w:sz w:val="22"/>
          <w:szCs w:val="22"/>
          <w:lang w:val="fr-FR"/>
        </w:rPr>
        <w:t xml:space="preserve">De plus, il renforce la </w:t>
      </w:r>
      <w:r w:rsidR="00ED78BF" w:rsidRPr="005D062F">
        <w:rPr>
          <w:bCs/>
          <w:sz w:val="22"/>
          <w:szCs w:val="22"/>
          <w:lang w:val="fr-FR"/>
        </w:rPr>
        <w:t xml:space="preserve">collaboration </w:t>
      </w:r>
      <w:r w:rsidR="00AF7726" w:rsidRPr="005D062F">
        <w:rPr>
          <w:bCs/>
          <w:sz w:val="22"/>
          <w:szCs w:val="22"/>
          <w:lang w:val="fr-FR"/>
        </w:rPr>
        <w:t xml:space="preserve">dans le but de </w:t>
      </w:r>
      <w:r w:rsidR="00ED78BF" w:rsidRPr="005D062F">
        <w:rPr>
          <w:bCs/>
          <w:sz w:val="22"/>
          <w:szCs w:val="22"/>
          <w:lang w:val="fr-FR"/>
        </w:rPr>
        <w:t>promo</w:t>
      </w:r>
      <w:r w:rsidR="00AF7726" w:rsidRPr="005D062F">
        <w:rPr>
          <w:bCs/>
          <w:sz w:val="22"/>
          <w:szCs w:val="22"/>
          <w:lang w:val="fr-FR"/>
        </w:rPr>
        <w:t>uvoir les connaissances culturelles, en particulier dans le domaine de la littérature dans les Amériques, ainsi que l’utilisation accrue des technologies numériques par les professionnels de la culture et les consommateurs de produits culturels et créatifs</w:t>
      </w:r>
      <w:r w:rsidR="0084346B" w:rsidRPr="005D062F">
        <w:rPr>
          <w:bCs/>
          <w:sz w:val="22"/>
          <w:szCs w:val="22"/>
          <w:lang w:val="fr-FR"/>
        </w:rPr>
        <w:t xml:space="preserve">. </w:t>
      </w:r>
      <w:r w:rsidR="00AF7726" w:rsidRPr="005D062F">
        <w:rPr>
          <w:bCs/>
          <w:sz w:val="22"/>
          <w:szCs w:val="22"/>
          <w:lang w:val="fr-FR"/>
        </w:rPr>
        <w:t xml:space="preserve">Les États membres de l’OEA et leurs citoyens bénéficient d’un accès gratuit à une vaste bibliothèque virtuelle </w:t>
      </w:r>
      <w:r w:rsidR="0084346B" w:rsidRPr="005D062F">
        <w:rPr>
          <w:bCs/>
          <w:sz w:val="22"/>
          <w:szCs w:val="22"/>
          <w:lang w:val="fr-FR"/>
        </w:rPr>
        <w:t>(li</w:t>
      </w:r>
      <w:r w:rsidR="00AF7726" w:rsidRPr="005D062F">
        <w:rPr>
          <w:bCs/>
          <w:sz w:val="22"/>
          <w:szCs w:val="22"/>
          <w:lang w:val="fr-FR"/>
        </w:rPr>
        <w:t>e</w:t>
      </w:r>
      <w:r w:rsidR="0084346B" w:rsidRPr="005D062F">
        <w:rPr>
          <w:bCs/>
          <w:sz w:val="22"/>
          <w:szCs w:val="22"/>
          <w:lang w:val="fr-FR"/>
        </w:rPr>
        <w:t>n</w:t>
      </w:r>
      <w:r w:rsidR="00AF7726" w:rsidRPr="005D062F">
        <w:rPr>
          <w:bCs/>
          <w:sz w:val="22"/>
          <w:szCs w:val="22"/>
          <w:lang w:val="fr-FR"/>
        </w:rPr>
        <w:t xml:space="preserve"> ci-dessus</w:t>
      </w:r>
      <w:r w:rsidR="0084346B" w:rsidRPr="005D062F">
        <w:rPr>
          <w:bCs/>
          <w:sz w:val="22"/>
          <w:szCs w:val="22"/>
          <w:lang w:val="fr-FR"/>
        </w:rPr>
        <w:t>).</w:t>
      </w:r>
    </w:p>
    <w:bookmarkEnd w:id="10"/>
    <w:p w14:paraId="39C7F7D4" w14:textId="2752A982" w:rsidR="009B0089" w:rsidRPr="005D062F" w:rsidRDefault="009B0089" w:rsidP="00CB030B">
      <w:pPr>
        <w:rPr>
          <w:rFonts w:ascii="Times New Roman" w:hAnsi="Times New Roman" w:cs="Times New Roman"/>
          <w:color w:val="000000" w:themeColor="text1"/>
          <w:sz w:val="22"/>
          <w:szCs w:val="22"/>
          <w:lang w:val="fr-FR"/>
        </w:rPr>
      </w:pPr>
    </w:p>
    <w:p w14:paraId="4B511243" w14:textId="2F2ABDAD" w:rsidR="00746168" w:rsidRPr="00002E24" w:rsidRDefault="00EA3A90" w:rsidP="00002E24">
      <w:pPr>
        <w:pStyle w:val="Heading1"/>
        <w:keepNext/>
      </w:pPr>
      <w:bookmarkStart w:id="11" w:name="_Toc124243402"/>
      <w:r w:rsidRPr="005D062F">
        <w:t>LIGNE STRATÉGIQUE</w:t>
      </w:r>
      <w:r w:rsidR="0051535F" w:rsidRPr="005D062F">
        <w:t xml:space="preserve"> 2</w:t>
      </w:r>
      <w:bookmarkEnd w:id="11"/>
    </w:p>
    <w:p w14:paraId="6AD57BCC" w14:textId="73844A83" w:rsidR="00746168" w:rsidRPr="005D062F" w:rsidRDefault="00933527" w:rsidP="00607D18">
      <w:pPr>
        <w:keepNext/>
        <w:pBdr>
          <w:bottom w:val="single" w:sz="6" w:space="1" w:color="auto"/>
        </w:pBdr>
        <w:jc w:val="both"/>
        <w:rPr>
          <w:rFonts w:ascii="Times New Roman" w:hAnsi="Times New Roman" w:cs="Times New Roman"/>
          <w:sz w:val="22"/>
          <w:szCs w:val="22"/>
          <w:lang w:val="fr-FR"/>
        </w:rPr>
      </w:pPr>
      <w:r w:rsidRPr="005D062F">
        <w:rPr>
          <w:rFonts w:ascii="Times New Roman" w:hAnsi="Times New Roman" w:cs="Times New Roman"/>
          <w:sz w:val="22"/>
          <w:szCs w:val="22"/>
          <w:lang w:val="fr-FR"/>
        </w:rPr>
        <w:t>RENFORCER LA MISE EN ŒUVRE DES OBJECTIFS DE DÉVELOPPEMENT DURABLE</w:t>
      </w:r>
      <w:r w:rsidR="00746168" w:rsidRPr="005D062F">
        <w:rPr>
          <w:rFonts w:ascii="Times New Roman" w:hAnsi="Times New Roman" w:cs="Times New Roman"/>
          <w:sz w:val="22"/>
          <w:szCs w:val="22"/>
          <w:lang w:val="fr-FR"/>
        </w:rPr>
        <w:t xml:space="preserve"> </w:t>
      </w:r>
      <w:r w:rsidR="007D30CA" w:rsidRPr="005D062F">
        <w:rPr>
          <w:rFonts w:ascii="Times New Roman" w:hAnsi="Times New Roman" w:cs="Times New Roman"/>
          <w:sz w:val="22"/>
          <w:szCs w:val="22"/>
          <w:lang w:val="fr-FR"/>
        </w:rPr>
        <w:t>(PIDS)</w:t>
      </w:r>
    </w:p>
    <w:p w14:paraId="5778319D" w14:textId="77777777" w:rsidR="00746168" w:rsidRPr="005D062F" w:rsidRDefault="00746168" w:rsidP="00CB030B">
      <w:pPr>
        <w:jc w:val="both"/>
        <w:rPr>
          <w:rFonts w:ascii="Times New Roman" w:hAnsi="Times New Roman" w:cs="Times New Roman"/>
          <w:sz w:val="22"/>
          <w:szCs w:val="22"/>
          <w:lang w:val="fr-FR"/>
        </w:rPr>
      </w:pPr>
    </w:p>
    <w:p w14:paraId="55A6722B" w14:textId="749A19B2" w:rsidR="00A52779" w:rsidRPr="005D062F" w:rsidRDefault="00933527" w:rsidP="00CB030B">
      <w:pPr>
        <w:ind w:firstLine="720"/>
        <w:jc w:val="both"/>
        <w:rPr>
          <w:rFonts w:ascii="Times New Roman" w:eastAsia="Calibri" w:hAnsi="Times New Roman" w:cs="Times New Roman"/>
          <w:bCs/>
          <w:sz w:val="22"/>
          <w:szCs w:val="22"/>
          <w:lang w:val="fr-FR"/>
        </w:rPr>
      </w:pPr>
      <w:r w:rsidRPr="005D062F">
        <w:rPr>
          <w:rFonts w:ascii="Times New Roman" w:eastAsia="Calibri" w:hAnsi="Times New Roman" w:cs="Times New Roman"/>
          <w:bCs/>
          <w:sz w:val="22"/>
          <w:szCs w:val="22"/>
          <w:lang w:val="fr-FR"/>
        </w:rPr>
        <w:t>L</w:t>
      </w:r>
      <w:r w:rsidR="00A52779" w:rsidRPr="005D062F">
        <w:rPr>
          <w:rFonts w:ascii="Times New Roman" w:eastAsia="Calibri" w:hAnsi="Times New Roman" w:cs="Times New Roman"/>
          <w:bCs/>
          <w:sz w:val="22"/>
          <w:szCs w:val="22"/>
          <w:lang w:val="fr-FR"/>
        </w:rPr>
        <w:t xml:space="preserve">e </w:t>
      </w:r>
      <w:r w:rsidRPr="005D062F">
        <w:rPr>
          <w:rFonts w:ascii="Times New Roman" w:eastAsia="Calibri" w:hAnsi="Times New Roman" w:cs="Times New Roman"/>
          <w:bCs/>
          <w:sz w:val="22"/>
          <w:szCs w:val="22"/>
          <w:lang w:val="fr-FR"/>
        </w:rPr>
        <w:t>Département du développement durable</w:t>
      </w:r>
      <w:r w:rsidR="00A52779" w:rsidRPr="005D062F">
        <w:rPr>
          <w:rFonts w:ascii="Times New Roman" w:eastAsia="Calibri" w:hAnsi="Times New Roman" w:cs="Times New Roman"/>
          <w:bCs/>
          <w:sz w:val="22"/>
          <w:szCs w:val="22"/>
          <w:lang w:val="fr-FR"/>
        </w:rPr>
        <w:t xml:space="preserve"> </w:t>
      </w:r>
      <w:r w:rsidRPr="005D062F">
        <w:rPr>
          <w:rFonts w:ascii="Times New Roman" w:eastAsia="Calibri" w:hAnsi="Times New Roman" w:cs="Times New Roman"/>
          <w:bCs/>
          <w:sz w:val="22"/>
          <w:szCs w:val="22"/>
          <w:lang w:val="fr-FR"/>
        </w:rPr>
        <w:t xml:space="preserve">a </w:t>
      </w:r>
      <w:r w:rsidR="00A52779" w:rsidRPr="005D062F">
        <w:rPr>
          <w:rFonts w:ascii="Times New Roman" w:eastAsia="Calibri" w:hAnsi="Times New Roman" w:cs="Times New Roman"/>
          <w:bCs/>
          <w:sz w:val="22"/>
          <w:szCs w:val="22"/>
          <w:lang w:val="fr-FR"/>
        </w:rPr>
        <w:t>continu</w:t>
      </w:r>
      <w:r w:rsidRPr="005D062F">
        <w:rPr>
          <w:rFonts w:ascii="Times New Roman" w:eastAsia="Calibri" w:hAnsi="Times New Roman" w:cs="Times New Roman"/>
          <w:bCs/>
          <w:sz w:val="22"/>
          <w:szCs w:val="22"/>
          <w:lang w:val="fr-FR"/>
        </w:rPr>
        <w:t>é d’assurer les programmes essentiels pour renforcer la durabilité et la résilience au sein des États membres</w:t>
      </w:r>
      <w:r w:rsidR="00A52779" w:rsidRPr="005D062F">
        <w:rPr>
          <w:rFonts w:ascii="Times New Roman" w:eastAsia="Calibri" w:hAnsi="Times New Roman" w:cs="Times New Roman"/>
          <w:bCs/>
          <w:sz w:val="22"/>
          <w:szCs w:val="22"/>
          <w:lang w:val="fr-FR"/>
        </w:rPr>
        <w:t xml:space="preserve">. </w:t>
      </w:r>
      <w:r w:rsidRPr="005D062F">
        <w:rPr>
          <w:rFonts w:ascii="Times New Roman" w:eastAsia="Calibri" w:hAnsi="Times New Roman" w:cs="Times New Roman"/>
          <w:bCs/>
          <w:sz w:val="22"/>
          <w:szCs w:val="22"/>
          <w:lang w:val="fr-FR"/>
        </w:rPr>
        <w:t>Conformément au Programme interaméricain de développement durable</w:t>
      </w:r>
      <w:r w:rsidR="00A52779" w:rsidRPr="005D062F">
        <w:rPr>
          <w:rFonts w:ascii="Times New Roman" w:eastAsia="Calibri" w:hAnsi="Times New Roman" w:cs="Times New Roman"/>
          <w:bCs/>
          <w:sz w:val="22"/>
          <w:szCs w:val="22"/>
          <w:lang w:val="fr-FR"/>
        </w:rPr>
        <w:t xml:space="preserve"> </w:t>
      </w:r>
      <w:r w:rsidRPr="005D062F">
        <w:rPr>
          <w:rFonts w:ascii="Times New Roman" w:eastAsia="Calibri" w:hAnsi="Times New Roman" w:cs="Times New Roman"/>
          <w:bCs/>
          <w:sz w:val="22"/>
          <w:szCs w:val="22"/>
          <w:lang w:val="fr-FR"/>
        </w:rPr>
        <w:t>(</w:t>
      </w:r>
      <w:r w:rsidR="00A52779" w:rsidRPr="005D062F">
        <w:rPr>
          <w:rFonts w:ascii="Times New Roman" w:eastAsia="Calibri" w:hAnsi="Times New Roman" w:cs="Times New Roman"/>
          <w:bCs/>
          <w:sz w:val="22"/>
          <w:szCs w:val="22"/>
          <w:lang w:val="fr-FR"/>
        </w:rPr>
        <w:t>PIDS</w:t>
      </w:r>
      <w:r w:rsidRPr="005D062F">
        <w:rPr>
          <w:rFonts w:ascii="Times New Roman" w:eastAsia="Calibri" w:hAnsi="Times New Roman" w:cs="Times New Roman"/>
          <w:bCs/>
          <w:sz w:val="22"/>
          <w:szCs w:val="22"/>
          <w:lang w:val="fr-FR"/>
        </w:rPr>
        <w:t>)</w:t>
      </w:r>
      <w:r w:rsidR="00A52779" w:rsidRPr="005D062F">
        <w:rPr>
          <w:rFonts w:ascii="Times New Roman" w:eastAsia="Calibri" w:hAnsi="Times New Roman" w:cs="Times New Roman"/>
          <w:bCs/>
          <w:sz w:val="22"/>
          <w:szCs w:val="22"/>
          <w:lang w:val="fr-FR"/>
        </w:rPr>
        <w:t xml:space="preserve">, </w:t>
      </w:r>
      <w:r w:rsidRPr="005D062F">
        <w:rPr>
          <w:rFonts w:ascii="Times New Roman" w:eastAsia="Calibri" w:hAnsi="Times New Roman" w:cs="Times New Roman"/>
          <w:bCs/>
          <w:sz w:val="22"/>
          <w:szCs w:val="22"/>
          <w:lang w:val="fr-FR"/>
        </w:rPr>
        <w:t>il a travaillé e</w:t>
      </w:r>
      <w:r w:rsidR="00A52779" w:rsidRPr="005D062F">
        <w:rPr>
          <w:rFonts w:ascii="Times New Roman" w:eastAsia="Calibri" w:hAnsi="Times New Roman" w:cs="Times New Roman"/>
          <w:bCs/>
          <w:sz w:val="22"/>
          <w:szCs w:val="22"/>
          <w:lang w:val="fr-FR"/>
        </w:rPr>
        <w:t xml:space="preserve">n collaboration </w:t>
      </w:r>
      <w:r w:rsidRPr="005D062F">
        <w:rPr>
          <w:rFonts w:ascii="Times New Roman" w:eastAsia="Calibri" w:hAnsi="Times New Roman" w:cs="Times New Roman"/>
          <w:bCs/>
          <w:sz w:val="22"/>
          <w:szCs w:val="22"/>
          <w:lang w:val="fr-FR"/>
        </w:rPr>
        <w:t xml:space="preserve">avec les pays de l’ensemble du continent américain </w:t>
      </w:r>
      <w:r w:rsidR="00035DB8" w:rsidRPr="005D062F">
        <w:rPr>
          <w:rFonts w:ascii="Times New Roman" w:eastAsia="Calibri" w:hAnsi="Times New Roman" w:cs="Times New Roman"/>
          <w:bCs/>
          <w:sz w:val="22"/>
          <w:szCs w:val="22"/>
          <w:lang w:val="fr-FR"/>
        </w:rPr>
        <w:t xml:space="preserve">pour poursuivre les efforts </w:t>
      </w:r>
      <w:r w:rsidR="00973042" w:rsidRPr="005D062F">
        <w:rPr>
          <w:rFonts w:ascii="Times New Roman" w:eastAsia="Calibri" w:hAnsi="Times New Roman" w:cs="Times New Roman"/>
          <w:bCs/>
          <w:sz w:val="22"/>
          <w:szCs w:val="22"/>
          <w:lang w:val="fr-FR"/>
        </w:rPr>
        <w:t xml:space="preserve">déployés </w:t>
      </w:r>
      <w:r w:rsidR="00035DB8" w:rsidRPr="005D062F">
        <w:rPr>
          <w:rFonts w:ascii="Times New Roman" w:eastAsia="Calibri" w:hAnsi="Times New Roman" w:cs="Times New Roman"/>
          <w:bCs/>
          <w:sz w:val="22"/>
          <w:szCs w:val="22"/>
          <w:lang w:val="fr-FR"/>
        </w:rPr>
        <w:t>en contribuant à intégrer la résilience et la gestion des risques de catastrophe</w:t>
      </w:r>
      <w:r w:rsidR="00575D55" w:rsidRPr="005D062F">
        <w:rPr>
          <w:rFonts w:ascii="Times New Roman" w:eastAsia="Calibri" w:hAnsi="Times New Roman" w:cs="Times New Roman"/>
          <w:bCs/>
          <w:sz w:val="22"/>
          <w:szCs w:val="22"/>
          <w:lang w:val="fr-FR"/>
        </w:rPr>
        <w:t>,</w:t>
      </w:r>
      <w:r w:rsidR="00A52779" w:rsidRPr="005D062F">
        <w:rPr>
          <w:rFonts w:ascii="Times New Roman" w:eastAsia="Calibri" w:hAnsi="Times New Roman" w:cs="Times New Roman"/>
          <w:bCs/>
          <w:sz w:val="22"/>
          <w:szCs w:val="22"/>
          <w:lang w:val="fr-FR"/>
        </w:rPr>
        <w:t xml:space="preserve"> </w:t>
      </w:r>
      <w:r w:rsidR="00035DB8" w:rsidRPr="005D062F">
        <w:rPr>
          <w:rFonts w:ascii="Times New Roman" w:eastAsia="Calibri" w:hAnsi="Times New Roman" w:cs="Times New Roman"/>
          <w:bCs/>
          <w:sz w:val="22"/>
          <w:szCs w:val="22"/>
          <w:lang w:val="fr-FR"/>
        </w:rPr>
        <w:t xml:space="preserve">en renforçant les capacités dans le domaine de la gestion des écosystèmes </w:t>
      </w:r>
      <w:r w:rsidR="00973042" w:rsidRPr="005D062F">
        <w:rPr>
          <w:rFonts w:ascii="Times New Roman" w:eastAsia="Calibri" w:hAnsi="Times New Roman" w:cs="Times New Roman"/>
          <w:bCs/>
          <w:sz w:val="22"/>
          <w:szCs w:val="22"/>
          <w:lang w:val="fr-FR"/>
        </w:rPr>
        <w:t>résilients face au changement climatique</w:t>
      </w:r>
      <w:r w:rsidR="00035DB8" w:rsidRPr="005D062F">
        <w:rPr>
          <w:rFonts w:ascii="Times New Roman" w:eastAsia="Calibri" w:hAnsi="Times New Roman" w:cs="Times New Roman"/>
          <w:bCs/>
          <w:sz w:val="22"/>
          <w:szCs w:val="22"/>
          <w:lang w:val="fr-FR"/>
        </w:rPr>
        <w:t xml:space="preserve"> et durables, en favorisant l’amélioration de la sécurité de l’eau, en renforçant les capacités de gestion intégrée des ressources hydriques et en soutenant le développement et l’utilisation d’énergies de remplacement durables</w:t>
      </w:r>
      <w:r w:rsidR="00A52779" w:rsidRPr="005D062F">
        <w:rPr>
          <w:rFonts w:ascii="Times New Roman" w:eastAsia="Calibri" w:hAnsi="Times New Roman" w:cs="Times New Roman"/>
          <w:bCs/>
          <w:sz w:val="22"/>
          <w:szCs w:val="22"/>
          <w:lang w:val="fr-FR"/>
        </w:rPr>
        <w:t xml:space="preserve">. </w:t>
      </w:r>
      <w:r w:rsidR="00035DB8" w:rsidRPr="005D062F">
        <w:rPr>
          <w:rFonts w:ascii="Times New Roman" w:eastAsia="Calibri" w:hAnsi="Times New Roman" w:cs="Times New Roman"/>
          <w:bCs/>
          <w:sz w:val="22"/>
          <w:szCs w:val="22"/>
          <w:lang w:val="fr-FR"/>
        </w:rPr>
        <w:t>E</w:t>
      </w:r>
      <w:r w:rsidR="00575D55" w:rsidRPr="005D062F">
        <w:rPr>
          <w:rFonts w:ascii="Times New Roman" w:eastAsia="Calibri" w:hAnsi="Times New Roman" w:cs="Times New Roman"/>
          <w:bCs/>
          <w:sz w:val="22"/>
          <w:szCs w:val="22"/>
          <w:lang w:val="fr-FR"/>
        </w:rPr>
        <w:t xml:space="preserve">n 2022, </w:t>
      </w:r>
      <w:r w:rsidR="00202B8B" w:rsidRPr="005D062F">
        <w:rPr>
          <w:rFonts w:ascii="Times New Roman" w:eastAsia="Calibri" w:hAnsi="Times New Roman" w:cs="Times New Roman"/>
          <w:bCs/>
          <w:sz w:val="22"/>
          <w:szCs w:val="22"/>
          <w:lang w:val="fr-FR"/>
        </w:rPr>
        <w:t>le DDD</w:t>
      </w:r>
      <w:r w:rsidR="00A52779" w:rsidRPr="005D062F">
        <w:rPr>
          <w:rFonts w:ascii="Times New Roman" w:eastAsia="Calibri" w:hAnsi="Times New Roman" w:cs="Times New Roman"/>
          <w:bCs/>
          <w:sz w:val="22"/>
          <w:szCs w:val="22"/>
          <w:lang w:val="fr-FR"/>
        </w:rPr>
        <w:t xml:space="preserve"> </w:t>
      </w:r>
      <w:r w:rsidR="00973042" w:rsidRPr="005D062F">
        <w:rPr>
          <w:rFonts w:ascii="Times New Roman" w:eastAsia="Calibri" w:hAnsi="Times New Roman" w:cs="Times New Roman"/>
          <w:bCs/>
          <w:sz w:val="22"/>
          <w:szCs w:val="22"/>
          <w:lang w:val="fr-FR"/>
        </w:rPr>
        <w:t xml:space="preserve">a </w:t>
      </w:r>
      <w:r w:rsidR="00A52779" w:rsidRPr="005D062F">
        <w:rPr>
          <w:rFonts w:ascii="Times New Roman" w:eastAsia="Calibri" w:hAnsi="Times New Roman" w:cs="Times New Roman"/>
          <w:bCs/>
          <w:sz w:val="22"/>
          <w:szCs w:val="22"/>
          <w:lang w:val="fr-FR"/>
        </w:rPr>
        <w:t>continu</w:t>
      </w:r>
      <w:r w:rsidR="00973042" w:rsidRPr="005D062F">
        <w:rPr>
          <w:rFonts w:ascii="Times New Roman" w:eastAsia="Calibri" w:hAnsi="Times New Roman" w:cs="Times New Roman"/>
          <w:bCs/>
          <w:sz w:val="22"/>
          <w:szCs w:val="22"/>
          <w:lang w:val="fr-FR"/>
        </w:rPr>
        <w:t>é de mettre l’accent sur les activités</w:t>
      </w:r>
      <w:r w:rsidR="00A52779" w:rsidRPr="005D062F">
        <w:rPr>
          <w:rFonts w:ascii="Times New Roman" w:eastAsia="Calibri" w:hAnsi="Times New Roman" w:cs="Times New Roman"/>
          <w:bCs/>
          <w:sz w:val="22"/>
          <w:szCs w:val="22"/>
          <w:lang w:val="fr-FR"/>
        </w:rPr>
        <w:t xml:space="preserve"> </w:t>
      </w:r>
      <w:r w:rsidR="00973042" w:rsidRPr="005D062F">
        <w:rPr>
          <w:rFonts w:ascii="Times New Roman" w:eastAsia="Calibri" w:hAnsi="Times New Roman" w:cs="Times New Roman"/>
          <w:bCs/>
          <w:sz w:val="22"/>
          <w:szCs w:val="22"/>
          <w:lang w:val="fr-FR"/>
        </w:rPr>
        <w:t>menées e</w:t>
      </w:r>
      <w:r w:rsidR="00A52779" w:rsidRPr="005D062F">
        <w:rPr>
          <w:rFonts w:ascii="Times New Roman" w:eastAsia="Calibri" w:hAnsi="Times New Roman" w:cs="Times New Roman"/>
          <w:bCs/>
          <w:sz w:val="22"/>
          <w:szCs w:val="22"/>
          <w:lang w:val="fr-FR"/>
        </w:rPr>
        <w:t xml:space="preserve">n collaboration </w:t>
      </w:r>
      <w:r w:rsidR="00973042" w:rsidRPr="005D062F">
        <w:rPr>
          <w:rFonts w:ascii="Times New Roman" w:eastAsia="Calibri" w:hAnsi="Times New Roman" w:cs="Times New Roman"/>
          <w:bCs/>
          <w:sz w:val="22"/>
          <w:szCs w:val="22"/>
          <w:lang w:val="fr-FR"/>
        </w:rPr>
        <w:t>avec les autres départements du</w:t>
      </w:r>
      <w:r w:rsidR="00A52779" w:rsidRPr="005D062F">
        <w:rPr>
          <w:rFonts w:ascii="Times New Roman" w:eastAsia="Calibri" w:hAnsi="Times New Roman" w:cs="Times New Roman"/>
          <w:bCs/>
          <w:sz w:val="22"/>
          <w:szCs w:val="22"/>
          <w:lang w:val="fr-FR"/>
        </w:rPr>
        <w:t xml:space="preserve"> SEDI</w:t>
      </w:r>
      <w:r w:rsidR="00973042" w:rsidRPr="005D062F">
        <w:rPr>
          <w:rFonts w:ascii="Times New Roman" w:eastAsia="Calibri" w:hAnsi="Times New Roman" w:cs="Times New Roman"/>
          <w:bCs/>
          <w:sz w:val="22"/>
          <w:szCs w:val="22"/>
          <w:lang w:val="fr-FR"/>
        </w:rPr>
        <w:t xml:space="preserve">, notamment les programmes transversaux relatifs au tourisme et à la résilience, à la sécurité de l’eau et au développement économique, au changement climatique ainsi qu’aux </w:t>
      </w:r>
      <w:r w:rsidR="00A52779" w:rsidRPr="005D062F">
        <w:rPr>
          <w:rFonts w:ascii="Times New Roman" w:eastAsia="Calibri" w:hAnsi="Times New Roman" w:cs="Times New Roman"/>
          <w:bCs/>
          <w:sz w:val="22"/>
          <w:szCs w:val="22"/>
          <w:lang w:val="fr-FR"/>
        </w:rPr>
        <w:t xml:space="preserve">ports. </w:t>
      </w:r>
    </w:p>
    <w:p w14:paraId="05D56C22" w14:textId="260020EB" w:rsidR="00A52779" w:rsidRDefault="00A52779" w:rsidP="00CB030B">
      <w:pPr>
        <w:jc w:val="both"/>
        <w:rPr>
          <w:rFonts w:ascii="Times New Roman" w:eastAsia="Calibri" w:hAnsi="Times New Roman" w:cs="Times New Roman"/>
          <w:bCs/>
          <w:sz w:val="22"/>
          <w:szCs w:val="22"/>
          <w:lang w:val="fr-FR"/>
        </w:rPr>
      </w:pPr>
    </w:p>
    <w:p w14:paraId="6DFBA0CC" w14:textId="77777777" w:rsidR="00E06CD3" w:rsidRPr="005D062F" w:rsidRDefault="00E06CD3" w:rsidP="00CB030B">
      <w:pPr>
        <w:jc w:val="both"/>
        <w:rPr>
          <w:rFonts w:ascii="Times New Roman" w:eastAsia="Calibri" w:hAnsi="Times New Roman" w:cs="Times New Roman"/>
          <w:bCs/>
          <w:sz w:val="22"/>
          <w:szCs w:val="22"/>
          <w:lang w:val="fr-FR"/>
        </w:rPr>
      </w:pPr>
    </w:p>
    <w:p w14:paraId="32F80144" w14:textId="61B66940" w:rsidR="00A52779" w:rsidRPr="002D4DF7" w:rsidRDefault="00C2663A" w:rsidP="002D4DF7">
      <w:pPr>
        <w:pStyle w:val="Heading2"/>
      </w:pPr>
      <w:bookmarkStart w:id="12" w:name="_Toc124243403"/>
      <w:r w:rsidRPr="002D4DF7">
        <w:t>OBJECTIF</w:t>
      </w:r>
      <w:r w:rsidR="00A52779" w:rsidRPr="002D4DF7">
        <w:t xml:space="preserve"> 2.1</w:t>
      </w:r>
      <w:bookmarkEnd w:id="12"/>
    </w:p>
    <w:p w14:paraId="20D1475C" w14:textId="77777777" w:rsidR="005F2C83" w:rsidRPr="005D062F" w:rsidRDefault="005F2C83" w:rsidP="00CB030B">
      <w:pPr>
        <w:jc w:val="both"/>
        <w:rPr>
          <w:rFonts w:ascii="Times New Roman" w:eastAsia="Calibri" w:hAnsi="Times New Roman" w:cs="Times New Roman"/>
          <w:bCs/>
          <w:sz w:val="22"/>
          <w:szCs w:val="22"/>
          <w:lang w:val="fr-FR"/>
        </w:rPr>
      </w:pPr>
    </w:p>
    <w:p w14:paraId="4A514981" w14:textId="7F4B4F94" w:rsidR="00A52779" w:rsidRPr="005D062F" w:rsidRDefault="00973042" w:rsidP="00CB030B">
      <w:pPr>
        <w:ind w:firstLine="720"/>
        <w:jc w:val="both"/>
        <w:rPr>
          <w:rFonts w:ascii="Times New Roman" w:eastAsia="Calibri" w:hAnsi="Times New Roman" w:cs="Times New Roman"/>
          <w:sz w:val="22"/>
          <w:szCs w:val="22"/>
          <w:lang w:val="fr-FR"/>
        </w:rPr>
      </w:pPr>
      <w:r w:rsidRPr="005D062F">
        <w:rPr>
          <w:rFonts w:ascii="Times New Roman" w:eastAsia="Calibri" w:hAnsi="Times New Roman" w:cs="Times New Roman"/>
          <w:sz w:val="22"/>
          <w:szCs w:val="22"/>
          <w:lang w:val="fr-FR"/>
        </w:rPr>
        <w:t>Promouvoir les capacités des États membres pour la gestion des risques de catastrophe conformément aux objectifs et principes d’action énoncés à la</w:t>
      </w:r>
      <w:r w:rsidR="00A52779" w:rsidRPr="005D062F">
        <w:rPr>
          <w:rFonts w:ascii="Times New Roman" w:eastAsia="Calibri" w:hAnsi="Times New Roman" w:cs="Times New Roman"/>
          <w:sz w:val="22"/>
          <w:szCs w:val="22"/>
          <w:lang w:val="fr-FR"/>
        </w:rPr>
        <w:t xml:space="preserve"> section 3.1 </w:t>
      </w:r>
      <w:r w:rsidRPr="005D062F">
        <w:rPr>
          <w:rFonts w:ascii="Times New Roman" w:eastAsia="Calibri" w:hAnsi="Times New Roman" w:cs="Times New Roman"/>
          <w:sz w:val="22"/>
          <w:szCs w:val="22"/>
          <w:lang w:val="fr-FR"/>
        </w:rPr>
        <w:t>du</w:t>
      </w:r>
      <w:r w:rsidR="00A52779" w:rsidRPr="005D062F">
        <w:rPr>
          <w:rFonts w:ascii="Times New Roman" w:eastAsia="Calibri" w:hAnsi="Times New Roman" w:cs="Times New Roman"/>
          <w:sz w:val="22"/>
          <w:szCs w:val="22"/>
          <w:lang w:val="fr-FR"/>
        </w:rPr>
        <w:t xml:space="preserve"> PIDS.</w:t>
      </w:r>
    </w:p>
    <w:p w14:paraId="26A8F9F7" w14:textId="3B8A3F04" w:rsidR="00A52779" w:rsidRPr="005D062F" w:rsidRDefault="00A52779" w:rsidP="00CB030B">
      <w:pPr>
        <w:jc w:val="both"/>
        <w:rPr>
          <w:rFonts w:ascii="Times New Roman" w:eastAsia="Calibri" w:hAnsi="Times New Roman" w:cs="Times New Roman"/>
          <w:bCs/>
          <w:sz w:val="22"/>
          <w:szCs w:val="22"/>
          <w:lang w:val="fr-FR"/>
        </w:rPr>
      </w:pPr>
    </w:p>
    <w:p w14:paraId="147D0E52" w14:textId="77777777" w:rsidR="00973042" w:rsidRPr="005D062F" w:rsidRDefault="00973042" w:rsidP="00973042">
      <w:pPr>
        <w:ind w:firstLine="720"/>
        <w:jc w:val="both"/>
        <w:rPr>
          <w:rFonts w:ascii="Times New Roman" w:eastAsia="Times New Roman" w:hAnsi="Times New Roman" w:cs="Times New Roman"/>
          <w:b/>
          <w:color w:val="000000"/>
          <w:sz w:val="22"/>
          <w:szCs w:val="22"/>
          <w:lang w:val="fr-FR"/>
        </w:rPr>
      </w:pPr>
      <w:r w:rsidRPr="005D062F">
        <w:rPr>
          <w:rFonts w:ascii="Times New Roman" w:eastAsia="Times New Roman" w:hAnsi="Times New Roman" w:cs="Times New Roman"/>
          <w:b/>
          <w:color w:val="000000"/>
          <w:sz w:val="22"/>
          <w:szCs w:val="22"/>
          <w:lang w:val="fr-FR"/>
        </w:rPr>
        <w:t>Gestion des risques de catastrophe et adaptation au changement climatique</w:t>
      </w:r>
    </w:p>
    <w:p w14:paraId="59BB69D1" w14:textId="77777777" w:rsidR="00A52779" w:rsidRPr="005D062F" w:rsidRDefault="00A52779" w:rsidP="00CB030B">
      <w:pPr>
        <w:jc w:val="both"/>
        <w:rPr>
          <w:rFonts w:ascii="Times New Roman" w:eastAsia="Calibri" w:hAnsi="Times New Roman" w:cs="Times New Roman"/>
          <w:sz w:val="22"/>
          <w:szCs w:val="22"/>
          <w:lang w:val="fr-FR"/>
        </w:rPr>
      </w:pPr>
    </w:p>
    <w:p w14:paraId="05D74A06" w14:textId="38486AE4" w:rsidR="00A52779" w:rsidRPr="005D062F" w:rsidRDefault="007A131D" w:rsidP="00CB030B">
      <w:pPr>
        <w:numPr>
          <w:ilvl w:val="0"/>
          <w:numId w:val="12"/>
        </w:numPr>
        <w:ind w:left="1440" w:hanging="720"/>
        <w:jc w:val="both"/>
        <w:rPr>
          <w:rFonts w:ascii="Times New Roman" w:eastAsia="Calibri" w:hAnsi="Times New Roman" w:cs="Times New Roman"/>
          <w:sz w:val="22"/>
          <w:szCs w:val="22"/>
          <w:lang w:val="fr-FR"/>
        </w:rPr>
      </w:pPr>
      <w:r w:rsidRPr="005D062F">
        <w:rPr>
          <w:rFonts w:ascii="Times New Roman" w:eastAsia="Calibri" w:hAnsi="Times New Roman" w:cs="Times New Roman"/>
          <w:sz w:val="22"/>
          <w:szCs w:val="22"/>
          <w:lang w:val="fr-FR"/>
        </w:rPr>
        <w:t xml:space="preserve">Le SEDI a mis l’accent sur le renforcement des capacités </w:t>
      </w:r>
      <w:r w:rsidR="00283235" w:rsidRPr="005D062F">
        <w:rPr>
          <w:rFonts w:ascii="Times New Roman" w:eastAsia="Calibri" w:hAnsi="Times New Roman" w:cs="Times New Roman"/>
          <w:sz w:val="22"/>
          <w:szCs w:val="22"/>
          <w:lang w:val="fr-FR"/>
        </w:rPr>
        <w:t xml:space="preserve">en matière de compréhension du processus de continuité des activités </w:t>
      </w:r>
      <w:r w:rsidRPr="005D062F">
        <w:rPr>
          <w:rFonts w:ascii="Times New Roman" w:eastAsia="Calibri" w:hAnsi="Times New Roman" w:cs="Times New Roman"/>
          <w:sz w:val="22"/>
          <w:szCs w:val="22"/>
          <w:lang w:val="fr-FR"/>
        </w:rPr>
        <w:t xml:space="preserve">grâce à des outils et techniques pratiques qui peuvent être utilisés par les petites entreprises touristiques des Caraïbes pour examiner les domaines susceptibles </w:t>
      </w:r>
      <w:r w:rsidR="00283235" w:rsidRPr="005D062F">
        <w:rPr>
          <w:rFonts w:ascii="Times New Roman" w:eastAsia="Calibri" w:hAnsi="Times New Roman" w:cs="Times New Roman"/>
          <w:sz w:val="22"/>
          <w:szCs w:val="22"/>
          <w:lang w:val="fr-FR"/>
        </w:rPr>
        <w:t>de nuire aux opérations</w:t>
      </w:r>
      <w:r w:rsidR="00A52779" w:rsidRPr="005D062F">
        <w:rPr>
          <w:rFonts w:ascii="Times New Roman" w:eastAsia="Calibri" w:hAnsi="Times New Roman" w:cs="Times New Roman"/>
          <w:sz w:val="22"/>
          <w:szCs w:val="22"/>
          <w:lang w:val="fr-FR"/>
        </w:rPr>
        <w:t xml:space="preserve">. </w:t>
      </w:r>
      <w:r w:rsidR="00AD4DBC" w:rsidRPr="005D062F">
        <w:rPr>
          <w:rFonts w:ascii="Times New Roman" w:eastAsia="Calibri" w:hAnsi="Times New Roman" w:cs="Times New Roman"/>
          <w:sz w:val="22"/>
          <w:szCs w:val="22"/>
          <w:lang w:val="fr-FR"/>
        </w:rPr>
        <w:t>Soixante-huit</w:t>
      </w:r>
      <w:r w:rsidR="00A52779" w:rsidRPr="005D062F">
        <w:rPr>
          <w:rFonts w:ascii="Times New Roman" w:eastAsia="Calibri" w:hAnsi="Times New Roman" w:cs="Times New Roman"/>
          <w:sz w:val="22"/>
          <w:szCs w:val="22"/>
          <w:lang w:val="fr-FR"/>
        </w:rPr>
        <w:t xml:space="preserve"> participants </w:t>
      </w:r>
      <w:r w:rsidR="00AD4DBC" w:rsidRPr="005D062F">
        <w:rPr>
          <w:rFonts w:ascii="Times New Roman" w:eastAsia="Calibri" w:hAnsi="Times New Roman" w:cs="Times New Roman"/>
          <w:sz w:val="22"/>
          <w:szCs w:val="22"/>
          <w:lang w:val="fr-FR"/>
        </w:rPr>
        <w:t>originai</w:t>
      </w:r>
      <w:r w:rsidR="00F57435" w:rsidRPr="005D062F">
        <w:rPr>
          <w:rFonts w:ascii="Times New Roman" w:eastAsia="Calibri" w:hAnsi="Times New Roman" w:cs="Times New Roman"/>
          <w:sz w:val="22"/>
          <w:szCs w:val="22"/>
          <w:lang w:val="fr-FR"/>
        </w:rPr>
        <w:t xml:space="preserve">res des </w:t>
      </w:r>
      <w:r w:rsidR="00395F9C" w:rsidRPr="005D062F">
        <w:rPr>
          <w:rFonts w:ascii="Times New Roman" w:eastAsia="Calibri" w:hAnsi="Times New Roman" w:cs="Times New Roman"/>
          <w:sz w:val="22"/>
          <w:szCs w:val="22"/>
          <w:lang w:val="fr-FR"/>
        </w:rPr>
        <w:t>13</w:t>
      </w:r>
      <w:r w:rsidR="00F57435" w:rsidRPr="005D062F">
        <w:rPr>
          <w:rFonts w:ascii="Times New Roman" w:eastAsia="Calibri" w:hAnsi="Times New Roman" w:cs="Times New Roman"/>
          <w:sz w:val="22"/>
          <w:szCs w:val="22"/>
          <w:lang w:val="fr-FR"/>
        </w:rPr>
        <w:t xml:space="preserve"> pays participant</w:t>
      </w:r>
      <w:r w:rsidR="00AD4DBC" w:rsidRPr="005D062F">
        <w:rPr>
          <w:rFonts w:ascii="Times New Roman" w:eastAsia="Calibri" w:hAnsi="Times New Roman" w:cs="Times New Roman"/>
          <w:sz w:val="22"/>
          <w:szCs w:val="22"/>
          <w:lang w:val="fr-FR"/>
        </w:rPr>
        <w:t xml:space="preserve"> au projet ont assisté aux sessions de formation en quatre parties. Quatorze personnes ont reçu un certificat d’achèvement et 53 personnes u</w:t>
      </w:r>
      <w:r w:rsidRPr="005D062F">
        <w:rPr>
          <w:rFonts w:ascii="Times New Roman" w:eastAsia="Calibri" w:hAnsi="Times New Roman" w:cs="Times New Roman"/>
          <w:sz w:val="22"/>
          <w:szCs w:val="22"/>
          <w:lang w:val="fr-FR"/>
        </w:rPr>
        <w:t>n certificat</w:t>
      </w:r>
      <w:r w:rsidR="00AD4DBC" w:rsidRPr="005D062F">
        <w:rPr>
          <w:rFonts w:ascii="Times New Roman" w:eastAsia="Calibri" w:hAnsi="Times New Roman" w:cs="Times New Roman"/>
          <w:sz w:val="22"/>
          <w:szCs w:val="22"/>
          <w:lang w:val="fr-FR"/>
        </w:rPr>
        <w:t xml:space="preserve"> de participation</w:t>
      </w:r>
      <w:r w:rsidR="00A52779" w:rsidRPr="005D062F">
        <w:rPr>
          <w:rFonts w:ascii="Times New Roman" w:eastAsia="Calibri" w:hAnsi="Times New Roman" w:cs="Times New Roman"/>
          <w:sz w:val="22"/>
          <w:szCs w:val="22"/>
          <w:lang w:val="fr-FR"/>
        </w:rPr>
        <w:t>.</w:t>
      </w:r>
    </w:p>
    <w:p w14:paraId="2F3F8C84" w14:textId="77777777" w:rsidR="00A52779" w:rsidRPr="005D062F" w:rsidRDefault="00A52779" w:rsidP="00723DAD">
      <w:pPr>
        <w:rPr>
          <w:rFonts w:ascii="Times New Roman" w:eastAsia="Calibri" w:hAnsi="Times New Roman" w:cs="Times New Roman"/>
          <w:sz w:val="22"/>
          <w:szCs w:val="22"/>
          <w:lang w:val="fr-FR"/>
        </w:rPr>
      </w:pPr>
    </w:p>
    <w:p w14:paraId="4332BD2E" w14:textId="46A92433" w:rsidR="00A52779" w:rsidRPr="005D062F" w:rsidRDefault="00F2647E" w:rsidP="00CB030B">
      <w:pPr>
        <w:numPr>
          <w:ilvl w:val="0"/>
          <w:numId w:val="12"/>
        </w:numPr>
        <w:ind w:left="1440" w:hanging="720"/>
        <w:jc w:val="both"/>
        <w:rPr>
          <w:rFonts w:ascii="Times New Roman" w:eastAsia="Calibri" w:hAnsi="Times New Roman" w:cs="Times New Roman"/>
          <w:b/>
          <w:sz w:val="22"/>
          <w:szCs w:val="22"/>
          <w:lang w:val="fr-FR"/>
        </w:rPr>
      </w:pPr>
      <w:r w:rsidRPr="005D062F">
        <w:rPr>
          <w:rFonts w:ascii="Times New Roman" w:eastAsia="Calibri" w:hAnsi="Times New Roman" w:cs="Times New Roman"/>
          <w:sz w:val="22"/>
          <w:szCs w:val="22"/>
          <w:lang w:val="fr-FR"/>
        </w:rPr>
        <w:t>Il a facilité la tenue des formations des équipes d’intervention en cas d’urgence communautaire (</w:t>
      </w:r>
      <w:r w:rsidR="00A52779" w:rsidRPr="005D062F">
        <w:rPr>
          <w:rFonts w:ascii="Times New Roman" w:eastAsia="Calibri" w:hAnsi="Times New Roman" w:cs="Times New Roman"/>
          <w:sz w:val="22"/>
          <w:szCs w:val="22"/>
          <w:lang w:val="fr-FR"/>
        </w:rPr>
        <w:t>CERT</w:t>
      </w:r>
      <w:r w:rsidRPr="005D062F">
        <w:rPr>
          <w:rFonts w:ascii="Times New Roman" w:eastAsia="Calibri" w:hAnsi="Times New Roman" w:cs="Times New Roman"/>
          <w:sz w:val="22"/>
          <w:szCs w:val="22"/>
          <w:lang w:val="fr-FR"/>
        </w:rPr>
        <w:t>) pour les petites entreprises touristiques de</w:t>
      </w:r>
      <w:r w:rsidR="00A52779" w:rsidRPr="005D062F">
        <w:rPr>
          <w:rFonts w:ascii="Times New Roman" w:eastAsia="Calibri" w:hAnsi="Times New Roman" w:cs="Times New Roman"/>
          <w:sz w:val="22"/>
          <w:szCs w:val="22"/>
          <w:lang w:val="fr-FR"/>
        </w:rPr>
        <w:t>s</w:t>
      </w:r>
      <w:r w:rsidRPr="005D062F">
        <w:rPr>
          <w:rFonts w:ascii="Times New Roman" w:eastAsia="Calibri" w:hAnsi="Times New Roman" w:cs="Times New Roman"/>
          <w:sz w:val="22"/>
          <w:szCs w:val="22"/>
          <w:lang w:val="fr-FR"/>
        </w:rPr>
        <w:t xml:space="preserve"> communautés locales de cinq pays (les</w:t>
      </w:r>
      <w:r w:rsidR="00A52779" w:rsidRPr="005D062F">
        <w:rPr>
          <w:rFonts w:ascii="Times New Roman" w:eastAsia="Calibri" w:hAnsi="Times New Roman" w:cs="Times New Roman"/>
          <w:sz w:val="22"/>
          <w:szCs w:val="22"/>
          <w:lang w:val="fr-FR"/>
        </w:rPr>
        <w:t xml:space="preserve"> Bahamas, </w:t>
      </w:r>
      <w:r w:rsidRPr="005D062F">
        <w:rPr>
          <w:rFonts w:ascii="Times New Roman" w:eastAsia="Calibri" w:hAnsi="Times New Roman" w:cs="Times New Roman"/>
          <w:sz w:val="22"/>
          <w:szCs w:val="22"/>
          <w:lang w:val="fr-FR"/>
        </w:rPr>
        <w:t>la Barbade</w:t>
      </w:r>
      <w:r w:rsidR="00A52779" w:rsidRPr="005D062F">
        <w:rPr>
          <w:rFonts w:ascii="Times New Roman" w:eastAsia="Calibri" w:hAnsi="Times New Roman" w:cs="Times New Roman"/>
          <w:sz w:val="22"/>
          <w:szCs w:val="22"/>
          <w:lang w:val="fr-FR"/>
        </w:rPr>
        <w:t xml:space="preserve">, </w:t>
      </w:r>
      <w:r w:rsidRPr="005D062F">
        <w:rPr>
          <w:rFonts w:ascii="Times New Roman" w:eastAsia="Calibri" w:hAnsi="Times New Roman" w:cs="Times New Roman"/>
          <w:sz w:val="22"/>
          <w:szCs w:val="22"/>
          <w:lang w:val="fr-FR"/>
        </w:rPr>
        <w:t xml:space="preserve">le </w:t>
      </w:r>
      <w:r w:rsidR="00A52779" w:rsidRPr="005D062F">
        <w:rPr>
          <w:rFonts w:ascii="Times New Roman" w:eastAsia="Calibri" w:hAnsi="Times New Roman" w:cs="Times New Roman"/>
          <w:sz w:val="22"/>
          <w:szCs w:val="22"/>
          <w:lang w:val="fr-FR"/>
        </w:rPr>
        <w:t xml:space="preserve">Belize, </w:t>
      </w:r>
      <w:r w:rsidRPr="005D062F">
        <w:rPr>
          <w:rFonts w:ascii="Times New Roman" w:eastAsia="Calibri" w:hAnsi="Times New Roman" w:cs="Times New Roman"/>
          <w:sz w:val="22"/>
          <w:szCs w:val="22"/>
          <w:lang w:val="fr-FR"/>
        </w:rPr>
        <w:t>la Jamaïque et Sainte-Lucie</w:t>
      </w:r>
      <w:r w:rsidR="00A52779" w:rsidRPr="005D062F">
        <w:rPr>
          <w:rFonts w:ascii="Times New Roman" w:eastAsia="Calibri" w:hAnsi="Times New Roman" w:cs="Times New Roman"/>
          <w:sz w:val="22"/>
          <w:szCs w:val="22"/>
          <w:lang w:val="fr-FR"/>
        </w:rPr>
        <w:t xml:space="preserve">) </w:t>
      </w:r>
      <w:r w:rsidRPr="005D062F">
        <w:rPr>
          <w:rFonts w:ascii="Times New Roman" w:eastAsia="Calibri" w:hAnsi="Times New Roman" w:cs="Times New Roman"/>
          <w:sz w:val="22"/>
          <w:szCs w:val="22"/>
          <w:lang w:val="fr-FR"/>
        </w:rPr>
        <w:t xml:space="preserve">par l’intermédiaire </w:t>
      </w:r>
      <w:r w:rsidR="007511BA" w:rsidRPr="005D062F">
        <w:rPr>
          <w:rFonts w:ascii="Times New Roman" w:eastAsia="Calibri" w:hAnsi="Times New Roman" w:cs="Times New Roman"/>
          <w:sz w:val="22"/>
          <w:szCs w:val="22"/>
          <w:lang w:val="fr-FR"/>
        </w:rPr>
        <w:t>des Agences de gestion des situations d’urgence et les ministères du tourisme</w:t>
      </w:r>
      <w:r w:rsidR="00A52779" w:rsidRPr="005D062F">
        <w:rPr>
          <w:rFonts w:ascii="Times New Roman" w:eastAsia="Calibri" w:hAnsi="Times New Roman" w:cs="Times New Roman"/>
          <w:sz w:val="22"/>
          <w:szCs w:val="22"/>
          <w:lang w:val="fr-FR"/>
        </w:rPr>
        <w:t xml:space="preserve">. </w:t>
      </w:r>
      <w:r w:rsidR="007511BA" w:rsidRPr="005D062F">
        <w:rPr>
          <w:rFonts w:ascii="Times New Roman" w:eastAsia="Calibri" w:hAnsi="Times New Roman" w:cs="Times New Roman"/>
          <w:sz w:val="22"/>
          <w:szCs w:val="22"/>
          <w:lang w:val="fr-FR"/>
        </w:rPr>
        <w:t xml:space="preserve">Plus de </w:t>
      </w:r>
      <w:r w:rsidR="00A52779" w:rsidRPr="005D062F">
        <w:rPr>
          <w:rFonts w:ascii="Times New Roman" w:eastAsia="Calibri" w:hAnsi="Times New Roman" w:cs="Times New Roman"/>
          <w:sz w:val="22"/>
          <w:szCs w:val="22"/>
          <w:lang w:val="fr-FR"/>
        </w:rPr>
        <w:t>120 person</w:t>
      </w:r>
      <w:r w:rsidR="007511BA" w:rsidRPr="005D062F">
        <w:rPr>
          <w:rFonts w:ascii="Times New Roman" w:eastAsia="Calibri" w:hAnsi="Times New Roman" w:cs="Times New Roman"/>
          <w:sz w:val="22"/>
          <w:szCs w:val="22"/>
          <w:lang w:val="fr-FR"/>
        </w:rPr>
        <w:t>ne</w:t>
      </w:r>
      <w:r w:rsidR="00A52779" w:rsidRPr="005D062F">
        <w:rPr>
          <w:rFonts w:ascii="Times New Roman" w:eastAsia="Calibri" w:hAnsi="Times New Roman" w:cs="Times New Roman"/>
          <w:sz w:val="22"/>
          <w:szCs w:val="22"/>
          <w:lang w:val="fr-FR"/>
        </w:rPr>
        <w:t xml:space="preserve">s </w:t>
      </w:r>
      <w:r w:rsidR="007511BA" w:rsidRPr="005D062F">
        <w:rPr>
          <w:rFonts w:ascii="Times New Roman" w:eastAsia="Calibri" w:hAnsi="Times New Roman" w:cs="Times New Roman"/>
          <w:sz w:val="22"/>
          <w:szCs w:val="22"/>
          <w:lang w:val="fr-FR"/>
        </w:rPr>
        <w:t>ont bénéficié d’une formation et obtenu un certificat de compétences de base en matière de</w:t>
      </w:r>
      <w:r w:rsidR="00A52779" w:rsidRPr="005D062F">
        <w:rPr>
          <w:rFonts w:ascii="Times New Roman" w:eastAsia="Calibri" w:hAnsi="Times New Roman" w:cs="Times New Roman"/>
          <w:sz w:val="22"/>
          <w:szCs w:val="22"/>
          <w:lang w:val="fr-FR"/>
        </w:rPr>
        <w:t xml:space="preserve"> CERT </w:t>
      </w:r>
      <w:r w:rsidR="007511BA" w:rsidRPr="005D062F">
        <w:rPr>
          <w:rFonts w:ascii="Times New Roman" w:eastAsia="Calibri" w:hAnsi="Times New Roman" w:cs="Times New Roman"/>
          <w:sz w:val="22"/>
          <w:szCs w:val="22"/>
          <w:lang w:val="fr-FR"/>
        </w:rPr>
        <w:t>dans le cadre du projet «</w:t>
      </w:r>
      <w:r w:rsidR="007511BA" w:rsidRPr="005D062F">
        <w:rPr>
          <w:rFonts w:ascii="Times New Roman" w:eastAsia="Calibri" w:hAnsi="Times New Roman" w:cs="Times New Roman"/>
          <w:b/>
          <w:sz w:val="22"/>
          <w:szCs w:val="22"/>
          <w:lang w:val="fr-FR"/>
        </w:rPr>
        <w:t> Renforcer la résilience des petites entreprises touristiques des Caraïbes face aux catastrophes </w:t>
      </w:r>
      <w:r w:rsidR="007511BA" w:rsidRPr="005D062F">
        <w:rPr>
          <w:rFonts w:ascii="Times New Roman" w:eastAsia="Calibri" w:hAnsi="Times New Roman" w:cs="Times New Roman"/>
          <w:sz w:val="22"/>
          <w:szCs w:val="22"/>
          <w:lang w:val="fr-FR"/>
        </w:rPr>
        <w:t>»</w:t>
      </w:r>
      <w:r w:rsidR="00A52779" w:rsidRPr="005D062F">
        <w:rPr>
          <w:rFonts w:ascii="Times New Roman" w:eastAsia="Calibri" w:hAnsi="Times New Roman" w:cs="Times New Roman"/>
          <w:sz w:val="22"/>
          <w:szCs w:val="22"/>
          <w:lang w:val="fr-FR"/>
        </w:rPr>
        <w:t>.</w:t>
      </w:r>
    </w:p>
    <w:p w14:paraId="54FE08EB" w14:textId="77777777" w:rsidR="00A52779" w:rsidRPr="005D062F" w:rsidRDefault="00A52779" w:rsidP="00723DAD">
      <w:pPr>
        <w:rPr>
          <w:rFonts w:ascii="Times New Roman" w:eastAsia="Calibri" w:hAnsi="Times New Roman" w:cs="Times New Roman"/>
          <w:sz w:val="22"/>
          <w:szCs w:val="22"/>
          <w:lang w:val="fr-FR"/>
        </w:rPr>
      </w:pPr>
    </w:p>
    <w:p w14:paraId="0C906382" w14:textId="44CE5043" w:rsidR="00A52779" w:rsidRPr="005D062F" w:rsidRDefault="009F0DD6" w:rsidP="00CB030B">
      <w:pPr>
        <w:numPr>
          <w:ilvl w:val="0"/>
          <w:numId w:val="12"/>
        </w:numPr>
        <w:ind w:left="1440" w:hanging="720"/>
        <w:jc w:val="both"/>
        <w:rPr>
          <w:rFonts w:ascii="Times New Roman" w:eastAsia="Calibri" w:hAnsi="Times New Roman" w:cs="Times New Roman"/>
          <w:sz w:val="22"/>
          <w:szCs w:val="22"/>
          <w:lang w:val="fr-FR"/>
        </w:rPr>
      </w:pPr>
      <w:r w:rsidRPr="005D062F">
        <w:rPr>
          <w:rFonts w:ascii="Times New Roman" w:eastAsia="Calibri" w:hAnsi="Times New Roman" w:cs="Times New Roman"/>
          <w:sz w:val="22"/>
          <w:szCs w:val="22"/>
          <w:lang w:val="fr-FR"/>
        </w:rPr>
        <w:t xml:space="preserve">Il a </w:t>
      </w:r>
      <w:r w:rsidR="00392E93" w:rsidRPr="005D062F">
        <w:rPr>
          <w:rFonts w:ascii="Times New Roman" w:eastAsia="Calibri" w:hAnsi="Times New Roman" w:cs="Times New Roman"/>
          <w:sz w:val="22"/>
          <w:szCs w:val="22"/>
          <w:lang w:val="fr-FR"/>
        </w:rPr>
        <w:t>pré</w:t>
      </w:r>
      <w:r w:rsidR="00F57435" w:rsidRPr="005D062F">
        <w:rPr>
          <w:rFonts w:ascii="Times New Roman" w:eastAsia="Calibri" w:hAnsi="Times New Roman" w:cs="Times New Roman"/>
          <w:sz w:val="22"/>
          <w:szCs w:val="22"/>
          <w:lang w:val="fr-FR"/>
        </w:rPr>
        <w:t>s</w:t>
      </w:r>
      <w:r w:rsidR="00392E93" w:rsidRPr="005D062F">
        <w:rPr>
          <w:rFonts w:ascii="Times New Roman" w:eastAsia="Calibri" w:hAnsi="Times New Roman" w:cs="Times New Roman"/>
          <w:sz w:val="22"/>
          <w:szCs w:val="22"/>
          <w:lang w:val="fr-FR"/>
        </w:rPr>
        <w:t>ent</w:t>
      </w:r>
      <w:r w:rsidR="00F57435" w:rsidRPr="005D062F">
        <w:rPr>
          <w:rFonts w:ascii="Times New Roman" w:eastAsia="Calibri" w:hAnsi="Times New Roman" w:cs="Times New Roman"/>
          <w:sz w:val="22"/>
          <w:szCs w:val="22"/>
          <w:lang w:val="fr-FR"/>
        </w:rPr>
        <w:t xml:space="preserve">é un </w:t>
      </w:r>
      <w:r w:rsidRPr="005D062F">
        <w:rPr>
          <w:rFonts w:ascii="Times New Roman" w:eastAsia="Calibri" w:hAnsi="Times New Roman" w:cs="Times New Roman"/>
          <w:sz w:val="22"/>
          <w:szCs w:val="22"/>
          <w:lang w:val="fr-FR"/>
        </w:rPr>
        <w:t>forum de haut niveau sur les politiques</w:t>
      </w:r>
      <w:r w:rsidR="00F57435" w:rsidRPr="005D062F">
        <w:rPr>
          <w:rFonts w:ascii="Times New Roman" w:eastAsia="Calibri" w:hAnsi="Times New Roman" w:cs="Times New Roman"/>
          <w:sz w:val="22"/>
          <w:szCs w:val="22"/>
          <w:lang w:val="fr-FR"/>
        </w:rPr>
        <w:t>,</w:t>
      </w:r>
      <w:r w:rsidRPr="005D062F">
        <w:rPr>
          <w:rFonts w:ascii="Times New Roman" w:eastAsia="Calibri" w:hAnsi="Times New Roman" w:cs="Times New Roman"/>
          <w:sz w:val="22"/>
          <w:szCs w:val="22"/>
          <w:lang w:val="fr-FR"/>
        </w:rPr>
        <w:t xml:space="preserve"> animé</w:t>
      </w:r>
      <w:r w:rsidR="00F57435" w:rsidRPr="005D062F">
        <w:rPr>
          <w:rFonts w:ascii="Times New Roman" w:eastAsia="Calibri" w:hAnsi="Times New Roman" w:cs="Times New Roman"/>
          <w:sz w:val="22"/>
          <w:szCs w:val="22"/>
          <w:lang w:val="fr-FR"/>
        </w:rPr>
        <w:t xml:space="preserve"> par le ministre du tourisme de la Jamaïque et auquel ont assisté en présentiel les </w:t>
      </w:r>
      <w:r w:rsidR="00395F9C" w:rsidRPr="005D062F">
        <w:rPr>
          <w:rFonts w:ascii="Times New Roman" w:eastAsia="Calibri" w:hAnsi="Times New Roman" w:cs="Times New Roman"/>
          <w:sz w:val="22"/>
          <w:szCs w:val="22"/>
          <w:lang w:val="fr-FR"/>
        </w:rPr>
        <w:t>13</w:t>
      </w:r>
      <w:r w:rsidR="00F57435" w:rsidRPr="005D062F">
        <w:rPr>
          <w:rFonts w:ascii="Times New Roman" w:eastAsia="Calibri" w:hAnsi="Times New Roman" w:cs="Times New Roman"/>
          <w:sz w:val="22"/>
          <w:szCs w:val="22"/>
          <w:lang w:val="fr-FR"/>
        </w:rPr>
        <w:t xml:space="preserve"> pays participant au projet, </w:t>
      </w:r>
      <w:r w:rsidR="00CA38CB" w:rsidRPr="005D062F">
        <w:rPr>
          <w:rFonts w:ascii="Times New Roman" w:eastAsia="Calibri" w:hAnsi="Times New Roman" w:cs="Times New Roman"/>
          <w:sz w:val="22"/>
          <w:szCs w:val="22"/>
          <w:lang w:val="fr-FR"/>
        </w:rPr>
        <w:t xml:space="preserve">concernant la </w:t>
      </w:r>
      <w:r w:rsidR="00A52779" w:rsidRPr="005D062F">
        <w:rPr>
          <w:rFonts w:ascii="Times New Roman" w:eastAsia="Calibri" w:hAnsi="Times New Roman" w:cs="Times New Roman"/>
          <w:sz w:val="22"/>
          <w:szCs w:val="22"/>
          <w:lang w:val="fr-FR"/>
        </w:rPr>
        <w:t xml:space="preserve">validation </w:t>
      </w:r>
      <w:r w:rsidR="00CA38CB" w:rsidRPr="005D062F">
        <w:rPr>
          <w:rFonts w:ascii="Times New Roman" w:eastAsia="Calibri" w:hAnsi="Times New Roman" w:cs="Times New Roman"/>
          <w:sz w:val="22"/>
          <w:szCs w:val="22"/>
          <w:lang w:val="fr-FR"/>
        </w:rPr>
        <w:t xml:space="preserve">des conclusions et recommandations de l’enquête d’évaluation globale réalisée auprès de plus de </w:t>
      </w:r>
      <w:r w:rsidR="00A52779" w:rsidRPr="005D062F">
        <w:rPr>
          <w:rFonts w:ascii="Times New Roman" w:eastAsia="Calibri" w:hAnsi="Times New Roman" w:cs="Times New Roman"/>
          <w:sz w:val="22"/>
          <w:szCs w:val="22"/>
          <w:lang w:val="fr-FR"/>
        </w:rPr>
        <w:t>600</w:t>
      </w:r>
      <w:r w:rsidR="00CA38CB" w:rsidRPr="005D062F">
        <w:rPr>
          <w:rFonts w:ascii="Times New Roman" w:eastAsia="Calibri" w:hAnsi="Times New Roman" w:cs="Times New Roman"/>
          <w:sz w:val="22"/>
          <w:szCs w:val="22"/>
          <w:lang w:val="fr-FR"/>
        </w:rPr>
        <w:t> petites entreprises touristiques</w:t>
      </w:r>
      <w:r w:rsidR="00A52779" w:rsidRPr="005D062F">
        <w:rPr>
          <w:rFonts w:ascii="Times New Roman" w:eastAsia="Calibri" w:hAnsi="Times New Roman" w:cs="Times New Roman"/>
          <w:sz w:val="22"/>
          <w:szCs w:val="22"/>
          <w:lang w:val="fr-FR"/>
        </w:rPr>
        <w:t xml:space="preserve">, </w:t>
      </w:r>
      <w:r w:rsidR="00CA38CB" w:rsidRPr="005D062F">
        <w:rPr>
          <w:rFonts w:ascii="Times New Roman" w:eastAsia="Calibri" w:hAnsi="Times New Roman" w:cs="Times New Roman"/>
          <w:sz w:val="22"/>
          <w:szCs w:val="22"/>
          <w:lang w:val="fr-FR"/>
        </w:rPr>
        <w:t xml:space="preserve">la </w:t>
      </w:r>
      <w:r w:rsidR="00A52779" w:rsidRPr="005D062F">
        <w:rPr>
          <w:rFonts w:ascii="Times New Roman" w:eastAsia="Calibri" w:hAnsi="Times New Roman" w:cs="Times New Roman"/>
          <w:sz w:val="22"/>
          <w:szCs w:val="22"/>
          <w:lang w:val="fr-FR"/>
        </w:rPr>
        <w:t xml:space="preserve">validation </w:t>
      </w:r>
      <w:r w:rsidR="00CA38CB" w:rsidRPr="005D062F">
        <w:rPr>
          <w:rFonts w:ascii="Times New Roman" w:eastAsia="Calibri" w:hAnsi="Times New Roman" w:cs="Times New Roman"/>
          <w:sz w:val="22"/>
          <w:szCs w:val="22"/>
          <w:lang w:val="fr-FR"/>
        </w:rPr>
        <w:t xml:space="preserve">des enjeux pour la continuité des activités de ces entreprises après </w:t>
      </w:r>
      <w:r w:rsidR="0029755C" w:rsidRPr="005D062F">
        <w:rPr>
          <w:rFonts w:ascii="Times New Roman" w:eastAsia="Calibri" w:hAnsi="Times New Roman" w:cs="Times New Roman"/>
          <w:sz w:val="22"/>
          <w:szCs w:val="22"/>
          <w:lang w:val="fr-FR"/>
        </w:rPr>
        <w:t>une</w:t>
      </w:r>
      <w:r w:rsidR="00CA38CB" w:rsidRPr="005D062F">
        <w:rPr>
          <w:rFonts w:ascii="Times New Roman" w:eastAsia="Calibri" w:hAnsi="Times New Roman" w:cs="Times New Roman"/>
          <w:sz w:val="22"/>
          <w:szCs w:val="22"/>
          <w:lang w:val="fr-FR"/>
        </w:rPr>
        <w:t xml:space="preserve"> catastrophe ainsi que la </w:t>
      </w:r>
      <w:r w:rsidR="00A52779" w:rsidRPr="005D062F">
        <w:rPr>
          <w:rFonts w:ascii="Times New Roman" w:eastAsia="Calibri" w:hAnsi="Times New Roman" w:cs="Times New Roman"/>
          <w:sz w:val="22"/>
          <w:szCs w:val="22"/>
          <w:lang w:val="fr-FR"/>
        </w:rPr>
        <w:t xml:space="preserve">validation </w:t>
      </w:r>
      <w:r w:rsidR="00CA38CB" w:rsidRPr="005D062F">
        <w:rPr>
          <w:rFonts w:ascii="Times New Roman" w:eastAsia="Calibri" w:hAnsi="Times New Roman" w:cs="Times New Roman"/>
          <w:sz w:val="22"/>
          <w:szCs w:val="22"/>
          <w:lang w:val="fr-FR"/>
        </w:rPr>
        <w:t>des</w:t>
      </w:r>
      <w:r w:rsidR="00A52779" w:rsidRPr="005D062F">
        <w:rPr>
          <w:rFonts w:ascii="Times New Roman" w:eastAsia="Calibri" w:hAnsi="Times New Roman" w:cs="Times New Roman"/>
          <w:sz w:val="22"/>
          <w:szCs w:val="22"/>
          <w:lang w:val="fr-FR"/>
        </w:rPr>
        <w:t xml:space="preserve"> proc</w:t>
      </w:r>
      <w:r w:rsidR="00CA38CB" w:rsidRPr="005D062F">
        <w:rPr>
          <w:rFonts w:ascii="Times New Roman" w:eastAsia="Calibri" w:hAnsi="Times New Roman" w:cs="Times New Roman"/>
          <w:sz w:val="22"/>
          <w:szCs w:val="22"/>
          <w:lang w:val="fr-FR"/>
        </w:rPr>
        <w:t>é</w:t>
      </w:r>
      <w:r w:rsidR="00A52779" w:rsidRPr="005D062F">
        <w:rPr>
          <w:rFonts w:ascii="Times New Roman" w:eastAsia="Calibri" w:hAnsi="Times New Roman" w:cs="Times New Roman"/>
          <w:sz w:val="22"/>
          <w:szCs w:val="22"/>
          <w:lang w:val="fr-FR"/>
        </w:rPr>
        <w:t xml:space="preserve">dures </w:t>
      </w:r>
      <w:r w:rsidR="00CA38CB" w:rsidRPr="005D062F">
        <w:rPr>
          <w:rFonts w:ascii="Times New Roman" w:eastAsia="Calibri" w:hAnsi="Times New Roman" w:cs="Times New Roman"/>
          <w:sz w:val="22"/>
          <w:szCs w:val="22"/>
          <w:lang w:val="fr-FR"/>
        </w:rPr>
        <w:t>relatives aux communications de crise et à la planification de la continuité des activités</w:t>
      </w:r>
      <w:r w:rsidR="00A52779" w:rsidRPr="005D062F">
        <w:rPr>
          <w:rFonts w:ascii="Times New Roman" w:eastAsia="Calibri" w:hAnsi="Times New Roman" w:cs="Times New Roman"/>
          <w:sz w:val="22"/>
          <w:szCs w:val="22"/>
          <w:lang w:val="fr-FR"/>
        </w:rPr>
        <w:t xml:space="preserve">. </w:t>
      </w:r>
    </w:p>
    <w:p w14:paraId="1A4624E1" w14:textId="77777777" w:rsidR="00A52779" w:rsidRPr="005D062F" w:rsidRDefault="00A52779" w:rsidP="00723DAD">
      <w:pPr>
        <w:rPr>
          <w:rFonts w:ascii="Times New Roman" w:eastAsia="Calibri" w:hAnsi="Times New Roman" w:cs="Times New Roman"/>
          <w:sz w:val="22"/>
          <w:szCs w:val="22"/>
          <w:lang w:val="fr-FR"/>
        </w:rPr>
      </w:pPr>
    </w:p>
    <w:p w14:paraId="10019D7D" w14:textId="39F5908F" w:rsidR="00A52779" w:rsidRPr="005D062F" w:rsidRDefault="007511BA" w:rsidP="00CB030B">
      <w:pPr>
        <w:numPr>
          <w:ilvl w:val="0"/>
          <w:numId w:val="12"/>
        </w:numPr>
        <w:ind w:left="1440" w:hanging="720"/>
        <w:jc w:val="both"/>
        <w:rPr>
          <w:rFonts w:ascii="Times New Roman" w:eastAsia="Calibri" w:hAnsi="Times New Roman" w:cs="Times New Roman"/>
          <w:sz w:val="22"/>
          <w:szCs w:val="22"/>
          <w:lang w:val="fr-FR"/>
        </w:rPr>
      </w:pPr>
      <w:r w:rsidRPr="005D062F">
        <w:rPr>
          <w:rFonts w:ascii="Times New Roman" w:eastAsia="Calibri" w:hAnsi="Times New Roman" w:cs="Times New Roman"/>
          <w:sz w:val="22"/>
          <w:szCs w:val="22"/>
          <w:lang w:val="fr-FR"/>
        </w:rPr>
        <w:t xml:space="preserve">Le </w:t>
      </w:r>
      <w:r w:rsidR="00A52779" w:rsidRPr="005D062F">
        <w:rPr>
          <w:rFonts w:ascii="Times New Roman" w:eastAsia="Calibri" w:hAnsi="Times New Roman" w:cs="Times New Roman"/>
          <w:sz w:val="22"/>
          <w:szCs w:val="22"/>
          <w:lang w:val="fr-FR"/>
        </w:rPr>
        <w:t>S</w:t>
      </w:r>
      <w:r w:rsidR="00DE02BA" w:rsidRPr="005D062F">
        <w:rPr>
          <w:rFonts w:ascii="Times New Roman" w:eastAsia="Calibri" w:hAnsi="Times New Roman" w:cs="Times New Roman"/>
          <w:sz w:val="22"/>
          <w:szCs w:val="22"/>
          <w:lang w:val="fr-FR"/>
        </w:rPr>
        <w:t>EDI a apporté son appui à</w:t>
      </w:r>
      <w:r w:rsidRPr="005D062F">
        <w:rPr>
          <w:rFonts w:ascii="Times New Roman" w:eastAsia="Calibri" w:hAnsi="Times New Roman" w:cs="Times New Roman"/>
          <w:sz w:val="22"/>
          <w:szCs w:val="22"/>
          <w:lang w:val="fr-FR"/>
        </w:rPr>
        <w:t xml:space="preserve"> la </w:t>
      </w:r>
      <w:r w:rsidR="00A52779" w:rsidRPr="005D062F">
        <w:rPr>
          <w:rFonts w:ascii="Times New Roman" w:eastAsia="Calibri" w:hAnsi="Times New Roman" w:cs="Times New Roman"/>
          <w:sz w:val="22"/>
          <w:szCs w:val="22"/>
          <w:lang w:val="fr-FR"/>
        </w:rPr>
        <w:t xml:space="preserve">coordination </w:t>
      </w:r>
      <w:r w:rsidRPr="005D062F">
        <w:rPr>
          <w:rFonts w:ascii="Times New Roman" w:eastAsia="Calibri" w:hAnsi="Times New Roman" w:cs="Times New Roman"/>
          <w:sz w:val="22"/>
          <w:szCs w:val="22"/>
          <w:lang w:val="fr-FR"/>
        </w:rPr>
        <w:t>et l’organis</w:t>
      </w:r>
      <w:r w:rsidR="00A52779" w:rsidRPr="005D062F">
        <w:rPr>
          <w:rFonts w:ascii="Times New Roman" w:eastAsia="Calibri" w:hAnsi="Times New Roman" w:cs="Times New Roman"/>
          <w:sz w:val="22"/>
          <w:szCs w:val="22"/>
          <w:lang w:val="fr-FR"/>
        </w:rPr>
        <w:t xml:space="preserve">ation </w:t>
      </w:r>
      <w:r w:rsidRPr="005D062F">
        <w:rPr>
          <w:rFonts w:ascii="Times New Roman" w:eastAsia="Calibri" w:hAnsi="Times New Roman" w:cs="Times New Roman"/>
          <w:sz w:val="22"/>
          <w:szCs w:val="22"/>
          <w:lang w:val="fr-FR"/>
        </w:rPr>
        <w:t xml:space="preserve">d’une conférence de haut niveau portant sur la </w:t>
      </w:r>
      <w:r w:rsidR="00151146" w:rsidRPr="005D062F">
        <w:rPr>
          <w:rFonts w:ascii="Times New Roman" w:eastAsia="Calibri" w:hAnsi="Times New Roman" w:cs="Times New Roman"/>
          <w:sz w:val="22"/>
          <w:szCs w:val="22"/>
          <w:lang w:val="fr-FR"/>
        </w:rPr>
        <w:t>prise de conscience et la compréhension du rôle de la science et des données dans l’élaboration des politiques de renforcement de la résilience et de gestion des risques de catastrophe dans les Caraïbes</w:t>
      </w:r>
      <w:r w:rsidR="00A52779" w:rsidRPr="005D062F">
        <w:rPr>
          <w:rFonts w:ascii="Times New Roman" w:eastAsia="Calibri" w:hAnsi="Times New Roman" w:cs="Times New Roman"/>
          <w:sz w:val="22"/>
          <w:szCs w:val="22"/>
          <w:lang w:val="fr-FR"/>
        </w:rPr>
        <w:t>. N</w:t>
      </w:r>
      <w:r w:rsidR="00DE02BA" w:rsidRPr="005D062F">
        <w:rPr>
          <w:rFonts w:ascii="Times New Roman" w:eastAsia="Calibri" w:hAnsi="Times New Roman" w:cs="Times New Roman"/>
          <w:sz w:val="22"/>
          <w:szCs w:val="22"/>
          <w:lang w:val="fr-FR"/>
        </w:rPr>
        <w:t xml:space="preserve">euf pays caribéens </w:t>
      </w:r>
      <w:r w:rsidR="00A52779" w:rsidRPr="005D062F">
        <w:rPr>
          <w:rFonts w:ascii="Times New Roman" w:eastAsia="Calibri" w:hAnsi="Times New Roman" w:cs="Times New Roman"/>
          <w:sz w:val="22"/>
          <w:szCs w:val="22"/>
          <w:lang w:val="fr-FR"/>
        </w:rPr>
        <w:t>(</w:t>
      </w:r>
      <w:r w:rsidR="00DE02BA" w:rsidRPr="005D062F">
        <w:rPr>
          <w:rFonts w:ascii="Times New Roman" w:eastAsia="Calibri" w:hAnsi="Times New Roman" w:cs="Times New Roman"/>
          <w:sz w:val="22"/>
          <w:szCs w:val="22"/>
          <w:lang w:val="fr-FR"/>
        </w:rPr>
        <w:t>les Bahamas, la Barbade</w:t>
      </w:r>
      <w:r w:rsidR="00A52779" w:rsidRPr="005D062F">
        <w:rPr>
          <w:rFonts w:ascii="Times New Roman" w:eastAsia="Calibri" w:hAnsi="Times New Roman" w:cs="Times New Roman"/>
          <w:sz w:val="22"/>
          <w:szCs w:val="22"/>
          <w:lang w:val="fr-FR"/>
        </w:rPr>
        <w:t xml:space="preserve">, </w:t>
      </w:r>
      <w:r w:rsidR="00DE02BA" w:rsidRPr="005D062F">
        <w:rPr>
          <w:rFonts w:ascii="Times New Roman" w:eastAsia="Calibri" w:hAnsi="Times New Roman" w:cs="Times New Roman"/>
          <w:sz w:val="22"/>
          <w:szCs w:val="22"/>
          <w:lang w:val="fr-FR"/>
        </w:rPr>
        <w:t xml:space="preserve">le </w:t>
      </w:r>
      <w:r w:rsidR="00A52779" w:rsidRPr="005D062F">
        <w:rPr>
          <w:rFonts w:ascii="Times New Roman" w:eastAsia="Calibri" w:hAnsi="Times New Roman" w:cs="Times New Roman"/>
          <w:sz w:val="22"/>
          <w:szCs w:val="22"/>
          <w:lang w:val="fr-FR"/>
        </w:rPr>
        <w:t xml:space="preserve">Belize, </w:t>
      </w:r>
      <w:r w:rsidR="00DE02BA" w:rsidRPr="005D062F">
        <w:rPr>
          <w:rFonts w:ascii="Times New Roman" w:eastAsia="Calibri" w:hAnsi="Times New Roman" w:cs="Times New Roman"/>
          <w:sz w:val="22"/>
          <w:szCs w:val="22"/>
          <w:lang w:val="fr-FR"/>
        </w:rPr>
        <w:t xml:space="preserve">la </w:t>
      </w:r>
      <w:r w:rsidR="00A52779" w:rsidRPr="005D062F">
        <w:rPr>
          <w:rFonts w:ascii="Times New Roman" w:eastAsia="Calibri" w:hAnsi="Times New Roman" w:cs="Times New Roman"/>
          <w:sz w:val="22"/>
          <w:szCs w:val="22"/>
          <w:lang w:val="fr-FR"/>
        </w:rPr>
        <w:t>Domini</w:t>
      </w:r>
      <w:r w:rsidR="00DE02BA" w:rsidRPr="005D062F">
        <w:rPr>
          <w:rFonts w:ascii="Times New Roman" w:eastAsia="Calibri" w:hAnsi="Times New Roman" w:cs="Times New Roman"/>
          <w:sz w:val="22"/>
          <w:szCs w:val="22"/>
          <w:lang w:val="fr-FR"/>
        </w:rPr>
        <w:t>que</w:t>
      </w:r>
      <w:r w:rsidR="00A52779" w:rsidRPr="005D062F">
        <w:rPr>
          <w:rFonts w:ascii="Times New Roman" w:eastAsia="Calibri" w:hAnsi="Times New Roman" w:cs="Times New Roman"/>
          <w:sz w:val="22"/>
          <w:szCs w:val="22"/>
          <w:lang w:val="fr-FR"/>
        </w:rPr>
        <w:t xml:space="preserve">, </w:t>
      </w:r>
      <w:r w:rsidR="00DE02BA" w:rsidRPr="005D062F">
        <w:rPr>
          <w:rFonts w:ascii="Times New Roman" w:eastAsia="Calibri" w:hAnsi="Times New Roman" w:cs="Times New Roman"/>
          <w:sz w:val="22"/>
          <w:szCs w:val="22"/>
          <w:lang w:val="fr-FR"/>
        </w:rPr>
        <w:t>la Jamaïque</w:t>
      </w:r>
      <w:r w:rsidR="00A52779" w:rsidRPr="005D062F">
        <w:rPr>
          <w:rFonts w:ascii="Times New Roman" w:eastAsia="Calibri" w:hAnsi="Times New Roman" w:cs="Times New Roman"/>
          <w:sz w:val="22"/>
          <w:szCs w:val="22"/>
          <w:lang w:val="fr-FR"/>
        </w:rPr>
        <w:t xml:space="preserve">, </w:t>
      </w:r>
      <w:r w:rsidR="00DE02BA" w:rsidRPr="005D062F">
        <w:rPr>
          <w:rFonts w:ascii="Times New Roman" w:eastAsia="Calibri" w:hAnsi="Times New Roman" w:cs="Times New Roman"/>
          <w:sz w:val="22"/>
          <w:szCs w:val="22"/>
          <w:lang w:val="fr-FR"/>
        </w:rPr>
        <w:t>Sainte-Lucie</w:t>
      </w:r>
      <w:r w:rsidR="00A52779" w:rsidRPr="005D062F">
        <w:rPr>
          <w:rFonts w:ascii="Times New Roman" w:eastAsia="Calibri" w:hAnsi="Times New Roman" w:cs="Times New Roman"/>
          <w:sz w:val="22"/>
          <w:szCs w:val="22"/>
          <w:lang w:val="fr-FR"/>
        </w:rPr>
        <w:t xml:space="preserve">, </w:t>
      </w:r>
      <w:r w:rsidR="00DE02BA" w:rsidRPr="005D062F">
        <w:rPr>
          <w:rFonts w:ascii="Times New Roman" w:eastAsia="Calibri" w:hAnsi="Times New Roman" w:cs="Times New Roman"/>
          <w:sz w:val="22"/>
          <w:szCs w:val="22"/>
          <w:lang w:val="fr-FR"/>
        </w:rPr>
        <w:t xml:space="preserve">le </w:t>
      </w:r>
      <w:r w:rsidR="00A52779" w:rsidRPr="005D062F">
        <w:rPr>
          <w:rFonts w:ascii="Times New Roman" w:eastAsia="Calibri" w:hAnsi="Times New Roman" w:cs="Times New Roman"/>
          <w:sz w:val="22"/>
          <w:szCs w:val="22"/>
          <w:lang w:val="fr-FR"/>
        </w:rPr>
        <w:t xml:space="preserve">Suriname </w:t>
      </w:r>
      <w:r w:rsidR="00DE02BA" w:rsidRPr="005D062F">
        <w:rPr>
          <w:rFonts w:ascii="Times New Roman" w:eastAsia="Calibri" w:hAnsi="Times New Roman" w:cs="Times New Roman"/>
          <w:sz w:val="22"/>
          <w:szCs w:val="22"/>
          <w:lang w:val="fr-FR"/>
        </w:rPr>
        <w:t>et</w:t>
      </w:r>
      <w:r w:rsidR="00A52779" w:rsidRPr="005D062F">
        <w:rPr>
          <w:rFonts w:ascii="Times New Roman" w:eastAsia="Calibri" w:hAnsi="Times New Roman" w:cs="Times New Roman"/>
          <w:sz w:val="22"/>
          <w:szCs w:val="22"/>
          <w:lang w:val="fr-FR"/>
        </w:rPr>
        <w:t xml:space="preserve"> Trini</w:t>
      </w:r>
      <w:r w:rsidR="00DE02BA" w:rsidRPr="005D062F">
        <w:rPr>
          <w:rFonts w:ascii="Times New Roman" w:eastAsia="Calibri" w:hAnsi="Times New Roman" w:cs="Times New Roman"/>
          <w:sz w:val="22"/>
          <w:szCs w:val="22"/>
          <w:lang w:val="fr-FR"/>
        </w:rPr>
        <w:t>té-et-</w:t>
      </w:r>
      <w:r w:rsidR="00A52779" w:rsidRPr="005D062F">
        <w:rPr>
          <w:rFonts w:ascii="Times New Roman" w:eastAsia="Calibri" w:hAnsi="Times New Roman" w:cs="Times New Roman"/>
          <w:sz w:val="22"/>
          <w:szCs w:val="22"/>
          <w:lang w:val="fr-FR"/>
        </w:rPr>
        <w:t xml:space="preserve">Tobago) </w:t>
      </w:r>
      <w:r w:rsidR="00DE02BA" w:rsidRPr="005D062F">
        <w:rPr>
          <w:rFonts w:ascii="Times New Roman" w:eastAsia="Calibri" w:hAnsi="Times New Roman" w:cs="Times New Roman"/>
          <w:sz w:val="22"/>
          <w:szCs w:val="22"/>
          <w:lang w:val="fr-FR"/>
        </w:rPr>
        <w:t xml:space="preserve">ont </w:t>
      </w:r>
      <w:r w:rsidR="00A52779" w:rsidRPr="005D062F">
        <w:rPr>
          <w:rFonts w:ascii="Times New Roman" w:eastAsia="Calibri" w:hAnsi="Times New Roman" w:cs="Times New Roman"/>
          <w:sz w:val="22"/>
          <w:szCs w:val="22"/>
          <w:lang w:val="fr-FR"/>
        </w:rPr>
        <w:t>particip</w:t>
      </w:r>
      <w:r w:rsidR="00DE02BA" w:rsidRPr="005D062F">
        <w:rPr>
          <w:rFonts w:ascii="Times New Roman" w:eastAsia="Calibri" w:hAnsi="Times New Roman" w:cs="Times New Roman"/>
          <w:sz w:val="22"/>
          <w:szCs w:val="22"/>
          <w:lang w:val="fr-FR"/>
        </w:rPr>
        <w:t>é à cet événement en présentiel animé par le G</w:t>
      </w:r>
      <w:r w:rsidR="00A52779" w:rsidRPr="005D062F">
        <w:rPr>
          <w:rFonts w:ascii="Times New Roman" w:eastAsia="Calibri" w:hAnsi="Times New Roman" w:cs="Times New Roman"/>
          <w:sz w:val="22"/>
          <w:szCs w:val="22"/>
          <w:lang w:val="fr-FR"/>
        </w:rPr>
        <w:t>o</w:t>
      </w:r>
      <w:r w:rsidR="00DE02BA" w:rsidRPr="005D062F">
        <w:rPr>
          <w:rFonts w:ascii="Times New Roman" w:eastAsia="Calibri" w:hAnsi="Times New Roman" w:cs="Times New Roman"/>
          <w:sz w:val="22"/>
          <w:szCs w:val="22"/>
          <w:lang w:val="fr-FR"/>
        </w:rPr>
        <w:t>u</w:t>
      </w:r>
      <w:r w:rsidR="00A52779" w:rsidRPr="005D062F">
        <w:rPr>
          <w:rFonts w:ascii="Times New Roman" w:eastAsia="Calibri" w:hAnsi="Times New Roman" w:cs="Times New Roman"/>
          <w:sz w:val="22"/>
          <w:szCs w:val="22"/>
          <w:lang w:val="fr-FR"/>
        </w:rPr>
        <w:t>vern</w:t>
      </w:r>
      <w:r w:rsidR="00DE02BA" w:rsidRPr="005D062F">
        <w:rPr>
          <w:rFonts w:ascii="Times New Roman" w:eastAsia="Calibri" w:hAnsi="Times New Roman" w:cs="Times New Roman"/>
          <w:sz w:val="22"/>
          <w:szCs w:val="22"/>
          <w:lang w:val="fr-FR"/>
        </w:rPr>
        <w:t>e</w:t>
      </w:r>
      <w:r w:rsidR="00A52779" w:rsidRPr="005D062F">
        <w:rPr>
          <w:rFonts w:ascii="Times New Roman" w:eastAsia="Calibri" w:hAnsi="Times New Roman" w:cs="Times New Roman"/>
          <w:sz w:val="22"/>
          <w:szCs w:val="22"/>
          <w:lang w:val="fr-FR"/>
        </w:rPr>
        <w:t>ment</w:t>
      </w:r>
      <w:r w:rsidR="00DE02BA" w:rsidRPr="005D062F">
        <w:rPr>
          <w:rFonts w:ascii="Times New Roman" w:eastAsia="Calibri" w:hAnsi="Times New Roman" w:cs="Times New Roman"/>
          <w:sz w:val="22"/>
          <w:szCs w:val="22"/>
          <w:lang w:val="fr-FR"/>
        </w:rPr>
        <w:t xml:space="preserve"> de la Dominique</w:t>
      </w:r>
      <w:r w:rsidR="00A52779" w:rsidRPr="005D062F">
        <w:rPr>
          <w:rFonts w:ascii="Times New Roman" w:eastAsia="Calibri" w:hAnsi="Times New Roman" w:cs="Times New Roman"/>
          <w:sz w:val="22"/>
          <w:szCs w:val="22"/>
          <w:lang w:val="fr-FR"/>
        </w:rPr>
        <w:t xml:space="preserve">. </w:t>
      </w:r>
    </w:p>
    <w:p w14:paraId="29037E68" w14:textId="77777777" w:rsidR="00A52779" w:rsidRPr="005D062F" w:rsidRDefault="00A52779" w:rsidP="00723DAD">
      <w:pPr>
        <w:rPr>
          <w:rFonts w:ascii="Times New Roman" w:eastAsia="Calibri" w:hAnsi="Times New Roman" w:cs="Times New Roman"/>
          <w:sz w:val="22"/>
          <w:szCs w:val="22"/>
          <w:lang w:val="fr-FR"/>
        </w:rPr>
      </w:pPr>
    </w:p>
    <w:p w14:paraId="061525E4" w14:textId="0DFA30B4" w:rsidR="00A52779" w:rsidRPr="005D062F" w:rsidRDefault="00DE02BA" w:rsidP="00CB030B">
      <w:pPr>
        <w:numPr>
          <w:ilvl w:val="0"/>
          <w:numId w:val="12"/>
        </w:numPr>
        <w:ind w:left="1440" w:hanging="720"/>
        <w:jc w:val="both"/>
        <w:rPr>
          <w:rFonts w:ascii="Times New Roman" w:eastAsia="Calibri" w:hAnsi="Times New Roman" w:cs="Times New Roman"/>
          <w:sz w:val="22"/>
          <w:szCs w:val="22"/>
          <w:lang w:val="fr-FR"/>
        </w:rPr>
      </w:pPr>
      <w:r w:rsidRPr="005D062F">
        <w:rPr>
          <w:rFonts w:ascii="Times New Roman" w:eastAsia="Calibri" w:hAnsi="Times New Roman" w:cs="Times New Roman"/>
          <w:sz w:val="22"/>
          <w:szCs w:val="22"/>
          <w:lang w:val="fr-FR"/>
        </w:rPr>
        <w:t>En partenariat avec l’</w:t>
      </w:r>
      <w:r w:rsidR="00A52779" w:rsidRPr="005D062F">
        <w:rPr>
          <w:rFonts w:ascii="Times New Roman" w:eastAsia="Calibri" w:hAnsi="Times New Roman" w:cs="Times New Roman"/>
          <w:sz w:val="22"/>
          <w:szCs w:val="22"/>
          <w:lang w:val="fr-FR"/>
        </w:rPr>
        <w:t>Universit</w:t>
      </w:r>
      <w:r w:rsidRPr="005D062F">
        <w:rPr>
          <w:rFonts w:ascii="Times New Roman" w:eastAsia="Calibri" w:hAnsi="Times New Roman" w:cs="Times New Roman"/>
          <w:sz w:val="22"/>
          <w:szCs w:val="22"/>
          <w:lang w:val="fr-FR"/>
        </w:rPr>
        <w:t xml:space="preserve">é des Indes occidentales (University </w:t>
      </w:r>
      <w:r w:rsidR="00A52779" w:rsidRPr="005D062F">
        <w:rPr>
          <w:rFonts w:ascii="Times New Roman" w:eastAsia="Calibri" w:hAnsi="Times New Roman" w:cs="Times New Roman"/>
          <w:sz w:val="22"/>
          <w:szCs w:val="22"/>
          <w:lang w:val="fr-FR"/>
        </w:rPr>
        <w:t>of West Indies</w:t>
      </w:r>
      <w:r w:rsidRPr="005D062F">
        <w:rPr>
          <w:rFonts w:ascii="Times New Roman" w:eastAsia="Calibri" w:hAnsi="Times New Roman" w:cs="Times New Roman"/>
          <w:sz w:val="22"/>
          <w:szCs w:val="22"/>
          <w:lang w:val="fr-FR"/>
        </w:rPr>
        <w:t xml:space="preserve"> – UWI)</w:t>
      </w:r>
      <w:r w:rsidR="00A52779" w:rsidRPr="005D062F">
        <w:rPr>
          <w:rFonts w:ascii="Times New Roman" w:eastAsia="Calibri" w:hAnsi="Times New Roman" w:cs="Times New Roman"/>
          <w:sz w:val="22"/>
          <w:szCs w:val="22"/>
          <w:lang w:val="fr-FR"/>
        </w:rPr>
        <w:t xml:space="preserve">, </w:t>
      </w:r>
      <w:r w:rsidRPr="005D062F">
        <w:rPr>
          <w:rFonts w:ascii="Times New Roman" w:eastAsia="Calibri" w:hAnsi="Times New Roman" w:cs="Times New Roman"/>
          <w:sz w:val="22"/>
          <w:szCs w:val="22"/>
          <w:lang w:val="fr-FR"/>
        </w:rPr>
        <w:t xml:space="preserve">il a élaboré </w:t>
      </w:r>
      <w:r w:rsidR="00B94146" w:rsidRPr="005D062F">
        <w:rPr>
          <w:rFonts w:ascii="Times New Roman" w:eastAsia="Calibri" w:hAnsi="Times New Roman" w:cs="Times New Roman"/>
          <w:sz w:val="22"/>
          <w:szCs w:val="22"/>
          <w:lang w:val="fr-FR"/>
        </w:rPr>
        <w:t xml:space="preserve">des directives relatives aux procédures de communication en cas de crise pour aider les petites entreprises touristiques des Caraïbes à identifier les crises potentielles et à mettre en œuvre </w:t>
      </w:r>
      <w:r w:rsidR="009F0DD6" w:rsidRPr="005D062F">
        <w:rPr>
          <w:rFonts w:ascii="Times New Roman" w:eastAsia="Calibri" w:hAnsi="Times New Roman" w:cs="Times New Roman"/>
          <w:sz w:val="22"/>
          <w:szCs w:val="22"/>
          <w:lang w:val="fr-FR"/>
        </w:rPr>
        <w:t>l</w:t>
      </w:r>
      <w:r w:rsidR="00B94146" w:rsidRPr="005D062F">
        <w:rPr>
          <w:rFonts w:ascii="Times New Roman" w:eastAsia="Calibri" w:hAnsi="Times New Roman" w:cs="Times New Roman"/>
          <w:sz w:val="22"/>
          <w:szCs w:val="22"/>
          <w:lang w:val="fr-FR"/>
        </w:rPr>
        <w:t xml:space="preserve">es stratégies de planification, de gestion et d’intervention </w:t>
      </w:r>
      <w:r w:rsidR="009F0DD6" w:rsidRPr="005D062F">
        <w:rPr>
          <w:rFonts w:ascii="Times New Roman" w:eastAsia="Calibri" w:hAnsi="Times New Roman" w:cs="Times New Roman"/>
          <w:sz w:val="22"/>
          <w:szCs w:val="22"/>
          <w:lang w:val="fr-FR"/>
        </w:rPr>
        <w:t>correspondantes</w:t>
      </w:r>
      <w:r w:rsidR="00B94146" w:rsidRPr="005D062F">
        <w:rPr>
          <w:rFonts w:ascii="Times New Roman" w:eastAsia="Calibri" w:hAnsi="Times New Roman" w:cs="Times New Roman"/>
          <w:sz w:val="22"/>
          <w:szCs w:val="22"/>
          <w:lang w:val="fr-FR"/>
        </w:rPr>
        <w:t xml:space="preserve">, l’objectif étant d’assurer un relèvement rapide </w:t>
      </w:r>
      <w:r w:rsidR="005D6E10" w:rsidRPr="005D062F">
        <w:rPr>
          <w:rFonts w:ascii="Times New Roman" w:eastAsia="Calibri" w:hAnsi="Times New Roman" w:cs="Times New Roman"/>
          <w:sz w:val="22"/>
          <w:szCs w:val="22"/>
          <w:lang w:val="fr-FR"/>
        </w:rPr>
        <w:t>pendant et après une</w:t>
      </w:r>
      <w:r w:rsidR="00B94146" w:rsidRPr="005D062F">
        <w:rPr>
          <w:rFonts w:ascii="Times New Roman" w:eastAsia="Calibri" w:hAnsi="Times New Roman" w:cs="Times New Roman"/>
          <w:sz w:val="22"/>
          <w:szCs w:val="22"/>
          <w:lang w:val="fr-FR"/>
        </w:rPr>
        <w:t xml:space="preserve"> catastrophe</w:t>
      </w:r>
      <w:r w:rsidR="00A52779" w:rsidRPr="005D062F">
        <w:rPr>
          <w:rFonts w:ascii="Times New Roman" w:eastAsia="Calibri" w:hAnsi="Times New Roman" w:cs="Times New Roman"/>
          <w:sz w:val="22"/>
          <w:szCs w:val="22"/>
          <w:lang w:val="fr-FR"/>
        </w:rPr>
        <w:t xml:space="preserve">. </w:t>
      </w:r>
      <w:r w:rsidR="00B94146" w:rsidRPr="005D062F">
        <w:rPr>
          <w:rFonts w:ascii="Times New Roman" w:eastAsia="Calibri" w:hAnsi="Times New Roman" w:cs="Times New Roman"/>
          <w:sz w:val="22"/>
          <w:szCs w:val="22"/>
          <w:lang w:val="fr-FR"/>
        </w:rPr>
        <w:t>Ces directives ont été diffusées auprès de plus de 600 parties prenantes</w:t>
      </w:r>
      <w:r w:rsidR="00A52779" w:rsidRPr="005D062F">
        <w:rPr>
          <w:rFonts w:ascii="Times New Roman" w:eastAsia="Calibri" w:hAnsi="Times New Roman" w:cs="Times New Roman"/>
          <w:sz w:val="22"/>
          <w:szCs w:val="22"/>
          <w:lang w:val="fr-FR"/>
        </w:rPr>
        <w:t>.</w:t>
      </w:r>
    </w:p>
    <w:p w14:paraId="779A5A47" w14:textId="77863C4B" w:rsidR="00156BC2" w:rsidRPr="005D062F" w:rsidRDefault="00156BC2" w:rsidP="00723DAD">
      <w:pPr>
        <w:rPr>
          <w:rFonts w:ascii="Times New Roman" w:eastAsia="Calibri" w:hAnsi="Times New Roman" w:cs="Times New Roman"/>
          <w:sz w:val="22"/>
          <w:szCs w:val="22"/>
          <w:lang w:val="fr-FR"/>
        </w:rPr>
      </w:pPr>
    </w:p>
    <w:p w14:paraId="6BF02CAC" w14:textId="6A800693" w:rsidR="00A52779" w:rsidRPr="005D062F" w:rsidRDefault="00B2795B" w:rsidP="00CB030B">
      <w:pPr>
        <w:numPr>
          <w:ilvl w:val="0"/>
          <w:numId w:val="12"/>
        </w:numPr>
        <w:ind w:left="1440" w:hanging="720"/>
        <w:jc w:val="both"/>
        <w:rPr>
          <w:rFonts w:ascii="Times New Roman" w:eastAsia="Calibri" w:hAnsi="Times New Roman" w:cs="Times New Roman"/>
          <w:sz w:val="22"/>
          <w:szCs w:val="22"/>
          <w:lang w:val="fr-FR"/>
        </w:rPr>
      </w:pPr>
      <w:bookmarkStart w:id="13" w:name="_Hlk118914990"/>
      <w:r w:rsidRPr="005D062F">
        <w:rPr>
          <w:rFonts w:ascii="Times New Roman" w:eastAsia="Calibri" w:hAnsi="Times New Roman" w:cs="Times New Roman"/>
          <w:sz w:val="22"/>
          <w:szCs w:val="22"/>
          <w:lang w:val="fr-FR"/>
        </w:rPr>
        <w:t>Le SEDI a assuré la formation des équipes d’intervention en cas d’urgence communautaire d</w:t>
      </w:r>
      <w:r w:rsidR="00642220" w:rsidRPr="005D062F">
        <w:rPr>
          <w:rFonts w:ascii="Times New Roman" w:eastAsia="Calibri" w:hAnsi="Times New Roman" w:cs="Times New Roman"/>
          <w:sz w:val="22"/>
          <w:szCs w:val="22"/>
          <w:lang w:val="fr-FR"/>
        </w:rPr>
        <w:t>ans la région du</w:t>
      </w:r>
      <w:r w:rsidR="00A52779" w:rsidRPr="005D062F">
        <w:rPr>
          <w:rFonts w:ascii="Times New Roman" w:eastAsia="Calibri" w:hAnsi="Times New Roman" w:cs="Times New Roman"/>
          <w:sz w:val="22"/>
          <w:szCs w:val="22"/>
          <w:lang w:val="fr-FR"/>
        </w:rPr>
        <w:t xml:space="preserve"> Trifinio (Honduras). </w:t>
      </w:r>
      <w:r w:rsidRPr="005D062F">
        <w:rPr>
          <w:rFonts w:ascii="Times New Roman" w:eastAsia="Calibri" w:hAnsi="Times New Roman" w:cs="Times New Roman"/>
          <w:sz w:val="22"/>
          <w:szCs w:val="22"/>
          <w:lang w:val="fr-FR"/>
        </w:rPr>
        <w:t xml:space="preserve">Cette formation a permis de renforcer les capacités des </w:t>
      </w:r>
      <w:r w:rsidR="00A52779" w:rsidRPr="005D062F">
        <w:rPr>
          <w:rFonts w:ascii="Times New Roman" w:eastAsia="Calibri" w:hAnsi="Times New Roman" w:cs="Times New Roman"/>
          <w:sz w:val="22"/>
          <w:szCs w:val="22"/>
          <w:lang w:val="fr-FR"/>
        </w:rPr>
        <w:t>commun</w:t>
      </w:r>
      <w:r w:rsidRPr="005D062F">
        <w:rPr>
          <w:rFonts w:ascii="Times New Roman" w:eastAsia="Calibri" w:hAnsi="Times New Roman" w:cs="Times New Roman"/>
          <w:sz w:val="22"/>
          <w:szCs w:val="22"/>
          <w:lang w:val="fr-FR"/>
        </w:rPr>
        <w:t>au</w:t>
      </w:r>
      <w:r w:rsidR="00A52779" w:rsidRPr="005D062F">
        <w:rPr>
          <w:rFonts w:ascii="Times New Roman" w:eastAsia="Calibri" w:hAnsi="Times New Roman" w:cs="Times New Roman"/>
          <w:sz w:val="22"/>
          <w:szCs w:val="22"/>
          <w:lang w:val="fr-FR"/>
        </w:rPr>
        <w:t>t</w:t>
      </w:r>
      <w:r w:rsidRPr="005D062F">
        <w:rPr>
          <w:rFonts w:ascii="Times New Roman" w:eastAsia="Calibri" w:hAnsi="Times New Roman" w:cs="Times New Roman"/>
          <w:sz w:val="22"/>
          <w:szCs w:val="22"/>
          <w:lang w:val="fr-FR"/>
        </w:rPr>
        <w:t>é</w:t>
      </w:r>
      <w:r w:rsidR="00A52779" w:rsidRPr="005D062F">
        <w:rPr>
          <w:rFonts w:ascii="Times New Roman" w:eastAsia="Calibri" w:hAnsi="Times New Roman" w:cs="Times New Roman"/>
          <w:sz w:val="22"/>
          <w:szCs w:val="22"/>
          <w:lang w:val="fr-FR"/>
        </w:rPr>
        <w:t xml:space="preserve">s </w:t>
      </w:r>
      <w:r w:rsidRPr="005D062F">
        <w:rPr>
          <w:rFonts w:ascii="Times New Roman" w:eastAsia="Calibri" w:hAnsi="Times New Roman" w:cs="Times New Roman"/>
          <w:sz w:val="22"/>
          <w:szCs w:val="22"/>
          <w:lang w:val="fr-FR"/>
        </w:rPr>
        <w:t>du</w:t>
      </w:r>
      <w:r w:rsidR="00A52779" w:rsidRPr="005D062F">
        <w:rPr>
          <w:rFonts w:ascii="Times New Roman" w:eastAsia="Calibri" w:hAnsi="Times New Roman" w:cs="Times New Roman"/>
          <w:sz w:val="22"/>
          <w:szCs w:val="22"/>
          <w:lang w:val="fr-FR"/>
        </w:rPr>
        <w:t xml:space="preserve"> Plan </w:t>
      </w:r>
      <w:r w:rsidRPr="005D062F">
        <w:rPr>
          <w:rFonts w:ascii="Times New Roman" w:eastAsia="Calibri" w:hAnsi="Times New Roman" w:cs="Times New Roman"/>
          <w:sz w:val="22"/>
          <w:szCs w:val="22"/>
          <w:lang w:val="fr-FR"/>
        </w:rPr>
        <w:t xml:space="preserve">Trifinio </w:t>
      </w:r>
      <w:r w:rsidR="00A52779" w:rsidRPr="005D062F">
        <w:rPr>
          <w:rFonts w:ascii="Times New Roman" w:eastAsia="Calibri" w:hAnsi="Times New Roman" w:cs="Times New Roman"/>
          <w:sz w:val="22"/>
          <w:szCs w:val="22"/>
          <w:lang w:val="fr-FR"/>
        </w:rPr>
        <w:t xml:space="preserve">(El Salvador, </w:t>
      </w:r>
      <w:r w:rsidRPr="005D062F">
        <w:rPr>
          <w:rFonts w:ascii="Times New Roman" w:eastAsia="Calibri" w:hAnsi="Times New Roman" w:cs="Times New Roman"/>
          <w:sz w:val="22"/>
          <w:szCs w:val="22"/>
          <w:lang w:val="fr-FR"/>
        </w:rPr>
        <w:t>Honduras</w:t>
      </w:r>
      <w:r w:rsidR="00A52779" w:rsidRPr="005D062F">
        <w:rPr>
          <w:rFonts w:ascii="Times New Roman" w:eastAsia="Calibri" w:hAnsi="Times New Roman" w:cs="Times New Roman"/>
          <w:sz w:val="22"/>
          <w:szCs w:val="22"/>
          <w:lang w:val="fr-FR"/>
        </w:rPr>
        <w:t xml:space="preserve"> </w:t>
      </w:r>
      <w:r w:rsidRPr="005D062F">
        <w:rPr>
          <w:rFonts w:ascii="Times New Roman" w:eastAsia="Calibri" w:hAnsi="Times New Roman" w:cs="Times New Roman"/>
          <w:sz w:val="22"/>
          <w:szCs w:val="22"/>
          <w:lang w:val="fr-FR"/>
        </w:rPr>
        <w:t>et</w:t>
      </w:r>
      <w:r w:rsidR="00A52779" w:rsidRPr="005D062F">
        <w:rPr>
          <w:rFonts w:ascii="Times New Roman" w:eastAsia="Calibri" w:hAnsi="Times New Roman" w:cs="Times New Roman"/>
          <w:sz w:val="22"/>
          <w:szCs w:val="22"/>
          <w:lang w:val="fr-FR"/>
        </w:rPr>
        <w:t xml:space="preserve"> Guatemala)</w:t>
      </w:r>
      <w:r w:rsidRPr="005D062F">
        <w:rPr>
          <w:rFonts w:ascii="Times New Roman" w:eastAsia="Calibri" w:hAnsi="Times New Roman" w:cs="Times New Roman"/>
          <w:sz w:val="22"/>
          <w:szCs w:val="22"/>
          <w:lang w:val="fr-FR"/>
        </w:rPr>
        <w:t xml:space="preserve"> afin que ces dernières puissent faire face à une urgence ou une catastrophe avec leurs propres moyens et ressources avant l’arrivée des équipes de professionnels</w:t>
      </w:r>
      <w:r w:rsidR="00A52779" w:rsidRPr="005D062F">
        <w:rPr>
          <w:rFonts w:ascii="Times New Roman" w:eastAsia="Calibri" w:hAnsi="Times New Roman" w:cs="Times New Roman"/>
          <w:sz w:val="22"/>
          <w:szCs w:val="22"/>
          <w:lang w:val="fr-FR"/>
        </w:rPr>
        <w:t xml:space="preserve">. </w:t>
      </w:r>
      <w:r w:rsidRPr="005D062F">
        <w:rPr>
          <w:rFonts w:ascii="Times New Roman" w:eastAsia="Calibri" w:hAnsi="Times New Roman" w:cs="Times New Roman"/>
          <w:sz w:val="22"/>
          <w:szCs w:val="22"/>
          <w:lang w:val="fr-FR"/>
        </w:rPr>
        <w:t xml:space="preserve">Quarante membres des communautés concernées provenant de </w:t>
      </w:r>
      <w:r w:rsidR="00395F9C" w:rsidRPr="005D062F">
        <w:rPr>
          <w:rFonts w:ascii="Times New Roman" w:eastAsia="Calibri" w:hAnsi="Times New Roman" w:cs="Times New Roman"/>
          <w:sz w:val="22"/>
          <w:szCs w:val="22"/>
          <w:lang w:val="fr-FR"/>
        </w:rPr>
        <w:t>14</w:t>
      </w:r>
      <w:r w:rsidRPr="005D062F">
        <w:rPr>
          <w:rFonts w:ascii="Times New Roman" w:eastAsia="Calibri" w:hAnsi="Times New Roman" w:cs="Times New Roman"/>
          <w:sz w:val="22"/>
          <w:szCs w:val="22"/>
          <w:lang w:val="fr-FR"/>
        </w:rPr>
        <w:t xml:space="preserve"> </w:t>
      </w:r>
      <w:r w:rsidR="00A52779" w:rsidRPr="005D062F">
        <w:rPr>
          <w:rFonts w:ascii="Times New Roman" w:eastAsia="Calibri" w:hAnsi="Times New Roman" w:cs="Times New Roman"/>
          <w:sz w:val="22"/>
          <w:szCs w:val="22"/>
          <w:lang w:val="fr-FR"/>
        </w:rPr>
        <w:t xml:space="preserve">institutions </w:t>
      </w:r>
      <w:r w:rsidRPr="005D062F">
        <w:rPr>
          <w:rFonts w:ascii="Times New Roman" w:eastAsia="Calibri" w:hAnsi="Times New Roman" w:cs="Times New Roman"/>
          <w:sz w:val="22"/>
          <w:szCs w:val="22"/>
          <w:lang w:val="fr-FR"/>
        </w:rPr>
        <w:t>municipales ont bénéficié d’une formati</w:t>
      </w:r>
      <w:r w:rsidR="00FD1876" w:rsidRPr="005D062F">
        <w:rPr>
          <w:rFonts w:ascii="Times New Roman" w:eastAsia="Calibri" w:hAnsi="Times New Roman" w:cs="Times New Roman"/>
          <w:sz w:val="22"/>
          <w:szCs w:val="22"/>
          <w:lang w:val="fr-FR"/>
        </w:rPr>
        <w:t>on et obtenu un</w:t>
      </w:r>
      <w:r w:rsidR="00B832AD" w:rsidRPr="005D062F">
        <w:rPr>
          <w:rFonts w:ascii="Times New Roman" w:eastAsia="Calibri" w:hAnsi="Times New Roman" w:cs="Times New Roman"/>
          <w:sz w:val="22"/>
          <w:szCs w:val="22"/>
          <w:lang w:val="fr-FR"/>
        </w:rPr>
        <w:t>e</w:t>
      </w:r>
      <w:r w:rsidR="00FD1876" w:rsidRPr="005D062F">
        <w:rPr>
          <w:rFonts w:ascii="Times New Roman" w:eastAsia="Calibri" w:hAnsi="Times New Roman" w:cs="Times New Roman"/>
          <w:sz w:val="22"/>
          <w:szCs w:val="22"/>
          <w:lang w:val="fr-FR"/>
        </w:rPr>
        <w:t xml:space="preserve"> certificat</w:t>
      </w:r>
      <w:r w:rsidR="00B832AD" w:rsidRPr="005D062F">
        <w:rPr>
          <w:rFonts w:ascii="Times New Roman" w:eastAsia="Calibri" w:hAnsi="Times New Roman" w:cs="Times New Roman"/>
          <w:sz w:val="22"/>
          <w:szCs w:val="22"/>
          <w:lang w:val="fr-FR"/>
        </w:rPr>
        <w:t>ion</w:t>
      </w:r>
      <w:r w:rsidRPr="005D062F">
        <w:rPr>
          <w:rFonts w:ascii="Times New Roman" w:eastAsia="Calibri" w:hAnsi="Times New Roman" w:cs="Times New Roman"/>
          <w:sz w:val="22"/>
          <w:szCs w:val="22"/>
          <w:lang w:val="fr-FR"/>
        </w:rPr>
        <w:t xml:space="preserve"> dans le cadre des </w:t>
      </w:r>
      <w:r w:rsidR="00A52779" w:rsidRPr="005D062F">
        <w:rPr>
          <w:rFonts w:ascii="Times New Roman" w:eastAsia="Calibri" w:hAnsi="Times New Roman" w:cs="Times New Roman"/>
          <w:sz w:val="22"/>
          <w:szCs w:val="22"/>
          <w:lang w:val="fr-FR"/>
        </w:rPr>
        <w:t>CERT</w:t>
      </w:r>
      <w:r w:rsidR="00FD1876" w:rsidRPr="005D062F">
        <w:rPr>
          <w:rFonts w:ascii="Times New Roman" w:eastAsia="Calibri" w:hAnsi="Times New Roman" w:cs="Times New Roman"/>
          <w:sz w:val="22"/>
          <w:szCs w:val="22"/>
          <w:lang w:val="fr-FR"/>
        </w:rPr>
        <w:t> </w:t>
      </w:r>
      <w:r w:rsidR="000F3ACC" w:rsidRPr="005D062F">
        <w:rPr>
          <w:rFonts w:ascii="Times New Roman" w:eastAsia="Calibri" w:hAnsi="Times New Roman" w:cs="Times New Roman"/>
          <w:sz w:val="22"/>
          <w:szCs w:val="22"/>
          <w:lang w:val="fr-FR"/>
        </w:rPr>
        <w:t xml:space="preserve">; </w:t>
      </w:r>
      <w:r w:rsidR="00FD1876" w:rsidRPr="005D062F">
        <w:rPr>
          <w:rFonts w:ascii="Times New Roman" w:eastAsia="Calibri" w:hAnsi="Times New Roman" w:cs="Times New Roman"/>
          <w:sz w:val="22"/>
          <w:szCs w:val="22"/>
          <w:lang w:val="fr-FR"/>
        </w:rPr>
        <w:t>ils font maintenant office de relais du programme</w:t>
      </w:r>
      <w:r w:rsidR="00A52779" w:rsidRPr="005D062F">
        <w:rPr>
          <w:rFonts w:ascii="Times New Roman" w:eastAsia="Calibri" w:hAnsi="Times New Roman" w:cs="Times New Roman"/>
          <w:sz w:val="22"/>
          <w:szCs w:val="22"/>
          <w:lang w:val="fr-FR"/>
        </w:rPr>
        <w:t xml:space="preserve">, </w:t>
      </w:r>
      <w:r w:rsidR="00FD1876" w:rsidRPr="005D062F">
        <w:rPr>
          <w:rFonts w:ascii="Times New Roman" w:eastAsia="Calibri" w:hAnsi="Times New Roman" w:cs="Times New Roman"/>
          <w:sz w:val="22"/>
          <w:szCs w:val="22"/>
          <w:lang w:val="fr-FR"/>
        </w:rPr>
        <w:t xml:space="preserve">en appuyant les activités de prévention et d’intervention en matière de gestion des risques de catastrophe auprès des organisations </w:t>
      </w:r>
      <w:r w:rsidR="00A52779" w:rsidRPr="005D062F">
        <w:rPr>
          <w:rFonts w:ascii="Times New Roman" w:eastAsia="Calibri" w:hAnsi="Times New Roman" w:cs="Times New Roman"/>
          <w:sz w:val="22"/>
          <w:szCs w:val="22"/>
          <w:lang w:val="fr-FR"/>
        </w:rPr>
        <w:t>publi</w:t>
      </w:r>
      <w:r w:rsidR="00FD1876" w:rsidRPr="005D062F">
        <w:rPr>
          <w:rFonts w:ascii="Times New Roman" w:eastAsia="Calibri" w:hAnsi="Times New Roman" w:cs="Times New Roman"/>
          <w:sz w:val="22"/>
          <w:szCs w:val="22"/>
          <w:lang w:val="fr-FR"/>
        </w:rPr>
        <w:t>ques</w:t>
      </w:r>
      <w:r w:rsidR="00A52779" w:rsidRPr="005D062F">
        <w:rPr>
          <w:rFonts w:ascii="Times New Roman" w:eastAsia="Calibri" w:hAnsi="Times New Roman" w:cs="Times New Roman"/>
          <w:sz w:val="22"/>
          <w:szCs w:val="22"/>
          <w:lang w:val="fr-FR"/>
        </w:rPr>
        <w:t xml:space="preserve"> </w:t>
      </w:r>
      <w:r w:rsidR="00FD1876" w:rsidRPr="005D062F">
        <w:rPr>
          <w:rFonts w:ascii="Times New Roman" w:eastAsia="Calibri" w:hAnsi="Times New Roman" w:cs="Times New Roman"/>
          <w:sz w:val="22"/>
          <w:szCs w:val="22"/>
          <w:lang w:val="fr-FR"/>
        </w:rPr>
        <w:t>et</w:t>
      </w:r>
      <w:r w:rsidR="00A52779" w:rsidRPr="005D062F">
        <w:rPr>
          <w:rFonts w:ascii="Times New Roman" w:eastAsia="Calibri" w:hAnsi="Times New Roman" w:cs="Times New Roman"/>
          <w:sz w:val="22"/>
          <w:szCs w:val="22"/>
          <w:lang w:val="fr-FR"/>
        </w:rPr>
        <w:t xml:space="preserve"> priv</w:t>
      </w:r>
      <w:r w:rsidR="00FD1876" w:rsidRPr="005D062F">
        <w:rPr>
          <w:rFonts w:ascii="Times New Roman" w:eastAsia="Calibri" w:hAnsi="Times New Roman" w:cs="Times New Roman"/>
          <w:sz w:val="22"/>
          <w:szCs w:val="22"/>
          <w:lang w:val="fr-FR"/>
        </w:rPr>
        <w:t>ée</w:t>
      </w:r>
      <w:bookmarkEnd w:id="13"/>
      <w:r w:rsidR="00FD1876" w:rsidRPr="005D062F">
        <w:rPr>
          <w:rFonts w:ascii="Times New Roman" w:eastAsia="Calibri" w:hAnsi="Times New Roman" w:cs="Times New Roman"/>
          <w:sz w:val="22"/>
          <w:szCs w:val="22"/>
          <w:lang w:val="fr-FR"/>
        </w:rPr>
        <w:t>s</w:t>
      </w:r>
      <w:r w:rsidR="000F3ACC" w:rsidRPr="005D062F">
        <w:rPr>
          <w:rFonts w:ascii="Times New Roman" w:eastAsia="Calibri" w:hAnsi="Times New Roman" w:cs="Times New Roman"/>
          <w:sz w:val="22"/>
          <w:szCs w:val="22"/>
          <w:lang w:val="fr-FR"/>
        </w:rPr>
        <w:t>.</w:t>
      </w:r>
    </w:p>
    <w:p w14:paraId="77EEB532" w14:textId="77777777" w:rsidR="00A52779" w:rsidRPr="005D062F" w:rsidRDefault="00A52779" w:rsidP="00723DAD">
      <w:pPr>
        <w:rPr>
          <w:rFonts w:ascii="Times New Roman" w:eastAsia="Calibri" w:hAnsi="Times New Roman" w:cs="Times New Roman"/>
          <w:sz w:val="22"/>
          <w:szCs w:val="22"/>
          <w:lang w:val="fr-FR"/>
        </w:rPr>
      </w:pPr>
    </w:p>
    <w:p w14:paraId="1BAA42F7" w14:textId="21941573" w:rsidR="00A52779" w:rsidRPr="005D062F" w:rsidRDefault="00703CB3" w:rsidP="00CB030B">
      <w:pPr>
        <w:numPr>
          <w:ilvl w:val="0"/>
          <w:numId w:val="12"/>
        </w:numPr>
        <w:ind w:left="1440" w:hanging="720"/>
        <w:jc w:val="both"/>
        <w:rPr>
          <w:rFonts w:ascii="Times New Roman" w:eastAsia="Calibri" w:hAnsi="Times New Roman" w:cs="Times New Roman"/>
          <w:sz w:val="22"/>
          <w:szCs w:val="22"/>
          <w:lang w:val="fr-FR"/>
        </w:rPr>
      </w:pPr>
      <w:r w:rsidRPr="005D062F">
        <w:rPr>
          <w:rFonts w:ascii="Times New Roman" w:eastAsia="Calibri" w:hAnsi="Times New Roman" w:cs="Times New Roman"/>
          <w:sz w:val="22"/>
          <w:szCs w:val="22"/>
          <w:lang w:val="fr-FR"/>
        </w:rPr>
        <w:t>Il a alimenté et tenu à jour la base de données en ligne du Réseau interaméricain pour l’atténuation des effets des catastrophes</w:t>
      </w:r>
      <w:r w:rsidR="00156BC2" w:rsidRPr="005D062F">
        <w:rPr>
          <w:rFonts w:ascii="Times New Roman" w:eastAsia="Calibri" w:hAnsi="Times New Roman" w:cs="Times New Roman"/>
          <w:sz w:val="22"/>
          <w:szCs w:val="22"/>
          <w:lang w:val="fr-FR"/>
        </w:rPr>
        <w:t xml:space="preserve"> (</w:t>
      </w:r>
      <w:r w:rsidR="00A52779" w:rsidRPr="005D062F">
        <w:rPr>
          <w:rFonts w:ascii="Times New Roman" w:eastAsia="Calibri" w:hAnsi="Times New Roman" w:cs="Times New Roman"/>
          <w:sz w:val="22"/>
          <w:szCs w:val="22"/>
          <w:lang w:val="fr-FR"/>
        </w:rPr>
        <w:t>INDM</w:t>
      </w:r>
      <w:r w:rsidR="00156BC2" w:rsidRPr="005D062F">
        <w:rPr>
          <w:rFonts w:ascii="Times New Roman" w:eastAsia="Calibri" w:hAnsi="Times New Roman" w:cs="Times New Roman"/>
          <w:sz w:val="22"/>
          <w:szCs w:val="22"/>
          <w:lang w:val="fr-FR"/>
        </w:rPr>
        <w:t>)</w:t>
      </w:r>
      <w:r w:rsidR="00A52779" w:rsidRPr="005D062F">
        <w:rPr>
          <w:rFonts w:ascii="Times New Roman" w:eastAsia="Calibri" w:hAnsi="Times New Roman" w:cs="Times New Roman"/>
          <w:sz w:val="22"/>
          <w:szCs w:val="22"/>
          <w:lang w:val="fr-FR"/>
        </w:rPr>
        <w:t xml:space="preserve"> </w:t>
      </w:r>
      <w:r w:rsidRPr="005D062F">
        <w:rPr>
          <w:rFonts w:ascii="Times New Roman" w:eastAsia="Calibri" w:hAnsi="Times New Roman" w:cs="Times New Roman"/>
          <w:sz w:val="22"/>
          <w:szCs w:val="22"/>
          <w:lang w:val="fr-FR"/>
        </w:rPr>
        <w:t>e</w:t>
      </w:r>
      <w:r w:rsidR="00A52779" w:rsidRPr="005D062F">
        <w:rPr>
          <w:rFonts w:ascii="Times New Roman" w:eastAsia="Calibri" w:hAnsi="Times New Roman" w:cs="Times New Roman"/>
          <w:sz w:val="22"/>
          <w:szCs w:val="22"/>
          <w:lang w:val="fr-FR"/>
        </w:rPr>
        <w:t xml:space="preserve">n collaboration </w:t>
      </w:r>
      <w:r w:rsidRPr="005D062F">
        <w:rPr>
          <w:rFonts w:ascii="Times New Roman" w:eastAsia="Calibri" w:hAnsi="Times New Roman" w:cs="Times New Roman"/>
          <w:sz w:val="22"/>
          <w:szCs w:val="22"/>
          <w:lang w:val="fr-FR"/>
        </w:rPr>
        <w:t>avec l’Organisation interaméricaine de défense</w:t>
      </w:r>
      <w:r w:rsidR="00A52779" w:rsidRPr="005D062F">
        <w:rPr>
          <w:rFonts w:ascii="Times New Roman" w:eastAsia="Calibri" w:hAnsi="Times New Roman" w:cs="Times New Roman"/>
          <w:sz w:val="22"/>
          <w:szCs w:val="22"/>
          <w:lang w:val="fr-FR"/>
        </w:rPr>
        <w:t xml:space="preserve">, </w:t>
      </w:r>
      <w:r w:rsidRPr="005D062F">
        <w:rPr>
          <w:rFonts w:ascii="Times New Roman" w:eastAsia="Calibri" w:hAnsi="Times New Roman" w:cs="Times New Roman"/>
          <w:sz w:val="22"/>
          <w:szCs w:val="22"/>
          <w:lang w:val="fr-FR"/>
        </w:rPr>
        <w:t xml:space="preserve">en particulier concernant </w:t>
      </w:r>
      <w:r w:rsidR="00A52779" w:rsidRPr="005D062F">
        <w:rPr>
          <w:rFonts w:ascii="Times New Roman" w:eastAsia="Calibri" w:hAnsi="Times New Roman" w:cs="Times New Roman"/>
          <w:sz w:val="22"/>
          <w:szCs w:val="22"/>
          <w:lang w:val="fr-FR"/>
        </w:rPr>
        <w:t xml:space="preserve">1) </w:t>
      </w:r>
      <w:r w:rsidRPr="005D062F">
        <w:rPr>
          <w:rFonts w:ascii="Times New Roman" w:eastAsia="Calibri" w:hAnsi="Times New Roman" w:cs="Times New Roman"/>
          <w:sz w:val="22"/>
          <w:szCs w:val="22"/>
          <w:lang w:val="fr-FR"/>
        </w:rPr>
        <w:t xml:space="preserve">les autorités </w:t>
      </w:r>
      <w:r w:rsidR="00A52779" w:rsidRPr="005D062F">
        <w:rPr>
          <w:rFonts w:ascii="Times New Roman" w:eastAsia="Calibri" w:hAnsi="Times New Roman" w:cs="Times New Roman"/>
          <w:sz w:val="22"/>
          <w:szCs w:val="22"/>
          <w:lang w:val="fr-FR"/>
        </w:rPr>
        <w:t>national</w:t>
      </w:r>
      <w:r w:rsidRPr="005D062F">
        <w:rPr>
          <w:rFonts w:ascii="Times New Roman" w:eastAsia="Calibri" w:hAnsi="Times New Roman" w:cs="Times New Roman"/>
          <w:sz w:val="22"/>
          <w:szCs w:val="22"/>
          <w:lang w:val="fr-FR"/>
        </w:rPr>
        <w:t>es de coordination chargées de l’offre, de l’acceptation et de la demande d’intervention internationale en cas de catastrophe </w:t>
      </w:r>
      <w:r w:rsidR="000F3ACC" w:rsidRPr="005D062F">
        <w:rPr>
          <w:rFonts w:ascii="Times New Roman" w:eastAsia="Calibri" w:hAnsi="Times New Roman" w:cs="Times New Roman"/>
          <w:sz w:val="22"/>
          <w:szCs w:val="22"/>
          <w:lang w:val="fr-FR"/>
        </w:rPr>
        <w:t>;</w:t>
      </w:r>
      <w:r w:rsidR="00A52779" w:rsidRPr="005D062F">
        <w:rPr>
          <w:rFonts w:ascii="Times New Roman" w:eastAsia="Calibri" w:hAnsi="Times New Roman" w:cs="Times New Roman"/>
          <w:sz w:val="22"/>
          <w:szCs w:val="22"/>
          <w:lang w:val="fr-FR"/>
        </w:rPr>
        <w:t xml:space="preserve"> 2) </w:t>
      </w:r>
      <w:r w:rsidRPr="005D062F">
        <w:rPr>
          <w:rFonts w:ascii="Times New Roman" w:eastAsia="Calibri" w:hAnsi="Times New Roman" w:cs="Times New Roman"/>
          <w:sz w:val="22"/>
          <w:szCs w:val="22"/>
          <w:lang w:val="fr-FR"/>
        </w:rPr>
        <w:t>les capacités nationales d’intervention internationale en cas de catastrophe</w:t>
      </w:r>
      <w:r w:rsidR="00A52779" w:rsidRPr="005D062F">
        <w:rPr>
          <w:rFonts w:ascii="Times New Roman" w:eastAsia="Calibri" w:hAnsi="Times New Roman" w:cs="Times New Roman"/>
          <w:sz w:val="22"/>
          <w:szCs w:val="22"/>
          <w:lang w:val="fr-FR"/>
        </w:rPr>
        <w:t xml:space="preserve"> int</w:t>
      </w:r>
      <w:r w:rsidRPr="005D062F">
        <w:rPr>
          <w:rFonts w:ascii="Times New Roman" w:eastAsia="Calibri" w:hAnsi="Times New Roman" w:cs="Times New Roman"/>
          <w:sz w:val="22"/>
          <w:szCs w:val="22"/>
          <w:lang w:val="fr-FR"/>
        </w:rPr>
        <w:t>égrant toutes les capacités, les secteurs civil et militaire, les organisations publiques et privées ainsi que les ONG </w:t>
      </w:r>
      <w:r w:rsidR="000F3ACC" w:rsidRPr="005D062F">
        <w:rPr>
          <w:rFonts w:ascii="Times New Roman" w:eastAsia="Calibri" w:hAnsi="Times New Roman" w:cs="Times New Roman"/>
          <w:sz w:val="22"/>
          <w:szCs w:val="22"/>
          <w:lang w:val="fr-FR"/>
        </w:rPr>
        <w:t>;</w:t>
      </w:r>
      <w:r w:rsidR="00A52779" w:rsidRPr="005D062F">
        <w:rPr>
          <w:rFonts w:ascii="Times New Roman" w:eastAsia="Calibri" w:hAnsi="Times New Roman" w:cs="Times New Roman"/>
          <w:sz w:val="22"/>
          <w:szCs w:val="22"/>
          <w:lang w:val="fr-FR"/>
        </w:rPr>
        <w:t xml:space="preserve"> 3) </w:t>
      </w:r>
      <w:r w:rsidR="006C38FA" w:rsidRPr="005D062F">
        <w:rPr>
          <w:rFonts w:ascii="Times New Roman" w:eastAsia="Calibri" w:hAnsi="Times New Roman" w:cs="Times New Roman"/>
          <w:sz w:val="22"/>
          <w:szCs w:val="22"/>
          <w:lang w:val="fr-FR"/>
        </w:rPr>
        <w:t>les accords multilatéraux et bilatéraux</w:t>
      </w:r>
      <w:r w:rsidR="00FD1A77" w:rsidRPr="005D062F">
        <w:rPr>
          <w:rFonts w:ascii="Times New Roman" w:eastAsia="Calibri" w:hAnsi="Times New Roman" w:cs="Times New Roman"/>
          <w:sz w:val="22"/>
          <w:szCs w:val="22"/>
          <w:lang w:val="fr-FR"/>
        </w:rPr>
        <w:t xml:space="preserve"> en matière d’intervention internationale en cas de catastrophe, y compris les accords d’entraide </w:t>
      </w:r>
      <w:r w:rsidR="000F3ACC" w:rsidRPr="005D062F">
        <w:rPr>
          <w:rFonts w:ascii="Times New Roman" w:eastAsia="Calibri" w:hAnsi="Times New Roman" w:cs="Times New Roman"/>
          <w:sz w:val="22"/>
          <w:szCs w:val="22"/>
          <w:lang w:val="fr-FR"/>
        </w:rPr>
        <w:t>;</w:t>
      </w:r>
      <w:r w:rsidR="00A52779" w:rsidRPr="005D062F">
        <w:rPr>
          <w:rFonts w:ascii="Times New Roman" w:eastAsia="Calibri" w:hAnsi="Times New Roman" w:cs="Times New Roman"/>
          <w:sz w:val="22"/>
          <w:szCs w:val="22"/>
          <w:lang w:val="fr-FR"/>
        </w:rPr>
        <w:t xml:space="preserve"> </w:t>
      </w:r>
      <w:r w:rsidR="00FD1A77" w:rsidRPr="005D062F">
        <w:rPr>
          <w:rFonts w:ascii="Times New Roman" w:eastAsia="Calibri" w:hAnsi="Times New Roman" w:cs="Times New Roman"/>
          <w:sz w:val="22"/>
          <w:szCs w:val="22"/>
          <w:lang w:val="fr-FR"/>
        </w:rPr>
        <w:t>et</w:t>
      </w:r>
      <w:r w:rsidR="00A52779" w:rsidRPr="005D062F">
        <w:rPr>
          <w:rFonts w:ascii="Times New Roman" w:eastAsia="Calibri" w:hAnsi="Times New Roman" w:cs="Times New Roman"/>
          <w:sz w:val="22"/>
          <w:szCs w:val="22"/>
          <w:lang w:val="fr-FR"/>
        </w:rPr>
        <w:t xml:space="preserve"> 4) </w:t>
      </w:r>
      <w:r w:rsidR="00420216" w:rsidRPr="005D062F">
        <w:rPr>
          <w:rFonts w:ascii="Times New Roman" w:eastAsia="Calibri" w:hAnsi="Times New Roman" w:cs="Times New Roman"/>
          <w:sz w:val="22"/>
          <w:szCs w:val="22"/>
          <w:lang w:val="fr-FR"/>
        </w:rPr>
        <w:t xml:space="preserve">toutes les législations et réglementations </w:t>
      </w:r>
      <w:r w:rsidR="00A52779" w:rsidRPr="005D062F">
        <w:rPr>
          <w:rFonts w:ascii="Times New Roman" w:eastAsia="Calibri" w:hAnsi="Times New Roman" w:cs="Times New Roman"/>
          <w:sz w:val="22"/>
          <w:szCs w:val="22"/>
          <w:lang w:val="fr-FR"/>
        </w:rPr>
        <w:t>national</w:t>
      </w:r>
      <w:r w:rsidR="00420216" w:rsidRPr="005D062F">
        <w:rPr>
          <w:rFonts w:ascii="Times New Roman" w:eastAsia="Calibri" w:hAnsi="Times New Roman" w:cs="Times New Roman"/>
          <w:sz w:val="22"/>
          <w:szCs w:val="22"/>
          <w:lang w:val="fr-FR"/>
        </w:rPr>
        <w:t xml:space="preserve">es </w:t>
      </w:r>
      <w:r w:rsidR="007B046E" w:rsidRPr="005D062F">
        <w:rPr>
          <w:rFonts w:ascii="Times New Roman" w:eastAsia="Calibri" w:hAnsi="Times New Roman" w:cs="Times New Roman"/>
          <w:sz w:val="22"/>
          <w:szCs w:val="22"/>
          <w:lang w:val="fr-FR"/>
        </w:rPr>
        <w:t xml:space="preserve">qui informent sur l’intervention internationale </w:t>
      </w:r>
      <w:r w:rsidR="00420216" w:rsidRPr="005D062F">
        <w:rPr>
          <w:rFonts w:ascii="Times New Roman" w:eastAsia="Calibri" w:hAnsi="Times New Roman" w:cs="Times New Roman"/>
          <w:sz w:val="22"/>
          <w:szCs w:val="22"/>
          <w:lang w:val="fr-FR"/>
        </w:rPr>
        <w:t>en cas de catastrophe</w:t>
      </w:r>
      <w:r w:rsidR="007B046E" w:rsidRPr="005D062F">
        <w:rPr>
          <w:rFonts w:ascii="Times New Roman" w:eastAsia="Calibri" w:hAnsi="Times New Roman" w:cs="Times New Roman"/>
          <w:sz w:val="22"/>
          <w:szCs w:val="22"/>
          <w:lang w:val="fr-FR"/>
        </w:rPr>
        <w:t xml:space="preserve"> et la régissent</w:t>
      </w:r>
      <w:r w:rsidR="00A52779" w:rsidRPr="005D062F">
        <w:rPr>
          <w:rFonts w:ascii="Times New Roman" w:eastAsia="Calibri" w:hAnsi="Times New Roman" w:cs="Times New Roman"/>
          <w:sz w:val="22"/>
          <w:szCs w:val="22"/>
          <w:lang w:val="fr-FR"/>
        </w:rPr>
        <w:t>.</w:t>
      </w:r>
    </w:p>
    <w:p w14:paraId="6DD7C4AF" w14:textId="77777777" w:rsidR="00A52779" w:rsidRPr="005D062F" w:rsidRDefault="00A52779" w:rsidP="00CB030B">
      <w:pPr>
        <w:jc w:val="both"/>
        <w:rPr>
          <w:rFonts w:ascii="Times New Roman" w:eastAsia="Calibri" w:hAnsi="Times New Roman" w:cs="Times New Roman"/>
          <w:sz w:val="22"/>
          <w:szCs w:val="22"/>
          <w:lang w:val="fr-FR"/>
        </w:rPr>
      </w:pPr>
    </w:p>
    <w:p w14:paraId="09A16E4E" w14:textId="7E453F62" w:rsidR="00A52779" w:rsidRPr="005D062F" w:rsidRDefault="007B046E" w:rsidP="00CB030B">
      <w:pPr>
        <w:numPr>
          <w:ilvl w:val="0"/>
          <w:numId w:val="12"/>
        </w:numPr>
        <w:ind w:left="1440" w:hanging="720"/>
        <w:jc w:val="both"/>
        <w:rPr>
          <w:rFonts w:ascii="Times New Roman" w:eastAsia="Calibri" w:hAnsi="Times New Roman" w:cs="Times New Roman"/>
          <w:sz w:val="22"/>
          <w:szCs w:val="22"/>
          <w:lang w:val="fr-FR"/>
        </w:rPr>
      </w:pPr>
      <w:r w:rsidRPr="005D062F">
        <w:rPr>
          <w:rFonts w:ascii="Times New Roman" w:eastAsia="Calibri" w:hAnsi="Times New Roman" w:cs="Times New Roman"/>
          <w:sz w:val="22"/>
          <w:szCs w:val="22"/>
          <w:lang w:val="fr-FR"/>
        </w:rPr>
        <w:t>Le SE</w:t>
      </w:r>
      <w:r w:rsidR="00A52779" w:rsidRPr="005D062F">
        <w:rPr>
          <w:rFonts w:ascii="Times New Roman" w:eastAsia="Calibri" w:hAnsi="Times New Roman" w:cs="Times New Roman"/>
          <w:sz w:val="22"/>
          <w:szCs w:val="22"/>
          <w:lang w:val="fr-FR"/>
        </w:rPr>
        <w:t>D</w:t>
      </w:r>
      <w:r w:rsidRPr="005D062F">
        <w:rPr>
          <w:rFonts w:ascii="Times New Roman" w:eastAsia="Calibri" w:hAnsi="Times New Roman" w:cs="Times New Roman"/>
          <w:sz w:val="22"/>
          <w:szCs w:val="22"/>
          <w:lang w:val="fr-FR"/>
        </w:rPr>
        <w:t xml:space="preserve">I a élaboré un cadre de référence et engagé un </w:t>
      </w:r>
      <w:r w:rsidR="00A52779" w:rsidRPr="005D062F">
        <w:rPr>
          <w:rFonts w:ascii="Times New Roman" w:eastAsia="Calibri" w:hAnsi="Times New Roman" w:cs="Times New Roman"/>
          <w:sz w:val="22"/>
          <w:szCs w:val="22"/>
          <w:lang w:val="fr-FR"/>
        </w:rPr>
        <w:t xml:space="preserve">consultant </w:t>
      </w:r>
      <w:r w:rsidRPr="005D062F">
        <w:rPr>
          <w:rFonts w:ascii="Times New Roman" w:eastAsia="Calibri" w:hAnsi="Times New Roman" w:cs="Times New Roman"/>
          <w:sz w:val="22"/>
          <w:szCs w:val="22"/>
          <w:lang w:val="fr-FR"/>
        </w:rPr>
        <w:t>pour soutenir le développement et l’amélioration de la base de données en ligne de l’</w:t>
      </w:r>
      <w:r w:rsidR="00156BC2" w:rsidRPr="005D062F">
        <w:rPr>
          <w:rFonts w:ascii="Times New Roman" w:eastAsia="Calibri" w:hAnsi="Times New Roman" w:cs="Times New Roman"/>
          <w:sz w:val="22"/>
          <w:szCs w:val="22"/>
          <w:lang w:val="fr-FR"/>
        </w:rPr>
        <w:t>IND</w:t>
      </w:r>
      <w:r w:rsidRPr="005D062F">
        <w:rPr>
          <w:rFonts w:ascii="Times New Roman" w:eastAsia="Calibri" w:hAnsi="Times New Roman" w:cs="Times New Roman"/>
          <w:sz w:val="22"/>
          <w:szCs w:val="22"/>
          <w:lang w:val="fr-FR"/>
        </w:rPr>
        <w:t>M</w:t>
      </w:r>
      <w:r w:rsidR="009E1D78" w:rsidRPr="005D062F">
        <w:rPr>
          <w:rFonts w:ascii="Times New Roman" w:eastAsia="Calibri" w:hAnsi="Times New Roman" w:cs="Times New Roman"/>
          <w:sz w:val="22"/>
          <w:szCs w:val="22"/>
          <w:lang w:val="fr-FR"/>
        </w:rPr>
        <w:t xml:space="preserve">. </w:t>
      </w:r>
      <w:r w:rsidRPr="005D062F">
        <w:rPr>
          <w:rFonts w:ascii="Times New Roman" w:eastAsia="Calibri" w:hAnsi="Times New Roman" w:cs="Times New Roman"/>
          <w:sz w:val="22"/>
          <w:szCs w:val="22"/>
          <w:lang w:val="fr-FR"/>
        </w:rPr>
        <w:t>La base sera lancée en 2023 et offrira aux pays un site unique pour avoir</w:t>
      </w:r>
      <w:r w:rsidR="00EE20D3" w:rsidRPr="005D062F">
        <w:rPr>
          <w:rFonts w:ascii="Times New Roman" w:eastAsia="Calibri" w:hAnsi="Times New Roman" w:cs="Times New Roman"/>
          <w:sz w:val="22"/>
          <w:szCs w:val="22"/>
          <w:lang w:val="fr-FR"/>
        </w:rPr>
        <w:t xml:space="preserve"> accès aux personnes clés chargées de l’intervention en cas de catastrophe dans le continent américain, permettant ainsi l’échange plus efficace des connaissances et ressources essentielles sur l’ensemble du </w:t>
      </w:r>
      <w:r w:rsidR="00395F9C" w:rsidRPr="005D062F">
        <w:rPr>
          <w:rFonts w:ascii="Times New Roman" w:eastAsia="Calibri" w:hAnsi="Times New Roman" w:cs="Times New Roman"/>
          <w:sz w:val="22"/>
          <w:szCs w:val="22"/>
          <w:lang w:val="fr-FR"/>
        </w:rPr>
        <w:t>continent</w:t>
      </w:r>
      <w:r w:rsidR="00A52779" w:rsidRPr="005D062F">
        <w:rPr>
          <w:rFonts w:ascii="Times New Roman" w:eastAsia="Calibri" w:hAnsi="Times New Roman" w:cs="Times New Roman"/>
          <w:sz w:val="22"/>
          <w:szCs w:val="22"/>
          <w:lang w:val="fr-FR"/>
        </w:rPr>
        <w:t>.</w:t>
      </w:r>
    </w:p>
    <w:p w14:paraId="11115C36" w14:textId="77777777" w:rsidR="00A52779" w:rsidRPr="005D062F" w:rsidRDefault="00A52779" w:rsidP="00CB030B">
      <w:pPr>
        <w:jc w:val="both"/>
        <w:rPr>
          <w:rFonts w:ascii="Times New Roman" w:eastAsia="Calibri" w:hAnsi="Times New Roman" w:cs="Times New Roman"/>
          <w:sz w:val="22"/>
          <w:szCs w:val="22"/>
          <w:lang w:val="fr-FR"/>
        </w:rPr>
      </w:pPr>
    </w:p>
    <w:p w14:paraId="620B4E18" w14:textId="7F0EE247" w:rsidR="00A52779" w:rsidRPr="005D062F" w:rsidRDefault="00161400" w:rsidP="00CB030B">
      <w:pPr>
        <w:numPr>
          <w:ilvl w:val="0"/>
          <w:numId w:val="12"/>
        </w:numPr>
        <w:ind w:left="1440" w:hanging="720"/>
        <w:jc w:val="both"/>
        <w:rPr>
          <w:rFonts w:ascii="Times New Roman" w:eastAsia="Calibri" w:hAnsi="Times New Roman" w:cs="Times New Roman"/>
          <w:sz w:val="22"/>
          <w:szCs w:val="22"/>
          <w:lang w:val="fr-FR"/>
        </w:rPr>
      </w:pPr>
      <w:r w:rsidRPr="005D062F">
        <w:rPr>
          <w:rFonts w:ascii="Times New Roman" w:eastAsia="Calibri" w:hAnsi="Times New Roman" w:cs="Times New Roman"/>
          <w:sz w:val="22"/>
          <w:szCs w:val="22"/>
          <w:lang w:val="fr-FR"/>
        </w:rPr>
        <w:t>Il a apporté son soutien à la réunion de la Commission interaméricaine sur la réduction des catastrophes naturelles en vue de l’intervention en cas de catastrophe avec une attention particulière accordée au relèvement suite à une catastrophe, à la reconstruction et à la promotion de la collaboration multipays et multipartite en matière d’intervention, de reconstruction et de relèvement en cas de catastrophe</w:t>
      </w:r>
      <w:r w:rsidR="00A52779" w:rsidRPr="005D062F">
        <w:rPr>
          <w:rFonts w:ascii="Times New Roman" w:eastAsia="Calibri" w:hAnsi="Times New Roman" w:cs="Times New Roman"/>
          <w:sz w:val="22"/>
          <w:szCs w:val="22"/>
          <w:lang w:val="fr-FR"/>
        </w:rPr>
        <w:t xml:space="preserve">. </w:t>
      </w:r>
    </w:p>
    <w:p w14:paraId="66BFDDAF" w14:textId="77777777" w:rsidR="00A52779" w:rsidRPr="005D062F" w:rsidRDefault="00A52779" w:rsidP="00723DAD">
      <w:pPr>
        <w:rPr>
          <w:rFonts w:ascii="Times New Roman" w:eastAsia="Calibri" w:hAnsi="Times New Roman" w:cs="Times New Roman"/>
          <w:sz w:val="22"/>
          <w:szCs w:val="22"/>
          <w:lang w:val="fr-FR"/>
        </w:rPr>
      </w:pPr>
    </w:p>
    <w:p w14:paraId="69A88326" w14:textId="135050CA" w:rsidR="00A52779" w:rsidRPr="005D062F" w:rsidRDefault="006C0408" w:rsidP="00CB030B">
      <w:pPr>
        <w:numPr>
          <w:ilvl w:val="0"/>
          <w:numId w:val="12"/>
        </w:numPr>
        <w:ind w:left="1440" w:hanging="720"/>
        <w:jc w:val="both"/>
        <w:rPr>
          <w:rFonts w:ascii="Times New Roman" w:eastAsia="Calibri" w:hAnsi="Times New Roman" w:cs="Times New Roman"/>
          <w:sz w:val="22"/>
          <w:szCs w:val="22"/>
          <w:lang w:val="fr-FR"/>
        </w:rPr>
      </w:pPr>
      <w:r w:rsidRPr="005D062F">
        <w:rPr>
          <w:rFonts w:ascii="Times New Roman" w:eastAsia="Calibri" w:hAnsi="Times New Roman" w:cs="Times New Roman"/>
          <w:sz w:val="22"/>
          <w:szCs w:val="22"/>
          <w:lang w:val="fr-FR"/>
        </w:rPr>
        <w:t xml:space="preserve">Il a apporté son soutien à la </w:t>
      </w:r>
      <w:r w:rsidR="00A52779" w:rsidRPr="005D062F">
        <w:rPr>
          <w:rFonts w:ascii="Times New Roman" w:eastAsia="Calibri" w:hAnsi="Times New Roman" w:cs="Times New Roman"/>
          <w:sz w:val="22"/>
          <w:szCs w:val="22"/>
          <w:lang w:val="fr-FR"/>
        </w:rPr>
        <w:t>Commission</w:t>
      </w:r>
      <w:r w:rsidRPr="005D062F">
        <w:rPr>
          <w:rFonts w:ascii="Times New Roman" w:eastAsia="Calibri" w:hAnsi="Times New Roman" w:cs="Times New Roman"/>
          <w:sz w:val="22"/>
          <w:szCs w:val="22"/>
          <w:lang w:val="fr-FR"/>
        </w:rPr>
        <w:t xml:space="preserve"> des Casques blancs d’Argentine</w:t>
      </w:r>
      <w:r w:rsidR="00A52779" w:rsidRPr="005D062F">
        <w:rPr>
          <w:rFonts w:ascii="Times New Roman" w:eastAsia="Calibri" w:hAnsi="Times New Roman" w:cs="Times New Roman"/>
          <w:sz w:val="22"/>
          <w:szCs w:val="22"/>
          <w:lang w:val="fr-FR"/>
        </w:rPr>
        <w:t xml:space="preserve"> </w:t>
      </w:r>
      <w:r w:rsidRPr="005D062F">
        <w:rPr>
          <w:rFonts w:ascii="Times New Roman" w:eastAsia="Calibri" w:hAnsi="Times New Roman" w:cs="Times New Roman"/>
          <w:sz w:val="22"/>
          <w:szCs w:val="22"/>
          <w:lang w:val="fr-FR"/>
        </w:rPr>
        <w:t xml:space="preserve">en matière d’intervention face aux catastrophes, y compris les catastrophes naturelles et </w:t>
      </w:r>
      <w:r w:rsidR="00070E7D" w:rsidRPr="005D062F">
        <w:rPr>
          <w:rFonts w:ascii="Times New Roman" w:eastAsia="Calibri" w:hAnsi="Times New Roman" w:cs="Times New Roman"/>
          <w:sz w:val="22"/>
          <w:szCs w:val="22"/>
          <w:lang w:val="fr-FR"/>
        </w:rPr>
        <w:t xml:space="preserve">celles </w:t>
      </w:r>
      <w:r w:rsidRPr="005D062F">
        <w:rPr>
          <w:rFonts w:ascii="Times New Roman" w:eastAsia="Calibri" w:hAnsi="Times New Roman" w:cs="Times New Roman"/>
          <w:sz w:val="22"/>
          <w:szCs w:val="22"/>
          <w:lang w:val="fr-FR"/>
        </w:rPr>
        <w:t xml:space="preserve">liées à un danger biologique, et en particulier en matière d’intervention et d’appui </w:t>
      </w:r>
      <w:r w:rsidR="00846352" w:rsidRPr="005D062F">
        <w:rPr>
          <w:rFonts w:ascii="Times New Roman" w:eastAsia="Calibri" w:hAnsi="Times New Roman" w:cs="Times New Roman"/>
          <w:sz w:val="22"/>
          <w:szCs w:val="22"/>
          <w:lang w:val="fr-FR"/>
        </w:rPr>
        <w:t>des États membres dans la gestion de la pandémie de COVID-19</w:t>
      </w:r>
      <w:r w:rsidR="00A52779" w:rsidRPr="005D062F">
        <w:rPr>
          <w:rFonts w:ascii="Times New Roman" w:eastAsia="Calibri" w:hAnsi="Times New Roman" w:cs="Times New Roman"/>
          <w:sz w:val="22"/>
          <w:szCs w:val="22"/>
          <w:lang w:val="fr-FR"/>
        </w:rPr>
        <w:t>.</w:t>
      </w:r>
    </w:p>
    <w:p w14:paraId="00BC3D53" w14:textId="77777777" w:rsidR="00A52779" w:rsidRPr="005D062F" w:rsidRDefault="00A52779" w:rsidP="00723DAD">
      <w:pPr>
        <w:rPr>
          <w:rFonts w:ascii="Times New Roman" w:eastAsia="Calibri" w:hAnsi="Times New Roman" w:cs="Times New Roman"/>
          <w:sz w:val="22"/>
          <w:szCs w:val="22"/>
          <w:lang w:val="fr-FR"/>
        </w:rPr>
      </w:pPr>
    </w:p>
    <w:p w14:paraId="50893793" w14:textId="53BA1FAB" w:rsidR="00A52779" w:rsidRDefault="00070E7D" w:rsidP="00CB030B">
      <w:pPr>
        <w:numPr>
          <w:ilvl w:val="0"/>
          <w:numId w:val="12"/>
        </w:numPr>
        <w:ind w:left="1440" w:hanging="720"/>
        <w:jc w:val="both"/>
        <w:rPr>
          <w:rFonts w:ascii="Times New Roman" w:eastAsia="Calibri" w:hAnsi="Times New Roman" w:cs="Times New Roman"/>
          <w:sz w:val="22"/>
          <w:szCs w:val="22"/>
          <w:lang w:val="fr-FR"/>
        </w:rPr>
      </w:pPr>
      <w:r w:rsidRPr="005D062F">
        <w:rPr>
          <w:rFonts w:ascii="Times New Roman" w:eastAsia="Calibri" w:hAnsi="Times New Roman" w:cs="Times New Roman"/>
          <w:sz w:val="22"/>
          <w:szCs w:val="22"/>
          <w:lang w:val="fr-FR"/>
        </w:rPr>
        <w:t>Il a apporté son soutien à la réunion conjo</w:t>
      </w:r>
      <w:r w:rsidR="00B832AD" w:rsidRPr="005D062F">
        <w:rPr>
          <w:rFonts w:ascii="Times New Roman" w:eastAsia="Calibri" w:hAnsi="Times New Roman" w:cs="Times New Roman"/>
          <w:sz w:val="22"/>
          <w:szCs w:val="22"/>
          <w:lang w:val="fr-FR"/>
        </w:rPr>
        <w:t>inte Conseil permanent</w:t>
      </w:r>
      <w:r w:rsidRPr="005D062F">
        <w:rPr>
          <w:rFonts w:ascii="Times New Roman" w:eastAsia="Calibri" w:hAnsi="Times New Roman" w:cs="Times New Roman"/>
          <w:sz w:val="22"/>
          <w:szCs w:val="22"/>
          <w:lang w:val="fr-FR"/>
        </w:rPr>
        <w:t>/</w:t>
      </w:r>
      <w:r w:rsidR="00A52779" w:rsidRPr="005D062F">
        <w:rPr>
          <w:rFonts w:ascii="Times New Roman" w:eastAsia="Calibri" w:hAnsi="Times New Roman" w:cs="Times New Roman"/>
          <w:sz w:val="22"/>
          <w:szCs w:val="22"/>
          <w:lang w:val="fr-FR"/>
        </w:rPr>
        <w:t xml:space="preserve">CIDI </w:t>
      </w:r>
      <w:r w:rsidRPr="005D062F">
        <w:rPr>
          <w:rFonts w:ascii="Times New Roman" w:eastAsia="Calibri" w:hAnsi="Times New Roman" w:cs="Times New Roman"/>
          <w:sz w:val="22"/>
          <w:szCs w:val="22"/>
          <w:lang w:val="fr-FR"/>
        </w:rPr>
        <w:t>qui s’est tenue le 29 juin 2022</w:t>
      </w:r>
      <w:r w:rsidR="00B832AD" w:rsidRPr="005D062F">
        <w:rPr>
          <w:rFonts w:ascii="Times New Roman" w:eastAsia="Calibri" w:hAnsi="Times New Roman" w:cs="Times New Roman"/>
          <w:sz w:val="22"/>
          <w:szCs w:val="22"/>
          <w:lang w:val="fr-FR"/>
        </w:rPr>
        <w:t xml:space="preserve"> </w:t>
      </w:r>
      <w:r w:rsidRPr="005D062F">
        <w:rPr>
          <w:rFonts w:ascii="Times New Roman" w:eastAsia="Calibri" w:hAnsi="Times New Roman" w:cs="Times New Roman"/>
          <w:sz w:val="22"/>
          <w:szCs w:val="22"/>
          <w:lang w:val="fr-FR"/>
        </w:rPr>
        <w:t>sur le thème « </w:t>
      </w:r>
      <w:r w:rsidRPr="005D062F">
        <w:rPr>
          <w:rFonts w:ascii="Times New Roman" w:eastAsia="Calibri" w:hAnsi="Times New Roman" w:cs="Times New Roman"/>
          <w:b/>
          <w:sz w:val="22"/>
          <w:szCs w:val="22"/>
          <w:lang w:val="fr-FR"/>
        </w:rPr>
        <w:t>Renforcement du rôle de l'OEA dans la promotion de la résilience face aux catastrophes</w:t>
      </w:r>
      <w:r w:rsidRPr="005D062F">
        <w:rPr>
          <w:rFonts w:ascii="Times New Roman" w:eastAsia="Calibri" w:hAnsi="Times New Roman" w:cs="Times New Roman"/>
          <w:sz w:val="22"/>
          <w:szCs w:val="22"/>
          <w:lang w:val="fr-FR"/>
        </w:rPr>
        <w:t> »</w:t>
      </w:r>
      <w:r w:rsidR="000F3ACC" w:rsidRPr="005D062F">
        <w:rPr>
          <w:rFonts w:ascii="Times New Roman" w:eastAsia="Calibri" w:hAnsi="Times New Roman" w:cs="Times New Roman"/>
          <w:sz w:val="22"/>
          <w:szCs w:val="22"/>
          <w:lang w:val="fr-FR"/>
        </w:rPr>
        <w:t>.</w:t>
      </w:r>
      <w:r w:rsidR="00A52779" w:rsidRPr="005D062F">
        <w:rPr>
          <w:rFonts w:ascii="Times New Roman" w:eastAsia="Calibri" w:hAnsi="Times New Roman" w:cs="Times New Roman"/>
          <w:sz w:val="22"/>
          <w:szCs w:val="22"/>
          <w:lang w:val="fr-FR"/>
        </w:rPr>
        <w:t xml:space="preserve"> </w:t>
      </w:r>
    </w:p>
    <w:p w14:paraId="78FB2EF0" w14:textId="77777777" w:rsidR="002C5C11" w:rsidRDefault="002C5C11" w:rsidP="002C5C11">
      <w:pPr>
        <w:pStyle w:val="ListParagraph"/>
        <w:rPr>
          <w:sz w:val="22"/>
          <w:szCs w:val="22"/>
          <w:lang w:val="fr-FR"/>
        </w:rPr>
      </w:pPr>
    </w:p>
    <w:p w14:paraId="265DD683" w14:textId="574494BD" w:rsidR="002C5C11" w:rsidRDefault="002C5C11" w:rsidP="002C5C11">
      <w:pPr>
        <w:jc w:val="both"/>
        <w:rPr>
          <w:rFonts w:ascii="Times New Roman" w:eastAsia="Calibri" w:hAnsi="Times New Roman" w:cs="Times New Roman"/>
          <w:sz w:val="22"/>
          <w:szCs w:val="22"/>
          <w:lang w:val="fr-FR"/>
        </w:rPr>
      </w:pPr>
    </w:p>
    <w:p w14:paraId="7D0AF1B2" w14:textId="77777777" w:rsidR="002C5C11" w:rsidRPr="005D062F" w:rsidRDefault="002C5C11" w:rsidP="002C5C11">
      <w:pPr>
        <w:jc w:val="both"/>
        <w:rPr>
          <w:rFonts w:ascii="Times New Roman" w:eastAsia="Calibri" w:hAnsi="Times New Roman" w:cs="Times New Roman"/>
          <w:sz w:val="22"/>
          <w:szCs w:val="22"/>
          <w:lang w:val="fr-FR"/>
        </w:rPr>
      </w:pPr>
    </w:p>
    <w:p w14:paraId="5757DF44" w14:textId="611D29A3" w:rsidR="00141240" w:rsidRPr="005D062F" w:rsidRDefault="00141240" w:rsidP="00CB030B">
      <w:pPr>
        <w:jc w:val="both"/>
        <w:rPr>
          <w:rFonts w:ascii="Times New Roman" w:eastAsia="Calibri" w:hAnsi="Times New Roman" w:cs="Times New Roman"/>
          <w:sz w:val="22"/>
          <w:szCs w:val="22"/>
          <w:lang w:val="fr-FR"/>
        </w:rPr>
      </w:pPr>
    </w:p>
    <w:p w14:paraId="637DEB02" w14:textId="0F3B0850" w:rsidR="00141240" w:rsidRPr="005D062F" w:rsidRDefault="00070E7D" w:rsidP="00CB030B">
      <w:pPr>
        <w:ind w:firstLine="720"/>
        <w:rPr>
          <w:rFonts w:ascii="Times New Roman" w:eastAsia="Calibri" w:hAnsi="Times New Roman" w:cs="Times New Roman"/>
          <w:b/>
          <w:bCs/>
          <w:sz w:val="22"/>
          <w:szCs w:val="22"/>
          <w:lang w:val="fr-FR"/>
        </w:rPr>
      </w:pPr>
      <w:r w:rsidRPr="005D062F">
        <w:rPr>
          <w:rFonts w:ascii="Times New Roman" w:eastAsia="Calibri" w:hAnsi="Times New Roman" w:cs="Times New Roman"/>
          <w:b/>
          <w:bCs/>
          <w:sz w:val="22"/>
          <w:szCs w:val="22"/>
          <w:lang w:val="fr-FR"/>
        </w:rPr>
        <w:t>Secré</w:t>
      </w:r>
      <w:r w:rsidR="00141240" w:rsidRPr="005D062F">
        <w:rPr>
          <w:rFonts w:ascii="Times New Roman" w:eastAsia="Calibri" w:hAnsi="Times New Roman" w:cs="Times New Roman"/>
          <w:b/>
          <w:bCs/>
          <w:sz w:val="22"/>
          <w:szCs w:val="22"/>
          <w:lang w:val="fr-FR"/>
        </w:rPr>
        <w:t xml:space="preserve">tariat </w:t>
      </w:r>
      <w:r w:rsidRPr="005D062F">
        <w:rPr>
          <w:rFonts w:ascii="Times New Roman" w:eastAsia="Calibri" w:hAnsi="Times New Roman" w:cs="Times New Roman"/>
          <w:b/>
          <w:bCs/>
          <w:sz w:val="22"/>
          <w:szCs w:val="22"/>
          <w:lang w:val="fr-FR"/>
        </w:rPr>
        <w:t>de la Commission interaméricaine des ports</w:t>
      </w:r>
      <w:r w:rsidR="00141240" w:rsidRPr="005D062F">
        <w:rPr>
          <w:rFonts w:ascii="Times New Roman" w:eastAsia="Calibri" w:hAnsi="Times New Roman" w:cs="Times New Roman"/>
          <w:b/>
          <w:bCs/>
          <w:sz w:val="22"/>
          <w:szCs w:val="22"/>
          <w:lang w:val="fr-FR"/>
        </w:rPr>
        <w:t xml:space="preserve"> </w:t>
      </w:r>
    </w:p>
    <w:p w14:paraId="3DE589B0" w14:textId="77777777" w:rsidR="00141240" w:rsidRPr="005D062F" w:rsidRDefault="00141240" w:rsidP="00723DAD">
      <w:pPr>
        <w:rPr>
          <w:rFonts w:ascii="Times New Roman" w:hAnsi="Times New Roman" w:cs="Times New Roman"/>
          <w:color w:val="000000" w:themeColor="text1"/>
          <w:sz w:val="22"/>
          <w:szCs w:val="22"/>
          <w:lang w:val="fr-FR"/>
        </w:rPr>
      </w:pPr>
    </w:p>
    <w:p w14:paraId="4AADDA53" w14:textId="4D748850" w:rsidR="00E90D13" w:rsidRPr="005D062F" w:rsidRDefault="00070E7D" w:rsidP="00CB030B">
      <w:pPr>
        <w:pStyle w:val="ListParagraph"/>
        <w:numPr>
          <w:ilvl w:val="0"/>
          <w:numId w:val="22"/>
        </w:numPr>
        <w:ind w:left="1440" w:hanging="720"/>
        <w:contextualSpacing/>
        <w:jc w:val="both"/>
        <w:rPr>
          <w:sz w:val="22"/>
          <w:szCs w:val="22"/>
          <w:lang w:val="fr-FR"/>
        </w:rPr>
      </w:pPr>
      <w:r w:rsidRPr="005D062F">
        <w:rPr>
          <w:sz w:val="22"/>
          <w:szCs w:val="22"/>
          <w:lang w:val="fr-FR"/>
        </w:rPr>
        <w:t xml:space="preserve">Des ateliers régionaux en ligne ont été organisés sur l’amélioration de la gestion des risques de catastrophe </w:t>
      </w:r>
      <w:r w:rsidR="00023346" w:rsidRPr="005D062F">
        <w:rPr>
          <w:sz w:val="22"/>
          <w:szCs w:val="22"/>
          <w:lang w:val="fr-FR"/>
        </w:rPr>
        <w:t xml:space="preserve">dans les ports des Caraïbes en appui au </w:t>
      </w:r>
      <w:r w:rsidR="00FC03D6" w:rsidRPr="005D062F">
        <w:rPr>
          <w:rFonts w:eastAsia="Times New Roman"/>
          <w:b/>
          <w:color w:val="000000"/>
          <w:sz w:val="22"/>
          <w:szCs w:val="22"/>
          <w:lang w:val="fr-FR"/>
        </w:rPr>
        <w:t>Projet d’</w:t>
      </w:r>
      <w:r w:rsidR="00023346" w:rsidRPr="005D062F">
        <w:rPr>
          <w:rFonts w:eastAsia="Times New Roman"/>
          <w:b/>
          <w:color w:val="000000"/>
          <w:sz w:val="22"/>
          <w:szCs w:val="22"/>
          <w:lang w:val="fr-FR"/>
        </w:rPr>
        <w:t>amélioration de la gestion des risques de catastrophe pour les ports des Caraïbes</w:t>
      </w:r>
      <w:r w:rsidR="00023346" w:rsidRPr="005D062F">
        <w:rPr>
          <w:sz w:val="22"/>
          <w:szCs w:val="22"/>
          <w:lang w:val="fr-FR"/>
        </w:rPr>
        <w:t>, au</w:t>
      </w:r>
      <w:r w:rsidR="00596B5F" w:rsidRPr="005D062F">
        <w:rPr>
          <w:sz w:val="22"/>
          <w:szCs w:val="22"/>
          <w:lang w:val="fr-FR"/>
        </w:rPr>
        <w:t>x</w:t>
      </w:r>
      <w:r w:rsidR="00023346" w:rsidRPr="005D062F">
        <w:rPr>
          <w:sz w:val="22"/>
          <w:szCs w:val="22"/>
          <w:lang w:val="fr-FR"/>
        </w:rPr>
        <w:t>quel</w:t>
      </w:r>
      <w:r w:rsidR="00596B5F" w:rsidRPr="005D062F">
        <w:rPr>
          <w:sz w:val="22"/>
          <w:szCs w:val="22"/>
          <w:lang w:val="fr-FR"/>
        </w:rPr>
        <w:t>s</w:t>
      </w:r>
      <w:r w:rsidR="00023346" w:rsidRPr="005D062F">
        <w:rPr>
          <w:sz w:val="22"/>
          <w:szCs w:val="22"/>
          <w:lang w:val="fr-FR"/>
        </w:rPr>
        <w:t xml:space="preserve"> </w:t>
      </w:r>
      <w:r w:rsidR="00023346" w:rsidRPr="005D062F">
        <w:rPr>
          <w:rFonts w:eastAsia="Times New Roman"/>
          <w:color w:val="000000"/>
          <w:sz w:val="22"/>
          <w:szCs w:val="22"/>
          <w:lang w:val="fr-FR"/>
        </w:rPr>
        <w:t>ont participé</w:t>
      </w:r>
      <w:r w:rsidR="00596B5F" w:rsidRPr="005D062F">
        <w:rPr>
          <w:sz w:val="22"/>
          <w:szCs w:val="22"/>
          <w:lang w:val="fr-FR"/>
        </w:rPr>
        <w:t xml:space="preserve"> 44 </w:t>
      </w:r>
      <w:r w:rsidR="00023346" w:rsidRPr="005D062F">
        <w:rPr>
          <w:rFonts w:eastAsia="Times New Roman"/>
          <w:color w:val="000000"/>
          <w:sz w:val="22"/>
          <w:szCs w:val="22"/>
          <w:lang w:val="fr-FR"/>
        </w:rPr>
        <w:t>responsables portuaires de dix États membres de l’OEA et d’un État non souverain</w:t>
      </w:r>
      <w:r w:rsidR="00141240" w:rsidRPr="005D062F">
        <w:rPr>
          <w:sz w:val="22"/>
          <w:szCs w:val="22"/>
          <w:lang w:val="fr-FR"/>
        </w:rPr>
        <w:t>.</w:t>
      </w:r>
    </w:p>
    <w:p w14:paraId="041FE6F7" w14:textId="77777777" w:rsidR="005F2C83" w:rsidRPr="005D062F" w:rsidRDefault="005F2C83" w:rsidP="00607D18">
      <w:pPr>
        <w:contextualSpacing/>
        <w:jc w:val="both"/>
        <w:rPr>
          <w:rFonts w:ascii="Times New Roman" w:hAnsi="Times New Roman" w:cs="Times New Roman"/>
          <w:sz w:val="22"/>
          <w:szCs w:val="22"/>
          <w:lang w:val="fr-FR"/>
        </w:rPr>
      </w:pPr>
    </w:p>
    <w:p w14:paraId="75C64FC0" w14:textId="0175C523" w:rsidR="00E90D13" w:rsidRPr="002D4DF7" w:rsidRDefault="00C2663A" w:rsidP="002D4DF7">
      <w:pPr>
        <w:pStyle w:val="Heading2"/>
      </w:pPr>
      <w:bookmarkStart w:id="14" w:name="_Toc124243404"/>
      <w:r w:rsidRPr="002D4DF7">
        <w:t>OBJECTIF</w:t>
      </w:r>
      <w:r w:rsidR="00E90D13" w:rsidRPr="002D4DF7">
        <w:t xml:space="preserve"> 2.2</w:t>
      </w:r>
      <w:bookmarkEnd w:id="14"/>
    </w:p>
    <w:p w14:paraId="6D738966" w14:textId="77777777" w:rsidR="005F2C83" w:rsidRPr="005D062F" w:rsidRDefault="005F2C83" w:rsidP="00607D18">
      <w:pPr>
        <w:jc w:val="both"/>
        <w:rPr>
          <w:rFonts w:ascii="Times New Roman" w:eastAsia="Calibri" w:hAnsi="Times New Roman" w:cs="Times New Roman"/>
          <w:b/>
          <w:sz w:val="22"/>
          <w:szCs w:val="22"/>
          <w:u w:val="single"/>
          <w:lang w:val="fr-FR"/>
        </w:rPr>
      </w:pPr>
    </w:p>
    <w:p w14:paraId="572B2E84" w14:textId="64515A9A" w:rsidR="00E90D13" w:rsidRPr="005D062F" w:rsidRDefault="009661C1" w:rsidP="00CB030B">
      <w:pPr>
        <w:ind w:firstLine="720"/>
        <w:jc w:val="both"/>
        <w:rPr>
          <w:rFonts w:ascii="Times New Roman" w:eastAsia="Calibri" w:hAnsi="Times New Roman" w:cs="Times New Roman"/>
          <w:sz w:val="22"/>
          <w:szCs w:val="22"/>
          <w:lang w:val="fr-FR"/>
        </w:rPr>
      </w:pPr>
      <w:r w:rsidRPr="005D062F">
        <w:rPr>
          <w:rFonts w:ascii="Times New Roman" w:eastAsia="Calibri" w:hAnsi="Times New Roman" w:cs="Times New Roman"/>
          <w:sz w:val="22"/>
          <w:szCs w:val="22"/>
          <w:lang w:val="fr-FR"/>
        </w:rPr>
        <w:t xml:space="preserve">Promouvoir les capacités des États membres pour la gestion durable des écosystèmes conformément aux objectifs et principes d’action énoncés à la section 3.2. du </w:t>
      </w:r>
      <w:r w:rsidR="00E90D13" w:rsidRPr="005D062F">
        <w:rPr>
          <w:rFonts w:ascii="Times New Roman" w:eastAsia="Calibri" w:hAnsi="Times New Roman" w:cs="Times New Roman"/>
          <w:sz w:val="22"/>
          <w:szCs w:val="22"/>
          <w:lang w:val="fr-FR"/>
        </w:rPr>
        <w:t>PIDS.</w:t>
      </w:r>
    </w:p>
    <w:p w14:paraId="2EA4503A" w14:textId="77777777" w:rsidR="00E90D13" w:rsidRPr="005D062F" w:rsidRDefault="00E90D13" w:rsidP="00CB030B">
      <w:pPr>
        <w:jc w:val="both"/>
        <w:rPr>
          <w:rFonts w:ascii="Times New Roman" w:hAnsi="Times New Roman" w:cs="Times New Roman"/>
          <w:bCs/>
          <w:color w:val="000000" w:themeColor="text1"/>
          <w:sz w:val="22"/>
          <w:szCs w:val="22"/>
          <w:lang w:val="fr-FR"/>
        </w:rPr>
      </w:pPr>
    </w:p>
    <w:p w14:paraId="70A6857A" w14:textId="415B341F" w:rsidR="00E90D13" w:rsidRPr="005D062F" w:rsidRDefault="009661C1" w:rsidP="00CB030B">
      <w:pPr>
        <w:pStyle w:val="ListParagraph"/>
        <w:numPr>
          <w:ilvl w:val="0"/>
          <w:numId w:val="14"/>
        </w:numPr>
        <w:ind w:left="1440" w:hanging="720"/>
        <w:jc w:val="both"/>
        <w:rPr>
          <w:bCs/>
          <w:color w:val="000000" w:themeColor="text1"/>
          <w:sz w:val="22"/>
          <w:szCs w:val="22"/>
          <w:lang w:val="fr-FR"/>
        </w:rPr>
      </w:pPr>
      <w:r w:rsidRPr="005D062F">
        <w:rPr>
          <w:bCs/>
          <w:color w:val="000000" w:themeColor="text1"/>
          <w:sz w:val="22"/>
          <w:szCs w:val="22"/>
          <w:lang w:val="fr-FR"/>
        </w:rPr>
        <w:t>Tous les programmes et projets du Département du développement durable du SEDI</w:t>
      </w:r>
      <w:r w:rsidR="008D58EF" w:rsidRPr="005D062F">
        <w:rPr>
          <w:bCs/>
          <w:color w:val="000000" w:themeColor="text1"/>
          <w:sz w:val="22"/>
          <w:szCs w:val="22"/>
          <w:lang w:val="fr-FR"/>
        </w:rPr>
        <w:t xml:space="preserve"> </w:t>
      </w:r>
      <w:r w:rsidRPr="005D062F">
        <w:rPr>
          <w:bCs/>
          <w:color w:val="000000" w:themeColor="text1"/>
          <w:sz w:val="22"/>
          <w:szCs w:val="22"/>
          <w:lang w:val="fr-FR"/>
        </w:rPr>
        <w:t>(</w:t>
      </w:r>
      <w:r w:rsidR="00E90D13" w:rsidRPr="005D062F">
        <w:rPr>
          <w:bCs/>
          <w:color w:val="000000" w:themeColor="text1"/>
          <w:sz w:val="22"/>
          <w:szCs w:val="22"/>
          <w:lang w:val="fr-FR"/>
        </w:rPr>
        <w:t>D</w:t>
      </w:r>
      <w:r w:rsidRPr="005D062F">
        <w:rPr>
          <w:bCs/>
          <w:color w:val="000000" w:themeColor="text1"/>
          <w:sz w:val="22"/>
          <w:szCs w:val="22"/>
          <w:lang w:val="fr-FR"/>
        </w:rPr>
        <w:t>D</w:t>
      </w:r>
      <w:r w:rsidR="00E90D13" w:rsidRPr="005D062F">
        <w:rPr>
          <w:bCs/>
          <w:color w:val="000000" w:themeColor="text1"/>
          <w:sz w:val="22"/>
          <w:szCs w:val="22"/>
          <w:lang w:val="fr-FR"/>
        </w:rPr>
        <w:t>D</w:t>
      </w:r>
      <w:r w:rsidRPr="005D062F">
        <w:rPr>
          <w:bCs/>
          <w:color w:val="000000" w:themeColor="text1"/>
          <w:sz w:val="22"/>
          <w:szCs w:val="22"/>
          <w:lang w:val="fr-FR"/>
        </w:rPr>
        <w:t>/SEDI)</w:t>
      </w:r>
      <w:r w:rsidR="00E90D13" w:rsidRPr="005D062F">
        <w:rPr>
          <w:bCs/>
          <w:color w:val="000000" w:themeColor="text1"/>
          <w:sz w:val="22"/>
          <w:szCs w:val="22"/>
          <w:lang w:val="fr-FR"/>
        </w:rPr>
        <w:t xml:space="preserve"> </w:t>
      </w:r>
      <w:r w:rsidRPr="005D062F">
        <w:rPr>
          <w:bCs/>
          <w:color w:val="000000" w:themeColor="text1"/>
          <w:sz w:val="22"/>
          <w:szCs w:val="22"/>
          <w:lang w:val="fr-FR"/>
        </w:rPr>
        <w:t>visent à réaliser cet objectif</w:t>
      </w:r>
      <w:r w:rsidR="00026AEF" w:rsidRPr="005D062F">
        <w:rPr>
          <w:bCs/>
          <w:color w:val="000000" w:themeColor="text1"/>
          <w:sz w:val="22"/>
          <w:szCs w:val="22"/>
          <w:lang w:val="fr-FR"/>
        </w:rPr>
        <w:t xml:space="preserve">. </w:t>
      </w:r>
      <w:r w:rsidRPr="005D062F">
        <w:rPr>
          <w:rFonts w:eastAsia="Times New Roman"/>
          <w:color w:val="000000"/>
          <w:sz w:val="22"/>
          <w:szCs w:val="22"/>
          <w:lang w:val="fr-FR"/>
        </w:rPr>
        <w:t>Plus particulièrement, la gestion durable des écosystèmes constitue un objectif et une composante à part entière de tous les projets de gestion intégrée des ressources en eau</w:t>
      </w:r>
      <w:r w:rsidRPr="005D062F">
        <w:rPr>
          <w:bCs/>
          <w:color w:val="000000" w:themeColor="text1"/>
          <w:sz w:val="22"/>
          <w:szCs w:val="22"/>
          <w:lang w:val="fr-FR"/>
        </w:rPr>
        <w:t xml:space="preserve"> </w:t>
      </w:r>
      <w:r w:rsidR="00026AEF" w:rsidRPr="005D062F">
        <w:rPr>
          <w:rFonts w:eastAsia="Times New Roman"/>
          <w:color w:val="000000"/>
          <w:sz w:val="22"/>
          <w:szCs w:val="22"/>
          <w:lang w:val="fr-FR"/>
        </w:rPr>
        <w:t>dans les bassins transfrontaliers, tels que le bassin de La Plata, et les biosphères transfrontalières, telles que la biosphère trinationale de</w:t>
      </w:r>
      <w:r w:rsidR="00E90D13" w:rsidRPr="005D062F">
        <w:rPr>
          <w:bCs/>
          <w:color w:val="000000" w:themeColor="text1"/>
          <w:sz w:val="22"/>
          <w:szCs w:val="22"/>
          <w:lang w:val="fr-FR"/>
        </w:rPr>
        <w:t xml:space="preserve"> </w:t>
      </w:r>
      <w:r w:rsidR="00E90D13" w:rsidRPr="005D062F">
        <w:rPr>
          <w:bCs/>
          <w:i/>
          <w:iCs/>
          <w:color w:val="000000" w:themeColor="text1"/>
          <w:sz w:val="22"/>
          <w:szCs w:val="22"/>
          <w:lang w:val="fr-FR"/>
        </w:rPr>
        <w:t>La Fraternidad</w:t>
      </w:r>
      <w:r w:rsidR="00E90D13" w:rsidRPr="005D062F">
        <w:rPr>
          <w:bCs/>
          <w:color w:val="000000" w:themeColor="text1"/>
          <w:sz w:val="22"/>
          <w:szCs w:val="22"/>
          <w:lang w:val="fr-FR"/>
        </w:rPr>
        <w:t xml:space="preserve"> </w:t>
      </w:r>
      <w:r w:rsidR="00026AEF" w:rsidRPr="005D062F">
        <w:rPr>
          <w:rFonts w:eastAsia="Times New Roman"/>
          <w:color w:val="000000"/>
          <w:sz w:val="22"/>
          <w:szCs w:val="22"/>
          <w:lang w:val="fr-FR"/>
        </w:rPr>
        <w:t>dans la région du Trifinio. De même, tous les efforts en ma</w:t>
      </w:r>
      <w:r w:rsidR="00FC03D6" w:rsidRPr="005D062F">
        <w:rPr>
          <w:rFonts w:eastAsia="Times New Roman"/>
          <w:color w:val="000000"/>
          <w:sz w:val="22"/>
          <w:szCs w:val="22"/>
          <w:lang w:val="fr-FR"/>
        </w:rPr>
        <w:t>tière d’</w:t>
      </w:r>
      <w:r w:rsidR="00026AEF" w:rsidRPr="005D062F">
        <w:rPr>
          <w:rFonts w:eastAsia="Times New Roman"/>
          <w:color w:val="000000"/>
          <w:sz w:val="22"/>
          <w:szCs w:val="22"/>
          <w:lang w:val="fr-FR"/>
        </w:rPr>
        <w:t>énergie durable, en particulier ceux visant à promouvoir les énergies renouvelables, les politiques</w:t>
      </w:r>
      <w:r w:rsidR="005B620F" w:rsidRPr="005D062F">
        <w:rPr>
          <w:rFonts w:eastAsia="Times New Roman"/>
          <w:color w:val="000000"/>
          <w:sz w:val="22"/>
          <w:szCs w:val="22"/>
          <w:lang w:val="fr-FR"/>
        </w:rPr>
        <w:t xml:space="preserve"> de transition énergétique et l’</w:t>
      </w:r>
      <w:r w:rsidR="00026AEF" w:rsidRPr="005D062F">
        <w:rPr>
          <w:rFonts w:eastAsia="Times New Roman"/>
          <w:color w:val="000000"/>
          <w:sz w:val="22"/>
          <w:szCs w:val="22"/>
          <w:lang w:val="fr-FR"/>
        </w:rPr>
        <w:t>efficacité énergétique</w:t>
      </w:r>
      <w:r w:rsidR="00E90D13" w:rsidRPr="005D062F">
        <w:rPr>
          <w:bCs/>
          <w:color w:val="000000" w:themeColor="text1"/>
          <w:sz w:val="22"/>
          <w:szCs w:val="22"/>
          <w:lang w:val="fr-FR"/>
        </w:rPr>
        <w:t xml:space="preserve"> </w:t>
      </w:r>
      <w:r w:rsidR="00026AEF" w:rsidRPr="005D062F">
        <w:rPr>
          <w:rFonts w:eastAsia="Times New Roman"/>
          <w:color w:val="000000"/>
          <w:sz w:val="22"/>
          <w:szCs w:val="22"/>
          <w:lang w:val="fr-FR"/>
        </w:rPr>
        <w:t>contribuent à la gestion durable des écosystèmes, de leurs ressources naturelles et de leurs services écologiques</w:t>
      </w:r>
      <w:r w:rsidR="00026AEF" w:rsidRPr="005D062F">
        <w:rPr>
          <w:bCs/>
          <w:color w:val="000000" w:themeColor="text1"/>
          <w:sz w:val="22"/>
          <w:szCs w:val="22"/>
          <w:lang w:val="fr-FR"/>
        </w:rPr>
        <w:t xml:space="preserve">. </w:t>
      </w:r>
      <w:r w:rsidR="00026AEF" w:rsidRPr="005D062F">
        <w:rPr>
          <w:rFonts w:eastAsia="Times New Roman"/>
          <w:color w:val="000000"/>
          <w:sz w:val="22"/>
          <w:szCs w:val="22"/>
          <w:lang w:val="fr-FR"/>
        </w:rPr>
        <w:t>En outre, tous les efforts visant à renforcer la résilience des communautés et la gestion des risques de catastrophe contribuent directement à cet objectif</w:t>
      </w:r>
      <w:r w:rsidR="00E90D13" w:rsidRPr="005D062F">
        <w:rPr>
          <w:bCs/>
          <w:color w:val="000000" w:themeColor="text1"/>
          <w:sz w:val="22"/>
          <w:szCs w:val="22"/>
          <w:lang w:val="fr-FR"/>
        </w:rPr>
        <w:t>.</w:t>
      </w:r>
    </w:p>
    <w:p w14:paraId="65D70817" w14:textId="055E5A30" w:rsidR="001516E7" w:rsidRPr="005D062F" w:rsidRDefault="001516E7" w:rsidP="00CB030B">
      <w:pPr>
        <w:jc w:val="both"/>
        <w:rPr>
          <w:rFonts w:ascii="Times New Roman" w:hAnsi="Times New Roman" w:cs="Times New Roman"/>
          <w:bCs/>
          <w:color w:val="000000" w:themeColor="text1"/>
          <w:sz w:val="22"/>
          <w:szCs w:val="22"/>
          <w:lang w:val="fr-FR"/>
        </w:rPr>
      </w:pPr>
    </w:p>
    <w:p w14:paraId="3FC7C174" w14:textId="2AEF9D30" w:rsidR="001516E7" w:rsidRPr="002D4DF7" w:rsidRDefault="00C2663A" w:rsidP="002D4DF7">
      <w:pPr>
        <w:pStyle w:val="Heading2"/>
      </w:pPr>
      <w:bookmarkStart w:id="15" w:name="_Toc124243405"/>
      <w:r w:rsidRPr="002D4DF7">
        <w:t>OBJECTIF</w:t>
      </w:r>
      <w:r w:rsidR="001516E7" w:rsidRPr="002D4DF7">
        <w:t xml:space="preserve"> 2.3</w:t>
      </w:r>
      <w:bookmarkEnd w:id="15"/>
    </w:p>
    <w:p w14:paraId="6A3BBE97" w14:textId="77777777" w:rsidR="005F2C83" w:rsidRPr="005D062F" w:rsidRDefault="005F2C83" w:rsidP="00CB030B">
      <w:pPr>
        <w:jc w:val="both"/>
        <w:rPr>
          <w:rFonts w:ascii="Times New Roman" w:eastAsia="Calibri" w:hAnsi="Times New Roman" w:cs="Times New Roman"/>
          <w:sz w:val="22"/>
          <w:szCs w:val="22"/>
          <w:lang w:val="fr-FR"/>
        </w:rPr>
      </w:pPr>
    </w:p>
    <w:p w14:paraId="6A1628B2" w14:textId="68916036" w:rsidR="001516E7" w:rsidRPr="005D062F" w:rsidRDefault="00026AEF" w:rsidP="00CB030B">
      <w:pPr>
        <w:ind w:firstLine="720"/>
        <w:jc w:val="both"/>
        <w:rPr>
          <w:rFonts w:ascii="Times New Roman" w:eastAsia="Calibri" w:hAnsi="Times New Roman" w:cs="Times New Roman"/>
          <w:sz w:val="22"/>
          <w:szCs w:val="22"/>
          <w:lang w:val="fr-FR"/>
        </w:rPr>
      </w:pPr>
      <w:r w:rsidRPr="005D062F">
        <w:rPr>
          <w:rFonts w:ascii="Times New Roman" w:eastAsia="Calibri" w:hAnsi="Times New Roman" w:cs="Times New Roman"/>
          <w:sz w:val="22"/>
          <w:szCs w:val="22"/>
          <w:lang w:val="fr-FR"/>
        </w:rPr>
        <w:t>Promouvoir les capacités des États membres pour la gestion intégrée des ressources hydriques conformément aux objectifs et principes d’action énoncés à la section</w:t>
      </w:r>
      <w:r w:rsidR="001516E7" w:rsidRPr="005D062F">
        <w:rPr>
          <w:rFonts w:ascii="Times New Roman" w:eastAsia="Calibri" w:hAnsi="Times New Roman" w:cs="Times New Roman"/>
          <w:sz w:val="22"/>
          <w:szCs w:val="22"/>
          <w:lang w:val="fr-FR"/>
        </w:rPr>
        <w:t xml:space="preserve"> 3.3 </w:t>
      </w:r>
      <w:r w:rsidRPr="005D062F">
        <w:rPr>
          <w:rFonts w:ascii="Times New Roman" w:eastAsia="Calibri" w:hAnsi="Times New Roman" w:cs="Times New Roman"/>
          <w:sz w:val="22"/>
          <w:szCs w:val="22"/>
          <w:lang w:val="fr-FR"/>
        </w:rPr>
        <w:t>du</w:t>
      </w:r>
      <w:r w:rsidR="001516E7" w:rsidRPr="005D062F">
        <w:rPr>
          <w:rFonts w:ascii="Times New Roman" w:eastAsia="Calibri" w:hAnsi="Times New Roman" w:cs="Times New Roman"/>
          <w:sz w:val="22"/>
          <w:szCs w:val="22"/>
          <w:lang w:val="fr-FR"/>
        </w:rPr>
        <w:t xml:space="preserve"> PIDS.</w:t>
      </w:r>
    </w:p>
    <w:p w14:paraId="6F242760" w14:textId="77777777" w:rsidR="001516E7" w:rsidRPr="005D062F" w:rsidRDefault="001516E7" w:rsidP="00CB030B">
      <w:pPr>
        <w:ind w:left="432" w:hanging="432"/>
        <w:jc w:val="both"/>
        <w:rPr>
          <w:rFonts w:ascii="Times New Roman" w:hAnsi="Times New Roman" w:cs="Times New Roman"/>
          <w:bCs/>
          <w:color w:val="000000" w:themeColor="text1"/>
          <w:sz w:val="22"/>
          <w:szCs w:val="22"/>
          <w:lang w:val="fr-FR"/>
        </w:rPr>
      </w:pPr>
    </w:p>
    <w:p w14:paraId="59079199" w14:textId="08552902" w:rsidR="001516E7" w:rsidRPr="005D062F" w:rsidRDefault="00642220" w:rsidP="00607D18">
      <w:pPr>
        <w:keepNext/>
        <w:ind w:firstLine="720"/>
        <w:jc w:val="both"/>
        <w:rPr>
          <w:rFonts w:ascii="Times New Roman" w:eastAsia="Calibri" w:hAnsi="Times New Roman" w:cs="Times New Roman"/>
          <w:b/>
          <w:bCs/>
          <w:sz w:val="22"/>
          <w:szCs w:val="22"/>
          <w:lang w:val="fr-FR"/>
        </w:rPr>
      </w:pPr>
      <w:r w:rsidRPr="005D062F">
        <w:rPr>
          <w:rFonts w:ascii="Times New Roman" w:eastAsia="Calibri" w:hAnsi="Times New Roman" w:cs="Times New Roman"/>
          <w:b/>
          <w:bCs/>
          <w:sz w:val="22"/>
          <w:szCs w:val="22"/>
          <w:lang w:val="fr-FR"/>
        </w:rPr>
        <w:t>Gestion intégrée des ressources en eau</w:t>
      </w:r>
      <w:r w:rsidRPr="005D062F">
        <w:rPr>
          <w:rFonts w:ascii="Times New Roman" w:eastAsia="Times New Roman" w:hAnsi="Times New Roman" w:cs="Times New Roman"/>
          <w:b/>
          <w:color w:val="000000"/>
          <w:sz w:val="22"/>
          <w:szCs w:val="22"/>
          <w:lang w:val="fr-FR"/>
        </w:rPr>
        <w:t xml:space="preserve"> </w:t>
      </w:r>
    </w:p>
    <w:p w14:paraId="12698103" w14:textId="77777777" w:rsidR="001516E7" w:rsidRPr="005D062F" w:rsidRDefault="001516E7" w:rsidP="00607D18">
      <w:pPr>
        <w:keepNext/>
        <w:jc w:val="both"/>
        <w:rPr>
          <w:rFonts w:ascii="Times New Roman" w:hAnsi="Times New Roman" w:cs="Times New Roman"/>
          <w:color w:val="000000" w:themeColor="text1"/>
          <w:sz w:val="22"/>
          <w:szCs w:val="22"/>
          <w:lang w:val="fr-FR"/>
        </w:rPr>
      </w:pPr>
    </w:p>
    <w:p w14:paraId="74870F2D" w14:textId="18A5E5FF" w:rsidR="001516E7" w:rsidRPr="005D062F" w:rsidRDefault="008F3CFD" w:rsidP="00CB030B">
      <w:pPr>
        <w:pStyle w:val="ListParagraph"/>
        <w:numPr>
          <w:ilvl w:val="0"/>
          <w:numId w:val="14"/>
        </w:numPr>
        <w:ind w:left="1440" w:hanging="720"/>
        <w:jc w:val="both"/>
        <w:rPr>
          <w:color w:val="000000" w:themeColor="text1"/>
          <w:sz w:val="22"/>
          <w:szCs w:val="22"/>
          <w:lang w:val="fr-FR"/>
        </w:rPr>
      </w:pPr>
      <w:r w:rsidRPr="005D062F">
        <w:rPr>
          <w:color w:val="000000" w:themeColor="text1"/>
          <w:sz w:val="22"/>
          <w:szCs w:val="22"/>
          <w:lang w:val="fr-FR"/>
        </w:rPr>
        <w:t>Le SEDI a exécuté une demande de subvention de 4,8 </w:t>
      </w:r>
      <w:r w:rsidR="001516E7" w:rsidRPr="005D062F">
        <w:rPr>
          <w:color w:val="000000" w:themeColor="text1"/>
          <w:sz w:val="22"/>
          <w:szCs w:val="22"/>
          <w:lang w:val="fr-FR"/>
        </w:rPr>
        <w:t>million</w:t>
      </w:r>
      <w:r w:rsidRPr="005D062F">
        <w:rPr>
          <w:color w:val="000000" w:themeColor="text1"/>
          <w:sz w:val="22"/>
          <w:szCs w:val="22"/>
          <w:lang w:val="fr-FR"/>
        </w:rPr>
        <w:t>s USD</w:t>
      </w:r>
      <w:r w:rsidR="001516E7" w:rsidRPr="005D062F">
        <w:rPr>
          <w:color w:val="000000" w:themeColor="text1"/>
          <w:sz w:val="22"/>
          <w:szCs w:val="22"/>
          <w:lang w:val="fr-FR"/>
        </w:rPr>
        <w:t xml:space="preserve"> </w:t>
      </w:r>
      <w:r w:rsidRPr="005D062F">
        <w:rPr>
          <w:color w:val="000000" w:themeColor="text1"/>
          <w:sz w:val="22"/>
          <w:szCs w:val="22"/>
          <w:lang w:val="fr-FR"/>
        </w:rPr>
        <w:t xml:space="preserve">auprès du </w:t>
      </w:r>
      <w:r w:rsidR="009211CD" w:rsidRPr="005D062F">
        <w:rPr>
          <w:color w:val="000000" w:themeColor="text1"/>
          <w:sz w:val="22"/>
          <w:szCs w:val="22"/>
          <w:lang w:val="fr-FR"/>
        </w:rPr>
        <w:t>Fonds pour l’</w:t>
      </w:r>
      <w:r w:rsidRPr="005D062F">
        <w:rPr>
          <w:color w:val="000000" w:themeColor="text1"/>
          <w:sz w:val="22"/>
          <w:szCs w:val="22"/>
          <w:lang w:val="fr-FR"/>
        </w:rPr>
        <w:t>environnement mondial (FEM</w:t>
      </w:r>
      <w:r w:rsidR="001516E7" w:rsidRPr="005D062F">
        <w:rPr>
          <w:color w:val="000000" w:themeColor="text1"/>
          <w:sz w:val="22"/>
          <w:szCs w:val="22"/>
          <w:lang w:val="fr-FR"/>
        </w:rPr>
        <w:t>)</w:t>
      </w:r>
      <w:r w:rsidRPr="005D062F">
        <w:rPr>
          <w:color w:val="000000" w:themeColor="text1"/>
          <w:sz w:val="22"/>
          <w:szCs w:val="22"/>
          <w:lang w:val="fr-FR"/>
        </w:rPr>
        <w:t>,</w:t>
      </w:r>
      <w:r w:rsidR="001516E7" w:rsidRPr="005D062F">
        <w:rPr>
          <w:color w:val="000000" w:themeColor="text1"/>
          <w:sz w:val="22"/>
          <w:szCs w:val="22"/>
          <w:lang w:val="fr-FR"/>
        </w:rPr>
        <w:t xml:space="preserve"> </w:t>
      </w:r>
      <w:r w:rsidR="00043366" w:rsidRPr="005D062F">
        <w:rPr>
          <w:color w:val="000000" w:themeColor="text1"/>
          <w:sz w:val="22"/>
          <w:szCs w:val="22"/>
          <w:lang w:val="fr-FR"/>
        </w:rPr>
        <w:t>par l’</w:t>
      </w:r>
      <w:r w:rsidR="00642220" w:rsidRPr="005D062F">
        <w:rPr>
          <w:color w:val="000000" w:themeColor="text1"/>
          <w:sz w:val="22"/>
          <w:szCs w:val="22"/>
          <w:lang w:val="fr-FR"/>
        </w:rPr>
        <w:t>intermédiaire du Pro</w:t>
      </w:r>
      <w:r w:rsidR="001C40B5" w:rsidRPr="005D062F">
        <w:rPr>
          <w:color w:val="000000" w:themeColor="text1"/>
          <w:sz w:val="22"/>
          <w:szCs w:val="22"/>
          <w:lang w:val="fr-FR"/>
        </w:rPr>
        <w:t>gramme des Nations Unies pour l’</w:t>
      </w:r>
      <w:r w:rsidR="00642220" w:rsidRPr="005D062F">
        <w:rPr>
          <w:color w:val="000000" w:themeColor="text1"/>
          <w:sz w:val="22"/>
          <w:szCs w:val="22"/>
          <w:lang w:val="fr-FR"/>
        </w:rPr>
        <w:t>environnement (PNUE), afi</w:t>
      </w:r>
      <w:r w:rsidR="009211CD" w:rsidRPr="005D062F">
        <w:rPr>
          <w:color w:val="000000" w:themeColor="text1"/>
          <w:sz w:val="22"/>
          <w:szCs w:val="22"/>
          <w:lang w:val="fr-FR"/>
        </w:rPr>
        <w:t>n de favoriser la sécurité de l’</w:t>
      </w:r>
      <w:r w:rsidR="00642220" w:rsidRPr="005D062F">
        <w:rPr>
          <w:color w:val="000000" w:themeColor="text1"/>
          <w:sz w:val="22"/>
          <w:szCs w:val="22"/>
          <w:lang w:val="fr-FR"/>
        </w:rPr>
        <w:t xml:space="preserve">eau dans la région du Trifinio (El Salvador, Honduras et </w:t>
      </w:r>
      <w:r w:rsidR="001516E7" w:rsidRPr="005D062F">
        <w:rPr>
          <w:color w:val="000000" w:themeColor="text1"/>
          <w:sz w:val="22"/>
          <w:szCs w:val="22"/>
          <w:lang w:val="fr-FR"/>
        </w:rPr>
        <w:t>Guatemala).</w:t>
      </w:r>
    </w:p>
    <w:p w14:paraId="7C5E2F4C" w14:textId="77777777" w:rsidR="001516E7" w:rsidRPr="005D062F" w:rsidRDefault="001516E7" w:rsidP="00723DAD">
      <w:pPr>
        <w:rPr>
          <w:rFonts w:ascii="Times New Roman" w:hAnsi="Times New Roman" w:cs="Times New Roman"/>
          <w:color w:val="000000" w:themeColor="text1"/>
          <w:sz w:val="22"/>
          <w:szCs w:val="22"/>
          <w:lang w:val="fr-FR"/>
        </w:rPr>
      </w:pPr>
    </w:p>
    <w:p w14:paraId="444983D9" w14:textId="629880AB" w:rsidR="001516E7" w:rsidRPr="005D062F" w:rsidRDefault="001516E7" w:rsidP="00CB030B">
      <w:pPr>
        <w:pStyle w:val="ListParagraph"/>
        <w:numPr>
          <w:ilvl w:val="0"/>
          <w:numId w:val="14"/>
        </w:numPr>
        <w:ind w:left="1440" w:hanging="720"/>
        <w:jc w:val="both"/>
        <w:rPr>
          <w:color w:val="000000" w:themeColor="text1"/>
          <w:sz w:val="22"/>
          <w:szCs w:val="22"/>
          <w:lang w:val="fr-FR"/>
        </w:rPr>
      </w:pPr>
      <w:r w:rsidRPr="005D062F">
        <w:rPr>
          <w:color w:val="000000" w:themeColor="text1"/>
          <w:sz w:val="22"/>
          <w:szCs w:val="22"/>
          <w:lang w:val="fr-FR"/>
        </w:rPr>
        <w:t>I</w:t>
      </w:r>
      <w:r w:rsidR="00463CAB" w:rsidRPr="005D062F">
        <w:rPr>
          <w:color w:val="000000" w:themeColor="text1"/>
          <w:sz w:val="22"/>
          <w:szCs w:val="22"/>
          <w:lang w:val="fr-FR"/>
        </w:rPr>
        <w:t>l a mis en œuvre le programme d</w:t>
      </w:r>
      <w:r w:rsidR="00F03105" w:rsidRPr="005D062F">
        <w:rPr>
          <w:color w:val="000000" w:themeColor="text1"/>
          <w:sz w:val="22"/>
          <w:szCs w:val="22"/>
          <w:lang w:val="fr-FR"/>
        </w:rPr>
        <w:t>e renforcement des capacités « </w:t>
      </w:r>
      <w:r w:rsidR="00F03105" w:rsidRPr="005D062F">
        <w:rPr>
          <w:b/>
          <w:color w:val="000000" w:themeColor="text1"/>
          <w:sz w:val="22"/>
          <w:szCs w:val="22"/>
          <w:lang w:val="fr-FR"/>
        </w:rPr>
        <w:t>Action climatiqu</w:t>
      </w:r>
      <w:r w:rsidR="00463CAB" w:rsidRPr="005D062F">
        <w:rPr>
          <w:b/>
          <w:color w:val="000000" w:themeColor="text1"/>
          <w:sz w:val="22"/>
          <w:szCs w:val="22"/>
          <w:lang w:val="fr-FR"/>
        </w:rPr>
        <w:t>e</w:t>
      </w:r>
      <w:r w:rsidR="00F03105" w:rsidRPr="005D062F">
        <w:rPr>
          <w:b/>
          <w:color w:val="000000" w:themeColor="text1"/>
          <w:sz w:val="22"/>
          <w:szCs w:val="22"/>
          <w:lang w:val="fr-FR"/>
        </w:rPr>
        <w:t xml:space="preserve"> pour le développement en Amérique latine et dans les Caraïbes</w:t>
      </w:r>
      <w:r w:rsidR="00F03105" w:rsidRPr="005D062F">
        <w:rPr>
          <w:color w:val="000000" w:themeColor="text1"/>
          <w:sz w:val="22"/>
          <w:szCs w:val="22"/>
          <w:lang w:val="fr-FR"/>
        </w:rPr>
        <w:t xml:space="preserve"> » </w:t>
      </w:r>
      <w:r w:rsidR="00463CAB" w:rsidRPr="005D062F">
        <w:rPr>
          <w:color w:val="000000" w:themeColor="text1"/>
          <w:sz w:val="22"/>
          <w:szCs w:val="22"/>
          <w:lang w:val="fr-FR"/>
        </w:rPr>
        <w:t>destiné à environ 700 </w:t>
      </w:r>
      <w:r w:rsidRPr="005D062F">
        <w:rPr>
          <w:color w:val="000000" w:themeColor="text1"/>
          <w:sz w:val="22"/>
          <w:szCs w:val="22"/>
          <w:lang w:val="fr-FR"/>
        </w:rPr>
        <w:t>pe</w:t>
      </w:r>
      <w:r w:rsidR="009F0102" w:rsidRPr="005D062F">
        <w:rPr>
          <w:color w:val="000000" w:themeColor="text1"/>
          <w:sz w:val="22"/>
          <w:szCs w:val="22"/>
          <w:lang w:val="fr-FR"/>
        </w:rPr>
        <w:t xml:space="preserve">rsonnes </w:t>
      </w:r>
      <w:r w:rsidR="00463CAB" w:rsidRPr="005D062F">
        <w:rPr>
          <w:color w:val="000000" w:themeColor="text1"/>
          <w:sz w:val="22"/>
          <w:szCs w:val="22"/>
          <w:lang w:val="fr-FR"/>
        </w:rPr>
        <w:t xml:space="preserve">de </w:t>
      </w:r>
      <w:r w:rsidRPr="005D062F">
        <w:rPr>
          <w:color w:val="000000" w:themeColor="text1"/>
          <w:sz w:val="22"/>
          <w:szCs w:val="22"/>
          <w:lang w:val="fr-FR"/>
        </w:rPr>
        <w:t>23</w:t>
      </w:r>
      <w:r w:rsidR="00463CAB" w:rsidRPr="005D062F">
        <w:rPr>
          <w:color w:val="000000" w:themeColor="text1"/>
          <w:sz w:val="22"/>
          <w:szCs w:val="22"/>
          <w:lang w:val="fr-FR"/>
        </w:rPr>
        <w:t> États membres de l’OEA</w:t>
      </w:r>
      <w:r w:rsidRPr="005D062F">
        <w:rPr>
          <w:color w:val="000000" w:themeColor="text1"/>
          <w:sz w:val="22"/>
          <w:szCs w:val="22"/>
          <w:lang w:val="fr-FR"/>
        </w:rPr>
        <w:t xml:space="preserve"> (Argentin</w:t>
      </w:r>
      <w:r w:rsidR="00463CAB" w:rsidRPr="005D062F">
        <w:rPr>
          <w:color w:val="000000" w:themeColor="text1"/>
          <w:sz w:val="22"/>
          <w:szCs w:val="22"/>
          <w:lang w:val="fr-FR"/>
        </w:rPr>
        <w:t>e</w:t>
      </w:r>
      <w:r w:rsidRPr="005D062F">
        <w:rPr>
          <w:color w:val="000000" w:themeColor="text1"/>
          <w:sz w:val="22"/>
          <w:szCs w:val="22"/>
          <w:lang w:val="fr-FR"/>
        </w:rPr>
        <w:t>, Barbad</w:t>
      </w:r>
      <w:r w:rsidR="00463CAB" w:rsidRPr="005D062F">
        <w:rPr>
          <w:color w:val="000000" w:themeColor="text1"/>
          <w:sz w:val="22"/>
          <w:szCs w:val="22"/>
          <w:lang w:val="fr-FR"/>
        </w:rPr>
        <w:t>e</w:t>
      </w:r>
      <w:r w:rsidRPr="005D062F">
        <w:rPr>
          <w:color w:val="000000" w:themeColor="text1"/>
          <w:sz w:val="22"/>
          <w:szCs w:val="22"/>
          <w:lang w:val="fr-FR"/>
        </w:rPr>
        <w:t>, Br</w:t>
      </w:r>
      <w:r w:rsidR="00463CAB" w:rsidRPr="005D062F">
        <w:rPr>
          <w:color w:val="000000" w:themeColor="text1"/>
          <w:sz w:val="22"/>
          <w:szCs w:val="22"/>
          <w:lang w:val="fr-FR"/>
        </w:rPr>
        <w:t>és</w:t>
      </w:r>
      <w:r w:rsidRPr="005D062F">
        <w:rPr>
          <w:color w:val="000000" w:themeColor="text1"/>
          <w:sz w:val="22"/>
          <w:szCs w:val="22"/>
          <w:lang w:val="fr-FR"/>
        </w:rPr>
        <w:t>il, Chil</w:t>
      </w:r>
      <w:r w:rsidR="00463CAB" w:rsidRPr="005D062F">
        <w:rPr>
          <w:color w:val="000000" w:themeColor="text1"/>
          <w:sz w:val="22"/>
          <w:szCs w:val="22"/>
          <w:lang w:val="fr-FR"/>
        </w:rPr>
        <w:t>i</w:t>
      </w:r>
      <w:r w:rsidRPr="005D062F">
        <w:rPr>
          <w:color w:val="000000" w:themeColor="text1"/>
          <w:sz w:val="22"/>
          <w:szCs w:val="22"/>
          <w:lang w:val="fr-FR"/>
        </w:rPr>
        <w:t>, Colombi</w:t>
      </w:r>
      <w:r w:rsidR="00463CAB" w:rsidRPr="005D062F">
        <w:rPr>
          <w:color w:val="000000" w:themeColor="text1"/>
          <w:sz w:val="22"/>
          <w:szCs w:val="22"/>
          <w:lang w:val="fr-FR"/>
        </w:rPr>
        <w:t>e</w:t>
      </w:r>
      <w:r w:rsidRPr="005D062F">
        <w:rPr>
          <w:color w:val="000000" w:themeColor="text1"/>
          <w:sz w:val="22"/>
          <w:szCs w:val="22"/>
          <w:lang w:val="fr-FR"/>
        </w:rPr>
        <w:t xml:space="preserve">, Costa Rica, </w:t>
      </w:r>
      <w:r w:rsidR="00463CAB" w:rsidRPr="005D062F">
        <w:rPr>
          <w:color w:val="000000" w:themeColor="text1"/>
          <w:sz w:val="22"/>
          <w:szCs w:val="22"/>
          <w:lang w:val="fr-FR"/>
        </w:rPr>
        <w:t>République dominicaine</w:t>
      </w:r>
      <w:r w:rsidRPr="005D062F">
        <w:rPr>
          <w:color w:val="000000" w:themeColor="text1"/>
          <w:sz w:val="22"/>
          <w:szCs w:val="22"/>
          <w:lang w:val="fr-FR"/>
        </w:rPr>
        <w:t xml:space="preserve">, </w:t>
      </w:r>
      <w:r w:rsidR="00463CAB" w:rsidRPr="005D062F">
        <w:rPr>
          <w:color w:val="000000" w:themeColor="text1"/>
          <w:sz w:val="22"/>
          <w:szCs w:val="22"/>
          <w:lang w:val="fr-FR"/>
        </w:rPr>
        <w:t>Éq</w:t>
      </w:r>
      <w:r w:rsidRPr="005D062F">
        <w:rPr>
          <w:color w:val="000000" w:themeColor="text1"/>
          <w:sz w:val="22"/>
          <w:szCs w:val="22"/>
          <w:lang w:val="fr-FR"/>
        </w:rPr>
        <w:t>ua</w:t>
      </w:r>
      <w:r w:rsidR="00463CAB" w:rsidRPr="005D062F">
        <w:rPr>
          <w:color w:val="000000" w:themeColor="text1"/>
          <w:sz w:val="22"/>
          <w:szCs w:val="22"/>
          <w:lang w:val="fr-FR"/>
        </w:rPr>
        <w:t>teur, El Salvador, États-Unis, Guyana, Haïti, Honduras, Mexique</w:t>
      </w:r>
      <w:r w:rsidRPr="005D062F">
        <w:rPr>
          <w:color w:val="000000" w:themeColor="text1"/>
          <w:sz w:val="22"/>
          <w:szCs w:val="22"/>
          <w:lang w:val="fr-FR"/>
        </w:rPr>
        <w:t>, Nicaragua, Panama, Paraguay, P</w:t>
      </w:r>
      <w:r w:rsidR="00463CAB" w:rsidRPr="005D062F">
        <w:rPr>
          <w:color w:val="000000" w:themeColor="text1"/>
          <w:sz w:val="22"/>
          <w:szCs w:val="22"/>
          <w:lang w:val="fr-FR"/>
        </w:rPr>
        <w:t>é</w:t>
      </w:r>
      <w:r w:rsidRPr="005D062F">
        <w:rPr>
          <w:color w:val="000000" w:themeColor="text1"/>
          <w:sz w:val="22"/>
          <w:szCs w:val="22"/>
          <w:lang w:val="fr-FR"/>
        </w:rPr>
        <w:t>r</w:t>
      </w:r>
      <w:r w:rsidR="00463CAB" w:rsidRPr="005D062F">
        <w:rPr>
          <w:color w:val="000000" w:themeColor="text1"/>
          <w:sz w:val="22"/>
          <w:szCs w:val="22"/>
          <w:lang w:val="fr-FR"/>
        </w:rPr>
        <w:t>ou, Sainte-Lucie, Saint-Vincent-et-</w:t>
      </w:r>
      <w:r w:rsidRPr="005D062F">
        <w:rPr>
          <w:color w:val="000000" w:themeColor="text1"/>
          <w:sz w:val="22"/>
          <w:szCs w:val="22"/>
          <w:lang w:val="fr-FR"/>
        </w:rPr>
        <w:t>Gre</w:t>
      </w:r>
      <w:r w:rsidR="00463CAB" w:rsidRPr="005D062F">
        <w:rPr>
          <w:color w:val="000000" w:themeColor="text1"/>
          <w:sz w:val="22"/>
          <w:szCs w:val="22"/>
          <w:lang w:val="fr-FR"/>
        </w:rPr>
        <w:t xml:space="preserve">nadines, Suriname, Trinité-et-Tobago et </w:t>
      </w:r>
      <w:r w:rsidRPr="005D062F">
        <w:rPr>
          <w:color w:val="000000" w:themeColor="text1"/>
          <w:sz w:val="22"/>
          <w:szCs w:val="22"/>
          <w:lang w:val="fr-FR"/>
        </w:rPr>
        <w:t>Uruguay).</w:t>
      </w:r>
      <w:r w:rsidRPr="005D062F">
        <w:rPr>
          <w:sz w:val="22"/>
          <w:szCs w:val="22"/>
          <w:lang w:val="fr-FR"/>
        </w:rPr>
        <w:t xml:space="preserve"> </w:t>
      </w:r>
      <w:r w:rsidR="00F03105" w:rsidRPr="005D062F">
        <w:rPr>
          <w:sz w:val="22"/>
          <w:szCs w:val="22"/>
          <w:lang w:val="fr-FR"/>
        </w:rPr>
        <w:t xml:space="preserve">Ce programme a été proposé </w:t>
      </w:r>
      <w:r w:rsidR="002B74BB" w:rsidRPr="005D062F">
        <w:rPr>
          <w:sz w:val="22"/>
          <w:szCs w:val="22"/>
          <w:lang w:val="fr-FR"/>
        </w:rPr>
        <w:t xml:space="preserve">gratuitement </w:t>
      </w:r>
      <w:r w:rsidR="00F03105" w:rsidRPr="005D062F">
        <w:rPr>
          <w:sz w:val="22"/>
          <w:szCs w:val="22"/>
          <w:lang w:val="fr-FR"/>
        </w:rPr>
        <w:t>aux groupes</w:t>
      </w:r>
      <w:r w:rsidR="002B74BB" w:rsidRPr="005D062F">
        <w:rPr>
          <w:sz w:val="22"/>
          <w:szCs w:val="22"/>
          <w:lang w:val="fr-FR"/>
        </w:rPr>
        <w:t xml:space="preserve"> de négociateurs en changements climatiques, décideurs et représentants d’institutions publiques possédant des compétences </w:t>
      </w:r>
      <w:r w:rsidR="00355389" w:rsidRPr="005D062F">
        <w:rPr>
          <w:sz w:val="22"/>
          <w:szCs w:val="22"/>
          <w:lang w:val="fr-FR"/>
        </w:rPr>
        <w:t xml:space="preserve">dans les domaines environnemental et climatique </w:t>
      </w:r>
      <w:r w:rsidR="002B74BB" w:rsidRPr="005D062F">
        <w:rPr>
          <w:sz w:val="22"/>
          <w:szCs w:val="22"/>
          <w:lang w:val="fr-FR"/>
        </w:rPr>
        <w:t>dans les pays d’Amérique latine et des Caraïbes</w:t>
      </w:r>
      <w:r w:rsidR="00355389" w:rsidRPr="005D062F">
        <w:rPr>
          <w:sz w:val="22"/>
          <w:szCs w:val="22"/>
          <w:lang w:val="fr-FR"/>
        </w:rPr>
        <w:t xml:space="preserve"> selon deux cycles de mise en œuvre</w:t>
      </w:r>
      <w:r w:rsidRPr="005D062F">
        <w:rPr>
          <w:color w:val="000000" w:themeColor="text1"/>
          <w:sz w:val="22"/>
          <w:szCs w:val="22"/>
          <w:lang w:val="fr-FR"/>
        </w:rPr>
        <w:t>.</w:t>
      </w:r>
    </w:p>
    <w:p w14:paraId="535404CE" w14:textId="77777777" w:rsidR="001516E7" w:rsidRPr="005D062F" w:rsidRDefault="001516E7" w:rsidP="00723DAD">
      <w:pPr>
        <w:rPr>
          <w:rFonts w:ascii="Times New Roman" w:hAnsi="Times New Roman" w:cs="Times New Roman"/>
          <w:color w:val="000000" w:themeColor="text1"/>
          <w:sz w:val="22"/>
          <w:szCs w:val="22"/>
          <w:highlight w:val="yellow"/>
          <w:lang w:val="fr-FR"/>
        </w:rPr>
      </w:pPr>
    </w:p>
    <w:p w14:paraId="59493F08" w14:textId="04950260" w:rsidR="001516E7" w:rsidRPr="005D062F" w:rsidRDefault="00AD5D34" w:rsidP="00CB030B">
      <w:pPr>
        <w:pStyle w:val="ListParagraph"/>
        <w:numPr>
          <w:ilvl w:val="0"/>
          <w:numId w:val="14"/>
        </w:numPr>
        <w:ind w:left="1440" w:hanging="720"/>
        <w:jc w:val="both"/>
        <w:rPr>
          <w:color w:val="000000" w:themeColor="text1"/>
          <w:sz w:val="22"/>
          <w:szCs w:val="22"/>
          <w:lang w:val="fr-FR"/>
        </w:rPr>
      </w:pPr>
      <w:r w:rsidRPr="005D062F">
        <w:rPr>
          <w:color w:val="000000" w:themeColor="text1"/>
          <w:sz w:val="22"/>
          <w:szCs w:val="22"/>
          <w:lang w:val="fr-FR"/>
        </w:rPr>
        <w:t>Il a achevé l’exécution du projet du bassin de</w:t>
      </w:r>
      <w:r w:rsidR="001516E7" w:rsidRPr="005D062F">
        <w:rPr>
          <w:color w:val="000000" w:themeColor="text1"/>
          <w:sz w:val="22"/>
          <w:szCs w:val="22"/>
          <w:lang w:val="fr-FR"/>
        </w:rPr>
        <w:t xml:space="preserve"> </w:t>
      </w:r>
      <w:r w:rsidR="00A81285" w:rsidRPr="005D062F">
        <w:rPr>
          <w:i/>
          <w:iCs/>
          <w:color w:val="000000" w:themeColor="text1"/>
          <w:sz w:val="22"/>
          <w:szCs w:val="22"/>
          <w:lang w:val="fr-FR"/>
        </w:rPr>
        <w:t>La Plata</w:t>
      </w:r>
      <w:r w:rsidR="001516E7" w:rsidRPr="005D062F">
        <w:rPr>
          <w:color w:val="000000" w:themeColor="text1"/>
          <w:sz w:val="22"/>
          <w:szCs w:val="22"/>
          <w:lang w:val="fr-FR"/>
        </w:rPr>
        <w:t xml:space="preserve"> (Argentin</w:t>
      </w:r>
      <w:r w:rsidRPr="005D062F">
        <w:rPr>
          <w:color w:val="000000" w:themeColor="text1"/>
          <w:sz w:val="22"/>
          <w:szCs w:val="22"/>
          <w:lang w:val="fr-FR"/>
        </w:rPr>
        <w:t>e</w:t>
      </w:r>
      <w:r w:rsidR="001516E7" w:rsidRPr="005D062F">
        <w:rPr>
          <w:color w:val="000000" w:themeColor="text1"/>
          <w:sz w:val="22"/>
          <w:szCs w:val="22"/>
          <w:lang w:val="fr-FR"/>
        </w:rPr>
        <w:t>, Bolivi</w:t>
      </w:r>
      <w:r w:rsidRPr="005D062F">
        <w:rPr>
          <w:color w:val="000000" w:themeColor="text1"/>
          <w:sz w:val="22"/>
          <w:szCs w:val="22"/>
          <w:lang w:val="fr-FR"/>
        </w:rPr>
        <w:t>e</w:t>
      </w:r>
      <w:r w:rsidR="001516E7" w:rsidRPr="005D062F">
        <w:rPr>
          <w:color w:val="000000" w:themeColor="text1"/>
          <w:sz w:val="22"/>
          <w:szCs w:val="22"/>
          <w:lang w:val="fr-FR"/>
        </w:rPr>
        <w:t>, Br</w:t>
      </w:r>
      <w:r w:rsidRPr="005D062F">
        <w:rPr>
          <w:color w:val="000000" w:themeColor="text1"/>
          <w:sz w:val="22"/>
          <w:szCs w:val="22"/>
          <w:lang w:val="fr-FR"/>
        </w:rPr>
        <w:t>ésil, Uruguay et</w:t>
      </w:r>
      <w:r w:rsidR="001516E7" w:rsidRPr="005D062F">
        <w:rPr>
          <w:color w:val="000000" w:themeColor="text1"/>
          <w:sz w:val="22"/>
          <w:szCs w:val="22"/>
          <w:lang w:val="fr-FR"/>
        </w:rPr>
        <w:t xml:space="preserve"> Paraguay), </w:t>
      </w:r>
      <w:r w:rsidRPr="005D062F">
        <w:rPr>
          <w:color w:val="000000" w:themeColor="text1"/>
          <w:sz w:val="22"/>
          <w:szCs w:val="22"/>
          <w:lang w:val="fr-FR"/>
        </w:rPr>
        <w:t>élaboré grâce à une subvention de 2 millions USD obtenue du FEM par le biais de la Société andine de développement (SAD)</w:t>
      </w:r>
      <w:r w:rsidR="001516E7" w:rsidRPr="005D062F">
        <w:rPr>
          <w:color w:val="000000" w:themeColor="text1"/>
          <w:sz w:val="22"/>
          <w:szCs w:val="22"/>
          <w:lang w:val="fr-FR"/>
        </w:rPr>
        <w:t xml:space="preserve"> </w:t>
      </w:r>
      <w:r w:rsidR="00A81285" w:rsidRPr="005D062F">
        <w:rPr>
          <w:color w:val="000000" w:themeColor="text1"/>
          <w:sz w:val="22"/>
          <w:szCs w:val="22"/>
          <w:lang w:val="fr-FR"/>
        </w:rPr>
        <w:t>pour la mise en œuvre du Plan d’</w:t>
      </w:r>
      <w:r w:rsidRPr="005D062F">
        <w:rPr>
          <w:color w:val="000000" w:themeColor="text1"/>
          <w:sz w:val="22"/>
          <w:szCs w:val="22"/>
          <w:lang w:val="fr-FR"/>
        </w:rPr>
        <w:t>a</w:t>
      </w:r>
      <w:r w:rsidR="00A81285" w:rsidRPr="005D062F">
        <w:rPr>
          <w:color w:val="000000" w:themeColor="text1"/>
          <w:sz w:val="22"/>
          <w:szCs w:val="22"/>
          <w:lang w:val="fr-FR"/>
        </w:rPr>
        <w:t>ction stratégique (PAS), afin d’</w:t>
      </w:r>
      <w:r w:rsidRPr="005D062F">
        <w:rPr>
          <w:color w:val="000000" w:themeColor="text1"/>
          <w:sz w:val="22"/>
          <w:szCs w:val="22"/>
          <w:lang w:val="fr-FR"/>
        </w:rPr>
        <w:t>accélérer les activités dans les domaines p</w:t>
      </w:r>
      <w:r w:rsidR="00A81285" w:rsidRPr="005D062F">
        <w:rPr>
          <w:color w:val="000000" w:themeColor="text1"/>
          <w:sz w:val="22"/>
          <w:szCs w:val="22"/>
          <w:lang w:val="fr-FR"/>
        </w:rPr>
        <w:t>rioritaires de la sécurité de l’</w:t>
      </w:r>
      <w:r w:rsidRPr="005D062F">
        <w:rPr>
          <w:color w:val="000000" w:themeColor="text1"/>
          <w:sz w:val="22"/>
          <w:szCs w:val="22"/>
          <w:lang w:val="fr-FR"/>
        </w:rPr>
        <w:t>eau, de la résilience climatique et de la santé des écosystème</w:t>
      </w:r>
      <w:r w:rsidR="00A81285" w:rsidRPr="005D062F">
        <w:rPr>
          <w:color w:val="000000" w:themeColor="text1"/>
          <w:sz w:val="22"/>
          <w:szCs w:val="22"/>
          <w:lang w:val="fr-FR"/>
        </w:rPr>
        <w:t>s, y compris le développement d’</w:t>
      </w:r>
      <w:r w:rsidRPr="005D062F">
        <w:rPr>
          <w:color w:val="000000" w:themeColor="text1"/>
          <w:sz w:val="22"/>
          <w:szCs w:val="22"/>
          <w:lang w:val="fr-FR"/>
        </w:rPr>
        <w:t>un portefeuille</w:t>
      </w:r>
      <w:r w:rsidR="00A81285" w:rsidRPr="005D062F">
        <w:rPr>
          <w:color w:val="000000" w:themeColor="text1"/>
          <w:sz w:val="22"/>
          <w:szCs w:val="22"/>
          <w:lang w:val="fr-FR"/>
        </w:rPr>
        <w:t xml:space="preserve"> de projets multisectoriels à l’</w:t>
      </w:r>
      <w:r w:rsidRPr="005D062F">
        <w:rPr>
          <w:color w:val="000000" w:themeColor="text1"/>
          <w:sz w:val="22"/>
          <w:szCs w:val="22"/>
          <w:lang w:val="fr-FR"/>
        </w:rPr>
        <w:t>échelle du bassin dans le court terme</w:t>
      </w:r>
      <w:r w:rsidR="00C175C9" w:rsidRPr="005D062F">
        <w:rPr>
          <w:color w:val="000000" w:themeColor="text1"/>
          <w:sz w:val="22"/>
          <w:szCs w:val="22"/>
          <w:lang w:val="fr-FR"/>
        </w:rPr>
        <w:t>.</w:t>
      </w:r>
    </w:p>
    <w:p w14:paraId="6A03FAD5" w14:textId="77777777" w:rsidR="001516E7" w:rsidRPr="005D062F" w:rsidRDefault="001516E7" w:rsidP="00723DAD">
      <w:pPr>
        <w:rPr>
          <w:rFonts w:ascii="Times New Roman" w:hAnsi="Times New Roman" w:cs="Times New Roman"/>
          <w:color w:val="000000" w:themeColor="text1"/>
          <w:sz w:val="22"/>
          <w:szCs w:val="22"/>
          <w:lang w:val="fr-FR"/>
        </w:rPr>
      </w:pPr>
    </w:p>
    <w:p w14:paraId="35BAB0EB" w14:textId="0A34C04A" w:rsidR="001516E7" w:rsidRPr="005D062F" w:rsidRDefault="009211CD" w:rsidP="00CB030B">
      <w:pPr>
        <w:pStyle w:val="ListParagraph"/>
        <w:numPr>
          <w:ilvl w:val="0"/>
          <w:numId w:val="14"/>
        </w:numPr>
        <w:ind w:left="1440" w:hanging="720"/>
        <w:jc w:val="both"/>
        <w:rPr>
          <w:color w:val="000000" w:themeColor="text1"/>
          <w:sz w:val="22"/>
          <w:szCs w:val="22"/>
          <w:lang w:val="fr-FR"/>
        </w:rPr>
      </w:pPr>
      <w:r w:rsidRPr="005D062F">
        <w:rPr>
          <w:color w:val="000000" w:themeColor="text1"/>
          <w:sz w:val="22"/>
          <w:szCs w:val="22"/>
          <w:lang w:val="fr-FR"/>
        </w:rPr>
        <w:t xml:space="preserve">Il a élaboré une nouvelle phase de projet pour la mise en œuvre des priorités du PAS </w:t>
      </w:r>
      <w:r w:rsidR="00931221" w:rsidRPr="005D062F">
        <w:rPr>
          <w:color w:val="000000" w:themeColor="text1"/>
          <w:sz w:val="22"/>
          <w:szCs w:val="22"/>
          <w:lang w:val="fr-FR"/>
        </w:rPr>
        <w:t>concernant</w:t>
      </w:r>
      <w:r w:rsidRPr="005D062F">
        <w:rPr>
          <w:color w:val="000000" w:themeColor="text1"/>
          <w:sz w:val="22"/>
          <w:szCs w:val="22"/>
          <w:lang w:val="fr-FR"/>
        </w:rPr>
        <w:t xml:space="preserve"> le bassin de </w:t>
      </w:r>
      <w:r w:rsidR="001516E7" w:rsidRPr="005D062F">
        <w:rPr>
          <w:i/>
          <w:iCs/>
          <w:color w:val="000000" w:themeColor="text1"/>
          <w:sz w:val="22"/>
          <w:szCs w:val="22"/>
          <w:lang w:val="fr-FR"/>
        </w:rPr>
        <w:t xml:space="preserve">La Plata </w:t>
      </w:r>
      <w:r w:rsidR="006260A0" w:rsidRPr="005D062F">
        <w:rPr>
          <w:color w:val="000000" w:themeColor="text1"/>
          <w:sz w:val="22"/>
          <w:szCs w:val="22"/>
          <w:lang w:val="fr-FR"/>
        </w:rPr>
        <w:t xml:space="preserve">grâce à des </w:t>
      </w:r>
      <w:r w:rsidRPr="005D062F">
        <w:rPr>
          <w:color w:val="000000" w:themeColor="text1"/>
          <w:sz w:val="22"/>
          <w:szCs w:val="22"/>
          <w:lang w:val="fr-FR"/>
        </w:rPr>
        <w:t xml:space="preserve">activités régionales et nationales, qui ont été présentées </w:t>
      </w:r>
      <w:r w:rsidR="006260A0" w:rsidRPr="005D062F">
        <w:rPr>
          <w:color w:val="000000" w:themeColor="text1"/>
          <w:sz w:val="22"/>
          <w:szCs w:val="22"/>
          <w:lang w:val="fr-FR"/>
        </w:rPr>
        <w:t xml:space="preserve">au FEM par le biais de la SAD pour un montant de 15 millions USD à </w:t>
      </w:r>
      <w:r w:rsidR="00931221" w:rsidRPr="005D062F">
        <w:rPr>
          <w:color w:val="000000" w:themeColor="text1"/>
          <w:sz w:val="22"/>
          <w:szCs w:val="22"/>
          <w:lang w:val="fr-FR"/>
        </w:rPr>
        <w:t>des fins d’exécution</w:t>
      </w:r>
      <w:r w:rsidR="006260A0" w:rsidRPr="005D062F">
        <w:rPr>
          <w:color w:val="000000" w:themeColor="text1"/>
          <w:sz w:val="22"/>
          <w:szCs w:val="22"/>
          <w:lang w:val="fr-FR"/>
        </w:rPr>
        <w:t xml:space="preserve"> entre 2023 </w:t>
      </w:r>
      <w:r w:rsidR="00931221" w:rsidRPr="005D062F">
        <w:rPr>
          <w:color w:val="000000" w:themeColor="text1"/>
          <w:sz w:val="22"/>
          <w:szCs w:val="22"/>
          <w:lang w:val="fr-FR"/>
        </w:rPr>
        <w:t>et 2028</w:t>
      </w:r>
      <w:r w:rsidR="001516E7" w:rsidRPr="005D062F">
        <w:rPr>
          <w:color w:val="000000" w:themeColor="text1"/>
          <w:sz w:val="22"/>
          <w:szCs w:val="22"/>
          <w:lang w:val="fr-FR"/>
        </w:rPr>
        <w:t>.</w:t>
      </w:r>
    </w:p>
    <w:p w14:paraId="562204A8" w14:textId="77777777" w:rsidR="001516E7" w:rsidRPr="005D062F" w:rsidRDefault="001516E7" w:rsidP="00723DAD">
      <w:pPr>
        <w:rPr>
          <w:rFonts w:ascii="Times New Roman" w:hAnsi="Times New Roman" w:cs="Times New Roman"/>
          <w:color w:val="000000" w:themeColor="text1"/>
          <w:sz w:val="22"/>
          <w:szCs w:val="22"/>
          <w:lang w:val="fr-FR"/>
        </w:rPr>
      </w:pPr>
    </w:p>
    <w:p w14:paraId="72198056" w14:textId="14FF0345" w:rsidR="001516E7" w:rsidRPr="005D062F" w:rsidRDefault="00043366" w:rsidP="00CB030B">
      <w:pPr>
        <w:pStyle w:val="ListParagraph"/>
        <w:numPr>
          <w:ilvl w:val="0"/>
          <w:numId w:val="14"/>
        </w:numPr>
        <w:ind w:left="1440" w:hanging="720"/>
        <w:jc w:val="both"/>
        <w:rPr>
          <w:color w:val="000000" w:themeColor="text1"/>
          <w:sz w:val="22"/>
          <w:szCs w:val="22"/>
          <w:lang w:val="fr-FR"/>
        </w:rPr>
      </w:pPr>
      <w:r w:rsidRPr="005D062F">
        <w:rPr>
          <w:color w:val="000000" w:themeColor="text1"/>
          <w:sz w:val="22"/>
          <w:szCs w:val="22"/>
          <w:lang w:val="fr-FR"/>
        </w:rPr>
        <w:t xml:space="preserve">Il a élaboré </w:t>
      </w:r>
      <w:r w:rsidR="00563566" w:rsidRPr="005D062F">
        <w:rPr>
          <w:color w:val="000000" w:themeColor="text1"/>
          <w:sz w:val="22"/>
          <w:szCs w:val="22"/>
          <w:lang w:val="fr-FR"/>
        </w:rPr>
        <w:t>le descriptif de projet et le plan de mise en œuvre du « </w:t>
      </w:r>
      <w:r w:rsidR="001516E7" w:rsidRPr="005D062F">
        <w:rPr>
          <w:b/>
          <w:bCs/>
          <w:color w:val="000000" w:themeColor="text1"/>
          <w:sz w:val="22"/>
          <w:szCs w:val="22"/>
          <w:lang w:val="fr-FR"/>
        </w:rPr>
        <w:t xml:space="preserve">Projet </w:t>
      </w:r>
      <w:r w:rsidR="00563566" w:rsidRPr="005D062F">
        <w:rPr>
          <w:rFonts w:eastAsia="Times New Roman"/>
          <w:b/>
          <w:color w:val="000000"/>
          <w:sz w:val="22"/>
          <w:szCs w:val="22"/>
          <w:lang w:val="fr-FR"/>
        </w:rPr>
        <w:t>pour la gestion durable et la résilience au climat des écosystèmes des Hautes Andes</w:t>
      </w:r>
      <w:r w:rsidR="00563566" w:rsidRPr="005D062F">
        <w:rPr>
          <w:rFonts w:eastAsia="Times New Roman"/>
          <w:color w:val="000000"/>
          <w:sz w:val="22"/>
          <w:szCs w:val="22"/>
          <w:lang w:val="fr-FR"/>
        </w:rPr>
        <w:t xml:space="preserve"> », </w:t>
      </w:r>
      <w:r w:rsidRPr="005D062F">
        <w:rPr>
          <w:rFonts w:eastAsia="Times New Roman"/>
          <w:color w:val="000000"/>
          <w:sz w:val="22"/>
          <w:szCs w:val="22"/>
          <w:lang w:val="fr-FR"/>
        </w:rPr>
        <w:t>une initiative régionale</w:t>
      </w:r>
      <w:r w:rsidR="001516E7" w:rsidRPr="005D062F">
        <w:rPr>
          <w:color w:val="000000" w:themeColor="text1"/>
          <w:sz w:val="22"/>
          <w:szCs w:val="22"/>
          <w:lang w:val="fr-FR"/>
        </w:rPr>
        <w:t xml:space="preserve"> (Bolivi</w:t>
      </w:r>
      <w:r w:rsidRPr="005D062F">
        <w:rPr>
          <w:color w:val="000000" w:themeColor="text1"/>
          <w:sz w:val="22"/>
          <w:szCs w:val="22"/>
          <w:lang w:val="fr-FR"/>
        </w:rPr>
        <w:t>e</w:t>
      </w:r>
      <w:r w:rsidR="001516E7" w:rsidRPr="005D062F">
        <w:rPr>
          <w:color w:val="000000" w:themeColor="text1"/>
          <w:sz w:val="22"/>
          <w:szCs w:val="22"/>
          <w:lang w:val="fr-FR"/>
        </w:rPr>
        <w:t>, Colombi</w:t>
      </w:r>
      <w:r w:rsidRPr="005D062F">
        <w:rPr>
          <w:color w:val="000000" w:themeColor="text1"/>
          <w:sz w:val="22"/>
          <w:szCs w:val="22"/>
          <w:lang w:val="fr-FR"/>
        </w:rPr>
        <w:t>e</w:t>
      </w:r>
      <w:r w:rsidR="001516E7" w:rsidRPr="005D062F">
        <w:rPr>
          <w:color w:val="000000" w:themeColor="text1"/>
          <w:sz w:val="22"/>
          <w:szCs w:val="22"/>
          <w:lang w:val="fr-FR"/>
        </w:rPr>
        <w:t xml:space="preserve">, </w:t>
      </w:r>
      <w:r w:rsidRPr="005D062F">
        <w:rPr>
          <w:color w:val="000000" w:themeColor="text1"/>
          <w:sz w:val="22"/>
          <w:szCs w:val="22"/>
          <w:lang w:val="fr-FR"/>
        </w:rPr>
        <w:t>Éq</w:t>
      </w:r>
      <w:r w:rsidR="001516E7" w:rsidRPr="005D062F">
        <w:rPr>
          <w:color w:val="000000" w:themeColor="text1"/>
          <w:sz w:val="22"/>
          <w:szCs w:val="22"/>
          <w:lang w:val="fr-FR"/>
        </w:rPr>
        <w:t>ua</w:t>
      </w:r>
      <w:r w:rsidRPr="005D062F">
        <w:rPr>
          <w:color w:val="000000" w:themeColor="text1"/>
          <w:sz w:val="22"/>
          <w:szCs w:val="22"/>
          <w:lang w:val="fr-FR"/>
        </w:rPr>
        <w:t>teur et Pé</w:t>
      </w:r>
      <w:r w:rsidR="001516E7" w:rsidRPr="005D062F">
        <w:rPr>
          <w:color w:val="000000" w:themeColor="text1"/>
          <w:sz w:val="22"/>
          <w:szCs w:val="22"/>
          <w:lang w:val="fr-FR"/>
        </w:rPr>
        <w:t>r</w:t>
      </w:r>
      <w:r w:rsidRPr="005D062F">
        <w:rPr>
          <w:color w:val="000000" w:themeColor="text1"/>
          <w:sz w:val="22"/>
          <w:szCs w:val="22"/>
          <w:lang w:val="fr-FR"/>
        </w:rPr>
        <w:t>o</w:t>
      </w:r>
      <w:r w:rsidR="001516E7" w:rsidRPr="005D062F">
        <w:rPr>
          <w:color w:val="000000" w:themeColor="text1"/>
          <w:sz w:val="22"/>
          <w:szCs w:val="22"/>
          <w:lang w:val="fr-FR"/>
        </w:rPr>
        <w:t xml:space="preserve">u) </w:t>
      </w:r>
      <w:r w:rsidRPr="005D062F">
        <w:rPr>
          <w:color w:val="000000" w:themeColor="text1"/>
          <w:sz w:val="22"/>
          <w:szCs w:val="22"/>
          <w:lang w:val="fr-FR"/>
        </w:rPr>
        <w:t>dotée d’une contribution de 5 </w:t>
      </w:r>
      <w:r w:rsidR="001516E7" w:rsidRPr="005D062F">
        <w:rPr>
          <w:color w:val="000000" w:themeColor="text1"/>
          <w:sz w:val="22"/>
          <w:szCs w:val="22"/>
          <w:lang w:val="fr-FR"/>
        </w:rPr>
        <w:t>million</w:t>
      </w:r>
      <w:r w:rsidRPr="005D062F">
        <w:rPr>
          <w:color w:val="000000" w:themeColor="text1"/>
          <w:sz w:val="22"/>
          <w:szCs w:val="22"/>
          <w:lang w:val="fr-FR"/>
        </w:rPr>
        <w:t xml:space="preserve">s USD </w:t>
      </w:r>
      <w:r w:rsidRPr="005D062F">
        <w:rPr>
          <w:rFonts w:eastAsia="Times New Roman"/>
          <w:color w:val="000000"/>
          <w:sz w:val="22"/>
          <w:szCs w:val="22"/>
          <w:lang w:val="fr-FR"/>
        </w:rPr>
        <w:t xml:space="preserve">de la Direction suisse du développement et de la coopération (DDC), qui doit être mise en œuvre entre </w:t>
      </w:r>
      <w:r w:rsidRPr="005D062F">
        <w:rPr>
          <w:color w:val="000000" w:themeColor="text1"/>
          <w:sz w:val="22"/>
          <w:szCs w:val="22"/>
          <w:lang w:val="fr-FR"/>
        </w:rPr>
        <w:t xml:space="preserve">2023 et </w:t>
      </w:r>
      <w:r w:rsidR="001516E7" w:rsidRPr="005D062F">
        <w:rPr>
          <w:color w:val="000000" w:themeColor="text1"/>
          <w:sz w:val="22"/>
          <w:szCs w:val="22"/>
          <w:lang w:val="fr-FR"/>
        </w:rPr>
        <w:t>2028.</w:t>
      </w:r>
    </w:p>
    <w:p w14:paraId="575D653E" w14:textId="77777777" w:rsidR="001516E7" w:rsidRPr="005D062F" w:rsidRDefault="001516E7" w:rsidP="00723DAD">
      <w:pPr>
        <w:rPr>
          <w:rFonts w:ascii="Times New Roman" w:hAnsi="Times New Roman" w:cs="Times New Roman"/>
          <w:color w:val="000000" w:themeColor="text1"/>
          <w:sz w:val="22"/>
          <w:szCs w:val="22"/>
          <w:lang w:val="fr-FR"/>
        </w:rPr>
      </w:pPr>
    </w:p>
    <w:p w14:paraId="3501DB0F" w14:textId="2894542E" w:rsidR="001516E7" w:rsidRPr="005D062F" w:rsidRDefault="007C5027" w:rsidP="00CB030B">
      <w:pPr>
        <w:pStyle w:val="ListParagraph"/>
        <w:numPr>
          <w:ilvl w:val="0"/>
          <w:numId w:val="14"/>
        </w:numPr>
        <w:ind w:left="1440" w:hanging="720"/>
        <w:contextualSpacing/>
        <w:jc w:val="both"/>
        <w:rPr>
          <w:color w:val="000000" w:themeColor="text1"/>
          <w:sz w:val="22"/>
          <w:szCs w:val="22"/>
          <w:lang w:val="fr-FR"/>
        </w:rPr>
      </w:pPr>
      <w:r w:rsidRPr="005D062F">
        <w:rPr>
          <w:color w:val="000000" w:themeColor="text1"/>
          <w:sz w:val="22"/>
          <w:szCs w:val="22"/>
          <w:lang w:val="fr-FR"/>
        </w:rPr>
        <w:t xml:space="preserve">Il a démarré l’exécution d’une nouvelle activité de projet pour promouvoir </w:t>
      </w:r>
      <w:r w:rsidR="007F35F6" w:rsidRPr="005D062F">
        <w:rPr>
          <w:color w:val="000000" w:themeColor="text1"/>
          <w:sz w:val="22"/>
          <w:szCs w:val="22"/>
          <w:lang w:val="fr-FR"/>
        </w:rPr>
        <w:t xml:space="preserve">la </w:t>
      </w:r>
      <w:r w:rsidR="007F35F6" w:rsidRPr="005D062F">
        <w:rPr>
          <w:b/>
          <w:color w:val="000000" w:themeColor="text1"/>
          <w:sz w:val="22"/>
          <w:szCs w:val="22"/>
          <w:lang w:val="fr-FR"/>
        </w:rPr>
        <w:t>résilience face au manque d’eau pour la prise en compte de la sécheresse dans le département du Nord-Est d’Haïti</w:t>
      </w:r>
      <w:r w:rsidR="007F35F6" w:rsidRPr="005D062F">
        <w:rPr>
          <w:color w:val="000000" w:themeColor="text1"/>
          <w:sz w:val="22"/>
          <w:szCs w:val="22"/>
          <w:lang w:val="fr-FR"/>
        </w:rPr>
        <w:t>.</w:t>
      </w:r>
      <w:r w:rsidR="001516E7" w:rsidRPr="005D062F">
        <w:rPr>
          <w:color w:val="000000" w:themeColor="text1"/>
          <w:sz w:val="22"/>
          <w:szCs w:val="22"/>
          <w:lang w:val="fr-FR"/>
        </w:rPr>
        <w:t xml:space="preserve"> </w:t>
      </w:r>
      <w:r w:rsidRPr="005D062F">
        <w:rPr>
          <w:color w:val="000000" w:themeColor="text1"/>
          <w:sz w:val="22"/>
          <w:szCs w:val="22"/>
          <w:lang w:val="fr-FR"/>
        </w:rPr>
        <w:t>Cette activité permet d’assurer le suivi de la coopération continue entre l’OEA, la FUPAD et l’</w:t>
      </w:r>
      <w:r w:rsidR="001516E7" w:rsidRPr="005D062F">
        <w:rPr>
          <w:color w:val="000000" w:themeColor="text1"/>
          <w:sz w:val="22"/>
          <w:szCs w:val="22"/>
          <w:lang w:val="fr-FR"/>
        </w:rPr>
        <w:t>USAID</w:t>
      </w:r>
      <w:r w:rsidR="00C175C9" w:rsidRPr="005D062F">
        <w:rPr>
          <w:color w:val="000000" w:themeColor="text1"/>
          <w:sz w:val="22"/>
          <w:szCs w:val="22"/>
          <w:lang w:val="fr-FR"/>
        </w:rPr>
        <w:t xml:space="preserve"> </w:t>
      </w:r>
      <w:r w:rsidRPr="005D062F">
        <w:rPr>
          <w:color w:val="000000" w:themeColor="text1"/>
          <w:sz w:val="22"/>
          <w:szCs w:val="22"/>
          <w:lang w:val="fr-FR"/>
        </w:rPr>
        <w:t>concernant le projet de développement fondé sur la participation de la collectivité</w:t>
      </w:r>
      <w:r w:rsidR="001516E7" w:rsidRPr="005D062F">
        <w:rPr>
          <w:color w:val="000000" w:themeColor="text1"/>
          <w:sz w:val="22"/>
          <w:szCs w:val="22"/>
          <w:lang w:val="fr-FR"/>
        </w:rPr>
        <w:t xml:space="preserve">. </w:t>
      </w:r>
      <w:r w:rsidRPr="005D062F">
        <w:rPr>
          <w:color w:val="000000" w:themeColor="text1"/>
          <w:sz w:val="22"/>
          <w:szCs w:val="22"/>
          <w:lang w:val="fr-FR"/>
        </w:rPr>
        <w:t>Dans le cadre du projet, 3,</w:t>
      </w:r>
      <w:r w:rsidR="001516E7" w:rsidRPr="005D062F">
        <w:rPr>
          <w:color w:val="000000" w:themeColor="text1"/>
          <w:sz w:val="22"/>
          <w:szCs w:val="22"/>
          <w:lang w:val="fr-FR"/>
        </w:rPr>
        <w:t>9</w:t>
      </w:r>
      <w:r w:rsidRPr="005D062F">
        <w:rPr>
          <w:color w:val="000000" w:themeColor="text1"/>
          <w:sz w:val="22"/>
          <w:szCs w:val="22"/>
          <w:lang w:val="fr-FR"/>
        </w:rPr>
        <w:t> </w:t>
      </w:r>
      <w:r w:rsidR="001516E7" w:rsidRPr="005D062F">
        <w:rPr>
          <w:color w:val="000000" w:themeColor="text1"/>
          <w:sz w:val="22"/>
          <w:szCs w:val="22"/>
          <w:lang w:val="fr-FR"/>
        </w:rPr>
        <w:t>million</w:t>
      </w:r>
      <w:r w:rsidRPr="005D062F">
        <w:rPr>
          <w:color w:val="000000" w:themeColor="text1"/>
          <w:sz w:val="22"/>
          <w:szCs w:val="22"/>
          <w:lang w:val="fr-FR"/>
        </w:rPr>
        <w:t xml:space="preserve">s </w:t>
      </w:r>
      <w:r w:rsidR="002839C1">
        <w:rPr>
          <w:color w:val="000000" w:themeColor="text1"/>
          <w:sz w:val="22"/>
          <w:szCs w:val="22"/>
          <w:lang w:val="fr-FR"/>
        </w:rPr>
        <w:t xml:space="preserve">USD </w:t>
      </w:r>
      <w:r w:rsidRPr="005D062F">
        <w:rPr>
          <w:color w:val="000000" w:themeColor="text1"/>
          <w:sz w:val="22"/>
          <w:szCs w:val="22"/>
          <w:lang w:val="fr-FR"/>
        </w:rPr>
        <w:t xml:space="preserve">seront investis pour accroître la sécurité de l’eau, promouvoir la sécurité alimentaire et soutenir les moyens de subsistance des agriculteurs en recourant à des mesures d’atténuation des sécheresses </w:t>
      </w:r>
      <w:r w:rsidR="004A7742" w:rsidRPr="005D062F">
        <w:rPr>
          <w:color w:val="000000" w:themeColor="text1"/>
          <w:sz w:val="22"/>
          <w:szCs w:val="22"/>
          <w:lang w:val="fr-FR"/>
        </w:rPr>
        <w:t>récurrentes et des autres chocs et perturbations qui touchent le département du Nord-Est d’Haïti</w:t>
      </w:r>
      <w:r w:rsidR="001516E7" w:rsidRPr="005D062F">
        <w:rPr>
          <w:color w:val="000000" w:themeColor="text1"/>
          <w:sz w:val="22"/>
          <w:szCs w:val="22"/>
          <w:lang w:val="fr-FR"/>
        </w:rPr>
        <w:t>.</w:t>
      </w:r>
    </w:p>
    <w:p w14:paraId="233D98A1" w14:textId="77777777" w:rsidR="001516E7" w:rsidRPr="005D062F" w:rsidRDefault="001516E7" w:rsidP="00723DAD">
      <w:pPr>
        <w:rPr>
          <w:rFonts w:ascii="Times New Roman" w:hAnsi="Times New Roman" w:cs="Times New Roman"/>
          <w:color w:val="000000" w:themeColor="text1"/>
          <w:sz w:val="22"/>
          <w:szCs w:val="22"/>
          <w:lang w:val="fr-FR"/>
        </w:rPr>
      </w:pPr>
    </w:p>
    <w:p w14:paraId="0D152B96" w14:textId="6783B095" w:rsidR="001516E7" w:rsidRPr="005D062F" w:rsidRDefault="005D496F" w:rsidP="00CB030B">
      <w:pPr>
        <w:pStyle w:val="ListParagraph"/>
        <w:numPr>
          <w:ilvl w:val="0"/>
          <w:numId w:val="14"/>
        </w:numPr>
        <w:ind w:left="1440" w:hanging="720"/>
        <w:contextualSpacing/>
        <w:jc w:val="both"/>
        <w:rPr>
          <w:color w:val="000000" w:themeColor="text1"/>
          <w:sz w:val="22"/>
          <w:szCs w:val="22"/>
          <w:lang w:val="fr-FR"/>
        </w:rPr>
      </w:pPr>
      <w:r w:rsidRPr="005D062F">
        <w:rPr>
          <w:rFonts w:eastAsia="Times New Roman"/>
          <w:color w:val="000000"/>
          <w:sz w:val="22"/>
          <w:szCs w:val="22"/>
          <w:lang w:val="fr-FR"/>
        </w:rPr>
        <w:t>Le DDD/SEDI s’</w:t>
      </w:r>
      <w:r w:rsidR="00EB5DB4" w:rsidRPr="005D062F">
        <w:rPr>
          <w:rFonts w:eastAsia="Times New Roman"/>
          <w:color w:val="000000"/>
          <w:sz w:val="22"/>
          <w:szCs w:val="22"/>
          <w:lang w:val="fr-FR"/>
        </w:rPr>
        <w:t xml:space="preserve">est associé à la </w:t>
      </w:r>
      <w:r w:rsidR="001516E7" w:rsidRPr="005D062F">
        <w:rPr>
          <w:color w:val="000000" w:themeColor="text1"/>
          <w:sz w:val="22"/>
          <w:szCs w:val="22"/>
          <w:lang w:val="fr-FR"/>
        </w:rPr>
        <w:t>B</w:t>
      </w:r>
      <w:r w:rsidR="00EB5DB4" w:rsidRPr="005D062F">
        <w:rPr>
          <w:color w:val="000000" w:themeColor="text1"/>
          <w:sz w:val="22"/>
          <w:szCs w:val="22"/>
          <w:lang w:val="fr-FR"/>
        </w:rPr>
        <w:t>ID</w:t>
      </w:r>
      <w:r w:rsidR="001516E7" w:rsidRPr="005D062F">
        <w:rPr>
          <w:color w:val="000000" w:themeColor="text1"/>
          <w:sz w:val="22"/>
          <w:szCs w:val="22"/>
          <w:lang w:val="fr-FR"/>
        </w:rPr>
        <w:t xml:space="preserve">, </w:t>
      </w:r>
      <w:r w:rsidR="00EB5DB4" w:rsidRPr="005D062F">
        <w:rPr>
          <w:color w:val="000000" w:themeColor="text1"/>
          <w:sz w:val="22"/>
          <w:szCs w:val="22"/>
          <w:lang w:val="fr-FR"/>
        </w:rPr>
        <w:t xml:space="preserve">au PNUE, à la </w:t>
      </w:r>
      <w:r w:rsidR="00C175C9" w:rsidRPr="005D062F">
        <w:rPr>
          <w:rFonts w:eastAsia="Times New Roman"/>
          <w:color w:val="000000"/>
          <w:sz w:val="22"/>
          <w:szCs w:val="22"/>
          <w:lang w:val="fr-FR"/>
        </w:rPr>
        <w:t>GIZ</w:t>
      </w:r>
      <w:r w:rsidR="00EB5DB4" w:rsidRPr="005D062F">
        <w:rPr>
          <w:rFonts w:eastAsia="Times New Roman"/>
          <w:color w:val="000000"/>
          <w:sz w:val="22"/>
          <w:szCs w:val="22"/>
          <w:lang w:val="fr-FR"/>
        </w:rPr>
        <w:t xml:space="preserve"> et au Secrétariat de la Convention de Carthagène</w:t>
      </w:r>
      <w:r w:rsidR="00C175C9" w:rsidRPr="005D062F">
        <w:rPr>
          <w:rFonts w:eastAsia="Times New Roman"/>
          <w:color w:val="000000"/>
          <w:sz w:val="22"/>
          <w:szCs w:val="22"/>
          <w:lang w:val="fr-FR"/>
        </w:rPr>
        <w:t xml:space="preserve"> </w:t>
      </w:r>
      <w:r w:rsidR="00EB5DB4" w:rsidRPr="005D062F">
        <w:rPr>
          <w:rFonts w:eastAsia="Times New Roman"/>
          <w:color w:val="000000"/>
          <w:sz w:val="22"/>
          <w:szCs w:val="22"/>
          <w:lang w:val="fr-FR"/>
        </w:rPr>
        <w:t>pour l’exécution du projet du FEM « </w:t>
      </w:r>
      <w:r w:rsidR="00EB5DB4" w:rsidRPr="005D062F">
        <w:rPr>
          <w:rFonts w:eastAsia="Times New Roman"/>
          <w:b/>
          <w:color w:val="000000"/>
          <w:sz w:val="22"/>
          <w:szCs w:val="22"/>
          <w:lang w:val="fr-FR"/>
        </w:rPr>
        <w:t>Fonds régional des Caraïbes pour la gestion des eaux usées »</w:t>
      </w:r>
      <w:r w:rsidR="00EB5DB4" w:rsidRPr="005D062F">
        <w:rPr>
          <w:b/>
          <w:bCs/>
          <w:color w:val="000000" w:themeColor="text1"/>
          <w:sz w:val="22"/>
          <w:szCs w:val="22"/>
          <w:lang w:val="fr-FR"/>
        </w:rPr>
        <w:t xml:space="preserve"> </w:t>
      </w:r>
      <w:r w:rsidR="00EB5DB4" w:rsidRPr="005D062F">
        <w:rPr>
          <w:bCs/>
          <w:color w:val="000000" w:themeColor="text1"/>
          <w:sz w:val="22"/>
          <w:szCs w:val="22"/>
          <w:lang w:val="fr-FR"/>
        </w:rPr>
        <w:t xml:space="preserve">avec </w:t>
      </w:r>
      <w:r w:rsidR="00EB5DB4" w:rsidRPr="005D062F">
        <w:rPr>
          <w:rFonts w:eastAsia="Times New Roman"/>
          <w:color w:val="000000"/>
          <w:sz w:val="22"/>
          <w:szCs w:val="22"/>
          <w:lang w:val="fr-FR"/>
        </w:rPr>
        <w:t>la région des Caraïbes au sens large</w:t>
      </w:r>
      <w:r w:rsidR="001516E7" w:rsidRPr="005D062F">
        <w:rPr>
          <w:color w:val="000000" w:themeColor="text1"/>
          <w:sz w:val="22"/>
          <w:szCs w:val="22"/>
          <w:lang w:val="fr-FR"/>
        </w:rPr>
        <w:t xml:space="preserve"> (</w:t>
      </w:r>
      <w:r w:rsidR="00EB5DB4" w:rsidRPr="005D062F">
        <w:rPr>
          <w:rFonts w:eastAsia="Times New Roman"/>
          <w:color w:val="000000"/>
          <w:sz w:val="22"/>
          <w:szCs w:val="22"/>
          <w:lang w:val="fr-FR"/>
        </w:rPr>
        <w:t>Barbade, Belize, Colombie, Costa Rica, Cuba, République dominicaine, Grenade, Guatemala, Guyana, Honduras, Jamaïque, Mexique, Panama, Saint-Kitts-et-Nevis, Sainte-Lucie</w:t>
      </w:r>
      <w:r w:rsidR="001516E7" w:rsidRPr="005D062F">
        <w:rPr>
          <w:color w:val="000000" w:themeColor="text1"/>
          <w:sz w:val="22"/>
          <w:szCs w:val="22"/>
          <w:lang w:val="fr-FR"/>
        </w:rPr>
        <w:t xml:space="preserve">, </w:t>
      </w:r>
      <w:r w:rsidR="00EB5DB4" w:rsidRPr="005D062F">
        <w:rPr>
          <w:rFonts w:eastAsia="Times New Roman"/>
          <w:color w:val="000000"/>
          <w:sz w:val="22"/>
          <w:szCs w:val="22"/>
          <w:lang w:val="fr-FR"/>
        </w:rPr>
        <w:t>Saint-Vincent-et-Grenadines, Suriname et Trinité-et-Tobago</w:t>
      </w:r>
      <w:r w:rsidR="001516E7" w:rsidRPr="005D062F">
        <w:rPr>
          <w:color w:val="000000" w:themeColor="text1"/>
          <w:sz w:val="22"/>
          <w:szCs w:val="22"/>
          <w:lang w:val="fr-FR"/>
        </w:rPr>
        <w:t xml:space="preserve">). </w:t>
      </w:r>
      <w:r w:rsidR="00EB478E" w:rsidRPr="005D062F">
        <w:rPr>
          <w:rFonts w:eastAsia="Times New Roman"/>
          <w:color w:val="000000"/>
          <w:sz w:val="22"/>
          <w:szCs w:val="22"/>
          <w:lang w:val="fr-FR"/>
        </w:rPr>
        <w:t>Le DDD/SEDI est responsable de la coordination générale du projet</w:t>
      </w:r>
      <w:r w:rsidR="00EB478E" w:rsidRPr="005D062F">
        <w:rPr>
          <w:color w:val="000000" w:themeColor="text1"/>
          <w:sz w:val="22"/>
          <w:szCs w:val="22"/>
          <w:lang w:val="fr-FR"/>
        </w:rPr>
        <w:t xml:space="preserve"> tandis que la</w:t>
      </w:r>
      <w:r w:rsidR="001516E7" w:rsidRPr="005D062F">
        <w:rPr>
          <w:color w:val="000000" w:themeColor="text1"/>
          <w:sz w:val="22"/>
          <w:szCs w:val="22"/>
          <w:lang w:val="fr-FR"/>
        </w:rPr>
        <w:t xml:space="preserve"> Barbad</w:t>
      </w:r>
      <w:r w:rsidR="00EB478E" w:rsidRPr="005D062F">
        <w:rPr>
          <w:color w:val="000000" w:themeColor="text1"/>
          <w:sz w:val="22"/>
          <w:szCs w:val="22"/>
          <w:lang w:val="fr-FR"/>
        </w:rPr>
        <w:t>e</w:t>
      </w:r>
      <w:r w:rsidR="001516E7" w:rsidRPr="005D062F">
        <w:rPr>
          <w:color w:val="000000" w:themeColor="text1"/>
          <w:sz w:val="22"/>
          <w:szCs w:val="22"/>
          <w:lang w:val="fr-FR"/>
        </w:rPr>
        <w:t xml:space="preserve"> </w:t>
      </w:r>
      <w:r w:rsidR="009F0102" w:rsidRPr="005D062F">
        <w:rPr>
          <w:rFonts w:eastAsia="Times New Roman"/>
          <w:color w:val="000000"/>
          <w:sz w:val="22"/>
          <w:szCs w:val="22"/>
          <w:lang w:val="fr-FR"/>
        </w:rPr>
        <w:t xml:space="preserve">dirige l’élaboration </w:t>
      </w:r>
      <w:r w:rsidR="00EB478E" w:rsidRPr="005D062F">
        <w:rPr>
          <w:rFonts w:eastAsia="Times New Roman"/>
          <w:color w:val="000000"/>
          <w:sz w:val="22"/>
          <w:szCs w:val="22"/>
          <w:lang w:val="fr-FR"/>
        </w:rPr>
        <w:t>d’une stratégie nationale de communication (et le plan de mise en œuvre s’y rapportant) pour la gestion intégrée de l’eau et des eaux usées</w:t>
      </w:r>
      <w:r w:rsidR="007F2445" w:rsidRPr="005D062F">
        <w:rPr>
          <w:color w:val="000000" w:themeColor="text1"/>
          <w:sz w:val="22"/>
          <w:szCs w:val="22"/>
          <w:lang w:val="fr-FR"/>
        </w:rPr>
        <w:t xml:space="preserve">, </w:t>
      </w:r>
      <w:r w:rsidR="00EB478E" w:rsidRPr="005D062F">
        <w:rPr>
          <w:color w:val="000000" w:themeColor="text1"/>
          <w:sz w:val="22"/>
          <w:szCs w:val="22"/>
          <w:lang w:val="fr-FR"/>
        </w:rPr>
        <w:t xml:space="preserve">une évaluation de l’environnement pour </w:t>
      </w:r>
      <w:r w:rsidR="00EB478E" w:rsidRPr="005D062F">
        <w:rPr>
          <w:rFonts w:eastAsia="Times New Roman"/>
          <w:color w:val="000000"/>
          <w:sz w:val="22"/>
          <w:szCs w:val="22"/>
          <w:lang w:val="fr-FR"/>
        </w:rPr>
        <w:t>la mise en place</w:t>
      </w:r>
      <w:r w:rsidR="00465B4E" w:rsidRPr="005D062F">
        <w:rPr>
          <w:rFonts w:eastAsia="Times New Roman"/>
          <w:color w:val="000000"/>
          <w:sz w:val="22"/>
          <w:szCs w:val="22"/>
          <w:lang w:val="fr-FR"/>
        </w:rPr>
        <w:t xml:space="preserve"> d’un fonds renouvelable pour l’</w:t>
      </w:r>
      <w:r w:rsidR="00EB478E" w:rsidRPr="005D062F">
        <w:rPr>
          <w:rFonts w:eastAsia="Times New Roman"/>
          <w:color w:val="000000"/>
          <w:sz w:val="22"/>
          <w:szCs w:val="22"/>
          <w:lang w:val="fr-FR"/>
        </w:rPr>
        <w:t>assainissement des eaux usées</w:t>
      </w:r>
      <w:r w:rsidR="007F2445" w:rsidRPr="005D062F">
        <w:rPr>
          <w:color w:val="000000" w:themeColor="text1"/>
          <w:sz w:val="22"/>
          <w:szCs w:val="22"/>
          <w:lang w:val="fr-FR"/>
        </w:rPr>
        <w:t>,</w:t>
      </w:r>
      <w:r w:rsidR="001516E7" w:rsidRPr="005D062F">
        <w:rPr>
          <w:color w:val="000000" w:themeColor="text1"/>
          <w:sz w:val="22"/>
          <w:szCs w:val="22"/>
          <w:lang w:val="fr-FR"/>
        </w:rPr>
        <w:t xml:space="preserve"> </w:t>
      </w:r>
      <w:r w:rsidR="009F0102" w:rsidRPr="005D062F">
        <w:rPr>
          <w:color w:val="000000" w:themeColor="text1"/>
          <w:sz w:val="22"/>
          <w:szCs w:val="22"/>
          <w:lang w:val="fr-FR"/>
        </w:rPr>
        <w:t xml:space="preserve">ainsi que le développement </w:t>
      </w:r>
      <w:r w:rsidR="00EB478E" w:rsidRPr="005D062F">
        <w:rPr>
          <w:rFonts w:eastAsia="Times New Roman"/>
          <w:color w:val="000000"/>
          <w:sz w:val="22"/>
          <w:szCs w:val="22"/>
          <w:lang w:val="fr-FR"/>
        </w:rPr>
        <w:t>d’un mécanisme de cofinancement/d’un fonds renouvelable, afin de soutenir l’adoption de programmes de traitement et de réutilisation des eaux usées</w:t>
      </w:r>
      <w:r w:rsidR="001516E7" w:rsidRPr="005D062F">
        <w:rPr>
          <w:color w:val="000000" w:themeColor="text1"/>
          <w:sz w:val="22"/>
          <w:szCs w:val="22"/>
          <w:lang w:val="fr-FR"/>
        </w:rPr>
        <w:t>.</w:t>
      </w:r>
    </w:p>
    <w:p w14:paraId="0035DDD5" w14:textId="77777777" w:rsidR="001516E7" w:rsidRPr="005D062F" w:rsidRDefault="001516E7" w:rsidP="00723DAD">
      <w:pPr>
        <w:rPr>
          <w:rFonts w:ascii="Times New Roman" w:hAnsi="Times New Roman" w:cs="Times New Roman"/>
          <w:color w:val="000000" w:themeColor="text1"/>
          <w:sz w:val="22"/>
          <w:szCs w:val="22"/>
          <w:lang w:val="fr-FR"/>
        </w:rPr>
      </w:pPr>
    </w:p>
    <w:p w14:paraId="2D8BDAAB" w14:textId="221C5D64" w:rsidR="001516E7" w:rsidRPr="005D062F" w:rsidRDefault="00EB478E" w:rsidP="00CB030B">
      <w:pPr>
        <w:pStyle w:val="ListParagraph"/>
        <w:numPr>
          <w:ilvl w:val="0"/>
          <w:numId w:val="14"/>
        </w:numPr>
        <w:ind w:left="1440" w:hanging="720"/>
        <w:contextualSpacing/>
        <w:jc w:val="both"/>
        <w:rPr>
          <w:color w:val="000000" w:themeColor="text1"/>
          <w:sz w:val="22"/>
          <w:szCs w:val="22"/>
          <w:lang w:val="fr-FR"/>
        </w:rPr>
      </w:pPr>
      <w:r w:rsidRPr="005D062F">
        <w:rPr>
          <w:color w:val="000000" w:themeColor="text1"/>
          <w:sz w:val="22"/>
          <w:szCs w:val="22"/>
          <w:lang w:val="fr-FR"/>
        </w:rPr>
        <w:t>Le SEDI a commencé à élaborer le programme « </w:t>
      </w:r>
      <w:r w:rsidRPr="005D062F">
        <w:rPr>
          <w:rFonts w:eastAsia="Times New Roman"/>
          <w:b/>
          <w:color w:val="000000"/>
          <w:sz w:val="22"/>
          <w:szCs w:val="22"/>
          <w:lang w:val="fr-FR"/>
        </w:rPr>
        <w:t>La science au service de la prise de décision dans l</w:t>
      </w:r>
      <w:r w:rsidR="004D4528" w:rsidRPr="005D062F">
        <w:rPr>
          <w:rFonts w:eastAsia="Times New Roman"/>
          <w:b/>
          <w:color w:val="000000"/>
          <w:sz w:val="22"/>
          <w:szCs w:val="22"/>
          <w:lang w:val="fr-FR"/>
        </w:rPr>
        <w:t>e domaine des eaux transfront</w:t>
      </w:r>
      <w:r w:rsidR="00852D78" w:rsidRPr="005D062F">
        <w:rPr>
          <w:rFonts w:eastAsia="Times New Roman"/>
          <w:b/>
          <w:color w:val="000000"/>
          <w:sz w:val="22"/>
          <w:szCs w:val="22"/>
          <w:lang w:val="fr-FR"/>
        </w:rPr>
        <w:t>al</w:t>
      </w:r>
      <w:r w:rsidR="004D4528" w:rsidRPr="005D062F">
        <w:rPr>
          <w:rFonts w:eastAsia="Times New Roman"/>
          <w:b/>
          <w:color w:val="000000"/>
          <w:sz w:val="22"/>
          <w:szCs w:val="22"/>
          <w:lang w:val="fr-FR"/>
        </w:rPr>
        <w:t>ières en Amérique latine et dans les Caraïbes</w:t>
      </w:r>
      <w:r w:rsidR="004D4528" w:rsidRPr="005D062F">
        <w:rPr>
          <w:rFonts w:eastAsia="Times New Roman"/>
          <w:color w:val="000000"/>
          <w:sz w:val="22"/>
          <w:szCs w:val="22"/>
          <w:lang w:val="fr-FR"/>
        </w:rPr>
        <w:t> » e</w:t>
      </w:r>
      <w:r w:rsidR="001516E7" w:rsidRPr="005D062F">
        <w:rPr>
          <w:color w:val="000000" w:themeColor="text1"/>
          <w:sz w:val="22"/>
          <w:szCs w:val="22"/>
          <w:lang w:val="fr-FR"/>
        </w:rPr>
        <w:t xml:space="preserve">n coordination </w:t>
      </w:r>
      <w:r w:rsidR="004D4528" w:rsidRPr="005D062F">
        <w:rPr>
          <w:color w:val="000000" w:themeColor="text1"/>
          <w:sz w:val="22"/>
          <w:szCs w:val="22"/>
          <w:lang w:val="fr-FR"/>
        </w:rPr>
        <w:t xml:space="preserve">avec l’équipe « Science et Applications » des États-Unis du Groupe de travail interinstitutions sur l’eau </w:t>
      </w:r>
      <w:r w:rsidR="00086420" w:rsidRPr="005D062F">
        <w:rPr>
          <w:color w:val="000000" w:themeColor="text1"/>
          <w:sz w:val="22"/>
          <w:szCs w:val="22"/>
          <w:lang w:val="fr-FR"/>
        </w:rPr>
        <w:t>ainsi que</w:t>
      </w:r>
      <w:r w:rsidR="004D4528" w:rsidRPr="005D062F">
        <w:rPr>
          <w:color w:val="000000" w:themeColor="text1"/>
          <w:sz w:val="22"/>
          <w:szCs w:val="22"/>
          <w:lang w:val="fr-FR"/>
        </w:rPr>
        <w:t xml:space="preserve"> les autres parties prenantes concernées dans les Amériques</w:t>
      </w:r>
      <w:r w:rsidR="001516E7" w:rsidRPr="005D062F">
        <w:rPr>
          <w:color w:val="000000" w:themeColor="text1"/>
          <w:sz w:val="22"/>
          <w:szCs w:val="22"/>
          <w:lang w:val="fr-FR"/>
        </w:rPr>
        <w:t xml:space="preserve">. </w:t>
      </w:r>
      <w:r w:rsidR="004D4528" w:rsidRPr="005D062F">
        <w:rPr>
          <w:color w:val="000000" w:themeColor="text1"/>
          <w:sz w:val="22"/>
          <w:szCs w:val="22"/>
          <w:lang w:val="fr-FR"/>
        </w:rPr>
        <w:t>Le premier atelier intitulé « </w:t>
      </w:r>
      <w:r w:rsidR="004D4528" w:rsidRPr="005D062F">
        <w:rPr>
          <w:b/>
          <w:color w:val="000000" w:themeColor="text1"/>
          <w:sz w:val="22"/>
          <w:szCs w:val="22"/>
          <w:lang w:val="fr-FR"/>
        </w:rPr>
        <w:t xml:space="preserve">Renforcer les capacités en matière d’outils et de méthodes </w:t>
      </w:r>
      <w:r w:rsidR="00A72960" w:rsidRPr="005D062F">
        <w:rPr>
          <w:b/>
          <w:color w:val="000000" w:themeColor="text1"/>
          <w:sz w:val="22"/>
          <w:szCs w:val="22"/>
          <w:lang w:val="fr-FR"/>
        </w:rPr>
        <w:t>sur l</w:t>
      </w:r>
      <w:r w:rsidR="006E4483" w:rsidRPr="005D062F">
        <w:rPr>
          <w:b/>
          <w:color w:val="000000" w:themeColor="text1"/>
          <w:sz w:val="22"/>
          <w:szCs w:val="22"/>
          <w:lang w:val="fr-FR"/>
        </w:rPr>
        <w:t>a base d</w:t>
      </w:r>
      <w:r w:rsidR="00A72960" w:rsidRPr="005D062F">
        <w:rPr>
          <w:b/>
          <w:color w:val="000000" w:themeColor="text1"/>
          <w:sz w:val="22"/>
          <w:szCs w:val="22"/>
          <w:lang w:val="fr-FR"/>
        </w:rPr>
        <w:t xml:space="preserve">es données et </w:t>
      </w:r>
      <w:r w:rsidR="006E4483" w:rsidRPr="005D062F">
        <w:rPr>
          <w:b/>
          <w:color w:val="000000" w:themeColor="text1"/>
          <w:sz w:val="22"/>
          <w:szCs w:val="22"/>
          <w:lang w:val="fr-FR"/>
        </w:rPr>
        <w:t xml:space="preserve">de </w:t>
      </w:r>
      <w:r w:rsidR="00A72960" w:rsidRPr="005D062F">
        <w:rPr>
          <w:b/>
          <w:color w:val="000000" w:themeColor="text1"/>
          <w:sz w:val="22"/>
          <w:szCs w:val="22"/>
          <w:lang w:val="fr-FR"/>
        </w:rPr>
        <w:t>la science pour une gestion effi</w:t>
      </w:r>
      <w:r w:rsidR="006E4483" w:rsidRPr="005D062F">
        <w:rPr>
          <w:b/>
          <w:color w:val="000000" w:themeColor="text1"/>
          <w:sz w:val="22"/>
          <w:szCs w:val="22"/>
          <w:lang w:val="fr-FR"/>
        </w:rPr>
        <w:t xml:space="preserve">cace des ressources </w:t>
      </w:r>
      <w:r w:rsidR="00A72960" w:rsidRPr="005D062F">
        <w:rPr>
          <w:b/>
          <w:color w:val="000000" w:themeColor="text1"/>
          <w:sz w:val="22"/>
          <w:szCs w:val="22"/>
          <w:lang w:val="fr-FR"/>
        </w:rPr>
        <w:t>hydriques dans le bassin de</w:t>
      </w:r>
      <w:r w:rsidR="00A72960" w:rsidRPr="005D062F">
        <w:rPr>
          <w:color w:val="000000" w:themeColor="text1"/>
          <w:sz w:val="22"/>
          <w:szCs w:val="22"/>
          <w:lang w:val="fr-FR"/>
        </w:rPr>
        <w:t xml:space="preserve"> </w:t>
      </w:r>
      <w:r w:rsidR="00A72960" w:rsidRPr="005D062F">
        <w:rPr>
          <w:b/>
          <w:bCs/>
          <w:color w:val="000000" w:themeColor="text1"/>
          <w:sz w:val="22"/>
          <w:szCs w:val="22"/>
          <w:lang w:val="fr-FR"/>
        </w:rPr>
        <w:t>La Plata »</w:t>
      </w:r>
      <w:r w:rsidR="006E4483" w:rsidRPr="005D062F">
        <w:rPr>
          <w:b/>
          <w:bCs/>
          <w:color w:val="000000" w:themeColor="text1"/>
          <w:sz w:val="22"/>
          <w:szCs w:val="22"/>
          <w:lang w:val="fr-FR"/>
        </w:rPr>
        <w:t xml:space="preserve"> </w:t>
      </w:r>
      <w:r w:rsidR="006E4483" w:rsidRPr="005D062F">
        <w:rPr>
          <w:bCs/>
          <w:color w:val="000000" w:themeColor="text1"/>
          <w:sz w:val="22"/>
          <w:szCs w:val="22"/>
          <w:lang w:val="fr-FR"/>
        </w:rPr>
        <w:t xml:space="preserve">a été </w:t>
      </w:r>
      <w:r w:rsidR="004968D1" w:rsidRPr="005D062F">
        <w:rPr>
          <w:bCs/>
          <w:color w:val="000000" w:themeColor="text1"/>
          <w:sz w:val="22"/>
          <w:szCs w:val="22"/>
          <w:lang w:val="fr-FR"/>
        </w:rPr>
        <w:t>réalisé</w:t>
      </w:r>
      <w:r w:rsidR="006E4483" w:rsidRPr="005D062F">
        <w:rPr>
          <w:bCs/>
          <w:color w:val="000000" w:themeColor="text1"/>
          <w:sz w:val="22"/>
          <w:szCs w:val="22"/>
          <w:lang w:val="fr-FR"/>
        </w:rPr>
        <w:t xml:space="preserve"> pour </w:t>
      </w:r>
      <w:r w:rsidR="001516E7" w:rsidRPr="005D062F">
        <w:rPr>
          <w:color w:val="000000" w:themeColor="text1"/>
          <w:sz w:val="22"/>
          <w:szCs w:val="22"/>
          <w:lang w:val="fr-FR"/>
        </w:rPr>
        <w:t>25</w:t>
      </w:r>
      <w:r w:rsidR="006E4483" w:rsidRPr="005D062F">
        <w:rPr>
          <w:color w:val="000000" w:themeColor="text1"/>
          <w:sz w:val="22"/>
          <w:szCs w:val="22"/>
          <w:lang w:val="fr-FR"/>
        </w:rPr>
        <w:t xml:space="preserve"> responsables des secteurs de l’eau et de l’environnement dans le cadre de cette </w:t>
      </w:r>
      <w:r w:rsidR="001516E7" w:rsidRPr="005D062F">
        <w:rPr>
          <w:color w:val="000000" w:themeColor="text1"/>
          <w:sz w:val="22"/>
          <w:szCs w:val="22"/>
          <w:lang w:val="fr-FR"/>
        </w:rPr>
        <w:t>initiative</w:t>
      </w:r>
      <w:r w:rsidR="006E4483" w:rsidRPr="005D062F">
        <w:rPr>
          <w:color w:val="000000" w:themeColor="text1"/>
          <w:sz w:val="22"/>
          <w:szCs w:val="22"/>
          <w:lang w:val="fr-FR"/>
        </w:rPr>
        <w:t xml:space="preserve"> conjointe</w:t>
      </w:r>
      <w:r w:rsidR="001516E7" w:rsidRPr="005D062F">
        <w:rPr>
          <w:color w:val="000000" w:themeColor="text1"/>
          <w:sz w:val="22"/>
          <w:szCs w:val="22"/>
          <w:lang w:val="fr-FR"/>
        </w:rPr>
        <w:t>.</w:t>
      </w:r>
    </w:p>
    <w:p w14:paraId="6950A4FE" w14:textId="77777777" w:rsidR="001516E7" w:rsidRPr="005D062F" w:rsidRDefault="001516E7" w:rsidP="00723DAD">
      <w:pPr>
        <w:rPr>
          <w:rFonts w:ascii="Times New Roman" w:hAnsi="Times New Roman" w:cs="Times New Roman"/>
          <w:color w:val="000000" w:themeColor="text1"/>
          <w:sz w:val="22"/>
          <w:szCs w:val="22"/>
          <w:lang w:val="fr-FR"/>
        </w:rPr>
      </w:pPr>
    </w:p>
    <w:p w14:paraId="55D68874" w14:textId="35377FEC" w:rsidR="001516E7" w:rsidRPr="005D062F" w:rsidRDefault="00086420" w:rsidP="00CB030B">
      <w:pPr>
        <w:pStyle w:val="ListParagraph"/>
        <w:numPr>
          <w:ilvl w:val="0"/>
          <w:numId w:val="14"/>
        </w:numPr>
        <w:ind w:left="1440" w:hanging="720"/>
        <w:contextualSpacing/>
        <w:jc w:val="both"/>
        <w:rPr>
          <w:color w:val="000000" w:themeColor="text1"/>
          <w:sz w:val="22"/>
          <w:szCs w:val="22"/>
          <w:lang w:val="fr-FR"/>
        </w:rPr>
      </w:pPr>
      <w:r w:rsidRPr="005D062F">
        <w:rPr>
          <w:color w:val="000000" w:themeColor="text1"/>
          <w:sz w:val="22"/>
          <w:szCs w:val="22"/>
          <w:lang w:val="fr-FR"/>
        </w:rPr>
        <w:t>Il a c</w:t>
      </w:r>
      <w:r w:rsidR="001516E7" w:rsidRPr="005D062F">
        <w:rPr>
          <w:color w:val="000000" w:themeColor="text1"/>
          <w:sz w:val="22"/>
          <w:szCs w:val="22"/>
          <w:lang w:val="fr-FR"/>
        </w:rPr>
        <w:t>o-organi</w:t>
      </w:r>
      <w:r w:rsidRPr="005D062F">
        <w:rPr>
          <w:color w:val="000000" w:themeColor="text1"/>
          <w:sz w:val="22"/>
          <w:szCs w:val="22"/>
          <w:lang w:val="fr-FR"/>
        </w:rPr>
        <w:t xml:space="preserve">sé le deuxième </w:t>
      </w:r>
      <w:r w:rsidR="001516E7" w:rsidRPr="005D062F">
        <w:rPr>
          <w:b/>
          <w:bCs/>
          <w:color w:val="000000" w:themeColor="text1"/>
          <w:sz w:val="22"/>
          <w:szCs w:val="22"/>
          <w:lang w:val="fr-FR"/>
        </w:rPr>
        <w:t xml:space="preserve">Symposium </w:t>
      </w:r>
      <w:r w:rsidRPr="005D062F">
        <w:rPr>
          <w:b/>
          <w:bCs/>
          <w:color w:val="000000" w:themeColor="text1"/>
          <w:sz w:val="22"/>
          <w:szCs w:val="22"/>
          <w:lang w:val="fr-FR"/>
        </w:rPr>
        <w:t>international sur les eaux transfront</w:t>
      </w:r>
      <w:r w:rsidR="00852D78" w:rsidRPr="005D062F">
        <w:rPr>
          <w:b/>
          <w:bCs/>
          <w:color w:val="000000" w:themeColor="text1"/>
          <w:sz w:val="22"/>
          <w:szCs w:val="22"/>
          <w:lang w:val="fr-FR"/>
        </w:rPr>
        <w:t>al</w:t>
      </w:r>
      <w:r w:rsidRPr="005D062F">
        <w:rPr>
          <w:b/>
          <w:bCs/>
          <w:color w:val="000000" w:themeColor="text1"/>
          <w:sz w:val="22"/>
          <w:szCs w:val="22"/>
          <w:lang w:val="fr-FR"/>
        </w:rPr>
        <w:t>ières en Amérique latine et dans les Caraïbes</w:t>
      </w:r>
      <w:r w:rsidR="001516E7" w:rsidRPr="005D062F">
        <w:rPr>
          <w:color w:val="000000" w:themeColor="text1"/>
          <w:sz w:val="22"/>
          <w:szCs w:val="22"/>
          <w:lang w:val="fr-FR"/>
        </w:rPr>
        <w:t xml:space="preserve">, </w:t>
      </w:r>
      <w:r w:rsidRPr="005D062F">
        <w:rPr>
          <w:color w:val="000000" w:themeColor="text1"/>
          <w:sz w:val="22"/>
          <w:szCs w:val="22"/>
          <w:lang w:val="fr-FR"/>
        </w:rPr>
        <w:t>animé par le Gouvernement b</w:t>
      </w:r>
      <w:r w:rsidR="001516E7" w:rsidRPr="005D062F">
        <w:rPr>
          <w:color w:val="000000" w:themeColor="text1"/>
          <w:sz w:val="22"/>
          <w:szCs w:val="22"/>
          <w:lang w:val="fr-FR"/>
        </w:rPr>
        <w:t>olivi</w:t>
      </w:r>
      <w:r w:rsidRPr="005D062F">
        <w:rPr>
          <w:color w:val="000000" w:themeColor="text1"/>
          <w:sz w:val="22"/>
          <w:szCs w:val="22"/>
          <w:lang w:val="fr-FR"/>
        </w:rPr>
        <w:t>en en</w:t>
      </w:r>
      <w:r w:rsidR="001516E7" w:rsidRPr="005D062F">
        <w:rPr>
          <w:color w:val="000000" w:themeColor="text1"/>
          <w:sz w:val="22"/>
          <w:szCs w:val="22"/>
          <w:lang w:val="fr-FR"/>
        </w:rPr>
        <w:t xml:space="preserve"> collaboration </w:t>
      </w:r>
      <w:r w:rsidRPr="005D062F">
        <w:rPr>
          <w:color w:val="000000" w:themeColor="text1"/>
          <w:sz w:val="22"/>
          <w:szCs w:val="22"/>
          <w:lang w:val="fr-FR"/>
        </w:rPr>
        <w:t>avec</w:t>
      </w:r>
      <w:r w:rsidR="001516E7" w:rsidRPr="005D062F">
        <w:rPr>
          <w:color w:val="000000" w:themeColor="text1"/>
          <w:sz w:val="22"/>
          <w:szCs w:val="22"/>
          <w:lang w:val="fr-FR"/>
        </w:rPr>
        <w:t xml:space="preserve"> </w:t>
      </w:r>
      <w:r w:rsidRPr="005D062F">
        <w:rPr>
          <w:color w:val="000000" w:themeColor="text1"/>
          <w:sz w:val="22"/>
          <w:szCs w:val="22"/>
          <w:lang w:val="fr-FR"/>
        </w:rPr>
        <w:t>la JID</w:t>
      </w:r>
      <w:r w:rsidR="0099633F" w:rsidRPr="005D062F">
        <w:rPr>
          <w:color w:val="000000" w:themeColor="text1"/>
          <w:sz w:val="22"/>
          <w:szCs w:val="22"/>
          <w:lang w:val="fr-FR"/>
        </w:rPr>
        <w:t>, la DDC</w:t>
      </w:r>
      <w:r w:rsidR="001516E7" w:rsidRPr="005D062F">
        <w:rPr>
          <w:color w:val="000000" w:themeColor="text1"/>
          <w:sz w:val="22"/>
          <w:szCs w:val="22"/>
          <w:lang w:val="fr-FR"/>
        </w:rPr>
        <w:t xml:space="preserve">, </w:t>
      </w:r>
      <w:r w:rsidR="0099633F" w:rsidRPr="005D062F">
        <w:rPr>
          <w:color w:val="000000" w:themeColor="text1"/>
          <w:sz w:val="22"/>
          <w:szCs w:val="22"/>
          <w:lang w:val="fr-FR"/>
        </w:rPr>
        <w:t xml:space="preserve">la </w:t>
      </w:r>
      <w:r w:rsidR="00EC71D8" w:rsidRPr="005D062F">
        <w:rPr>
          <w:color w:val="000000" w:themeColor="text1"/>
          <w:sz w:val="22"/>
          <w:szCs w:val="22"/>
          <w:lang w:val="fr-FR"/>
        </w:rPr>
        <w:t>GIZ</w:t>
      </w:r>
      <w:r w:rsidR="0099633F" w:rsidRPr="005D062F">
        <w:rPr>
          <w:color w:val="000000" w:themeColor="text1"/>
          <w:sz w:val="22"/>
          <w:szCs w:val="22"/>
          <w:lang w:val="fr-FR"/>
        </w:rPr>
        <w:t xml:space="preserve"> et la Commission des </w:t>
      </w:r>
      <w:r w:rsidR="001516E7" w:rsidRPr="005D062F">
        <w:rPr>
          <w:color w:val="000000" w:themeColor="text1"/>
          <w:sz w:val="22"/>
          <w:szCs w:val="22"/>
          <w:lang w:val="fr-FR"/>
        </w:rPr>
        <w:t xml:space="preserve">Nations </w:t>
      </w:r>
      <w:r w:rsidR="0099633F" w:rsidRPr="005D062F">
        <w:rPr>
          <w:color w:val="000000" w:themeColor="text1"/>
          <w:sz w:val="22"/>
          <w:szCs w:val="22"/>
          <w:lang w:val="fr-FR"/>
        </w:rPr>
        <w:t>Unies p</w:t>
      </w:r>
      <w:r w:rsidR="001516E7" w:rsidRPr="005D062F">
        <w:rPr>
          <w:color w:val="000000" w:themeColor="text1"/>
          <w:sz w:val="22"/>
          <w:szCs w:val="22"/>
          <w:lang w:val="fr-FR"/>
        </w:rPr>
        <w:t>o</w:t>
      </w:r>
      <w:r w:rsidR="0099633F" w:rsidRPr="005D062F">
        <w:rPr>
          <w:color w:val="000000" w:themeColor="text1"/>
          <w:sz w:val="22"/>
          <w:szCs w:val="22"/>
          <w:lang w:val="fr-FR"/>
        </w:rPr>
        <w:t>u</w:t>
      </w:r>
      <w:r w:rsidR="001516E7" w:rsidRPr="005D062F">
        <w:rPr>
          <w:color w:val="000000" w:themeColor="text1"/>
          <w:sz w:val="22"/>
          <w:szCs w:val="22"/>
          <w:lang w:val="fr-FR"/>
        </w:rPr>
        <w:t xml:space="preserve">r </w:t>
      </w:r>
      <w:r w:rsidR="0099633F" w:rsidRPr="005D062F">
        <w:rPr>
          <w:color w:val="000000" w:themeColor="text1"/>
          <w:sz w:val="22"/>
          <w:szCs w:val="22"/>
          <w:lang w:val="fr-FR"/>
        </w:rPr>
        <w:t>l’</w:t>
      </w:r>
      <w:r w:rsidR="001516E7" w:rsidRPr="005D062F">
        <w:rPr>
          <w:color w:val="000000" w:themeColor="text1"/>
          <w:sz w:val="22"/>
          <w:szCs w:val="22"/>
          <w:lang w:val="fr-FR"/>
        </w:rPr>
        <w:t>Europe</w:t>
      </w:r>
      <w:r w:rsidR="00EC71D8" w:rsidRPr="005D062F">
        <w:rPr>
          <w:color w:val="000000" w:themeColor="text1"/>
          <w:sz w:val="22"/>
          <w:szCs w:val="22"/>
          <w:lang w:val="fr-FR"/>
        </w:rPr>
        <w:t>.</w:t>
      </w:r>
    </w:p>
    <w:p w14:paraId="223D9E5D" w14:textId="77777777" w:rsidR="001516E7" w:rsidRPr="005D062F" w:rsidRDefault="001516E7" w:rsidP="00723DAD">
      <w:pPr>
        <w:rPr>
          <w:rFonts w:ascii="Times New Roman" w:hAnsi="Times New Roman" w:cs="Times New Roman"/>
          <w:color w:val="000000" w:themeColor="text1"/>
          <w:sz w:val="22"/>
          <w:szCs w:val="22"/>
          <w:lang w:val="fr-FR"/>
        </w:rPr>
      </w:pPr>
    </w:p>
    <w:p w14:paraId="30F10F8E" w14:textId="2D305600" w:rsidR="001516E7" w:rsidRPr="005D062F" w:rsidRDefault="00123017" w:rsidP="00CB030B">
      <w:pPr>
        <w:pStyle w:val="ListParagraph"/>
        <w:numPr>
          <w:ilvl w:val="0"/>
          <w:numId w:val="14"/>
        </w:numPr>
        <w:ind w:left="1440" w:hanging="720"/>
        <w:contextualSpacing/>
        <w:jc w:val="both"/>
        <w:rPr>
          <w:color w:val="000000" w:themeColor="text1"/>
          <w:sz w:val="22"/>
          <w:szCs w:val="22"/>
          <w:lang w:val="fr-FR"/>
        </w:rPr>
      </w:pPr>
      <w:r w:rsidRPr="005D062F">
        <w:rPr>
          <w:color w:val="000000" w:themeColor="text1"/>
          <w:sz w:val="22"/>
          <w:szCs w:val="22"/>
          <w:lang w:val="fr-FR"/>
        </w:rPr>
        <w:t xml:space="preserve">Il a amélioré le Système d’aide à la prise de décision </w:t>
      </w:r>
      <w:r w:rsidR="001516E7" w:rsidRPr="005D062F">
        <w:rPr>
          <w:color w:val="000000" w:themeColor="text1"/>
          <w:sz w:val="22"/>
          <w:szCs w:val="22"/>
          <w:lang w:val="fr-FR"/>
        </w:rPr>
        <w:t xml:space="preserve">(DSS) </w:t>
      </w:r>
      <w:r w:rsidRPr="005D062F">
        <w:rPr>
          <w:color w:val="000000" w:themeColor="text1"/>
          <w:sz w:val="22"/>
          <w:szCs w:val="22"/>
          <w:lang w:val="fr-FR"/>
        </w:rPr>
        <w:t xml:space="preserve">en matière de ressources hydriques pour le bassin hydrographique de </w:t>
      </w:r>
      <w:r w:rsidR="001516E7" w:rsidRPr="005D062F">
        <w:rPr>
          <w:color w:val="000000" w:themeColor="text1"/>
          <w:sz w:val="22"/>
          <w:szCs w:val="22"/>
          <w:lang w:val="fr-FR"/>
        </w:rPr>
        <w:t xml:space="preserve">La Plata. </w:t>
      </w:r>
      <w:r w:rsidR="00587F8C" w:rsidRPr="005D062F">
        <w:rPr>
          <w:color w:val="000000" w:themeColor="text1"/>
          <w:sz w:val="22"/>
          <w:szCs w:val="22"/>
          <w:lang w:val="fr-FR"/>
        </w:rPr>
        <w:t>L</w:t>
      </w:r>
      <w:r w:rsidR="001516E7" w:rsidRPr="005D062F">
        <w:rPr>
          <w:color w:val="000000" w:themeColor="text1"/>
          <w:sz w:val="22"/>
          <w:szCs w:val="22"/>
          <w:lang w:val="fr-FR"/>
        </w:rPr>
        <w:t xml:space="preserve">e DSS </w:t>
      </w:r>
      <w:r w:rsidR="00587F8C" w:rsidRPr="005D062F">
        <w:rPr>
          <w:color w:val="000000" w:themeColor="text1"/>
          <w:sz w:val="22"/>
          <w:szCs w:val="22"/>
          <w:lang w:val="fr-FR"/>
        </w:rPr>
        <w:t xml:space="preserve">permettra aux décideurs d’avoir un meilleur aperçu des inondations, des conditions en matière de qualité de l’eau </w:t>
      </w:r>
      <w:r w:rsidR="00063249" w:rsidRPr="005D062F">
        <w:rPr>
          <w:color w:val="000000" w:themeColor="text1"/>
          <w:sz w:val="22"/>
          <w:szCs w:val="22"/>
          <w:lang w:val="fr-FR"/>
        </w:rPr>
        <w:t xml:space="preserve">dans le bassin </w:t>
      </w:r>
      <w:r w:rsidR="00587F8C" w:rsidRPr="005D062F">
        <w:rPr>
          <w:color w:val="000000" w:themeColor="text1"/>
          <w:sz w:val="22"/>
          <w:szCs w:val="22"/>
          <w:lang w:val="fr-FR"/>
        </w:rPr>
        <w:t>ainsi que des sécheresses</w:t>
      </w:r>
      <w:r w:rsidR="00063249" w:rsidRPr="005D062F">
        <w:rPr>
          <w:color w:val="000000" w:themeColor="text1"/>
          <w:sz w:val="22"/>
          <w:szCs w:val="22"/>
          <w:lang w:val="fr-FR"/>
        </w:rPr>
        <w:t>, l’objectif étant de prendre des décisions éclairées et de mettre en place des mesures d’atténuation ou de réduction des effets négatifs de la limitation des rejets des centrales hydroélectriques, ce qui engendre des impacts sur la production d’énergie</w:t>
      </w:r>
      <w:r w:rsidR="00EE75BE" w:rsidRPr="005D062F">
        <w:rPr>
          <w:color w:val="000000" w:themeColor="text1"/>
          <w:sz w:val="22"/>
          <w:szCs w:val="22"/>
          <w:lang w:val="fr-FR"/>
        </w:rPr>
        <w:t> </w:t>
      </w:r>
      <w:r w:rsidR="00C3751E" w:rsidRPr="005D062F">
        <w:rPr>
          <w:color w:val="000000" w:themeColor="text1"/>
          <w:sz w:val="22"/>
          <w:szCs w:val="22"/>
          <w:lang w:val="fr-FR"/>
        </w:rPr>
        <w:t xml:space="preserve">; </w:t>
      </w:r>
      <w:r w:rsidR="00EE75BE" w:rsidRPr="005D062F">
        <w:rPr>
          <w:color w:val="000000" w:themeColor="text1"/>
          <w:sz w:val="22"/>
          <w:szCs w:val="22"/>
          <w:lang w:val="fr-FR"/>
        </w:rPr>
        <w:t xml:space="preserve">de la </w:t>
      </w:r>
      <w:r w:rsidR="001516E7" w:rsidRPr="005D062F">
        <w:rPr>
          <w:color w:val="000000" w:themeColor="text1"/>
          <w:sz w:val="22"/>
          <w:szCs w:val="22"/>
          <w:lang w:val="fr-FR"/>
        </w:rPr>
        <w:t xml:space="preserve">navigation </w:t>
      </w:r>
      <w:r w:rsidR="00EE75BE" w:rsidRPr="005D062F">
        <w:rPr>
          <w:color w:val="000000" w:themeColor="text1"/>
          <w:sz w:val="22"/>
          <w:szCs w:val="22"/>
          <w:lang w:val="fr-FR"/>
        </w:rPr>
        <w:t>et des autres</w:t>
      </w:r>
      <w:r w:rsidR="001516E7" w:rsidRPr="005D062F">
        <w:rPr>
          <w:color w:val="000000" w:themeColor="text1"/>
          <w:sz w:val="22"/>
          <w:szCs w:val="22"/>
          <w:lang w:val="fr-FR"/>
        </w:rPr>
        <w:t xml:space="preserve"> aspects</w:t>
      </w:r>
      <w:r w:rsidR="00EE75BE" w:rsidRPr="005D062F">
        <w:rPr>
          <w:color w:val="000000" w:themeColor="text1"/>
          <w:sz w:val="22"/>
          <w:szCs w:val="22"/>
          <w:lang w:val="fr-FR"/>
        </w:rPr>
        <w:t xml:space="preserve"> </w:t>
      </w:r>
      <w:r w:rsidR="005D496F" w:rsidRPr="005D062F">
        <w:rPr>
          <w:color w:val="000000" w:themeColor="text1"/>
          <w:sz w:val="22"/>
          <w:szCs w:val="22"/>
          <w:lang w:val="fr-FR"/>
        </w:rPr>
        <w:t>environnementaux</w:t>
      </w:r>
      <w:r w:rsidR="00EE75BE" w:rsidRPr="005D062F">
        <w:rPr>
          <w:color w:val="000000" w:themeColor="text1"/>
          <w:sz w:val="22"/>
          <w:szCs w:val="22"/>
          <w:lang w:val="fr-FR"/>
        </w:rPr>
        <w:t> </w:t>
      </w:r>
      <w:r w:rsidR="001516E7" w:rsidRPr="005D062F">
        <w:rPr>
          <w:color w:val="000000" w:themeColor="text1"/>
          <w:sz w:val="22"/>
          <w:szCs w:val="22"/>
          <w:lang w:val="fr-FR"/>
        </w:rPr>
        <w:t xml:space="preserve">; </w:t>
      </w:r>
      <w:r w:rsidR="00EE75BE" w:rsidRPr="005D062F">
        <w:rPr>
          <w:color w:val="000000" w:themeColor="text1"/>
          <w:sz w:val="22"/>
          <w:szCs w:val="22"/>
          <w:lang w:val="fr-FR"/>
        </w:rPr>
        <w:t>des prélèvements d’eau</w:t>
      </w:r>
      <w:r w:rsidR="001516E7" w:rsidRPr="005D062F">
        <w:rPr>
          <w:color w:val="000000" w:themeColor="text1"/>
          <w:sz w:val="22"/>
          <w:szCs w:val="22"/>
          <w:lang w:val="fr-FR"/>
        </w:rPr>
        <w:t xml:space="preserve"> (</w:t>
      </w:r>
      <w:r w:rsidR="00EE75BE" w:rsidRPr="005D062F">
        <w:rPr>
          <w:color w:val="000000" w:themeColor="text1"/>
          <w:sz w:val="22"/>
          <w:szCs w:val="22"/>
          <w:lang w:val="fr-FR"/>
        </w:rPr>
        <w:t>pénurie d’eau</w:t>
      </w:r>
      <w:r w:rsidR="001516E7" w:rsidRPr="005D062F">
        <w:rPr>
          <w:color w:val="000000" w:themeColor="text1"/>
          <w:sz w:val="22"/>
          <w:szCs w:val="22"/>
          <w:lang w:val="fr-FR"/>
        </w:rPr>
        <w:t>)</w:t>
      </w:r>
      <w:r w:rsidR="00EE75BE" w:rsidRPr="005D062F">
        <w:rPr>
          <w:color w:val="000000" w:themeColor="text1"/>
          <w:sz w:val="22"/>
          <w:szCs w:val="22"/>
          <w:lang w:val="fr-FR"/>
        </w:rPr>
        <w:t> </w:t>
      </w:r>
      <w:r w:rsidR="001516E7" w:rsidRPr="005D062F">
        <w:rPr>
          <w:color w:val="000000" w:themeColor="text1"/>
          <w:sz w:val="22"/>
          <w:szCs w:val="22"/>
          <w:lang w:val="fr-FR"/>
        </w:rPr>
        <w:t xml:space="preserve">; </w:t>
      </w:r>
      <w:r w:rsidR="00EE75BE" w:rsidRPr="005D062F">
        <w:rPr>
          <w:color w:val="000000" w:themeColor="text1"/>
          <w:sz w:val="22"/>
          <w:szCs w:val="22"/>
          <w:lang w:val="fr-FR"/>
        </w:rPr>
        <w:t xml:space="preserve">des problèmes de </w:t>
      </w:r>
      <w:r w:rsidR="00C3751E" w:rsidRPr="005D062F">
        <w:rPr>
          <w:color w:val="000000" w:themeColor="text1"/>
          <w:sz w:val="22"/>
          <w:szCs w:val="22"/>
          <w:lang w:val="fr-FR"/>
        </w:rPr>
        <w:t>n</w:t>
      </w:r>
      <w:r w:rsidR="001516E7" w:rsidRPr="005D062F">
        <w:rPr>
          <w:color w:val="000000" w:themeColor="text1"/>
          <w:sz w:val="22"/>
          <w:szCs w:val="22"/>
          <w:lang w:val="fr-FR"/>
        </w:rPr>
        <w:t xml:space="preserve">avigation </w:t>
      </w:r>
      <w:r w:rsidR="00EE75BE" w:rsidRPr="005D062F">
        <w:rPr>
          <w:color w:val="000000" w:themeColor="text1"/>
          <w:sz w:val="22"/>
          <w:szCs w:val="22"/>
          <w:lang w:val="fr-FR"/>
        </w:rPr>
        <w:t>en raison des débits faibles </w:t>
      </w:r>
      <w:r w:rsidR="001516E7" w:rsidRPr="005D062F">
        <w:rPr>
          <w:color w:val="000000" w:themeColor="text1"/>
          <w:sz w:val="22"/>
          <w:szCs w:val="22"/>
          <w:lang w:val="fr-FR"/>
        </w:rPr>
        <w:t xml:space="preserve">; </w:t>
      </w:r>
      <w:r w:rsidR="0046712B" w:rsidRPr="005D062F">
        <w:rPr>
          <w:color w:val="000000" w:themeColor="text1"/>
          <w:sz w:val="22"/>
          <w:szCs w:val="22"/>
          <w:lang w:val="fr-FR"/>
        </w:rPr>
        <w:t xml:space="preserve">de la </w:t>
      </w:r>
      <w:r w:rsidR="001516E7" w:rsidRPr="005D062F">
        <w:rPr>
          <w:color w:val="000000" w:themeColor="text1"/>
          <w:sz w:val="22"/>
          <w:szCs w:val="22"/>
          <w:lang w:val="fr-FR"/>
        </w:rPr>
        <w:t>demand</w:t>
      </w:r>
      <w:r w:rsidR="0046712B" w:rsidRPr="005D062F">
        <w:rPr>
          <w:color w:val="000000" w:themeColor="text1"/>
          <w:sz w:val="22"/>
          <w:szCs w:val="22"/>
          <w:lang w:val="fr-FR"/>
        </w:rPr>
        <w:t>e accrue</w:t>
      </w:r>
      <w:r w:rsidR="001516E7" w:rsidRPr="005D062F">
        <w:rPr>
          <w:color w:val="000000" w:themeColor="text1"/>
          <w:sz w:val="22"/>
          <w:szCs w:val="22"/>
          <w:lang w:val="fr-FR"/>
        </w:rPr>
        <w:t xml:space="preserve"> </w:t>
      </w:r>
      <w:r w:rsidR="0046712B" w:rsidRPr="005D062F">
        <w:rPr>
          <w:color w:val="000000" w:themeColor="text1"/>
          <w:sz w:val="22"/>
          <w:szCs w:val="22"/>
          <w:lang w:val="fr-FR"/>
        </w:rPr>
        <w:t>d’</w:t>
      </w:r>
      <w:r w:rsidR="001516E7" w:rsidRPr="005D062F">
        <w:rPr>
          <w:color w:val="000000" w:themeColor="text1"/>
          <w:sz w:val="22"/>
          <w:szCs w:val="22"/>
          <w:lang w:val="fr-FR"/>
        </w:rPr>
        <w:t>information</w:t>
      </w:r>
      <w:r w:rsidR="0046712B" w:rsidRPr="005D062F">
        <w:rPr>
          <w:color w:val="000000" w:themeColor="text1"/>
          <w:sz w:val="22"/>
          <w:szCs w:val="22"/>
          <w:lang w:val="fr-FR"/>
        </w:rPr>
        <w:t>s</w:t>
      </w:r>
      <w:r w:rsidR="001516E7" w:rsidRPr="005D062F">
        <w:rPr>
          <w:color w:val="000000" w:themeColor="text1"/>
          <w:sz w:val="22"/>
          <w:szCs w:val="22"/>
          <w:lang w:val="fr-FR"/>
        </w:rPr>
        <w:t xml:space="preserve"> </w:t>
      </w:r>
      <w:r w:rsidR="00EE75BE" w:rsidRPr="005D062F">
        <w:rPr>
          <w:color w:val="000000" w:themeColor="text1"/>
          <w:sz w:val="22"/>
          <w:szCs w:val="22"/>
          <w:lang w:val="fr-FR"/>
        </w:rPr>
        <w:t>en cas d’événement lié à l’eau</w:t>
      </w:r>
      <w:r w:rsidR="001516E7" w:rsidRPr="005D062F">
        <w:rPr>
          <w:color w:val="000000" w:themeColor="text1"/>
          <w:sz w:val="22"/>
          <w:szCs w:val="22"/>
          <w:lang w:val="fr-FR"/>
        </w:rPr>
        <w:t xml:space="preserve"> (</w:t>
      </w:r>
      <w:r w:rsidR="00EE75BE" w:rsidRPr="005D062F">
        <w:rPr>
          <w:color w:val="000000" w:themeColor="text1"/>
          <w:sz w:val="22"/>
          <w:szCs w:val="22"/>
          <w:lang w:val="fr-FR"/>
        </w:rPr>
        <w:t xml:space="preserve">secteur </w:t>
      </w:r>
      <w:r w:rsidR="001516E7" w:rsidRPr="005D062F">
        <w:rPr>
          <w:color w:val="000000" w:themeColor="text1"/>
          <w:sz w:val="22"/>
          <w:szCs w:val="22"/>
          <w:lang w:val="fr-FR"/>
        </w:rPr>
        <w:t>agric</w:t>
      </w:r>
      <w:r w:rsidR="00EE75BE" w:rsidRPr="005D062F">
        <w:rPr>
          <w:color w:val="000000" w:themeColor="text1"/>
          <w:sz w:val="22"/>
          <w:szCs w:val="22"/>
          <w:lang w:val="fr-FR"/>
        </w:rPr>
        <w:t xml:space="preserve">ole, santé, </w:t>
      </w:r>
      <w:r w:rsidR="001516E7" w:rsidRPr="005D062F">
        <w:rPr>
          <w:color w:val="000000" w:themeColor="text1"/>
          <w:sz w:val="22"/>
          <w:szCs w:val="22"/>
          <w:lang w:val="fr-FR"/>
        </w:rPr>
        <w:t>environ</w:t>
      </w:r>
      <w:r w:rsidR="00EE75BE" w:rsidRPr="005D062F">
        <w:rPr>
          <w:color w:val="000000" w:themeColor="text1"/>
          <w:sz w:val="22"/>
          <w:szCs w:val="22"/>
          <w:lang w:val="fr-FR"/>
        </w:rPr>
        <w:t>ne</w:t>
      </w:r>
      <w:r w:rsidR="001516E7" w:rsidRPr="005D062F">
        <w:rPr>
          <w:color w:val="000000" w:themeColor="text1"/>
          <w:sz w:val="22"/>
          <w:szCs w:val="22"/>
          <w:lang w:val="fr-FR"/>
        </w:rPr>
        <w:t>ment, etc.)</w:t>
      </w:r>
      <w:r w:rsidR="00EE75BE" w:rsidRPr="005D062F">
        <w:rPr>
          <w:color w:val="000000" w:themeColor="text1"/>
          <w:sz w:val="22"/>
          <w:szCs w:val="22"/>
          <w:lang w:val="fr-FR"/>
        </w:rPr>
        <w:t> </w:t>
      </w:r>
      <w:r w:rsidR="001516E7" w:rsidRPr="005D062F">
        <w:rPr>
          <w:color w:val="000000" w:themeColor="text1"/>
          <w:sz w:val="22"/>
          <w:szCs w:val="22"/>
          <w:lang w:val="fr-FR"/>
        </w:rPr>
        <w:t xml:space="preserve">; </w:t>
      </w:r>
      <w:r w:rsidR="00171E9D" w:rsidRPr="005D062F">
        <w:rPr>
          <w:color w:val="000000" w:themeColor="text1"/>
          <w:sz w:val="22"/>
          <w:szCs w:val="22"/>
          <w:lang w:val="fr-FR"/>
        </w:rPr>
        <w:t>ainsi que</w:t>
      </w:r>
      <w:r w:rsidR="00EE75BE" w:rsidRPr="005D062F">
        <w:rPr>
          <w:color w:val="000000" w:themeColor="text1"/>
          <w:sz w:val="22"/>
          <w:szCs w:val="22"/>
          <w:lang w:val="fr-FR"/>
        </w:rPr>
        <w:t xml:space="preserve"> des </w:t>
      </w:r>
      <w:r w:rsidR="00852D78" w:rsidRPr="005D062F">
        <w:rPr>
          <w:color w:val="000000" w:themeColor="text1"/>
          <w:sz w:val="22"/>
          <w:szCs w:val="22"/>
          <w:lang w:val="fr-FR"/>
        </w:rPr>
        <w:t xml:space="preserve">effets sur les </w:t>
      </w:r>
      <w:r w:rsidR="00EE75BE" w:rsidRPr="005D062F">
        <w:rPr>
          <w:color w:val="000000" w:themeColor="text1"/>
          <w:sz w:val="22"/>
          <w:szCs w:val="22"/>
          <w:lang w:val="fr-FR"/>
        </w:rPr>
        <w:t>pr</w:t>
      </w:r>
      <w:r w:rsidR="00852D78" w:rsidRPr="005D062F">
        <w:rPr>
          <w:color w:val="000000" w:themeColor="text1"/>
          <w:sz w:val="22"/>
          <w:szCs w:val="22"/>
          <w:lang w:val="fr-FR"/>
        </w:rPr>
        <w:t xml:space="preserve">ocessus d’épuration des eaux, le tourisme, la faune et </w:t>
      </w:r>
      <w:r w:rsidR="00EE75BE" w:rsidRPr="005D062F">
        <w:rPr>
          <w:color w:val="000000" w:themeColor="text1"/>
          <w:sz w:val="22"/>
          <w:szCs w:val="22"/>
          <w:lang w:val="fr-FR"/>
        </w:rPr>
        <w:t>la mauvaise qualité de l’eau destinée à l’</w:t>
      </w:r>
      <w:r w:rsidR="001516E7" w:rsidRPr="005D062F">
        <w:rPr>
          <w:color w:val="000000" w:themeColor="text1"/>
          <w:sz w:val="22"/>
          <w:szCs w:val="22"/>
          <w:lang w:val="fr-FR"/>
        </w:rPr>
        <w:t>irrigation.</w:t>
      </w:r>
    </w:p>
    <w:p w14:paraId="2AEE9626" w14:textId="77777777" w:rsidR="001516E7" w:rsidRPr="005D062F" w:rsidRDefault="001516E7" w:rsidP="00723DAD">
      <w:pPr>
        <w:rPr>
          <w:rFonts w:ascii="Times New Roman" w:hAnsi="Times New Roman" w:cs="Times New Roman"/>
          <w:color w:val="000000" w:themeColor="text1"/>
          <w:sz w:val="22"/>
          <w:szCs w:val="22"/>
          <w:lang w:val="fr-FR"/>
        </w:rPr>
      </w:pPr>
    </w:p>
    <w:p w14:paraId="1E03084C" w14:textId="2096CCA1" w:rsidR="001516E7" w:rsidRPr="005D062F" w:rsidRDefault="007B0804" w:rsidP="00CB030B">
      <w:pPr>
        <w:pStyle w:val="ListParagraph"/>
        <w:numPr>
          <w:ilvl w:val="0"/>
          <w:numId w:val="14"/>
        </w:numPr>
        <w:ind w:left="1440" w:hanging="720"/>
        <w:contextualSpacing/>
        <w:jc w:val="both"/>
        <w:rPr>
          <w:color w:val="000000" w:themeColor="text1"/>
          <w:sz w:val="22"/>
          <w:szCs w:val="22"/>
          <w:lang w:val="fr-FR"/>
        </w:rPr>
      </w:pPr>
      <w:r w:rsidRPr="005D062F">
        <w:rPr>
          <w:color w:val="000000" w:themeColor="text1"/>
          <w:sz w:val="22"/>
          <w:szCs w:val="22"/>
          <w:lang w:val="fr-FR"/>
        </w:rPr>
        <w:t xml:space="preserve">Le SEDI a publié le </w:t>
      </w:r>
      <w:r w:rsidR="001516E7" w:rsidRPr="005D062F">
        <w:rPr>
          <w:color w:val="000000" w:themeColor="text1"/>
          <w:sz w:val="22"/>
          <w:szCs w:val="22"/>
          <w:lang w:val="fr-FR"/>
        </w:rPr>
        <w:t>guide</w:t>
      </w:r>
      <w:r w:rsidRPr="005D062F">
        <w:rPr>
          <w:color w:val="000000" w:themeColor="text1"/>
          <w:sz w:val="22"/>
          <w:szCs w:val="22"/>
          <w:lang w:val="fr-FR"/>
        </w:rPr>
        <w:t xml:space="preserve"> « </w:t>
      </w:r>
      <w:r w:rsidRPr="005D062F">
        <w:rPr>
          <w:b/>
          <w:bCs/>
          <w:color w:val="000000" w:themeColor="text1"/>
          <w:sz w:val="22"/>
          <w:szCs w:val="22"/>
          <w:lang w:val="fr-FR"/>
        </w:rPr>
        <w:t>B</w:t>
      </w:r>
      <w:r w:rsidR="001516E7" w:rsidRPr="005D062F">
        <w:rPr>
          <w:b/>
          <w:bCs/>
          <w:color w:val="000000" w:themeColor="text1"/>
          <w:sz w:val="22"/>
          <w:szCs w:val="22"/>
          <w:lang w:val="fr-FR"/>
        </w:rPr>
        <w:t>o</w:t>
      </w:r>
      <w:r w:rsidRPr="005D062F">
        <w:rPr>
          <w:b/>
          <w:bCs/>
          <w:color w:val="000000" w:themeColor="text1"/>
          <w:sz w:val="22"/>
          <w:szCs w:val="22"/>
          <w:lang w:val="fr-FR"/>
        </w:rPr>
        <w:t>nnes pratiqu</w:t>
      </w:r>
      <w:r w:rsidR="001516E7" w:rsidRPr="005D062F">
        <w:rPr>
          <w:b/>
          <w:bCs/>
          <w:color w:val="000000" w:themeColor="text1"/>
          <w:sz w:val="22"/>
          <w:szCs w:val="22"/>
          <w:lang w:val="fr-FR"/>
        </w:rPr>
        <w:t>es</w:t>
      </w:r>
      <w:r w:rsidRPr="005D062F">
        <w:rPr>
          <w:b/>
          <w:bCs/>
          <w:color w:val="000000" w:themeColor="text1"/>
          <w:sz w:val="22"/>
          <w:szCs w:val="22"/>
          <w:lang w:val="fr-FR"/>
        </w:rPr>
        <w:t xml:space="preserve"> en matière d’atténuation du changement climatique et d’adaptation à ses effets e</w:t>
      </w:r>
      <w:r w:rsidR="001516E7" w:rsidRPr="005D062F">
        <w:rPr>
          <w:b/>
          <w:bCs/>
          <w:color w:val="000000" w:themeColor="text1"/>
          <w:sz w:val="22"/>
          <w:szCs w:val="22"/>
          <w:lang w:val="fr-FR"/>
        </w:rPr>
        <w:t xml:space="preserve">n </w:t>
      </w:r>
      <w:r w:rsidRPr="005D062F">
        <w:rPr>
          <w:b/>
          <w:bCs/>
          <w:color w:val="000000" w:themeColor="text1"/>
          <w:sz w:val="22"/>
          <w:szCs w:val="22"/>
          <w:lang w:val="fr-FR"/>
        </w:rPr>
        <w:t xml:space="preserve">Amérique latine </w:t>
      </w:r>
      <w:r w:rsidR="001516E7" w:rsidRPr="005D062F">
        <w:rPr>
          <w:b/>
          <w:bCs/>
          <w:color w:val="000000" w:themeColor="text1"/>
          <w:sz w:val="22"/>
          <w:szCs w:val="22"/>
          <w:lang w:val="fr-FR"/>
        </w:rPr>
        <w:t>e</w:t>
      </w:r>
      <w:r w:rsidRPr="005D062F">
        <w:rPr>
          <w:b/>
          <w:bCs/>
          <w:color w:val="000000" w:themeColor="text1"/>
          <w:sz w:val="22"/>
          <w:szCs w:val="22"/>
          <w:lang w:val="fr-FR"/>
        </w:rPr>
        <w:t>t dans les</w:t>
      </w:r>
      <w:r w:rsidR="001516E7" w:rsidRPr="005D062F">
        <w:rPr>
          <w:b/>
          <w:bCs/>
          <w:color w:val="000000" w:themeColor="text1"/>
          <w:sz w:val="22"/>
          <w:szCs w:val="22"/>
          <w:lang w:val="fr-FR"/>
        </w:rPr>
        <w:t xml:space="preserve"> Car</w:t>
      </w:r>
      <w:r w:rsidRPr="005D062F">
        <w:rPr>
          <w:b/>
          <w:bCs/>
          <w:color w:val="000000" w:themeColor="text1"/>
          <w:sz w:val="22"/>
          <w:szCs w:val="22"/>
          <w:lang w:val="fr-FR"/>
        </w:rPr>
        <w:t>aïbes : concept, méthodes et expé</w:t>
      </w:r>
      <w:r w:rsidR="001516E7" w:rsidRPr="005D062F">
        <w:rPr>
          <w:b/>
          <w:bCs/>
          <w:color w:val="000000" w:themeColor="text1"/>
          <w:sz w:val="22"/>
          <w:szCs w:val="22"/>
          <w:lang w:val="fr-FR"/>
        </w:rPr>
        <w:t xml:space="preserve">riences </w:t>
      </w:r>
      <w:r w:rsidRPr="005D062F">
        <w:rPr>
          <w:b/>
          <w:bCs/>
          <w:color w:val="000000" w:themeColor="text1"/>
          <w:sz w:val="22"/>
          <w:szCs w:val="22"/>
          <w:lang w:val="fr-FR"/>
        </w:rPr>
        <w:t xml:space="preserve">visant à renforcer les </w:t>
      </w:r>
      <w:r w:rsidR="001516E7" w:rsidRPr="005D062F">
        <w:rPr>
          <w:b/>
          <w:bCs/>
          <w:color w:val="000000" w:themeColor="text1"/>
          <w:sz w:val="22"/>
          <w:szCs w:val="22"/>
          <w:lang w:val="fr-FR"/>
        </w:rPr>
        <w:t xml:space="preserve">dimensions </w:t>
      </w:r>
      <w:r w:rsidRPr="005D062F">
        <w:rPr>
          <w:b/>
          <w:bCs/>
          <w:color w:val="000000" w:themeColor="text1"/>
          <w:sz w:val="22"/>
          <w:szCs w:val="22"/>
          <w:lang w:val="fr-FR"/>
        </w:rPr>
        <w:t>humaines des contributions déterminées au niveau national </w:t>
      </w:r>
      <w:r w:rsidRPr="005D062F">
        <w:rPr>
          <w:bCs/>
          <w:color w:val="000000" w:themeColor="text1"/>
          <w:sz w:val="22"/>
          <w:szCs w:val="22"/>
          <w:lang w:val="fr-FR"/>
        </w:rPr>
        <w:t>»</w:t>
      </w:r>
      <w:r w:rsidR="00C3751E" w:rsidRPr="005D062F">
        <w:rPr>
          <w:bCs/>
          <w:color w:val="000000" w:themeColor="text1"/>
          <w:sz w:val="22"/>
          <w:szCs w:val="22"/>
          <w:lang w:val="fr-FR"/>
        </w:rPr>
        <w:t>,</w:t>
      </w:r>
      <w:r w:rsidR="00F94BAE" w:rsidRPr="005D062F">
        <w:rPr>
          <w:b/>
          <w:bCs/>
          <w:color w:val="000000" w:themeColor="text1"/>
          <w:sz w:val="22"/>
          <w:szCs w:val="22"/>
          <w:lang w:val="fr-FR"/>
        </w:rPr>
        <w:t xml:space="preserve"> </w:t>
      </w:r>
      <w:r w:rsidRPr="005D062F">
        <w:rPr>
          <w:color w:val="000000" w:themeColor="text1"/>
          <w:sz w:val="22"/>
          <w:szCs w:val="22"/>
          <w:lang w:val="fr-FR"/>
        </w:rPr>
        <w:t>un projet de coopération technique entre l’OEA et la BID dirigé par la Jamaïque</w:t>
      </w:r>
      <w:r w:rsidR="001516E7" w:rsidRPr="005D062F">
        <w:rPr>
          <w:color w:val="000000" w:themeColor="text1"/>
          <w:sz w:val="22"/>
          <w:szCs w:val="22"/>
          <w:lang w:val="fr-FR"/>
        </w:rPr>
        <w:t xml:space="preserve">, </w:t>
      </w:r>
      <w:r w:rsidRPr="005D062F">
        <w:rPr>
          <w:color w:val="000000" w:themeColor="text1"/>
          <w:sz w:val="22"/>
          <w:szCs w:val="22"/>
          <w:lang w:val="fr-FR"/>
        </w:rPr>
        <w:t xml:space="preserve">le </w:t>
      </w:r>
      <w:r w:rsidR="001516E7" w:rsidRPr="005D062F">
        <w:rPr>
          <w:color w:val="000000" w:themeColor="text1"/>
          <w:sz w:val="22"/>
          <w:szCs w:val="22"/>
          <w:lang w:val="fr-FR"/>
        </w:rPr>
        <w:t>Costa Rica</w:t>
      </w:r>
      <w:r w:rsidRPr="005D062F">
        <w:rPr>
          <w:color w:val="000000" w:themeColor="text1"/>
          <w:sz w:val="22"/>
          <w:szCs w:val="22"/>
          <w:lang w:val="fr-FR"/>
        </w:rPr>
        <w:t xml:space="preserve"> et l’</w:t>
      </w:r>
      <w:r w:rsidR="001516E7" w:rsidRPr="005D062F">
        <w:rPr>
          <w:color w:val="000000" w:themeColor="text1"/>
          <w:sz w:val="22"/>
          <w:szCs w:val="22"/>
          <w:lang w:val="fr-FR"/>
        </w:rPr>
        <w:t>Uruguay.</w:t>
      </w:r>
    </w:p>
    <w:p w14:paraId="756212F0" w14:textId="77777777" w:rsidR="001516E7" w:rsidRPr="005D062F" w:rsidRDefault="001516E7" w:rsidP="00723DAD">
      <w:pPr>
        <w:rPr>
          <w:rFonts w:ascii="Times New Roman" w:hAnsi="Times New Roman" w:cs="Times New Roman"/>
          <w:color w:val="000000" w:themeColor="text1"/>
          <w:sz w:val="22"/>
          <w:szCs w:val="22"/>
          <w:lang w:val="fr-FR"/>
        </w:rPr>
      </w:pPr>
    </w:p>
    <w:p w14:paraId="4E7D7E64" w14:textId="5043EA0B" w:rsidR="001516E7" w:rsidRPr="005D062F" w:rsidRDefault="000B7151" w:rsidP="00CB030B">
      <w:pPr>
        <w:pStyle w:val="ListParagraph"/>
        <w:numPr>
          <w:ilvl w:val="0"/>
          <w:numId w:val="14"/>
        </w:numPr>
        <w:ind w:left="1440" w:hanging="720"/>
        <w:contextualSpacing/>
        <w:jc w:val="both"/>
        <w:rPr>
          <w:color w:val="000000" w:themeColor="text1"/>
          <w:sz w:val="22"/>
          <w:szCs w:val="22"/>
          <w:lang w:val="fr-FR"/>
        </w:rPr>
      </w:pPr>
      <w:r w:rsidRPr="005D062F">
        <w:rPr>
          <w:color w:val="000000" w:themeColor="text1"/>
          <w:sz w:val="22"/>
          <w:szCs w:val="22"/>
          <w:lang w:val="fr-FR"/>
        </w:rPr>
        <w:t>Il a publié le rapport intitulé « </w:t>
      </w:r>
      <w:r w:rsidR="001516E7" w:rsidRPr="005D062F">
        <w:rPr>
          <w:b/>
          <w:bCs/>
          <w:color w:val="000000" w:themeColor="text1"/>
          <w:sz w:val="22"/>
          <w:szCs w:val="22"/>
          <w:lang w:val="fr-FR"/>
        </w:rPr>
        <w:t>Bas</w:t>
      </w:r>
      <w:r w:rsidRPr="005D062F">
        <w:rPr>
          <w:b/>
          <w:bCs/>
          <w:color w:val="000000" w:themeColor="text1"/>
          <w:sz w:val="22"/>
          <w:szCs w:val="22"/>
          <w:lang w:val="fr-FR"/>
        </w:rPr>
        <w:t>s</w:t>
      </w:r>
      <w:r w:rsidR="001516E7" w:rsidRPr="005D062F">
        <w:rPr>
          <w:b/>
          <w:bCs/>
          <w:color w:val="000000" w:themeColor="text1"/>
          <w:sz w:val="22"/>
          <w:szCs w:val="22"/>
          <w:lang w:val="fr-FR"/>
        </w:rPr>
        <w:t>ins</w:t>
      </w:r>
      <w:r w:rsidRPr="005D062F">
        <w:rPr>
          <w:b/>
          <w:bCs/>
          <w:color w:val="000000" w:themeColor="text1"/>
          <w:sz w:val="22"/>
          <w:szCs w:val="22"/>
          <w:lang w:val="fr-FR"/>
        </w:rPr>
        <w:t xml:space="preserve"> transfrontaliers </w:t>
      </w:r>
      <w:r w:rsidR="001516E7" w:rsidRPr="005D062F">
        <w:rPr>
          <w:b/>
          <w:bCs/>
          <w:color w:val="000000" w:themeColor="text1"/>
          <w:sz w:val="22"/>
          <w:szCs w:val="22"/>
          <w:lang w:val="fr-FR"/>
        </w:rPr>
        <w:t xml:space="preserve">: </w:t>
      </w:r>
      <w:r w:rsidRPr="005D062F">
        <w:rPr>
          <w:b/>
          <w:bCs/>
          <w:color w:val="000000" w:themeColor="text1"/>
          <w:sz w:val="22"/>
          <w:szCs w:val="22"/>
          <w:lang w:val="fr-FR"/>
        </w:rPr>
        <w:t>l’eau et la paix dans les Amériques</w:t>
      </w:r>
      <w:r w:rsidR="00334C14" w:rsidRPr="005D062F">
        <w:rPr>
          <w:b/>
          <w:bCs/>
          <w:color w:val="000000" w:themeColor="text1"/>
          <w:sz w:val="22"/>
          <w:szCs w:val="22"/>
          <w:lang w:val="fr-FR"/>
        </w:rPr>
        <w:t xml:space="preserve"> </w:t>
      </w:r>
      <w:r w:rsidRPr="005D062F">
        <w:rPr>
          <w:b/>
          <w:bCs/>
          <w:color w:val="000000" w:themeColor="text1"/>
          <w:sz w:val="22"/>
          <w:szCs w:val="22"/>
          <w:lang w:val="fr-FR"/>
        </w:rPr>
        <w:t xml:space="preserve"> ̶</w:t>
      </w:r>
      <w:r w:rsidR="00B25E7B">
        <w:rPr>
          <w:b/>
          <w:bCs/>
          <w:color w:val="000000" w:themeColor="text1"/>
          <w:sz w:val="22"/>
          <w:szCs w:val="22"/>
          <w:lang w:val="fr-FR"/>
        </w:rPr>
        <w:t xml:space="preserve">- </w:t>
      </w:r>
      <w:r w:rsidR="001516E7" w:rsidRPr="005D062F">
        <w:rPr>
          <w:b/>
          <w:bCs/>
          <w:color w:val="000000" w:themeColor="text1"/>
          <w:sz w:val="22"/>
          <w:szCs w:val="22"/>
          <w:lang w:val="fr-FR"/>
        </w:rPr>
        <w:t>M</w:t>
      </w:r>
      <w:r w:rsidRPr="005D062F">
        <w:rPr>
          <w:b/>
          <w:bCs/>
          <w:color w:val="000000" w:themeColor="text1"/>
          <w:sz w:val="22"/>
          <w:szCs w:val="22"/>
          <w:lang w:val="fr-FR"/>
        </w:rPr>
        <w:t>é</w:t>
      </w:r>
      <w:r w:rsidR="001516E7" w:rsidRPr="005D062F">
        <w:rPr>
          <w:b/>
          <w:bCs/>
          <w:color w:val="000000" w:themeColor="text1"/>
          <w:sz w:val="22"/>
          <w:szCs w:val="22"/>
          <w:lang w:val="fr-FR"/>
        </w:rPr>
        <w:t>thodolog</w:t>
      </w:r>
      <w:r w:rsidRPr="005D062F">
        <w:rPr>
          <w:b/>
          <w:bCs/>
          <w:color w:val="000000" w:themeColor="text1"/>
          <w:sz w:val="22"/>
          <w:szCs w:val="22"/>
          <w:lang w:val="fr-FR"/>
        </w:rPr>
        <w:t>ie pour les d</w:t>
      </w:r>
      <w:r w:rsidR="001516E7" w:rsidRPr="005D062F">
        <w:rPr>
          <w:b/>
          <w:bCs/>
          <w:color w:val="000000" w:themeColor="text1"/>
          <w:sz w:val="22"/>
          <w:szCs w:val="22"/>
          <w:lang w:val="fr-FR"/>
        </w:rPr>
        <w:t>iagnos</w:t>
      </w:r>
      <w:r w:rsidRPr="005D062F">
        <w:rPr>
          <w:b/>
          <w:bCs/>
          <w:color w:val="000000" w:themeColor="text1"/>
          <w:sz w:val="22"/>
          <w:szCs w:val="22"/>
          <w:lang w:val="fr-FR"/>
        </w:rPr>
        <w:t>tics en matière de coopération et de résilience t</w:t>
      </w:r>
      <w:r w:rsidR="001516E7" w:rsidRPr="005D062F">
        <w:rPr>
          <w:b/>
          <w:bCs/>
          <w:color w:val="000000" w:themeColor="text1"/>
          <w:sz w:val="22"/>
          <w:szCs w:val="22"/>
          <w:lang w:val="fr-FR"/>
        </w:rPr>
        <w:t>rans</w:t>
      </w:r>
      <w:r w:rsidRPr="005D062F">
        <w:rPr>
          <w:b/>
          <w:bCs/>
          <w:color w:val="000000" w:themeColor="text1"/>
          <w:sz w:val="22"/>
          <w:szCs w:val="22"/>
          <w:lang w:val="fr-FR"/>
        </w:rPr>
        <w:t>frontalières </w:t>
      </w:r>
      <w:r w:rsidRPr="005D062F">
        <w:rPr>
          <w:bCs/>
          <w:color w:val="000000" w:themeColor="text1"/>
          <w:sz w:val="22"/>
          <w:szCs w:val="22"/>
          <w:lang w:val="fr-FR"/>
        </w:rPr>
        <w:t>»</w:t>
      </w:r>
      <w:r w:rsidR="00C3751E" w:rsidRPr="005D062F">
        <w:rPr>
          <w:bCs/>
          <w:color w:val="000000" w:themeColor="text1"/>
          <w:sz w:val="22"/>
          <w:szCs w:val="22"/>
          <w:lang w:val="fr-FR"/>
        </w:rPr>
        <w:t>.</w:t>
      </w:r>
    </w:p>
    <w:p w14:paraId="3F66B040" w14:textId="77777777" w:rsidR="001516E7" w:rsidRPr="005D062F" w:rsidRDefault="001516E7" w:rsidP="00723DAD">
      <w:pPr>
        <w:rPr>
          <w:rFonts w:ascii="Times New Roman" w:hAnsi="Times New Roman" w:cs="Times New Roman"/>
          <w:color w:val="000000" w:themeColor="text1"/>
          <w:sz w:val="22"/>
          <w:szCs w:val="22"/>
          <w:lang w:val="fr-FR"/>
        </w:rPr>
      </w:pPr>
    </w:p>
    <w:p w14:paraId="61844CA2" w14:textId="02E9CCED" w:rsidR="001516E7" w:rsidRPr="005D062F" w:rsidRDefault="0017474C" w:rsidP="00CB030B">
      <w:pPr>
        <w:pStyle w:val="ListParagraph"/>
        <w:numPr>
          <w:ilvl w:val="0"/>
          <w:numId w:val="14"/>
        </w:numPr>
        <w:ind w:left="1440" w:hanging="720"/>
        <w:contextualSpacing/>
        <w:jc w:val="both"/>
        <w:rPr>
          <w:color w:val="000000" w:themeColor="text1"/>
          <w:sz w:val="22"/>
          <w:szCs w:val="22"/>
          <w:lang w:val="fr-FR"/>
        </w:rPr>
      </w:pPr>
      <w:r w:rsidRPr="005D062F">
        <w:rPr>
          <w:color w:val="000000" w:themeColor="text1"/>
          <w:sz w:val="22"/>
          <w:szCs w:val="22"/>
          <w:lang w:val="fr-FR"/>
        </w:rPr>
        <w:t xml:space="preserve">Il a commencé à élaborer un programme de renforcement des capacités en matière d’obligations vertes dans les bassins transfrontaliers. Ce </w:t>
      </w:r>
      <w:r w:rsidR="001516E7" w:rsidRPr="005D062F">
        <w:rPr>
          <w:color w:val="000000" w:themeColor="text1"/>
          <w:sz w:val="22"/>
          <w:szCs w:val="22"/>
          <w:lang w:val="fr-FR"/>
        </w:rPr>
        <w:t>program</w:t>
      </w:r>
      <w:r w:rsidRPr="005D062F">
        <w:rPr>
          <w:color w:val="000000" w:themeColor="text1"/>
          <w:sz w:val="22"/>
          <w:szCs w:val="22"/>
          <w:lang w:val="fr-FR"/>
        </w:rPr>
        <w:t xml:space="preserve">me sera financé par la </w:t>
      </w:r>
      <w:r w:rsidR="00C3751E" w:rsidRPr="005D062F">
        <w:rPr>
          <w:color w:val="000000" w:themeColor="text1"/>
          <w:sz w:val="22"/>
          <w:szCs w:val="22"/>
          <w:lang w:val="fr-FR"/>
        </w:rPr>
        <w:t>GIZ</w:t>
      </w:r>
      <w:r w:rsidR="001516E7" w:rsidRPr="005D062F">
        <w:rPr>
          <w:color w:val="000000" w:themeColor="text1"/>
          <w:sz w:val="22"/>
          <w:szCs w:val="22"/>
          <w:lang w:val="fr-FR"/>
        </w:rPr>
        <w:t xml:space="preserve"> </w:t>
      </w:r>
      <w:r w:rsidRPr="005D062F">
        <w:rPr>
          <w:color w:val="000000" w:themeColor="text1"/>
          <w:sz w:val="22"/>
          <w:szCs w:val="22"/>
          <w:lang w:val="fr-FR"/>
        </w:rPr>
        <w:t>et mis en œuvre de concert avec la BID</w:t>
      </w:r>
      <w:r w:rsidR="001516E7" w:rsidRPr="005D062F">
        <w:rPr>
          <w:color w:val="000000" w:themeColor="text1"/>
          <w:sz w:val="22"/>
          <w:szCs w:val="22"/>
          <w:lang w:val="fr-FR"/>
        </w:rPr>
        <w:t xml:space="preserve">. </w:t>
      </w:r>
    </w:p>
    <w:p w14:paraId="2B7CC456" w14:textId="77777777" w:rsidR="001516E7" w:rsidRPr="005D062F" w:rsidRDefault="001516E7" w:rsidP="00723DAD">
      <w:pPr>
        <w:rPr>
          <w:rFonts w:ascii="Times New Roman" w:hAnsi="Times New Roman" w:cs="Times New Roman"/>
          <w:color w:val="000000" w:themeColor="text1"/>
          <w:sz w:val="22"/>
          <w:szCs w:val="22"/>
          <w:lang w:val="fr-FR"/>
        </w:rPr>
      </w:pPr>
    </w:p>
    <w:p w14:paraId="6C84D6C7" w14:textId="425A2F1B" w:rsidR="001516E7" w:rsidRPr="005D062F" w:rsidRDefault="00D44F63" w:rsidP="00CB030B">
      <w:pPr>
        <w:pStyle w:val="ListParagraph"/>
        <w:numPr>
          <w:ilvl w:val="0"/>
          <w:numId w:val="14"/>
        </w:numPr>
        <w:ind w:left="1440" w:hanging="720"/>
        <w:contextualSpacing/>
        <w:jc w:val="both"/>
        <w:rPr>
          <w:color w:val="000000" w:themeColor="text1"/>
          <w:sz w:val="22"/>
          <w:szCs w:val="22"/>
          <w:lang w:val="fr-FR"/>
        </w:rPr>
      </w:pPr>
      <w:r w:rsidRPr="005D062F">
        <w:rPr>
          <w:color w:val="000000" w:themeColor="text1"/>
          <w:sz w:val="22"/>
          <w:szCs w:val="22"/>
          <w:lang w:val="fr-FR"/>
        </w:rPr>
        <w:t xml:space="preserve">Il a commencé à élaborer des propositions de projet pour promouvoir la gestion </w:t>
      </w:r>
      <w:r w:rsidR="00387BDF" w:rsidRPr="005D062F">
        <w:rPr>
          <w:color w:val="000000" w:themeColor="text1"/>
          <w:sz w:val="22"/>
          <w:szCs w:val="22"/>
          <w:lang w:val="fr-FR"/>
        </w:rPr>
        <w:t>d</w:t>
      </w:r>
      <w:r w:rsidRPr="005D062F">
        <w:rPr>
          <w:color w:val="000000" w:themeColor="text1"/>
          <w:sz w:val="22"/>
          <w:szCs w:val="22"/>
          <w:lang w:val="fr-FR"/>
        </w:rPr>
        <w:t xml:space="preserve">urable des écosystèmes et bassins stratégiques de la région du </w:t>
      </w:r>
      <w:r w:rsidR="001516E7" w:rsidRPr="005D062F">
        <w:rPr>
          <w:color w:val="000000" w:themeColor="text1"/>
          <w:sz w:val="22"/>
          <w:szCs w:val="22"/>
          <w:lang w:val="fr-FR"/>
        </w:rPr>
        <w:t>Trifinio</w:t>
      </w:r>
      <w:r w:rsidR="00315CC5" w:rsidRPr="005D062F">
        <w:rPr>
          <w:color w:val="000000" w:themeColor="text1"/>
          <w:sz w:val="22"/>
          <w:szCs w:val="22"/>
          <w:lang w:val="fr-FR"/>
        </w:rPr>
        <w:t>, à savoir le bassin hydrographique de</w:t>
      </w:r>
      <w:r w:rsidR="001516E7" w:rsidRPr="005D062F">
        <w:rPr>
          <w:color w:val="000000" w:themeColor="text1"/>
          <w:sz w:val="22"/>
          <w:szCs w:val="22"/>
          <w:lang w:val="fr-FR"/>
        </w:rPr>
        <w:t xml:space="preserve"> Sumpul, </w:t>
      </w:r>
      <w:r w:rsidR="00315CC5" w:rsidRPr="005D062F">
        <w:rPr>
          <w:color w:val="000000" w:themeColor="text1"/>
          <w:sz w:val="22"/>
          <w:szCs w:val="22"/>
          <w:lang w:val="fr-FR"/>
        </w:rPr>
        <w:t xml:space="preserve">le lac </w:t>
      </w:r>
      <w:r w:rsidR="001516E7" w:rsidRPr="005D062F">
        <w:rPr>
          <w:color w:val="000000" w:themeColor="text1"/>
          <w:sz w:val="22"/>
          <w:szCs w:val="22"/>
          <w:lang w:val="fr-FR"/>
        </w:rPr>
        <w:t xml:space="preserve">Guija </w:t>
      </w:r>
      <w:r w:rsidR="00315CC5" w:rsidRPr="005D062F">
        <w:rPr>
          <w:color w:val="000000" w:themeColor="text1"/>
          <w:sz w:val="22"/>
          <w:szCs w:val="22"/>
          <w:lang w:val="fr-FR"/>
        </w:rPr>
        <w:t>et l’aquifère d’Ocotepeque-Citala</w:t>
      </w:r>
      <w:r w:rsidR="001516E7" w:rsidRPr="005D062F">
        <w:rPr>
          <w:color w:val="000000" w:themeColor="text1"/>
          <w:sz w:val="22"/>
          <w:szCs w:val="22"/>
          <w:lang w:val="fr-FR"/>
        </w:rPr>
        <w:t xml:space="preserve">. </w:t>
      </w:r>
      <w:r w:rsidR="00315CC5" w:rsidRPr="005D062F">
        <w:rPr>
          <w:color w:val="000000" w:themeColor="text1"/>
          <w:sz w:val="22"/>
          <w:szCs w:val="22"/>
          <w:lang w:val="fr-FR"/>
        </w:rPr>
        <w:t xml:space="preserve">La </w:t>
      </w:r>
      <w:r w:rsidR="001516E7" w:rsidRPr="005D062F">
        <w:rPr>
          <w:color w:val="000000" w:themeColor="text1"/>
          <w:sz w:val="22"/>
          <w:szCs w:val="22"/>
          <w:lang w:val="fr-FR"/>
        </w:rPr>
        <w:t>B</w:t>
      </w:r>
      <w:r w:rsidR="00315CC5" w:rsidRPr="005D062F">
        <w:rPr>
          <w:color w:val="000000" w:themeColor="text1"/>
          <w:sz w:val="22"/>
          <w:szCs w:val="22"/>
          <w:lang w:val="fr-FR"/>
        </w:rPr>
        <w:t>ID et la SAD</w:t>
      </w:r>
      <w:r w:rsidR="009C19FE" w:rsidRPr="005D062F">
        <w:rPr>
          <w:color w:val="000000" w:themeColor="text1"/>
          <w:sz w:val="22"/>
          <w:szCs w:val="22"/>
          <w:lang w:val="fr-FR"/>
        </w:rPr>
        <w:t xml:space="preserve"> sont les </w:t>
      </w:r>
      <w:r w:rsidR="001516E7" w:rsidRPr="005D062F">
        <w:rPr>
          <w:color w:val="000000" w:themeColor="text1"/>
          <w:sz w:val="22"/>
          <w:szCs w:val="22"/>
          <w:lang w:val="fr-FR"/>
        </w:rPr>
        <w:t>part</w:t>
      </w:r>
      <w:r w:rsidR="009C19FE" w:rsidRPr="005D062F">
        <w:rPr>
          <w:color w:val="000000" w:themeColor="text1"/>
          <w:sz w:val="22"/>
          <w:szCs w:val="22"/>
          <w:lang w:val="fr-FR"/>
        </w:rPr>
        <w:t>enai</w:t>
      </w:r>
      <w:r w:rsidR="001516E7" w:rsidRPr="005D062F">
        <w:rPr>
          <w:color w:val="000000" w:themeColor="text1"/>
          <w:sz w:val="22"/>
          <w:szCs w:val="22"/>
          <w:lang w:val="fr-FR"/>
        </w:rPr>
        <w:t>r</w:t>
      </w:r>
      <w:r w:rsidR="009C19FE" w:rsidRPr="005D062F">
        <w:rPr>
          <w:color w:val="000000" w:themeColor="text1"/>
          <w:sz w:val="22"/>
          <w:szCs w:val="22"/>
          <w:lang w:val="fr-FR"/>
        </w:rPr>
        <w:t>e</w:t>
      </w:r>
      <w:r w:rsidR="001516E7" w:rsidRPr="005D062F">
        <w:rPr>
          <w:color w:val="000000" w:themeColor="text1"/>
          <w:sz w:val="22"/>
          <w:szCs w:val="22"/>
          <w:lang w:val="fr-FR"/>
        </w:rPr>
        <w:t xml:space="preserve">s </w:t>
      </w:r>
      <w:r w:rsidR="009C19FE" w:rsidRPr="005D062F">
        <w:rPr>
          <w:color w:val="000000" w:themeColor="text1"/>
          <w:sz w:val="22"/>
          <w:szCs w:val="22"/>
          <w:lang w:val="fr-FR"/>
        </w:rPr>
        <w:t xml:space="preserve">de cette </w:t>
      </w:r>
      <w:r w:rsidR="001516E7" w:rsidRPr="005D062F">
        <w:rPr>
          <w:color w:val="000000" w:themeColor="text1"/>
          <w:sz w:val="22"/>
          <w:szCs w:val="22"/>
          <w:lang w:val="fr-FR"/>
        </w:rPr>
        <w:t>initiative.</w:t>
      </w:r>
    </w:p>
    <w:p w14:paraId="3F3091B2" w14:textId="77777777" w:rsidR="001516E7" w:rsidRPr="005D062F" w:rsidRDefault="001516E7" w:rsidP="00723DAD">
      <w:pPr>
        <w:rPr>
          <w:rFonts w:ascii="Times New Roman" w:hAnsi="Times New Roman" w:cs="Times New Roman"/>
          <w:color w:val="000000" w:themeColor="text1"/>
          <w:sz w:val="22"/>
          <w:szCs w:val="22"/>
          <w:lang w:val="fr-FR"/>
        </w:rPr>
      </w:pPr>
    </w:p>
    <w:p w14:paraId="455227D0" w14:textId="4AD79C7D" w:rsidR="001516E7" w:rsidRPr="005D062F" w:rsidRDefault="00387BDF" w:rsidP="00CB030B">
      <w:pPr>
        <w:pStyle w:val="ListParagraph"/>
        <w:numPr>
          <w:ilvl w:val="0"/>
          <w:numId w:val="14"/>
        </w:numPr>
        <w:ind w:left="1440" w:hanging="720"/>
        <w:contextualSpacing/>
        <w:jc w:val="both"/>
        <w:rPr>
          <w:color w:val="000000" w:themeColor="text1"/>
          <w:sz w:val="22"/>
          <w:szCs w:val="22"/>
          <w:lang w:val="fr-FR"/>
        </w:rPr>
      </w:pPr>
      <w:r w:rsidRPr="005D062F">
        <w:rPr>
          <w:color w:val="000000" w:themeColor="text1"/>
          <w:sz w:val="22"/>
          <w:szCs w:val="22"/>
          <w:lang w:val="fr-FR"/>
        </w:rPr>
        <w:t xml:space="preserve">Le </w:t>
      </w:r>
      <w:r w:rsidR="001516E7" w:rsidRPr="005D062F">
        <w:rPr>
          <w:color w:val="000000" w:themeColor="text1"/>
          <w:sz w:val="22"/>
          <w:szCs w:val="22"/>
          <w:lang w:val="fr-FR"/>
        </w:rPr>
        <w:t>S</w:t>
      </w:r>
      <w:r w:rsidRPr="005D062F">
        <w:rPr>
          <w:color w:val="000000" w:themeColor="text1"/>
          <w:sz w:val="22"/>
          <w:szCs w:val="22"/>
          <w:lang w:val="fr-FR"/>
        </w:rPr>
        <w:t xml:space="preserve">EDI </w:t>
      </w:r>
      <w:r w:rsidR="00EC458A" w:rsidRPr="005D062F">
        <w:rPr>
          <w:color w:val="000000" w:themeColor="text1"/>
          <w:sz w:val="22"/>
          <w:szCs w:val="22"/>
          <w:lang w:val="fr-FR"/>
        </w:rPr>
        <w:t xml:space="preserve">a obtenu des fonds d’amorçage dans la coopération technique avec la BID pour élaborer un projet intitulé </w:t>
      </w:r>
      <w:r w:rsidR="00EC458A" w:rsidRPr="005D062F">
        <w:rPr>
          <w:bCs/>
          <w:color w:val="000000" w:themeColor="text1"/>
          <w:sz w:val="22"/>
          <w:szCs w:val="22"/>
          <w:lang w:val="fr-FR"/>
        </w:rPr>
        <w:t>« </w:t>
      </w:r>
      <w:r w:rsidR="001516E7" w:rsidRPr="005D062F">
        <w:rPr>
          <w:b/>
          <w:bCs/>
          <w:color w:val="000000" w:themeColor="text1"/>
          <w:sz w:val="22"/>
          <w:szCs w:val="22"/>
          <w:lang w:val="fr-FR"/>
        </w:rPr>
        <w:t>Promo</w:t>
      </w:r>
      <w:r w:rsidR="00EC458A" w:rsidRPr="005D062F">
        <w:rPr>
          <w:b/>
          <w:bCs/>
          <w:color w:val="000000" w:themeColor="text1"/>
          <w:sz w:val="22"/>
          <w:szCs w:val="22"/>
          <w:lang w:val="fr-FR"/>
        </w:rPr>
        <w:t>uvoir la gestion durable de l’île d’</w:t>
      </w:r>
      <w:r w:rsidR="001516E7" w:rsidRPr="005D062F">
        <w:rPr>
          <w:b/>
          <w:bCs/>
          <w:color w:val="000000" w:themeColor="text1"/>
          <w:sz w:val="22"/>
          <w:szCs w:val="22"/>
          <w:lang w:val="fr-FR"/>
        </w:rPr>
        <w:t>Hispaniola</w:t>
      </w:r>
      <w:r w:rsidR="00EC458A" w:rsidRPr="005D062F">
        <w:rPr>
          <w:b/>
          <w:bCs/>
          <w:color w:val="000000" w:themeColor="text1"/>
          <w:sz w:val="22"/>
          <w:szCs w:val="22"/>
          <w:lang w:val="fr-FR"/>
        </w:rPr>
        <w:t> </w:t>
      </w:r>
      <w:r w:rsidR="00EC458A" w:rsidRPr="005D062F">
        <w:rPr>
          <w:bCs/>
          <w:color w:val="000000" w:themeColor="text1"/>
          <w:sz w:val="22"/>
          <w:szCs w:val="22"/>
          <w:lang w:val="fr-FR"/>
        </w:rPr>
        <w:t>», une attention particulière étant portée au bassin hydrographique d’</w:t>
      </w:r>
      <w:r w:rsidR="00EC458A" w:rsidRPr="005D062F">
        <w:rPr>
          <w:color w:val="000000" w:themeColor="text1"/>
          <w:sz w:val="22"/>
          <w:szCs w:val="22"/>
          <w:lang w:val="fr-FR"/>
        </w:rPr>
        <w:t>Artibonite</w:t>
      </w:r>
      <w:r w:rsidR="00C3751E" w:rsidRPr="005D062F">
        <w:rPr>
          <w:color w:val="000000" w:themeColor="text1"/>
          <w:sz w:val="22"/>
          <w:szCs w:val="22"/>
          <w:lang w:val="fr-FR"/>
        </w:rPr>
        <w:t xml:space="preserve">. </w:t>
      </w:r>
      <w:r w:rsidR="00EC458A" w:rsidRPr="005D062F">
        <w:rPr>
          <w:color w:val="000000" w:themeColor="text1"/>
          <w:sz w:val="22"/>
          <w:szCs w:val="22"/>
          <w:lang w:val="fr-FR"/>
        </w:rPr>
        <w:t xml:space="preserve">Le projet doit être présenté au FEM pour bénéficier de fonds supplémentaires au cours du premier semestre </w:t>
      </w:r>
      <w:r w:rsidR="001516E7" w:rsidRPr="005D062F">
        <w:rPr>
          <w:color w:val="000000" w:themeColor="text1"/>
          <w:sz w:val="22"/>
          <w:szCs w:val="22"/>
          <w:lang w:val="fr-FR"/>
        </w:rPr>
        <w:t>2023.</w:t>
      </w:r>
    </w:p>
    <w:p w14:paraId="7BCE41B5" w14:textId="77777777" w:rsidR="001516E7" w:rsidRPr="005D062F" w:rsidRDefault="001516E7" w:rsidP="00723DAD">
      <w:pPr>
        <w:rPr>
          <w:rFonts w:ascii="Times New Roman" w:hAnsi="Times New Roman" w:cs="Times New Roman"/>
          <w:color w:val="000000" w:themeColor="text1"/>
          <w:sz w:val="22"/>
          <w:szCs w:val="22"/>
          <w:lang w:val="fr-FR"/>
        </w:rPr>
      </w:pPr>
    </w:p>
    <w:p w14:paraId="32BBB337" w14:textId="7E84CAB2" w:rsidR="001516E7" w:rsidRPr="005D062F" w:rsidRDefault="00387BDF" w:rsidP="00CB030B">
      <w:pPr>
        <w:pStyle w:val="ListParagraph"/>
        <w:numPr>
          <w:ilvl w:val="0"/>
          <w:numId w:val="14"/>
        </w:numPr>
        <w:ind w:left="1440" w:hanging="720"/>
        <w:contextualSpacing/>
        <w:jc w:val="both"/>
        <w:rPr>
          <w:color w:val="000000" w:themeColor="text1"/>
          <w:sz w:val="22"/>
          <w:szCs w:val="22"/>
          <w:lang w:val="fr-FR"/>
        </w:rPr>
      </w:pPr>
      <w:r w:rsidRPr="005D062F">
        <w:rPr>
          <w:color w:val="000000" w:themeColor="text1"/>
          <w:sz w:val="22"/>
          <w:szCs w:val="22"/>
          <w:lang w:val="fr-FR"/>
        </w:rPr>
        <w:t xml:space="preserve">Il a lancé un </w:t>
      </w:r>
      <w:r w:rsidR="001516E7" w:rsidRPr="005D062F">
        <w:rPr>
          <w:color w:val="000000" w:themeColor="text1"/>
          <w:sz w:val="22"/>
          <w:szCs w:val="22"/>
          <w:lang w:val="fr-FR"/>
        </w:rPr>
        <w:t>process</w:t>
      </w:r>
      <w:r w:rsidRPr="005D062F">
        <w:rPr>
          <w:color w:val="000000" w:themeColor="text1"/>
          <w:sz w:val="22"/>
          <w:szCs w:val="22"/>
          <w:lang w:val="fr-FR"/>
        </w:rPr>
        <w:t>us de cocréation</w:t>
      </w:r>
      <w:r w:rsidR="001516E7" w:rsidRPr="005D062F">
        <w:rPr>
          <w:color w:val="000000" w:themeColor="text1"/>
          <w:sz w:val="22"/>
          <w:szCs w:val="22"/>
          <w:lang w:val="fr-FR"/>
        </w:rPr>
        <w:t xml:space="preserve"> </w:t>
      </w:r>
      <w:r w:rsidRPr="005D062F">
        <w:rPr>
          <w:color w:val="000000" w:themeColor="text1"/>
          <w:sz w:val="22"/>
          <w:szCs w:val="22"/>
          <w:lang w:val="fr-FR"/>
        </w:rPr>
        <w:t xml:space="preserve">avec l’Agence suédoise de coopération internationale au développement concernant </w:t>
      </w:r>
      <w:r w:rsidRPr="005D062F">
        <w:rPr>
          <w:b/>
          <w:color w:val="000000" w:themeColor="text1"/>
          <w:sz w:val="22"/>
          <w:szCs w:val="22"/>
          <w:lang w:val="fr-FR"/>
        </w:rPr>
        <w:t>l’</w:t>
      </w:r>
      <w:r w:rsidRPr="005D062F">
        <w:rPr>
          <w:b/>
          <w:bCs/>
          <w:color w:val="000000" w:themeColor="text1"/>
          <w:sz w:val="22"/>
          <w:szCs w:val="22"/>
          <w:lang w:val="fr-FR"/>
        </w:rPr>
        <w:t>accélérateur de développement et les stratégies financières pour les bassins transfrontaliers en Amérique latine et dans les Caraïbes</w:t>
      </w:r>
      <w:r w:rsidR="00C3751E" w:rsidRPr="005D062F">
        <w:rPr>
          <w:b/>
          <w:bCs/>
          <w:color w:val="000000" w:themeColor="text1"/>
          <w:sz w:val="22"/>
          <w:szCs w:val="22"/>
          <w:lang w:val="fr-FR"/>
        </w:rPr>
        <w:t>.</w:t>
      </w:r>
    </w:p>
    <w:p w14:paraId="65D72590" w14:textId="77777777" w:rsidR="001516E7" w:rsidRPr="005D062F" w:rsidRDefault="001516E7" w:rsidP="00723DAD">
      <w:pPr>
        <w:rPr>
          <w:rFonts w:ascii="Times New Roman" w:hAnsi="Times New Roman" w:cs="Times New Roman"/>
          <w:color w:val="000000" w:themeColor="text1"/>
          <w:sz w:val="22"/>
          <w:szCs w:val="22"/>
          <w:lang w:val="fr-FR"/>
        </w:rPr>
      </w:pPr>
    </w:p>
    <w:p w14:paraId="09C8E453" w14:textId="3ACBC244" w:rsidR="001516E7" w:rsidRPr="005D062F" w:rsidRDefault="000A7A59" w:rsidP="00CB030B">
      <w:pPr>
        <w:pStyle w:val="ListParagraph"/>
        <w:numPr>
          <w:ilvl w:val="0"/>
          <w:numId w:val="14"/>
        </w:numPr>
        <w:ind w:left="1440" w:hanging="720"/>
        <w:contextualSpacing/>
        <w:jc w:val="both"/>
        <w:rPr>
          <w:color w:val="000000" w:themeColor="text1"/>
          <w:sz w:val="22"/>
          <w:szCs w:val="22"/>
          <w:lang w:val="fr-FR"/>
        </w:rPr>
      </w:pPr>
      <w:r w:rsidRPr="005D062F">
        <w:rPr>
          <w:color w:val="000000"/>
          <w:sz w:val="22"/>
          <w:szCs w:val="22"/>
          <w:lang w:val="fr-FR"/>
        </w:rPr>
        <w:t>Il a élaboré et présenté au FEM</w:t>
      </w:r>
      <w:r w:rsidRPr="005D062F">
        <w:rPr>
          <w:bCs/>
          <w:color w:val="000000" w:themeColor="text1"/>
          <w:sz w:val="22"/>
          <w:szCs w:val="22"/>
          <w:lang w:val="fr-FR"/>
        </w:rPr>
        <w:t xml:space="preserve">, en </w:t>
      </w:r>
      <w:r w:rsidR="001516E7" w:rsidRPr="005D062F">
        <w:rPr>
          <w:color w:val="000000"/>
          <w:sz w:val="22"/>
          <w:szCs w:val="22"/>
          <w:lang w:val="fr-FR"/>
        </w:rPr>
        <w:t>coordination</w:t>
      </w:r>
      <w:r w:rsidRPr="005D062F">
        <w:rPr>
          <w:color w:val="000000"/>
          <w:sz w:val="22"/>
          <w:szCs w:val="22"/>
          <w:lang w:val="fr-FR"/>
        </w:rPr>
        <w:t xml:space="preserve"> avec la SAD et les </w:t>
      </w:r>
      <w:r w:rsidR="005F2C83" w:rsidRPr="005D062F">
        <w:rPr>
          <w:color w:val="000000"/>
          <w:sz w:val="22"/>
          <w:szCs w:val="22"/>
          <w:lang w:val="fr-FR"/>
        </w:rPr>
        <w:t>G</w:t>
      </w:r>
      <w:r w:rsidR="001516E7" w:rsidRPr="005D062F">
        <w:rPr>
          <w:color w:val="000000"/>
          <w:sz w:val="22"/>
          <w:szCs w:val="22"/>
          <w:lang w:val="fr-FR"/>
        </w:rPr>
        <w:t>o</w:t>
      </w:r>
      <w:r w:rsidRPr="005D062F">
        <w:rPr>
          <w:color w:val="000000"/>
          <w:sz w:val="22"/>
          <w:szCs w:val="22"/>
          <w:lang w:val="fr-FR"/>
        </w:rPr>
        <w:t>u</w:t>
      </w:r>
      <w:r w:rsidR="001516E7" w:rsidRPr="005D062F">
        <w:rPr>
          <w:color w:val="000000"/>
          <w:sz w:val="22"/>
          <w:szCs w:val="22"/>
          <w:lang w:val="fr-FR"/>
        </w:rPr>
        <w:t>vern</w:t>
      </w:r>
      <w:r w:rsidRPr="005D062F">
        <w:rPr>
          <w:color w:val="000000"/>
          <w:sz w:val="22"/>
          <w:szCs w:val="22"/>
          <w:lang w:val="fr-FR"/>
        </w:rPr>
        <w:t>e</w:t>
      </w:r>
      <w:r w:rsidR="001516E7" w:rsidRPr="005D062F">
        <w:rPr>
          <w:color w:val="000000"/>
          <w:sz w:val="22"/>
          <w:szCs w:val="22"/>
          <w:lang w:val="fr-FR"/>
        </w:rPr>
        <w:t>ments</w:t>
      </w:r>
      <w:r w:rsidRPr="005D062F">
        <w:rPr>
          <w:color w:val="000000"/>
          <w:sz w:val="22"/>
          <w:szCs w:val="22"/>
          <w:lang w:val="fr-FR"/>
        </w:rPr>
        <w:t xml:space="preserve"> argentin et bolivien, le projet « </w:t>
      </w:r>
      <w:r w:rsidRPr="005D062F">
        <w:rPr>
          <w:b/>
          <w:color w:val="000000"/>
          <w:sz w:val="22"/>
          <w:szCs w:val="22"/>
          <w:lang w:val="fr-FR"/>
        </w:rPr>
        <w:t>Gestion intégrée des ressources hydriques dans le bassin transfrontalier du fleuve</w:t>
      </w:r>
      <w:r w:rsidRPr="005D062F">
        <w:rPr>
          <w:color w:val="000000"/>
          <w:sz w:val="22"/>
          <w:szCs w:val="22"/>
          <w:lang w:val="fr-FR"/>
        </w:rPr>
        <w:t xml:space="preserve"> </w:t>
      </w:r>
      <w:r w:rsidR="001516E7" w:rsidRPr="005D062F">
        <w:rPr>
          <w:b/>
          <w:bCs/>
          <w:color w:val="000000"/>
          <w:sz w:val="22"/>
          <w:szCs w:val="22"/>
          <w:lang w:val="fr-FR"/>
        </w:rPr>
        <w:t>Bermejo</w:t>
      </w:r>
      <w:r w:rsidRPr="005D062F">
        <w:rPr>
          <w:b/>
          <w:bCs/>
          <w:color w:val="000000"/>
          <w:sz w:val="22"/>
          <w:szCs w:val="22"/>
          <w:lang w:val="fr-FR"/>
        </w:rPr>
        <w:t> </w:t>
      </w:r>
      <w:r w:rsidRPr="005D062F">
        <w:rPr>
          <w:bCs/>
          <w:color w:val="000000"/>
          <w:sz w:val="22"/>
          <w:szCs w:val="22"/>
          <w:lang w:val="fr-FR"/>
        </w:rPr>
        <w:t>»,</w:t>
      </w:r>
      <w:r w:rsidR="001516E7" w:rsidRPr="005D062F">
        <w:rPr>
          <w:b/>
          <w:bCs/>
          <w:color w:val="000000"/>
          <w:sz w:val="22"/>
          <w:szCs w:val="22"/>
          <w:lang w:val="fr-FR"/>
        </w:rPr>
        <w:t xml:space="preserve"> </w:t>
      </w:r>
      <w:r w:rsidRPr="005D062F">
        <w:rPr>
          <w:bCs/>
          <w:color w:val="000000"/>
          <w:sz w:val="22"/>
          <w:szCs w:val="22"/>
          <w:lang w:val="fr-FR"/>
        </w:rPr>
        <w:t xml:space="preserve">devant être financé par la SAD à hauteur de </w:t>
      </w:r>
      <w:r w:rsidR="001516E7" w:rsidRPr="005D062F">
        <w:rPr>
          <w:color w:val="000000"/>
          <w:sz w:val="22"/>
          <w:szCs w:val="22"/>
          <w:lang w:val="fr-FR"/>
        </w:rPr>
        <w:t>6</w:t>
      </w:r>
      <w:r w:rsidRPr="005D062F">
        <w:rPr>
          <w:color w:val="000000"/>
          <w:sz w:val="22"/>
          <w:szCs w:val="22"/>
          <w:lang w:val="fr-FR"/>
        </w:rPr>
        <w:t> </w:t>
      </w:r>
      <w:r w:rsidR="00C3751E" w:rsidRPr="005D062F">
        <w:rPr>
          <w:color w:val="000000"/>
          <w:sz w:val="22"/>
          <w:szCs w:val="22"/>
          <w:lang w:val="fr-FR"/>
        </w:rPr>
        <w:t>million</w:t>
      </w:r>
      <w:r w:rsidRPr="005D062F">
        <w:rPr>
          <w:color w:val="000000"/>
          <w:sz w:val="22"/>
          <w:szCs w:val="22"/>
          <w:lang w:val="fr-FR"/>
        </w:rPr>
        <w:t>s USD et exécuté sur la période</w:t>
      </w:r>
      <w:r w:rsidR="001516E7" w:rsidRPr="005D062F">
        <w:rPr>
          <w:color w:val="000000"/>
          <w:sz w:val="22"/>
          <w:szCs w:val="22"/>
          <w:lang w:val="fr-FR"/>
        </w:rPr>
        <w:t xml:space="preserve"> 2024-2028. </w:t>
      </w:r>
      <w:r w:rsidRPr="005D062F">
        <w:rPr>
          <w:color w:val="000000"/>
          <w:sz w:val="22"/>
          <w:szCs w:val="22"/>
          <w:lang w:val="fr-FR"/>
        </w:rPr>
        <w:t>Le proje</w:t>
      </w:r>
      <w:r w:rsidR="001516E7" w:rsidRPr="005D062F">
        <w:rPr>
          <w:color w:val="000000"/>
          <w:sz w:val="22"/>
          <w:szCs w:val="22"/>
          <w:lang w:val="fr-FR"/>
        </w:rPr>
        <w:t>t</w:t>
      </w:r>
      <w:r w:rsidRPr="005D062F">
        <w:rPr>
          <w:color w:val="000000"/>
          <w:sz w:val="22"/>
          <w:szCs w:val="22"/>
          <w:lang w:val="fr-FR"/>
        </w:rPr>
        <w:t xml:space="preserve"> a été approuvé par le donateur en juillet </w:t>
      </w:r>
      <w:r w:rsidR="001516E7" w:rsidRPr="005D062F">
        <w:rPr>
          <w:color w:val="000000"/>
          <w:sz w:val="22"/>
          <w:szCs w:val="22"/>
          <w:lang w:val="fr-FR"/>
        </w:rPr>
        <w:t>2022.</w:t>
      </w:r>
    </w:p>
    <w:p w14:paraId="3B25D281" w14:textId="77777777" w:rsidR="00A52779" w:rsidRPr="005D062F" w:rsidRDefault="00A52779" w:rsidP="002D4DF7">
      <w:pPr>
        <w:pStyle w:val="Heading2"/>
        <w:rPr>
          <w:rFonts w:eastAsia="Calibri"/>
        </w:rPr>
      </w:pPr>
    </w:p>
    <w:p w14:paraId="0D7441BD" w14:textId="2614C2B2" w:rsidR="00C3751E" w:rsidRPr="002D4DF7" w:rsidRDefault="00C2663A" w:rsidP="002D4DF7">
      <w:pPr>
        <w:pStyle w:val="Heading2"/>
      </w:pPr>
      <w:bookmarkStart w:id="16" w:name="_Toc124243406"/>
      <w:r w:rsidRPr="002D4DF7">
        <w:t>OBJECTIF</w:t>
      </w:r>
      <w:r w:rsidR="00C3751E" w:rsidRPr="002D4DF7">
        <w:t xml:space="preserve"> 2.4</w:t>
      </w:r>
      <w:bookmarkEnd w:id="16"/>
    </w:p>
    <w:p w14:paraId="0947B4BD" w14:textId="77777777" w:rsidR="005F2C83" w:rsidRPr="005D062F" w:rsidRDefault="005F2C83" w:rsidP="00CB030B">
      <w:pPr>
        <w:jc w:val="both"/>
        <w:rPr>
          <w:rFonts w:ascii="Times New Roman" w:eastAsia="Calibri" w:hAnsi="Times New Roman" w:cs="Times New Roman"/>
          <w:b/>
          <w:sz w:val="22"/>
          <w:szCs w:val="22"/>
          <w:u w:val="single"/>
          <w:lang w:val="fr-FR"/>
        </w:rPr>
      </w:pPr>
    </w:p>
    <w:p w14:paraId="65C502BE" w14:textId="2A04F321" w:rsidR="00C3751E" w:rsidRPr="005D062F" w:rsidRDefault="004F2F25" w:rsidP="00CB030B">
      <w:pPr>
        <w:ind w:firstLine="720"/>
        <w:jc w:val="both"/>
        <w:rPr>
          <w:rFonts w:ascii="Times New Roman" w:eastAsia="Calibri" w:hAnsi="Times New Roman" w:cs="Times New Roman"/>
          <w:color w:val="000000" w:themeColor="text1"/>
          <w:sz w:val="22"/>
          <w:szCs w:val="22"/>
          <w:lang w:val="fr-FR"/>
        </w:rPr>
      </w:pPr>
      <w:r w:rsidRPr="005D062F">
        <w:rPr>
          <w:rFonts w:ascii="Times New Roman" w:eastAsia="Calibri" w:hAnsi="Times New Roman" w:cs="Times New Roman"/>
          <w:color w:val="000000" w:themeColor="text1"/>
          <w:sz w:val="22"/>
          <w:szCs w:val="22"/>
          <w:lang w:val="fr-FR"/>
        </w:rPr>
        <w:t xml:space="preserve">Promouvoir les capacités des États membres en ce qui concerne la thématique des villes et communautés durables conformément aux objectifs et principes d’action énoncés à la section 3.4. du </w:t>
      </w:r>
      <w:r w:rsidR="00C3751E" w:rsidRPr="005D062F">
        <w:rPr>
          <w:rFonts w:ascii="Times New Roman" w:eastAsia="Calibri" w:hAnsi="Times New Roman" w:cs="Times New Roman"/>
          <w:color w:val="000000" w:themeColor="text1"/>
          <w:sz w:val="22"/>
          <w:szCs w:val="22"/>
          <w:lang w:val="fr-FR"/>
        </w:rPr>
        <w:t>PIDS.</w:t>
      </w:r>
    </w:p>
    <w:p w14:paraId="46B4D7B7" w14:textId="77777777" w:rsidR="00C3751E" w:rsidRPr="005D062F" w:rsidRDefault="00C3751E" w:rsidP="00CB030B">
      <w:pPr>
        <w:jc w:val="both"/>
        <w:rPr>
          <w:rFonts w:ascii="Times New Roman" w:hAnsi="Times New Roman" w:cs="Times New Roman"/>
          <w:color w:val="000000" w:themeColor="text1"/>
          <w:sz w:val="22"/>
          <w:szCs w:val="22"/>
          <w:lang w:val="fr-FR"/>
        </w:rPr>
      </w:pPr>
    </w:p>
    <w:p w14:paraId="742C0474" w14:textId="37E8E09E" w:rsidR="00C3751E" w:rsidRPr="005D062F" w:rsidRDefault="004F2F25" w:rsidP="00CB030B">
      <w:pPr>
        <w:pStyle w:val="ListParagraph"/>
        <w:numPr>
          <w:ilvl w:val="0"/>
          <w:numId w:val="18"/>
        </w:numPr>
        <w:tabs>
          <w:tab w:val="left" w:pos="1440"/>
        </w:tabs>
        <w:ind w:left="1440" w:hanging="720"/>
        <w:jc w:val="both"/>
        <w:rPr>
          <w:color w:val="000000" w:themeColor="text1"/>
          <w:sz w:val="22"/>
          <w:szCs w:val="22"/>
          <w:lang w:val="fr-FR"/>
        </w:rPr>
      </w:pPr>
      <w:r w:rsidRPr="005D062F">
        <w:rPr>
          <w:color w:val="000000" w:themeColor="text1"/>
          <w:sz w:val="22"/>
          <w:szCs w:val="22"/>
          <w:lang w:val="fr-FR"/>
        </w:rPr>
        <w:t>À l’instar de l’Objectif</w:t>
      </w:r>
      <w:r w:rsidR="00C3751E" w:rsidRPr="005D062F">
        <w:rPr>
          <w:color w:val="000000" w:themeColor="text1"/>
          <w:sz w:val="22"/>
          <w:szCs w:val="22"/>
          <w:lang w:val="fr-FR"/>
        </w:rPr>
        <w:t xml:space="preserve"> 2.2 (</w:t>
      </w:r>
      <w:r w:rsidRPr="005D062F">
        <w:rPr>
          <w:color w:val="000000" w:themeColor="text1"/>
          <w:sz w:val="22"/>
          <w:szCs w:val="22"/>
          <w:lang w:val="fr-FR"/>
        </w:rPr>
        <w:t>voir ci-dessus</w:t>
      </w:r>
      <w:r w:rsidR="00C3751E" w:rsidRPr="005D062F">
        <w:rPr>
          <w:color w:val="000000" w:themeColor="text1"/>
          <w:sz w:val="22"/>
          <w:szCs w:val="22"/>
          <w:lang w:val="fr-FR"/>
        </w:rPr>
        <w:t xml:space="preserve">), </w:t>
      </w:r>
      <w:r w:rsidRPr="005D062F">
        <w:rPr>
          <w:color w:val="000000" w:themeColor="text1"/>
          <w:sz w:val="22"/>
          <w:szCs w:val="22"/>
          <w:lang w:val="fr-FR"/>
        </w:rPr>
        <w:t>cet</w:t>
      </w:r>
      <w:r w:rsidR="00C3751E" w:rsidRPr="005D062F">
        <w:rPr>
          <w:color w:val="000000" w:themeColor="text1"/>
          <w:sz w:val="22"/>
          <w:szCs w:val="22"/>
          <w:lang w:val="fr-FR"/>
        </w:rPr>
        <w:t xml:space="preserve"> </w:t>
      </w:r>
      <w:r w:rsidRPr="005D062F">
        <w:rPr>
          <w:color w:val="000000" w:themeColor="text1"/>
          <w:sz w:val="22"/>
          <w:szCs w:val="22"/>
          <w:lang w:val="fr-FR"/>
        </w:rPr>
        <w:t>o</w:t>
      </w:r>
      <w:r w:rsidR="00C3751E" w:rsidRPr="005D062F">
        <w:rPr>
          <w:color w:val="000000" w:themeColor="text1"/>
          <w:sz w:val="22"/>
          <w:szCs w:val="22"/>
          <w:lang w:val="fr-FR"/>
        </w:rPr>
        <w:t>bjecti</w:t>
      </w:r>
      <w:r w:rsidRPr="005D062F">
        <w:rPr>
          <w:color w:val="000000" w:themeColor="text1"/>
          <w:sz w:val="22"/>
          <w:szCs w:val="22"/>
          <w:lang w:val="fr-FR"/>
        </w:rPr>
        <w:t>f</w:t>
      </w:r>
      <w:r w:rsidR="00C3751E" w:rsidRPr="005D062F">
        <w:rPr>
          <w:color w:val="000000" w:themeColor="text1"/>
          <w:sz w:val="22"/>
          <w:szCs w:val="22"/>
          <w:lang w:val="fr-FR"/>
        </w:rPr>
        <w:t xml:space="preserve"> </w:t>
      </w:r>
      <w:r w:rsidRPr="005D062F">
        <w:rPr>
          <w:rFonts w:eastAsia="Times New Roman"/>
          <w:color w:val="000000"/>
          <w:sz w:val="22"/>
          <w:szCs w:val="22"/>
          <w:lang w:val="fr-FR"/>
        </w:rPr>
        <w:t xml:space="preserve">est également abordé comme un </w:t>
      </w:r>
      <w:r w:rsidR="005D496F" w:rsidRPr="005D062F">
        <w:rPr>
          <w:rFonts w:eastAsia="Times New Roman"/>
          <w:color w:val="000000"/>
          <w:sz w:val="22"/>
          <w:szCs w:val="22"/>
          <w:lang w:val="fr-FR"/>
        </w:rPr>
        <w:t>domaine</w:t>
      </w:r>
      <w:r w:rsidRPr="005D062F">
        <w:rPr>
          <w:rFonts w:eastAsia="Times New Roman"/>
          <w:color w:val="000000"/>
          <w:sz w:val="22"/>
          <w:szCs w:val="22"/>
          <w:lang w:val="fr-FR"/>
        </w:rPr>
        <w:t xml:space="preserve"> thématique global de tous les programmes et projets du DDD/SEDI</w:t>
      </w:r>
      <w:r w:rsidR="00C3751E" w:rsidRPr="005D062F">
        <w:rPr>
          <w:color w:val="000000" w:themeColor="text1"/>
          <w:sz w:val="22"/>
          <w:szCs w:val="22"/>
          <w:lang w:val="fr-FR"/>
        </w:rPr>
        <w:t xml:space="preserve">, </w:t>
      </w:r>
      <w:r w:rsidR="00583264" w:rsidRPr="005D062F">
        <w:rPr>
          <w:rFonts w:eastAsia="Times New Roman"/>
          <w:color w:val="000000"/>
          <w:sz w:val="22"/>
          <w:szCs w:val="22"/>
          <w:lang w:val="fr-FR"/>
        </w:rPr>
        <w:t>puisqu’</w:t>
      </w:r>
      <w:r w:rsidRPr="005D062F">
        <w:rPr>
          <w:rFonts w:eastAsia="Times New Roman"/>
          <w:color w:val="000000"/>
          <w:sz w:val="22"/>
          <w:szCs w:val="22"/>
          <w:lang w:val="fr-FR"/>
        </w:rPr>
        <w:t>ils ciblent les communautés urbaines au sein des bassins transfrontaliers et des unités de planification et de g</w:t>
      </w:r>
      <w:r w:rsidR="00583264" w:rsidRPr="005D062F">
        <w:rPr>
          <w:rFonts w:eastAsia="Times New Roman"/>
          <w:color w:val="000000"/>
          <w:sz w:val="22"/>
          <w:szCs w:val="22"/>
          <w:lang w:val="fr-FR"/>
        </w:rPr>
        <w:t>estion régionales. De même, le P</w:t>
      </w:r>
      <w:r w:rsidRPr="005D062F">
        <w:rPr>
          <w:rFonts w:eastAsia="Times New Roman"/>
          <w:color w:val="000000"/>
          <w:sz w:val="22"/>
          <w:szCs w:val="22"/>
          <w:lang w:val="fr-FR"/>
        </w:rPr>
        <w:t>art</w:t>
      </w:r>
      <w:r w:rsidR="005D496F" w:rsidRPr="005D062F">
        <w:rPr>
          <w:rFonts w:eastAsia="Times New Roman"/>
          <w:color w:val="000000"/>
          <w:sz w:val="22"/>
          <w:szCs w:val="22"/>
          <w:lang w:val="fr-FR"/>
        </w:rPr>
        <w:t>enariat des Amériques pour l’</w:t>
      </w:r>
      <w:r w:rsidRPr="005D062F">
        <w:rPr>
          <w:rFonts w:eastAsia="Times New Roman"/>
          <w:color w:val="000000"/>
          <w:sz w:val="22"/>
          <w:szCs w:val="22"/>
          <w:lang w:val="fr-FR"/>
        </w:rPr>
        <w:t xml:space="preserve">énergie et le climat </w:t>
      </w:r>
      <w:r w:rsidR="005D496F" w:rsidRPr="005D062F">
        <w:rPr>
          <w:rFonts w:eastAsia="Times New Roman"/>
          <w:color w:val="000000"/>
          <w:sz w:val="22"/>
          <w:szCs w:val="22"/>
          <w:lang w:val="fr-FR"/>
        </w:rPr>
        <w:t xml:space="preserve">ainsi que </w:t>
      </w:r>
      <w:r w:rsidRPr="005D062F">
        <w:rPr>
          <w:rFonts w:eastAsia="Times New Roman"/>
          <w:color w:val="000000"/>
          <w:sz w:val="22"/>
          <w:szCs w:val="22"/>
          <w:lang w:val="fr-FR"/>
        </w:rPr>
        <w:t xml:space="preserve">le programme de gestion des risques de catastrophe contribuent à faire avancer les objectifs des villes et des communautés durables dans le </w:t>
      </w:r>
      <w:r w:rsidR="00583264" w:rsidRPr="005D062F">
        <w:rPr>
          <w:rFonts w:eastAsia="Times New Roman"/>
          <w:color w:val="000000"/>
          <w:sz w:val="22"/>
          <w:szCs w:val="22"/>
          <w:lang w:val="fr-FR"/>
        </w:rPr>
        <w:t>c</w:t>
      </w:r>
      <w:r w:rsidRPr="005D062F">
        <w:rPr>
          <w:rFonts w:eastAsia="Times New Roman"/>
          <w:color w:val="000000"/>
          <w:sz w:val="22"/>
          <w:szCs w:val="22"/>
          <w:lang w:val="fr-FR"/>
        </w:rPr>
        <w:t>ontinent américain</w:t>
      </w:r>
      <w:r w:rsidR="00C3751E" w:rsidRPr="005D062F">
        <w:rPr>
          <w:color w:val="000000" w:themeColor="text1"/>
          <w:sz w:val="22"/>
          <w:szCs w:val="22"/>
          <w:lang w:val="fr-FR"/>
        </w:rPr>
        <w:t>.</w:t>
      </w:r>
    </w:p>
    <w:p w14:paraId="49F8205D" w14:textId="114AD5B5" w:rsidR="008E7DCC" w:rsidRPr="005D062F" w:rsidRDefault="008E7DCC" w:rsidP="00CB030B">
      <w:pPr>
        <w:jc w:val="both"/>
        <w:rPr>
          <w:rFonts w:ascii="Times New Roman" w:hAnsi="Times New Roman" w:cs="Times New Roman"/>
          <w:color w:val="000000" w:themeColor="text1"/>
          <w:sz w:val="22"/>
          <w:szCs w:val="22"/>
          <w:lang w:val="fr-FR"/>
        </w:rPr>
      </w:pPr>
    </w:p>
    <w:p w14:paraId="2C6048E2" w14:textId="48460754" w:rsidR="008E7DCC" w:rsidRPr="002D4DF7" w:rsidRDefault="00C2663A" w:rsidP="002D4DF7">
      <w:pPr>
        <w:pStyle w:val="Heading2"/>
        <w:keepNext/>
      </w:pPr>
      <w:bookmarkStart w:id="17" w:name="_Toc124243407"/>
      <w:r w:rsidRPr="002D4DF7">
        <w:t>OBJECTIF</w:t>
      </w:r>
      <w:r w:rsidR="008E7DCC" w:rsidRPr="002D4DF7">
        <w:t xml:space="preserve"> 2.5</w:t>
      </w:r>
      <w:bookmarkEnd w:id="17"/>
    </w:p>
    <w:p w14:paraId="5406434B" w14:textId="77777777" w:rsidR="00135759" w:rsidRPr="005D062F" w:rsidRDefault="00135759" w:rsidP="00607D18">
      <w:pPr>
        <w:keepNext/>
        <w:jc w:val="both"/>
        <w:rPr>
          <w:rFonts w:ascii="Times New Roman" w:eastAsia="Calibri" w:hAnsi="Times New Roman" w:cs="Times New Roman"/>
          <w:b/>
          <w:sz w:val="22"/>
          <w:szCs w:val="22"/>
          <w:u w:val="single"/>
          <w:lang w:val="fr-FR"/>
        </w:rPr>
      </w:pPr>
    </w:p>
    <w:p w14:paraId="2C75C55F" w14:textId="02419D45" w:rsidR="008E7DCC" w:rsidRPr="005D062F" w:rsidRDefault="00497DEE" w:rsidP="00CB030B">
      <w:pPr>
        <w:ind w:firstLine="720"/>
        <w:jc w:val="both"/>
        <w:rPr>
          <w:rFonts w:ascii="Times New Roman" w:eastAsia="Calibri" w:hAnsi="Times New Roman" w:cs="Times New Roman"/>
          <w:color w:val="000000" w:themeColor="text1"/>
          <w:sz w:val="22"/>
          <w:szCs w:val="22"/>
          <w:lang w:val="fr-FR"/>
        </w:rPr>
      </w:pPr>
      <w:r w:rsidRPr="005D062F">
        <w:rPr>
          <w:rFonts w:ascii="Times New Roman" w:eastAsia="Calibri" w:hAnsi="Times New Roman" w:cs="Times New Roman"/>
          <w:color w:val="000000" w:themeColor="text1"/>
          <w:sz w:val="22"/>
          <w:szCs w:val="22"/>
          <w:lang w:val="fr-FR"/>
        </w:rPr>
        <w:t>Promouvoir les capacités des États membres pour la gestion durable de l’énergie, en privilégiant la promotion des énergies propres, renouvelables et durables du point de vue environnemental ainsi que l’efficience énergétique, conformément aux objectifs et principes d’action énoncés à la</w:t>
      </w:r>
      <w:r w:rsidR="008E7DCC" w:rsidRPr="005D062F">
        <w:rPr>
          <w:rFonts w:ascii="Times New Roman" w:eastAsia="Calibri" w:hAnsi="Times New Roman" w:cs="Times New Roman"/>
          <w:color w:val="000000" w:themeColor="text1"/>
          <w:sz w:val="22"/>
          <w:szCs w:val="22"/>
          <w:lang w:val="fr-FR"/>
        </w:rPr>
        <w:t xml:space="preserve"> section 3.5 </w:t>
      </w:r>
      <w:r w:rsidRPr="005D062F">
        <w:rPr>
          <w:rFonts w:ascii="Times New Roman" w:eastAsia="Calibri" w:hAnsi="Times New Roman" w:cs="Times New Roman"/>
          <w:color w:val="000000" w:themeColor="text1"/>
          <w:sz w:val="22"/>
          <w:szCs w:val="22"/>
          <w:lang w:val="fr-FR"/>
        </w:rPr>
        <w:t>du</w:t>
      </w:r>
      <w:r w:rsidR="008E7DCC" w:rsidRPr="005D062F">
        <w:rPr>
          <w:rFonts w:ascii="Times New Roman" w:eastAsia="Calibri" w:hAnsi="Times New Roman" w:cs="Times New Roman"/>
          <w:color w:val="000000" w:themeColor="text1"/>
          <w:sz w:val="22"/>
          <w:szCs w:val="22"/>
          <w:lang w:val="fr-FR"/>
        </w:rPr>
        <w:t xml:space="preserve"> PIDS.</w:t>
      </w:r>
    </w:p>
    <w:p w14:paraId="1C9EC0AA" w14:textId="77777777" w:rsidR="008E7DCC" w:rsidRPr="006D3BBF" w:rsidRDefault="008E7DCC" w:rsidP="00CB030B">
      <w:pPr>
        <w:jc w:val="both"/>
        <w:rPr>
          <w:rFonts w:ascii="Times New Roman" w:hAnsi="Times New Roman" w:cs="Times New Roman"/>
          <w:iCs/>
          <w:color w:val="000000" w:themeColor="text1"/>
          <w:sz w:val="22"/>
          <w:szCs w:val="22"/>
          <w:lang w:val="fr-FR"/>
        </w:rPr>
      </w:pPr>
    </w:p>
    <w:p w14:paraId="4D3B0F18" w14:textId="2AAC3386" w:rsidR="008E7DCC" w:rsidRPr="005D062F" w:rsidRDefault="00985D82" w:rsidP="00CB030B">
      <w:pPr>
        <w:ind w:firstLine="720"/>
        <w:jc w:val="both"/>
        <w:rPr>
          <w:rFonts w:ascii="Times New Roman" w:eastAsia="Calibri" w:hAnsi="Times New Roman" w:cs="Times New Roman"/>
          <w:b/>
          <w:bCs/>
          <w:color w:val="000000"/>
          <w:sz w:val="22"/>
          <w:szCs w:val="22"/>
          <w:lang w:val="fr-FR"/>
        </w:rPr>
      </w:pPr>
      <w:r w:rsidRPr="005D062F">
        <w:rPr>
          <w:rFonts w:ascii="Times New Roman" w:eastAsia="Calibri" w:hAnsi="Times New Roman" w:cs="Times New Roman"/>
          <w:b/>
          <w:bCs/>
          <w:color w:val="000000"/>
          <w:sz w:val="22"/>
          <w:szCs w:val="22"/>
          <w:lang w:val="fr-FR"/>
        </w:rPr>
        <w:t>Partenariat des Amériques pour l’énergie et le climat</w:t>
      </w:r>
      <w:r w:rsidRPr="005D062F">
        <w:rPr>
          <w:rFonts w:ascii="Times New Roman" w:eastAsia="Times New Roman" w:hAnsi="Times New Roman" w:cs="Times New Roman"/>
          <w:b/>
          <w:color w:val="000000"/>
          <w:sz w:val="22"/>
          <w:szCs w:val="22"/>
          <w:lang w:val="fr-FR"/>
        </w:rPr>
        <w:t xml:space="preserve"> </w:t>
      </w:r>
      <w:r w:rsidR="008E7DCC" w:rsidRPr="005D062F">
        <w:rPr>
          <w:rFonts w:ascii="Times New Roman" w:eastAsia="Calibri" w:hAnsi="Times New Roman" w:cs="Times New Roman"/>
          <w:b/>
          <w:bCs/>
          <w:color w:val="000000"/>
          <w:sz w:val="22"/>
          <w:szCs w:val="22"/>
          <w:lang w:val="fr-FR"/>
        </w:rPr>
        <w:t>(ECPA)</w:t>
      </w:r>
    </w:p>
    <w:p w14:paraId="6DBEE6E7" w14:textId="77777777" w:rsidR="008E7DCC" w:rsidRPr="007F7619" w:rsidRDefault="008E7DCC" w:rsidP="00723DAD">
      <w:pPr>
        <w:rPr>
          <w:rFonts w:ascii="Times New Roman" w:hAnsi="Times New Roman" w:cs="Times New Roman"/>
          <w:bCs/>
          <w:color w:val="000000" w:themeColor="text1"/>
          <w:sz w:val="22"/>
          <w:szCs w:val="22"/>
          <w:lang w:val="fr-FR"/>
        </w:rPr>
      </w:pPr>
    </w:p>
    <w:p w14:paraId="4FAD2E4B" w14:textId="6300C767" w:rsidR="008E7DCC" w:rsidRPr="005D062F" w:rsidRDefault="008D5918" w:rsidP="00CB030B">
      <w:pPr>
        <w:pStyle w:val="ListParagraph"/>
        <w:numPr>
          <w:ilvl w:val="0"/>
          <w:numId w:val="18"/>
        </w:numPr>
        <w:ind w:left="1440" w:hanging="720"/>
        <w:jc w:val="both"/>
        <w:rPr>
          <w:color w:val="000000" w:themeColor="text1"/>
          <w:sz w:val="22"/>
          <w:szCs w:val="22"/>
          <w:lang w:val="fr-FR"/>
        </w:rPr>
      </w:pPr>
      <w:r w:rsidRPr="005D062F">
        <w:rPr>
          <w:color w:val="000000" w:themeColor="text1"/>
          <w:sz w:val="22"/>
          <w:szCs w:val="22"/>
          <w:lang w:val="fr-FR"/>
        </w:rPr>
        <w:t>Le SEDI</w:t>
      </w:r>
      <w:r w:rsidR="004B5F8F" w:rsidRPr="005D062F">
        <w:rPr>
          <w:color w:val="000000" w:themeColor="text1"/>
          <w:sz w:val="22"/>
          <w:szCs w:val="22"/>
          <w:lang w:val="fr-FR"/>
        </w:rPr>
        <w:t xml:space="preserve"> a aidé le </w:t>
      </w:r>
      <w:r w:rsidR="008E7DCC" w:rsidRPr="005D062F">
        <w:rPr>
          <w:color w:val="000000" w:themeColor="text1"/>
          <w:sz w:val="22"/>
          <w:szCs w:val="22"/>
          <w:lang w:val="fr-FR"/>
        </w:rPr>
        <w:t xml:space="preserve">Panama </w:t>
      </w:r>
      <w:r w:rsidR="004B5F8F" w:rsidRPr="005D062F">
        <w:rPr>
          <w:color w:val="000000" w:themeColor="text1"/>
          <w:sz w:val="22"/>
          <w:szCs w:val="22"/>
          <w:lang w:val="fr-FR"/>
        </w:rPr>
        <w:t>à</w:t>
      </w:r>
      <w:r w:rsidR="004368DF" w:rsidRPr="005D062F">
        <w:rPr>
          <w:color w:val="000000" w:themeColor="text1"/>
          <w:sz w:val="22"/>
          <w:szCs w:val="22"/>
          <w:lang w:val="fr-FR"/>
        </w:rPr>
        <w:t xml:space="preserve"> animer la Cinquième Réunion des ministres de l’</w:t>
      </w:r>
      <w:r w:rsidR="008E7DCC" w:rsidRPr="005D062F">
        <w:rPr>
          <w:color w:val="000000" w:themeColor="text1"/>
          <w:sz w:val="22"/>
          <w:szCs w:val="22"/>
          <w:lang w:val="fr-FR"/>
        </w:rPr>
        <w:t xml:space="preserve">ECPA </w:t>
      </w:r>
      <w:r w:rsidR="004368DF" w:rsidRPr="005D062F">
        <w:rPr>
          <w:color w:val="000000" w:themeColor="text1"/>
          <w:sz w:val="22"/>
          <w:szCs w:val="22"/>
          <w:lang w:val="fr-FR"/>
        </w:rPr>
        <w:t xml:space="preserve">sur le </w:t>
      </w:r>
      <w:r w:rsidR="008E7DCC" w:rsidRPr="005D062F">
        <w:rPr>
          <w:color w:val="000000" w:themeColor="text1"/>
          <w:sz w:val="22"/>
          <w:szCs w:val="22"/>
          <w:lang w:val="fr-FR"/>
        </w:rPr>
        <w:t>th</w:t>
      </w:r>
      <w:r w:rsidR="004368DF" w:rsidRPr="005D062F">
        <w:rPr>
          <w:color w:val="000000" w:themeColor="text1"/>
          <w:sz w:val="22"/>
          <w:szCs w:val="22"/>
          <w:lang w:val="fr-FR"/>
        </w:rPr>
        <w:t>è</w:t>
      </w:r>
      <w:r w:rsidR="008E7DCC" w:rsidRPr="005D062F">
        <w:rPr>
          <w:color w:val="000000" w:themeColor="text1"/>
          <w:sz w:val="22"/>
          <w:szCs w:val="22"/>
          <w:lang w:val="fr-FR"/>
        </w:rPr>
        <w:t xml:space="preserve">me </w:t>
      </w:r>
      <w:r w:rsidR="004368DF" w:rsidRPr="005D062F">
        <w:rPr>
          <w:b/>
          <w:bCs/>
          <w:color w:val="000000" w:themeColor="text1"/>
          <w:sz w:val="22"/>
          <w:szCs w:val="22"/>
          <w:lang w:val="fr-FR"/>
        </w:rPr>
        <w:t>« </w:t>
      </w:r>
      <w:r w:rsidR="008E7DCC" w:rsidRPr="005D062F">
        <w:rPr>
          <w:b/>
          <w:bCs/>
          <w:color w:val="000000" w:themeColor="text1"/>
          <w:sz w:val="22"/>
          <w:szCs w:val="22"/>
          <w:lang w:val="fr-FR"/>
        </w:rPr>
        <w:t>Transitions</w:t>
      </w:r>
      <w:r w:rsidR="004368DF" w:rsidRPr="005D062F">
        <w:rPr>
          <w:b/>
          <w:bCs/>
          <w:color w:val="000000" w:themeColor="text1"/>
          <w:sz w:val="22"/>
          <w:szCs w:val="22"/>
          <w:lang w:val="fr-FR"/>
        </w:rPr>
        <w:t xml:space="preserve"> énergétiques justes et inclusives </w:t>
      </w:r>
      <w:r w:rsidR="004368DF" w:rsidRPr="005D062F">
        <w:rPr>
          <w:bCs/>
          <w:color w:val="000000" w:themeColor="text1"/>
          <w:sz w:val="22"/>
          <w:szCs w:val="22"/>
          <w:lang w:val="fr-FR"/>
        </w:rPr>
        <w:t>»</w:t>
      </w:r>
      <w:r w:rsidR="00C7196E" w:rsidRPr="005D062F">
        <w:rPr>
          <w:bCs/>
          <w:color w:val="000000" w:themeColor="text1"/>
          <w:sz w:val="22"/>
          <w:szCs w:val="22"/>
          <w:lang w:val="fr-FR"/>
        </w:rPr>
        <w:t>.</w:t>
      </w:r>
      <w:r w:rsidR="004368DF" w:rsidRPr="005D062F">
        <w:rPr>
          <w:bCs/>
          <w:color w:val="000000" w:themeColor="text1"/>
          <w:sz w:val="22"/>
          <w:szCs w:val="22"/>
          <w:lang w:val="fr-FR"/>
        </w:rPr>
        <w:t xml:space="preserve"> Cet événement a réuni les ministres de l’</w:t>
      </w:r>
      <w:r w:rsidR="00696758" w:rsidRPr="005D062F">
        <w:rPr>
          <w:bCs/>
          <w:color w:val="000000" w:themeColor="text1"/>
          <w:sz w:val="22"/>
          <w:szCs w:val="22"/>
          <w:lang w:val="fr-FR"/>
        </w:rPr>
        <w:t>énergie et d</w:t>
      </w:r>
      <w:r w:rsidR="004368DF" w:rsidRPr="005D062F">
        <w:rPr>
          <w:bCs/>
          <w:color w:val="000000" w:themeColor="text1"/>
          <w:sz w:val="22"/>
          <w:szCs w:val="22"/>
          <w:lang w:val="fr-FR"/>
        </w:rPr>
        <w:t xml:space="preserve">es hauts fonctionnaires de </w:t>
      </w:r>
      <w:r w:rsidR="008E7DCC" w:rsidRPr="005D062F">
        <w:rPr>
          <w:color w:val="000000" w:themeColor="text1"/>
          <w:sz w:val="22"/>
          <w:szCs w:val="22"/>
          <w:lang w:val="fr-FR"/>
        </w:rPr>
        <w:t>29</w:t>
      </w:r>
      <w:r w:rsidR="004368DF" w:rsidRPr="005D062F">
        <w:rPr>
          <w:color w:val="000000" w:themeColor="text1"/>
          <w:sz w:val="22"/>
          <w:szCs w:val="22"/>
          <w:lang w:val="fr-FR"/>
        </w:rPr>
        <w:t> pays des Amériques</w:t>
      </w:r>
      <w:r w:rsidR="008E7DCC" w:rsidRPr="005D062F">
        <w:rPr>
          <w:color w:val="000000" w:themeColor="text1"/>
          <w:sz w:val="22"/>
          <w:szCs w:val="22"/>
          <w:lang w:val="fr-FR"/>
        </w:rPr>
        <w:t xml:space="preserve">. </w:t>
      </w:r>
      <w:r w:rsidR="004368DF" w:rsidRPr="005D062F">
        <w:rPr>
          <w:color w:val="000000" w:themeColor="text1"/>
          <w:sz w:val="22"/>
          <w:szCs w:val="22"/>
          <w:lang w:val="fr-FR"/>
        </w:rPr>
        <w:t xml:space="preserve">La réunion s’est déroulée en mode présentiel et virtuel et a donné lieu à un </w:t>
      </w:r>
      <w:r w:rsidR="008E7DCC" w:rsidRPr="005D062F">
        <w:rPr>
          <w:color w:val="000000" w:themeColor="text1"/>
          <w:sz w:val="22"/>
          <w:szCs w:val="22"/>
          <w:lang w:val="fr-FR"/>
        </w:rPr>
        <w:t>Plan</w:t>
      </w:r>
      <w:r w:rsidR="004368DF" w:rsidRPr="005D062F">
        <w:rPr>
          <w:color w:val="000000" w:themeColor="text1"/>
          <w:sz w:val="22"/>
          <w:szCs w:val="22"/>
          <w:lang w:val="fr-FR"/>
        </w:rPr>
        <w:t xml:space="preserve"> d’action </w:t>
      </w:r>
      <w:r w:rsidR="0085463B" w:rsidRPr="005D062F">
        <w:rPr>
          <w:color w:val="000000" w:themeColor="text1"/>
          <w:sz w:val="22"/>
          <w:szCs w:val="22"/>
          <w:lang w:val="fr-FR"/>
        </w:rPr>
        <w:t>bienn</w:t>
      </w:r>
      <w:r w:rsidR="004368DF" w:rsidRPr="005D062F">
        <w:rPr>
          <w:color w:val="000000" w:themeColor="text1"/>
          <w:sz w:val="22"/>
          <w:szCs w:val="22"/>
          <w:lang w:val="fr-FR"/>
        </w:rPr>
        <w:t>al</w:t>
      </w:r>
      <w:r w:rsidR="008E7DCC" w:rsidRPr="005D062F">
        <w:rPr>
          <w:color w:val="000000" w:themeColor="text1"/>
          <w:sz w:val="22"/>
          <w:szCs w:val="22"/>
          <w:lang w:val="fr-FR"/>
        </w:rPr>
        <w:t xml:space="preserve"> </w:t>
      </w:r>
      <w:r w:rsidR="008E5D72" w:rsidRPr="005D062F">
        <w:rPr>
          <w:color w:val="000000" w:themeColor="text1"/>
          <w:sz w:val="22"/>
          <w:szCs w:val="22"/>
          <w:lang w:val="fr-FR"/>
        </w:rPr>
        <w:t>promis par les pays participants</w:t>
      </w:r>
      <w:r w:rsidR="008E7DCC" w:rsidRPr="005D062F">
        <w:rPr>
          <w:color w:val="000000" w:themeColor="text1"/>
          <w:sz w:val="22"/>
          <w:szCs w:val="22"/>
          <w:lang w:val="fr-FR"/>
        </w:rPr>
        <w:t>.</w:t>
      </w:r>
    </w:p>
    <w:p w14:paraId="41D5CF2F" w14:textId="77777777" w:rsidR="008E7DCC" w:rsidRPr="005D062F" w:rsidRDefault="008E7DCC" w:rsidP="00723DAD">
      <w:pPr>
        <w:rPr>
          <w:rFonts w:ascii="Times New Roman" w:hAnsi="Times New Roman" w:cs="Times New Roman"/>
          <w:color w:val="000000" w:themeColor="text1"/>
          <w:sz w:val="22"/>
          <w:szCs w:val="22"/>
          <w:highlight w:val="yellow"/>
          <w:lang w:val="fr-FR"/>
        </w:rPr>
      </w:pPr>
    </w:p>
    <w:p w14:paraId="427A130B" w14:textId="7C0214F8" w:rsidR="008E7DCC" w:rsidRPr="005D062F" w:rsidRDefault="00696758" w:rsidP="00CB030B">
      <w:pPr>
        <w:pStyle w:val="ListParagraph"/>
        <w:numPr>
          <w:ilvl w:val="0"/>
          <w:numId w:val="18"/>
        </w:numPr>
        <w:ind w:left="1440" w:hanging="720"/>
        <w:jc w:val="both"/>
        <w:rPr>
          <w:color w:val="000000" w:themeColor="text1"/>
          <w:sz w:val="22"/>
          <w:szCs w:val="22"/>
          <w:lang w:val="fr-FR"/>
        </w:rPr>
      </w:pPr>
      <w:r w:rsidRPr="005D062F">
        <w:rPr>
          <w:color w:val="000000" w:themeColor="text1"/>
          <w:sz w:val="22"/>
          <w:szCs w:val="22"/>
          <w:lang w:val="fr-FR"/>
        </w:rPr>
        <w:t xml:space="preserve">Il a apporté son soutien au </w:t>
      </w:r>
      <w:r w:rsidRPr="005D062F">
        <w:rPr>
          <w:sz w:val="22"/>
          <w:szCs w:val="22"/>
          <w:lang w:val="fr-FR"/>
        </w:rPr>
        <w:t xml:space="preserve">Groupe d’évaluation de la mise en </w:t>
      </w:r>
      <w:r w:rsidR="005D496F" w:rsidRPr="005D062F">
        <w:rPr>
          <w:sz w:val="22"/>
          <w:szCs w:val="22"/>
          <w:lang w:val="fr-FR"/>
        </w:rPr>
        <w:t>œuvre</w:t>
      </w:r>
      <w:r w:rsidRPr="005D062F">
        <w:rPr>
          <w:sz w:val="22"/>
          <w:szCs w:val="22"/>
          <w:lang w:val="fr-FR"/>
        </w:rPr>
        <w:t xml:space="preserve"> des initiatives des Sommets des Amériques dans la rédaction d’un </w:t>
      </w:r>
      <w:r w:rsidR="008E7DCC" w:rsidRPr="005D062F">
        <w:rPr>
          <w:color w:val="000000" w:themeColor="text1"/>
          <w:sz w:val="22"/>
          <w:szCs w:val="22"/>
          <w:lang w:val="fr-FR"/>
        </w:rPr>
        <w:t>document</w:t>
      </w:r>
      <w:r w:rsidRPr="005D062F">
        <w:rPr>
          <w:color w:val="000000" w:themeColor="text1"/>
          <w:sz w:val="22"/>
          <w:szCs w:val="22"/>
          <w:lang w:val="fr-FR"/>
        </w:rPr>
        <w:t xml:space="preserve"> d’engagement</w:t>
      </w:r>
      <w:r w:rsidR="008E7DCC" w:rsidRPr="005D062F">
        <w:rPr>
          <w:color w:val="000000" w:themeColor="text1"/>
          <w:sz w:val="22"/>
          <w:szCs w:val="22"/>
          <w:lang w:val="fr-FR"/>
        </w:rPr>
        <w:t>, appro</w:t>
      </w:r>
      <w:r w:rsidRPr="005D062F">
        <w:rPr>
          <w:color w:val="000000" w:themeColor="text1"/>
          <w:sz w:val="22"/>
          <w:szCs w:val="22"/>
          <w:lang w:val="fr-FR"/>
        </w:rPr>
        <w:t>u</w:t>
      </w:r>
      <w:r w:rsidR="008E7DCC" w:rsidRPr="005D062F">
        <w:rPr>
          <w:color w:val="000000" w:themeColor="text1"/>
          <w:sz w:val="22"/>
          <w:szCs w:val="22"/>
          <w:lang w:val="fr-FR"/>
        </w:rPr>
        <w:t>v</w:t>
      </w:r>
      <w:r w:rsidRPr="005D062F">
        <w:rPr>
          <w:color w:val="000000" w:themeColor="text1"/>
          <w:sz w:val="22"/>
          <w:szCs w:val="22"/>
          <w:lang w:val="fr-FR"/>
        </w:rPr>
        <w:t xml:space="preserve">é par les chefs d’État du continent américain lors du </w:t>
      </w:r>
      <w:r w:rsidR="00135759" w:rsidRPr="005D062F">
        <w:rPr>
          <w:color w:val="000000" w:themeColor="text1"/>
          <w:sz w:val="22"/>
          <w:szCs w:val="22"/>
          <w:lang w:val="fr-FR"/>
        </w:rPr>
        <w:t>IX</w:t>
      </w:r>
      <w:r w:rsidRPr="005D062F">
        <w:rPr>
          <w:color w:val="000000" w:themeColor="text1"/>
          <w:sz w:val="22"/>
          <w:szCs w:val="22"/>
          <w:vertAlign w:val="superscript"/>
          <w:lang w:val="fr-FR"/>
        </w:rPr>
        <w:t>e</w:t>
      </w:r>
      <w:r w:rsidR="00C7196E" w:rsidRPr="005D062F">
        <w:rPr>
          <w:color w:val="000000" w:themeColor="text1"/>
          <w:sz w:val="22"/>
          <w:szCs w:val="22"/>
          <w:lang w:val="fr-FR"/>
        </w:rPr>
        <w:t xml:space="preserve"> </w:t>
      </w:r>
      <w:r w:rsidR="008E7DCC" w:rsidRPr="005D062F">
        <w:rPr>
          <w:color w:val="000000" w:themeColor="text1"/>
          <w:sz w:val="22"/>
          <w:szCs w:val="22"/>
          <w:lang w:val="fr-FR"/>
        </w:rPr>
        <w:t>S</w:t>
      </w:r>
      <w:r w:rsidRPr="005D062F">
        <w:rPr>
          <w:color w:val="000000" w:themeColor="text1"/>
          <w:sz w:val="22"/>
          <w:szCs w:val="22"/>
          <w:lang w:val="fr-FR"/>
        </w:rPr>
        <w:t>o</w:t>
      </w:r>
      <w:r w:rsidR="008E7DCC" w:rsidRPr="005D062F">
        <w:rPr>
          <w:color w:val="000000" w:themeColor="text1"/>
          <w:sz w:val="22"/>
          <w:szCs w:val="22"/>
          <w:lang w:val="fr-FR"/>
        </w:rPr>
        <w:t>mm</w:t>
      </w:r>
      <w:r w:rsidRPr="005D062F">
        <w:rPr>
          <w:color w:val="000000" w:themeColor="text1"/>
          <w:sz w:val="22"/>
          <w:szCs w:val="22"/>
          <w:lang w:val="fr-FR"/>
        </w:rPr>
        <w:t>e</w:t>
      </w:r>
      <w:r w:rsidR="008E7DCC" w:rsidRPr="005D062F">
        <w:rPr>
          <w:color w:val="000000" w:themeColor="text1"/>
          <w:sz w:val="22"/>
          <w:szCs w:val="22"/>
          <w:lang w:val="fr-FR"/>
        </w:rPr>
        <w:t xml:space="preserve">t </w:t>
      </w:r>
      <w:r w:rsidRPr="005D062F">
        <w:rPr>
          <w:color w:val="000000" w:themeColor="text1"/>
          <w:sz w:val="22"/>
          <w:szCs w:val="22"/>
          <w:lang w:val="fr-FR"/>
        </w:rPr>
        <w:t>des</w:t>
      </w:r>
      <w:r w:rsidR="008E7DCC" w:rsidRPr="005D062F">
        <w:rPr>
          <w:color w:val="000000" w:themeColor="text1"/>
          <w:sz w:val="22"/>
          <w:szCs w:val="22"/>
          <w:lang w:val="fr-FR"/>
        </w:rPr>
        <w:t xml:space="preserve"> Am</w:t>
      </w:r>
      <w:r w:rsidRPr="005D062F">
        <w:rPr>
          <w:color w:val="000000" w:themeColor="text1"/>
          <w:sz w:val="22"/>
          <w:szCs w:val="22"/>
          <w:lang w:val="fr-FR"/>
        </w:rPr>
        <w:t>é</w:t>
      </w:r>
      <w:r w:rsidR="008E7DCC" w:rsidRPr="005D062F">
        <w:rPr>
          <w:color w:val="000000" w:themeColor="text1"/>
          <w:sz w:val="22"/>
          <w:szCs w:val="22"/>
          <w:lang w:val="fr-FR"/>
        </w:rPr>
        <w:t>ri</w:t>
      </w:r>
      <w:r w:rsidRPr="005D062F">
        <w:rPr>
          <w:color w:val="000000" w:themeColor="text1"/>
          <w:sz w:val="22"/>
          <w:szCs w:val="22"/>
          <w:lang w:val="fr-FR"/>
        </w:rPr>
        <w:t>que</w:t>
      </w:r>
      <w:r w:rsidR="008E7DCC" w:rsidRPr="005D062F">
        <w:rPr>
          <w:color w:val="000000" w:themeColor="text1"/>
          <w:sz w:val="22"/>
          <w:szCs w:val="22"/>
          <w:lang w:val="fr-FR"/>
        </w:rPr>
        <w:t xml:space="preserve">s </w:t>
      </w:r>
      <w:r w:rsidRPr="005D062F">
        <w:rPr>
          <w:color w:val="000000" w:themeColor="text1"/>
          <w:sz w:val="22"/>
          <w:szCs w:val="22"/>
          <w:lang w:val="fr-FR"/>
        </w:rPr>
        <w:t xml:space="preserve">qui s’est tenu à </w:t>
      </w:r>
      <w:r w:rsidR="008E7DCC" w:rsidRPr="005D062F">
        <w:rPr>
          <w:color w:val="000000" w:themeColor="text1"/>
          <w:sz w:val="22"/>
          <w:szCs w:val="22"/>
          <w:lang w:val="fr-FR"/>
        </w:rPr>
        <w:t xml:space="preserve">Los Angeles, </w:t>
      </w:r>
      <w:r w:rsidRPr="005D062F">
        <w:rPr>
          <w:color w:val="000000" w:themeColor="text1"/>
          <w:sz w:val="22"/>
          <w:szCs w:val="22"/>
          <w:lang w:val="fr-FR"/>
        </w:rPr>
        <w:t>l’objectif étant d’accélérer la transition énergétique propre, durable, renouvelable et équitable dans les Amériques</w:t>
      </w:r>
      <w:r w:rsidR="008E7DCC" w:rsidRPr="005D062F">
        <w:rPr>
          <w:color w:val="000000" w:themeColor="text1"/>
          <w:sz w:val="22"/>
          <w:szCs w:val="22"/>
          <w:lang w:val="fr-FR"/>
        </w:rPr>
        <w:t xml:space="preserve">. </w:t>
      </w:r>
      <w:r w:rsidRPr="005D062F">
        <w:rPr>
          <w:color w:val="000000" w:themeColor="text1"/>
          <w:sz w:val="22"/>
          <w:szCs w:val="22"/>
          <w:lang w:val="fr-FR"/>
        </w:rPr>
        <w:t>L’</w:t>
      </w:r>
      <w:r w:rsidR="008E7DCC" w:rsidRPr="005D062F">
        <w:rPr>
          <w:color w:val="000000" w:themeColor="text1"/>
          <w:sz w:val="22"/>
          <w:szCs w:val="22"/>
          <w:lang w:val="fr-FR"/>
        </w:rPr>
        <w:t xml:space="preserve">ECPA </w:t>
      </w:r>
      <w:r w:rsidRPr="005D062F">
        <w:rPr>
          <w:color w:val="000000" w:themeColor="text1"/>
          <w:sz w:val="22"/>
          <w:szCs w:val="22"/>
          <w:lang w:val="fr-FR"/>
        </w:rPr>
        <w:t>e</w:t>
      </w:r>
      <w:r w:rsidR="008E7DCC" w:rsidRPr="005D062F">
        <w:rPr>
          <w:color w:val="000000" w:themeColor="text1"/>
          <w:sz w:val="22"/>
          <w:szCs w:val="22"/>
          <w:lang w:val="fr-FR"/>
        </w:rPr>
        <w:t>s</w:t>
      </w:r>
      <w:r w:rsidRPr="005D062F">
        <w:rPr>
          <w:color w:val="000000" w:themeColor="text1"/>
          <w:sz w:val="22"/>
          <w:szCs w:val="22"/>
          <w:lang w:val="fr-FR"/>
        </w:rPr>
        <w:t>t</w:t>
      </w:r>
      <w:r w:rsidR="008E7DCC" w:rsidRPr="005D062F">
        <w:rPr>
          <w:color w:val="000000" w:themeColor="text1"/>
          <w:sz w:val="22"/>
          <w:szCs w:val="22"/>
          <w:lang w:val="fr-FR"/>
        </w:rPr>
        <w:t xml:space="preserve"> consid</w:t>
      </w:r>
      <w:r w:rsidRPr="005D062F">
        <w:rPr>
          <w:color w:val="000000" w:themeColor="text1"/>
          <w:sz w:val="22"/>
          <w:szCs w:val="22"/>
          <w:lang w:val="fr-FR"/>
        </w:rPr>
        <w:t>é</w:t>
      </w:r>
      <w:r w:rsidR="008E7DCC" w:rsidRPr="005D062F">
        <w:rPr>
          <w:color w:val="000000" w:themeColor="text1"/>
          <w:sz w:val="22"/>
          <w:szCs w:val="22"/>
          <w:lang w:val="fr-FR"/>
        </w:rPr>
        <w:t>r</w:t>
      </w:r>
      <w:r w:rsidRPr="005D062F">
        <w:rPr>
          <w:color w:val="000000" w:themeColor="text1"/>
          <w:sz w:val="22"/>
          <w:szCs w:val="22"/>
          <w:lang w:val="fr-FR"/>
        </w:rPr>
        <w:t>é</w:t>
      </w:r>
      <w:r w:rsidR="008E7DCC" w:rsidRPr="005D062F">
        <w:rPr>
          <w:color w:val="000000" w:themeColor="text1"/>
          <w:sz w:val="22"/>
          <w:szCs w:val="22"/>
          <w:lang w:val="fr-FR"/>
        </w:rPr>
        <w:t xml:space="preserve"> </w:t>
      </w:r>
      <w:r w:rsidRPr="005D062F">
        <w:rPr>
          <w:color w:val="000000" w:themeColor="text1"/>
          <w:sz w:val="22"/>
          <w:szCs w:val="22"/>
          <w:lang w:val="fr-FR"/>
        </w:rPr>
        <w:t xml:space="preserve">comme l’un des </w:t>
      </w:r>
      <w:r w:rsidR="008E7DCC" w:rsidRPr="005D062F">
        <w:rPr>
          <w:color w:val="000000" w:themeColor="text1"/>
          <w:sz w:val="22"/>
          <w:szCs w:val="22"/>
          <w:lang w:val="fr-FR"/>
        </w:rPr>
        <w:t>pri</w:t>
      </w:r>
      <w:r w:rsidRPr="005D062F">
        <w:rPr>
          <w:color w:val="000000" w:themeColor="text1"/>
          <w:sz w:val="22"/>
          <w:szCs w:val="22"/>
          <w:lang w:val="fr-FR"/>
        </w:rPr>
        <w:t>ncipaux méc</w:t>
      </w:r>
      <w:r w:rsidR="008E7DCC" w:rsidRPr="005D062F">
        <w:rPr>
          <w:color w:val="000000" w:themeColor="text1"/>
          <w:sz w:val="22"/>
          <w:szCs w:val="22"/>
          <w:lang w:val="fr-FR"/>
        </w:rPr>
        <w:t>anism</w:t>
      </w:r>
      <w:r w:rsidRPr="005D062F">
        <w:rPr>
          <w:color w:val="000000" w:themeColor="text1"/>
          <w:sz w:val="22"/>
          <w:szCs w:val="22"/>
          <w:lang w:val="fr-FR"/>
        </w:rPr>
        <w:t>e</w:t>
      </w:r>
      <w:r w:rsidR="008E7DCC" w:rsidRPr="005D062F">
        <w:rPr>
          <w:color w:val="000000" w:themeColor="text1"/>
          <w:sz w:val="22"/>
          <w:szCs w:val="22"/>
          <w:lang w:val="fr-FR"/>
        </w:rPr>
        <w:t xml:space="preserve">s </w:t>
      </w:r>
      <w:r w:rsidRPr="005D062F">
        <w:rPr>
          <w:color w:val="000000" w:themeColor="text1"/>
          <w:sz w:val="22"/>
          <w:szCs w:val="22"/>
          <w:lang w:val="fr-FR"/>
        </w:rPr>
        <w:t>permettant d’atteindre cet objectif au niveau régional</w:t>
      </w:r>
      <w:r w:rsidR="008E7DCC" w:rsidRPr="005D062F">
        <w:rPr>
          <w:color w:val="000000" w:themeColor="text1"/>
          <w:sz w:val="22"/>
          <w:szCs w:val="22"/>
          <w:lang w:val="fr-FR"/>
        </w:rPr>
        <w:t>.</w:t>
      </w:r>
    </w:p>
    <w:p w14:paraId="60396616" w14:textId="77777777" w:rsidR="008E7DCC" w:rsidRPr="005D062F" w:rsidRDefault="008E7DCC" w:rsidP="00723DAD">
      <w:pPr>
        <w:rPr>
          <w:rFonts w:ascii="Times New Roman" w:hAnsi="Times New Roman" w:cs="Times New Roman"/>
          <w:color w:val="000000" w:themeColor="text1"/>
          <w:sz w:val="22"/>
          <w:szCs w:val="22"/>
          <w:highlight w:val="yellow"/>
          <w:lang w:val="fr-FR"/>
        </w:rPr>
      </w:pPr>
    </w:p>
    <w:p w14:paraId="150E32B6" w14:textId="2602E880" w:rsidR="008E7DCC" w:rsidRPr="005D062F" w:rsidRDefault="003F0A52" w:rsidP="00CB030B">
      <w:pPr>
        <w:pStyle w:val="ListParagraph"/>
        <w:numPr>
          <w:ilvl w:val="0"/>
          <w:numId w:val="18"/>
        </w:numPr>
        <w:ind w:left="1440" w:hanging="720"/>
        <w:jc w:val="both"/>
        <w:rPr>
          <w:color w:val="000000" w:themeColor="text1"/>
          <w:sz w:val="22"/>
          <w:szCs w:val="22"/>
          <w:lang w:val="fr-FR"/>
        </w:rPr>
      </w:pPr>
      <w:r w:rsidRPr="005D062F">
        <w:rPr>
          <w:color w:val="000000" w:themeColor="text1"/>
          <w:sz w:val="22"/>
          <w:szCs w:val="22"/>
          <w:lang w:val="fr-FR"/>
        </w:rPr>
        <w:t xml:space="preserve">Il a dispensé une formation sur la résilience du secteur énergétique dans les petits États insulaires en développement </w:t>
      </w:r>
      <w:r w:rsidR="00765055" w:rsidRPr="005D062F">
        <w:rPr>
          <w:color w:val="000000" w:themeColor="text1"/>
          <w:sz w:val="22"/>
          <w:szCs w:val="22"/>
          <w:lang w:val="fr-FR"/>
        </w:rPr>
        <w:t>par le biais de quatre ateliers conçus pour</w:t>
      </w:r>
      <w:r w:rsidR="008D58EF" w:rsidRPr="005D062F">
        <w:rPr>
          <w:color w:val="000000" w:themeColor="text1"/>
          <w:sz w:val="22"/>
          <w:szCs w:val="22"/>
          <w:lang w:val="fr-FR"/>
        </w:rPr>
        <w:t xml:space="preserve"> </w:t>
      </w:r>
      <w:r w:rsidR="00765055" w:rsidRPr="005D062F">
        <w:rPr>
          <w:color w:val="000000" w:themeColor="text1"/>
          <w:sz w:val="22"/>
          <w:szCs w:val="22"/>
          <w:lang w:val="fr-FR"/>
        </w:rPr>
        <w:t>s’attaquer aux obstacles spécifiques liés à la gestion des risques de catastrophe et à la résilience dans les Caraïbes</w:t>
      </w:r>
      <w:r w:rsidR="008E7DCC" w:rsidRPr="005D062F">
        <w:rPr>
          <w:color w:val="000000" w:themeColor="text1"/>
          <w:sz w:val="22"/>
          <w:szCs w:val="22"/>
          <w:lang w:val="fr-FR"/>
        </w:rPr>
        <w:t xml:space="preserve">. </w:t>
      </w:r>
      <w:r w:rsidR="002C4F3F" w:rsidRPr="005D062F">
        <w:rPr>
          <w:color w:val="000000" w:themeColor="text1"/>
          <w:sz w:val="22"/>
          <w:szCs w:val="22"/>
          <w:lang w:val="fr-FR"/>
        </w:rPr>
        <w:t>Les sujets abordés dans les ateliers étaient les suivants </w:t>
      </w:r>
      <w:r w:rsidR="008E7DCC" w:rsidRPr="005D062F">
        <w:rPr>
          <w:color w:val="000000" w:themeColor="text1"/>
          <w:sz w:val="22"/>
          <w:szCs w:val="22"/>
          <w:lang w:val="fr-FR"/>
        </w:rPr>
        <w:t xml:space="preserve">: </w:t>
      </w:r>
      <w:r w:rsidR="00ED2DE8" w:rsidRPr="005D062F">
        <w:rPr>
          <w:color w:val="000000" w:themeColor="text1"/>
          <w:sz w:val="22"/>
          <w:szCs w:val="22"/>
          <w:lang w:val="fr-FR"/>
        </w:rPr>
        <w:t>« </w:t>
      </w:r>
      <w:r w:rsidR="00ED2DE8" w:rsidRPr="005D062F">
        <w:rPr>
          <w:b/>
          <w:bCs/>
          <w:color w:val="000000" w:themeColor="text1"/>
          <w:sz w:val="22"/>
          <w:szCs w:val="22"/>
          <w:lang w:val="fr-FR"/>
        </w:rPr>
        <w:t>S</w:t>
      </w:r>
      <w:r w:rsidRPr="005D062F">
        <w:rPr>
          <w:b/>
          <w:bCs/>
          <w:color w:val="000000" w:themeColor="text1"/>
          <w:sz w:val="22"/>
          <w:szCs w:val="22"/>
          <w:lang w:val="fr-FR"/>
        </w:rPr>
        <w:t>ystèmes d’</w:t>
      </w:r>
      <w:r w:rsidR="00ED2DE8" w:rsidRPr="005D062F">
        <w:rPr>
          <w:b/>
          <w:bCs/>
          <w:color w:val="000000" w:themeColor="text1"/>
          <w:sz w:val="22"/>
          <w:szCs w:val="22"/>
          <w:lang w:val="fr-FR"/>
        </w:rPr>
        <w:t>énergie électrique et gouvernance institutionnelle </w:t>
      </w:r>
      <w:r w:rsidR="00ED2DE8" w:rsidRPr="005D062F">
        <w:rPr>
          <w:bCs/>
          <w:color w:val="000000" w:themeColor="text1"/>
          <w:sz w:val="22"/>
          <w:szCs w:val="22"/>
          <w:lang w:val="fr-FR"/>
        </w:rPr>
        <w:t xml:space="preserve">», </w:t>
      </w:r>
      <w:r w:rsidRPr="005D062F">
        <w:rPr>
          <w:bCs/>
          <w:color w:val="000000" w:themeColor="text1"/>
          <w:sz w:val="22"/>
          <w:szCs w:val="22"/>
          <w:lang w:val="fr-FR"/>
        </w:rPr>
        <w:t>« </w:t>
      </w:r>
      <w:r w:rsidRPr="005D062F">
        <w:rPr>
          <w:b/>
          <w:bCs/>
          <w:color w:val="000000" w:themeColor="text1"/>
          <w:sz w:val="22"/>
          <w:szCs w:val="22"/>
          <w:lang w:val="fr-FR"/>
        </w:rPr>
        <w:t>Les mini</w:t>
      </w:r>
      <w:r w:rsidR="005D496F" w:rsidRPr="005D062F">
        <w:rPr>
          <w:b/>
          <w:bCs/>
          <w:color w:val="000000" w:themeColor="text1"/>
          <w:sz w:val="22"/>
          <w:szCs w:val="22"/>
          <w:lang w:val="fr-FR"/>
        </w:rPr>
        <w:t>-</w:t>
      </w:r>
      <w:r w:rsidRPr="005D062F">
        <w:rPr>
          <w:b/>
          <w:bCs/>
          <w:color w:val="000000" w:themeColor="text1"/>
          <w:sz w:val="22"/>
          <w:szCs w:val="22"/>
          <w:lang w:val="fr-FR"/>
        </w:rPr>
        <w:t xml:space="preserve">réseaux </w:t>
      </w:r>
      <w:r w:rsidR="00583264" w:rsidRPr="005D062F">
        <w:rPr>
          <w:b/>
          <w:bCs/>
          <w:color w:val="000000" w:themeColor="text1"/>
          <w:sz w:val="22"/>
          <w:szCs w:val="22"/>
          <w:lang w:val="fr-FR"/>
        </w:rPr>
        <w:t>au service d’</w:t>
      </w:r>
      <w:r w:rsidRPr="005D062F">
        <w:rPr>
          <w:b/>
          <w:bCs/>
          <w:color w:val="000000" w:themeColor="text1"/>
          <w:sz w:val="22"/>
          <w:szCs w:val="22"/>
          <w:lang w:val="fr-FR"/>
        </w:rPr>
        <w:t>une meilleure résilience</w:t>
      </w:r>
      <w:r w:rsidRPr="005D062F">
        <w:rPr>
          <w:bCs/>
          <w:color w:val="000000" w:themeColor="text1"/>
          <w:sz w:val="22"/>
          <w:szCs w:val="22"/>
          <w:lang w:val="fr-FR"/>
        </w:rPr>
        <w:t xml:space="preserve"> », </w:t>
      </w:r>
      <w:r w:rsidRPr="005D062F">
        <w:rPr>
          <w:b/>
          <w:bCs/>
          <w:color w:val="000000" w:themeColor="text1"/>
          <w:sz w:val="22"/>
          <w:szCs w:val="22"/>
          <w:lang w:val="fr-FR"/>
        </w:rPr>
        <w:t xml:space="preserve">« Comprendre les facteurs perturbateurs de la </w:t>
      </w:r>
      <w:r w:rsidR="0074336B" w:rsidRPr="005D062F">
        <w:rPr>
          <w:b/>
          <w:bCs/>
          <w:color w:val="000000" w:themeColor="text1"/>
          <w:sz w:val="22"/>
          <w:szCs w:val="22"/>
          <w:lang w:val="fr-FR"/>
        </w:rPr>
        <w:t xml:space="preserve">viabilité financière des </w:t>
      </w:r>
      <w:r w:rsidRPr="005D062F">
        <w:rPr>
          <w:b/>
          <w:bCs/>
          <w:color w:val="000000" w:themeColor="text1"/>
          <w:sz w:val="22"/>
          <w:szCs w:val="22"/>
          <w:lang w:val="fr-FR"/>
        </w:rPr>
        <w:t xml:space="preserve">services publics </w:t>
      </w:r>
      <w:r w:rsidR="0074336B" w:rsidRPr="005D062F">
        <w:rPr>
          <w:b/>
          <w:bCs/>
          <w:color w:val="000000" w:themeColor="text1"/>
          <w:sz w:val="22"/>
          <w:szCs w:val="22"/>
          <w:lang w:val="fr-FR"/>
        </w:rPr>
        <w:t>de di</w:t>
      </w:r>
      <w:r w:rsidRPr="005D062F">
        <w:rPr>
          <w:b/>
          <w:bCs/>
          <w:color w:val="000000" w:themeColor="text1"/>
          <w:sz w:val="22"/>
          <w:szCs w:val="22"/>
          <w:lang w:val="fr-FR"/>
        </w:rPr>
        <w:t>stribution </w:t>
      </w:r>
      <w:r w:rsidRPr="005D062F">
        <w:rPr>
          <w:bCs/>
          <w:color w:val="000000" w:themeColor="text1"/>
          <w:sz w:val="22"/>
          <w:szCs w:val="22"/>
          <w:lang w:val="fr-FR"/>
        </w:rPr>
        <w:t>»</w:t>
      </w:r>
      <w:r w:rsidR="008E7DCC" w:rsidRPr="005D062F">
        <w:rPr>
          <w:b/>
          <w:bCs/>
          <w:color w:val="000000" w:themeColor="text1"/>
          <w:sz w:val="22"/>
          <w:szCs w:val="22"/>
          <w:lang w:val="fr-FR"/>
        </w:rPr>
        <w:t xml:space="preserve"> </w:t>
      </w:r>
      <w:r w:rsidR="00ED2DE8" w:rsidRPr="005D062F">
        <w:rPr>
          <w:bCs/>
          <w:color w:val="000000" w:themeColor="text1"/>
          <w:sz w:val="22"/>
          <w:szCs w:val="22"/>
          <w:lang w:val="fr-FR"/>
        </w:rPr>
        <w:t>et</w:t>
      </w:r>
      <w:r w:rsidR="00ED2DE8" w:rsidRPr="005D062F">
        <w:rPr>
          <w:b/>
          <w:bCs/>
          <w:color w:val="000000" w:themeColor="text1"/>
          <w:sz w:val="22"/>
          <w:szCs w:val="22"/>
          <w:lang w:val="fr-FR"/>
        </w:rPr>
        <w:t xml:space="preserve"> </w:t>
      </w:r>
      <w:r w:rsidR="00ED2DE8" w:rsidRPr="005D062F">
        <w:rPr>
          <w:bCs/>
          <w:color w:val="000000" w:themeColor="text1"/>
          <w:sz w:val="22"/>
          <w:szCs w:val="22"/>
          <w:lang w:val="fr-FR"/>
        </w:rPr>
        <w:t>«</w:t>
      </w:r>
      <w:r w:rsidR="00ED2DE8" w:rsidRPr="005D062F">
        <w:rPr>
          <w:b/>
          <w:bCs/>
          <w:color w:val="000000" w:themeColor="text1"/>
          <w:sz w:val="22"/>
          <w:szCs w:val="22"/>
          <w:lang w:val="fr-FR"/>
        </w:rPr>
        <w:t> </w:t>
      </w:r>
      <w:r w:rsidR="008E7DCC" w:rsidRPr="005D062F">
        <w:rPr>
          <w:b/>
          <w:bCs/>
          <w:color w:val="000000" w:themeColor="text1"/>
          <w:sz w:val="22"/>
          <w:szCs w:val="22"/>
          <w:lang w:val="fr-FR"/>
        </w:rPr>
        <w:t>Transparenc</w:t>
      </w:r>
      <w:r w:rsidR="00ED2DE8" w:rsidRPr="005D062F">
        <w:rPr>
          <w:b/>
          <w:bCs/>
          <w:color w:val="000000" w:themeColor="text1"/>
          <w:sz w:val="22"/>
          <w:szCs w:val="22"/>
          <w:lang w:val="fr-FR"/>
        </w:rPr>
        <w:t>e de l’approvisionnement en énergies renouvelables </w:t>
      </w:r>
      <w:r w:rsidR="00ED2DE8" w:rsidRPr="005D062F">
        <w:rPr>
          <w:bCs/>
          <w:color w:val="000000" w:themeColor="text1"/>
          <w:sz w:val="22"/>
          <w:szCs w:val="22"/>
          <w:lang w:val="fr-FR"/>
        </w:rPr>
        <w:t>».</w:t>
      </w:r>
      <w:r w:rsidR="00ED2DE8" w:rsidRPr="005D062F">
        <w:rPr>
          <w:b/>
          <w:bCs/>
          <w:color w:val="000000" w:themeColor="text1"/>
          <w:sz w:val="22"/>
          <w:szCs w:val="22"/>
          <w:lang w:val="fr-FR"/>
        </w:rPr>
        <w:t xml:space="preserve"> </w:t>
      </w:r>
      <w:r w:rsidR="002C4F3F" w:rsidRPr="005D062F">
        <w:rPr>
          <w:color w:val="000000" w:themeColor="text1"/>
          <w:sz w:val="22"/>
          <w:szCs w:val="22"/>
          <w:lang w:val="fr-FR"/>
        </w:rPr>
        <w:t xml:space="preserve">Près de </w:t>
      </w:r>
      <w:r w:rsidR="008E7DCC" w:rsidRPr="005D062F">
        <w:rPr>
          <w:color w:val="000000" w:themeColor="text1"/>
          <w:sz w:val="22"/>
          <w:szCs w:val="22"/>
          <w:lang w:val="fr-FR"/>
        </w:rPr>
        <w:t>100</w:t>
      </w:r>
      <w:r w:rsidR="002C4F3F" w:rsidRPr="005D062F">
        <w:rPr>
          <w:color w:val="000000" w:themeColor="text1"/>
          <w:sz w:val="22"/>
          <w:szCs w:val="22"/>
          <w:lang w:val="fr-FR"/>
        </w:rPr>
        <w:t> responsables</w:t>
      </w:r>
      <w:r w:rsidR="008E7DCC" w:rsidRPr="005D062F">
        <w:rPr>
          <w:color w:val="000000" w:themeColor="text1"/>
          <w:sz w:val="22"/>
          <w:szCs w:val="22"/>
          <w:lang w:val="fr-FR"/>
        </w:rPr>
        <w:t xml:space="preserve"> go</w:t>
      </w:r>
      <w:r w:rsidR="002C4F3F" w:rsidRPr="005D062F">
        <w:rPr>
          <w:color w:val="000000" w:themeColor="text1"/>
          <w:sz w:val="22"/>
          <w:szCs w:val="22"/>
          <w:lang w:val="fr-FR"/>
        </w:rPr>
        <w:t>u</w:t>
      </w:r>
      <w:r w:rsidR="008E7DCC" w:rsidRPr="005D062F">
        <w:rPr>
          <w:color w:val="000000" w:themeColor="text1"/>
          <w:sz w:val="22"/>
          <w:szCs w:val="22"/>
          <w:lang w:val="fr-FR"/>
        </w:rPr>
        <w:t>vern</w:t>
      </w:r>
      <w:r w:rsidR="002C4F3F" w:rsidRPr="005D062F">
        <w:rPr>
          <w:color w:val="000000" w:themeColor="text1"/>
          <w:sz w:val="22"/>
          <w:szCs w:val="22"/>
          <w:lang w:val="fr-FR"/>
        </w:rPr>
        <w:t>e</w:t>
      </w:r>
      <w:r w:rsidR="008E7DCC" w:rsidRPr="005D062F">
        <w:rPr>
          <w:color w:val="000000" w:themeColor="text1"/>
          <w:sz w:val="22"/>
          <w:szCs w:val="22"/>
          <w:lang w:val="fr-FR"/>
        </w:rPr>
        <w:t>ment</w:t>
      </w:r>
      <w:r w:rsidR="002C4F3F" w:rsidRPr="005D062F">
        <w:rPr>
          <w:color w:val="000000" w:themeColor="text1"/>
          <w:sz w:val="22"/>
          <w:szCs w:val="22"/>
          <w:lang w:val="fr-FR"/>
        </w:rPr>
        <w:t>aux de 17 pays ont participé à</w:t>
      </w:r>
      <w:r w:rsidRPr="005D062F">
        <w:rPr>
          <w:color w:val="000000" w:themeColor="text1"/>
          <w:sz w:val="22"/>
          <w:szCs w:val="22"/>
          <w:lang w:val="fr-FR"/>
        </w:rPr>
        <w:t xml:space="preserve"> cette formation</w:t>
      </w:r>
      <w:r w:rsidR="008E7DCC" w:rsidRPr="005D062F">
        <w:rPr>
          <w:color w:val="000000" w:themeColor="text1"/>
          <w:sz w:val="22"/>
          <w:szCs w:val="22"/>
          <w:lang w:val="fr-FR"/>
        </w:rPr>
        <w:t>.</w:t>
      </w:r>
    </w:p>
    <w:p w14:paraId="5CBC25FD" w14:textId="77777777" w:rsidR="008E7DCC" w:rsidRPr="005D062F" w:rsidRDefault="008E7DCC" w:rsidP="00723DAD">
      <w:pPr>
        <w:rPr>
          <w:rFonts w:ascii="Times New Roman" w:hAnsi="Times New Roman" w:cs="Times New Roman"/>
          <w:color w:val="000000" w:themeColor="text1"/>
          <w:sz w:val="22"/>
          <w:szCs w:val="22"/>
          <w:lang w:val="fr-FR"/>
        </w:rPr>
      </w:pPr>
    </w:p>
    <w:p w14:paraId="5A73A955" w14:textId="2CDC8828" w:rsidR="003D06B0" w:rsidRPr="005D062F" w:rsidRDefault="008D5918" w:rsidP="00CB030B">
      <w:pPr>
        <w:pStyle w:val="ListParagraph"/>
        <w:numPr>
          <w:ilvl w:val="0"/>
          <w:numId w:val="18"/>
        </w:numPr>
        <w:ind w:left="1440" w:hanging="720"/>
        <w:jc w:val="both"/>
        <w:rPr>
          <w:color w:val="000000" w:themeColor="text1"/>
          <w:sz w:val="22"/>
          <w:szCs w:val="22"/>
          <w:lang w:val="fr-FR"/>
        </w:rPr>
      </w:pPr>
      <w:r w:rsidRPr="005D062F">
        <w:rPr>
          <w:color w:val="000000" w:themeColor="text1"/>
          <w:sz w:val="22"/>
          <w:szCs w:val="22"/>
          <w:lang w:val="fr-FR"/>
        </w:rPr>
        <w:t xml:space="preserve">Il a animé l’édition 2022 du </w:t>
      </w:r>
      <w:r w:rsidR="008E7DCC" w:rsidRPr="005D062F">
        <w:rPr>
          <w:b/>
          <w:bCs/>
          <w:color w:val="000000" w:themeColor="text1"/>
          <w:sz w:val="22"/>
          <w:szCs w:val="22"/>
          <w:lang w:val="fr-FR"/>
        </w:rPr>
        <w:t>Program</w:t>
      </w:r>
      <w:r w:rsidRPr="005D062F">
        <w:rPr>
          <w:b/>
          <w:bCs/>
          <w:color w:val="000000" w:themeColor="text1"/>
          <w:sz w:val="22"/>
          <w:szCs w:val="22"/>
          <w:lang w:val="fr-FR"/>
        </w:rPr>
        <w:t>me de formation des cadres sur la décarbonation</w:t>
      </w:r>
      <w:r w:rsidR="008E7DCC" w:rsidRPr="005D062F">
        <w:rPr>
          <w:color w:val="000000" w:themeColor="text1"/>
          <w:sz w:val="22"/>
          <w:szCs w:val="22"/>
          <w:lang w:val="fr-FR"/>
        </w:rPr>
        <w:t>,</w:t>
      </w:r>
      <w:r w:rsidR="0073026A" w:rsidRPr="005D062F">
        <w:rPr>
          <w:color w:val="000000" w:themeColor="text1"/>
          <w:sz w:val="22"/>
          <w:szCs w:val="22"/>
          <w:lang w:val="fr-FR"/>
        </w:rPr>
        <w:t xml:space="preserve"> </w:t>
      </w:r>
      <w:r w:rsidR="006550B9" w:rsidRPr="005D062F">
        <w:rPr>
          <w:color w:val="000000" w:themeColor="text1"/>
          <w:sz w:val="22"/>
          <w:szCs w:val="22"/>
          <w:lang w:val="fr-FR"/>
        </w:rPr>
        <w:t>conçu pour autonomiser les décideurs d’Amérique latine et des Caraïbes sur les questions cruciales de la décarbonation et promouvoir l’engagement et les investissements du secteur privé</w:t>
      </w:r>
      <w:r w:rsidR="008E7DCC" w:rsidRPr="005D062F">
        <w:rPr>
          <w:color w:val="000000" w:themeColor="text1"/>
          <w:sz w:val="22"/>
          <w:szCs w:val="22"/>
          <w:lang w:val="fr-FR"/>
        </w:rPr>
        <w:t xml:space="preserve">. </w:t>
      </w:r>
      <w:r w:rsidR="006550B9" w:rsidRPr="005D062F">
        <w:rPr>
          <w:color w:val="000000" w:themeColor="text1"/>
          <w:sz w:val="22"/>
          <w:szCs w:val="22"/>
          <w:lang w:val="fr-FR"/>
        </w:rPr>
        <w:t xml:space="preserve">Grâce à trois sessions qui se sont tenues en mode virtuel entre mai et juin 2022, </w:t>
      </w:r>
      <w:r w:rsidR="008E7DCC" w:rsidRPr="005D062F">
        <w:rPr>
          <w:color w:val="000000" w:themeColor="text1"/>
          <w:sz w:val="22"/>
          <w:szCs w:val="22"/>
          <w:lang w:val="fr-FR"/>
        </w:rPr>
        <w:t xml:space="preserve">150 </w:t>
      </w:r>
      <w:r w:rsidR="006550B9" w:rsidRPr="005D062F">
        <w:rPr>
          <w:color w:val="000000" w:themeColor="text1"/>
          <w:sz w:val="22"/>
          <w:szCs w:val="22"/>
          <w:lang w:val="fr-FR"/>
        </w:rPr>
        <w:t xml:space="preserve">responsables </w:t>
      </w:r>
      <w:r w:rsidR="008E7DCC" w:rsidRPr="005D062F">
        <w:rPr>
          <w:color w:val="000000" w:themeColor="text1"/>
          <w:sz w:val="22"/>
          <w:szCs w:val="22"/>
          <w:lang w:val="fr-FR"/>
        </w:rPr>
        <w:t>go</w:t>
      </w:r>
      <w:r w:rsidR="006550B9" w:rsidRPr="005D062F">
        <w:rPr>
          <w:color w:val="000000" w:themeColor="text1"/>
          <w:sz w:val="22"/>
          <w:szCs w:val="22"/>
          <w:lang w:val="fr-FR"/>
        </w:rPr>
        <w:t>u</w:t>
      </w:r>
      <w:r w:rsidR="008E7DCC" w:rsidRPr="005D062F">
        <w:rPr>
          <w:color w:val="000000" w:themeColor="text1"/>
          <w:sz w:val="22"/>
          <w:szCs w:val="22"/>
          <w:lang w:val="fr-FR"/>
        </w:rPr>
        <w:t>vern</w:t>
      </w:r>
      <w:r w:rsidR="006550B9" w:rsidRPr="005D062F">
        <w:rPr>
          <w:color w:val="000000" w:themeColor="text1"/>
          <w:sz w:val="22"/>
          <w:szCs w:val="22"/>
          <w:lang w:val="fr-FR"/>
        </w:rPr>
        <w:t>e</w:t>
      </w:r>
      <w:r w:rsidR="008E7DCC" w:rsidRPr="005D062F">
        <w:rPr>
          <w:color w:val="000000" w:themeColor="text1"/>
          <w:sz w:val="22"/>
          <w:szCs w:val="22"/>
          <w:lang w:val="fr-FR"/>
        </w:rPr>
        <w:t>ment</w:t>
      </w:r>
      <w:r w:rsidR="006550B9" w:rsidRPr="005D062F">
        <w:rPr>
          <w:color w:val="000000" w:themeColor="text1"/>
          <w:sz w:val="22"/>
          <w:szCs w:val="22"/>
          <w:lang w:val="fr-FR"/>
        </w:rPr>
        <w:t>aux ont pu s’entretenir avec des experts sur les questions liées à l’énergie, l’hydrogène, la planification de la décarbonation, les politiques, l’approvisionnement et les partenariats</w:t>
      </w:r>
      <w:r w:rsidR="008E7DCC" w:rsidRPr="005D062F">
        <w:rPr>
          <w:color w:val="000000" w:themeColor="text1"/>
          <w:sz w:val="22"/>
          <w:szCs w:val="22"/>
          <w:lang w:val="fr-FR"/>
        </w:rPr>
        <w:t>.</w:t>
      </w:r>
    </w:p>
    <w:p w14:paraId="685579DB" w14:textId="77777777" w:rsidR="00135759" w:rsidRPr="005D062F" w:rsidRDefault="00135759" w:rsidP="00723DAD">
      <w:pPr>
        <w:rPr>
          <w:rFonts w:ascii="Times New Roman" w:hAnsi="Times New Roman" w:cs="Times New Roman"/>
          <w:color w:val="000000" w:themeColor="text1"/>
          <w:sz w:val="22"/>
          <w:szCs w:val="22"/>
          <w:lang w:val="fr-FR"/>
        </w:rPr>
      </w:pPr>
    </w:p>
    <w:p w14:paraId="5EBBF5F4" w14:textId="2047AC0F" w:rsidR="003D06B0" w:rsidRPr="005D062F" w:rsidRDefault="00451914" w:rsidP="00CB030B">
      <w:pPr>
        <w:pStyle w:val="ListParagraph"/>
        <w:numPr>
          <w:ilvl w:val="0"/>
          <w:numId w:val="18"/>
        </w:numPr>
        <w:ind w:left="1440" w:hanging="720"/>
        <w:jc w:val="both"/>
        <w:rPr>
          <w:color w:val="000000" w:themeColor="text1"/>
          <w:sz w:val="22"/>
          <w:szCs w:val="22"/>
          <w:lang w:val="fr-FR"/>
        </w:rPr>
      </w:pPr>
      <w:r w:rsidRPr="005D062F">
        <w:rPr>
          <w:color w:val="000000" w:themeColor="text1"/>
          <w:sz w:val="22"/>
          <w:szCs w:val="22"/>
          <w:lang w:val="fr-FR"/>
        </w:rPr>
        <w:t xml:space="preserve">Il a favorisé la diplomatie et l’intégration énergétiques par le biais </w:t>
      </w:r>
      <w:r w:rsidR="00852553" w:rsidRPr="005D062F">
        <w:rPr>
          <w:color w:val="000000" w:themeColor="text1"/>
          <w:sz w:val="22"/>
          <w:szCs w:val="22"/>
          <w:lang w:val="fr-FR"/>
        </w:rPr>
        <w:t xml:space="preserve">d’échanges politiques </w:t>
      </w:r>
      <w:r w:rsidR="0024623D" w:rsidRPr="005D062F">
        <w:rPr>
          <w:color w:val="000000" w:themeColor="text1"/>
          <w:sz w:val="22"/>
          <w:szCs w:val="22"/>
          <w:lang w:val="fr-FR"/>
        </w:rPr>
        <w:t xml:space="preserve">lors de la </w:t>
      </w:r>
      <w:r w:rsidR="00135759" w:rsidRPr="005D062F">
        <w:rPr>
          <w:color w:val="000000" w:themeColor="text1"/>
          <w:sz w:val="22"/>
          <w:szCs w:val="22"/>
          <w:lang w:val="fr-FR"/>
        </w:rPr>
        <w:t>XIII</w:t>
      </w:r>
      <w:r w:rsidR="0024623D" w:rsidRPr="005D062F">
        <w:rPr>
          <w:color w:val="000000" w:themeColor="text1"/>
          <w:sz w:val="22"/>
          <w:szCs w:val="22"/>
          <w:vertAlign w:val="superscript"/>
          <w:lang w:val="fr-FR"/>
        </w:rPr>
        <w:t>e</w:t>
      </w:r>
      <w:r w:rsidR="00852553" w:rsidRPr="005D062F">
        <w:rPr>
          <w:color w:val="000000" w:themeColor="text1"/>
          <w:sz w:val="22"/>
          <w:szCs w:val="22"/>
          <w:lang w:val="fr-FR"/>
        </w:rPr>
        <w:t> </w:t>
      </w:r>
      <w:r w:rsidR="0024623D" w:rsidRPr="005D062F">
        <w:rPr>
          <w:color w:val="000000" w:themeColor="text1"/>
          <w:sz w:val="22"/>
          <w:szCs w:val="22"/>
          <w:lang w:val="fr-FR"/>
        </w:rPr>
        <w:t xml:space="preserve">Réunion ministérielle sur l’énergie propre et la </w:t>
      </w:r>
      <w:r w:rsidR="00135759" w:rsidRPr="005D062F">
        <w:rPr>
          <w:color w:val="000000" w:themeColor="text1"/>
          <w:sz w:val="22"/>
          <w:szCs w:val="22"/>
          <w:lang w:val="fr-FR"/>
        </w:rPr>
        <w:t>VII</w:t>
      </w:r>
      <w:r w:rsidR="00337436" w:rsidRPr="005D062F">
        <w:rPr>
          <w:color w:val="000000" w:themeColor="text1"/>
          <w:sz w:val="22"/>
          <w:szCs w:val="22"/>
          <w:vertAlign w:val="superscript"/>
          <w:lang w:val="fr-FR"/>
        </w:rPr>
        <w:t>e</w:t>
      </w:r>
      <w:r w:rsidR="00852553" w:rsidRPr="005D062F">
        <w:rPr>
          <w:color w:val="000000" w:themeColor="text1"/>
          <w:sz w:val="22"/>
          <w:szCs w:val="22"/>
          <w:lang w:val="fr-FR"/>
        </w:rPr>
        <w:t> </w:t>
      </w:r>
      <w:r w:rsidR="00337436" w:rsidRPr="005D062F">
        <w:rPr>
          <w:color w:val="000000" w:themeColor="text1"/>
          <w:sz w:val="22"/>
          <w:szCs w:val="22"/>
          <w:lang w:val="fr-FR"/>
        </w:rPr>
        <w:t>Réunion ministérielle sur la Mission Innovation (</w:t>
      </w:r>
      <w:r w:rsidR="003D06B0" w:rsidRPr="005D062F">
        <w:rPr>
          <w:color w:val="000000" w:themeColor="text1"/>
          <w:sz w:val="22"/>
          <w:szCs w:val="22"/>
          <w:lang w:val="fr-FR"/>
        </w:rPr>
        <w:t>M</w:t>
      </w:r>
      <w:r w:rsidR="00337436" w:rsidRPr="005D062F">
        <w:rPr>
          <w:color w:val="000000" w:themeColor="text1"/>
          <w:sz w:val="22"/>
          <w:szCs w:val="22"/>
          <w:lang w:val="fr-FR"/>
        </w:rPr>
        <w:t>I), animées par les États-Unis. Le Chili</w:t>
      </w:r>
      <w:r w:rsidR="003D06B0" w:rsidRPr="005D062F">
        <w:rPr>
          <w:color w:val="000000" w:themeColor="text1"/>
          <w:sz w:val="22"/>
          <w:szCs w:val="22"/>
          <w:lang w:val="fr-FR"/>
        </w:rPr>
        <w:t xml:space="preserve">, </w:t>
      </w:r>
      <w:r w:rsidR="00337436" w:rsidRPr="005D062F">
        <w:rPr>
          <w:color w:val="000000" w:themeColor="text1"/>
          <w:sz w:val="22"/>
          <w:szCs w:val="22"/>
          <w:lang w:val="fr-FR"/>
        </w:rPr>
        <w:t xml:space="preserve">la </w:t>
      </w:r>
      <w:r w:rsidR="003D06B0" w:rsidRPr="005D062F">
        <w:rPr>
          <w:color w:val="000000" w:themeColor="text1"/>
          <w:sz w:val="22"/>
          <w:szCs w:val="22"/>
          <w:lang w:val="fr-FR"/>
        </w:rPr>
        <w:t>R</w:t>
      </w:r>
      <w:r w:rsidR="00337436" w:rsidRPr="005D062F">
        <w:rPr>
          <w:color w:val="000000" w:themeColor="text1"/>
          <w:sz w:val="22"/>
          <w:szCs w:val="22"/>
          <w:lang w:val="fr-FR"/>
        </w:rPr>
        <w:t>é</w:t>
      </w:r>
      <w:r w:rsidR="003D06B0" w:rsidRPr="005D062F">
        <w:rPr>
          <w:color w:val="000000" w:themeColor="text1"/>
          <w:sz w:val="22"/>
          <w:szCs w:val="22"/>
          <w:lang w:val="fr-FR"/>
        </w:rPr>
        <w:t>publi</w:t>
      </w:r>
      <w:r w:rsidR="00337436" w:rsidRPr="005D062F">
        <w:rPr>
          <w:color w:val="000000" w:themeColor="text1"/>
          <w:sz w:val="22"/>
          <w:szCs w:val="22"/>
          <w:lang w:val="fr-FR"/>
        </w:rPr>
        <w:t xml:space="preserve">que dominicaine, </w:t>
      </w:r>
      <w:r w:rsidR="00612D53" w:rsidRPr="005D062F">
        <w:rPr>
          <w:color w:val="000000" w:themeColor="text1"/>
          <w:sz w:val="22"/>
          <w:szCs w:val="22"/>
          <w:lang w:val="fr-FR"/>
        </w:rPr>
        <w:t xml:space="preserve">le </w:t>
      </w:r>
      <w:r w:rsidR="00337436" w:rsidRPr="005D062F">
        <w:rPr>
          <w:color w:val="000000" w:themeColor="text1"/>
          <w:sz w:val="22"/>
          <w:szCs w:val="22"/>
          <w:lang w:val="fr-FR"/>
        </w:rPr>
        <w:t>Panama et l’</w:t>
      </w:r>
      <w:r w:rsidR="003D06B0" w:rsidRPr="005D062F">
        <w:rPr>
          <w:color w:val="000000" w:themeColor="text1"/>
          <w:sz w:val="22"/>
          <w:szCs w:val="22"/>
          <w:lang w:val="fr-FR"/>
        </w:rPr>
        <w:t xml:space="preserve">Uruguay </w:t>
      </w:r>
      <w:r w:rsidR="00337436" w:rsidRPr="005D062F">
        <w:rPr>
          <w:color w:val="000000" w:themeColor="text1"/>
          <w:sz w:val="22"/>
          <w:szCs w:val="22"/>
          <w:lang w:val="fr-FR"/>
        </w:rPr>
        <w:t>ont partagé leurs expériences</w:t>
      </w:r>
      <w:r w:rsidR="00852553" w:rsidRPr="005D062F">
        <w:rPr>
          <w:color w:val="000000" w:themeColor="text1"/>
          <w:sz w:val="22"/>
          <w:szCs w:val="22"/>
          <w:lang w:val="fr-FR"/>
        </w:rPr>
        <w:t xml:space="preserve"> ainsi que</w:t>
      </w:r>
      <w:r w:rsidR="00337436" w:rsidRPr="005D062F">
        <w:rPr>
          <w:color w:val="000000" w:themeColor="text1"/>
          <w:sz w:val="22"/>
          <w:szCs w:val="22"/>
          <w:lang w:val="fr-FR"/>
        </w:rPr>
        <w:t xml:space="preserve"> les enseignements qu’ils ont tirés dans le domaine de la transition énergétique et de la décarbonation à horizon </w:t>
      </w:r>
      <w:r w:rsidR="003D06B0" w:rsidRPr="005D062F">
        <w:rPr>
          <w:color w:val="000000" w:themeColor="text1"/>
          <w:sz w:val="22"/>
          <w:szCs w:val="22"/>
          <w:lang w:val="fr-FR"/>
        </w:rPr>
        <w:t xml:space="preserve">2050 </w:t>
      </w:r>
      <w:r w:rsidR="00337436" w:rsidRPr="005D062F">
        <w:rPr>
          <w:color w:val="000000" w:themeColor="text1"/>
          <w:sz w:val="22"/>
          <w:szCs w:val="22"/>
          <w:lang w:val="fr-FR"/>
        </w:rPr>
        <w:t>en mettant l’accent sur la mobilité électrique, la résilience des</w:t>
      </w:r>
      <w:r w:rsidR="008D58EF" w:rsidRPr="005D062F">
        <w:rPr>
          <w:color w:val="000000" w:themeColor="text1"/>
          <w:sz w:val="22"/>
          <w:szCs w:val="22"/>
          <w:lang w:val="fr-FR"/>
        </w:rPr>
        <w:t xml:space="preserve"> </w:t>
      </w:r>
      <w:r w:rsidR="003D06B0" w:rsidRPr="005D062F">
        <w:rPr>
          <w:color w:val="000000" w:themeColor="text1"/>
          <w:sz w:val="22"/>
          <w:szCs w:val="22"/>
          <w:lang w:val="fr-FR"/>
        </w:rPr>
        <w:t>infrastructure</w:t>
      </w:r>
      <w:r w:rsidR="00337436" w:rsidRPr="005D062F">
        <w:rPr>
          <w:color w:val="000000" w:themeColor="text1"/>
          <w:sz w:val="22"/>
          <w:szCs w:val="22"/>
          <w:lang w:val="fr-FR"/>
        </w:rPr>
        <w:t>s et l’</w:t>
      </w:r>
      <w:r w:rsidR="003D06B0" w:rsidRPr="005D062F">
        <w:rPr>
          <w:color w:val="000000" w:themeColor="text1"/>
          <w:sz w:val="22"/>
          <w:szCs w:val="22"/>
          <w:lang w:val="fr-FR"/>
        </w:rPr>
        <w:t>inclusion</w:t>
      </w:r>
      <w:r w:rsidR="00337436" w:rsidRPr="005D062F">
        <w:rPr>
          <w:color w:val="000000" w:themeColor="text1"/>
          <w:sz w:val="22"/>
          <w:szCs w:val="22"/>
          <w:lang w:val="fr-FR"/>
        </w:rPr>
        <w:t xml:space="preserve"> sociale</w:t>
      </w:r>
      <w:r w:rsidR="003D06B0" w:rsidRPr="005D062F">
        <w:rPr>
          <w:color w:val="000000" w:themeColor="text1"/>
          <w:sz w:val="22"/>
          <w:szCs w:val="22"/>
          <w:lang w:val="fr-FR"/>
        </w:rPr>
        <w:t>.</w:t>
      </w:r>
    </w:p>
    <w:p w14:paraId="19251335" w14:textId="6E4889D6" w:rsidR="00135759" w:rsidRPr="005D062F" w:rsidRDefault="00135759" w:rsidP="00CB030B">
      <w:pPr>
        <w:jc w:val="both"/>
        <w:rPr>
          <w:rFonts w:ascii="Times New Roman" w:eastAsia="Calibri" w:hAnsi="Times New Roman" w:cs="Times New Roman"/>
          <w:color w:val="000000" w:themeColor="text1"/>
          <w:sz w:val="22"/>
          <w:szCs w:val="22"/>
          <w:lang w:val="fr-FR"/>
        </w:rPr>
      </w:pPr>
    </w:p>
    <w:p w14:paraId="74F727B9" w14:textId="56D510F6" w:rsidR="00141240" w:rsidRPr="005D062F" w:rsidRDefault="00852553" w:rsidP="007F7619">
      <w:pPr>
        <w:keepNext/>
        <w:ind w:firstLine="720"/>
        <w:rPr>
          <w:rFonts w:ascii="Times New Roman" w:eastAsia="Calibri" w:hAnsi="Times New Roman" w:cs="Times New Roman"/>
          <w:b/>
          <w:bCs/>
          <w:color w:val="000000" w:themeColor="text1"/>
          <w:sz w:val="22"/>
          <w:szCs w:val="22"/>
          <w:lang w:val="fr-FR"/>
        </w:rPr>
      </w:pPr>
      <w:r w:rsidRPr="005D062F">
        <w:rPr>
          <w:rFonts w:ascii="Times New Roman" w:eastAsia="Calibri" w:hAnsi="Times New Roman" w:cs="Times New Roman"/>
          <w:b/>
          <w:bCs/>
          <w:color w:val="000000" w:themeColor="text1"/>
          <w:sz w:val="22"/>
          <w:szCs w:val="22"/>
          <w:lang w:val="fr-FR"/>
        </w:rPr>
        <w:t>Secré</w:t>
      </w:r>
      <w:r w:rsidR="00141240" w:rsidRPr="005D062F">
        <w:rPr>
          <w:rFonts w:ascii="Times New Roman" w:eastAsia="Calibri" w:hAnsi="Times New Roman" w:cs="Times New Roman"/>
          <w:b/>
          <w:bCs/>
          <w:color w:val="000000" w:themeColor="text1"/>
          <w:sz w:val="22"/>
          <w:szCs w:val="22"/>
          <w:lang w:val="fr-FR"/>
        </w:rPr>
        <w:t xml:space="preserve">tariat </w:t>
      </w:r>
      <w:r w:rsidRPr="005D062F">
        <w:rPr>
          <w:rFonts w:ascii="Times New Roman" w:eastAsia="Calibri" w:hAnsi="Times New Roman" w:cs="Times New Roman"/>
          <w:b/>
          <w:bCs/>
          <w:color w:val="000000" w:themeColor="text1"/>
          <w:sz w:val="22"/>
          <w:szCs w:val="22"/>
          <w:lang w:val="fr-FR"/>
        </w:rPr>
        <w:t>de la Commission interaméricaine des ports</w:t>
      </w:r>
    </w:p>
    <w:p w14:paraId="1DBBBA19" w14:textId="77777777" w:rsidR="00141240" w:rsidRPr="005D062F" w:rsidRDefault="00141240" w:rsidP="007F7619">
      <w:pPr>
        <w:keepNext/>
        <w:rPr>
          <w:rFonts w:ascii="Times New Roman" w:eastAsia="Calibri" w:hAnsi="Times New Roman" w:cs="Times New Roman"/>
          <w:color w:val="000000" w:themeColor="text1"/>
          <w:sz w:val="22"/>
          <w:szCs w:val="22"/>
          <w:lang w:val="fr-FR"/>
        </w:rPr>
      </w:pPr>
    </w:p>
    <w:p w14:paraId="2D1AFA22" w14:textId="594EBE43" w:rsidR="00141240" w:rsidRPr="005D062F" w:rsidRDefault="00852553" w:rsidP="00CB030B">
      <w:pPr>
        <w:pStyle w:val="ListParagraph"/>
        <w:numPr>
          <w:ilvl w:val="0"/>
          <w:numId w:val="22"/>
        </w:numPr>
        <w:ind w:left="1440" w:hanging="720"/>
        <w:contextualSpacing/>
        <w:jc w:val="both"/>
        <w:rPr>
          <w:color w:val="000000" w:themeColor="text1"/>
          <w:sz w:val="22"/>
          <w:szCs w:val="22"/>
          <w:lang w:val="fr-FR"/>
        </w:rPr>
      </w:pPr>
      <w:r w:rsidRPr="005D062F">
        <w:rPr>
          <w:color w:val="000000" w:themeColor="text1"/>
          <w:sz w:val="22"/>
          <w:szCs w:val="22"/>
          <w:lang w:val="fr-FR"/>
        </w:rPr>
        <w:t xml:space="preserve">Des discussions ont été entamées avec l’Autorité maritime du </w:t>
      </w:r>
      <w:r w:rsidR="00141240" w:rsidRPr="005D062F">
        <w:rPr>
          <w:color w:val="000000" w:themeColor="text1"/>
          <w:sz w:val="22"/>
          <w:szCs w:val="22"/>
          <w:lang w:val="fr-FR"/>
        </w:rPr>
        <w:t>Panama</w:t>
      </w:r>
      <w:r w:rsidRPr="005D062F">
        <w:rPr>
          <w:color w:val="000000" w:themeColor="text1"/>
          <w:sz w:val="22"/>
          <w:szCs w:val="22"/>
          <w:lang w:val="fr-FR"/>
        </w:rPr>
        <w:t xml:space="preserve"> concernant la mise en œuvre du</w:t>
      </w:r>
      <w:r w:rsidR="00141240" w:rsidRPr="005D062F">
        <w:rPr>
          <w:color w:val="000000" w:themeColor="text1"/>
          <w:sz w:val="22"/>
          <w:szCs w:val="22"/>
          <w:lang w:val="fr-FR"/>
        </w:rPr>
        <w:t xml:space="preserve"> Program</w:t>
      </w:r>
      <w:r w:rsidRPr="005D062F">
        <w:rPr>
          <w:color w:val="000000" w:themeColor="text1"/>
          <w:sz w:val="22"/>
          <w:szCs w:val="22"/>
          <w:lang w:val="fr-FR"/>
        </w:rPr>
        <w:t>me d’incitation en faveur des ports dans l’un des ports du pays.</w:t>
      </w:r>
      <w:r w:rsidR="00141240" w:rsidRPr="005D062F">
        <w:rPr>
          <w:color w:val="000000" w:themeColor="text1"/>
          <w:sz w:val="22"/>
          <w:szCs w:val="22"/>
          <w:lang w:val="fr-FR"/>
        </w:rPr>
        <w:t xml:space="preserve"> </w:t>
      </w:r>
      <w:r w:rsidRPr="005D062F">
        <w:rPr>
          <w:color w:val="000000" w:themeColor="text1"/>
          <w:sz w:val="22"/>
          <w:szCs w:val="22"/>
          <w:lang w:val="fr-FR"/>
        </w:rPr>
        <w:t>Le</w:t>
      </w:r>
      <w:r w:rsidR="00141240" w:rsidRPr="005D062F">
        <w:rPr>
          <w:color w:val="000000" w:themeColor="text1"/>
          <w:sz w:val="22"/>
          <w:szCs w:val="22"/>
          <w:lang w:val="fr-FR"/>
        </w:rPr>
        <w:t xml:space="preserve"> </w:t>
      </w:r>
      <w:r w:rsidRPr="005D062F">
        <w:rPr>
          <w:color w:val="000000" w:themeColor="text1"/>
          <w:sz w:val="22"/>
          <w:szCs w:val="22"/>
          <w:lang w:val="fr-FR"/>
        </w:rPr>
        <w:t xml:space="preserve">Secrétariat de la </w:t>
      </w:r>
      <w:r w:rsidR="00141240" w:rsidRPr="005D062F">
        <w:rPr>
          <w:color w:val="000000" w:themeColor="text1"/>
          <w:sz w:val="22"/>
          <w:szCs w:val="22"/>
          <w:lang w:val="fr-FR"/>
        </w:rPr>
        <w:t xml:space="preserve">CIP </w:t>
      </w:r>
      <w:r w:rsidR="005E6468" w:rsidRPr="005D062F">
        <w:rPr>
          <w:color w:val="000000" w:themeColor="text1"/>
          <w:sz w:val="22"/>
          <w:szCs w:val="22"/>
          <w:lang w:val="fr-FR"/>
        </w:rPr>
        <w:t xml:space="preserve">espère des résultats en </w:t>
      </w:r>
      <w:r w:rsidR="00141240" w:rsidRPr="005D062F">
        <w:rPr>
          <w:color w:val="000000" w:themeColor="text1"/>
          <w:sz w:val="22"/>
          <w:szCs w:val="22"/>
          <w:lang w:val="fr-FR"/>
        </w:rPr>
        <w:t>2023.</w:t>
      </w:r>
    </w:p>
    <w:p w14:paraId="1A8364B1" w14:textId="7777B573" w:rsidR="005F30B1" w:rsidRPr="005D062F" w:rsidRDefault="005F30B1" w:rsidP="00CB030B">
      <w:pPr>
        <w:contextualSpacing/>
        <w:jc w:val="both"/>
        <w:rPr>
          <w:rFonts w:ascii="Times New Roman" w:hAnsi="Times New Roman" w:cs="Times New Roman"/>
          <w:color w:val="000000" w:themeColor="text1"/>
          <w:sz w:val="22"/>
          <w:szCs w:val="22"/>
          <w:lang w:val="fr-FR"/>
        </w:rPr>
      </w:pPr>
    </w:p>
    <w:p w14:paraId="6669E644" w14:textId="64021088" w:rsidR="003D06B0" w:rsidRPr="005D062F" w:rsidRDefault="00C2663A" w:rsidP="002D4DF7">
      <w:pPr>
        <w:pStyle w:val="Heading2"/>
      </w:pPr>
      <w:bookmarkStart w:id="18" w:name="_Toc124243408"/>
      <w:r w:rsidRPr="005D062F">
        <w:t>OBJECTIF</w:t>
      </w:r>
      <w:r w:rsidR="003D06B0" w:rsidRPr="005D062F">
        <w:t xml:space="preserve"> 2.6</w:t>
      </w:r>
      <w:bookmarkEnd w:id="18"/>
    </w:p>
    <w:p w14:paraId="6412F10B" w14:textId="77777777" w:rsidR="00135759" w:rsidRPr="005D062F" w:rsidRDefault="00135759" w:rsidP="00CB030B">
      <w:pPr>
        <w:ind w:firstLine="18"/>
        <w:jc w:val="both"/>
        <w:rPr>
          <w:rFonts w:ascii="Times New Roman" w:eastAsia="Calibri" w:hAnsi="Times New Roman" w:cs="Times New Roman"/>
          <w:b/>
          <w:sz w:val="22"/>
          <w:szCs w:val="22"/>
          <w:u w:val="single"/>
          <w:lang w:val="fr-FR"/>
        </w:rPr>
      </w:pPr>
    </w:p>
    <w:p w14:paraId="65B71568" w14:textId="12C9D5B2" w:rsidR="003D06B0" w:rsidRPr="005D062F" w:rsidRDefault="00232E74" w:rsidP="00CB030B">
      <w:pPr>
        <w:ind w:firstLine="360"/>
        <w:jc w:val="both"/>
        <w:rPr>
          <w:rFonts w:ascii="Times New Roman" w:eastAsia="Calibri" w:hAnsi="Times New Roman" w:cs="Times New Roman"/>
          <w:color w:val="000000" w:themeColor="text1"/>
          <w:sz w:val="22"/>
          <w:szCs w:val="22"/>
          <w:lang w:val="fr-FR"/>
        </w:rPr>
      </w:pPr>
      <w:r w:rsidRPr="005D062F">
        <w:rPr>
          <w:rFonts w:ascii="Times New Roman" w:eastAsia="Calibri" w:hAnsi="Times New Roman" w:cs="Times New Roman"/>
          <w:color w:val="000000" w:themeColor="text1"/>
          <w:sz w:val="22"/>
          <w:szCs w:val="22"/>
          <w:lang w:val="fr-FR"/>
        </w:rPr>
        <w:t>Renforcer les capacités des États membres à disposer d’institutions efficientes, efficaces, responsables et inclusives pour le développement durable, conformément aux objectifs et principes d’action énoncés à la section 3.6 du</w:t>
      </w:r>
      <w:r w:rsidRPr="005D062F">
        <w:rPr>
          <w:rFonts w:ascii="Times New Roman" w:eastAsia="Times New Roman" w:hAnsi="Times New Roman" w:cs="Times New Roman"/>
          <w:b/>
          <w:color w:val="000000"/>
          <w:sz w:val="22"/>
          <w:szCs w:val="22"/>
          <w:lang w:val="fr-FR"/>
        </w:rPr>
        <w:t xml:space="preserve"> </w:t>
      </w:r>
      <w:r w:rsidR="003D06B0" w:rsidRPr="005D062F">
        <w:rPr>
          <w:rFonts w:ascii="Times New Roman" w:eastAsia="Calibri" w:hAnsi="Times New Roman" w:cs="Times New Roman"/>
          <w:color w:val="000000" w:themeColor="text1"/>
          <w:sz w:val="22"/>
          <w:szCs w:val="22"/>
          <w:lang w:val="fr-FR"/>
        </w:rPr>
        <w:t>PIDS.</w:t>
      </w:r>
    </w:p>
    <w:p w14:paraId="3BBD3556" w14:textId="77777777" w:rsidR="003D06B0" w:rsidRPr="005D062F" w:rsidRDefault="003D06B0" w:rsidP="00CB030B">
      <w:pPr>
        <w:tabs>
          <w:tab w:val="left" w:pos="432"/>
        </w:tabs>
        <w:ind w:left="432" w:hanging="432"/>
        <w:jc w:val="both"/>
        <w:rPr>
          <w:rFonts w:ascii="Times New Roman" w:hAnsi="Times New Roman" w:cs="Times New Roman"/>
          <w:color w:val="000000" w:themeColor="text1"/>
          <w:sz w:val="22"/>
          <w:szCs w:val="22"/>
          <w:lang w:val="fr-FR"/>
        </w:rPr>
      </w:pPr>
    </w:p>
    <w:p w14:paraId="64B3F610" w14:textId="69C8DF77" w:rsidR="003D06B0" w:rsidRPr="005D062F" w:rsidRDefault="00BF0A1C" w:rsidP="00CB030B">
      <w:pPr>
        <w:pStyle w:val="ListParagraph"/>
        <w:numPr>
          <w:ilvl w:val="0"/>
          <w:numId w:val="21"/>
        </w:numPr>
        <w:ind w:left="1440" w:hanging="720"/>
        <w:jc w:val="both"/>
        <w:rPr>
          <w:color w:val="000000" w:themeColor="text1"/>
          <w:sz w:val="22"/>
          <w:szCs w:val="22"/>
          <w:lang w:val="fr-FR"/>
        </w:rPr>
      </w:pPr>
      <w:r w:rsidRPr="005D062F">
        <w:rPr>
          <w:rFonts w:eastAsia="Times New Roman"/>
          <w:color w:val="000000"/>
          <w:sz w:val="22"/>
          <w:szCs w:val="22"/>
          <w:lang w:val="fr-FR"/>
        </w:rPr>
        <w:t>Le SEDI a fourni une assistance administrative e</w:t>
      </w:r>
      <w:r w:rsidR="00612D53" w:rsidRPr="005D062F">
        <w:rPr>
          <w:rFonts w:eastAsia="Times New Roman"/>
          <w:color w:val="000000"/>
          <w:sz w:val="22"/>
          <w:szCs w:val="22"/>
          <w:lang w:val="fr-FR"/>
        </w:rPr>
        <w:t>t technique au Secrétariat de l’</w:t>
      </w:r>
      <w:r w:rsidRPr="005D062F">
        <w:rPr>
          <w:rFonts w:eastAsia="Times New Roman"/>
          <w:color w:val="000000"/>
          <w:sz w:val="22"/>
          <w:szCs w:val="22"/>
          <w:lang w:val="fr-FR"/>
        </w:rPr>
        <w:t>Accord de promotion du commerce entre les États-Unis et le Pérou pour l</w:t>
      </w:r>
      <w:r w:rsidR="00612D53" w:rsidRPr="005D062F">
        <w:rPr>
          <w:rFonts w:eastAsia="Times New Roman"/>
          <w:color w:val="000000"/>
          <w:sz w:val="22"/>
          <w:szCs w:val="22"/>
          <w:lang w:val="fr-FR"/>
        </w:rPr>
        <w:t>es plaintes sur les questions d’application de la loi sur l’</w:t>
      </w:r>
      <w:r w:rsidRPr="005D062F">
        <w:rPr>
          <w:rFonts w:eastAsia="Times New Roman"/>
          <w:color w:val="000000"/>
          <w:sz w:val="22"/>
          <w:szCs w:val="22"/>
          <w:lang w:val="fr-FR"/>
        </w:rPr>
        <w:t>environnement, ainsi que pour la réception et le traitement des plaintes émanant du publ</w:t>
      </w:r>
      <w:r w:rsidR="00FC03D6" w:rsidRPr="005D062F">
        <w:rPr>
          <w:rFonts w:eastAsia="Times New Roman"/>
          <w:color w:val="000000"/>
          <w:sz w:val="22"/>
          <w:szCs w:val="22"/>
          <w:lang w:val="fr-FR"/>
        </w:rPr>
        <w:t>ic concernant les manquements d’</w:t>
      </w:r>
      <w:r w:rsidR="00612D53" w:rsidRPr="005D062F">
        <w:rPr>
          <w:rFonts w:eastAsia="Times New Roman"/>
          <w:color w:val="000000"/>
          <w:sz w:val="22"/>
          <w:szCs w:val="22"/>
          <w:lang w:val="fr-FR"/>
        </w:rPr>
        <w:t>une partie à l’</w:t>
      </w:r>
      <w:r w:rsidRPr="005D062F">
        <w:rPr>
          <w:rFonts w:eastAsia="Times New Roman"/>
          <w:color w:val="000000"/>
          <w:sz w:val="22"/>
          <w:szCs w:val="22"/>
          <w:lang w:val="fr-FR"/>
        </w:rPr>
        <w:t xml:space="preserve">application effective de ses lois </w:t>
      </w:r>
      <w:r w:rsidR="00612D53" w:rsidRPr="005D062F">
        <w:rPr>
          <w:rFonts w:eastAsia="Times New Roman"/>
          <w:color w:val="000000"/>
          <w:sz w:val="22"/>
          <w:szCs w:val="22"/>
          <w:lang w:val="fr-FR"/>
        </w:rPr>
        <w:t>sur l’</w:t>
      </w:r>
      <w:r w:rsidRPr="005D062F">
        <w:rPr>
          <w:rFonts w:eastAsia="Times New Roman"/>
          <w:color w:val="000000"/>
          <w:sz w:val="22"/>
          <w:szCs w:val="22"/>
          <w:lang w:val="fr-FR"/>
        </w:rPr>
        <w:t>environnement</w:t>
      </w:r>
      <w:r w:rsidR="003D06B0" w:rsidRPr="005D062F">
        <w:rPr>
          <w:color w:val="000000" w:themeColor="text1"/>
          <w:sz w:val="22"/>
          <w:szCs w:val="22"/>
          <w:lang w:val="fr-FR"/>
        </w:rPr>
        <w:t>.</w:t>
      </w:r>
    </w:p>
    <w:p w14:paraId="66F3AB23" w14:textId="77777777" w:rsidR="003D06B0" w:rsidRPr="005D062F" w:rsidRDefault="003D06B0" w:rsidP="00723DAD">
      <w:pPr>
        <w:rPr>
          <w:rFonts w:ascii="Times New Roman" w:hAnsi="Times New Roman" w:cs="Times New Roman"/>
          <w:color w:val="000000" w:themeColor="text1"/>
          <w:sz w:val="22"/>
          <w:szCs w:val="22"/>
          <w:lang w:val="fr-FR"/>
        </w:rPr>
      </w:pPr>
    </w:p>
    <w:p w14:paraId="2CF94A10" w14:textId="103825A6" w:rsidR="003D06B0" w:rsidRPr="005D062F" w:rsidRDefault="00BF0A1C" w:rsidP="00CB030B">
      <w:pPr>
        <w:pStyle w:val="ListParagraph"/>
        <w:numPr>
          <w:ilvl w:val="0"/>
          <w:numId w:val="21"/>
        </w:numPr>
        <w:ind w:left="1440" w:hanging="720"/>
        <w:contextualSpacing/>
        <w:jc w:val="both"/>
        <w:rPr>
          <w:b/>
          <w:bCs/>
          <w:color w:val="000000"/>
          <w:sz w:val="22"/>
          <w:szCs w:val="22"/>
          <w:lang w:val="fr-FR"/>
        </w:rPr>
      </w:pPr>
      <w:r w:rsidRPr="005D062F">
        <w:rPr>
          <w:color w:val="000000" w:themeColor="text1"/>
          <w:sz w:val="22"/>
          <w:szCs w:val="22"/>
          <w:lang w:val="fr-FR"/>
        </w:rPr>
        <w:t xml:space="preserve">Il </w:t>
      </w:r>
      <w:r w:rsidRPr="005D062F">
        <w:rPr>
          <w:rFonts w:eastAsia="Times New Roman"/>
          <w:color w:val="000000"/>
          <w:sz w:val="22"/>
          <w:szCs w:val="22"/>
          <w:lang w:val="fr-FR"/>
        </w:rPr>
        <w:t xml:space="preserve">a élaboré une proposition de projet pour le </w:t>
      </w:r>
      <w:r w:rsidRPr="005D062F">
        <w:rPr>
          <w:rFonts w:eastAsia="Times New Roman"/>
          <w:b/>
          <w:color w:val="000000"/>
          <w:sz w:val="22"/>
          <w:szCs w:val="22"/>
          <w:lang w:val="fr-FR"/>
        </w:rPr>
        <w:t>renforcement</w:t>
      </w:r>
      <w:r w:rsidR="00FC03D6" w:rsidRPr="005D062F">
        <w:rPr>
          <w:rFonts w:eastAsia="Times New Roman"/>
          <w:b/>
          <w:color w:val="000000"/>
          <w:sz w:val="22"/>
          <w:szCs w:val="22"/>
          <w:lang w:val="fr-FR"/>
        </w:rPr>
        <w:t xml:space="preserve"> des capacités des organismes d’</w:t>
      </w:r>
      <w:r w:rsidRPr="005D062F">
        <w:rPr>
          <w:rFonts w:eastAsia="Times New Roman"/>
          <w:b/>
          <w:color w:val="000000"/>
          <w:sz w:val="22"/>
          <w:szCs w:val="22"/>
          <w:lang w:val="fr-FR"/>
        </w:rPr>
        <w:t>exécution nationaux du FEM en Amérique latine et dans les Caraïbes</w:t>
      </w:r>
      <w:r w:rsidRPr="005D062F">
        <w:rPr>
          <w:rFonts w:eastAsia="Times New Roman"/>
          <w:color w:val="000000"/>
          <w:sz w:val="22"/>
          <w:szCs w:val="22"/>
          <w:lang w:val="fr-FR"/>
        </w:rPr>
        <w:t xml:space="preserve">, en collaboration avec le Secrétariat du FEM et dans le cadre de son programme de soutien aux pays. Cette proposition de projet a été approuvée par le </w:t>
      </w:r>
      <w:r w:rsidRPr="005D062F">
        <w:rPr>
          <w:color w:val="000000"/>
          <w:sz w:val="22"/>
          <w:szCs w:val="22"/>
          <w:lang w:val="fr-FR"/>
        </w:rPr>
        <w:t>Conseil du FEM dans le cadre de la huitième reconstitution des ressources du Fonds </w:t>
      </w:r>
      <w:r w:rsidR="003D06B0" w:rsidRPr="005D062F">
        <w:rPr>
          <w:color w:val="000000"/>
          <w:sz w:val="22"/>
          <w:szCs w:val="22"/>
          <w:lang w:val="fr-FR"/>
        </w:rPr>
        <w:t>;</w:t>
      </w:r>
      <w:r w:rsidRPr="005D062F">
        <w:rPr>
          <w:color w:val="000000"/>
          <w:sz w:val="22"/>
          <w:szCs w:val="22"/>
          <w:lang w:val="fr-FR"/>
        </w:rPr>
        <w:t xml:space="preserve"> Le </w:t>
      </w:r>
      <w:r w:rsidR="003D06B0" w:rsidRPr="005D062F">
        <w:rPr>
          <w:color w:val="000000"/>
          <w:sz w:val="22"/>
          <w:szCs w:val="22"/>
          <w:lang w:val="fr-FR"/>
        </w:rPr>
        <w:t>S</w:t>
      </w:r>
      <w:r w:rsidRPr="005D062F">
        <w:rPr>
          <w:color w:val="000000"/>
          <w:sz w:val="22"/>
          <w:szCs w:val="22"/>
          <w:lang w:val="fr-FR"/>
        </w:rPr>
        <w:t>G</w:t>
      </w:r>
      <w:r w:rsidR="003D06B0" w:rsidRPr="005D062F">
        <w:rPr>
          <w:color w:val="000000"/>
          <w:sz w:val="22"/>
          <w:szCs w:val="22"/>
          <w:lang w:val="fr-FR"/>
        </w:rPr>
        <w:t>/O</w:t>
      </w:r>
      <w:r w:rsidRPr="005D062F">
        <w:rPr>
          <w:color w:val="000000"/>
          <w:sz w:val="22"/>
          <w:szCs w:val="22"/>
          <w:lang w:val="fr-FR"/>
        </w:rPr>
        <w:t>E</w:t>
      </w:r>
      <w:r w:rsidR="003D06B0" w:rsidRPr="005D062F">
        <w:rPr>
          <w:color w:val="000000"/>
          <w:sz w:val="22"/>
          <w:szCs w:val="22"/>
          <w:lang w:val="fr-FR"/>
        </w:rPr>
        <w:t>A</w:t>
      </w:r>
      <w:r w:rsidRPr="005D062F">
        <w:rPr>
          <w:color w:val="000000"/>
          <w:sz w:val="22"/>
          <w:szCs w:val="22"/>
          <w:lang w:val="fr-FR"/>
        </w:rPr>
        <w:t xml:space="preserve"> attend maintenant les orientations du FEM pour démarrer le </w:t>
      </w:r>
      <w:r w:rsidR="003D06B0" w:rsidRPr="005D062F">
        <w:rPr>
          <w:color w:val="000000"/>
          <w:sz w:val="22"/>
          <w:szCs w:val="22"/>
          <w:lang w:val="fr-FR"/>
        </w:rPr>
        <w:t>process</w:t>
      </w:r>
      <w:r w:rsidRPr="005D062F">
        <w:rPr>
          <w:color w:val="000000"/>
          <w:sz w:val="22"/>
          <w:szCs w:val="22"/>
          <w:lang w:val="fr-FR"/>
        </w:rPr>
        <w:t>us de diligence</w:t>
      </w:r>
      <w:r w:rsidR="003D06B0" w:rsidRPr="005D062F">
        <w:rPr>
          <w:color w:val="000000"/>
          <w:sz w:val="22"/>
          <w:szCs w:val="22"/>
          <w:lang w:val="fr-FR"/>
        </w:rPr>
        <w:t>.</w:t>
      </w:r>
    </w:p>
    <w:p w14:paraId="7AEF3781" w14:textId="05DAE077" w:rsidR="00135759" w:rsidRDefault="00135759" w:rsidP="00CB030B">
      <w:pPr>
        <w:jc w:val="both"/>
        <w:rPr>
          <w:rFonts w:ascii="Times New Roman" w:hAnsi="Times New Roman" w:cs="Times New Roman"/>
          <w:color w:val="000000" w:themeColor="text1"/>
          <w:sz w:val="22"/>
          <w:szCs w:val="22"/>
          <w:lang w:val="fr-FR"/>
        </w:rPr>
      </w:pPr>
    </w:p>
    <w:p w14:paraId="38E1F60B" w14:textId="77777777" w:rsidR="00002E24" w:rsidRPr="005D062F" w:rsidRDefault="00002E24" w:rsidP="00CB030B">
      <w:pPr>
        <w:jc w:val="both"/>
        <w:rPr>
          <w:rFonts w:ascii="Times New Roman" w:hAnsi="Times New Roman" w:cs="Times New Roman"/>
          <w:color w:val="000000" w:themeColor="text1"/>
          <w:sz w:val="22"/>
          <w:szCs w:val="22"/>
          <w:lang w:val="fr-FR"/>
        </w:rPr>
      </w:pPr>
    </w:p>
    <w:p w14:paraId="5DB33267" w14:textId="52202B76" w:rsidR="00141240" w:rsidRPr="005D062F" w:rsidRDefault="00EA3A90" w:rsidP="00002E24">
      <w:pPr>
        <w:pStyle w:val="Heading1"/>
      </w:pPr>
      <w:bookmarkStart w:id="19" w:name="_Toc124243409"/>
      <w:r w:rsidRPr="005D062F">
        <w:t>LIGNE STRATÉGIQUE</w:t>
      </w:r>
      <w:r w:rsidR="00141240" w:rsidRPr="005D062F">
        <w:t xml:space="preserve"> 3</w:t>
      </w:r>
      <w:bookmarkEnd w:id="19"/>
    </w:p>
    <w:p w14:paraId="0711126F" w14:textId="5CA2F65D" w:rsidR="00DB1F46" w:rsidRPr="005D062F" w:rsidRDefault="0022638D" w:rsidP="00002E24">
      <w:pPr>
        <w:pBdr>
          <w:bottom w:val="single" w:sz="6" w:space="1" w:color="auto"/>
        </w:pBdr>
        <w:jc w:val="both"/>
        <w:rPr>
          <w:rFonts w:ascii="Times New Roman" w:hAnsi="Times New Roman" w:cs="Times New Roman"/>
          <w:sz w:val="22"/>
          <w:szCs w:val="22"/>
          <w:lang w:val="fr-FR"/>
        </w:rPr>
      </w:pPr>
      <w:r w:rsidRPr="005D062F">
        <w:rPr>
          <w:rFonts w:ascii="Times New Roman" w:hAnsi="Times New Roman" w:cs="Times New Roman"/>
          <w:sz w:val="22"/>
          <w:szCs w:val="22"/>
          <w:lang w:val="fr-FR"/>
        </w:rPr>
        <w:t>PROMOUVOIR L’</w:t>
      </w:r>
      <w:r w:rsidR="00F363A7" w:rsidRPr="005D062F">
        <w:rPr>
          <w:rFonts w:ascii="Times New Roman" w:hAnsi="Times New Roman" w:cs="Times New Roman"/>
          <w:sz w:val="22"/>
          <w:szCs w:val="22"/>
          <w:lang w:val="fr-FR"/>
        </w:rPr>
        <w:t xml:space="preserve">ÉDUCATION ET LE DÉVELOPPEMENT HUMAIN DANS LES AMÉRIQUES </w:t>
      </w:r>
    </w:p>
    <w:p w14:paraId="400DF817" w14:textId="77777777" w:rsidR="00DB1F46" w:rsidRPr="005D062F" w:rsidRDefault="00DB1F46" w:rsidP="00CB030B">
      <w:pPr>
        <w:rPr>
          <w:rFonts w:ascii="Times New Roman" w:hAnsi="Times New Roman" w:cs="Times New Roman"/>
          <w:sz w:val="22"/>
          <w:szCs w:val="22"/>
          <w:lang w:val="fr-FR"/>
        </w:rPr>
      </w:pPr>
    </w:p>
    <w:p w14:paraId="7241A786" w14:textId="13D22FE0" w:rsidR="00141240" w:rsidRPr="005D062F" w:rsidRDefault="00F363A7" w:rsidP="00CB030B">
      <w:pPr>
        <w:ind w:firstLine="720"/>
        <w:jc w:val="both"/>
        <w:rPr>
          <w:rFonts w:ascii="Times New Roman" w:hAnsi="Times New Roman" w:cs="Times New Roman"/>
          <w:sz w:val="22"/>
          <w:szCs w:val="22"/>
          <w:lang w:val="fr-FR"/>
        </w:rPr>
      </w:pPr>
      <w:r w:rsidRPr="005D062F">
        <w:rPr>
          <w:rFonts w:ascii="Times New Roman" w:eastAsia="Times New Roman" w:hAnsi="Times New Roman" w:cs="Times New Roman"/>
          <w:color w:val="000000"/>
          <w:sz w:val="22"/>
          <w:szCs w:val="22"/>
          <w:lang w:val="fr-FR"/>
        </w:rPr>
        <w:t>L’Assemblée générale de l’Organisation des États Américains, par sa résolution AG/RES</w:t>
      </w:r>
      <w:r w:rsidR="00141240" w:rsidRPr="005D062F">
        <w:rPr>
          <w:rFonts w:ascii="Times New Roman" w:hAnsi="Times New Roman" w:cs="Times New Roman"/>
          <w:sz w:val="22"/>
          <w:szCs w:val="22"/>
          <w:lang w:val="fr-FR"/>
        </w:rPr>
        <w:t>.</w:t>
      </w:r>
      <w:r w:rsidRPr="005D062F">
        <w:rPr>
          <w:rFonts w:ascii="Times New Roman" w:hAnsi="Times New Roman" w:cs="Times New Roman"/>
          <w:sz w:val="22"/>
          <w:szCs w:val="22"/>
          <w:lang w:val="fr-FR"/>
        </w:rPr>
        <w:t> </w:t>
      </w:r>
      <w:r w:rsidR="00141240" w:rsidRPr="005D062F">
        <w:rPr>
          <w:rFonts w:ascii="Times New Roman" w:hAnsi="Times New Roman" w:cs="Times New Roman"/>
          <w:sz w:val="22"/>
          <w:szCs w:val="22"/>
          <w:lang w:val="fr-FR"/>
        </w:rPr>
        <w:t xml:space="preserve">2967 (LI-O/21), </w:t>
      </w:r>
      <w:r w:rsidRPr="005D062F">
        <w:rPr>
          <w:rFonts w:ascii="Times New Roman" w:eastAsia="Times New Roman" w:hAnsi="Times New Roman" w:cs="Times New Roman"/>
          <w:color w:val="000000"/>
          <w:sz w:val="22"/>
          <w:szCs w:val="22"/>
          <w:lang w:val="fr-FR"/>
        </w:rPr>
        <w:t xml:space="preserve">a chargé le SEDI </w:t>
      </w:r>
      <w:r w:rsidRPr="005D062F">
        <w:rPr>
          <w:rFonts w:ascii="Times New Roman" w:hAnsi="Times New Roman" w:cs="Times New Roman"/>
          <w:sz w:val="22"/>
          <w:szCs w:val="22"/>
          <w:lang w:val="fr-FR"/>
        </w:rPr>
        <w:t>de pré</w:t>
      </w:r>
      <w:r w:rsidR="00141240" w:rsidRPr="005D062F">
        <w:rPr>
          <w:rFonts w:ascii="Times New Roman" w:hAnsi="Times New Roman" w:cs="Times New Roman"/>
          <w:sz w:val="22"/>
          <w:szCs w:val="22"/>
          <w:lang w:val="fr-FR"/>
        </w:rPr>
        <w:t>sent</w:t>
      </w:r>
      <w:r w:rsidRPr="005D062F">
        <w:rPr>
          <w:rFonts w:ascii="Times New Roman" w:hAnsi="Times New Roman" w:cs="Times New Roman"/>
          <w:sz w:val="22"/>
          <w:szCs w:val="22"/>
          <w:lang w:val="fr-FR"/>
        </w:rPr>
        <w:t xml:space="preserve">er le projet de Programme interaméricain d’éducation (PIE) </w:t>
      </w:r>
      <w:r w:rsidR="00A427C5" w:rsidRPr="005D062F">
        <w:rPr>
          <w:rFonts w:ascii="Times New Roman" w:hAnsi="Times New Roman" w:cs="Times New Roman"/>
          <w:sz w:val="22"/>
          <w:szCs w:val="22"/>
          <w:lang w:val="fr-FR"/>
        </w:rPr>
        <w:t>2022-2027.</w:t>
      </w:r>
      <w:r w:rsidR="00141240" w:rsidRPr="005D062F">
        <w:rPr>
          <w:rFonts w:ascii="Times New Roman" w:hAnsi="Times New Roman" w:cs="Times New Roman"/>
          <w:sz w:val="22"/>
          <w:szCs w:val="22"/>
          <w:lang w:val="fr-FR"/>
        </w:rPr>
        <w:t xml:space="preserve"> </w:t>
      </w:r>
      <w:r w:rsidRPr="005D062F">
        <w:rPr>
          <w:rFonts w:ascii="Times New Roman" w:eastAsia="Times New Roman" w:hAnsi="Times New Roman" w:cs="Times New Roman"/>
          <w:color w:val="000000"/>
          <w:sz w:val="22"/>
          <w:szCs w:val="22"/>
          <w:lang w:val="fr-FR"/>
        </w:rPr>
        <w:t>À cet égard, sous la direction des autorités de la Commission interaméricaine de l’éducation (CIE), le</w:t>
      </w:r>
      <w:r w:rsidR="00227B0A" w:rsidRPr="005D062F">
        <w:rPr>
          <w:rFonts w:ascii="Times New Roman" w:eastAsia="Times New Roman" w:hAnsi="Times New Roman" w:cs="Times New Roman"/>
          <w:color w:val="000000"/>
          <w:sz w:val="22"/>
          <w:szCs w:val="22"/>
          <w:lang w:val="fr-FR"/>
        </w:rPr>
        <w:t>s</w:t>
      </w:r>
      <w:r w:rsidRPr="005D062F">
        <w:rPr>
          <w:rFonts w:ascii="Times New Roman" w:eastAsia="Times New Roman" w:hAnsi="Times New Roman" w:cs="Times New Roman"/>
          <w:color w:val="000000"/>
          <w:sz w:val="22"/>
          <w:szCs w:val="22"/>
          <w:lang w:val="fr-FR"/>
        </w:rPr>
        <w:t xml:space="preserve"> dialogue</w:t>
      </w:r>
      <w:r w:rsidR="00227B0A" w:rsidRPr="005D062F">
        <w:rPr>
          <w:rFonts w:ascii="Times New Roman" w:eastAsia="Times New Roman" w:hAnsi="Times New Roman" w:cs="Times New Roman"/>
          <w:color w:val="000000"/>
          <w:sz w:val="22"/>
          <w:szCs w:val="22"/>
          <w:lang w:val="fr-FR"/>
        </w:rPr>
        <w:t>s</w:t>
      </w:r>
      <w:r w:rsidRPr="005D062F">
        <w:rPr>
          <w:rFonts w:ascii="Times New Roman" w:eastAsia="Times New Roman" w:hAnsi="Times New Roman" w:cs="Times New Roman"/>
          <w:color w:val="000000"/>
          <w:sz w:val="22"/>
          <w:szCs w:val="22"/>
          <w:lang w:val="fr-FR"/>
        </w:rPr>
        <w:t xml:space="preserve"> entre les </w:t>
      </w:r>
      <w:r w:rsidR="00227B0A" w:rsidRPr="005D062F">
        <w:rPr>
          <w:rFonts w:ascii="Times New Roman" w:eastAsia="Times New Roman" w:hAnsi="Times New Roman" w:cs="Times New Roman"/>
          <w:color w:val="000000"/>
          <w:sz w:val="22"/>
          <w:szCs w:val="22"/>
          <w:lang w:val="fr-FR"/>
        </w:rPr>
        <w:t>ministères de l’éducation qui s</w:t>
      </w:r>
      <w:r w:rsidRPr="005D062F">
        <w:rPr>
          <w:rFonts w:ascii="Times New Roman" w:eastAsia="Times New Roman" w:hAnsi="Times New Roman" w:cs="Times New Roman"/>
          <w:color w:val="000000"/>
          <w:sz w:val="22"/>
          <w:szCs w:val="22"/>
          <w:lang w:val="fr-FR"/>
        </w:rPr>
        <w:t>e</w:t>
      </w:r>
      <w:r w:rsidR="00227B0A" w:rsidRPr="005D062F">
        <w:rPr>
          <w:rFonts w:ascii="Times New Roman" w:eastAsia="Times New Roman" w:hAnsi="Times New Roman" w:cs="Times New Roman"/>
          <w:color w:val="000000"/>
          <w:sz w:val="22"/>
          <w:szCs w:val="22"/>
          <w:lang w:val="fr-FR"/>
        </w:rPr>
        <w:t xml:space="preserve"> son</w:t>
      </w:r>
      <w:r w:rsidRPr="005D062F">
        <w:rPr>
          <w:rFonts w:ascii="Times New Roman" w:eastAsia="Times New Roman" w:hAnsi="Times New Roman" w:cs="Times New Roman"/>
          <w:color w:val="000000"/>
          <w:sz w:val="22"/>
          <w:szCs w:val="22"/>
          <w:lang w:val="fr-FR"/>
        </w:rPr>
        <w:t>t tenu</w:t>
      </w:r>
      <w:r w:rsidR="00227B0A" w:rsidRPr="005D062F">
        <w:rPr>
          <w:rFonts w:ascii="Times New Roman" w:eastAsia="Times New Roman" w:hAnsi="Times New Roman" w:cs="Times New Roman"/>
          <w:color w:val="000000"/>
          <w:sz w:val="22"/>
          <w:szCs w:val="22"/>
          <w:lang w:val="fr-FR"/>
        </w:rPr>
        <w:t>s</w:t>
      </w:r>
      <w:r w:rsidRPr="005D062F">
        <w:rPr>
          <w:rFonts w:ascii="Times New Roman" w:eastAsia="Times New Roman" w:hAnsi="Times New Roman" w:cs="Times New Roman"/>
          <w:color w:val="000000"/>
          <w:sz w:val="22"/>
          <w:szCs w:val="22"/>
          <w:lang w:val="fr-FR"/>
        </w:rPr>
        <w:t xml:space="preserve"> en</w:t>
      </w:r>
      <w:r w:rsidR="0022638D" w:rsidRPr="005D062F">
        <w:rPr>
          <w:rFonts w:ascii="Times New Roman" w:hAnsi="Times New Roman" w:cs="Times New Roman"/>
          <w:sz w:val="22"/>
          <w:szCs w:val="22"/>
          <w:lang w:val="fr-FR"/>
        </w:rPr>
        <w:t xml:space="preserve"> 202</w:t>
      </w:r>
      <w:r w:rsidR="0022638D" w:rsidRPr="005D062F">
        <w:rPr>
          <w:rFonts w:ascii="Times New Roman" w:eastAsia="Times New Roman" w:hAnsi="Times New Roman" w:cs="Times New Roman"/>
          <w:color w:val="000000"/>
          <w:sz w:val="22"/>
          <w:szCs w:val="22"/>
          <w:lang w:val="fr-FR"/>
        </w:rPr>
        <w:t>2</w:t>
      </w:r>
      <w:r w:rsidR="001D6234" w:rsidRPr="005D062F">
        <w:rPr>
          <w:rFonts w:ascii="Times New Roman" w:eastAsia="Times New Roman" w:hAnsi="Times New Roman" w:cs="Times New Roman"/>
          <w:color w:val="000000"/>
          <w:sz w:val="22"/>
          <w:szCs w:val="22"/>
          <w:lang w:val="fr-FR"/>
        </w:rPr>
        <w:t xml:space="preserve"> ont</w:t>
      </w:r>
      <w:r w:rsidRPr="005D062F">
        <w:rPr>
          <w:rFonts w:ascii="Times New Roman" w:eastAsia="Times New Roman" w:hAnsi="Times New Roman" w:cs="Times New Roman"/>
          <w:color w:val="000000"/>
          <w:sz w:val="22"/>
          <w:szCs w:val="22"/>
          <w:lang w:val="fr-FR"/>
        </w:rPr>
        <w:t xml:space="preserve"> acquis une dynamique qui s’est consolidée lors de la réunion préparatoire de la Onzième Réunion interaméricaine des ministres de l’éducatio</w:t>
      </w:r>
      <w:r w:rsidR="00D321C7" w:rsidRPr="005D062F">
        <w:rPr>
          <w:rFonts w:ascii="Times New Roman" w:eastAsia="Times New Roman" w:hAnsi="Times New Roman" w:cs="Times New Roman"/>
          <w:color w:val="000000"/>
          <w:sz w:val="22"/>
          <w:szCs w:val="22"/>
          <w:lang w:val="fr-FR"/>
        </w:rPr>
        <w:t>n</w:t>
      </w:r>
      <w:r w:rsidR="00AF428B" w:rsidRPr="005D062F">
        <w:rPr>
          <w:rFonts w:ascii="Times New Roman" w:eastAsia="Times New Roman" w:hAnsi="Times New Roman" w:cs="Times New Roman"/>
          <w:color w:val="000000"/>
          <w:sz w:val="22"/>
          <w:szCs w:val="22"/>
          <w:lang w:val="fr-FR"/>
        </w:rPr>
        <w:t>,</w:t>
      </w:r>
      <w:r w:rsidR="00D321C7" w:rsidRPr="005D062F">
        <w:rPr>
          <w:rFonts w:ascii="Times New Roman" w:eastAsia="Times New Roman" w:hAnsi="Times New Roman" w:cs="Times New Roman"/>
          <w:color w:val="000000"/>
          <w:sz w:val="22"/>
          <w:szCs w:val="22"/>
          <w:lang w:val="fr-FR"/>
        </w:rPr>
        <w:t xml:space="preserve"> </w:t>
      </w:r>
      <w:r w:rsidRPr="005D062F">
        <w:rPr>
          <w:rFonts w:ascii="Times New Roman" w:eastAsia="Times New Roman" w:hAnsi="Times New Roman" w:cs="Times New Roman"/>
          <w:color w:val="000000"/>
          <w:sz w:val="22"/>
          <w:szCs w:val="22"/>
          <w:lang w:val="fr-FR"/>
        </w:rPr>
        <w:t xml:space="preserve">tenue en juillet </w:t>
      </w:r>
      <w:r w:rsidR="00141240" w:rsidRPr="005D062F">
        <w:rPr>
          <w:rFonts w:ascii="Times New Roman" w:hAnsi="Times New Roman" w:cs="Times New Roman"/>
          <w:sz w:val="22"/>
          <w:szCs w:val="22"/>
          <w:lang w:val="fr-FR"/>
        </w:rPr>
        <w:t xml:space="preserve">2022, </w:t>
      </w:r>
      <w:r w:rsidR="00D321C7" w:rsidRPr="005D062F">
        <w:rPr>
          <w:rFonts w:ascii="Times New Roman" w:hAnsi="Times New Roman" w:cs="Times New Roman"/>
          <w:sz w:val="22"/>
          <w:szCs w:val="22"/>
          <w:lang w:val="fr-FR"/>
        </w:rPr>
        <w:t>au cours de laquelle les repré</w:t>
      </w:r>
      <w:r w:rsidR="00141240" w:rsidRPr="005D062F">
        <w:rPr>
          <w:rFonts w:ascii="Times New Roman" w:hAnsi="Times New Roman" w:cs="Times New Roman"/>
          <w:sz w:val="22"/>
          <w:szCs w:val="22"/>
          <w:lang w:val="fr-FR"/>
        </w:rPr>
        <w:t>senta</w:t>
      </w:r>
      <w:r w:rsidR="00D321C7" w:rsidRPr="005D062F">
        <w:rPr>
          <w:rFonts w:ascii="Times New Roman" w:hAnsi="Times New Roman" w:cs="Times New Roman"/>
          <w:sz w:val="22"/>
          <w:szCs w:val="22"/>
          <w:lang w:val="fr-FR"/>
        </w:rPr>
        <w:t xml:space="preserve">nts de </w:t>
      </w:r>
      <w:r w:rsidR="00141240" w:rsidRPr="005D062F">
        <w:rPr>
          <w:rFonts w:ascii="Times New Roman" w:hAnsi="Times New Roman" w:cs="Times New Roman"/>
          <w:sz w:val="22"/>
          <w:szCs w:val="22"/>
          <w:lang w:val="fr-FR"/>
        </w:rPr>
        <w:t>28</w:t>
      </w:r>
      <w:r w:rsidR="00D321C7" w:rsidRPr="005D062F">
        <w:rPr>
          <w:rFonts w:ascii="Times New Roman" w:hAnsi="Times New Roman" w:cs="Times New Roman"/>
          <w:sz w:val="22"/>
          <w:szCs w:val="22"/>
          <w:lang w:val="fr-FR"/>
        </w:rPr>
        <w:t> pays se sont ralliés au</w:t>
      </w:r>
      <w:r w:rsidR="00141240" w:rsidRPr="005D062F">
        <w:rPr>
          <w:rFonts w:ascii="Times New Roman" w:hAnsi="Times New Roman" w:cs="Times New Roman"/>
          <w:sz w:val="22"/>
          <w:szCs w:val="22"/>
          <w:lang w:val="fr-FR"/>
        </w:rPr>
        <w:t xml:space="preserve"> consensus </w:t>
      </w:r>
      <w:r w:rsidR="00D321C7" w:rsidRPr="005D062F">
        <w:rPr>
          <w:rFonts w:ascii="Times New Roman" w:hAnsi="Times New Roman" w:cs="Times New Roman"/>
          <w:sz w:val="22"/>
          <w:szCs w:val="22"/>
          <w:lang w:val="fr-FR"/>
        </w:rPr>
        <w:t xml:space="preserve">sur les domaines prioritaires et les lignes thématiques qui orienteront le </w:t>
      </w:r>
      <w:hyperlink r:id="rId18" w:history="1">
        <w:r w:rsidR="00D321C7" w:rsidRPr="005D062F">
          <w:rPr>
            <w:rStyle w:val="Hyperlink"/>
            <w:rFonts w:ascii="Times New Roman" w:hAnsi="Times New Roman" w:cs="Times New Roman"/>
            <w:sz w:val="22"/>
            <w:szCs w:val="22"/>
            <w:lang w:val="fr-FR"/>
          </w:rPr>
          <w:t>Programme interaméricain d’éducation 2022-2027</w:t>
        </w:r>
      </w:hyperlink>
      <w:r w:rsidR="00141240" w:rsidRPr="005D062F">
        <w:rPr>
          <w:rFonts w:ascii="Times New Roman" w:hAnsi="Times New Roman" w:cs="Times New Roman"/>
          <w:sz w:val="22"/>
          <w:szCs w:val="22"/>
          <w:lang w:val="fr-FR"/>
        </w:rPr>
        <w:t xml:space="preserve">. </w:t>
      </w:r>
      <w:r w:rsidR="00D321C7" w:rsidRPr="005D062F">
        <w:rPr>
          <w:rFonts w:ascii="Times New Roman" w:hAnsi="Times New Roman" w:cs="Times New Roman"/>
          <w:sz w:val="22"/>
          <w:szCs w:val="22"/>
          <w:lang w:val="fr-FR"/>
        </w:rPr>
        <w:t xml:space="preserve">De plus, les </w:t>
      </w:r>
      <w:r w:rsidR="00141240" w:rsidRPr="005D062F">
        <w:rPr>
          <w:rFonts w:ascii="Times New Roman" w:hAnsi="Times New Roman" w:cs="Times New Roman"/>
          <w:sz w:val="22"/>
          <w:szCs w:val="22"/>
          <w:lang w:val="fr-FR"/>
        </w:rPr>
        <w:t>repr</w:t>
      </w:r>
      <w:r w:rsidR="00D321C7" w:rsidRPr="005D062F">
        <w:rPr>
          <w:rFonts w:ascii="Times New Roman" w:hAnsi="Times New Roman" w:cs="Times New Roman"/>
          <w:sz w:val="22"/>
          <w:szCs w:val="22"/>
          <w:lang w:val="fr-FR"/>
        </w:rPr>
        <w:t>ésentan</w:t>
      </w:r>
      <w:r w:rsidR="00AF428B" w:rsidRPr="005D062F">
        <w:rPr>
          <w:rFonts w:ascii="Times New Roman" w:hAnsi="Times New Roman" w:cs="Times New Roman"/>
          <w:sz w:val="22"/>
          <w:szCs w:val="22"/>
          <w:lang w:val="fr-FR"/>
        </w:rPr>
        <w:t>t</w:t>
      </w:r>
      <w:r w:rsidR="00141240" w:rsidRPr="005D062F">
        <w:rPr>
          <w:rFonts w:ascii="Times New Roman" w:hAnsi="Times New Roman" w:cs="Times New Roman"/>
          <w:sz w:val="22"/>
          <w:szCs w:val="22"/>
          <w:lang w:val="fr-FR"/>
        </w:rPr>
        <w:t xml:space="preserve">s </w:t>
      </w:r>
      <w:r w:rsidR="00D321C7" w:rsidRPr="005D062F">
        <w:rPr>
          <w:rFonts w:ascii="Times New Roman" w:hAnsi="Times New Roman" w:cs="Times New Roman"/>
          <w:sz w:val="22"/>
          <w:szCs w:val="22"/>
          <w:lang w:val="fr-FR"/>
        </w:rPr>
        <w:t xml:space="preserve">des ministères de l’éducation ont réalisé l’objectif </w:t>
      </w:r>
      <w:r w:rsidR="00141240" w:rsidRPr="005D062F">
        <w:rPr>
          <w:rFonts w:ascii="Times New Roman" w:hAnsi="Times New Roman" w:cs="Times New Roman"/>
          <w:sz w:val="22"/>
          <w:szCs w:val="22"/>
          <w:lang w:val="fr-FR"/>
        </w:rPr>
        <w:t xml:space="preserve">central </w:t>
      </w:r>
      <w:r w:rsidR="00EB68C0" w:rsidRPr="005D062F">
        <w:rPr>
          <w:rFonts w:ascii="Times New Roman" w:hAnsi="Times New Roman" w:cs="Times New Roman"/>
          <w:sz w:val="22"/>
          <w:szCs w:val="22"/>
          <w:lang w:val="fr-FR"/>
        </w:rPr>
        <w:t xml:space="preserve">de parvenir à un </w:t>
      </w:r>
      <w:r w:rsidR="00141240" w:rsidRPr="005D062F">
        <w:rPr>
          <w:rFonts w:ascii="Times New Roman" w:hAnsi="Times New Roman" w:cs="Times New Roman"/>
          <w:sz w:val="22"/>
          <w:szCs w:val="22"/>
          <w:lang w:val="fr-FR"/>
        </w:rPr>
        <w:t xml:space="preserve">consensus </w:t>
      </w:r>
      <w:r w:rsidR="00EB68C0" w:rsidRPr="005D062F">
        <w:rPr>
          <w:rFonts w:ascii="Times New Roman" w:hAnsi="Times New Roman" w:cs="Times New Roman"/>
          <w:sz w:val="22"/>
          <w:szCs w:val="22"/>
          <w:lang w:val="fr-FR"/>
        </w:rPr>
        <w:t>sur la</w:t>
      </w:r>
      <w:r w:rsidR="00141240" w:rsidRPr="005D062F">
        <w:rPr>
          <w:rFonts w:ascii="Times New Roman" w:hAnsi="Times New Roman" w:cs="Times New Roman"/>
          <w:sz w:val="22"/>
          <w:szCs w:val="22"/>
          <w:lang w:val="fr-FR"/>
        </w:rPr>
        <w:t xml:space="preserve"> </w:t>
      </w:r>
      <w:hyperlink r:id="rId19" w:history="1">
        <w:r w:rsidR="00EB68C0" w:rsidRPr="005D062F">
          <w:rPr>
            <w:rStyle w:val="Hyperlink"/>
            <w:rFonts w:ascii="Times New Roman" w:hAnsi="Times New Roman" w:cs="Times New Roman"/>
            <w:sz w:val="22"/>
            <w:szCs w:val="22"/>
            <w:lang w:val="fr-FR"/>
          </w:rPr>
          <w:t>Déclaration continentale de l’éducation</w:t>
        </w:r>
      </w:hyperlink>
      <w:r w:rsidR="00141240" w:rsidRPr="005D062F">
        <w:rPr>
          <w:rFonts w:ascii="Times New Roman" w:hAnsi="Times New Roman" w:cs="Times New Roman"/>
          <w:sz w:val="22"/>
          <w:szCs w:val="22"/>
          <w:lang w:val="fr-FR"/>
        </w:rPr>
        <w:t xml:space="preserve"> </w:t>
      </w:r>
      <w:r w:rsidR="00EB68C0" w:rsidRPr="005D062F">
        <w:rPr>
          <w:rFonts w:ascii="Times New Roman" w:hAnsi="Times New Roman" w:cs="Times New Roman"/>
          <w:sz w:val="22"/>
          <w:szCs w:val="22"/>
          <w:lang w:val="fr-FR"/>
        </w:rPr>
        <w:t>et le</w:t>
      </w:r>
      <w:r w:rsidR="00141240" w:rsidRPr="005D062F">
        <w:rPr>
          <w:rFonts w:ascii="Times New Roman" w:hAnsi="Times New Roman" w:cs="Times New Roman"/>
          <w:sz w:val="22"/>
          <w:szCs w:val="22"/>
          <w:lang w:val="fr-FR"/>
        </w:rPr>
        <w:t xml:space="preserve"> </w:t>
      </w:r>
      <w:hyperlink r:id="rId20" w:history="1">
        <w:r w:rsidR="00AF428B" w:rsidRPr="005D062F">
          <w:rPr>
            <w:rStyle w:val="Hyperlink"/>
            <w:rFonts w:ascii="Times New Roman" w:hAnsi="Times New Roman" w:cs="Times New Roman"/>
            <w:sz w:val="22"/>
            <w:szCs w:val="22"/>
            <w:lang w:val="fr-FR"/>
          </w:rPr>
          <w:t>Plan d’</w:t>
        </w:r>
        <w:r w:rsidR="00EB68C0" w:rsidRPr="005D062F">
          <w:rPr>
            <w:rStyle w:val="Hyperlink"/>
            <w:rFonts w:ascii="Times New Roman" w:hAnsi="Times New Roman" w:cs="Times New Roman"/>
            <w:sz w:val="22"/>
            <w:szCs w:val="22"/>
            <w:lang w:val="fr-FR"/>
          </w:rPr>
          <w:t>action continental de l’éducation</w:t>
        </w:r>
      </w:hyperlink>
      <w:r w:rsidR="00EB68C0" w:rsidRPr="005D062F">
        <w:rPr>
          <w:rFonts w:ascii="Times New Roman" w:hAnsi="Times New Roman" w:cs="Times New Roman"/>
          <w:sz w:val="22"/>
          <w:szCs w:val="22"/>
          <w:lang w:val="fr-FR"/>
        </w:rPr>
        <w:t>. Les</w:t>
      </w:r>
      <w:r w:rsidR="00141240" w:rsidRPr="005D062F">
        <w:rPr>
          <w:rFonts w:ascii="Times New Roman" w:hAnsi="Times New Roman" w:cs="Times New Roman"/>
          <w:sz w:val="22"/>
          <w:szCs w:val="22"/>
          <w:lang w:val="fr-FR"/>
        </w:rPr>
        <w:t xml:space="preserve"> documents</w:t>
      </w:r>
      <w:r w:rsidR="00EB68C0" w:rsidRPr="005D062F">
        <w:rPr>
          <w:rFonts w:ascii="Times New Roman" w:hAnsi="Times New Roman" w:cs="Times New Roman"/>
          <w:sz w:val="22"/>
          <w:szCs w:val="22"/>
          <w:lang w:val="fr-FR"/>
        </w:rPr>
        <w:t xml:space="preserve"> correspondants ont été</w:t>
      </w:r>
      <w:r w:rsidR="00141240" w:rsidRPr="005D062F">
        <w:rPr>
          <w:rFonts w:ascii="Times New Roman" w:hAnsi="Times New Roman" w:cs="Times New Roman"/>
          <w:sz w:val="22"/>
          <w:szCs w:val="22"/>
          <w:lang w:val="fr-FR"/>
        </w:rPr>
        <w:t xml:space="preserve"> appro</w:t>
      </w:r>
      <w:r w:rsidR="00EB68C0" w:rsidRPr="005D062F">
        <w:rPr>
          <w:rFonts w:ascii="Times New Roman" w:hAnsi="Times New Roman" w:cs="Times New Roman"/>
          <w:sz w:val="22"/>
          <w:szCs w:val="22"/>
          <w:lang w:val="fr-FR"/>
        </w:rPr>
        <w:t>u</w:t>
      </w:r>
      <w:r w:rsidR="00141240" w:rsidRPr="005D062F">
        <w:rPr>
          <w:rFonts w:ascii="Times New Roman" w:hAnsi="Times New Roman" w:cs="Times New Roman"/>
          <w:sz w:val="22"/>
          <w:szCs w:val="22"/>
          <w:lang w:val="fr-FR"/>
        </w:rPr>
        <w:t>v</w:t>
      </w:r>
      <w:r w:rsidR="00EB68C0" w:rsidRPr="005D062F">
        <w:rPr>
          <w:rFonts w:ascii="Times New Roman" w:hAnsi="Times New Roman" w:cs="Times New Roman"/>
          <w:sz w:val="22"/>
          <w:szCs w:val="22"/>
          <w:lang w:val="fr-FR"/>
        </w:rPr>
        <w:t xml:space="preserve">és par </w:t>
      </w:r>
      <w:r w:rsidR="00141240" w:rsidRPr="005D062F">
        <w:rPr>
          <w:rFonts w:ascii="Times New Roman" w:hAnsi="Times New Roman" w:cs="Times New Roman"/>
          <w:sz w:val="22"/>
          <w:szCs w:val="22"/>
          <w:lang w:val="fr-FR"/>
        </w:rPr>
        <w:t xml:space="preserve">acclamation </w:t>
      </w:r>
      <w:r w:rsidR="00EB68C0" w:rsidRPr="005D062F">
        <w:rPr>
          <w:rFonts w:ascii="Times New Roman" w:hAnsi="Times New Roman" w:cs="Times New Roman"/>
          <w:sz w:val="22"/>
          <w:szCs w:val="22"/>
          <w:lang w:val="fr-FR"/>
        </w:rPr>
        <w:t xml:space="preserve">lors de la </w:t>
      </w:r>
      <w:r w:rsidR="00EB68C0" w:rsidRPr="005D062F">
        <w:rPr>
          <w:rFonts w:ascii="Times New Roman" w:eastAsia="Times New Roman" w:hAnsi="Times New Roman" w:cs="Times New Roman"/>
          <w:color w:val="000000"/>
          <w:sz w:val="22"/>
          <w:szCs w:val="22"/>
          <w:lang w:val="fr-FR"/>
        </w:rPr>
        <w:t>Onzième Réunion interaméricaine des ministres de l’éducation tenue</w:t>
      </w:r>
      <w:r w:rsidR="00EB68C0" w:rsidRPr="005D062F">
        <w:rPr>
          <w:rFonts w:ascii="Times New Roman" w:hAnsi="Times New Roman" w:cs="Times New Roman"/>
          <w:sz w:val="22"/>
          <w:szCs w:val="22"/>
          <w:lang w:val="fr-FR"/>
        </w:rPr>
        <w:t xml:space="preserve"> les 10 et</w:t>
      </w:r>
      <w:r w:rsidR="00141240" w:rsidRPr="005D062F">
        <w:rPr>
          <w:rFonts w:ascii="Times New Roman" w:hAnsi="Times New Roman" w:cs="Times New Roman"/>
          <w:sz w:val="22"/>
          <w:szCs w:val="22"/>
          <w:lang w:val="fr-FR"/>
        </w:rPr>
        <w:t xml:space="preserve"> 11</w:t>
      </w:r>
      <w:r w:rsidR="00EB68C0" w:rsidRPr="005D062F">
        <w:rPr>
          <w:rFonts w:ascii="Times New Roman" w:hAnsi="Times New Roman" w:cs="Times New Roman"/>
          <w:sz w:val="22"/>
          <w:szCs w:val="22"/>
          <w:lang w:val="fr-FR"/>
        </w:rPr>
        <w:t xml:space="preserve"> novembre</w:t>
      </w:r>
      <w:r w:rsidR="00141240" w:rsidRPr="005D062F">
        <w:rPr>
          <w:rFonts w:ascii="Times New Roman" w:hAnsi="Times New Roman" w:cs="Times New Roman"/>
          <w:sz w:val="22"/>
          <w:szCs w:val="22"/>
          <w:lang w:val="fr-FR"/>
        </w:rPr>
        <w:t xml:space="preserve"> 2022.</w:t>
      </w:r>
    </w:p>
    <w:p w14:paraId="490C4AD8" w14:textId="77777777" w:rsidR="005D496F" w:rsidRPr="005D062F" w:rsidRDefault="005D496F" w:rsidP="00CB030B">
      <w:pPr>
        <w:jc w:val="both"/>
        <w:rPr>
          <w:rFonts w:ascii="Times New Roman" w:hAnsi="Times New Roman" w:cs="Times New Roman"/>
          <w:sz w:val="22"/>
          <w:szCs w:val="22"/>
          <w:lang w:val="fr-FR"/>
        </w:rPr>
      </w:pPr>
    </w:p>
    <w:p w14:paraId="7D5A3EAF" w14:textId="63EE384D" w:rsidR="00141240" w:rsidRPr="002D4DF7" w:rsidRDefault="00C2663A" w:rsidP="002D4DF7">
      <w:pPr>
        <w:pStyle w:val="Heading2"/>
        <w:keepNext/>
      </w:pPr>
      <w:bookmarkStart w:id="20" w:name="_Toc124243410"/>
      <w:r w:rsidRPr="005D062F">
        <w:t>OBJECTIF</w:t>
      </w:r>
      <w:r w:rsidR="00141240" w:rsidRPr="005D062F">
        <w:t xml:space="preserve"> 3.1</w:t>
      </w:r>
      <w:bookmarkEnd w:id="20"/>
    </w:p>
    <w:p w14:paraId="0134C2D1" w14:textId="77777777" w:rsidR="00135759" w:rsidRPr="00F61725" w:rsidRDefault="00135759" w:rsidP="00607D18">
      <w:pPr>
        <w:keepNext/>
        <w:ind w:firstLine="14"/>
        <w:jc w:val="both"/>
        <w:rPr>
          <w:rFonts w:ascii="Times New Roman" w:hAnsi="Times New Roman" w:cs="Times New Roman"/>
          <w:sz w:val="22"/>
          <w:szCs w:val="22"/>
          <w:lang w:val="fr-FR"/>
        </w:rPr>
      </w:pPr>
    </w:p>
    <w:p w14:paraId="7F57A04A" w14:textId="089FBC47" w:rsidR="00141240" w:rsidRPr="005D062F" w:rsidRDefault="00AF428B" w:rsidP="00CB030B">
      <w:pPr>
        <w:ind w:firstLine="720"/>
        <w:jc w:val="both"/>
        <w:rPr>
          <w:rFonts w:ascii="Times New Roman" w:hAnsi="Times New Roman" w:cs="Times New Roman"/>
          <w:sz w:val="22"/>
          <w:szCs w:val="22"/>
          <w:lang w:val="fr-FR"/>
        </w:rPr>
      </w:pPr>
      <w:r w:rsidRPr="005D062F">
        <w:rPr>
          <w:rFonts w:ascii="Times New Roman" w:hAnsi="Times New Roman" w:cs="Times New Roman"/>
          <w:sz w:val="22"/>
          <w:szCs w:val="22"/>
          <w:lang w:val="fr-FR"/>
        </w:rPr>
        <w:t>Renforcer les capacités institutionnelles des États membres afin de fournir une éducation de qualité, inclusive et assortie d’équité</w:t>
      </w:r>
      <w:r w:rsidR="00141240" w:rsidRPr="005D062F">
        <w:rPr>
          <w:rFonts w:ascii="Times New Roman" w:hAnsi="Times New Roman" w:cs="Times New Roman"/>
          <w:sz w:val="22"/>
          <w:szCs w:val="22"/>
          <w:lang w:val="fr-FR"/>
        </w:rPr>
        <w:t>.</w:t>
      </w:r>
    </w:p>
    <w:p w14:paraId="5FAD4372" w14:textId="77777777" w:rsidR="00141240" w:rsidRPr="00C45B74" w:rsidRDefault="00141240" w:rsidP="00723DAD">
      <w:pPr>
        <w:rPr>
          <w:rFonts w:ascii="Times New Roman" w:hAnsi="Times New Roman" w:cs="Times New Roman"/>
          <w:iCs/>
          <w:color w:val="000000" w:themeColor="text1"/>
          <w:sz w:val="22"/>
          <w:szCs w:val="22"/>
          <w:lang w:val="fr-FR"/>
        </w:rPr>
      </w:pPr>
    </w:p>
    <w:p w14:paraId="15016354" w14:textId="4B4821E3" w:rsidR="00141240" w:rsidRPr="005D062F" w:rsidRDefault="00392DE1" w:rsidP="00CB030B">
      <w:pPr>
        <w:ind w:firstLine="720"/>
        <w:jc w:val="both"/>
        <w:rPr>
          <w:rFonts w:ascii="Times New Roman" w:eastAsia="Calibri" w:hAnsi="Times New Roman" w:cs="Times New Roman"/>
          <w:b/>
          <w:bCs/>
          <w:color w:val="000000" w:themeColor="text1"/>
          <w:sz w:val="22"/>
          <w:szCs w:val="22"/>
          <w:lang w:val="fr-FR"/>
        </w:rPr>
      </w:pPr>
      <w:r w:rsidRPr="005D062F">
        <w:rPr>
          <w:rFonts w:ascii="Times New Roman" w:eastAsia="Calibri" w:hAnsi="Times New Roman" w:cs="Times New Roman"/>
          <w:b/>
          <w:bCs/>
          <w:color w:val="000000" w:themeColor="text1"/>
          <w:sz w:val="22"/>
          <w:szCs w:val="22"/>
          <w:lang w:val="fr-FR"/>
        </w:rPr>
        <w:t xml:space="preserve">PIE et </w:t>
      </w:r>
      <w:r w:rsidR="00E670B5" w:rsidRPr="005D062F">
        <w:rPr>
          <w:rFonts w:ascii="Times New Roman" w:eastAsia="Calibri" w:hAnsi="Times New Roman" w:cs="Times New Roman"/>
          <w:b/>
          <w:bCs/>
          <w:color w:val="000000" w:themeColor="text1"/>
          <w:sz w:val="22"/>
          <w:szCs w:val="22"/>
          <w:lang w:val="fr-FR"/>
        </w:rPr>
        <w:t xml:space="preserve">mise en œuvre du Plan de travail </w:t>
      </w:r>
      <w:r w:rsidR="00141240" w:rsidRPr="005D062F">
        <w:rPr>
          <w:rFonts w:ascii="Times New Roman" w:eastAsia="Calibri" w:hAnsi="Times New Roman" w:cs="Times New Roman"/>
          <w:b/>
          <w:bCs/>
          <w:color w:val="000000" w:themeColor="text1"/>
          <w:sz w:val="22"/>
          <w:szCs w:val="22"/>
          <w:lang w:val="fr-FR"/>
        </w:rPr>
        <w:t xml:space="preserve">2019-2022 </w:t>
      </w:r>
      <w:r w:rsidRPr="005D062F">
        <w:rPr>
          <w:rFonts w:ascii="Times New Roman" w:eastAsia="Calibri" w:hAnsi="Times New Roman" w:cs="Times New Roman"/>
          <w:b/>
          <w:bCs/>
          <w:color w:val="000000" w:themeColor="text1"/>
          <w:sz w:val="22"/>
          <w:szCs w:val="22"/>
          <w:lang w:val="fr-FR"/>
        </w:rPr>
        <w:t>de la CIE</w:t>
      </w:r>
    </w:p>
    <w:p w14:paraId="7ABEF20C" w14:textId="77777777" w:rsidR="00141240" w:rsidRPr="005D062F" w:rsidRDefault="00141240" w:rsidP="00CB030B">
      <w:pPr>
        <w:jc w:val="both"/>
        <w:rPr>
          <w:rFonts w:ascii="Times New Roman" w:hAnsi="Times New Roman" w:cs="Times New Roman"/>
          <w:sz w:val="22"/>
          <w:szCs w:val="22"/>
          <w:lang w:val="fr-FR"/>
        </w:rPr>
      </w:pPr>
    </w:p>
    <w:p w14:paraId="714C4B1B" w14:textId="61BE222C" w:rsidR="00141240" w:rsidRPr="005D062F" w:rsidRDefault="00392DE1" w:rsidP="00CB030B">
      <w:pPr>
        <w:pStyle w:val="ListParagraph"/>
        <w:numPr>
          <w:ilvl w:val="0"/>
          <w:numId w:val="25"/>
        </w:numPr>
        <w:ind w:left="1440" w:hanging="720"/>
        <w:jc w:val="both"/>
        <w:rPr>
          <w:sz w:val="22"/>
          <w:szCs w:val="22"/>
          <w:lang w:val="fr-FR"/>
        </w:rPr>
      </w:pPr>
      <w:r w:rsidRPr="005D062F">
        <w:rPr>
          <w:sz w:val="22"/>
          <w:szCs w:val="22"/>
          <w:lang w:val="fr-FR"/>
        </w:rPr>
        <w:t xml:space="preserve">Deux espaces de </w:t>
      </w:r>
      <w:r w:rsidR="00141240" w:rsidRPr="005D062F">
        <w:rPr>
          <w:sz w:val="22"/>
          <w:szCs w:val="22"/>
          <w:lang w:val="fr-FR"/>
        </w:rPr>
        <w:t>dialogue</w:t>
      </w:r>
      <w:r w:rsidRPr="005D062F">
        <w:rPr>
          <w:sz w:val="22"/>
          <w:szCs w:val="22"/>
          <w:lang w:val="fr-FR"/>
        </w:rPr>
        <w:t xml:space="preserve"> virtuel</w:t>
      </w:r>
      <w:r w:rsidR="00026F42" w:rsidRPr="005D062F">
        <w:rPr>
          <w:sz w:val="22"/>
          <w:szCs w:val="22"/>
          <w:lang w:val="fr-FR"/>
        </w:rPr>
        <w:t>s</w:t>
      </w:r>
      <w:r w:rsidR="00141240" w:rsidRPr="005D062F">
        <w:rPr>
          <w:sz w:val="22"/>
          <w:szCs w:val="22"/>
          <w:lang w:val="fr-FR"/>
        </w:rPr>
        <w:t xml:space="preserve"> </w:t>
      </w:r>
      <w:r w:rsidR="002D028C" w:rsidRPr="005D062F">
        <w:rPr>
          <w:sz w:val="22"/>
          <w:szCs w:val="22"/>
          <w:lang w:val="fr-FR"/>
        </w:rPr>
        <w:t>ont été ouverts</w:t>
      </w:r>
      <w:r w:rsidR="00141240" w:rsidRPr="005D062F">
        <w:rPr>
          <w:sz w:val="22"/>
          <w:szCs w:val="22"/>
          <w:lang w:val="fr-FR"/>
        </w:rPr>
        <w:t xml:space="preserve"> </w:t>
      </w:r>
      <w:r w:rsidRPr="005D062F">
        <w:rPr>
          <w:sz w:val="22"/>
          <w:szCs w:val="22"/>
          <w:lang w:val="fr-FR"/>
        </w:rPr>
        <w:t>e</w:t>
      </w:r>
      <w:r w:rsidR="00141240" w:rsidRPr="005D062F">
        <w:rPr>
          <w:sz w:val="22"/>
          <w:szCs w:val="22"/>
          <w:lang w:val="fr-FR"/>
        </w:rPr>
        <w:t xml:space="preserve">n </w:t>
      </w:r>
      <w:r w:rsidRPr="005D062F">
        <w:rPr>
          <w:sz w:val="22"/>
          <w:szCs w:val="22"/>
          <w:lang w:val="fr-FR"/>
        </w:rPr>
        <w:t>m</w:t>
      </w:r>
      <w:r w:rsidR="00141240" w:rsidRPr="005D062F">
        <w:rPr>
          <w:sz w:val="22"/>
          <w:szCs w:val="22"/>
          <w:lang w:val="fr-FR"/>
        </w:rPr>
        <w:t>ar</w:t>
      </w:r>
      <w:r w:rsidRPr="005D062F">
        <w:rPr>
          <w:sz w:val="22"/>
          <w:szCs w:val="22"/>
          <w:lang w:val="fr-FR"/>
        </w:rPr>
        <w:t>s</w:t>
      </w:r>
      <w:r w:rsidR="00141240" w:rsidRPr="005D062F">
        <w:rPr>
          <w:sz w:val="22"/>
          <w:szCs w:val="22"/>
          <w:lang w:val="fr-FR"/>
        </w:rPr>
        <w:t xml:space="preserve"> </w:t>
      </w:r>
      <w:r w:rsidRPr="005D062F">
        <w:rPr>
          <w:sz w:val="22"/>
          <w:szCs w:val="22"/>
          <w:lang w:val="fr-FR"/>
        </w:rPr>
        <w:t>sur les politiques publiques et les programmes de cohabitation scolaire, correspondant au projet n°</w:t>
      </w:r>
      <w:r w:rsidR="00141240" w:rsidRPr="005D062F">
        <w:rPr>
          <w:sz w:val="22"/>
          <w:szCs w:val="22"/>
          <w:lang w:val="fr-FR"/>
        </w:rPr>
        <w:t>7</w:t>
      </w:r>
      <w:r w:rsidRPr="005D062F">
        <w:rPr>
          <w:sz w:val="22"/>
          <w:szCs w:val="22"/>
          <w:lang w:val="fr-FR"/>
        </w:rPr>
        <w:t xml:space="preserve"> du Plan de travail </w:t>
      </w:r>
      <w:r w:rsidR="00141240" w:rsidRPr="005D062F">
        <w:rPr>
          <w:sz w:val="22"/>
          <w:szCs w:val="22"/>
          <w:lang w:val="fr-FR"/>
        </w:rPr>
        <w:t xml:space="preserve">2019-2022 </w:t>
      </w:r>
      <w:r w:rsidRPr="005D062F">
        <w:rPr>
          <w:sz w:val="22"/>
          <w:szCs w:val="22"/>
          <w:lang w:val="fr-FR"/>
        </w:rPr>
        <w:t>de la CIE</w:t>
      </w:r>
      <w:r w:rsidR="00141240" w:rsidRPr="005D062F">
        <w:rPr>
          <w:sz w:val="22"/>
          <w:szCs w:val="22"/>
          <w:lang w:val="fr-FR"/>
        </w:rPr>
        <w:t xml:space="preserve">. </w:t>
      </w:r>
      <w:r w:rsidRPr="005D062F">
        <w:rPr>
          <w:sz w:val="22"/>
          <w:szCs w:val="22"/>
          <w:lang w:val="fr-FR"/>
        </w:rPr>
        <w:t>Sous l</w:t>
      </w:r>
      <w:r w:rsidR="00C619C8" w:rsidRPr="005D062F">
        <w:rPr>
          <w:sz w:val="22"/>
          <w:szCs w:val="22"/>
          <w:lang w:val="fr-FR"/>
        </w:rPr>
        <w:t>a direction</w:t>
      </w:r>
      <w:r w:rsidRPr="005D062F">
        <w:rPr>
          <w:sz w:val="22"/>
          <w:szCs w:val="22"/>
          <w:lang w:val="fr-FR"/>
        </w:rPr>
        <w:t xml:space="preserve"> du ministère de l’éducation de la Colombie, les programmes, </w:t>
      </w:r>
      <w:r w:rsidR="00141240" w:rsidRPr="005D062F">
        <w:rPr>
          <w:sz w:val="22"/>
          <w:szCs w:val="22"/>
          <w:lang w:val="fr-FR"/>
        </w:rPr>
        <w:t>initiatives</w:t>
      </w:r>
      <w:r w:rsidRPr="005D062F">
        <w:rPr>
          <w:sz w:val="22"/>
          <w:szCs w:val="22"/>
          <w:lang w:val="fr-FR"/>
        </w:rPr>
        <w:t xml:space="preserve"> et bonnes </w:t>
      </w:r>
      <w:r w:rsidR="00C619C8" w:rsidRPr="005D062F">
        <w:rPr>
          <w:sz w:val="22"/>
          <w:szCs w:val="22"/>
          <w:lang w:val="fr-FR"/>
        </w:rPr>
        <w:t>pra</w:t>
      </w:r>
      <w:r w:rsidRPr="005D062F">
        <w:rPr>
          <w:sz w:val="22"/>
          <w:szCs w:val="22"/>
          <w:lang w:val="fr-FR"/>
        </w:rPr>
        <w:t>tiqu</w:t>
      </w:r>
      <w:r w:rsidR="00141240" w:rsidRPr="005D062F">
        <w:rPr>
          <w:sz w:val="22"/>
          <w:szCs w:val="22"/>
          <w:lang w:val="fr-FR"/>
        </w:rPr>
        <w:t xml:space="preserve">es </w:t>
      </w:r>
      <w:r w:rsidR="00C619C8" w:rsidRPr="005D062F">
        <w:rPr>
          <w:sz w:val="22"/>
          <w:szCs w:val="22"/>
          <w:lang w:val="fr-FR"/>
        </w:rPr>
        <w:t xml:space="preserve">ont été </w:t>
      </w:r>
      <w:r w:rsidR="00141240" w:rsidRPr="005D062F">
        <w:rPr>
          <w:sz w:val="22"/>
          <w:szCs w:val="22"/>
          <w:lang w:val="fr-FR"/>
        </w:rPr>
        <w:t>compil</w:t>
      </w:r>
      <w:r w:rsidR="00C619C8" w:rsidRPr="005D062F">
        <w:rPr>
          <w:sz w:val="22"/>
          <w:szCs w:val="22"/>
          <w:lang w:val="fr-FR"/>
        </w:rPr>
        <w:t xml:space="preserve">és pour créer une ressource commune de pratiques optimales, à laquelle tous les fonctionnaires peuvent facilement </w:t>
      </w:r>
      <w:r w:rsidR="00141240" w:rsidRPr="005D062F">
        <w:rPr>
          <w:sz w:val="22"/>
          <w:szCs w:val="22"/>
          <w:lang w:val="fr-FR"/>
        </w:rPr>
        <w:t>acc</w:t>
      </w:r>
      <w:r w:rsidR="00C619C8" w:rsidRPr="005D062F">
        <w:rPr>
          <w:sz w:val="22"/>
          <w:szCs w:val="22"/>
          <w:lang w:val="fr-FR"/>
        </w:rPr>
        <w:t>éder</w:t>
      </w:r>
      <w:r w:rsidR="00141240" w:rsidRPr="005D062F">
        <w:rPr>
          <w:sz w:val="22"/>
          <w:szCs w:val="22"/>
          <w:lang w:val="fr-FR"/>
        </w:rPr>
        <w:t>.</w:t>
      </w:r>
    </w:p>
    <w:p w14:paraId="16EA307D" w14:textId="77777777" w:rsidR="00141240" w:rsidRPr="005D062F" w:rsidRDefault="00141240" w:rsidP="00723DAD">
      <w:pPr>
        <w:rPr>
          <w:rFonts w:ascii="Times New Roman" w:hAnsi="Times New Roman" w:cs="Times New Roman"/>
          <w:color w:val="000000" w:themeColor="text1"/>
          <w:sz w:val="22"/>
          <w:szCs w:val="22"/>
          <w:lang w:val="fr-FR"/>
        </w:rPr>
      </w:pPr>
    </w:p>
    <w:p w14:paraId="560C1BCE" w14:textId="20632EFB" w:rsidR="00141240" w:rsidRPr="005D062F" w:rsidRDefault="002D028C" w:rsidP="00CB030B">
      <w:pPr>
        <w:numPr>
          <w:ilvl w:val="0"/>
          <w:numId w:val="23"/>
        </w:numPr>
        <w:ind w:left="1440" w:hanging="720"/>
        <w:jc w:val="both"/>
        <w:rPr>
          <w:rFonts w:ascii="Times New Roman" w:hAnsi="Times New Roman" w:cs="Times New Roman"/>
          <w:color w:val="000000" w:themeColor="text1"/>
          <w:sz w:val="22"/>
          <w:szCs w:val="22"/>
          <w:lang w:val="fr-FR"/>
        </w:rPr>
      </w:pPr>
      <w:r w:rsidRPr="005D062F">
        <w:rPr>
          <w:rFonts w:ascii="Times New Roman" w:eastAsia="Calibri" w:hAnsi="Times New Roman" w:cs="Times New Roman"/>
          <w:sz w:val="22"/>
          <w:szCs w:val="22"/>
          <w:lang w:val="fr-FR"/>
        </w:rPr>
        <w:t>E</w:t>
      </w:r>
      <w:r w:rsidR="00141240" w:rsidRPr="005D062F">
        <w:rPr>
          <w:rFonts w:ascii="Times New Roman" w:eastAsia="Calibri" w:hAnsi="Times New Roman" w:cs="Times New Roman"/>
          <w:sz w:val="22"/>
          <w:szCs w:val="22"/>
          <w:lang w:val="fr-FR"/>
        </w:rPr>
        <w:t xml:space="preserve">n </w:t>
      </w:r>
      <w:r w:rsidR="00D944D2" w:rsidRPr="005D062F">
        <w:rPr>
          <w:rFonts w:ascii="Times New Roman" w:eastAsia="Calibri" w:hAnsi="Times New Roman" w:cs="Times New Roman"/>
          <w:sz w:val="22"/>
          <w:szCs w:val="22"/>
          <w:lang w:val="fr-FR"/>
        </w:rPr>
        <w:t>j</w:t>
      </w:r>
      <w:r w:rsidR="00141240" w:rsidRPr="005D062F">
        <w:rPr>
          <w:rFonts w:ascii="Times New Roman" w:eastAsia="Calibri" w:hAnsi="Times New Roman" w:cs="Times New Roman"/>
          <w:sz w:val="22"/>
          <w:szCs w:val="22"/>
          <w:lang w:val="fr-FR"/>
        </w:rPr>
        <w:t>u</w:t>
      </w:r>
      <w:r w:rsidRPr="005D062F">
        <w:rPr>
          <w:rFonts w:ascii="Times New Roman" w:eastAsia="Calibri" w:hAnsi="Times New Roman" w:cs="Times New Roman"/>
          <w:sz w:val="22"/>
          <w:szCs w:val="22"/>
          <w:lang w:val="fr-FR"/>
        </w:rPr>
        <w:t>in</w:t>
      </w:r>
      <w:r w:rsidR="00141240" w:rsidRPr="005D062F">
        <w:rPr>
          <w:rFonts w:ascii="Times New Roman" w:eastAsia="Calibri" w:hAnsi="Times New Roman" w:cs="Times New Roman"/>
          <w:sz w:val="22"/>
          <w:szCs w:val="22"/>
          <w:lang w:val="fr-FR"/>
        </w:rPr>
        <w:t xml:space="preserve">, </w:t>
      </w:r>
      <w:r w:rsidRPr="005D062F">
        <w:rPr>
          <w:rFonts w:ascii="Times New Roman" w:eastAsia="Calibri" w:hAnsi="Times New Roman" w:cs="Times New Roman"/>
          <w:sz w:val="22"/>
          <w:szCs w:val="22"/>
          <w:lang w:val="fr-FR"/>
        </w:rPr>
        <w:t xml:space="preserve">à la demande des fonctionnaires des ministères de l’éducation, s’est tenue la troisième session virtuelle sur la cohabitation scolaire, au cours de laquelle il a été convenu de présenter le projet de Programme interaméricain sur la cohabitation scolaire </w:t>
      </w:r>
      <w:r w:rsidR="00B06522" w:rsidRPr="005D062F">
        <w:rPr>
          <w:rFonts w:ascii="Times New Roman" w:eastAsia="Calibri" w:hAnsi="Times New Roman" w:cs="Times New Roman"/>
          <w:sz w:val="22"/>
          <w:szCs w:val="22"/>
          <w:lang w:val="fr-FR"/>
        </w:rPr>
        <w:t xml:space="preserve">en vue de son inclusion dans le </w:t>
      </w:r>
      <w:r w:rsidR="00141240" w:rsidRPr="005D062F">
        <w:rPr>
          <w:rFonts w:ascii="Times New Roman" w:eastAsia="Calibri" w:hAnsi="Times New Roman" w:cs="Times New Roman"/>
          <w:sz w:val="22"/>
          <w:szCs w:val="22"/>
          <w:lang w:val="fr-FR"/>
        </w:rPr>
        <w:t>Plan</w:t>
      </w:r>
      <w:r w:rsidR="00B06522" w:rsidRPr="005D062F">
        <w:rPr>
          <w:rFonts w:ascii="Times New Roman" w:eastAsia="Calibri" w:hAnsi="Times New Roman" w:cs="Times New Roman"/>
          <w:sz w:val="22"/>
          <w:szCs w:val="22"/>
          <w:lang w:val="fr-FR"/>
        </w:rPr>
        <w:t xml:space="preserve"> de travail 2022-2025 de la CIE</w:t>
      </w:r>
      <w:r w:rsidR="00CF24B0" w:rsidRPr="005D062F">
        <w:rPr>
          <w:rFonts w:ascii="Times New Roman" w:eastAsia="Calibri" w:hAnsi="Times New Roman" w:cs="Times New Roman"/>
          <w:sz w:val="22"/>
          <w:szCs w:val="22"/>
          <w:lang w:val="fr-FR"/>
        </w:rPr>
        <w:t>.</w:t>
      </w:r>
    </w:p>
    <w:p w14:paraId="3F63C14B" w14:textId="77777777" w:rsidR="00996DC7" w:rsidRPr="005D062F" w:rsidRDefault="00996DC7" w:rsidP="00723DAD">
      <w:pPr>
        <w:rPr>
          <w:rFonts w:ascii="Times New Roman" w:hAnsi="Times New Roman" w:cs="Times New Roman"/>
          <w:color w:val="000000" w:themeColor="text1"/>
          <w:sz w:val="22"/>
          <w:szCs w:val="22"/>
          <w:lang w:val="fr-FR"/>
        </w:rPr>
      </w:pPr>
    </w:p>
    <w:p w14:paraId="1C8C40BA" w14:textId="706F0A3E" w:rsidR="00141240" w:rsidRPr="005D062F" w:rsidRDefault="00441785" w:rsidP="00CB030B">
      <w:pPr>
        <w:pStyle w:val="ListParagraph"/>
        <w:numPr>
          <w:ilvl w:val="0"/>
          <w:numId w:val="25"/>
        </w:numPr>
        <w:ind w:left="1440" w:hanging="720"/>
        <w:jc w:val="both"/>
        <w:rPr>
          <w:color w:val="000000" w:themeColor="text1"/>
          <w:sz w:val="22"/>
          <w:szCs w:val="22"/>
          <w:lang w:val="fr-FR"/>
        </w:rPr>
      </w:pPr>
      <w:r w:rsidRPr="005D062F">
        <w:rPr>
          <w:color w:val="000000" w:themeColor="text1"/>
          <w:sz w:val="22"/>
          <w:szCs w:val="22"/>
          <w:lang w:val="fr-FR"/>
        </w:rPr>
        <w:t xml:space="preserve">Le SEDI a encouragé la </w:t>
      </w:r>
      <w:r w:rsidR="00996DC7" w:rsidRPr="005D062F">
        <w:rPr>
          <w:color w:val="000000" w:themeColor="text1"/>
          <w:sz w:val="22"/>
          <w:szCs w:val="22"/>
          <w:lang w:val="fr-FR"/>
        </w:rPr>
        <w:t>collaboration</w:t>
      </w:r>
      <w:r w:rsidRPr="005D062F">
        <w:rPr>
          <w:color w:val="000000" w:themeColor="text1"/>
          <w:sz w:val="22"/>
          <w:szCs w:val="22"/>
          <w:lang w:val="fr-FR"/>
        </w:rPr>
        <w:t xml:space="preserve"> entre les ministres de la santé et ceux de l’éducation. Ils ont poursuivi leur travail commun par le biais d’un partenariat avec l’Organisation panaméricaine de la Santé avec le lancement du « </w:t>
      </w:r>
      <w:r w:rsidR="00141240" w:rsidRPr="005D062F">
        <w:rPr>
          <w:b/>
          <w:bCs/>
          <w:color w:val="000000" w:themeColor="text1"/>
          <w:sz w:val="22"/>
          <w:szCs w:val="22"/>
          <w:lang w:val="fr-FR"/>
        </w:rPr>
        <w:t>Program</w:t>
      </w:r>
      <w:r w:rsidRPr="005D062F">
        <w:rPr>
          <w:b/>
          <w:bCs/>
          <w:color w:val="000000" w:themeColor="text1"/>
          <w:sz w:val="22"/>
          <w:szCs w:val="22"/>
          <w:lang w:val="fr-FR"/>
        </w:rPr>
        <w:t>me sur les politiques relatives à une alimentation saine et l’activité physique da</w:t>
      </w:r>
      <w:r w:rsidR="00141240" w:rsidRPr="005D062F">
        <w:rPr>
          <w:b/>
          <w:bCs/>
          <w:color w:val="000000" w:themeColor="text1"/>
          <w:sz w:val="22"/>
          <w:szCs w:val="22"/>
          <w:lang w:val="fr-FR"/>
        </w:rPr>
        <w:t>n</w:t>
      </w:r>
      <w:r w:rsidRPr="005D062F">
        <w:rPr>
          <w:b/>
          <w:bCs/>
          <w:color w:val="000000" w:themeColor="text1"/>
          <w:sz w:val="22"/>
          <w:szCs w:val="22"/>
          <w:lang w:val="fr-FR"/>
        </w:rPr>
        <w:t>s les</w:t>
      </w:r>
      <w:r w:rsidR="00141240" w:rsidRPr="005D062F">
        <w:rPr>
          <w:b/>
          <w:bCs/>
          <w:color w:val="000000" w:themeColor="text1"/>
          <w:sz w:val="22"/>
          <w:szCs w:val="22"/>
          <w:lang w:val="fr-FR"/>
        </w:rPr>
        <w:t xml:space="preserve"> environ</w:t>
      </w:r>
      <w:r w:rsidRPr="005D062F">
        <w:rPr>
          <w:b/>
          <w:bCs/>
          <w:color w:val="000000" w:themeColor="text1"/>
          <w:sz w:val="22"/>
          <w:szCs w:val="22"/>
          <w:lang w:val="fr-FR"/>
        </w:rPr>
        <w:t>ne</w:t>
      </w:r>
      <w:r w:rsidR="00141240" w:rsidRPr="005D062F">
        <w:rPr>
          <w:b/>
          <w:bCs/>
          <w:color w:val="000000" w:themeColor="text1"/>
          <w:sz w:val="22"/>
          <w:szCs w:val="22"/>
          <w:lang w:val="fr-FR"/>
        </w:rPr>
        <w:t>ments</w:t>
      </w:r>
      <w:r w:rsidRPr="005D062F">
        <w:rPr>
          <w:b/>
          <w:bCs/>
          <w:color w:val="000000" w:themeColor="text1"/>
          <w:sz w:val="22"/>
          <w:szCs w:val="22"/>
          <w:lang w:val="fr-FR"/>
        </w:rPr>
        <w:t xml:space="preserve"> scolaires </w:t>
      </w:r>
      <w:r w:rsidRPr="005D062F">
        <w:rPr>
          <w:bCs/>
          <w:color w:val="000000" w:themeColor="text1"/>
          <w:sz w:val="22"/>
          <w:szCs w:val="22"/>
          <w:lang w:val="fr-FR"/>
        </w:rPr>
        <w:t>»</w:t>
      </w:r>
      <w:r w:rsidRPr="005D062F">
        <w:rPr>
          <w:b/>
          <w:bCs/>
          <w:color w:val="000000" w:themeColor="text1"/>
          <w:sz w:val="22"/>
          <w:szCs w:val="22"/>
          <w:lang w:val="fr-FR"/>
        </w:rPr>
        <w:t xml:space="preserve"> </w:t>
      </w:r>
      <w:r w:rsidRPr="005D062F">
        <w:rPr>
          <w:color w:val="000000" w:themeColor="text1"/>
          <w:sz w:val="22"/>
          <w:szCs w:val="22"/>
          <w:lang w:val="fr-FR"/>
        </w:rPr>
        <w:t xml:space="preserve">le </w:t>
      </w:r>
      <w:r w:rsidR="00141240" w:rsidRPr="005D062F">
        <w:rPr>
          <w:color w:val="000000" w:themeColor="text1"/>
          <w:sz w:val="22"/>
          <w:szCs w:val="22"/>
          <w:lang w:val="fr-FR"/>
        </w:rPr>
        <w:t>12</w:t>
      </w:r>
      <w:r w:rsidRPr="005D062F">
        <w:rPr>
          <w:color w:val="000000" w:themeColor="text1"/>
          <w:sz w:val="22"/>
          <w:szCs w:val="22"/>
          <w:lang w:val="fr-FR"/>
        </w:rPr>
        <w:t> octobre</w:t>
      </w:r>
      <w:r w:rsidR="00141240" w:rsidRPr="005D062F">
        <w:rPr>
          <w:color w:val="000000" w:themeColor="text1"/>
          <w:sz w:val="22"/>
          <w:szCs w:val="22"/>
          <w:lang w:val="fr-FR"/>
        </w:rPr>
        <w:t xml:space="preserve">. </w:t>
      </w:r>
      <w:r w:rsidR="00D944D2" w:rsidRPr="005D062F">
        <w:rPr>
          <w:color w:val="000000" w:themeColor="text1"/>
          <w:sz w:val="22"/>
          <w:szCs w:val="22"/>
          <w:lang w:val="fr-FR"/>
        </w:rPr>
        <w:t>Ce programme est le fruit du travail réalisé dans le cadre du projet n°</w:t>
      </w:r>
      <w:r w:rsidR="00141240" w:rsidRPr="005D062F">
        <w:rPr>
          <w:color w:val="000000" w:themeColor="text1"/>
          <w:sz w:val="22"/>
          <w:szCs w:val="22"/>
          <w:lang w:val="fr-FR"/>
        </w:rPr>
        <w:t xml:space="preserve">4 </w:t>
      </w:r>
      <w:r w:rsidR="00D944D2" w:rsidRPr="005D062F">
        <w:rPr>
          <w:color w:val="000000" w:themeColor="text1"/>
          <w:sz w:val="22"/>
          <w:szCs w:val="22"/>
          <w:lang w:val="fr-FR"/>
        </w:rPr>
        <w:t xml:space="preserve">du </w:t>
      </w:r>
      <w:r w:rsidR="00141240" w:rsidRPr="005D062F">
        <w:rPr>
          <w:color w:val="000000" w:themeColor="text1"/>
          <w:sz w:val="22"/>
          <w:szCs w:val="22"/>
          <w:lang w:val="fr-FR"/>
        </w:rPr>
        <w:t>Plan</w:t>
      </w:r>
      <w:r w:rsidR="00D944D2" w:rsidRPr="005D062F">
        <w:rPr>
          <w:color w:val="000000" w:themeColor="text1"/>
          <w:sz w:val="22"/>
          <w:szCs w:val="22"/>
          <w:lang w:val="fr-FR"/>
        </w:rPr>
        <w:t xml:space="preserve"> de travail de la CIE</w:t>
      </w:r>
      <w:r w:rsidR="00141240" w:rsidRPr="005D062F">
        <w:rPr>
          <w:color w:val="000000" w:themeColor="text1"/>
          <w:sz w:val="22"/>
          <w:szCs w:val="22"/>
          <w:lang w:val="fr-FR"/>
        </w:rPr>
        <w:t xml:space="preserve">, </w:t>
      </w:r>
      <w:r w:rsidR="00D944D2" w:rsidRPr="005D062F">
        <w:rPr>
          <w:color w:val="000000" w:themeColor="text1"/>
          <w:sz w:val="22"/>
          <w:szCs w:val="22"/>
          <w:lang w:val="fr-FR"/>
        </w:rPr>
        <w:t xml:space="preserve">en concrétisant la </w:t>
      </w:r>
      <w:r w:rsidR="00141240" w:rsidRPr="005D062F">
        <w:rPr>
          <w:color w:val="000000" w:themeColor="text1"/>
          <w:sz w:val="22"/>
          <w:szCs w:val="22"/>
          <w:lang w:val="fr-FR"/>
        </w:rPr>
        <w:t>syst</w:t>
      </w:r>
      <w:r w:rsidR="00D944D2" w:rsidRPr="005D062F">
        <w:rPr>
          <w:color w:val="000000" w:themeColor="text1"/>
          <w:sz w:val="22"/>
          <w:szCs w:val="22"/>
          <w:lang w:val="fr-FR"/>
        </w:rPr>
        <w:t>é</w:t>
      </w:r>
      <w:r w:rsidR="00141240" w:rsidRPr="005D062F">
        <w:rPr>
          <w:color w:val="000000" w:themeColor="text1"/>
          <w:sz w:val="22"/>
          <w:szCs w:val="22"/>
          <w:lang w:val="fr-FR"/>
        </w:rPr>
        <w:t>mati</w:t>
      </w:r>
      <w:r w:rsidR="00D944D2" w:rsidRPr="005D062F">
        <w:rPr>
          <w:color w:val="000000" w:themeColor="text1"/>
          <w:sz w:val="22"/>
          <w:szCs w:val="22"/>
          <w:lang w:val="fr-FR"/>
        </w:rPr>
        <w:t>s</w:t>
      </w:r>
      <w:r w:rsidR="00141240" w:rsidRPr="005D062F">
        <w:rPr>
          <w:color w:val="000000" w:themeColor="text1"/>
          <w:sz w:val="22"/>
          <w:szCs w:val="22"/>
          <w:lang w:val="fr-FR"/>
        </w:rPr>
        <w:t xml:space="preserve">ation </w:t>
      </w:r>
      <w:r w:rsidR="00D944D2" w:rsidRPr="005D062F">
        <w:rPr>
          <w:color w:val="000000" w:themeColor="text1"/>
          <w:sz w:val="22"/>
          <w:szCs w:val="22"/>
          <w:lang w:val="fr-FR"/>
        </w:rPr>
        <w:t xml:space="preserve">des </w:t>
      </w:r>
      <w:r w:rsidR="00141240" w:rsidRPr="005D062F">
        <w:rPr>
          <w:color w:val="000000" w:themeColor="text1"/>
          <w:sz w:val="22"/>
          <w:szCs w:val="22"/>
          <w:lang w:val="fr-FR"/>
        </w:rPr>
        <w:t>exp</w:t>
      </w:r>
      <w:r w:rsidR="00D944D2" w:rsidRPr="005D062F">
        <w:rPr>
          <w:color w:val="000000" w:themeColor="text1"/>
          <w:sz w:val="22"/>
          <w:szCs w:val="22"/>
          <w:lang w:val="fr-FR"/>
        </w:rPr>
        <w:t>é</w:t>
      </w:r>
      <w:r w:rsidR="00141240" w:rsidRPr="005D062F">
        <w:rPr>
          <w:color w:val="000000" w:themeColor="text1"/>
          <w:sz w:val="22"/>
          <w:szCs w:val="22"/>
          <w:lang w:val="fr-FR"/>
        </w:rPr>
        <w:t xml:space="preserve">riences </w:t>
      </w:r>
      <w:r w:rsidR="00D944D2" w:rsidRPr="005D062F">
        <w:rPr>
          <w:color w:val="000000" w:themeColor="text1"/>
          <w:sz w:val="22"/>
          <w:szCs w:val="22"/>
          <w:lang w:val="fr-FR"/>
        </w:rPr>
        <w:t>en matière de politiques publiques et de programmes lors de son élaboration</w:t>
      </w:r>
      <w:r w:rsidR="00996DC7" w:rsidRPr="005D062F">
        <w:rPr>
          <w:color w:val="000000" w:themeColor="text1"/>
          <w:sz w:val="22"/>
          <w:szCs w:val="22"/>
          <w:lang w:val="fr-FR"/>
        </w:rPr>
        <w:t>.</w:t>
      </w:r>
    </w:p>
    <w:p w14:paraId="11F43CD8" w14:textId="77777777" w:rsidR="00996DC7" w:rsidRPr="005D062F" w:rsidRDefault="00996DC7" w:rsidP="00723DAD">
      <w:pPr>
        <w:rPr>
          <w:rFonts w:ascii="Times New Roman" w:hAnsi="Times New Roman" w:cs="Times New Roman"/>
          <w:color w:val="000000" w:themeColor="text1"/>
          <w:sz w:val="22"/>
          <w:szCs w:val="22"/>
          <w:lang w:val="fr-FR"/>
        </w:rPr>
      </w:pPr>
    </w:p>
    <w:p w14:paraId="4B9BED45" w14:textId="598F160C" w:rsidR="00141240" w:rsidRPr="005D062F" w:rsidRDefault="00441785" w:rsidP="00CB030B">
      <w:pPr>
        <w:numPr>
          <w:ilvl w:val="0"/>
          <w:numId w:val="23"/>
        </w:numPr>
        <w:ind w:left="1440" w:hanging="720"/>
        <w:jc w:val="both"/>
        <w:rPr>
          <w:rFonts w:ascii="Times New Roman" w:eastAsia="Calibri" w:hAnsi="Times New Roman" w:cs="Times New Roman"/>
          <w:color w:val="000000" w:themeColor="text1"/>
          <w:sz w:val="22"/>
          <w:szCs w:val="22"/>
          <w:lang w:val="fr-FR"/>
        </w:rPr>
      </w:pPr>
      <w:r w:rsidRPr="005D062F">
        <w:rPr>
          <w:rFonts w:ascii="Times New Roman" w:eastAsia="Calibri" w:hAnsi="Times New Roman" w:cs="Times New Roman"/>
          <w:color w:val="000000" w:themeColor="text1"/>
          <w:sz w:val="22"/>
          <w:szCs w:val="22"/>
          <w:lang w:val="fr-FR"/>
        </w:rPr>
        <w:t xml:space="preserve">Il a achevé la </w:t>
      </w:r>
      <w:r w:rsidR="00141240" w:rsidRPr="005D062F">
        <w:rPr>
          <w:rFonts w:ascii="Times New Roman" w:eastAsia="Calibri" w:hAnsi="Times New Roman" w:cs="Times New Roman"/>
          <w:color w:val="000000" w:themeColor="text1"/>
          <w:sz w:val="22"/>
          <w:szCs w:val="22"/>
          <w:lang w:val="fr-FR"/>
        </w:rPr>
        <w:t>syst</w:t>
      </w:r>
      <w:r w:rsidRPr="005D062F">
        <w:rPr>
          <w:rFonts w:ascii="Times New Roman" w:eastAsia="Calibri" w:hAnsi="Times New Roman" w:cs="Times New Roman"/>
          <w:color w:val="000000" w:themeColor="text1"/>
          <w:sz w:val="22"/>
          <w:szCs w:val="22"/>
          <w:lang w:val="fr-FR"/>
        </w:rPr>
        <w:t>é</w:t>
      </w:r>
      <w:r w:rsidR="00141240" w:rsidRPr="005D062F">
        <w:rPr>
          <w:rFonts w:ascii="Times New Roman" w:eastAsia="Calibri" w:hAnsi="Times New Roman" w:cs="Times New Roman"/>
          <w:color w:val="000000" w:themeColor="text1"/>
          <w:sz w:val="22"/>
          <w:szCs w:val="22"/>
          <w:lang w:val="fr-FR"/>
        </w:rPr>
        <w:t>mati</w:t>
      </w:r>
      <w:r w:rsidRPr="005D062F">
        <w:rPr>
          <w:rFonts w:ascii="Times New Roman" w:eastAsia="Calibri" w:hAnsi="Times New Roman" w:cs="Times New Roman"/>
          <w:color w:val="000000" w:themeColor="text1"/>
          <w:sz w:val="22"/>
          <w:szCs w:val="22"/>
          <w:lang w:val="fr-FR"/>
        </w:rPr>
        <w:t>s</w:t>
      </w:r>
      <w:r w:rsidR="00141240" w:rsidRPr="005D062F">
        <w:rPr>
          <w:rFonts w:ascii="Times New Roman" w:eastAsia="Calibri" w:hAnsi="Times New Roman" w:cs="Times New Roman"/>
          <w:color w:val="000000" w:themeColor="text1"/>
          <w:sz w:val="22"/>
          <w:szCs w:val="22"/>
          <w:lang w:val="fr-FR"/>
        </w:rPr>
        <w:t xml:space="preserve">ation </w:t>
      </w:r>
      <w:r w:rsidRPr="005D062F">
        <w:rPr>
          <w:rFonts w:ascii="Times New Roman" w:eastAsia="Calibri" w:hAnsi="Times New Roman" w:cs="Times New Roman"/>
          <w:color w:val="000000" w:themeColor="text1"/>
          <w:sz w:val="22"/>
          <w:szCs w:val="22"/>
          <w:lang w:val="fr-FR"/>
        </w:rPr>
        <w:t>des dialogues sur les politiques publiques</w:t>
      </w:r>
      <w:r w:rsidR="00141240" w:rsidRPr="005D062F">
        <w:rPr>
          <w:rFonts w:ascii="Times New Roman" w:eastAsia="Calibri" w:hAnsi="Times New Roman" w:cs="Times New Roman"/>
          <w:color w:val="000000" w:themeColor="text1"/>
          <w:sz w:val="22"/>
          <w:szCs w:val="22"/>
          <w:lang w:val="fr-FR"/>
        </w:rPr>
        <w:t xml:space="preserve"> </w:t>
      </w:r>
      <w:r w:rsidRPr="005D062F">
        <w:rPr>
          <w:rFonts w:ascii="Times New Roman" w:eastAsia="Calibri" w:hAnsi="Times New Roman" w:cs="Times New Roman"/>
          <w:color w:val="000000" w:themeColor="text1"/>
          <w:sz w:val="22"/>
          <w:szCs w:val="22"/>
          <w:lang w:val="fr-FR"/>
        </w:rPr>
        <w:t>en compilant les contributions des pays en matière de leçons apprises, de défis rencontrés et d’expériences locales sur des questions revêtant une grande importance pour la région. Ces documents ont été validés par les autorités et les fonctionnaires des pays qui ont participé aux dialogues respectifs</w:t>
      </w:r>
      <w:r w:rsidR="00141240" w:rsidRPr="005D062F">
        <w:rPr>
          <w:rFonts w:ascii="Times New Roman" w:eastAsia="Calibri" w:hAnsi="Times New Roman" w:cs="Times New Roman"/>
          <w:color w:val="000000" w:themeColor="text1"/>
          <w:sz w:val="22"/>
          <w:szCs w:val="22"/>
          <w:lang w:val="fr-FR"/>
        </w:rPr>
        <w:t>.</w:t>
      </w:r>
    </w:p>
    <w:p w14:paraId="3435E307" w14:textId="77777777" w:rsidR="00141240" w:rsidRPr="005D062F" w:rsidRDefault="00141240" w:rsidP="00CB030B">
      <w:pPr>
        <w:jc w:val="both"/>
        <w:rPr>
          <w:rFonts w:ascii="Times New Roman" w:hAnsi="Times New Roman" w:cs="Times New Roman"/>
          <w:color w:val="000000" w:themeColor="text1"/>
          <w:sz w:val="22"/>
          <w:szCs w:val="22"/>
          <w:lang w:val="fr-FR"/>
        </w:rPr>
      </w:pPr>
    </w:p>
    <w:p w14:paraId="52C79D42" w14:textId="33409C84" w:rsidR="00AE5375" w:rsidRPr="00C45B74" w:rsidRDefault="00C2663A" w:rsidP="002D4DF7">
      <w:pPr>
        <w:pStyle w:val="Heading2"/>
      </w:pPr>
      <w:bookmarkStart w:id="21" w:name="_Toc124243411"/>
      <w:r w:rsidRPr="005D062F">
        <w:t>OBJECTIF</w:t>
      </w:r>
      <w:r w:rsidR="00141240" w:rsidRPr="005D062F">
        <w:t xml:space="preserve"> 3.2</w:t>
      </w:r>
      <w:bookmarkEnd w:id="21"/>
    </w:p>
    <w:p w14:paraId="31512021" w14:textId="77777777" w:rsidR="00135759" w:rsidRPr="00C45B74" w:rsidRDefault="00135759" w:rsidP="00CB030B">
      <w:pPr>
        <w:jc w:val="both"/>
        <w:rPr>
          <w:rFonts w:ascii="Times New Roman" w:hAnsi="Times New Roman" w:cs="Times New Roman"/>
          <w:color w:val="000000" w:themeColor="text1"/>
          <w:sz w:val="22"/>
          <w:szCs w:val="22"/>
          <w:lang w:val="fr-FR"/>
        </w:rPr>
      </w:pPr>
    </w:p>
    <w:p w14:paraId="125361CE" w14:textId="1EC2D221" w:rsidR="00141240" w:rsidRPr="00C45B74" w:rsidRDefault="00FC03D6" w:rsidP="00CB030B">
      <w:pPr>
        <w:ind w:firstLine="720"/>
        <w:jc w:val="both"/>
        <w:rPr>
          <w:rFonts w:ascii="Times New Roman" w:hAnsi="Times New Roman" w:cs="Times New Roman"/>
          <w:color w:val="000000" w:themeColor="text1"/>
          <w:sz w:val="22"/>
          <w:szCs w:val="22"/>
          <w:lang w:val="fr-FR"/>
        </w:rPr>
      </w:pPr>
      <w:r w:rsidRPr="00C45B74">
        <w:rPr>
          <w:rFonts w:ascii="Times New Roman" w:eastAsia="Times New Roman" w:hAnsi="Times New Roman" w:cs="Times New Roman"/>
          <w:color w:val="000000"/>
          <w:sz w:val="22"/>
          <w:szCs w:val="22"/>
          <w:lang w:val="fr-FR"/>
        </w:rPr>
        <w:t>Renforcer la profession d’</w:t>
      </w:r>
      <w:r w:rsidR="00414FA4" w:rsidRPr="00C45B74">
        <w:rPr>
          <w:rFonts w:ascii="Times New Roman" w:eastAsia="Times New Roman" w:hAnsi="Times New Roman" w:cs="Times New Roman"/>
          <w:color w:val="000000"/>
          <w:sz w:val="22"/>
          <w:szCs w:val="22"/>
          <w:lang w:val="fr-FR"/>
        </w:rPr>
        <w:t>enseignant dans les États membres en créant davantage de possibilités de formation</w:t>
      </w:r>
      <w:r w:rsidR="00141240" w:rsidRPr="00C45B74">
        <w:rPr>
          <w:rFonts w:ascii="Times New Roman" w:eastAsia="Calibri" w:hAnsi="Times New Roman" w:cs="Times New Roman"/>
          <w:color w:val="000000" w:themeColor="text1"/>
          <w:sz w:val="22"/>
          <w:szCs w:val="22"/>
          <w:lang w:val="fr-FR"/>
        </w:rPr>
        <w:t>.</w:t>
      </w:r>
    </w:p>
    <w:p w14:paraId="23DBE2A5" w14:textId="77777777" w:rsidR="00141240" w:rsidRPr="00C45B74" w:rsidRDefault="00141240" w:rsidP="00CB030B">
      <w:pPr>
        <w:jc w:val="both"/>
        <w:rPr>
          <w:rFonts w:ascii="Times New Roman" w:eastAsia="Calibri" w:hAnsi="Times New Roman" w:cs="Times New Roman"/>
          <w:iCs/>
          <w:color w:val="000000" w:themeColor="text1"/>
          <w:sz w:val="22"/>
          <w:szCs w:val="22"/>
          <w:lang w:val="fr-FR"/>
        </w:rPr>
      </w:pPr>
    </w:p>
    <w:p w14:paraId="0980887B" w14:textId="77777777" w:rsidR="00414FA4" w:rsidRPr="005D062F" w:rsidRDefault="00414FA4" w:rsidP="00414FA4">
      <w:pPr>
        <w:ind w:firstLine="720"/>
        <w:jc w:val="both"/>
        <w:rPr>
          <w:rFonts w:ascii="Times New Roman" w:eastAsia="Times New Roman" w:hAnsi="Times New Roman" w:cs="Times New Roman"/>
          <w:b/>
          <w:color w:val="000000"/>
          <w:sz w:val="22"/>
          <w:szCs w:val="22"/>
          <w:lang w:val="fr-FR"/>
        </w:rPr>
      </w:pPr>
      <w:r w:rsidRPr="005D062F">
        <w:rPr>
          <w:rFonts w:ascii="Times New Roman" w:eastAsia="Times New Roman" w:hAnsi="Times New Roman" w:cs="Times New Roman"/>
          <w:b/>
          <w:color w:val="000000"/>
          <w:sz w:val="22"/>
          <w:szCs w:val="22"/>
          <w:lang w:val="fr-FR"/>
        </w:rPr>
        <w:t>Réseau interaméricain de formation des enseignants (RIED)</w:t>
      </w:r>
    </w:p>
    <w:p w14:paraId="402877B2" w14:textId="77777777" w:rsidR="00AE5375" w:rsidRPr="005D062F" w:rsidRDefault="00AE5375" w:rsidP="00CB030B">
      <w:pPr>
        <w:jc w:val="both"/>
        <w:rPr>
          <w:rFonts w:ascii="Times New Roman" w:hAnsi="Times New Roman" w:cs="Times New Roman"/>
          <w:color w:val="000000" w:themeColor="text1"/>
          <w:sz w:val="22"/>
          <w:szCs w:val="22"/>
          <w:lang w:val="fr-FR"/>
        </w:rPr>
      </w:pPr>
      <w:bookmarkStart w:id="22" w:name="_Hlk94633910"/>
    </w:p>
    <w:p w14:paraId="251F1A7B" w14:textId="6106CD86" w:rsidR="00141240" w:rsidRPr="005D062F" w:rsidRDefault="00414FA4" w:rsidP="00CB030B">
      <w:pPr>
        <w:pStyle w:val="ListParagraph"/>
        <w:numPr>
          <w:ilvl w:val="0"/>
          <w:numId w:val="25"/>
        </w:numPr>
        <w:ind w:left="1440" w:hanging="720"/>
        <w:jc w:val="both"/>
        <w:rPr>
          <w:color w:val="000000" w:themeColor="text1"/>
          <w:sz w:val="22"/>
          <w:szCs w:val="22"/>
          <w:lang w:val="fr-FR"/>
        </w:rPr>
      </w:pPr>
      <w:r w:rsidRPr="005D062F">
        <w:rPr>
          <w:rFonts w:eastAsia="Times New Roman"/>
          <w:color w:val="000000"/>
          <w:sz w:val="22"/>
          <w:szCs w:val="22"/>
          <w:lang w:val="fr-FR"/>
        </w:rPr>
        <w:t>Le SEDI a contribué au renforcement des capacités de</w:t>
      </w:r>
      <w:r w:rsidR="00141240" w:rsidRPr="005D062F">
        <w:rPr>
          <w:color w:val="000000" w:themeColor="text1"/>
          <w:sz w:val="22"/>
          <w:szCs w:val="22"/>
          <w:lang w:val="fr-FR"/>
        </w:rPr>
        <w:t xml:space="preserve"> 65 </w:t>
      </w:r>
      <w:r w:rsidRPr="005D062F">
        <w:rPr>
          <w:rFonts w:eastAsia="Times New Roman"/>
          <w:color w:val="000000"/>
          <w:sz w:val="22"/>
          <w:szCs w:val="22"/>
          <w:lang w:val="fr-FR"/>
        </w:rPr>
        <w:t>établissements de formation des enseignants</w:t>
      </w:r>
      <w:r w:rsidRPr="005D062F">
        <w:rPr>
          <w:color w:val="000000" w:themeColor="text1"/>
          <w:sz w:val="22"/>
          <w:szCs w:val="22"/>
          <w:lang w:val="fr-FR"/>
        </w:rPr>
        <w:t xml:space="preserve"> da</w:t>
      </w:r>
      <w:r w:rsidR="00141240" w:rsidRPr="005D062F">
        <w:rPr>
          <w:color w:val="000000" w:themeColor="text1"/>
          <w:sz w:val="22"/>
          <w:szCs w:val="22"/>
          <w:lang w:val="fr-FR"/>
        </w:rPr>
        <w:t>n</w:t>
      </w:r>
      <w:r w:rsidRPr="005D062F">
        <w:rPr>
          <w:color w:val="000000" w:themeColor="text1"/>
          <w:sz w:val="22"/>
          <w:szCs w:val="22"/>
          <w:lang w:val="fr-FR"/>
        </w:rPr>
        <w:t>s</w:t>
      </w:r>
      <w:r w:rsidR="00141240" w:rsidRPr="005D062F">
        <w:rPr>
          <w:color w:val="000000" w:themeColor="text1"/>
          <w:sz w:val="22"/>
          <w:szCs w:val="22"/>
          <w:lang w:val="fr-FR"/>
        </w:rPr>
        <w:t xml:space="preserve"> 26</w:t>
      </w:r>
      <w:r w:rsidRPr="005D062F">
        <w:rPr>
          <w:color w:val="000000" w:themeColor="text1"/>
          <w:sz w:val="22"/>
          <w:szCs w:val="22"/>
          <w:lang w:val="fr-FR"/>
        </w:rPr>
        <w:t xml:space="preserve"> États membres de l’OEA pour </w:t>
      </w:r>
      <w:r w:rsidRPr="005D062F">
        <w:rPr>
          <w:rFonts w:eastAsia="Times New Roman"/>
          <w:color w:val="000000"/>
          <w:sz w:val="22"/>
          <w:szCs w:val="22"/>
          <w:lang w:val="fr-FR"/>
        </w:rPr>
        <w:t>dispenser une formation de qualité aux enseignants des STIM (sciences, technologies, ingénierie et mathématiques) grâce à des collaborations multilatérales</w:t>
      </w:r>
      <w:r w:rsidR="00141240" w:rsidRPr="005D062F">
        <w:rPr>
          <w:color w:val="000000" w:themeColor="text1"/>
          <w:sz w:val="22"/>
          <w:szCs w:val="22"/>
          <w:lang w:val="fr-FR"/>
        </w:rPr>
        <w:t xml:space="preserve"> </w:t>
      </w:r>
      <w:r w:rsidR="00231DC4" w:rsidRPr="005D062F">
        <w:rPr>
          <w:color w:val="000000" w:themeColor="text1"/>
          <w:sz w:val="22"/>
          <w:szCs w:val="22"/>
          <w:lang w:val="fr-FR"/>
        </w:rPr>
        <w:t>sous forme d’équipes de projet</w:t>
      </w:r>
      <w:r w:rsidR="00141240" w:rsidRPr="005D062F">
        <w:rPr>
          <w:color w:val="000000" w:themeColor="text1"/>
          <w:sz w:val="22"/>
          <w:szCs w:val="22"/>
          <w:lang w:val="fr-FR"/>
        </w:rPr>
        <w:t>.</w:t>
      </w:r>
      <w:r w:rsidRPr="005D062F">
        <w:rPr>
          <w:color w:val="000000" w:themeColor="text1"/>
          <w:sz w:val="22"/>
          <w:szCs w:val="22"/>
          <w:lang w:val="fr-FR"/>
        </w:rPr>
        <w:t xml:space="preserve"> Parmi ces établissements, </w:t>
      </w:r>
      <w:r w:rsidR="00141240" w:rsidRPr="005D062F">
        <w:rPr>
          <w:color w:val="000000" w:themeColor="text1"/>
          <w:sz w:val="22"/>
          <w:szCs w:val="22"/>
          <w:lang w:val="fr-FR"/>
        </w:rPr>
        <w:t>40</w:t>
      </w:r>
      <w:r w:rsidRPr="005D062F">
        <w:rPr>
          <w:color w:val="000000" w:themeColor="text1"/>
          <w:sz w:val="22"/>
          <w:szCs w:val="22"/>
          <w:lang w:val="fr-FR"/>
        </w:rPr>
        <w:t xml:space="preserve"> ont bénéficié de fonds d’amorçage s’élevant à près de 500 </w:t>
      </w:r>
      <w:r w:rsidR="00141240" w:rsidRPr="005D062F">
        <w:rPr>
          <w:color w:val="000000" w:themeColor="text1"/>
          <w:sz w:val="22"/>
          <w:szCs w:val="22"/>
          <w:lang w:val="fr-FR"/>
        </w:rPr>
        <w:t>000</w:t>
      </w:r>
      <w:r w:rsidRPr="005D062F">
        <w:rPr>
          <w:color w:val="000000" w:themeColor="text1"/>
          <w:sz w:val="22"/>
          <w:szCs w:val="22"/>
          <w:lang w:val="fr-FR"/>
        </w:rPr>
        <w:t> USD</w:t>
      </w:r>
      <w:r w:rsidR="00141240" w:rsidRPr="005D062F">
        <w:rPr>
          <w:color w:val="000000" w:themeColor="text1"/>
          <w:sz w:val="22"/>
          <w:szCs w:val="22"/>
          <w:lang w:val="fr-FR"/>
        </w:rPr>
        <w:t xml:space="preserve"> </w:t>
      </w:r>
      <w:r w:rsidRPr="005D062F">
        <w:rPr>
          <w:color w:val="000000" w:themeColor="text1"/>
          <w:sz w:val="22"/>
          <w:szCs w:val="22"/>
          <w:lang w:val="fr-FR"/>
        </w:rPr>
        <w:t xml:space="preserve">en </w:t>
      </w:r>
      <w:r w:rsidRPr="005D062F">
        <w:rPr>
          <w:rFonts w:eastAsia="Times New Roman"/>
          <w:color w:val="000000"/>
          <w:sz w:val="22"/>
          <w:szCs w:val="22"/>
          <w:lang w:val="fr-FR"/>
        </w:rPr>
        <w:t>primes financières</w:t>
      </w:r>
      <w:r w:rsidR="00141240" w:rsidRPr="005D062F">
        <w:rPr>
          <w:color w:val="000000" w:themeColor="text1"/>
          <w:sz w:val="22"/>
          <w:szCs w:val="22"/>
          <w:lang w:val="fr-FR"/>
        </w:rPr>
        <w:t xml:space="preserve"> </w:t>
      </w:r>
      <w:r w:rsidRPr="005D062F">
        <w:rPr>
          <w:color w:val="000000" w:themeColor="text1"/>
          <w:sz w:val="22"/>
          <w:szCs w:val="22"/>
          <w:lang w:val="fr-FR"/>
        </w:rPr>
        <w:t xml:space="preserve">pour mettre en œuvre des programmes innovants de </w:t>
      </w:r>
      <w:r w:rsidRPr="005D062F">
        <w:rPr>
          <w:rFonts w:eastAsia="Times New Roman"/>
          <w:color w:val="000000"/>
          <w:sz w:val="22"/>
          <w:szCs w:val="22"/>
          <w:lang w:val="fr-FR"/>
        </w:rPr>
        <w:t>formation des enseignants</w:t>
      </w:r>
      <w:r w:rsidRPr="005D062F">
        <w:rPr>
          <w:color w:val="000000" w:themeColor="text1"/>
          <w:sz w:val="22"/>
          <w:szCs w:val="22"/>
          <w:lang w:val="fr-FR"/>
        </w:rPr>
        <w:t xml:space="preserve"> </w:t>
      </w:r>
      <w:r w:rsidR="00231DC4" w:rsidRPr="005D062F">
        <w:rPr>
          <w:color w:val="000000" w:themeColor="text1"/>
          <w:sz w:val="22"/>
          <w:szCs w:val="22"/>
          <w:lang w:val="fr-FR"/>
        </w:rPr>
        <w:t>des STI</w:t>
      </w:r>
      <w:r w:rsidRPr="005D062F">
        <w:rPr>
          <w:color w:val="000000" w:themeColor="text1"/>
          <w:sz w:val="22"/>
          <w:szCs w:val="22"/>
          <w:lang w:val="fr-FR"/>
        </w:rPr>
        <w:t>M</w:t>
      </w:r>
      <w:r w:rsidR="00141240" w:rsidRPr="005D062F">
        <w:rPr>
          <w:color w:val="000000" w:themeColor="text1"/>
          <w:sz w:val="22"/>
          <w:szCs w:val="22"/>
          <w:lang w:val="fr-FR"/>
        </w:rPr>
        <w:t>.</w:t>
      </w:r>
    </w:p>
    <w:p w14:paraId="35479C7A" w14:textId="77777777" w:rsidR="00141240" w:rsidRPr="005D062F" w:rsidRDefault="00141240" w:rsidP="00723DAD">
      <w:pPr>
        <w:rPr>
          <w:rFonts w:ascii="Times New Roman" w:hAnsi="Times New Roman" w:cs="Times New Roman"/>
          <w:color w:val="000000" w:themeColor="text1"/>
          <w:sz w:val="22"/>
          <w:szCs w:val="22"/>
          <w:lang w:val="fr-FR"/>
        </w:rPr>
      </w:pPr>
    </w:p>
    <w:p w14:paraId="7519C076" w14:textId="412F3D90" w:rsidR="00AE5375" w:rsidRPr="005D062F" w:rsidRDefault="008C2A72" w:rsidP="00CB030B">
      <w:pPr>
        <w:numPr>
          <w:ilvl w:val="0"/>
          <w:numId w:val="23"/>
        </w:numPr>
        <w:ind w:left="1440" w:hanging="720"/>
        <w:jc w:val="both"/>
        <w:rPr>
          <w:rFonts w:ascii="Times New Roman" w:eastAsia="Calibri" w:hAnsi="Times New Roman" w:cs="Times New Roman"/>
          <w:color w:val="000000" w:themeColor="text1"/>
          <w:sz w:val="22"/>
          <w:szCs w:val="22"/>
          <w:lang w:val="fr-FR"/>
        </w:rPr>
      </w:pPr>
      <w:r w:rsidRPr="005D062F">
        <w:rPr>
          <w:rFonts w:ascii="Times New Roman" w:eastAsia="Calibri" w:hAnsi="Times New Roman" w:cs="Times New Roman"/>
          <w:color w:val="000000" w:themeColor="text1"/>
          <w:sz w:val="22"/>
          <w:szCs w:val="22"/>
          <w:lang w:val="fr-FR"/>
        </w:rPr>
        <w:t>Il a réalisé une série de neuf ateliers virtuels sur le thème « </w:t>
      </w:r>
      <w:r w:rsidR="00AE5375" w:rsidRPr="005D062F">
        <w:rPr>
          <w:rFonts w:ascii="Times New Roman" w:eastAsia="Calibri" w:hAnsi="Times New Roman" w:cs="Times New Roman"/>
          <w:b/>
          <w:bCs/>
          <w:color w:val="000000" w:themeColor="text1"/>
          <w:sz w:val="22"/>
          <w:szCs w:val="22"/>
          <w:lang w:val="fr-FR"/>
        </w:rPr>
        <w:t>Transformation</w:t>
      </w:r>
      <w:r w:rsidRPr="005D062F">
        <w:rPr>
          <w:rFonts w:ascii="Times New Roman" w:eastAsia="Calibri" w:hAnsi="Times New Roman" w:cs="Times New Roman"/>
          <w:b/>
          <w:bCs/>
          <w:color w:val="000000" w:themeColor="text1"/>
          <w:sz w:val="22"/>
          <w:szCs w:val="22"/>
          <w:lang w:val="fr-FR"/>
        </w:rPr>
        <w:t xml:space="preserve"> numérique dans l’é</w:t>
      </w:r>
      <w:r w:rsidR="00AE5375" w:rsidRPr="005D062F">
        <w:rPr>
          <w:rFonts w:ascii="Times New Roman" w:eastAsia="Calibri" w:hAnsi="Times New Roman" w:cs="Times New Roman"/>
          <w:b/>
          <w:bCs/>
          <w:color w:val="000000" w:themeColor="text1"/>
          <w:sz w:val="22"/>
          <w:szCs w:val="22"/>
          <w:lang w:val="fr-FR"/>
        </w:rPr>
        <w:t>ducation</w:t>
      </w:r>
      <w:r w:rsidRPr="005D062F">
        <w:rPr>
          <w:rFonts w:ascii="Times New Roman" w:eastAsia="Calibri" w:hAnsi="Times New Roman" w:cs="Times New Roman"/>
          <w:b/>
          <w:bCs/>
          <w:color w:val="000000" w:themeColor="text1"/>
          <w:sz w:val="22"/>
          <w:szCs w:val="22"/>
          <w:lang w:val="fr-FR"/>
        </w:rPr>
        <w:t> </w:t>
      </w:r>
      <w:r w:rsidR="00AE5375" w:rsidRPr="005D062F">
        <w:rPr>
          <w:rFonts w:ascii="Times New Roman" w:eastAsia="Calibri" w:hAnsi="Times New Roman" w:cs="Times New Roman"/>
          <w:b/>
          <w:bCs/>
          <w:color w:val="000000" w:themeColor="text1"/>
          <w:sz w:val="22"/>
          <w:szCs w:val="22"/>
          <w:lang w:val="fr-FR"/>
        </w:rPr>
        <w:t xml:space="preserve">: </w:t>
      </w:r>
      <w:r w:rsidRPr="005D062F">
        <w:rPr>
          <w:rFonts w:ascii="Times New Roman" w:eastAsia="Calibri" w:hAnsi="Times New Roman" w:cs="Times New Roman"/>
          <w:b/>
          <w:bCs/>
          <w:color w:val="000000" w:themeColor="text1"/>
          <w:sz w:val="22"/>
          <w:szCs w:val="22"/>
          <w:lang w:val="fr-FR"/>
        </w:rPr>
        <w:t>possibilités de perfectionnement des enseignants en période de changement </w:t>
      </w:r>
      <w:r w:rsidRPr="005D062F">
        <w:rPr>
          <w:rFonts w:ascii="Times New Roman" w:eastAsia="Calibri" w:hAnsi="Times New Roman" w:cs="Times New Roman"/>
          <w:bCs/>
          <w:color w:val="000000" w:themeColor="text1"/>
          <w:sz w:val="22"/>
          <w:szCs w:val="22"/>
          <w:lang w:val="fr-FR"/>
        </w:rPr>
        <w:t>»</w:t>
      </w:r>
      <w:r w:rsidR="00AE5375" w:rsidRPr="005D062F">
        <w:rPr>
          <w:rFonts w:ascii="Times New Roman" w:eastAsia="Calibri" w:hAnsi="Times New Roman" w:cs="Times New Roman"/>
          <w:color w:val="000000" w:themeColor="text1"/>
          <w:sz w:val="22"/>
          <w:szCs w:val="22"/>
          <w:lang w:val="fr-FR"/>
        </w:rPr>
        <w:t xml:space="preserve"> </w:t>
      </w:r>
      <w:r w:rsidR="00656DAD" w:rsidRPr="005D062F">
        <w:rPr>
          <w:rFonts w:ascii="Times New Roman" w:eastAsia="Calibri" w:hAnsi="Times New Roman" w:cs="Times New Roman"/>
          <w:color w:val="000000" w:themeColor="text1"/>
          <w:sz w:val="22"/>
          <w:szCs w:val="22"/>
          <w:lang w:val="fr-FR"/>
        </w:rPr>
        <w:t>en s’appuyant sur des alliances avec les partenaires stratégiques</w:t>
      </w:r>
      <w:r w:rsidR="00AE5375" w:rsidRPr="005D062F">
        <w:rPr>
          <w:rFonts w:ascii="Times New Roman" w:eastAsia="Calibri" w:hAnsi="Times New Roman" w:cs="Times New Roman"/>
          <w:color w:val="000000" w:themeColor="text1"/>
          <w:sz w:val="22"/>
          <w:szCs w:val="22"/>
          <w:lang w:val="fr-FR"/>
        </w:rPr>
        <w:t xml:space="preserve">. </w:t>
      </w:r>
      <w:r w:rsidR="00656DAD" w:rsidRPr="005D062F">
        <w:rPr>
          <w:rFonts w:ascii="Times New Roman" w:eastAsia="Calibri" w:hAnsi="Times New Roman" w:cs="Times New Roman"/>
          <w:color w:val="000000" w:themeColor="text1"/>
          <w:sz w:val="22"/>
          <w:szCs w:val="22"/>
          <w:lang w:val="fr-FR"/>
        </w:rPr>
        <w:t xml:space="preserve">Ces ateliers ont été animés par des experts régionaux et </w:t>
      </w:r>
      <w:r w:rsidR="00141240" w:rsidRPr="005D062F">
        <w:rPr>
          <w:rFonts w:ascii="Times New Roman" w:eastAsia="Calibri" w:hAnsi="Times New Roman" w:cs="Times New Roman"/>
          <w:color w:val="000000" w:themeColor="text1"/>
          <w:sz w:val="22"/>
          <w:szCs w:val="22"/>
          <w:lang w:val="fr-FR"/>
        </w:rPr>
        <w:t>internationa</w:t>
      </w:r>
      <w:r w:rsidR="00656DAD" w:rsidRPr="005D062F">
        <w:rPr>
          <w:rFonts w:ascii="Times New Roman" w:eastAsia="Calibri" w:hAnsi="Times New Roman" w:cs="Times New Roman"/>
          <w:color w:val="000000" w:themeColor="text1"/>
          <w:sz w:val="22"/>
          <w:szCs w:val="22"/>
          <w:lang w:val="fr-FR"/>
        </w:rPr>
        <w:t xml:space="preserve">ux qui ont fourni </w:t>
      </w:r>
      <w:r w:rsidR="00E663E6" w:rsidRPr="005D062F">
        <w:rPr>
          <w:rFonts w:ascii="Times New Roman" w:eastAsia="Calibri" w:hAnsi="Times New Roman" w:cs="Times New Roman"/>
          <w:color w:val="000000" w:themeColor="text1"/>
          <w:sz w:val="22"/>
          <w:szCs w:val="22"/>
          <w:lang w:val="fr-FR"/>
        </w:rPr>
        <w:t>des concepts innovants, des stratégies pédagogiques et des ressources gratuites à plus de 1 </w:t>
      </w:r>
      <w:r w:rsidR="00141240" w:rsidRPr="005D062F">
        <w:rPr>
          <w:rFonts w:ascii="Times New Roman" w:eastAsia="Calibri" w:hAnsi="Times New Roman" w:cs="Times New Roman"/>
          <w:color w:val="000000" w:themeColor="text1"/>
          <w:sz w:val="22"/>
          <w:szCs w:val="22"/>
          <w:lang w:val="fr-FR"/>
        </w:rPr>
        <w:t>300</w:t>
      </w:r>
      <w:r w:rsidR="00E663E6" w:rsidRPr="005D062F">
        <w:rPr>
          <w:rFonts w:ascii="Times New Roman" w:eastAsia="Calibri" w:hAnsi="Times New Roman" w:cs="Times New Roman"/>
          <w:color w:val="000000" w:themeColor="text1"/>
          <w:sz w:val="22"/>
          <w:szCs w:val="22"/>
          <w:lang w:val="fr-FR"/>
        </w:rPr>
        <w:t> enseignants, repré</w:t>
      </w:r>
      <w:r w:rsidR="00141240" w:rsidRPr="005D062F">
        <w:rPr>
          <w:rFonts w:ascii="Times New Roman" w:eastAsia="Calibri" w:hAnsi="Times New Roman" w:cs="Times New Roman"/>
          <w:color w:val="000000" w:themeColor="text1"/>
          <w:sz w:val="22"/>
          <w:szCs w:val="22"/>
          <w:lang w:val="fr-FR"/>
        </w:rPr>
        <w:t>senta</w:t>
      </w:r>
      <w:r w:rsidR="00E663E6" w:rsidRPr="005D062F">
        <w:rPr>
          <w:rFonts w:ascii="Times New Roman" w:eastAsia="Calibri" w:hAnsi="Times New Roman" w:cs="Times New Roman"/>
          <w:color w:val="000000" w:themeColor="text1"/>
          <w:sz w:val="22"/>
          <w:szCs w:val="22"/>
          <w:lang w:val="fr-FR"/>
        </w:rPr>
        <w:t xml:space="preserve">nts des ministères et d’autres éducateurs de </w:t>
      </w:r>
      <w:r w:rsidR="00141240" w:rsidRPr="005D062F">
        <w:rPr>
          <w:rFonts w:ascii="Times New Roman" w:eastAsia="Calibri" w:hAnsi="Times New Roman" w:cs="Times New Roman"/>
          <w:color w:val="000000" w:themeColor="text1"/>
          <w:sz w:val="22"/>
          <w:szCs w:val="22"/>
          <w:lang w:val="fr-FR"/>
        </w:rPr>
        <w:t>32</w:t>
      </w:r>
      <w:r w:rsidR="00C92F1E" w:rsidRPr="005D062F">
        <w:rPr>
          <w:rFonts w:ascii="Times New Roman" w:eastAsia="Calibri" w:hAnsi="Times New Roman" w:cs="Times New Roman"/>
          <w:color w:val="000000" w:themeColor="text1"/>
          <w:sz w:val="22"/>
          <w:szCs w:val="22"/>
          <w:lang w:val="fr-FR"/>
        </w:rPr>
        <w:t xml:space="preserve"> </w:t>
      </w:r>
      <w:r w:rsidR="00E663E6" w:rsidRPr="005D062F">
        <w:rPr>
          <w:rFonts w:ascii="Times New Roman" w:eastAsia="Calibri" w:hAnsi="Times New Roman" w:cs="Times New Roman"/>
          <w:color w:val="000000" w:themeColor="text1"/>
          <w:sz w:val="22"/>
          <w:szCs w:val="22"/>
          <w:lang w:val="fr-FR"/>
        </w:rPr>
        <w:t>États membres de l’</w:t>
      </w:r>
      <w:r w:rsidR="00141240" w:rsidRPr="005D062F">
        <w:rPr>
          <w:rFonts w:ascii="Times New Roman" w:eastAsia="Calibri" w:hAnsi="Times New Roman" w:cs="Times New Roman"/>
          <w:color w:val="000000" w:themeColor="text1"/>
          <w:sz w:val="22"/>
          <w:szCs w:val="22"/>
          <w:lang w:val="fr-FR"/>
        </w:rPr>
        <w:t>O</w:t>
      </w:r>
      <w:r w:rsidR="00E663E6" w:rsidRPr="005D062F">
        <w:rPr>
          <w:rFonts w:ascii="Times New Roman" w:eastAsia="Calibri" w:hAnsi="Times New Roman" w:cs="Times New Roman"/>
          <w:color w:val="000000" w:themeColor="text1"/>
          <w:sz w:val="22"/>
          <w:szCs w:val="22"/>
          <w:lang w:val="fr-FR"/>
        </w:rPr>
        <w:t>E</w:t>
      </w:r>
      <w:r w:rsidR="00141240" w:rsidRPr="005D062F">
        <w:rPr>
          <w:rFonts w:ascii="Times New Roman" w:eastAsia="Calibri" w:hAnsi="Times New Roman" w:cs="Times New Roman"/>
          <w:color w:val="000000" w:themeColor="text1"/>
          <w:sz w:val="22"/>
          <w:szCs w:val="22"/>
          <w:lang w:val="fr-FR"/>
        </w:rPr>
        <w:t>A</w:t>
      </w:r>
      <w:r w:rsidR="00E663E6" w:rsidRPr="005D062F">
        <w:rPr>
          <w:rFonts w:ascii="Times New Roman" w:eastAsia="Calibri" w:hAnsi="Times New Roman" w:cs="Times New Roman"/>
          <w:color w:val="000000" w:themeColor="text1"/>
          <w:sz w:val="22"/>
          <w:szCs w:val="22"/>
          <w:lang w:val="fr-FR"/>
        </w:rPr>
        <w:t xml:space="preserve"> afin de les aider à mieux préparer les étudiants à l’apprentissage du 21</w:t>
      </w:r>
      <w:r w:rsidR="00E663E6" w:rsidRPr="005D062F">
        <w:rPr>
          <w:rFonts w:ascii="Times New Roman" w:eastAsia="Calibri" w:hAnsi="Times New Roman" w:cs="Times New Roman"/>
          <w:color w:val="000000" w:themeColor="text1"/>
          <w:sz w:val="22"/>
          <w:szCs w:val="22"/>
          <w:vertAlign w:val="superscript"/>
          <w:lang w:val="fr-FR"/>
        </w:rPr>
        <w:t>e</w:t>
      </w:r>
      <w:r w:rsidR="00E663E6" w:rsidRPr="005D062F">
        <w:rPr>
          <w:rFonts w:ascii="Times New Roman" w:eastAsia="Calibri" w:hAnsi="Times New Roman" w:cs="Times New Roman"/>
          <w:color w:val="000000" w:themeColor="text1"/>
          <w:sz w:val="22"/>
          <w:szCs w:val="22"/>
          <w:lang w:val="fr-FR"/>
        </w:rPr>
        <w:t xml:space="preserve"> siècle</w:t>
      </w:r>
      <w:r w:rsidR="00AE5375" w:rsidRPr="005D062F">
        <w:rPr>
          <w:rFonts w:ascii="Times New Roman" w:eastAsia="Calibri" w:hAnsi="Times New Roman" w:cs="Times New Roman"/>
          <w:color w:val="000000" w:themeColor="text1"/>
          <w:sz w:val="22"/>
          <w:szCs w:val="22"/>
          <w:lang w:val="fr-FR"/>
        </w:rPr>
        <w:t>.</w:t>
      </w:r>
    </w:p>
    <w:p w14:paraId="2B890FEE" w14:textId="77777777" w:rsidR="00141240" w:rsidRPr="005D062F" w:rsidRDefault="00141240" w:rsidP="00723DAD">
      <w:pPr>
        <w:rPr>
          <w:rFonts w:ascii="Times New Roman" w:eastAsia="Calibri" w:hAnsi="Times New Roman" w:cs="Times New Roman"/>
          <w:color w:val="000000" w:themeColor="text1"/>
          <w:sz w:val="22"/>
          <w:szCs w:val="22"/>
          <w:lang w:val="fr-FR"/>
        </w:rPr>
      </w:pPr>
    </w:p>
    <w:p w14:paraId="3DBE2521" w14:textId="28F8BC1B" w:rsidR="00141240" w:rsidRPr="005D062F" w:rsidRDefault="00234B54" w:rsidP="00CB030B">
      <w:pPr>
        <w:numPr>
          <w:ilvl w:val="0"/>
          <w:numId w:val="23"/>
        </w:numPr>
        <w:ind w:left="1440" w:hanging="720"/>
        <w:jc w:val="both"/>
        <w:rPr>
          <w:rFonts w:ascii="Times New Roman" w:eastAsia="Calibri" w:hAnsi="Times New Roman" w:cs="Times New Roman"/>
          <w:color w:val="000000" w:themeColor="text1"/>
          <w:sz w:val="22"/>
          <w:szCs w:val="22"/>
          <w:lang w:val="fr-FR"/>
        </w:rPr>
      </w:pPr>
      <w:r w:rsidRPr="005D062F">
        <w:rPr>
          <w:rFonts w:ascii="Times New Roman" w:eastAsia="Calibri" w:hAnsi="Times New Roman" w:cs="Times New Roman"/>
          <w:color w:val="000000" w:themeColor="text1"/>
          <w:sz w:val="22"/>
          <w:szCs w:val="22"/>
          <w:lang w:val="fr-FR"/>
        </w:rPr>
        <w:t>Ces trois dernières années, i</w:t>
      </w:r>
      <w:r w:rsidR="00E663E6" w:rsidRPr="005D062F">
        <w:rPr>
          <w:rFonts w:ascii="Times New Roman" w:eastAsia="Calibri" w:hAnsi="Times New Roman" w:cs="Times New Roman"/>
          <w:color w:val="000000" w:themeColor="text1"/>
          <w:sz w:val="22"/>
          <w:szCs w:val="22"/>
          <w:lang w:val="fr-FR"/>
        </w:rPr>
        <w:t xml:space="preserve">l a </w:t>
      </w:r>
      <w:r w:rsidRPr="005D062F">
        <w:rPr>
          <w:rFonts w:ascii="Times New Roman" w:eastAsia="Calibri" w:hAnsi="Times New Roman" w:cs="Times New Roman"/>
          <w:color w:val="000000" w:themeColor="text1"/>
          <w:sz w:val="22"/>
          <w:szCs w:val="22"/>
          <w:lang w:val="fr-FR"/>
        </w:rPr>
        <w:t>procédé à l’évaluation d</w:t>
      </w:r>
      <w:r w:rsidR="00E663E6" w:rsidRPr="005D062F">
        <w:rPr>
          <w:rFonts w:ascii="Times New Roman" w:eastAsia="Calibri" w:hAnsi="Times New Roman" w:cs="Times New Roman"/>
          <w:color w:val="000000" w:themeColor="text1"/>
          <w:sz w:val="22"/>
          <w:szCs w:val="22"/>
          <w:lang w:val="fr-FR"/>
        </w:rPr>
        <w:t>es programmes du RIED</w:t>
      </w:r>
      <w:r w:rsidR="001C0516" w:rsidRPr="005D062F">
        <w:rPr>
          <w:rFonts w:ascii="Times New Roman" w:eastAsia="Calibri" w:hAnsi="Times New Roman" w:cs="Times New Roman"/>
          <w:color w:val="000000" w:themeColor="text1"/>
          <w:sz w:val="22"/>
          <w:szCs w:val="22"/>
          <w:lang w:val="fr-FR"/>
        </w:rPr>
        <w:t xml:space="preserve"> </w:t>
      </w:r>
      <w:r w:rsidR="001C0516" w:rsidRPr="005D062F">
        <w:rPr>
          <w:rFonts w:ascii="Times New Roman" w:eastAsia="Calibri" w:hAnsi="Times New Roman" w:cs="Times New Roman"/>
          <w:b/>
          <w:color w:val="000000" w:themeColor="text1"/>
          <w:sz w:val="22"/>
          <w:szCs w:val="22"/>
          <w:lang w:val="fr-FR"/>
        </w:rPr>
        <w:t xml:space="preserve"> ̶</w:t>
      </w:r>
      <w:r w:rsidRPr="005D062F">
        <w:rPr>
          <w:rFonts w:ascii="Times New Roman" w:eastAsia="Calibri" w:hAnsi="Times New Roman" w:cs="Times New Roman"/>
          <w:color w:val="000000" w:themeColor="text1"/>
          <w:sz w:val="22"/>
          <w:szCs w:val="22"/>
          <w:lang w:val="fr-FR"/>
        </w:rPr>
        <w:t>refl</w:t>
      </w:r>
      <w:r w:rsidR="001C5131" w:rsidRPr="005D062F">
        <w:rPr>
          <w:rFonts w:ascii="Times New Roman" w:eastAsia="Calibri" w:hAnsi="Times New Roman" w:cs="Times New Roman"/>
          <w:color w:val="000000" w:themeColor="text1"/>
          <w:sz w:val="22"/>
          <w:szCs w:val="22"/>
          <w:lang w:val="fr-FR"/>
        </w:rPr>
        <w:t>étant</w:t>
      </w:r>
      <w:r w:rsidRPr="005D062F">
        <w:rPr>
          <w:rFonts w:ascii="Times New Roman" w:eastAsia="Calibri" w:hAnsi="Times New Roman" w:cs="Times New Roman"/>
          <w:color w:val="000000" w:themeColor="text1"/>
          <w:sz w:val="22"/>
          <w:szCs w:val="22"/>
          <w:lang w:val="fr-FR"/>
        </w:rPr>
        <w:t xml:space="preserve"> les efforts de six équipe</w:t>
      </w:r>
      <w:r w:rsidR="00537F58" w:rsidRPr="005D062F">
        <w:rPr>
          <w:rFonts w:ascii="Times New Roman" w:eastAsia="Calibri" w:hAnsi="Times New Roman" w:cs="Times New Roman"/>
          <w:color w:val="000000" w:themeColor="text1"/>
          <w:sz w:val="22"/>
          <w:szCs w:val="22"/>
          <w:lang w:val="fr-FR"/>
        </w:rPr>
        <w:t xml:space="preserve">s thématiques constituées de 58 </w:t>
      </w:r>
      <w:r w:rsidRPr="005D062F">
        <w:rPr>
          <w:rFonts w:ascii="Times New Roman" w:eastAsia="Calibri" w:hAnsi="Times New Roman" w:cs="Times New Roman"/>
          <w:color w:val="000000" w:themeColor="text1"/>
          <w:sz w:val="22"/>
          <w:szCs w:val="22"/>
          <w:lang w:val="fr-FR"/>
        </w:rPr>
        <w:t>participants représentant 45 établi</w:t>
      </w:r>
      <w:r w:rsidR="00537F58" w:rsidRPr="005D062F">
        <w:rPr>
          <w:rFonts w:ascii="Times New Roman" w:eastAsia="Calibri" w:hAnsi="Times New Roman" w:cs="Times New Roman"/>
          <w:color w:val="000000" w:themeColor="text1"/>
          <w:sz w:val="22"/>
          <w:szCs w:val="22"/>
          <w:lang w:val="fr-FR"/>
        </w:rPr>
        <w:t xml:space="preserve">ssements d’enseignement dans 20 </w:t>
      </w:r>
      <w:r w:rsidRPr="005D062F">
        <w:rPr>
          <w:rFonts w:ascii="Times New Roman" w:eastAsia="Calibri" w:hAnsi="Times New Roman" w:cs="Times New Roman"/>
          <w:color w:val="000000" w:themeColor="text1"/>
          <w:sz w:val="22"/>
          <w:szCs w:val="22"/>
          <w:lang w:val="fr-FR"/>
        </w:rPr>
        <w:t>États membres</w:t>
      </w:r>
      <w:r w:rsidR="001C0516" w:rsidRPr="005D062F">
        <w:rPr>
          <w:rFonts w:ascii="Times New Roman" w:eastAsia="Calibri" w:hAnsi="Times New Roman" w:cs="Times New Roman"/>
          <w:color w:val="000000" w:themeColor="text1"/>
          <w:sz w:val="22"/>
          <w:szCs w:val="22"/>
          <w:lang w:val="fr-FR"/>
        </w:rPr>
        <w:t xml:space="preserve"> ̶</w:t>
      </w:r>
      <w:r w:rsidR="00537F58" w:rsidRPr="005D062F">
        <w:rPr>
          <w:rFonts w:ascii="Times New Roman" w:eastAsia="Calibri" w:hAnsi="Times New Roman" w:cs="Times New Roman"/>
          <w:color w:val="000000" w:themeColor="text1"/>
          <w:sz w:val="22"/>
          <w:szCs w:val="22"/>
          <w:lang w:val="fr-FR"/>
        </w:rPr>
        <w:t xml:space="preserve"> en vue </w:t>
      </w:r>
      <w:r w:rsidR="00E663E6" w:rsidRPr="005D062F">
        <w:rPr>
          <w:rFonts w:ascii="Times New Roman" w:eastAsia="Calibri" w:hAnsi="Times New Roman" w:cs="Times New Roman"/>
          <w:color w:val="000000" w:themeColor="text1"/>
          <w:sz w:val="22"/>
          <w:szCs w:val="22"/>
          <w:lang w:val="fr-FR"/>
        </w:rPr>
        <w:t xml:space="preserve">d’élaborer des cadres de pratiques optimales dans les politiques, programmes et pratiques en matière de formation des enseignants des </w:t>
      </w:r>
      <w:r w:rsidR="00AE5375" w:rsidRPr="005D062F">
        <w:rPr>
          <w:rFonts w:ascii="Times New Roman" w:eastAsia="Calibri" w:hAnsi="Times New Roman" w:cs="Times New Roman"/>
          <w:color w:val="000000" w:themeColor="text1"/>
          <w:sz w:val="22"/>
          <w:szCs w:val="22"/>
          <w:lang w:val="fr-FR"/>
        </w:rPr>
        <w:t>ST</w:t>
      </w:r>
      <w:r w:rsidR="00E663E6" w:rsidRPr="005D062F">
        <w:rPr>
          <w:rFonts w:ascii="Times New Roman" w:eastAsia="Calibri" w:hAnsi="Times New Roman" w:cs="Times New Roman"/>
          <w:color w:val="000000" w:themeColor="text1"/>
          <w:sz w:val="22"/>
          <w:szCs w:val="22"/>
          <w:lang w:val="fr-FR"/>
        </w:rPr>
        <w:t>I</w:t>
      </w:r>
      <w:r w:rsidR="00AE5375" w:rsidRPr="005D062F">
        <w:rPr>
          <w:rFonts w:ascii="Times New Roman" w:eastAsia="Calibri" w:hAnsi="Times New Roman" w:cs="Times New Roman"/>
          <w:color w:val="000000" w:themeColor="text1"/>
          <w:sz w:val="22"/>
          <w:szCs w:val="22"/>
          <w:lang w:val="fr-FR"/>
        </w:rPr>
        <w:t>M.</w:t>
      </w:r>
    </w:p>
    <w:p w14:paraId="65D83E5E" w14:textId="77777777" w:rsidR="00AE5375" w:rsidRPr="005D062F" w:rsidRDefault="00AE5375" w:rsidP="00723DAD">
      <w:pPr>
        <w:rPr>
          <w:rFonts w:ascii="Times New Roman" w:eastAsia="Calibri" w:hAnsi="Times New Roman" w:cs="Times New Roman"/>
          <w:color w:val="000000" w:themeColor="text1"/>
          <w:sz w:val="22"/>
          <w:szCs w:val="22"/>
          <w:lang w:val="fr-FR"/>
        </w:rPr>
      </w:pPr>
    </w:p>
    <w:p w14:paraId="42A33D94" w14:textId="66719461" w:rsidR="00141240" w:rsidRPr="005D062F" w:rsidRDefault="001C5131" w:rsidP="00CB030B">
      <w:pPr>
        <w:numPr>
          <w:ilvl w:val="0"/>
          <w:numId w:val="23"/>
        </w:numPr>
        <w:ind w:left="1440" w:hanging="720"/>
        <w:jc w:val="both"/>
        <w:rPr>
          <w:rFonts w:ascii="Times New Roman" w:eastAsia="Calibri" w:hAnsi="Times New Roman" w:cs="Times New Roman"/>
          <w:color w:val="000000" w:themeColor="text1"/>
          <w:sz w:val="22"/>
          <w:szCs w:val="22"/>
          <w:lang w:val="fr-FR"/>
        </w:rPr>
      </w:pPr>
      <w:r w:rsidRPr="005D062F">
        <w:rPr>
          <w:rFonts w:ascii="Times New Roman" w:eastAsia="Calibri" w:hAnsi="Times New Roman" w:cs="Times New Roman"/>
          <w:color w:val="000000" w:themeColor="text1"/>
          <w:sz w:val="22"/>
          <w:szCs w:val="22"/>
          <w:lang w:val="fr-FR"/>
        </w:rPr>
        <w:t>Il a c</w:t>
      </w:r>
      <w:r w:rsidR="00141240" w:rsidRPr="005D062F">
        <w:rPr>
          <w:rFonts w:ascii="Times New Roman" w:eastAsia="Calibri" w:hAnsi="Times New Roman" w:cs="Times New Roman"/>
          <w:color w:val="000000" w:themeColor="text1"/>
          <w:sz w:val="22"/>
          <w:szCs w:val="22"/>
          <w:lang w:val="fr-FR"/>
        </w:rPr>
        <w:t>ontinu</w:t>
      </w:r>
      <w:r w:rsidRPr="005D062F">
        <w:rPr>
          <w:rFonts w:ascii="Times New Roman" w:eastAsia="Calibri" w:hAnsi="Times New Roman" w:cs="Times New Roman"/>
          <w:color w:val="000000" w:themeColor="text1"/>
          <w:sz w:val="22"/>
          <w:szCs w:val="22"/>
          <w:lang w:val="fr-FR"/>
        </w:rPr>
        <w:t xml:space="preserve">é d’encourager les discussions sur les pratiques d’enseignement, les politiques et la diffusion des emplois et possibilités en matière de perfectionnement professionnel des enseignants à l’intention des 30 000 membres de </w:t>
      </w:r>
      <w:r w:rsidR="00537F58" w:rsidRPr="005D062F">
        <w:rPr>
          <w:rFonts w:ascii="Times New Roman" w:eastAsia="Calibri" w:hAnsi="Times New Roman" w:cs="Times New Roman"/>
          <w:color w:val="000000" w:themeColor="text1"/>
          <w:sz w:val="22"/>
          <w:szCs w:val="22"/>
          <w:lang w:val="fr-FR"/>
        </w:rPr>
        <w:t>la C</w:t>
      </w:r>
      <w:r w:rsidR="00EB3FC0" w:rsidRPr="005D062F">
        <w:rPr>
          <w:rFonts w:ascii="Times New Roman" w:eastAsia="Calibri" w:hAnsi="Times New Roman" w:cs="Times New Roman"/>
          <w:color w:val="000000" w:themeColor="text1"/>
          <w:sz w:val="22"/>
          <w:szCs w:val="22"/>
          <w:lang w:val="fr-FR"/>
        </w:rPr>
        <w:t xml:space="preserve">ommunauté virtuelle de pratique du </w:t>
      </w:r>
      <w:r w:rsidR="00EB3FC0" w:rsidRPr="005D062F">
        <w:rPr>
          <w:rFonts w:ascii="Times New Roman" w:eastAsia="Times New Roman" w:hAnsi="Times New Roman" w:cs="Times New Roman"/>
          <w:color w:val="000000"/>
          <w:sz w:val="22"/>
          <w:szCs w:val="22"/>
          <w:lang w:val="fr-FR"/>
        </w:rPr>
        <w:t>RIED</w:t>
      </w:r>
      <w:r w:rsidR="00EB3FC0" w:rsidRPr="005D062F">
        <w:rPr>
          <w:rFonts w:ascii="Times New Roman" w:eastAsia="Calibri" w:hAnsi="Times New Roman" w:cs="Times New Roman"/>
          <w:color w:val="000000" w:themeColor="text1"/>
          <w:sz w:val="22"/>
          <w:szCs w:val="22"/>
          <w:lang w:val="fr-FR"/>
        </w:rPr>
        <w:t xml:space="preserve"> dans les 34 États membres de l’OEA</w:t>
      </w:r>
      <w:r w:rsidR="00141240" w:rsidRPr="005D062F">
        <w:rPr>
          <w:rFonts w:ascii="Times New Roman" w:eastAsia="Calibri" w:hAnsi="Times New Roman" w:cs="Times New Roman"/>
          <w:color w:val="000000" w:themeColor="text1"/>
          <w:sz w:val="22"/>
          <w:szCs w:val="22"/>
          <w:lang w:val="fr-FR"/>
        </w:rPr>
        <w:t>.</w:t>
      </w:r>
    </w:p>
    <w:p w14:paraId="0B7E2166" w14:textId="77777777" w:rsidR="00141240" w:rsidRPr="005D062F" w:rsidRDefault="00141240" w:rsidP="00723DAD">
      <w:pPr>
        <w:rPr>
          <w:rFonts w:ascii="Times New Roman" w:hAnsi="Times New Roman" w:cs="Times New Roman"/>
          <w:color w:val="000000" w:themeColor="text1"/>
          <w:sz w:val="22"/>
          <w:szCs w:val="22"/>
          <w:lang w:val="fr-FR"/>
        </w:rPr>
      </w:pPr>
    </w:p>
    <w:p w14:paraId="00D3F63D" w14:textId="7D221821" w:rsidR="00141240" w:rsidRPr="005D062F" w:rsidRDefault="00141240" w:rsidP="00CB030B">
      <w:pPr>
        <w:numPr>
          <w:ilvl w:val="0"/>
          <w:numId w:val="23"/>
        </w:numPr>
        <w:ind w:left="1440" w:hanging="720"/>
        <w:jc w:val="both"/>
        <w:rPr>
          <w:rFonts w:ascii="Times New Roman" w:eastAsia="Calibri" w:hAnsi="Times New Roman" w:cs="Times New Roman"/>
          <w:color w:val="000000" w:themeColor="text1"/>
          <w:sz w:val="22"/>
          <w:szCs w:val="22"/>
          <w:lang w:val="fr-FR"/>
        </w:rPr>
      </w:pPr>
      <w:r w:rsidRPr="005D062F">
        <w:rPr>
          <w:rFonts w:ascii="Times New Roman" w:eastAsia="Calibri" w:hAnsi="Times New Roman" w:cs="Times New Roman"/>
          <w:color w:val="000000" w:themeColor="text1"/>
          <w:sz w:val="22"/>
          <w:szCs w:val="22"/>
          <w:lang w:val="fr-FR"/>
        </w:rPr>
        <w:t>I</w:t>
      </w:r>
      <w:r w:rsidR="00575BAD" w:rsidRPr="005D062F">
        <w:rPr>
          <w:rFonts w:ascii="Times New Roman" w:eastAsia="Calibri" w:hAnsi="Times New Roman" w:cs="Times New Roman"/>
          <w:color w:val="000000" w:themeColor="text1"/>
          <w:sz w:val="22"/>
          <w:szCs w:val="22"/>
          <w:lang w:val="fr-FR"/>
        </w:rPr>
        <w:t xml:space="preserve">l </w:t>
      </w:r>
      <w:r w:rsidR="00575BAD" w:rsidRPr="005D062F">
        <w:rPr>
          <w:rFonts w:ascii="Times New Roman" w:eastAsia="Times New Roman" w:hAnsi="Times New Roman" w:cs="Times New Roman"/>
          <w:color w:val="000000"/>
          <w:sz w:val="22"/>
          <w:szCs w:val="22"/>
          <w:lang w:val="fr-FR"/>
        </w:rPr>
        <w:t>a contribué au renforcement des capacités de plus de 237 000 éducateurs en STIM de 34 États membres (y compris par des formations en face à f</w:t>
      </w:r>
      <w:r w:rsidR="00537F58" w:rsidRPr="005D062F">
        <w:rPr>
          <w:rFonts w:ascii="Times New Roman" w:eastAsia="Times New Roman" w:hAnsi="Times New Roman" w:cs="Times New Roman"/>
          <w:color w:val="000000"/>
          <w:sz w:val="22"/>
          <w:szCs w:val="22"/>
          <w:lang w:val="fr-FR"/>
        </w:rPr>
        <w:t>ace dispensées à 3 288 </w:t>
      </w:r>
      <w:r w:rsidR="00575BAD" w:rsidRPr="005D062F">
        <w:rPr>
          <w:rFonts w:ascii="Times New Roman" w:eastAsia="Times New Roman" w:hAnsi="Times New Roman" w:cs="Times New Roman"/>
          <w:color w:val="000000"/>
          <w:sz w:val="22"/>
          <w:szCs w:val="22"/>
          <w:lang w:val="fr-FR"/>
        </w:rPr>
        <w:t>éducateurs) à assurer un enseignement STIM de qualité à leurs élèves</w:t>
      </w:r>
      <w:r w:rsidRPr="005D062F">
        <w:rPr>
          <w:rFonts w:ascii="Times New Roman" w:eastAsia="Calibri" w:hAnsi="Times New Roman" w:cs="Times New Roman"/>
          <w:color w:val="000000" w:themeColor="text1"/>
          <w:sz w:val="22"/>
          <w:szCs w:val="22"/>
          <w:lang w:val="fr-FR"/>
        </w:rPr>
        <w:t>.</w:t>
      </w:r>
    </w:p>
    <w:p w14:paraId="5E9A2DC4" w14:textId="77777777" w:rsidR="00141240" w:rsidRPr="005D062F" w:rsidRDefault="00141240" w:rsidP="00723DAD">
      <w:pPr>
        <w:rPr>
          <w:rFonts w:ascii="Times New Roman" w:eastAsia="Calibri" w:hAnsi="Times New Roman" w:cs="Times New Roman"/>
          <w:color w:val="000000" w:themeColor="text1"/>
          <w:sz w:val="22"/>
          <w:szCs w:val="22"/>
          <w:lang w:val="fr-FR"/>
        </w:rPr>
      </w:pPr>
    </w:p>
    <w:p w14:paraId="5BDAAD77" w14:textId="6E0A0ED3" w:rsidR="00141240" w:rsidRPr="005D062F" w:rsidRDefault="00575BAD" w:rsidP="00CB030B">
      <w:pPr>
        <w:numPr>
          <w:ilvl w:val="0"/>
          <w:numId w:val="23"/>
        </w:numPr>
        <w:ind w:left="1530" w:hanging="810"/>
        <w:jc w:val="both"/>
        <w:rPr>
          <w:rFonts w:ascii="Times New Roman" w:eastAsia="Calibri" w:hAnsi="Times New Roman" w:cs="Times New Roman"/>
          <w:color w:val="000000" w:themeColor="text1"/>
          <w:sz w:val="22"/>
          <w:szCs w:val="22"/>
          <w:lang w:val="fr-FR"/>
        </w:rPr>
      </w:pPr>
      <w:r w:rsidRPr="005D062F">
        <w:rPr>
          <w:rFonts w:ascii="Times New Roman" w:eastAsia="Calibri" w:hAnsi="Times New Roman" w:cs="Times New Roman"/>
          <w:color w:val="000000" w:themeColor="text1"/>
          <w:sz w:val="22"/>
          <w:szCs w:val="22"/>
          <w:lang w:val="fr-FR"/>
        </w:rPr>
        <w:t>En novembre, il a organisé le séminaire annuel virtuel sur le thème « </w:t>
      </w:r>
      <w:r w:rsidRPr="005D062F">
        <w:rPr>
          <w:rFonts w:ascii="Times New Roman" w:eastAsia="Calibri" w:hAnsi="Times New Roman" w:cs="Times New Roman"/>
          <w:b/>
          <w:color w:val="000000" w:themeColor="text1"/>
          <w:sz w:val="22"/>
          <w:szCs w:val="22"/>
          <w:lang w:val="fr-FR"/>
        </w:rPr>
        <w:t>Des enseignants de qualité, un avenir de qualité</w:t>
      </w:r>
      <w:r w:rsidRPr="005D062F">
        <w:rPr>
          <w:rFonts w:ascii="Times New Roman" w:eastAsia="Calibri" w:hAnsi="Times New Roman" w:cs="Times New Roman"/>
          <w:color w:val="000000" w:themeColor="text1"/>
          <w:sz w:val="22"/>
          <w:szCs w:val="22"/>
          <w:lang w:val="fr-FR"/>
        </w:rPr>
        <w:t xml:space="preserve"> ». Cette activité a principalement porté sur l’élaboration et la mise en œuvre de politiques, programmes et pratiques efficaces dans le domaine de la formation des enseignants dans </w:t>
      </w:r>
      <w:r w:rsidR="00313077" w:rsidRPr="005D062F">
        <w:rPr>
          <w:rFonts w:ascii="Times New Roman" w:eastAsia="Calibri" w:hAnsi="Times New Roman" w:cs="Times New Roman"/>
          <w:color w:val="000000" w:themeColor="text1"/>
          <w:sz w:val="22"/>
          <w:szCs w:val="22"/>
          <w:lang w:val="fr-FR"/>
        </w:rPr>
        <w:t>les Amériques en vue de la Onzième Réunion interaméricaine des ministres de l’éducation</w:t>
      </w:r>
      <w:r w:rsidR="00141240" w:rsidRPr="005D062F">
        <w:rPr>
          <w:rFonts w:ascii="Times New Roman" w:eastAsia="Calibri" w:hAnsi="Times New Roman" w:cs="Times New Roman"/>
          <w:color w:val="000000" w:themeColor="text1"/>
          <w:sz w:val="22"/>
          <w:szCs w:val="22"/>
          <w:lang w:val="fr-FR"/>
        </w:rPr>
        <w:t xml:space="preserve">. </w:t>
      </w:r>
      <w:r w:rsidR="00313077" w:rsidRPr="005D062F">
        <w:rPr>
          <w:rFonts w:ascii="Times New Roman" w:eastAsia="Calibri" w:hAnsi="Times New Roman" w:cs="Times New Roman"/>
          <w:color w:val="000000" w:themeColor="text1"/>
          <w:sz w:val="22"/>
          <w:szCs w:val="22"/>
          <w:lang w:val="fr-FR"/>
        </w:rPr>
        <w:t>Ce séminaire virtuel de deux jours a permis aux ministères et aux autres institutions partenaires des États membres de l’OEA de présenter leurs initiatives de formation des enseignants à plus de 10 000 éducateurs et dirigeants de la région</w:t>
      </w:r>
      <w:r w:rsidR="00141240" w:rsidRPr="005D062F">
        <w:rPr>
          <w:rFonts w:ascii="Times New Roman" w:eastAsia="Calibri" w:hAnsi="Times New Roman" w:cs="Times New Roman"/>
          <w:color w:val="000000" w:themeColor="text1"/>
          <w:sz w:val="22"/>
          <w:szCs w:val="22"/>
          <w:lang w:val="fr-FR"/>
        </w:rPr>
        <w:t>.</w:t>
      </w:r>
    </w:p>
    <w:p w14:paraId="6F3D9DCC" w14:textId="77777777" w:rsidR="00141240" w:rsidRPr="005D062F" w:rsidRDefault="00141240" w:rsidP="00723DAD">
      <w:pPr>
        <w:rPr>
          <w:rFonts w:ascii="Times New Roman" w:hAnsi="Times New Roman" w:cs="Times New Roman"/>
          <w:color w:val="000000" w:themeColor="text1"/>
          <w:sz w:val="22"/>
          <w:szCs w:val="22"/>
          <w:lang w:val="fr-FR"/>
        </w:rPr>
      </w:pPr>
    </w:p>
    <w:p w14:paraId="29DB86B5" w14:textId="57AAA496" w:rsidR="00141240" w:rsidRPr="005D062F" w:rsidRDefault="00067A8B" w:rsidP="00CB030B">
      <w:pPr>
        <w:numPr>
          <w:ilvl w:val="0"/>
          <w:numId w:val="23"/>
        </w:numPr>
        <w:ind w:left="1440" w:hanging="720"/>
        <w:jc w:val="both"/>
        <w:rPr>
          <w:rFonts w:ascii="Times New Roman" w:eastAsia="Calibri" w:hAnsi="Times New Roman" w:cs="Times New Roman"/>
          <w:color w:val="000000" w:themeColor="text1"/>
          <w:sz w:val="22"/>
          <w:szCs w:val="22"/>
          <w:lang w:val="fr-FR"/>
        </w:rPr>
      </w:pPr>
      <w:r w:rsidRPr="005D062F">
        <w:rPr>
          <w:rFonts w:ascii="Times New Roman" w:eastAsia="Times New Roman" w:hAnsi="Times New Roman" w:cs="Times New Roman"/>
          <w:color w:val="000000"/>
          <w:sz w:val="22"/>
          <w:szCs w:val="22"/>
          <w:lang w:val="fr-FR"/>
        </w:rPr>
        <w:t>Le RIED et le Portail éducatif des Amériques</w:t>
      </w:r>
      <w:r w:rsidRPr="005D062F">
        <w:rPr>
          <w:rFonts w:ascii="Times New Roman" w:eastAsia="Calibri" w:hAnsi="Times New Roman" w:cs="Times New Roman"/>
          <w:color w:val="000000" w:themeColor="text1"/>
          <w:sz w:val="22"/>
          <w:szCs w:val="22"/>
          <w:lang w:val="fr-FR"/>
        </w:rPr>
        <w:t xml:space="preserve"> ont réalisé, avec le soutien de la </w:t>
      </w:r>
      <w:r w:rsidR="00141240" w:rsidRPr="005D062F">
        <w:rPr>
          <w:rFonts w:ascii="Times New Roman" w:eastAsia="Calibri" w:hAnsi="Times New Roman" w:cs="Times New Roman"/>
          <w:color w:val="000000" w:themeColor="text1"/>
          <w:sz w:val="22"/>
          <w:szCs w:val="22"/>
          <w:lang w:val="fr-FR"/>
        </w:rPr>
        <w:t>F</w:t>
      </w:r>
      <w:r w:rsidRPr="005D062F">
        <w:rPr>
          <w:rFonts w:ascii="Times New Roman" w:eastAsia="Calibri" w:hAnsi="Times New Roman" w:cs="Times New Roman"/>
          <w:color w:val="000000" w:themeColor="text1"/>
          <w:sz w:val="22"/>
          <w:szCs w:val="22"/>
          <w:lang w:val="fr-FR"/>
        </w:rPr>
        <w:t>o</w:t>
      </w:r>
      <w:r w:rsidR="00141240" w:rsidRPr="005D062F">
        <w:rPr>
          <w:rFonts w:ascii="Times New Roman" w:eastAsia="Calibri" w:hAnsi="Times New Roman" w:cs="Times New Roman"/>
          <w:color w:val="000000" w:themeColor="text1"/>
          <w:sz w:val="22"/>
          <w:szCs w:val="22"/>
          <w:lang w:val="fr-FR"/>
        </w:rPr>
        <w:t>nda</w:t>
      </w:r>
      <w:r w:rsidRPr="005D062F">
        <w:rPr>
          <w:rFonts w:ascii="Times New Roman" w:eastAsia="Calibri" w:hAnsi="Times New Roman" w:cs="Times New Roman"/>
          <w:color w:val="000000" w:themeColor="text1"/>
          <w:sz w:val="22"/>
          <w:szCs w:val="22"/>
          <w:lang w:val="fr-FR"/>
        </w:rPr>
        <w:t>t</w:t>
      </w:r>
      <w:r w:rsidR="00141240" w:rsidRPr="005D062F">
        <w:rPr>
          <w:rFonts w:ascii="Times New Roman" w:eastAsia="Calibri" w:hAnsi="Times New Roman" w:cs="Times New Roman"/>
          <w:color w:val="000000" w:themeColor="text1"/>
          <w:sz w:val="22"/>
          <w:szCs w:val="22"/>
          <w:lang w:val="fr-FR"/>
        </w:rPr>
        <w:t>i</w:t>
      </w:r>
      <w:r w:rsidRPr="005D062F">
        <w:rPr>
          <w:rFonts w:ascii="Times New Roman" w:eastAsia="Calibri" w:hAnsi="Times New Roman" w:cs="Times New Roman"/>
          <w:color w:val="000000" w:themeColor="text1"/>
          <w:sz w:val="22"/>
          <w:szCs w:val="22"/>
          <w:lang w:val="fr-FR"/>
        </w:rPr>
        <w:t>o</w:t>
      </w:r>
      <w:r w:rsidR="00141240" w:rsidRPr="005D062F">
        <w:rPr>
          <w:rFonts w:ascii="Times New Roman" w:eastAsia="Calibri" w:hAnsi="Times New Roman" w:cs="Times New Roman"/>
          <w:color w:val="000000" w:themeColor="text1"/>
          <w:sz w:val="22"/>
          <w:szCs w:val="22"/>
          <w:lang w:val="fr-FR"/>
        </w:rPr>
        <w:t xml:space="preserve">n </w:t>
      </w:r>
      <w:r w:rsidRPr="005D062F">
        <w:rPr>
          <w:rFonts w:ascii="Times New Roman" w:eastAsia="Calibri" w:hAnsi="Times New Roman" w:cs="Times New Roman"/>
          <w:i/>
          <w:iCs/>
          <w:color w:val="000000" w:themeColor="text1"/>
          <w:sz w:val="22"/>
          <w:szCs w:val="22"/>
          <w:lang w:val="fr-FR"/>
        </w:rPr>
        <w:t>ProF</w:t>
      </w:r>
      <w:r w:rsidR="00141240" w:rsidRPr="005D062F">
        <w:rPr>
          <w:rFonts w:ascii="Times New Roman" w:eastAsia="Calibri" w:hAnsi="Times New Roman" w:cs="Times New Roman"/>
          <w:i/>
          <w:iCs/>
          <w:color w:val="000000" w:themeColor="text1"/>
          <w:sz w:val="22"/>
          <w:szCs w:val="22"/>
          <w:lang w:val="fr-FR"/>
        </w:rPr>
        <w:t>uturo</w:t>
      </w:r>
      <w:r w:rsidR="00141240" w:rsidRPr="005D062F">
        <w:rPr>
          <w:rFonts w:ascii="Times New Roman" w:eastAsia="Calibri" w:hAnsi="Times New Roman" w:cs="Times New Roman"/>
          <w:color w:val="000000" w:themeColor="text1"/>
          <w:sz w:val="22"/>
          <w:szCs w:val="22"/>
          <w:lang w:val="fr-FR"/>
        </w:rPr>
        <w:t xml:space="preserve">, </w:t>
      </w:r>
      <w:r w:rsidRPr="005D062F">
        <w:rPr>
          <w:rFonts w:ascii="Times New Roman" w:eastAsia="Calibri" w:hAnsi="Times New Roman" w:cs="Times New Roman"/>
          <w:color w:val="000000" w:themeColor="text1"/>
          <w:sz w:val="22"/>
          <w:szCs w:val="22"/>
          <w:lang w:val="fr-FR"/>
        </w:rPr>
        <w:t>les activité</w:t>
      </w:r>
      <w:r w:rsidR="00141240" w:rsidRPr="005D062F">
        <w:rPr>
          <w:rFonts w:ascii="Times New Roman" w:eastAsia="Calibri" w:hAnsi="Times New Roman" w:cs="Times New Roman"/>
          <w:color w:val="000000" w:themeColor="text1"/>
          <w:sz w:val="22"/>
          <w:szCs w:val="22"/>
          <w:lang w:val="fr-FR"/>
        </w:rPr>
        <w:t>s</w:t>
      </w:r>
      <w:r w:rsidRPr="005D062F">
        <w:rPr>
          <w:rFonts w:ascii="Times New Roman" w:eastAsia="Calibri" w:hAnsi="Times New Roman" w:cs="Times New Roman"/>
          <w:color w:val="000000" w:themeColor="text1"/>
          <w:sz w:val="22"/>
          <w:szCs w:val="22"/>
          <w:lang w:val="fr-FR"/>
        </w:rPr>
        <w:t xml:space="preserve"> suivantes </w:t>
      </w:r>
      <w:r w:rsidR="00141240" w:rsidRPr="005D062F">
        <w:rPr>
          <w:rFonts w:ascii="Times New Roman" w:eastAsia="Calibri" w:hAnsi="Times New Roman" w:cs="Times New Roman"/>
          <w:color w:val="000000" w:themeColor="text1"/>
          <w:sz w:val="22"/>
          <w:szCs w:val="22"/>
          <w:lang w:val="fr-FR"/>
        </w:rPr>
        <w:t>:</w:t>
      </w:r>
    </w:p>
    <w:p w14:paraId="65CBA14C" w14:textId="77777777" w:rsidR="00141240" w:rsidRPr="005D062F" w:rsidRDefault="00141240" w:rsidP="00723DAD">
      <w:pPr>
        <w:rPr>
          <w:rFonts w:ascii="Times New Roman" w:hAnsi="Times New Roman" w:cs="Times New Roman"/>
          <w:color w:val="000000" w:themeColor="text1"/>
          <w:sz w:val="22"/>
          <w:szCs w:val="22"/>
          <w:lang w:val="fr-FR"/>
        </w:rPr>
      </w:pPr>
    </w:p>
    <w:p w14:paraId="4FF7CEC1" w14:textId="52851753" w:rsidR="00141240" w:rsidRPr="005D062F" w:rsidRDefault="00461FC3" w:rsidP="00CB030B">
      <w:pPr>
        <w:numPr>
          <w:ilvl w:val="1"/>
          <w:numId w:val="23"/>
        </w:numPr>
        <w:ind w:left="1980" w:hanging="540"/>
        <w:jc w:val="both"/>
        <w:rPr>
          <w:rFonts w:ascii="Times New Roman" w:eastAsia="Calibri" w:hAnsi="Times New Roman" w:cs="Times New Roman"/>
          <w:color w:val="000000" w:themeColor="text1"/>
          <w:sz w:val="22"/>
          <w:szCs w:val="22"/>
          <w:lang w:val="fr-FR"/>
        </w:rPr>
      </w:pPr>
      <w:r w:rsidRPr="005D062F">
        <w:rPr>
          <w:rFonts w:ascii="Times New Roman" w:eastAsia="Calibri" w:hAnsi="Times New Roman" w:cs="Times New Roman"/>
          <w:color w:val="000000" w:themeColor="text1"/>
          <w:sz w:val="22"/>
          <w:szCs w:val="22"/>
          <w:lang w:val="fr-FR"/>
        </w:rPr>
        <w:t>Finalisation de la</w:t>
      </w:r>
      <w:r w:rsidR="009A1EDB" w:rsidRPr="005D062F">
        <w:rPr>
          <w:rFonts w:ascii="Times New Roman" w:eastAsia="Calibri" w:hAnsi="Times New Roman" w:cs="Times New Roman"/>
          <w:color w:val="000000" w:themeColor="text1"/>
          <w:sz w:val="22"/>
          <w:szCs w:val="22"/>
          <w:lang w:val="fr-FR"/>
        </w:rPr>
        <w:t xml:space="preserve"> </w:t>
      </w:r>
      <w:r w:rsidRPr="005D062F">
        <w:rPr>
          <w:rFonts w:ascii="Times New Roman" w:eastAsia="Calibri" w:hAnsi="Times New Roman" w:cs="Times New Roman"/>
          <w:b/>
          <w:bCs/>
          <w:color w:val="000000" w:themeColor="text1"/>
          <w:sz w:val="22"/>
          <w:szCs w:val="22"/>
          <w:lang w:val="fr-FR"/>
        </w:rPr>
        <w:t>cartographie des bonnes pratiques en matière d’éducation numérique dans les Amé</w:t>
      </w:r>
      <w:r w:rsidR="00141240" w:rsidRPr="005D062F">
        <w:rPr>
          <w:rFonts w:ascii="Times New Roman" w:eastAsia="Calibri" w:hAnsi="Times New Roman" w:cs="Times New Roman"/>
          <w:b/>
          <w:bCs/>
          <w:color w:val="000000" w:themeColor="text1"/>
          <w:sz w:val="22"/>
          <w:szCs w:val="22"/>
          <w:lang w:val="fr-FR"/>
        </w:rPr>
        <w:t>ri</w:t>
      </w:r>
      <w:r w:rsidRPr="005D062F">
        <w:rPr>
          <w:rFonts w:ascii="Times New Roman" w:eastAsia="Calibri" w:hAnsi="Times New Roman" w:cs="Times New Roman"/>
          <w:b/>
          <w:bCs/>
          <w:color w:val="000000" w:themeColor="text1"/>
          <w:sz w:val="22"/>
          <w:szCs w:val="22"/>
          <w:lang w:val="fr-FR"/>
        </w:rPr>
        <w:t>ques</w:t>
      </w:r>
      <w:r w:rsidR="00141240" w:rsidRPr="005D062F">
        <w:rPr>
          <w:rFonts w:ascii="Times New Roman" w:eastAsia="Calibri" w:hAnsi="Times New Roman" w:cs="Times New Roman"/>
          <w:color w:val="000000" w:themeColor="text1"/>
          <w:sz w:val="22"/>
          <w:szCs w:val="22"/>
          <w:lang w:val="fr-FR"/>
        </w:rPr>
        <w:t xml:space="preserve">, </w:t>
      </w:r>
      <w:r w:rsidRPr="005D062F">
        <w:rPr>
          <w:rFonts w:ascii="Times New Roman" w:eastAsia="Calibri" w:hAnsi="Times New Roman" w:cs="Times New Roman"/>
          <w:color w:val="000000" w:themeColor="text1"/>
          <w:sz w:val="22"/>
          <w:szCs w:val="22"/>
          <w:lang w:val="fr-FR"/>
        </w:rPr>
        <w:t xml:space="preserve">qui a reçu plus de </w:t>
      </w:r>
      <w:r w:rsidR="00141240" w:rsidRPr="005D062F">
        <w:rPr>
          <w:rFonts w:ascii="Times New Roman" w:eastAsia="Calibri" w:hAnsi="Times New Roman" w:cs="Times New Roman"/>
          <w:color w:val="000000" w:themeColor="text1"/>
          <w:sz w:val="22"/>
          <w:szCs w:val="22"/>
          <w:lang w:val="fr-FR"/>
        </w:rPr>
        <w:t>170</w:t>
      </w:r>
      <w:r w:rsidRPr="005D062F">
        <w:rPr>
          <w:rFonts w:ascii="Times New Roman" w:eastAsia="Calibri" w:hAnsi="Times New Roman" w:cs="Times New Roman"/>
          <w:color w:val="000000" w:themeColor="text1"/>
          <w:sz w:val="22"/>
          <w:szCs w:val="22"/>
          <w:lang w:val="fr-FR"/>
        </w:rPr>
        <w:t xml:space="preserve"> demandes émanant d’organisations de la société civile </w:t>
      </w:r>
      <w:r w:rsidR="00CF24B0" w:rsidRPr="005D062F">
        <w:rPr>
          <w:rFonts w:ascii="Times New Roman" w:eastAsia="Calibri" w:hAnsi="Times New Roman" w:cs="Times New Roman"/>
          <w:color w:val="000000" w:themeColor="text1"/>
          <w:sz w:val="22"/>
          <w:szCs w:val="22"/>
          <w:lang w:val="fr-FR"/>
        </w:rPr>
        <w:t>(</w:t>
      </w:r>
      <w:r w:rsidR="00141240" w:rsidRPr="005D062F">
        <w:rPr>
          <w:rFonts w:ascii="Times New Roman" w:eastAsia="Calibri" w:hAnsi="Times New Roman" w:cs="Times New Roman"/>
          <w:color w:val="000000" w:themeColor="text1"/>
          <w:sz w:val="22"/>
          <w:szCs w:val="22"/>
          <w:lang w:val="fr-FR"/>
        </w:rPr>
        <w:t>O</w:t>
      </w:r>
      <w:r w:rsidRPr="005D062F">
        <w:rPr>
          <w:rFonts w:ascii="Times New Roman" w:eastAsia="Calibri" w:hAnsi="Times New Roman" w:cs="Times New Roman"/>
          <w:color w:val="000000" w:themeColor="text1"/>
          <w:sz w:val="22"/>
          <w:szCs w:val="22"/>
          <w:lang w:val="fr-FR"/>
        </w:rPr>
        <w:t>SC</w:t>
      </w:r>
      <w:r w:rsidR="00CF24B0" w:rsidRPr="005D062F">
        <w:rPr>
          <w:rFonts w:ascii="Times New Roman" w:eastAsia="Calibri" w:hAnsi="Times New Roman" w:cs="Times New Roman"/>
          <w:color w:val="000000" w:themeColor="text1"/>
          <w:sz w:val="22"/>
          <w:szCs w:val="22"/>
          <w:lang w:val="fr-FR"/>
        </w:rPr>
        <w:t>)</w:t>
      </w:r>
      <w:r w:rsidRPr="005D062F">
        <w:rPr>
          <w:rFonts w:ascii="Times New Roman" w:eastAsia="Calibri" w:hAnsi="Times New Roman" w:cs="Times New Roman"/>
          <w:color w:val="000000" w:themeColor="text1"/>
          <w:sz w:val="22"/>
          <w:szCs w:val="22"/>
          <w:lang w:val="fr-FR"/>
        </w:rPr>
        <w:t xml:space="preserve"> et d’établissements scolaires de </w:t>
      </w:r>
      <w:r w:rsidR="00141240" w:rsidRPr="005D062F">
        <w:rPr>
          <w:rFonts w:ascii="Times New Roman" w:eastAsia="Calibri" w:hAnsi="Times New Roman" w:cs="Times New Roman"/>
          <w:color w:val="000000" w:themeColor="text1"/>
          <w:sz w:val="22"/>
          <w:szCs w:val="22"/>
          <w:lang w:val="fr-FR"/>
        </w:rPr>
        <w:t>19</w:t>
      </w:r>
      <w:r w:rsidRPr="005D062F">
        <w:rPr>
          <w:rFonts w:ascii="Times New Roman" w:eastAsia="Calibri" w:hAnsi="Times New Roman" w:cs="Times New Roman"/>
          <w:color w:val="000000" w:themeColor="text1"/>
          <w:sz w:val="22"/>
          <w:szCs w:val="22"/>
          <w:lang w:val="fr-FR"/>
        </w:rPr>
        <w:t> pays</w:t>
      </w:r>
      <w:r w:rsidR="00141240" w:rsidRPr="005D062F">
        <w:rPr>
          <w:rFonts w:ascii="Times New Roman" w:eastAsia="Calibri" w:hAnsi="Times New Roman" w:cs="Times New Roman"/>
          <w:color w:val="000000" w:themeColor="text1"/>
          <w:sz w:val="22"/>
          <w:szCs w:val="22"/>
          <w:lang w:val="fr-FR"/>
        </w:rPr>
        <w:t xml:space="preserve">. </w:t>
      </w:r>
      <w:r w:rsidRPr="005D062F">
        <w:rPr>
          <w:rFonts w:ascii="Times New Roman" w:eastAsia="Calibri" w:hAnsi="Times New Roman" w:cs="Times New Roman"/>
          <w:color w:val="000000" w:themeColor="text1"/>
          <w:sz w:val="22"/>
          <w:szCs w:val="22"/>
          <w:lang w:val="fr-FR"/>
        </w:rPr>
        <w:t>Le RIED a fait partie du comité d’évaluation de cette activité</w:t>
      </w:r>
      <w:r w:rsidR="00141240" w:rsidRPr="005D062F">
        <w:rPr>
          <w:rFonts w:ascii="Times New Roman" w:eastAsia="Calibri" w:hAnsi="Times New Roman" w:cs="Times New Roman"/>
          <w:color w:val="000000" w:themeColor="text1"/>
          <w:sz w:val="22"/>
          <w:szCs w:val="22"/>
          <w:lang w:val="fr-FR"/>
        </w:rPr>
        <w:t>.</w:t>
      </w:r>
    </w:p>
    <w:p w14:paraId="70C39C66" w14:textId="58F2311E" w:rsidR="00141240" w:rsidRPr="005D062F" w:rsidRDefault="00060DD1" w:rsidP="00CB030B">
      <w:pPr>
        <w:numPr>
          <w:ilvl w:val="1"/>
          <w:numId w:val="23"/>
        </w:numPr>
        <w:ind w:left="1980" w:hanging="540"/>
        <w:jc w:val="both"/>
        <w:rPr>
          <w:rFonts w:ascii="Times New Roman" w:eastAsia="Calibri" w:hAnsi="Times New Roman" w:cs="Times New Roman"/>
          <w:color w:val="000000" w:themeColor="text1"/>
          <w:sz w:val="22"/>
          <w:szCs w:val="22"/>
          <w:lang w:val="fr-FR"/>
        </w:rPr>
      </w:pPr>
      <w:r w:rsidRPr="005D062F">
        <w:rPr>
          <w:rFonts w:ascii="Times New Roman" w:eastAsia="Calibri" w:hAnsi="Times New Roman" w:cs="Times New Roman"/>
          <w:color w:val="000000" w:themeColor="text1"/>
          <w:sz w:val="22"/>
          <w:szCs w:val="22"/>
          <w:lang w:val="fr-FR"/>
        </w:rPr>
        <w:t xml:space="preserve">Formation de plus de </w:t>
      </w:r>
      <w:r w:rsidR="00141240" w:rsidRPr="005D062F">
        <w:rPr>
          <w:rFonts w:ascii="Times New Roman" w:eastAsia="Calibri" w:hAnsi="Times New Roman" w:cs="Times New Roman"/>
          <w:color w:val="000000" w:themeColor="text1"/>
          <w:sz w:val="22"/>
          <w:szCs w:val="22"/>
          <w:lang w:val="fr-FR"/>
        </w:rPr>
        <w:t>950</w:t>
      </w:r>
      <w:r w:rsidRPr="005D062F">
        <w:rPr>
          <w:rFonts w:ascii="Times New Roman" w:eastAsia="Calibri" w:hAnsi="Times New Roman" w:cs="Times New Roman"/>
          <w:color w:val="000000" w:themeColor="text1"/>
          <w:sz w:val="22"/>
          <w:szCs w:val="22"/>
          <w:lang w:val="fr-FR"/>
        </w:rPr>
        <w:t> enseignants des</w:t>
      </w:r>
      <w:r w:rsidR="00141240" w:rsidRPr="005D062F">
        <w:rPr>
          <w:rFonts w:ascii="Times New Roman" w:eastAsia="Calibri" w:hAnsi="Times New Roman" w:cs="Times New Roman"/>
          <w:color w:val="000000" w:themeColor="text1"/>
          <w:sz w:val="22"/>
          <w:szCs w:val="22"/>
          <w:lang w:val="fr-FR"/>
        </w:rPr>
        <w:t xml:space="preserve"> Bahamas, </w:t>
      </w:r>
      <w:r w:rsidRPr="005D062F">
        <w:rPr>
          <w:rFonts w:ascii="Times New Roman" w:eastAsia="Calibri" w:hAnsi="Times New Roman" w:cs="Times New Roman"/>
          <w:color w:val="000000" w:themeColor="text1"/>
          <w:sz w:val="22"/>
          <w:szCs w:val="22"/>
          <w:lang w:val="fr-FR"/>
        </w:rPr>
        <w:t xml:space="preserve">de la </w:t>
      </w:r>
      <w:r w:rsidR="00141240" w:rsidRPr="005D062F">
        <w:rPr>
          <w:rFonts w:ascii="Times New Roman" w:eastAsia="Calibri" w:hAnsi="Times New Roman" w:cs="Times New Roman"/>
          <w:color w:val="000000" w:themeColor="text1"/>
          <w:sz w:val="22"/>
          <w:szCs w:val="22"/>
          <w:lang w:val="fr-FR"/>
        </w:rPr>
        <w:t>Barbad</w:t>
      </w:r>
      <w:r w:rsidRPr="005D062F">
        <w:rPr>
          <w:rFonts w:ascii="Times New Roman" w:eastAsia="Calibri" w:hAnsi="Times New Roman" w:cs="Times New Roman"/>
          <w:color w:val="000000" w:themeColor="text1"/>
          <w:sz w:val="22"/>
          <w:szCs w:val="22"/>
          <w:lang w:val="fr-FR"/>
        </w:rPr>
        <w:t>e</w:t>
      </w:r>
      <w:r w:rsidR="00141240" w:rsidRPr="005D062F">
        <w:rPr>
          <w:rFonts w:ascii="Times New Roman" w:eastAsia="Calibri" w:hAnsi="Times New Roman" w:cs="Times New Roman"/>
          <w:color w:val="000000" w:themeColor="text1"/>
          <w:sz w:val="22"/>
          <w:szCs w:val="22"/>
          <w:lang w:val="fr-FR"/>
        </w:rPr>
        <w:t xml:space="preserve">, </w:t>
      </w:r>
      <w:r w:rsidRPr="005D062F">
        <w:rPr>
          <w:rFonts w:ascii="Times New Roman" w:eastAsia="Calibri" w:hAnsi="Times New Roman" w:cs="Times New Roman"/>
          <w:color w:val="000000" w:themeColor="text1"/>
          <w:sz w:val="22"/>
          <w:szCs w:val="22"/>
          <w:lang w:val="fr-FR"/>
        </w:rPr>
        <w:t xml:space="preserve">du </w:t>
      </w:r>
      <w:r w:rsidR="00141240" w:rsidRPr="005D062F">
        <w:rPr>
          <w:rFonts w:ascii="Times New Roman" w:eastAsia="Calibri" w:hAnsi="Times New Roman" w:cs="Times New Roman"/>
          <w:color w:val="000000" w:themeColor="text1"/>
          <w:sz w:val="22"/>
          <w:szCs w:val="22"/>
          <w:lang w:val="fr-FR"/>
        </w:rPr>
        <w:t xml:space="preserve">Belize, </w:t>
      </w:r>
      <w:r w:rsidRPr="005D062F">
        <w:rPr>
          <w:rFonts w:ascii="Times New Roman" w:eastAsia="Calibri" w:hAnsi="Times New Roman" w:cs="Times New Roman"/>
          <w:color w:val="000000" w:themeColor="text1"/>
          <w:sz w:val="22"/>
          <w:szCs w:val="22"/>
          <w:lang w:val="fr-FR"/>
        </w:rPr>
        <w:t xml:space="preserve">du </w:t>
      </w:r>
      <w:r w:rsidR="00141240" w:rsidRPr="005D062F">
        <w:rPr>
          <w:rFonts w:ascii="Times New Roman" w:eastAsia="Calibri" w:hAnsi="Times New Roman" w:cs="Times New Roman"/>
          <w:color w:val="000000" w:themeColor="text1"/>
          <w:sz w:val="22"/>
          <w:szCs w:val="22"/>
          <w:lang w:val="fr-FR"/>
        </w:rPr>
        <w:t>Guyana</w:t>
      </w:r>
      <w:r w:rsidRPr="005D062F">
        <w:rPr>
          <w:rFonts w:ascii="Times New Roman" w:eastAsia="Calibri" w:hAnsi="Times New Roman" w:cs="Times New Roman"/>
          <w:color w:val="000000" w:themeColor="text1"/>
          <w:sz w:val="22"/>
          <w:szCs w:val="22"/>
          <w:lang w:val="fr-FR"/>
        </w:rPr>
        <w:t xml:space="preserve"> et de</w:t>
      </w:r>
      <w:r w:rsidR="00141240" w:rsidRPr="005D062F">
        <w:rPr>
          <w:rFonts w:ascii="Times New Roman" w:eastAsia="Calibri" w:hAnsi="Times New Roman" w:cs="Times New Roman"/>
          <w:color w:val="000000" w:themeColor="text1"/>
          <w:sz w:val="22"/>
          <w:szCs w:val="22"/>
          <w:lang w:val="fr-FR"/>
        </w:rPr>
        <w:t xml:space="preserve"> Saint</w:t>
      </w:r>
      <w:r w:rsidRPr="005D062F">
        <w:rPr>
          <w:rFonts w:ascii="Times New Roman" w:eastAsia="Calibri" w:hAnsi="Times New Roman" w:cs="Times New Roman"/>
          <w:color w:val="000000" w:themeColor="text1"/>
          <w:sz w:val="22"/>
          <w:szCs w:val="22"/>
          <w:lang w:val="fr-FR"/>
        </w:rPr>
        <w:t>e-</w:t>
      </w:r>
      <w:r w:rsidR="00141240" w:rsidRPr="005D062F">
        <w:rPr>
          <w:rFonts w:ascii="Times New Roman" w:eastAsia="Calibri" w:hAnsi="Times New Roman" w:cs="Times New Roman"/>
          <w:color w:val="000000" w:themeColor="text1"/>
          <w:sz w:val="22"/>
          <w:szCs w:val="22"/>
          <w:lang w:val="fr-FR"/>
        </w:rPr>
        <w:t>Luci</w:t>
      </w:r>
      <w:r w:rsidRPr="005D062F">
        <w:rPr>
          <w:rFonts w:ascii="Times New Roman" w:eastAsia="Calibri" w:hAnsi="Times New Roman" w:cs="Times New Roman"/>
          <w:color w:val="000000" w:themeColor="text1"/>
          <w:sz w:val="22"/>
          <w:szCs w:val="22"/>
          <w:lang w:val="fr-FR"/>
        </w:rPr>
        <w:t>e sur l’innovation et l’</w:t>
      </w:r>
      <w:r w:rsidR="00141240" w:rsidRPr="005D062F">
        <w:rPr>
          <w:rFonts w:ascii="Times New Roman" w:eastAsia="Calibri" w:hAnsi="Times New Roman" w:cs="Times New Roman"/>
          <w:color w:val="000000" w:themeColor="text1"/>
          <w:sz w:val="22"/>
          <w:szCs w:val="22"/>
          <w:lang w:val="fr-FR"/>
        </w:rPr>
        <w:t>int</w:t>
      </w:r>
      <w:r w:rsidRPr="005D062F">
        <w:rPr>
          <w:rFonts w:ascii="Times New Roman" w:eastAsia="Calibri" w:hAnsi="Times New Roman" w:cs="Times New Roman"/>
          <w:color w:val="000000" w:themeColor="text1"/>
          <w:sz w:val="22"/>
          <w:szCs w:val="22"/>
          <w:lang w:val="fr-FR"/>
        </w:rPr>
        <w:t>é</w:t>
      </w:r>
      <w:r w:rsidR="00141240" w:rsidRPr="005D062F">
        <w:rPr>
          <w:rFonts w:ascii="Times New Roman" w:eastAsia="Calibri" w:hAnsi="Times New Roman" w:cs="Times New Roman"/>
          <w:color w:val="000000" w:themeColor="text1"/>
          <w:sz w:val="22"/>
          <w:szCs w:val="22"/>
          <w:lang w:val="fr-FR"/>
        </w:rPr>
        <w:t xml:space="preserve">gration </w:t>
      </w:r>
      <w:r w:rsidR="00C24582" w:rsidRPr="005D062F">
        <w:rPr>
          <w:rFonts w:ascii="Times New Roman" w:eastAsia="Calibri" w:hAnsi="Times New Roman" w:cs="Times New Roman"/>
          <w:color w:val="000000" w:themeColor="text1"/>
          <w:sz w:val="22"/>
          <w:szCs w:val="22"/>
          <w:lang w:val="fr-FR"/>
        </w:rPr>
        <w:t>des</w:t>
      </w:r>
      <w:r w:rsidRPr="005D062F">
        <w:rPr>
          <w:rFonts w:ascii="Times New Roman" w:eastAsia="Calibri" w:hAnsi="Times New Roman" w:cs="Times New Roman"/>
          <w:color w:val="000000" w:themeColor="text1"/>
          <w:sz w:val="22"/>
          <w:szCs w:val="22"/>
          <w:lang w:val="fr-FR"/>
        </w:rPr>
        <w:t xml:space="preserve"> TIC en classe</w:t>
      </w:r>
      <w:r w:rsidR="00141240" w:rsidRPr="005D062F">
        <w:rPr>
          <w:rFonts w:ascii="Times New Roman" w:eastAsia="Calibri" w:hAnsi="Times New Roman" w:cs="Times New Roman"/>
          <w:color w:val="000000" w:themeColor="text1"/>
          <w:sz w:val="22"/>
          <w:szCs w:val="22"/>
          <w:lang w:val="fr-FR"/>
        </w:rPr>
        <w:t>.</w:t>
      </w:r>
    </w:p>
    <w:p w14:paraId="1B53F08A" w14:textId="134D5418" w:rsidR="00141240" w:rsidRPr="005D062F" w:rsidRDefault="005D753C" w:rsidP="00CB030B">
      <w:pPr>
        <w:numPr>
          <w:ilvl w:val="1"/>
          <w:numId w:val="23"/>
        </w:numPr>
        <w:ind w:left="1980" w:hanging="540"/>
        <w:jc w:val="both"/>
        <w:rPr>
          <w:rFonts w:ascii="Times New Roman" w:eastAsia="Calibri" w:hAnsi="Times New Roman" w:cs="Times New Roman"/>
          <w:color w:val="000000" w:themeColor="text1"/>
          <w:sz w:val="22"/>
          <w:szCs w:val="22"/>
          <w:lang w:val="fr-FR"/>
        </w:rPr>
      </w:pPr>
      <w:r w:rsidRPr="005D062F">
        <w:rPr>
          <w:rFonts w:ascii="Times New Roman" w:eastAsia="Calibri" w:hAnsi="Times New Roman" w:cs="Times New Roman"/>
          <w:color w:val="000000" w:themeColor="text1"/>
          <w:sz w:val="22"/>
          <w:szCs w:val="22"/>
          <w:lang w:val="fr-FR"/>
        </w:rPr>
        <w:t>Exten</w:t>
      </w:r>
      <w:r w:rsidR="0012451D" w:rsidRPr="005D062F">
        <w:rPr>
          <w:rFonts w:ascii="Times New Roman" w:eastAsia="Calibri" w:hAnsi="Times New Roman" w:cs="Times New Roman"/>
          <w:color w:val="000000" w:themeColor="text1"/>
          <w:sz w:val="22"/>
          <w:szCs w:val="22"/>
          <w:lang w:val="fr-FR"/>
        </w:rPr>
        <w:t xml:space="preserve">sion de l’offre de formation des enseignants à 14 pays de la </w:t>
      </w:r>
      <w:r w:rsidR="00141240" w:rsidRPr="005D062F">
        <w:rPr>
          <w:rFonts w:ascii="Times New Roman" w:eastAsia="Calibri" w:hAnsi="Times New Roman" w:cs="Times New Roman"/>
          <w:color w:val="000000" w:themeColor="text1"/>
          <w:sz w:val="22"/>
          <w:szCs w:val="22"/>
          <w:lang w:val="fr-FR"/>
        </w:rPr>
        <w:t>CARICOM</w:t>
      </w:r>
      <w:r w:rsidR="00BF2130" w:rsidRPr="005D062F">
        <w:rPr>
          <w:rFonts w:ascii="Times New Roman" w:eastAsia="Calibri" w:hAnsi="Times New Roman" w:cs="Times New Roman"/>
          <w:color w:val="000000" w:themeColor="text1"/>
          <w:sz w:val="22"/>
          <w:szCs w:val="22"/>
          <w:lang w:val="fr-FR"/>
        </w:rPr>
        <w:t>, avec l’inscription de plus de 1 600 enseignants</w:t>
      </w:r>
      <w:r w:rsidRPr="005D062F">
        <w:rPr>
          <w:rFonts w:ascii="Times New Roman" w:eastAsia="Calibri" w:hAnsi="Times New Roman" w:cs="Times New Roman"/>
          <w:color w:val="000000" w:themeColor="text1"/>
          <w:sz w:val="22"/>
          <w:szCs w:val="22"/>
          <w:lang w:val="fr-FR"/>
        </w:rPr>
        <w:t xml:space="preserve">. </w:t>
      </w:r>
    </w:p>
    <w:p w14:paraId="7E3F9ECB" w14:textId="6430E9E7" w:rsidR="00141240" w:rsidRPr="005D062F" w:rsidRDefault="00A900C8" w:rsidP="00CB030B">
      <w:pPr>
        <w:numPr>
          <w:ilvl w:val="1"/>
          <w:numId w:val="23"/>
        </w:numPr>
        <w:ind w:left="1980" w:hanging="540"/>
        <w:jc w:val="both"/>
        <w:rPr>
          <w:rFonts w:ascii="Times New Roman" w:eastAsia="Calibri" w:hAnsi="Times New Roman" w:cs="Times New Roman"/>
          <w:color w:val="000000" w:themeColor="text1"/>
          <w:sz w:val="22"/>
          <w:szCs w:val="22"/>
          <w:lang w:val="fr-FR"/>
        </w:rPr>
      </w:pPr>
      <w:r w:rsidRPr="005D062F">
        <w:rPr>
          <w:rFonts w:ascii="Times New Roman" w:eastAsia="Calibri" w:hAnsi="Times New Roman" w:cs="Times New Roman"/>
          <w:color w:val="000000" w:themeColor="text1"/>
          <w:sz w:val="22"/>
          <w:szCs w:val="22"/>
          <w:lang w:val="fr-FR"/>
        </w:rPr>
        <w:t>Octroi de 4 </w:t>
      </w:r>
      <w:r w:rsidR="00141240" w:rsidRPr="005D062F">
        <w:rPr>
          <w:rFonts w:ascii="Times New Roman" w:eastAsia="Calibri" w:hAnsi="Times New Roman" w:cs="Times New Roman"/>
          <w:color w:val="000000" w:themeColor="text1"/>
          <w:sz w:val="22"/>
          <w:szCs w:val="22"/>
          <w:lang w:val="fr-FR"/>
        </w:rPr>
        <w:t>000</w:t>
      </w:r>
      <w:r w:rsidRPr="005D062F">
        <w:rPr>
          <w:rFonts w:ascii="Times New Roman" w:eastAsia="Calibri" w:hAnsi="Times New Roman" w:cs="Times New Roman"/>
          <w:color w:val="000000" w:themeColor="text1"/>
          <w:sz w:val="22"/>
          <w:szCs w:val="22"/>
          <w:lang w:val="fr-FR"/>
        </w:rPr>
        <w:t> bourses pour parti</w:t>
      </w:r>
      <w:r w:rsidR="00650CA2" w:rsidRPr="005D062F">
        <w:rPr>
          <w:rFonts w:ascii="Times New Roman" w:eastAsia="Calibri" w:hAnsi="Times New Roman" w:cs="Times New Roman"/>
          <w:color w:val="000000" w:themeColor="text1"/>
          <w:sz w:val="22"/>
          <w:szCs w:val="22"/>
          <w:lang w:val="fr-FR"/>
        </w:rPr>
        <w:t>ci</w:t>
      </w:r>
      <w:r w:rsidRPr="005D062F">
        <w:rPr>
          <w:rFonts w:ascii="Times New Roman" w:eastAsia="Calibri" w:hAnsi="Times New Roman" w:cs="Times New Roman"/>
          <w:color w:val="000000" w:themeColor="text1"/>
          <w:sz w:val="22"/>
          <w:szCs w:val="22"/>
          <w:lang w:val="fr-FR"/>
        </w:rPr>
        <w:t xml:space="preserve">per à deux cours visant à renforcer les compétences numériques des enseignants en </w:t>
      </w:r>
      <w:r w:rsidR="00141240" w:rsidRPr="005D062F">
        <w:rPr>
          <w:rFonts w:ascii="Times New Roman" w:eastAsia="Calibri" w:hAnsi="Times New Roman" w:cs="Times New Roman"/>
          <w:color w:val="000000" w:themeColor="text1"/>
          <w:sz w:val="22"/>
          <w:szCs w:val="22"/>
          <w:lang w:val="fr-FR"/>
        </w:rPr>
        <w:t xml:space="preserve">coordination </w:t>
      </w:r>
      <w:r w:rsidRPr="005D062F">
        <w:rPr>
          <w:rFonts w:ascii="Times New Roman" w:eastAsia="Calibri" w:hAnsi="Times New Roman" w:cs="Times New Roman"/>
          <w:color w:val="000000" w:themeColor="text1"/>
          <w:sz w:val="22"/>
          <w:szCs w:val="22"/>
          <w:lang w:val="fr-FR"/>
        </w:rPr>
        <w:t>avec la présidence du Conseil des ministres du Pérou</w:t>
      </w:r>
      <w:r w:rsidR="00141240" w:rsidRPr="005D062F">
        <w:rPr>
          <w:rFonts w:ascii="Times New Roman" w:eastAsia="Calibri" w:hAnsi="Times New Roman" w:cs="Times New Roman"/>
          <w:color w:val="000000" w:themeColor="text1"/>
          <w:sz w:val="22"/>
          <w:szCs w:val="22"/>
          <w:lang w:val="fr-FR"/>
        </w:rPr>
        <w:t>.</w:t>
      </w:r>
    </w:p>
    <w:p w14:paraId="69BBC895" w14:textId="7C588960" w:rsidR="00141240" w:rsidRPr="005D062F" w:rsidRDefault="00060DD1" w:rsidP="00CB030B">
      <w:pPr>
        <w:numPr>
          <w:ilvl w:val="1"/>
          <w:numId w:val="23"/>
        </w:numPr>
        <w:ind w:left="1980" w:hanging="540"/>
        <w:jc w:val="both"/>
        <w:rPr>
          <w:rFonts w:ascii="Times New Roman" w:eastAsia="Calibri" w:hAnsi="Times New Roman" w:cs="Times New Roman"/>
          <w:color w:val="000000" w:themeColor="text1"/>
          <w:sz w:val="22"/>
          <w:szCs w:val="22"/>
          <w:lang w:val="fr-FR"/>
        </w:rPr>
      </w:pPr>
      <w:r w:rsidRPr="005D062F">
        <w:rPr>
          <w:rFonts w:ascii="Times New Roman" w:eastAsia="Calibri" w:hAnsi="Times New Roman" w:cs="Times New Roman"/>
          <w:color w:val="000000" w:themeColor="text1"/>
          <w:sz w:val="22"/>
          <w:szCs w:val="22"/>
          <w:lang w:val="fr-FR"/>
        </w:rPr>
        <w:t>Inscription de quelque 7 900 enseignants guaté</w:t>
      </w:r>
      <w:r w:rsidR="00141240" w:rsidRPr="005D062F">
        <w:rPr>
          <w:rFonts w:ascii="Times New Roman" w:eastAsia="Calibri" w:hAnsi="Times New Roman" w:cs="Times New Roman"/>
          <w:color w:val="000000" w:themeColor="text1"/>
          <w:sz w:val="22"/>
          <w:szCs w:val="22"/>
          <w:lang w:val="fr-FR"/>
        </w:rPr>
        <w:t>mal</w:t>
      </w:r>
      <w:r w:rsidRPr="005D062F">
        <w:rPr>
          <w:rFonts w:ascii="Times New Roman" w:eastAsia="Calibri" w:hAnsi="Times New Roman" w:cs="Times New Roman"/>
          <w:color w:val="000000" w:themeColor="text1"/>
          <w:sz w:val="22"/>
          <w:szCs w:val="22"/>
          <w:lang w:val="fr-FR"/>
        </w:rPr>
        <w:t xml:space="preserve">tèques à des cours de formation en </w:t>
      </w:r>
      <w:r w:rsidR="00141240" w:rsidRPr="005D062F">
        <w:rPr>
          <w:rFonts w:ascii="Times New Roman" w:eastAsia="Calibri" w:hAnsi="Times New Roman" w:cs="Times New Roman"/>
          <w:color w:val="000000" w:themeColor="text1"/>
          <w:sz w:val="22"/>
          <w:szCs w:val="22"/>
          <w:lang w:val="fr-FR"/>
        </w:rPr>
        <w:t xml:space="preserve">coordination </w:t>
      </w:r>
      <w:r w:rsidRPr="005D062F">
        <w:rPr>
          <w:rFonts w:ascii="Times New Roman" w:eastAsia="Calibri" w:hAnsi="Times New Roman" w:cs="Times New Roman"/>
          <w:color w:val="000000" w:themeColor="text1"/>
          <w:sz w:val="22"/>
          <w:szCs w:val="22"/>
          <w:lang w:val="fr-FR"/>
        </w:rPr>
        <w:t xml:space="preserve">avec la </w:t>
      </w:r>
      <w:r w:rsidR="00141240" w:rsidRPr="005D062F">
        <w:rPr>
          <w:rFonts w:ascii="Times New Roman" w:eastAsia="Calibri" w:hAnsi="Times New Roman" w:cs="Times New Roman"/>
          <w:color w:val="000000" w:themeColor="text1"/>
          <w:sz w:val="22"/>
          <w:szCs w:val="22"/>
          <w:lang w:val="fr-FR"/>
        </w:rPr>
        <w:t>Direct</w:t>
      </w:r>
      <w:r w:rsidRPr="005D062F">
        <w:rPr>
          <w:rFonts w:ascii="Times New Roman" w:eastAsia="Calibri" w:hAnsi="Times New Roman" w:cs="Times New Roman"/>
          <w:color w:val="000000" w:themeColor="text1"/>
          <w:sz w:val="22"/>
          <w:szCs w:val="22"/>
          <w:lang w:val="fr-FR"/>
        </w:rPr>
        <w:t xml:space="preserve">ion générale de la gestion de la qualité de l’éducation du ministère de l’éducation et l’OSC </w:t>
      </w:r>
      <w:r w:rsidR="00141240" w:rsidRPr="005D062F">
        <w:rPr>
          <w:rFonts w:ascii="Times New Roman" w:eastAsia="Calibri" w:hAnsi="Times New Roman" w:cs="Times New Roman"/>
          <w:color w:val="000000" w:themeColor="text1"/>
          <w:sz w:val="22"/>
          <w:szCs w:val="22"/>
          <w:lang w:val="fr-FR"/>
        </w:rPr>
        <w:t>DECA.</w:t>
      </w:r>
    </w:p>
    <w:p w14:paraId="640AD943" w14:textId="443A2C54" w:rsidR="00141240" w:rsidRPr="005D062F" w:rsidRDefault="00C93541" w:rsidP="00CB030B">
      <w:pPr>
        <w:numPr>
          <w:ilvl w:val="1"/>
          <w:numId w:val="23"/>
        </w:numPr>
        <w:ind w:left="1980" w:hanging="540"/>
        <w:jc w:val="both"/>
        <w:rPr>
          <w:rFonts w:ascii="Times New Roman" w:eastAsia="Calibri" w:hAnsi="Times New Roman" w:cs="Times New Roman"/>
          <w:color w:val="000000" w:themeColor="text1"/>
          <w:sz w:val="22"/>
          <w:szCs w:val="22"/>
          <w:lang w:val="fr-FR"/>
        </w:rPr>
      </w:pPr>
      <w:r w:rsidRPr="005D062F">
        <w:rPr>
          <w:rFonts w:ascii="Times New Roman" w:eastAsia="Calibri" w:hAnsi="Times New Roman" w:cs="Times New Roman"/>
          <w:color w:val="000000" w:themeColor="text1"/>
          <w:sz w:val="22"/>
          <w:szCs w:val="22"/>
          <w:lang w:val="fr-FR"/>
        </w:rPr>
        <w:t xml:space="preserve">Organisation de deux </w:t>
      </w:r>
      <w:r w:rsidR="00141240" w:rsidRPr="005D062F">
        <w:rPr>
          <w:rFonts w:ascii="Times New Roman" w:eastAsia="Calibri" w:hAnsi="Times New Roman" w:cs="Times New Roman"/>
          <w:color w:val="000000" w:themeColor="text1"/>
          <w:sz w:val="22"/>
          <w:szCs w:val="22"/>
          <w:lang w:val="fr-FR"/>
        </w:rPr>
        <w:t>webina</w:t>
      </w:r>
      <w:r w:rsidRPr="005D062F">
        <w:rPr>
          <w:rFonts w:ascii="Times New Roman" w:eastAsia="Calibri" w:hAnsi="Times New Roman" w:cs="Times New Roman"/>
          <w:color w:val="000000" w:themeColor="text1"/>
          <w:sz w:val="22"/>
          <w:szCs w:val="22"/>
          <w:lang w:val="fr-FR"/>
        </w:rPr>
        <w:t>i</w:t>
      </w:r>
      <w:r w:rsidR="00141240" w:rsidRPr="005D062F">
        <w:rPr>
          <w:rFonts w:ascii="Times New Roman" w:eastAsia="Calibri" w:hAnsi="Times New Roman" w:cs="Times New Roman"/>
          <w:color w:val="000000" w:themeColor="text1"/>
          <w:sz w:val="22"/>
          <w:szCs w:val="22"/>
          <w:lang w:val="fr-FR"/>
        </w:rPr>
        <w:t>r</w:t>
      </w:r>
      <w:r w:rsidRPr="005D062F">
        <w:rPr>
          <w:rFonts w:ascii="Times New Roman" w:eastAsia="Calibri" w:hAnsi="Times New Roman" w:cs="Times New Roman"/>
          <w:color w:val="000000" w:themeColor="text1"/>
          <w:sz w:val="22"/>
          <w:szCs w:val="22"/>
          <w:lang w:val="fr-FR"/>
        </w:rPr>
        <w:t>e</w:t>
      </w:r>
      <w:r w:rsidR="00141240" w:rsidRPr="005D062F">
        <w:rPr>
          <w:rFonts w:ascii="Times New Roman" w:eastAsia="Calibri" w:hAnsi="Times New Roman" w:cs="Times New Roman"/>
          <w:color w:val="000000" w:themeColor="text1"/>
          <w:sz w:val="22"/>
          <w:szCs w:val="22"/>
          <w:lang w:val="fr-FR"/>
        </w:rPr>
        <w:t>s</w:t>
      </w:r>
      <w:r w:rsidRPr="005D062F">
        <w:rPr>
          <w:rFonts w:ascii="Times New Roman" w:eastAsia="Calibri" w:hAnsi="Times New Roman" w:cs="Times New Roman"/>
          <w:color w:val="000000" w:themeColor="text1"/>
          <w:sz w:val="22"/>
          <w:szCs w:val="22"/>
          <w:lang w:val="fr-FR"/>
        </w:rPr>
        <w:t xml:space="preserve"> avec des experts dans le domaine des bonnes pratiques éducatives</w:t>
      </w:r>
      <w:r w:rsidR="00060DD1" w:rsidRPr="005D062F">
        <w:rPr>
          <w:rFonts w:ascii="Times New Roman" w:eastAsia="Calibri" w:hAnsi="Times New Roman" w:cs="Times New Roman"/>
          <w:color w:val="000000" w:themeColor="text1"/>
          <w:sz w:val="22"/>
          <w:szCs w:val="22"/>
          <w:lang w:val="fr-FR"/>
        </w:rPr>
        <w:t>,</w:t>
      </w:r>
      <w:r w:rsidRPr="005D062F">
        <w:rPr>
          <w:rFonts w:ascii="Times New Roman" w:eastAsia="Calibri" w:hAnsi="Times New Roman" w:cs="Times New Roman"/>
          <w:color w:val="000000" w:themeColor="text1"/>
          <w:sz w:val="22"/>
          <w:szCs w:val="22"/>
          <w:lang w:val="fr-FR"/>
        </w:rPr>
        <w:t xml:space="preserve"> qui ont comptabilisé plus de 1 </w:t>
      </w:r>
      <w:r w:rsidR="00141240" w:rsidRPr="005D062F">
        <w:rPr>
          <w:rFonts w:ascii="Times New Roman" w:eastAsia="Calibri" w:hAnsi="Times New Roman" w:cs="Times New Roman"/>
          <w:color w:val="000000" w:themeColor="text1"/>
          <w:sz w:val="22"/>
          <w:szCs w:val="22"/>
          <w:lang w:val="fr-FR"/>
        </w:rPr>
        <w:t xml:space="preserve">000 </w:t>
      </w:r>
      <w:r w:rsidRPr="005D062F">
        <w:rPr>
          <w:rFonts w:ascii="Times New Roman" w:eastAsia="Calibri" w:hAnsi="Times New Roman" w:cs="Times New Roman"/>
          <w:color w:val="000000" w:themeColor="text1"/>
          <w:sz w:val="22"/>
          <w:szCs w:val="22"/>
          <w:lang w:val="fr-FR"/>
        </w:rPr>
        <w:t>vue</w:t>
      </w:r>
      <w:r w:rsidR="005D753C" w:rsidRPr="005D062F">
        <w:rPr>
          <w:rFonts w:ascii="Times New Roman" w:eastAsia="Calibri" w:hAnsi="Times New Roman" w:cs="Times New Roman"/>
          <w:color w:val="000000" w:themeColor="text1"/>
          <w:sz w:val="22"/>
          <w:szCs w:val="22"/>
          <w:lang w:val="fr-FR"/>
        </w:rPr>
        <w:t>s</w:t>
      </w:r>
      <w:r w:rsidR="00141240" w:rsidRPr="005D062F">
        <w:rPr>
          <w:rFonts w:ascii="Times New Roman" w:eastAsia="Calibri" w:hAnsi="Times New Roman" w:cs="Times New Roman"/>
          <w:color w:val="000000" w:themeColor="text1"/>
          <w:sz w:val="22"/>
          <w:szCs w:val="22"/>
          <w:lang w:val="fr-FR"/>
        </w:rPr>
        <w:t>.</w:t>
      </w:r>
    </w:p>
    <w:bookmarkEnd w:id="22"/>
    <w:p w14:paraId="0F3DD714" w14:textId="77777777" w:rsidR="00141240" w:rsidRPr="005D062F" w:rsidRDefault="00141240" w:rsidP="00CB030B">
      <w:pPr>
        <w:jc w:val="both"/>
        <w:rPr>
          <w:rFonts w:ascii="Times New Roman" w:eastAsia="Calibri" w:hAnsi="Times New Roman" w:cs="Times New Roman"/>
          <w:color w:val="000000" w:themeColor="text1"/>
          <w:sz w:val="22"/>
          <w:szCs w:val="22"/>
          <w:lang w:val="fr-FR"/>
        </w:rPr>
      </w:pPr>
    </w:p>
    <w:p w14:paraId="5270D7C8" w14:textId="18DFEB0C" w:rsidR="00141240" w:rsidRPr="005D062F" w:rsidRDefault="00141240" w:rsidP="00CB030B">
      <w:pPr>
        <w:ind w:firstLine="720"/>
        <w:jc w:val="both"/>
        <w:rPr>
          <w:rFonts w:ascii="Times New Roman" w:eastAsia="Calibri" w:hAnsi="Times New Roman" w:cs="Times New Roman"/>
          <w:b/>
          <w:bCs/>
          <w:color w:val="000000" w:themeColor="text1"/>
          <w:sz w:val="22"/>
          <w:szCs w:val="22"/>
          <w:lang w:val="fr-FR"/>
        </w:rPr>
      </w:pPr>
      <w:r w:rsidRPr="005D062F">
        <w:rPr>
          <w:rFonts w:ascii="Times New Roman" w:eastAsia="Calibri" w:hAnsi="Times New Roman" w:cs="Times New Roman"/>
          <w:b/>
          <w:bCs/>
          <w:color w:val="000000" w:themeColor="text1"/>
          <w:sz w:val="22"/>
          <w:szCs w:val="22"/>
          <w:lang w:val="fr-FR"/>
        </w:rPr>
        <w:t>Porta</w:t>
      </w:r>
      <w:r w:rsidR="004144D1" w:rsidRPr="005D062F">
        <w:rPr>
          <w:rFonts w:ascii="Times New Roman" w:eastAsia="Calibri" w:hAnsi="Times New Roman" w:cs="Times New Roman"/>
          <w:b/>
          <w:bCs/>
          <w:color w:val="000000" w:themeColor="text1"/>
          <w:sz w:val="22"/>
          <w:szCs w:val="22"/>
          <w:lang w:val="fr-FR"/>
        </w:rPr>
        <w:t>il éducati</w:t>
      </w:r>
      <w:r w:rsidRPr="005D062F">
        <w:rPr>
          <w:rFonts w:ascii="Times New Roman" w:eastAsia="Calibri" w:hAnsi="Times New Roman" w:cs="Times New Roman"/>
          <w:b/>
          <w:bCs/>
          <w:color w:val="000000" w:themeColor="text1"/>
          <w:sz w:val="22"/>
          <w:szCs w:val="22"/>
          <w:lang w:val="fr-FR"/>
        </w:rPr>
        <w:t xml:space="preserve">f </w:t>
      </w:r>
      <w:r w:rsidR="004144D1" w:rsidRPr="005D062F">
        <w:rPr>
          <w:rFonts w:ascii="Times New Roman" w:eastAsia="Calibri" w:hAnsi="Times New Roman" w:cs="Times New Roman"/>
          <w:b/>
          <w:bCs/>
          <w:color w:val="000000" w:themeColor="text1"/>
          <w:sz w:val="22"/>
          <w:szCs w:val="22"/>
          <w:lang w:val="fr-FR"/>
        </w:rPr>
        <w:t>d</w:t>
      </w:r>
      <w:r w:rsidRPr="005D062F">
        <w:rPr>
          <w:rFonts w:ascii="Times New Roman" w:eastAsia="Calibri" w:hAnsi="Times New Roman" w:cs="Times New Roman"/>
          <w:b/>
          <w:bCs/>
          <w:color w:val="000000" w:themeColor="text1"/>
          <w:sz w:val="22"/>
          <w:szCs w:val="22"/>
          <w:lang w:val="fr-FR"/>
        </w:rPr>
        <w:t>e</w:t>
      </w:r>
      <w:r w:rsidR="004144D1" w:rsidRPr="005D062F">
        <w:rPr>
          <w:rFonts w:ascii="Times New Roman" w:eastAsia="Calibri" w:hAnsi="Times New Roman" w:cs="Times New Roman"/>
          <w:b/>
          <w:bCs/>
          <w:color w:val="000000" w:themeColor="text1"/>
          <w:sz w:val="22"/>
          <w:szCs w:val="22"/>
          <w:lang w:val="fr-FR"/>
        </w:rPr>
        <w:t>s</w:t>
      </w:r>
      <w:r w:rsidRPr="005D062F">
        <w:rPr>
          <w:rFonts w:ascii="Times New Roman" w:eastAsia="Calibri" w:hAnsi="Times New Roman" w:cs="Times New Roman"/>
          <w:b/>
          <w:bCs/>
          <w:color w:val="000000" w:themeColor="text1"/>
          <w:sz w:val="22"/>
          <w:szCs w:val="22"/>
          <w:lang w:val="fr-FR"/>
        </w:rPr>
        <w:t xml:space="preserve"> Am</w:t>
      </w:r>
      <w:r w:rsidR="004144D1" w:rsidRPr="005D062F">
        <w:rPr>
          <w:rFonts w:ascii="Times New Roman" w:eastAsia="Calibri" w:hAnsi="Times New Roman" w:cs="Times New Roman"/>
          <w:b/>
          <w:bCs/>
          <w:color w:val="000000" w:themeColor="text1"/>
          <w:sz w:val="22"/>
          <w:szCs w:val="22"/>
          <w:lang w:val="fr-FR"/>
        </w:rPr>
        <w:t>é</w:t>
      </w:r>
      <w:r w:rsidRPr="005D062F">
        <w:rPr>
          <w:rFonts w:ascii="Times New Roman" w:eastAsia="Calibri" w:hAnsi="Times New Roman" w:cs="Times New Roman"/>
          <w:b/>
          <w:bCs/>
          <w:color w:val="000000" w:themeColor="text1"/>
          <w:sz w:val="22"/>
          <w:szCs w:val="22"/>
          <w:lang w:val="fr-FR"/>
        </w:rPr>
        <w:t>ri</w:t>
      </w:r>
      <w:r w:rsidR="004144D1" w:rsidRPr="005D062F">
        <w:rPr>
          <w:rFonts w:ascii="Times New Roman" w:eastAsia="Calibri" w:hAnsi="Times New Roman" w:cs="Times New Roman"/>
          <w:b/>
          <w:bCs/>
          <w:color w:val="000000" w:themeColor="text1"/>
          <w:sz w:val="22"/>
          <w:szCs w:val="22"/>
          <w:lang w:val="fr-FR"/>
        </w:rPr>
        <w:t>que</w:t>
      </w:r>
      <w:r w:rsidRPr="005D062F">
        <w:rPr>
          <w:rFonts w:ascii="Times New Roman" w:eastAsia="Calibri" w:hAnsi="Times New Roman" w:cs="Times New Roman"/>
          <w:b/>
          <w:bCs/>
          <w:color w:val="000000" w:themeColor="text1"/>
          <w:sz w:val="22"/>
          <w:szCs w:val="22"/>
          <w:lang w:val="fr-FR"/>
        </w:rPr>
        <w:t>s</w:t>
      </w:r>
    </w:p>
    <w:p w14:paraId="4CD3275F" w14:textId="77777777" w:rsidR="005D753C" w:rsidRPr="005D062F" w:rsidRDefault="005D753C" w:rsidP="00723DAD">
      <w:pPr>
        <w:jc w:val="both"/>
        <w:rPr>
          <w:rFonts w:ascii="Times New Roman" w:eastAsia="Calibri" w:hAnsi="Times New Roman" w:cs="Times New Roman"/>
          <w:color w:val="000000" w:themeColor="text1"/>
          <w:sz w:val="22"/>
          <w:szCs w:val="22"/>
          <w:lang w:val="fr-FR"/>
        </w:rPr>
      </w:pPr>
    </w:p>
    <w:p w14:paraId="49206794" w14:textId="20C4B455" w:rsidR="005D753C" w:rsidRPr="005D062F" w:rsidRDefault="006370C4" w:rsidP="00CB030B">
      <w:pPr>
        <w:pStyle w:val="ListParagraph"/>
        <w:numPr>
          <w:ilvl w:val="0"/>
          <w:numId w:val="24"/>
        </w:numPr>
        <w:ind w:left="1440" w:hanging="720"/>
        <w:jc w:val="both"/>
        <w:rPr>
          <w:rFonts w:eastAsia="Cambria"/>
          <w:color w:val="000000" w:themeColor="text1"/>
          <w:sz w:val="22"/>
          <w:szCs w:val="22"/>
          <w:lang w:val="fr-FR"/>
        </w:rPr>
      </w:pPr>
      <w:r w:rsidRPr="005D062F">
        <w:rPr>
          <w:rFonts w:eastAsia="Cambria"/>
          <w:color w:val="000000" w:themeColor="text1"/>
          <w:sz w:val="22"/>
          <w:szCs w:val="22"/>
          <w:lang w:val="fr-FR"/>
        </w:rPr>
        <w:t xml:space="preserve">Le SEDI a élaboré les </w:t>
      </w:r>
      <w:r w:rsidR="005D753C" w:rsidRPr="005D062F">
        <w:rPr>
          <w:rFonts w:eastAsia="Cambria"/>
          <w:color w:val="000000" w:themeColor="text1"/>
          <w:sz w:val="22"/>
          <w:szCs w:val="22"/>
          <w:lang w:val="fr-FR"/>
        </w:rPr>
        <w:t xml:space="preserve">initiatives </w:t>
      </w:r>
      <w:r w:rsidRPr="005D062F">
        <w:rPr>
          <w:rFonts w:eastAsia="Cambria"/>
          <w:color w:val="000000" w:themeColor="text1"/>
          <w:sz w:val="22"/>
          <w:szCs w:val="22"/>
          <w:lang w:val="fr-FR"/>
        </w:rPr>
        <w:t xml:space="preserve">suivantes dans le cadre de la </w:t>
      </w:r>
      <w:r w:rsidR="005D753C" w:rsidRPr="005D062F">
        <w:rPr>
          <w:rFonts w:eastAsia="Cambria"/>
          <w:color w:val="000000" w:themeColor="text1"/>
          <w:sz w:val="22"/>
          <w:szCs w:val="22"/>
          <w:lang w:val="fr-FR"/>
        </w:rPr>
        <w:t>F</w:t>
      </w:r>
      <w:r w:rsidRPr="005D062F">
        <w:rPr>
          <w:rFonts w:eastAsia="Cambria"/>
          <w:color w:val="000000" w:themeColor="text1"/>
          <w:sz w:val="22"/>
          <w:szCs w:val="22"/>
          <w:lang w:val="fr-FR"/>
        </w:rPr>
        <w:t>o</w:t>
      </w:r>
      <w:r w:rsidR="005D753C" w:rsidRPr="005D062F">
        <w:rPr>
          <w:rFonts w:eastAsia="Cambria"/>
          <w:color w:val="000000" w:themeColor="text1"/>
          <w:sz w:val="22"/>
          <w:szCs w:val="22"/>
          <w:lang w:val="fr-FR"/>
        </w:rPr>
        <w:t>nda</w:t>
      </w:r>
      <w:r w:rsidRPr="005D062F">
        <w:rPr>
          <w:rFonts w:eastAsia="Cambria"/>
          <w:color w:val="000000" w:themeColor="text1"/>
          <w:sz w:val="22"/>
          <w:szCs w:val="22"/>
          <w:lang w:val="fr-FR"/>
        </w:rPr>
        <w:t>t</w:t>
      </w:r>
      <w:r w:rsidR="005D753C" w:rsidRPr="005D062F">
        <w:rPr>
          <w:rFonts w:eastAsia="Cambria"/>
          <w:color w:val="000000" w:themeColor="text1"/>
          <w:sz w:val="22"/>
          <w:szCs w:val="22"/>
          <w:lang w:val="fr-FR"/>
        </w:rPr>
        <w:t>i</w:t>
      </w:r>
      <w:r w:rsidRPr="005D062F">
        <w:rPr>
          <w:rFonts w:eastAsia="Cambria"/>
          <w:color w:val="000000" w:themeColor="text1"/>
          <w:sz w:val="22"/>
          <w:szCs w:val="22"/>
          <w:lang w:val="fr-FR"/>
        </w:rPr>
        <w:t>o</w:t>
      </w:r>
      <w:r w:rsidR="005D753C" w:rsidRPr="005D062F">
        <w:rPr>
          <w:rFonts w:eastAsia="Cambria"/>
          <w:color w:val="000000" w:themeColor="text1"/>
          <w:sz w:val="22"/>
          <w:szCs w:val="22"/>
          <w:lang w:val="fr-FR"/>
        </w:rPr>
        <w:t xml:space="preserve">n </w:t>
      </w:r>
      <w:r w:rsidR="005D753C" w:rsidRPr="005D062F">
        <w:rPr>
          <w:rFonts w:eastAsia="Cambria"/>
          <w:i/>
          <w:iCs/>
          <w:color w:val="000000" w:themeColor="text1"/>
          <w:sz w:val="22"/>
          <w:szCs w:val="22"/>
          <w:lang w:val="fr-FR"/>
        </w:rPr>
        <w:t xml:space="preserve">ProFuturo </w:t>
      </w:r>
      <w:r w:rsidRPr="005D062F">
        <w:rPr>
          <w:rFonts w:eastAsia="Cambria"/>
          <w:color w:val="000000" w:themeColor="text1"/>
          <w:sz w:val="22"/>
          <w:szCs w:val="22"/>
          <w:lang w:val="fr-FR"/>
        </w:rPr>
        <w:t xml:space="preserve">dans l’optique de renforcer la </w:t>
      </w:r>
      <w:r w:rsidR="005D753C" w:rsidRPr="005D062F">
        <w:rPr>
          <w:rFonts w:eastAsia="Cambria"/>
          <w:color w:val="000000" w:themeColor="text1"/>
          <w:sz w:val="22"/>
          <w:szCs w:val="22"/>
          <w:lang w:val="fr-FR"/>
        </w:rPr>
        <w:t xml:space="preserve">coordination </w:t>
      </w:r>
      <w:r w:rsidRPr="005D062F">
        <w:rPr>
          <w:rFonts w:eastAsia="Cambria"/>
          <w:color w:val="000000" w:themeColor="text1"/>
          <w:sz w:val="22"/>
          <w:szCs w:val="22"/>
          <w:lang w:val="fr-FR"/>
        </w:rPr>
        <w:t>entre les OSC</w:t>
      </w:r>
      <w:r w:rsidR="005D753C" w:rsidRPr="005D062F">
        <w:rPr>
          <w:rFonts w:eastAsia="Cambria"/>
          <w:color w:val="000000" w:themeColor="text1"/>
          <w:sz w:val="22"/>
          <w:szCs w:val="22"/>
          <w:lang w:val="fr-FR"/>
        </w:rPr>
        <w:t xml:space="preserve">, </w:t>
      </w:r>
      <w:r w:rsidRPr="005D062F">
        <w:rPr>
          <w:rFonts w:eastAsia="Cambria"/>
          <w:color w:val="000000" w:themeColor="text1"/>
          <w:sz w:val="22"/>
          <w:szCs w:val="22"/>
          <w:lang w:val="fr-FR"/>
        </w:rPr>
        <w:t>d’</w:t>
      </w:r>
      <w:r w:rsidR="005D753C" w:rsidRPr="005D062F">
        <w:rPr>
          <w:rFonts w:eastAsia="Cambria"/>
          <w:color w:val="000000" w:themeColor="text1"/>
          <w:sz w:val="22"/>
          <w:szCs w:val="22"/>
          <w:lang w:val="fr-FR"/>
        </w:rPr>
        <w:t>enrich</w:t>
      </w:r>
      <w:r w:rsidRPr="005D062F">
        <w:rPr>
          <w:rFonts w:eastAsia="Cambria"/>
          <w:color w:val="000000" w:themeColor="text1"/>
          <w:sz w:val="22"/>
          <w:szCs w:val="22"/>
          <w:lang w:val="fr-FR"/>
        </w:rPr>
        <w:t xml:space="preserve">ir le </w:t>
      </w:r>
      <w:r w:rsidR="005D753C" w:rsidRPr="005D062F">
        <w:rPr>
          <w:rFonts w:eastAsia="Cambria"/>
          <w:color w:val="000000" w:themeColor="text1"/>
          <w:sz w:val="22"/>
          <w:szCs w:val="22"/>
          <w:lang w:val="fr-FR"/>
        </w:rPr>
        <w:t>dialogue</w:t>
      </w:r>
      <w:r w:rsidRPr="005D062F">
        <w:rPr>
          <w:rFonts w:eastAsia="Cambria"/>
          <w:color w:val="000000" w:themeColor="text1"/>
          <w:sz w:val="22"/>
          <w:szCs w:val="22"/>
          <w:lang w:val="fr-FR"/>
        </w:rPr>
        <w:t xml:space="preserve"> continental et de contribuer aux objectifs du PIE </w:t>
      </w:r>
      <w:r w:rsidR="00A427C5" w:rsidRPr="005D062F">
        <w:rPr>
          <w:rFonts w:eastAsia="Cambria"/>
          <w:color w:val="000000" w:themeColor="text1"/>
          <w:sz w:val="22"/>
          <w:szCs w:val="22"/>
          <w:lang w:val="fr-FR"/>
        </w:rPr>
        <w:t>:</w:t>
      </w:r>
    </w:p>
    <w:p w14:paraId="59E1F04A" w14:textId="77777777" w:rsidR="005D753C" w:rsidRPr="005D062F" w:rsidRDefault="005D753C" w:rsidP="00CB030B">
      <w:pPr>
        <w:jc w:val="both"/>
        <w:rPr>
          <w:rFonts w:ascii="Times New Roman" w:eastAsia="Calibri" w:hAnsi="Times New Roman" w:cs="Times New Roman"/>
          <w:color w:val="000000" w:themeColor="text1"/>
          <w:sz w:val="22"/>
          <w:szCs w:val="22"/>
          <w:lang w:val="fr-FR"/>
        </w:rPr>
      </w:pPr>
    </w:p>
    <w:p w14:paraId="5024E2BF" w14:textId="3E30985C" w:rsidR="005D753C" w:rsidRPr="005D062F" w:rsidRDefault="005D753C" w:rsidP="00CB030B">
      <w:pPr>
        <w:pStyle w:val="ListParagraph"/>
        <w:numPr>
          <w:ilvl w:val="1"/>
          <w:numId w:val="24"/>
        </w:numPr>
        <w:ind w:left="1980" w:hanging="540"/>
        <w:jc w:val="both"/>
        <w:rPr>
          <w:rFonts w:eastAsia="Cambria"/>
          <w:color w:val="000000" w:themeColor="text1"/>
          <w:sz w:val="22"/>
          <w:szCs w:val="22"/>
          <w:lang w:val="fr-FR"/>
        </w:rPr>
      </w:pPr>
      <w:r w:rsidRPr="005D062F">
        <w:rPr>
          <w:rFonts w:eastAsia="Cambria"/>
          <w:color w:val="000000" w:themeColor="text1"/>
          <w:sz w:val="22"/>
          <w:szCs w:val="22"/>
          <w:lang w:val="fr-FR"/>
        </w:rPr>
        <w:t>Publi</w:t>
      </w:r>
      <w:r w:rsidR="00EC18AA" w:rsidRPr="005D062F">
        <w:rPr>
          <w:rFonts w:eastAsia="Cambria"/>
          <w:color w:val="000000" w:themeColor="text1"/>
          <w:sz w:val="22"/>
          <w:szCs w:val="22"/>
          <w:lang w:val="fr-FR"/>
        </w:rPr>
        <w:t>cation d</w:t>
      </w:r>
      <w:r w:rsidR="002C0A2E" w:rsidRPr="005D062F">
        <w:rPr>
          <w:rFonts w:eastAsia="Cambria"/>
          <w:color w:val="000000" w:themeColor="text1"/>
          <w:sz w:val="22"/>
          <w:szCs w:val="22"/>
          <w:lang w:val="fr-FR"/>
        </w:rPr>
        <w:t xml:space="preserve">e l’étude </w:t>
      </w:r>
      <w:r w:rsidR="00EC18AA" w:rsidRPr="005D062F">
        <w:rPr>
          <w:rFonts w:eastAsia="Cambria"/>
          <w:color w:val="000000" w:themeColor="text1"/>
          <w:sz w:val="22"/>
          <w:szCs w:val="22"/>
          <w:lang w:val="fr-FR"/>
        </w:rPr>
        <w:t>« </w:t>
      </w:r>
      <w:r w:rsidR="00EC18AA" w:rsidRPr="005D062F">
        <w:rPr>
          <w:rFonts w:eastAsia="Cambria"/>
          <w:b/>
          <w:color w:val="000000" w:themeColor="text1"/>
          <w:sz w:val="22"/>
          <w:szCs w:val="22"/>
          <w:lang w:val="fr-FR"/>
        </w:rPr>
        <w:t xml:space="preserve">Organisations de la société civile et leurs contributions à la continuité de l’éducation </w:t>
      </w:r>
      <w:r w:rsidR="002C0A2E" w:rsidRPr="005D062F">
        <w:rPr>
          <w:rFonts w:eastAsia="Cambria"/>
          <w:b/>
          <w:color w:val="000000" w:themeColor="text1"/>
          <w:sz w:val="22"/>
          <w:szCs w:val="22"/>
          <w:lang w:val="fr-FR"/>
        </w:rPr>
        <w:t>dans un scénario de pandémie</w:t>
      </w:r>
      <w:r w:rsidR="002C0A2E" w:rsidRPr="005D062F">
        <w:rPr>
          <w:rFonts w:eastAsia="Cambria"/>
          <w:color w:val="000000" w:themeColor="text1"/>
          <w:sz w:val="22"/>
          <w:szCs w:val="22"/>
          <w:lang w:val="fr-FR"/>
        </w:rPr>
        <w:t> »</w:t>
      </w:r>
      <w:r w:rsidRPr="005D062F">
        <w:rPr>
          <w:rFonts w:eastAsia="Cambria"/>
          <w:color w:val="000000" w:themeColor="text1"/>
          <w:sz w:val="22"/>
          <w:szCs w:val="22"/>
          <w:lang w:val="fr-FR"/>
        </w:rPr>
        <w:t xml:space="preserve"> </w:t>
      </w:r>
      <w:r w:rsidR="00E073A5" w:rsidRPr="005D062F">
        <w:rPr>
          <w:rFonts w:eastAsia="Cambria"/>
          <w:color w:val="000000" w:themeColor="text1"/>
          <w:sz w:val="22"/>
          <w:szCs w:val="22"/>
          <w:lang w:val="fr-FR"/>
        </w:rPr>
        <w:t>avec</w:t>
      </w:r>
      <w:r w:rsidRPr="005D062F">
        <w:rPr>
          <w:rFonts w:eastAsia="Cambria"/>
          <w:color w:val="000000" w:themeColor="text1"/>
          <w:sz w:val="22"/>
          <w:szCs w:val="22"/>
          <w:lang w:val="fr-FR"/>
        </w:rPr>
        <w:t xml:space="preserve"> </w:t>
      </w:r>
      <w:r w:rsidR="00DF3AF3" w:rsidRPr="005D062F">
        <w:rPr>
          <w:rFonts w:eastAsia="Cambria"/>
          <w:color w:val="000000" w:themeColor="text1"/>
          <w:sz w:val="22"/>
          <w:szCs w:val="22"/>
          <w:lang w:val="fr-FR"/>
        </w:rPr>
        <w:t xml:space="preserve">la participation de 68 </w:t>
      </w:r>
      <w:r w:rsidRPr="005D062F">
        <w:rPr>
          <w:rFonts w:eastAsia="Cambria"/>
          <w:color w:val="000000" w:themeColor="text1"/>
          <w:sz w:val="22"/>
          <w:szCs w:val="22"/>
          <w:lang w:val="fr-FR"/>
        </w:rPr>
        <w:t>O</w:t>
      </w:r>
      <w:r w:rsidR="00DF3AF3" w:rsidRPr="005D062F">
        <w:rPr>
          <w:rFonts w:eastAsia="Cambria"/>
          <w:color w:val="000000" w:themeColor="text1"/>
          <w:sz w:val="22"/>
          <w:szCs w:val="22"/>
          <w:lang w:val="fr-FR"/>
        </w:rPr>
        <w:t xml:space="preserve">SC de 16 </w:t>
      </w:r>
      <w:r w:rsidR="00E073A5" w:rsidRPr="005D062F">
        <w:rPr>
          <w:rFonts w:eastAsia="Cambria"/>
          <w:color w:val="000000" w:themeColor="text1"/>
          <w:sz w:val="22"/>
          <w:szCs w:val="22"/>
          <w:lang w:val="fr-FR"/>
        </w:rPr>
        <w:t xml:space="preserve">pays </w:t>
      </w:r>
      <w:r w:rsidR="00EC18AA" w:rsidRPr="005D062F">
        <w:rPr>
          <w:rFonts w:eastAsia="Cambria"/>
          <w:color w:val="000000" w:themeColor="text1"/>
          <w:sz w:val="22"/>
          <w:szCs w:val="22"/>
          <w:lang w:val="fr-FR"/>
        </w:rPr>
        <w:t>et</w:t>
      </w:r>
      <w:r w:rsidR="002C0A2E" w:rsidRPr="005D062F">
        <w:rPr>
          <w:rFonts w:eastAsia="Cambria"/>
          <w:color w:val="000000" w:themeColor="text1"/>
          <w:sz w:val="22"/>
          <w:szCs w:val="22"/>
          <w:lang w:val="fr-FR"/>
        </w:rPr>
        <w:t xml:space="preserve"> du document</w:t>
      </w:r>
      <w:r w:rsidR="00EC18AA" w:rsidRPr="005D062F">
        <w:rPr>
          <w:rFonts w:eastAsia="Cambria"/>
          <w:color w:val="000000" w:themeColor="text1"/>
          <w:sz w:val="22"/>
          <w:szCs w:val="22"/>
          <w:lang w:val="fr-FR"/>
        </w:rPr>
        <w:t xml:space="preserve"> </w:t>
      </w:r>
      <w:r w:rsidR="00A65E7A" w:rsidRPr="005D062F">
        <w:rPr>
          <w:rFonts w:eastAsia="Cambria"/>
          <w:color w:val="000000" w:themeColor="text1"/>
          <w:sz w:val="22"/>
          <w:szCs w:val="22"/>
          <w:lang w:val="fr-FR"/>
        </w:rPr>
        <w:t>« </w:t>
      </w:r>
      <w:r w:rsidR="00A65E7A" w:rsidRPr="005D062F">
        <w:rPr>
          <w:rFonts w:eastAsia="Cambria"/>
          <w:b/>
          <w:color w:val="000000" w:themeColor="text1"/>
          <w:sz w:val="22"/>
          <w:szCs w:val="22"/>
          <w:lang w:val="fr-FR"/>
        </w:rPr>
        <w:t>Relèvement de l’éducation suite à la pandémie et utilisation des technologies dans le retour progressif vers la fréquentation scolaire</w:t>
      </w:r>
      <w:r w:rsidR="00A65E7A" w:rsidRPr="005D062F">
        <w:rPr>
          <w:rFonts w:eastAsia="Cambria"/>
          <w:color w:val="000000" w:themeColor="text1"/>
          <w:sz w:val="22"/>
          <w:szCs w:val="22"/>
          <w:lang w:val="fr-FR"/>
        </w:rPr>
        <w:t xml:space="preserve"> » </w:t>
      </w:r>
      <w:r w:rsidR="00E073A5" w:rsidRPr="005D062F">
        <w:rPr>
          <w:rFonts w:eastAsia="Cambria"/>
          <w:color w:val="000000" w:themeColor="text1"/>
          <w:sz w:val="22"/>
          <w:szCs w:val="22"/>
          <w:lang w:val="fr-FR"/>
        </w:rPr>
        <w:t xml:space="preserve">avec la participation </w:t>
      </w:r>
      <w:r w:rsidR="00CF18F1" w:rsidRPr="005D062F">
        <w:rPr>
          <w:rFonts w:eastAsia="Cambria"/>
          <w:color w:val="000000" w:themeColor="text1"/>
          <w:sz w:val="22"/>
          <w:szCs w:val="22"/>
          <w:lang w:val="fr-FR"/>
        </w:rPr>
        <w:t>de</w:t>
      </w:r>
      <w:r w:rsidR="00E073A5" w:rsidRPr="005D062F">
        <w:rPr>
          <w:rFonts w:eastAsia="Cambria"/>
          <w:color w:val="000000" w:themeColor="text1"/>
          <w:sz w:val="22"/>
          <w:szCs w:val="22"/>
          <w:lang w:val="fr-FR"/>
        </w:rPr>
        <w:t xml:space="preserve"> 30 OSC</w:t>
      </w:r>
      <w:r w:rsidRPr="005D062F">
        <w:rPr>
          <w:rFonts w:eastAsia="Cambria"/>
          <w:color w:val="000000" w:themeColor="text1"/>
          <w:sz w:val="22"/>
          <w:szCs w:val="22"/>
          <w:lang w:val="fr-FR"/>
        </w:rPr>
        <w:t xml:space="preserve"> </w:t>
      </w:r>
      <w:r w:rsidR="00E073A5" w:rsidRPr="005D062F">
        <w:rPr>
          <w:rFonts w:eastAsia="Cambria"/>
          <w:color w:val="000000" w:themeColor="text1"/>
          <w:sz w:val="22"/>
          <w:szCs w:val="22"/>
          <w:lang w:val="fr-FR"/>
        </w:rPr>
        <w:t>de 12 pays</w:t>
      </w:r>
      <w:r w:rsidRPr="005D062F">
        <w:rPr>
          <w:rFonts w:eastAsia="Cambria"/>
          <w:color w:val="000000" w:themeColor="text1"/>
          <w:sz w:val="22"/>
          <w:szCs w:val="22"/>
          <w:lang w:val="fr-FR"/>
        </w:rPr>
        <w:t>.</w:t>
      </w:r>
    </w:p>
    <w:p w14:paraId="1AAEC045" w14:textId="7580B6FF" w:rsidR="005D753C" w:rsidRPr="005D062F" w:rsidRDefault="002C0A2E" w:rsidP="00CB030B">
      <w:pPr>
        <w:pStyle w:val="ListParagraph"/>
        <w:numPr>
          <w:ilvl w:val="1"/>
          <w:numId w:val="24"/>
        </w:numPr>
        <w:ind w:left="1980" w:hanging="540"/>
        <w:jc w:val="both"/>
        <w:rPr>
          <w:rFonts w:eastAsia="Cambria"/>
          <w:color w:val="000000" w:themeColor="text1"/>
          <w:sz w:val="22"/>
          <w:szCs w:val="22"/>
          <w:lang w:val="fr-FR"/>
        </w:rPr>
      </w:pPr>
      <w:r w:rsidRPr="005D062F">
        <w:rPr>
          <w:rFonts w:eastAsia="Cambria"/>
          <w:color w:val="000000" w:themeColor="text1"/>
          <w:sz w:val="22"/>
          <w:szCs w:val="22"/>
          <w:lang w:val="fr-FR"/>
        </w:rPr>
        <w:t>Organisation de tables rondes avec plus de 80 </w:t>
      </w:r>
      <w:r w:rsidR="00141240" w:rsidRPr="005D062F">
        <w:rPr>
          <w:rFonts w:eastAsia="Cambria"/>
          <w:color w:val="000000" w:themeColor="text1"/>
          <w:sz w:val="22"/>
          <w:szCs w:val="22"/>
          <w:lang w:val="fr-FR"/>
        </w:rPr>
        <w:t>repr</w:t>
      </w:r>
      <w:r w:rsidRPr="005D062F">
        <w:rPr>
          <w:rFonts w:eastAsia="Cambria"/>
          <w:color w:val="000000" w:themeColor="text1"/>
          <w:sz w:val="22"/>
          <w:szCs w:val="22"/>
          <w:lang w:val="fr-FR"/>
        </w:rPr>
        <w:t>é</w:t>
      </w:r>
      <w:r w:rsidR="00141240" w:rsidRPr="005D062F">
        <w:rPr>
          <w:rFonts w:eastAsia="Cambria"/>
          <w:color w:val="000000" w:themeColor="text1"/>
          <w:sz w:val="22"/>
          <w:szCs w:val="22"/>
          <w:lang w:val="fr-FR"/>
        </w:rPr>
        <w:t>senta</w:t>
      </w:r>
      <w:r w:rsidRPr="005D062F">
        <w:rPr>
          <w:rFonts w:eastAsia="Cambria"/>
          <w:color w:val="000000" w:themeColor="text1"/>
          <w:sz w:val="22"/>
          <w:szCs w:val="22"/>
          <w:lang w:val="fr-FR"/>
        </w:rPr>
        <w:t>nts des m</w:t>
      </w:r>
      <w:r w:rsidR="00141240" w:rsidRPr="005D062F">
        <w:rPr>
          <w:rFonts w:eastAsia="Cambria"/>
          <w:color w:val="000000" w:themeColor="text1"/>
          <w:sz w:val="22"/>
          <w:szCs w:val="22"/>
          <w:lang w:val="fr-FR"/>
        </w:rPr>
        <w:t>inist</w:t>
      </w:r>
      <w:r w:rsidRPr="005D062F">
        <w:rPr>
          <w:rFonts w:eastAsia="Cambria"/>
          <w:color w:val="000000" w:themeColor="text1"/>
          <w:sz w:val="22"/>
          <w:szCs w:val="22"/>
          <w:lang w:val="fr-FR"/>
        </w:rPr>
        <w:t>ères de l’</w:t>
      </w:r>
      <w:r w:rsidR="00A65E7A" w:rsidRPr="005D062F">
        <w:rPr>
          <w:rFonts w:eastAsia="Cambria"/>
          <w:color w:val="000000" w:themeColor="text1"/>
          <w:sz w:val="22"/>
          <w:szCs w:val="22"/>
          <w:lang w:val="fr-FR"/>
        </w:rPr>
        <w:t>éducation et les OSC</w:t>
      </w:r>
      <w:r w:rsidR="00141240" w:rsidRPr="005D062F">
        <w:rPr>
          <w:rFonts w:eastAsia="Cambria"/>
          <w:color w:val="000000" w:themeColor="text1"/>
          <w:sz w:val="22"/>
          <w:szCs w:val="22"/>
          <w:lang w:val="fr-FR"/>
        </w:rPr>
        <w:t>.</w:t>
      </w:r>
    </w:p>
    <w:p w14:paraId="018CFB5F" w14:textId="6B4E9938" w:rsidR="00141240" w:rsidRPr="005D062F" w:rsidRDefault="00F22109" w:rsidP="00CB030B">
      <w:pPr>
        <w:pStyle w:val="ListParagraph"/>
        <w:numPr>
          <w:ilvl w:val="1"/>
          <w:numId w:val="24"/>
        </w:numPr>
        <w:ind w:left="1980" w:hanging="540"/>
        <w:jc w:val="both"/>
        <w:rPr>
          <w:rFonts w:eastAsia="Cambria"/>
          <w:color w:val="000000" w:themeColor="text1"/>
          <w:sz w:val="22"/>
          <w:szCs w:val="22"/>
          <w:lang w:val="fr-FR"/>
        </w:rPr>
      </w:pPr>
      <w:r w:rsidRPr="005D062F">
        <w:rPr>
          <w:rFonts w:eastAsia="Cambria"/>
          <w:color w:val="000000" w:themeColor="text1"/>
          <w:sz w:val="22"/>
          <w:szCs w:val="22"/>
          <w:lang w:val="fr-FR"/>
        </w:rPr>
        <w:t xml:space="preserve">Partage de la vision des OSC sur le matériel didactique numérique dans le cadre des Fondations </w:t>
      </w:r>
      <w:r w:rsidR="00141240" w:rsidRPr="005D062F">
        <w:rPr>
          <w:rFonts w:eastAsia="Cambria"/>
          <w:color w:val="000000" w:themeColor="text1"/>
          <w:sz w:val="22"/>
          <w:szCs w:val="22"/>
          <w:lang w:val="fr-FR"/>
        </w:rPr>
        <w:t xml:space="preserve">Telefónica, </w:t>
      </w:r>
      <w:r w:rsidRPr="005D062F">
        <w:rPr>
          <w:rFonts w:eastAsia="Cambria"/>
          <w:color w:val="000000" w:themeColor="text1"/>
          <w:sz w:val="22"/>
          <w:szCs w:val="22"/>
          <w:lang w:val="fr-FR"/>
        </w:rPr>
        <w:t xml:space="preserve">Omar Dengo (Costa Rica) et </w:t>
      </w:r>
      <w:r w:rsidR="00141240" w:rsidRPr="005D062F">
        <w:rPr>
          <w:rFonts w:eastAsia="Cambria"/>
          <w:color w:val="000000" w:themeColor="text1"/>
          <w:sz w:val="22"/>
          <w:szCs w:val="22"/>
          <w:lang w:val="fr-FR"/>
        </w:rPr>
        <w:t xml:space="preserve">DECA (Guatemala) </w:t>
      </w:r>
      <w:r w:rsidRPr="005D062F">
        <w:rPr>
          <w:rFonts w:eastAsia="Cambria"/>
          <w:color w:val="000000" w:themeColor="text1"/>
          <w:sz w:val="22"/>
          <w:szCs w:val="22"/>
          <w:lang w:val="fr-FR"/>
        </w:rPr>
        <w:t>lors du</w:t>
      </w:r>
      <w:r w:rsidR="00141240" w:rsidRPr="005D062F">
        <w:rPr>
          <w:rFonts w:eastAsia="Cambria"/>
          <w:color w:val="000000" w:themeColor="text1"/>
          <w:sz w:val="22"/>
          <w:szCs w:val="22"/>
          <w:lang w:val="fr-FR"/>
        </w:rPr>
        <w:t xml:space="preserve"> Forum</w:t>
      </w:r>
      <w:r w:rsidRPr="005D062F">
        <w:rPr>
          <w:rFonts w:eastAsia="Cambria"/>
          <w:color w:val="000000" w:themeColor="text1"/>
          <w:sz w:val="22"/>
          <w:szCs w:val="22"/>
          <w:lang w:val="fr-FR"/>
        </w:rPr>
        <w:t xml:space="preserve"> de la société civile</w:t>
      </w:r>
      <w:r w:rsidR="00141240" w:rsidRPr="005D062F">
        <w:rPr>
          <w:rFonts w:eastAsia="Cambria"/>
          <w:color w:val="000000" w:themeColor="text1"/>
          <w:sz w:val="22"/>
          <w:szCs w:val="22"/>
          <w:lang w:val="fr-FR"/>
        </w:rPr>
        <w:t>.</w:t>
      </w:r>
    </w:p>
    <w:p w14:paraId="18941480" w14:textId="62FDFF6C" w:rsidR="00141240" w:rsidRPr="005D062F" w:rsidRDefault="009C0C40" w:rsidP="00CB030B">
      <w:pPr>
        <w:pStyle w:val="ListParagraph"/>
        <w:numPr>
          <w:ilvl w:val="1"/>
          <w:numId w:val="24"/>
        </w:numPr>
        <w:ind w:left="1980" w:hanging="540"/>
        <w:jc w:val="both"/>
        <w:rPr>
          <w:rFonts w:eastAsia="Cambria"/>
          <w:color w:val="000000" w:themeColor="text1"/>
          <w:sz w:val="22"/>
          <w:szCs w:val="22"/>
          <w:lang w:val="fr-FR"/>
        </w:rPr>
      </w:pPr>
      <w:r w:rsidRPr="005D062F">
        <w:rPr>
          <w:rFonts w:eastAsia="Cambria"/>
          <w:color w:val="000000" w:themeColor="text1"/>
          <w:sz w:val="22"/>
          <w:szCs w:val="22"/>
          <w:lang w:val="fr-FR"/>
        </w:rPr>
        <w:t>Les Fondations</w:t>
      </w:r>
      <w:r w:rsidR="00141240" w:rsidRPr="005D062F">
        <w:rPr>
          <w:rFonts w:eastAsia="Cambria"/>
          <w:color w:val="000000" w:themeColor="text1"/>
          <w:sz w:val="22"/>
          <w:szCs w:val="22"/>
          <w:lang w:val="fr-FR"/>
        </w:rPr>
        <w:t xml:space="preserve"> Padre Arrupe Foundation (El Salvador), Gabriel Lewis Galindo </w:t>
      </w:r>
      <w:r w:rsidRPr="005D062F">
        <w:rPr>
          <w:rFonts w:eastAsia="Cambria"/>
          <w:color w:val="000000" w:themeColor="text1"/>
          <w:sz w:val="22"/>
          <w:szCs w:val="22"/>
          <w:lang w:val="fr-FR"/>
        </w:rPr>
        <w:t>(Panama), Telefónica Movistar Chile (Chili), Telefónica Movistar Uruguay et</w:t>
      </w:r>
      <w:r w:rsidR="00141240" w:rsidRPr="005D062F">
        <w:rPr>
          <w:rFonts w:eastAsia="Cambria"/>
          <w:color w:val="000000" w:themeColor="text1"/>
          <w:sz w:val="22"/>
          <w:szCs w:val="22"/>
          <w:lang w:val="fr-FR"/>
        </w:rPr>
        <w:t xml:space="preserve"> </w:t>
      </w:r>
      <w:r w:rsidRPr="005D062F">
        <w:rPr>
          <w:rFonts w:eastAsia="Cambria"/>
          <w:color w:val="000000" w:themeColor="text1"/>
          <w:sz w:val="22"/>
          <w:szCs w:val="22"/>
          <w:lang w:val="fr-FR"/>
        </w:rPr>
        <w:t>Telefónica Perú (Pérou) ont rejoint le processus d’enregistrement des organisations de la société civile auprès de l’OEA</w:t>
      </w:r>
      <w:r w:rsidR="00141240" w:rsidRPr="005D062F">
        <w:rPr>
          <w:rFonts w:eastAsia="Cambria"/>
          <w:color w:val="000000" w:themeColor="text1"/>
          <w:sz w:val="22"/>
          <w:szCs w:val="22"/>
          <w:lang w:val="fr-FR"/>
        </w:rPr>
        <w:t>.</w:t>
      </w:r>
    </w:p>
    <w:p w14:paraId="03E333B1" w14:textId="77777777" w:rsidR="00141240" w:rsidRPr="005D062F" w:rsidRDefault="00141240" w:rsidP="00723DAD">
      <w:pPr>
        <w:jc w:val="both"/>
        <w:rPr>
          <w:rFonts w:ascii="Times New Roman" w:eastAsia="Calibri" w:hAnsi="Times New Roman" w:cs="Times New Roman"/>
          <w:color w:val="000000" w:themeColor="text1"/>
          <w:sz w:val="22"/>
          <w:szCs w:val="22"/>
          <w:lang w:val="fr-FR"/>
        </w:rPr>
      </w:pPr>
    </w:p>
    <w:p w14:paraId="23CBDE4E" w14:textId="0B95E229" w:rsidR="00141240" w:rsidRPr="005D062F" w:rsidRDefault="00166D41" w:rsidP="00CB030B">
      <w:pPr>
        <w:pStyle w:val="ListParagraph"/>
        <w:numPr>
          <w:ilvl w:val="0"/>
          <w:numId w:val="24"/>
        </w:numPr>
        <w:ind w:left="1440" w:hanging="720"/>
        <w:jc w:val="both"/>
        <w:rPr>
          <w:rFonts w:eastAsia="Cambria"/>
          <w:color w:val="000000" w:themeColor="text1"/>
          <w:sz w:val="22"/>
          <w:szCs w:val="22"/>
          <w:lang w:val="fr-FR"/>
        </w:rPr>
      </w:pPr>
      <w:r w:rsidRPr="005D062F">
        <w:rPr>
          <w:rFonts w:eastAsia="Cambria"/>
          <w:color w:val="000000" w:themeColor="text1"/>
          <w:sz w:val="22"/>
          <w:szCs w:val="22"/>
          <w:lang w:val="fr-FR"/>
        </w:rPr>
        <w:t xml:space="preserve">Six-cent-quinze (615) citoyens </w:t>
      </w:r>
      <w:r w:rsidRPr="005D062F">
        <w:rPr>
          <w:rFonts w:eastAsia="Times New Roman"/>
          <w:color w:val="000000"/>
          <w:sz w:val="22"/>
          <w:szCs w:val="22"/>
          <w:lang w:val="fr-FR"/>
        </w:rPr>
        <w:t>de 22 États membres se sont inscrits à des cours en ligne et des diplômes</w:t>
      </w:r>
      <w:r w:rsidR="00141240" w:rsidRPr="005D062F">
        <w:rPr>
          <w:rFonts w:eastAsia="Cambria"/>
          <w:color w:val="000000" w:themeColor="text1"/>
          <w:sz w:val="22"/>
          <w:szCs w:val="22"/>
          <w:lang w:val="fr-FR"/>
        </w:rPr>
        <w:t xml:space="preserve">, </w:t>
      </w:r>
      <w:r w:rsidRPr="005D062F">
        <w:rPr>
          <w:rFonts w:eastAsia="Cambria"/>
          <w:color w:val="000000" w:themeColor="text1"/>
          <w:sz w:val="22"/>
          <w:szCs w:val="22"/>
          <w:lang w:val="fr-FR"/>
        </w:rPr>
        <w:t>dont</w:t>
      </w:r>
      <w:r w:rsidR="005D753C" w:rsidRPr="005D062F">
        <w:rPr>
          <w:rFonts w:eastAsia="Cambria"/>
          <w:color w:val="000000" w:themeColor="text1"/>
          <w:sz w:val="22"/>
          <w:szCs w:val="22"/>
          <w:lang w:val="fr-FR"/>
        </w:rPr>
        <w:t xml:space="preserve"> </w:t>
      </w:r>
      <w:r w:rsidR="00141240" w:rsidRPr="005D062F">
        <w:rPr>
          <w:rFonts w:eastAsia="Cambria"/>
          <w:color w:val="000000" w:themeColor="text1"/>
          <w:sz w:val="22"/>
          <w:szCs w:val="22"/>
          <w:lang w:val="fr-FR"/>
        </w:rPr>
        <w:t xml:space="preserve">234 </w:t>
      </w:r>
      <w:r w:rsidRPr="005D062F">
        <w:rPr>
          <w:rFonts w:eastAsia="Times New Roman"/>
          <w:color w:val="000000"/>
          <w:sz w:val="22"/>
          <w:szCs w:val="22"/>
          <w:lang w:val="fr-FR"/>
        </w:rPr>
        <w:t>ont bénéficié de bourses partielles pour des cours enseignés dans la sal</w:t>
      </w:r>
      <w:r w:rsidR="00CF18F1" w:rsidRPr="005D062F">
        <w:rPr>
          <w:rFonts w:eastAsia="Times New Roman"/>
          <w:color w:val="000000"/>
          <w:sz w:val="22"/>
          <w:szCs w:val="22"/>
          <w:lang w:val="fr-FR"/>
        </w:rPr>
        <w:t>l</w:t>
      </w:r>
      <w:r w:rsidRPr="005D062F">
        <w:rPr>
          <w:rFonts w:eastAsia="Times New Roman"/>
          <w:color w:val="000000"/>
          <w:sz w:val="22"/>
          <w:szCs w:val="22"/>
          <w:lang w:val="fr-FR"/>
        </w:rPr>
        <w:t>e de classe virtuelle du Portail éducatif des Amériques</w:t>
      </w:r>
      <w:r w:rsidR="00141240" w:rsidRPr="005D062F">
        <w:rPr>
          <w:rFonts w:eastAsia="Cambria"/>
          <w:color w:val="000000" w:themeColor="text1"/>
          <w:sz w:val="22"/>
          <w:szCs w:val="22"/>
          <w:lang w:val="fr-FR"/>
        </w:rPr>
        <w:t>.</w:t>
      </w:r>
    </w:p>
    <w:p w14:paraId="366C463E" w14:textId="77777777" w:rsidR="00361BA0" w:rsidRPr="005D062F" w:rsidRDefault="00361BA0" w:rsidP="00723DAD">
      <w:pPr>
        <w:jc w:val="both"/>
        <w:rPr>
          <w:rFonts w:ascii="Times New Roman" w:eastAsia="Calibri" w:hAnsi="Times New Roman" w:cs="Times New Roman"/>
          <w:color w:val="000000" w:themeColor="text1"/>
          <w:sz w:val="22"/>
          <w:szCs w:val="22"/>
          <w:lang w:val="fr-FR"/>
        </w:rPr>
      </w:pPr>
    </w:p>
    <w:p w14:paraId="5F1C1CC4" w14:textId="40A56156" w:rsidR="00141240" w:rsidRPr="005D062F" w:rsidRDefault="00166D41" w:rsidP="00CB030B">
      <w:pPr>
        <w:pStyle w:val="ListParagraph"/>
        <w:numPr>
          <w:ilvl w:val="0"/>
          <w:numId w:val="24"/>
        </w:numPr>
        <w:ind w:left="1440" w:hanging="720"/>
        <w:jc w:val="both"/>
        <w:rPr>
          <w:rFonts w:eastAsia="Cambria"/>
          <w:color w:val="000000" w:themeColor="text1"/>
          <w:sz w:val="22"/>
          <w:szCs w:val="22"/>
          <w:lang w:val="fr-FR"/>
        </w:rPr>
      </w:pPr>
      <w:r w:rsidRPr="005D062F">
        <w:rPr>
          <w:rFonts w:eastAsia="Cambria"/>
          <w:color w:val="000000" w:themeColor="text1"/>
          <w:sz w:val="22"/>
          <w:szCs w:val="22"/>
          <w:lang w:val="fr-FR"/>
        </w:rPr>
        <w:t>Trois-mille-deux-cent-quatre-vingt-onze (3 </w:t>
      </w:r>
      <w:r w:rsidR="00141240" w:rsidRPr="005D062F">
        <w:rPr>
          <w:rFonts w:eastAsia="Cambria"/>
          <w:color w:val="000000" w:themeColor="text1"/>
          <w:sz w:val="22"/>
          <w:szCs w:val="22"/>
          <w:lang w:val="fr-FR"/>
        </w:rPr>
        <w:t>291</w:t>
      </w:r>
      <w:r w:rsidRPr="005D062F">
        <w:rPr>
          <w:rFonts w:eastAsia="Cambria"/>
          <w:color w:val="000000" w:themeColor="text1"/>
          <w:sz w:val="22"/>
          <w:szCs w:val="22"/>
          <w:lang w:val="fr-FR"/>
        </w:rPr>
        <w:t>) personnes ont eu accès à des cours en ligne ouverts à tous gratuits dans les domaines de l’éducation, des droits humains, des questions de genre, de l’enseignement des STIM-STI</w:t>
      </w:r>
      <w:r w:rsidR="00141240" w:rsidRPr="005D062F">
        <w:rPr>
          <w:rFonts w:eastAsia="Cambria"/>
          <w:color w:val="000000" w:themeColor="text1"/>
          <w:sz w:val="22"/>
          <w:szCs w:val="22"/>
          <w:lang w:val="fr-FR"/>
        </w:rPr>
        <w:t xml:space="preserve">AM </w:t>
      </w:r>
      <w:r w:rsidRPr="005D062F">
        <w:rPr>
          <w:rFonts w:eastAsia="Cambria"/>
          <w:color w:val="000000" w:themeColor="text1"/>
          <w:sz w:val="22"/>
          <w:szCs w:val="22"/>
          <w:lang w:val="fr-FR"/>
        </w:rPr>
        <w:t>et de la</w:t>
      </w:r>
      <w:r w:rsidR="005D753C" w:rsidRPr="005D062F">
        <w:rPr>
          <w:rFonts w:eastAsia="Cambria"/>
          <w:color w:val="000000" w:themeColor="text1"/>
          <w:sz w:val="22"/>
          <w:szCs w:val="22"/>
          <w:lang w:val="fr-FR"/>
        </w:rPr>
        <w:t xml:space="preserve"> </w:t>
      </w:r>
      <w:r w:rsidR="00141240" w:rsidRPr="005D062F">
        <w:rPr>
          <w:rFonts w:eastAsia="Cambria"/>
          <w:color w:val="000000" w:themeColor="text1"/>
          <w:sz w:val="22"/>
          <w:szCs w:val="22"/>
          <w:lang w:val="fr-FR"/>
        </w:rPr>
        <w:t>cybers</w:t>
      </w:r>
      <w:r w:rsidRPr="005D062F">
        <w:rPr>
          <w:rFonts w:eastAsia="Cambria"/>
          <w:color w:val="000000" w:themeColor="text1"/>
          <w:sz w:val="22"/>
          <w:szCs w:val="22"/>
          <w:lang w:val="fr-FR"/>
        </w:rPr>
        <w:t>é</w:t>
      </w:r>
      <w:r w:rsidR="00141240" w:rsidRPr="005D062F">
        <w:rPr>
          <w:rFonts w:eastAsia="Cambria"/>
          <w:color w:val="000000" w:themeColor="text1"/>
          <w:sz w:val="22"/>
          <w:szCs w:val="22"/>
          <w:lang w:val="fr-FR"/>
        </w:rPr>
        <w:t>curit</w:t>
      </w:r>
      <w:r w:rsidRPr="005D062F">
        <w:rPr>
          <w:rFonts w:eastAsia="Cambria"/>
          <w:color w:val="000000" w:themeColor="text1"/>
          <w:sz w:val="22"/>
          <w:szCs w:val="22"/>
          <w:lang w:val="fr-FR"/>
        </w:rPr>
        <w:t>é</w:t>
      </w:r>
      <w:r w:rsidR="005D753C" w:rsidRPr="005D062F">
        <w:rPr>
          <w:rFonts w:eastAsia="Cambria"/>
          <w:color w:val="000000" w:themeColor="text1"/>
          <w:sz w:val="22"/>
          <w:szCs w:val="22"/>
          <w:lang w:val="fr-FR"/>
        </w:rPr>
        <w:t>.</w:t>
      </w:r>
    </w:p>
    <w:p w14:paraId="34FBE6CA" w14:textId="77777777" w:rsidR="00361BA0" w:rsidRPr="005D062F" w:rsidRDefault="00361BA0" w:rsidP="00723DAD">
      <w:pPr>
        <w:jc w:val="both"/>
        <w:rPr>
          <w:rFonts w:ascii="Times New Roman" w:eastAsia="Calibri" w:hAnsi="Times New Roman" w:cs="Times New Roman"/>
          <w:color w:val="000000" w:themeColor="text1"/>
          <w:sz w:val="22"/>
          <w:szCs w:val="22"/>
          <w:lang w:val="fr-FR"/>
        </w:rPr>
      </w:pPr>
    </w:p>
    <w:p w14:paraId="13DD7787" w14:textId="0D422C33" w:rsidR="00141240" w:rsidRPr="005D062F" w:rsidRDefault="005D1B68" w:rsidP="00CB030B">
      <w:pPr>
        <w:pStyle w:val="ListParagraph"/>
        <w:numPr>
          <w:ilvl w:val="0"/>
          <w:numId w:val="24"/>
        </w:numPr>
        <w:ind w:left="1440" w:hanging="720"/>
        <w:jc w:val="both"/>
        <w:rPr>
          <w:rFonts w:eastAsia="Cambria"/>
          <w:color w:val="000000" w:themeColor="text1"/>
          <w:sz w:val="22"/>
          <w:szCs w:val="22"/>
          <w:lang w:val="fr-FR"/>
        </w:rPr>
      </w:pPr>
      <w:r w:rsidRPr="005D062F">
        <w:rPr>
          <w:rFonts w:eastAsia="Cambria"/>
          <w:color w:val="000000" w:themeColor="text1"/>
          <w:sz w:val="22"/>
          <w:szCs w:val="22"/>
          <w:lang w:val="fr-FR"/>
        </w:rPr>
        <w:t xml:space="preserve">Quatorze (14) cours virtuels ont été élaborés en coordination avec les </w:t>
      </w:r>
      <w:r w:rsidR="00CF18F1" w:rsidRPr="005D062F">
        <w:rPr>
          <w:rFonts w:eastAsia="Cambria"/>
          <w:color w:val="000000" w:themeColor="text1"/>
          <w:sz w:val="22"/>
          <w:szCs w:val="22"/>
          <w:lang w:val="fr-FR"/>
        </w:rPr>
        <w:t>partenaires</w:t>
      </w:r>
      <w:r w:rsidRPr="005D062F">
        <w:rPr>
          <w:rFonts w:eastAsia="Cambria"/>
          <w:color w:val="000000" w:themeColor="text1"/>
          <w:sz w:val="22"/>
          <w:szCs w:val="22"/>
          <w:lang w:val="fr-FR"/>
        </w:rPr>
        <w:t xml:space="preserve"> stratégiques de l’OEA</w:t>
      </w:r>
      <w:r w:rsidR="00AE0659" w:rsidRPr="005D062F">
        <w:rPr>
          <w:rFonts w:eastAsia="Cambria"/>
          <w:color w:val="000000" w:themeColor="text1"/>
          <w:sz w:val="22"/>
          <w:szCs w:val="22"/>
          <w:lang w:val="fr-FR"/>
        </w:rPr>
        <w:t>, avec les résultats suivants </w:t>
      </w:r>
      <w:r w:rsidR="005D753C" w:rsidRPr="005D062F">
        <w:rPr>
          <w:rFonts w:eastAsia="Cambria"/>
          <w:color w:val="000000" w:themeColor="text1"/>
          <w:sz w:val="22"/>
          <w:szCs w:val="22"/>
          <w:lang w:val="fr-FR"/>
        </w:rPr>
        <w:t>:</w:t>
      </w:r>
    </w:p>
    <w:p w14:paraId="323F2FF7" w14:textId="77777777" w:rsidR="00141240" w:rsidRPr="005D062F" w:rsidRDefault="00141240" w:rsidP="00723DAD">
      <w:pPr>
        <w:jc w:val="both"/>
        <w:rPr>
          <w:rFonts w:ascii="Times New Roman" w:eastAsia="Calibri" w:hAnsi="Times New Roman" w:cs="Times New Roman"/>
          <w:color w:val="000000" w:themeColor="text1"/>
          <w:sz w:val="22"/>
          <w:szCs w:val="22"/>
          <w:lang w:val="fr-FR"/>
        </w:rPr>
      </w:pPr>
    </w:p>
    <w:p w14:paraId="3D1FD9DE" w14:textId="2ADB2193" w:rsidR="00141240" w:rsidRPr="005D062F" w:rsidRDefault="00AE0659" w:rsidP="00CB030B">
      <w:pPr>
        <w:pStyle w:val="ListParagraph"/>
        <w:numPr>
          <w:ilvl w:val="1"/>
          <w:numId w:val="24"/>
        </w:numPr>
        <w:ind w:left="1980" w:hanging="540"/>
        <w:jc w:val="both"/>
        <w:rPr>
          <w:rFonts w:eastAsia="Cambria"/>
          <w:color w:val="000000" w:themeColor="text1"/>
          <w:sz w:val="22"/>
          <w:szCs w:val="22"/>
          <w:lang w:val="fr-FR"/>
        </w:rPr>
      </w:pPr>
      <w:r w:rsidRPr="005D062F">
        <w:rPr>
          <w:color w:val="000000" w:themeColor="text1"/>
          <w:sz w:val="22"/>
          <w:szCs w:val="22"/>
          <w:lang w:val="fr-FR"/>
        </w:rPr>
        <w:t>Deux-mille-cinq-cent-quatre-vingts (2 </w:t>
      </w:r>
      <w:r w:rsidR="00141240" w:rsidRPr="005D062F">
        <w:rPr>
          <w:color w:val="000000" w:themeColor="text1"/>
          <w:sz w:val="22"/>
          <w:szCs w:val="22"/>
          <w:lang w:val="fr-FR"/>
        </w:rPr>
        <w:t>580</w:t>
      </w:r>
      <w:r w:rsidRPr="005D062F">
        <w:rPr>
          <w:color w:val="000000" w:themeColor="text1"/>
          <w:sz w:val="22"/>
          <w:szCs w:val="22"/>
          <w:lang w:val="fr-FR"/>
        </w:rPr>
        <w:t xml:space="preserve">) </w:t>
      </w:r>
      <w:r w:rsidR="00141240" w:rsidRPr="005D062F">
        <w:rPr>
          <w:color w:val="000000" w:themeColor="text1"/>
          <w:sz w:val="22"/>
          <w:szCs w:val="22"/>
          <w:lang w:val="fr-FR"/>
        </w:rPr>
        <w:t>pe</w:t>
      </w:r>
      <w:r w:rsidRPr="005D062F">
        <w:rPr>
          <w:color w:val="000000" w:themeColor="text1"/>
          <w:sz w:val="22"/>
          <w:szCs w:val="22"/>
          <w:lang w:val="fr-FR"/>
        </w:rPr>
        <w:t xml:space="preserve">rsonnes ont été formées aux droits humains </w:t>
      </w:r>
      <w:r w:rsidR="00141240" w:rsidRPr="005D062F">
        <w:rPr>
          <w:color w:val="000000" w:themeColor="text1"/>
          <w:sz w:val="22"/>
          <w:szCs w:val="22"/>
          <w:lang w:val="fr-FR"/>
        </w:rPr>
        <w:t>(</w:t>
      </w:r>
      <w:r w:rsidRPr="005D062F">
        <w:rPr>
          <w:sz w:val="22"/>
          <w:szCs w:val="22"/>
          <w:lang w:val="fr-FR"/>
        </w:rPr>
        <w:t>Commission interaméricaine des droits de l’homme</w:t>
      </w:r>
      <w:r w:rsidR="00141240" w:rsidRPr="005D062F">
        <w:rPr>
          <w:color w:val="000000" w:themeColor="text1"/>
          <w:sz w:val="22"/>
          <w:szCs w:val="22"/>
          <w:lang w:val="fr-FR"/>
        </w:rPr>
        <w:t>)</w:t>
      </w:r>
      <w:r w:rsidR="005D753C" w:rsidRPr="005D062F">
        <w:rPr>
          <w:color w:val="000000" w:themeColor="text1"/>
          <w:sz w:val="22"/>
          <w:szCs w:val="22"/>
          <w:lang w:val="fr-FR"/>
        </w:rPr>
        <w:t>,</w:t>
      </w:r>
    </w:p>
    <w:p w14:paraId="09F5E9E6" w14:textId="76253B91" w:rsidR="00141240" w:rsidRPr="005D062F" w:rsidRDefault="00AE0659" w:rsidP="00CB030B">
      <w:pPr>
        <w:pStyle w:val="ListParagraph"/>
        <w:numPr>
          <w:ilvl w:val="1"/>
          <w:numId w:val="24"/>
        </w:numPr>
        <w:ind w:left="1980" w:hanging="540"/>
        <w:jc w:val="both"/>
        <w:rPr>
          <w:rFonts w:eastAsia="Cambria"/>
          <w:color w:val="000000" w:themeColor="text1"/>
          <w:sz w:val="22"/>
          <w:szCs w:val="22"/>
          <w:lang w:val="fr-FR"/>
        </w:rPr>
      </w:pPr>
      <w:r w:rsidRPr="005D062F">
        <w:rPr>
          <w:color w:val="000000" w:themeColor="text1"/>
          <w:sz w:val="22"/>
          <w:szCs w:val="22"/>
          <w:lang w:val="fr-FR"/>
        </w:rPr>
        <w:t>Quatre-cents (</w:t>
      </w:r>
      <w:r w:rsidR="00141240" w:rsidRPr="005D062F">
        <w:rPr>
          <w:color w:val="000000" w:themeColor="text1"/>
          <w:sz w:val="22"/>
          <w:szCs w:val="22"/>
          <w:lang w:val="fr-FR"/>
        </w:rPr>
        <w:t>400</w:t>
      </w:r>
      <w:r w:rsidRPr="005D062F">
        <w:rPr>
          <w:color w:val="000000" w:themeColor="text1"/>
          <w:sz w:val="22"/>
          <w:szCs w:val="22"/>
          <w:lang w:val="fr-FR"/>
        </w:rPr>
        <w:t xml:space="preserve">) </w:t>
      </w:r>
      <w:r w:rsidR="00141240" w:rsidRPr="005D062F">
        <w:rPr>
          <w:color w:val="000000" w:themeColor="text1"/>
          <w:sz w:val="22"/>
          <w:szCs w:val="22"/>
          <w:lang w:val="fr-FR"/>
        </w:rPr>
        <w:t>pe</w:t>
      </w:r>
      <w:r w:rsidRPr="005D062F">
        <w:rPr>
          <w:color w:val="000000" w:themeColor="text1"/>
          <w:sz w:val="22"/>
          <w:szCs w:val="22"/>
          <w:lang w:val="fr-FR"/>
        </w:rPr>
        <w:t xml:space="preserve">rsonnes ont été formées à la prévention et à la prise en charge des victimes de la traite des personnes </w:t>
      </w:r>
      <w:r w:rsidR="00141240" w:rsidRPr="005D062F">
        <w:rPr>
          <w:color w:val="000000" w:themeColor="text1"/>
          <w:sz w:val="22"/>
          <w:szCs w:val="22"/>
          <w:lang w:val="fr-FR"/>
        </w:rPr>
        <w:t>(</w:t>
      </w:r>
      <w:r w:rsidR="004C0712" w:rsidRPr="005D062F">
        <w:rPr>
          <w:color w:val="000000" w:themeColor="text1"/>
          <w:sz w:val="22"/>
          <w:szCs w:val="22"/>
          <w:lang w:val="fr-FR"/>
        </w:rPr>
        <w:t>D</w:t>
      </w:r>
      <w:r w:rsidRPr="005D062F">
        <w:rPr>
          <w:color w:val="000000" w:themeColor="text1"/>
          <w:sz w:val="22"/>
          <w:szCs w:val="22"/>
          <w:lang w:val="fr-FR"/>
        </w:rPr>
        <w:t>é</w:t>
      </w:r>
      <w:r w:rsidR="004C0712" w:rsidRPr="005D062F">
        <w:rPr>
          <w:color w:val="000000" w:themeColor="text1"/>
          <w:sz w:val="22"/>
          <w:szCs w:val="22"/>
          <w:lang w:val="fr-FR"/>
        </w:rPr>
        <w:t>part</w:t>
      </w:r>
      <w:r w:rsidRPr="005D062F">
        <w:rPr>
          <w:color w:val="000000" w:themeColor="text1"/>
          <w:sz w:val="22"/>
          <w:szCs w:val="22"/>
          <w:lang w:val="fr-FR"/>
        </w:rPr>
        <w:t>e</w:t>
      </w:r>
      <w:r w:rsidR="004C0712" w:rsidRPr="005D062F">
        <w:rPr>
          <w:color w:val="000000" w:themeColor="text1"/>
          <w:sz w:val="22"/>
          <w:szCs w:val="22"/>
          <w:lang w:val="fr-FR"/>
        </w:rPr>
        <w:t xml:space="preserve">ment </w:t>
      </w:r>
      <w:r w:rsidRPr="005D062F">
        <w:rPr>
          <w:color w:val="000000" w:themeColor="text1"/>
          <w:sz w:val="22"/>
          <w:szCs w:val="22"/>
          <w:lang w:val="fr-FR"/>
        </w:rPr>
        <w:t>de la sécurité publique</w:t>
      </w:r>
      <w:r w:rsidR="00141240" w:rsidRPr="005D062F">
        <w:rPr>
          <w:color w:val="000000" w:themeColor="text1"/>
          <w:sz w:val="22"/>
          <w:szCs w:val="22"/>
          <w:lang w:val="fr-FR"/>
        </w:rPr>
        <w:t>)</w:t>
      </w:r>
      <w:r w:rsidRPr="005D062F">
        <w:rPr>
          <w:color w:val="000000" w:themeColor="text1"/>
          <w:sz w:val="22"/>
          <w:szCs w:val="22"/>
          <w:lang w:val="fr-FR"/>
        </w:rPr>
        <w:t>, et</w:t>
      </w:r>
    </w:p>
    <w:p w14:paraId="3A1AE4A3" w14:textId="5ADA75C3" w:rsidR="00141240" w:rsidRPr="005D062F" w:rsidRDefault="003F240A" w:rsidP="00CB030B">
      <w:pPr>
        <w:pStyle w:val="ListParagraph"/>
        <w:numPr>
          <w:ilvl w:val="1"/>
          <w:numId w:val="24"/>
        </w:numPr>
        <w:ind w:left="1980" w:hanging="540"/>
        <w:jc w:val="both"/>
        <w:rPr>
          <w:rFonts w:eastAsia="Cambria"/>
          <w:color w:val="000000" w:themeColor="text1"/>
          <w:sz w:val="22"/>
          <w:szCs w:val="22"/>
          <w:lang w:val="fr-FR"/>
        </w:rPr>
      </w:pPr>
      <w:r w:rsidRPr="005D062F">
        <w:rPr>
          <w:rFonts w:eastAsia="Cambria"/>
          <w:color w:val="000000" w:themeColor="text1"/>
          <w:sz w:val="22"/>
          <w:szCs w:val="22"/>
          <w:lang w:val="fr-FR"/>
        </w:rPr>
        <w:t>Cinquante (</w:t>
      </w:r>
      <w:r w:rsidR="00141240" w:rsidRPr="005D062F">
        <w:rPr>
          <w:rFonts w:eastAsia="Cambria"/>
          <w:color w:val="000000" w:themeColor="text1"/>
          <w:sz w:val="22"/>
          <w:szCs w:val="22"/>
          <w:lang w:val="fr-FR"/>
        </w:rPr>
        <w:t>50</w:t>
      </w:r>
      <w:r w:rsidRPr="005D062F">
        <w:rPr>
          <w:rFonts w:eastAsia="Cambria"/>
          <w:color w:val="000000" w:themeColor="text1"/>
          <w:sz w:val="22"/>
          <w:szCs w:val="22"/>
          <w:lang w:val="fr-FR"/>
        </w:rPr>
        <w:t>)</w:t>
      </w:r>
      <w:r w:rsidR="00141240" w:rsidRPr="005D062F">
        <w:rPr>
          <w:rFonts w:eastAsia="Cambria"/>
          <w:color w:val="000000" w:themeColor="text1"/>
          <w:sz w:val="22"/>
          <w:szCs w:val="22"/>
          <w:lang w:val="fr-FR"/>
        </w:rPr>
        <w:t xml:space="preserve"> pe</w:t>
      </w:r>
      <w:r w:rsidRPr="005D062F">
        <w:rPr>
          <w:rFonts w:eastAsia="Cambria"/>
          <w:color w:val="000000" w:themeColor="text1"/>
          <w:sz w:val="22"/>
          <w:szCs w:val="22"/>
          <w:lang w:val="fr-FR"/>
        </w:rPr>
        <w:t xml:space="preserve">rsonnes ont été formées à la prévention de la violence sexiste sur le lieu de travail </w:t>
      </w:r>
      <w:r w:rsidR="004D2F15">
        <w:rPr>
          <w:rFonts w:eastAsia="Cambria"/>
          <w:color w:val="000000" w:themeColor="text1"/>
          <w:sz w:val="22"/>
          <w:szCs w:val="22"/>
          <w:lang w:val="fr-FR"/>
        </w:rPr>
        <w:t>[</w:t>
      </w:r>
      <w:r w:rsidRPr="005D062F">
        <w:rPr>
          <w:rFonts w:eastAsia="Cambria"/>
          <w:color w:val="000000" w:themeColor="text1"/>
          <w:sz w:val="22"/>
          <w:szCs w:val="22"/>
          <w:lang w:val="fr-FR"/>
        </w:rPr>
        <w:t>alliance avec la Commission interaméricaine des femmes (CIM) et le Réseau interaméricain de l’administration dans le domaine du travail (RIAL)</w:t>
      </w:r>
      <w:r w:rsidR="004D2F15">
        <w:rPr>
          <w:rFonts w:eastAsia="Cambria"/>
          <w:color w:val="000000" w:themeColor="text1"/>
          <w:sz w:val="22"/>
          <w:szCs w:val="22"/>
          <w:lang w:val="fr-FR"/>
        </w:rPr>
        <w:t>]</w:t>
      </w:r>
      <w:r w:rsidR="00141240" w:rsidRPr="005D062F">
        <w:rPr>
          <w:rFonts w:eastAsia="Cambria"/>
          <w:color w:val="000000" w:themeColor="text1"/>
          <w:sz w:val="22"/>
          <w:szCs w:val="22"/>
          <w:lang w:val="fr-FR"/>
        </w:rPr>
        <w:t>.</w:t>
      </w:r>
    </w:p>
    <w:p w14:paraId="14138B17" w14:textId="77777777" w:rsidR="00141240" w:rsidRPr="005D062F" w:rsidRDefault="00141240" w:rsidP="00CB030B">
      <w:pPr>
        <w:jc w:val="both"/>
        <w:rPr>
          <w:rFonts w:ascii="Times New Roman" w:eastAsia="Calibri" w:hAnsi="Times New Roman" w:cs="Times New Roman"/>
          <w:color w:val="000000" w:themeColor="text1"/>
          <w:sz w:val="22"/>
          <w:szCs w:val="22"/>
          <w:lang w:val="fr-FR"/>
        </w:rPr>
      </w:pPr>
    </w:p>
    <w:p w14:paraId="321AB69A" w14:textId="1F15017C" w:rsidR="00D9541C" w:rsidRPr="002D4DF7" w:rsidRDefault="00C2663A" w:rsidP="002D4DF7">
      <w:pPr>
        <w:pStyle w:val="Heading2"/>
      </w:pPr>
      <w:bookmarkStart w:id="23" w:name="_Toc124243412"/>
      <w:bookmarkStart w:id="24" w:name="_Hlk94634094"/>
      <w:r w:rsidRPr="002D4DF7">
        <w:t>OBJECTIF</w:t>
      </w:r>
      <w:r w:rsidR="00141240" w:rsidRPr="002D4DF7">
        <w:t xml:space="preserve"> 3.3</w:t>
      </w:r>
      <w:bookmarkEnd w:id="23"/>
    </w:p>
    <w:p w14:paraId="6220A730" w14:textId="77777777" w:rsidR="00E85D19" w:rsidRPr="005D062F" w:rsidRDefault="00E85D19" w:rsidP="00CB030B">
      <w:pPr>
        <w:jc w:val="both"/>
        <w:rPr>
          <w:rFonts w:ascii="Times New Roman" w:eastAsia="Calibri" w:hAnsi="Times New Roman" w:cs="Times New Roman"/>
          <w:b/>
          <w:bCs/>
          <w:color w:val="000000" w:themeColor="text1"/>
          <w:sz w:val="22"/>
          <w:szCs w:val="22"/>
          <w:u w:val="single"/>
          <w:lang w:val="fr-FR"/>
        </w:rPr>
      </w:pPr>
    </w:p>
    <w:p w14:paraId="4CCBB384" w14:textId="474EEA31" w:rsidR="00141240" w:rsidRPr="005D062F" w:rsidRDefault="00DA5E85" w:rsidP="00CB030B">
      <w:pPr>
        <w:ind w:firstLine="720"/>
        <w:jc w:val="both"/>
        <w:rPr>
          <w:rFonts w:ascii="Times New Roman" w:eastAsia="Calibri" w:hAnsi="Times New Roman" w:cs="Times New Roman"/>
          <w:color w:val="000000" w:themeColor="text1"/>
          <w:sz w:val="22"/>
          <w:szCs w:val="22"/>
          <w:lang w:val="fr-FR"/>
        </w:rPr>
      </w:pPr>
      <w:r w:rsidRPr="005D062F">
        <w:rPr>
          <w:rFonts w:ascii="Times New Roman" w:eastAsia="Times New Roman" w:hAnsi="Times New Roman" w:cs="Times New Roman"/>
          <w:color w:val="000000"/>
          <w:sz w:val="22"/>
          <w:szCs w:val="22"/>
          <w:lang w:val="fr-FR"/>
        </w:rPr>
        <w:t>Renforcer les capacités institutionnelles des États membres afin d’assurer une prise en charge intégrale de la petite enfance</w:t>
      </w:r>
      <w:r w:rsidR="00141240" w:rsidRPr="005D062F">
        <w:rPr>
          <w:rFonts w:ascii="Times New Roman" w:eastAsia="Calibri" w:hAnsi="Times New Roman" w:cs="Times New Roman"/>
          <w:color w:val="000000" w:themeColor="text1"/>
          <w:sz w:val="22"/>
          <w:szCs w:val="22"/>
          <w:lang w:val="fr-FR"/>
        </w:rPr>
        <w:t>.</w:t>
      </w:r>
    </w:p>
    <w:p w14:paraId="3DB2B7B4" w14:textId="77777777" w:rsidR="00141240" w:rsidRPr="005D062F" w:rsidRDefault="00141240" w:rsidP="00CB030B">
      <w:pPr>
        <w:contextualSpacing/>
        <w:jc w:val="both"/>
        <w:rPr>
          <w:rFonts w:ascii="Times New Roman" w:eastAsia="Cambria" w:hAnsi="Times New Roman" w:cs="Times New Roman"/>
          <w:color w:val="000000" w:themeColor="text1"/>
          <w:sz w:val="22"/>
          <w:szCs w:val="22"/>
          <w:lang w:val="fr-FR"/>
        </w:rPr>
      </w:pPr>
    </w:p>
    <w:p w14:paraId="0C3E4BB0" w14:textId="7FB87276" w:rsidR="00141240" w:rsidRPr="005D062F" w:rsidRDefault="00DA5E85" w:rsidP="00CB030B">
      <w:pPr>
        <w:pStyle w:val="ListParagraph"/>
        <w:numPr>
          <w:ilvl w:val="0"/>
          <w:numId w:val="24"/>
        </w:numPr>
        <w:ind w:left="1440" w:hanging="720"/>
        <w:jc w:val="both"/>
        <w:rPr>
          <w:rFonts w:eastAsia="Cambria"/>
          <w:color w:val="000000" w:themeColor="text1"/>
          <w:sz w:val="22"/>
          <w:szCs w:val="22"/>
          <w:lang w:val="fr-FR"/>
        </w:rPr>
      </w:pPr>
      <w:r w:rsidRPr="005D062F">
        <w:rPr>
          <w:rFonts w:eastAsia="Times New Roman"/>
          <w:color w:val="000000"/>
          <w:sz w:val="22"/>
          <w:szCs w:val="22"/>
          <w:lang w:val="fr-FR"/>
        </w:rPr>
        <w:t>Un accord de coparrainage a été conclu avec l’Université des Indes occidentales</w:t>
      </w:r>
      <w:r w:rsidR="0068156E" w:rsidRPr="005D062F">
        <w:rPr>
          <w:rFonts w:eastAsia="Cambria"/>
          <w:color w:val="000000" w:themeColor="text1"/>
          <w:sz w:val="22"/>
          <w:szCs w:val="22"/>
          <w:lang w:val="fr-FR"/>
        </w:rPr>
        <w:t xml:space="preserve"> (</w:t>
      </w:r>
      <w:r w:rsidR="00141240" w:rsidRPr="005D062F">
        <w:rPr>
          <w:rFonts w:eastAsia="Cambria"/>
          <w:color w:val="000000" w:themeColor="text1"/>
          <w:sz w:val="22"/>
          <w:szCs w:val="22"/>
          <w:lang w:val="fr-FR"/>
        </w:rPr>
        <w:t>UWI</w:t>
      </w:r>
      <w:r w:rsidR="0068156E" w:rsidRPr="005D062F">
        <w:rPr>
          <w:rFonts w:eastAsia="Cambria"/>
          <w:color w:val="000000" w:themeColor="text1"/>
          <w:sz w:val="22"/>
          <w:szCs w:val="22"/>
          <w:lang w:val="fr-FR"/>
        </w:rPr>
        <w:t>)</w:t>
      </w:r>
      <w:r w:rsidR="00141240" w:rsidRPr="005D062F">
        <w:rPr>
          <w:rFonts w:eastAsia="Cambria"/>
          <w:color w:val="000000" w:themeColor="text1"/>
          <w:sz w:val="22"/>
          <w:szCs w:val="22"/>
          <w:lang w:val="fr-FR"/>
        </w:rPr>
        <w:t xml:space="preserve"> </w:t>
      </w:r>
      <w:r w:rsidRPr="005D062F">
        <w:rPr>
          <w:rFonts w:eastAsia="Times New Roman"/>
          <w:color w:val="000000"/>
          <w:sz w:val="22"/>
          <w:szCs w:val="22"/>
          <w:lang w:val="fr-FR"/>
        </w:rPr>
        <w:t xml:space="preserve">pour offrir 19 bourses d’études, pour l’année universitaire 2021-2022, à des boursiers du Programme d’alliances pour l’éducation et le perfectionnement de l’OEA-UWI, issus des États membres anglophones des Caraïbes, qui sont inscrits au cours de certificat en </w:t>
      </w:r>
      <w:r w:rsidRPr="005D062F">
        <w:rPr>
          <w:rFonts w:eastAsia="Times New Roman"/>
          <w:b/>
          <w:color w:val="000000"/>
          <w:sz w:val="22"/>
          <w:szCs w:val="22"/>
          <w:lang w:val="fr-FR"/>
        </w:rPr>
        <w:t>développement de la petite enfance et études familiales</w:t>
      </w:r>
      <w:r w:rsidR="00141240" w:rsidRPr="005D062F">
        <w:rPr>
          <w:rFonts w:eastAsia="Cambria"/>
          <w:color w:val="000000" w:themeColor="text1"/>
          <w:sz w:val="22"/>
          <w:szCs w:val="22"/>
          <w:lang w:val="fr-FR"/>
        </w:rPr>
        <w:t>.</w:t>
      </w:r>
    </w:p>
    <w:p w14:paraId="4CEA4381" w14:textId="77777777" w:rsidR="00141240" w:rsidRPr="005D062F" w:rsidRDefault="00141240" w:rsidP="00CB030B">
      <w:pPr>
        <w:ind w:firstLine="18"/>
        <w:jc w:val="both"/>
        <w:rPr>
          <w:rFonts w:ascii="Times New Roman" w:hAnsi="Times New Roman" w:cs="Times New Roman"/>
          <w:color w:val="000000" w:themeColor="text1"/>
          <w:sz w:val="22"/>
          <w:szCs w:val="22"/>
          <w:lang w:val="fr-FR"/>
        </w:rPr>
      </w:pPr>
    </w:p>
    <w:p w14:paraId="60062DCB" w14:textId="46C7050B" w:rsidR="00FA78B8" w:rsidRPr="002D4DF7" w:rsidRDefault="00C2663A" w:rsidP="002D4DF7">
      <w:pPr>
        <w:pStyle w:val="Heading2"/>
      </w:pPr>
      <w:bookmarkStart w:id="25" w:name="_Toc124243413"/>
      <w:bookmarkEnd w:id="24"/>
      <w:r w:rsidRPr="002D4DF7">
        <w:t>OBJECTIF</w:t>
      </w:r>
      <w:r w:rsidR="00141240" w:rsidRPr="002D4DF7">
        <w:t xml:space="preserve"> 3.4</w:t>
      </w:r>
      <w:bookmarkEnd w:id="25"/>
    </w:p>
    <w:p w14:paraId="2E2B6E38" w14:textId="77777777" w:rsidR="00E85D19" w:rsidRPr="002D4DF7" w:rsidRDefault="00E85D19" w:rsidP="002D4DF7">
      <w:pPr>
        <w:pStyle w:val="Heading2"/>
      </w:pPr>
    </w:p>
    <w:p w14:paraId="522C77EA" w14:textId="46AE3604" w:rsidR="00141240" w:rsidRPr="005D062F" w:rsidRDefault="00DA5E85" w:rsidP="00CB030B">
      <w:pPr>
        <w:ind w:firstLine="720"/>
        <w:jc w:val="both"/>
        <w:rPr>
          <w:rFonts w:ascii="Times New Roman" w:eastAsia="Cambria" w:hAnsi="Times New Roman" w:cs="Times New Roman"/>
          <w:color w:val="000000" w:themeColor="text1"/>
          <w:sz w:val="22"/>
          <w:szCs w:val="22"/>
          <w:lang w:val="fr-FR"/>
        </w:rPr>
      </w:pPr>
      <w:r w:rsidRPr="005D062F">
        <w:rPr>
          <w:rFonts w:ascii="Times New Roman" w:eastAsia="Times New Roman" w:hAnsi="Times New Roman" w:cs="Times New Roman"/>
          <w:color w:val="000000"/>
          <w:sz w:val="22"/>
          <w:szCs w:val="22"/>
          <w:lang w:val="fr-FR"/>
        </w:rPr>
        <w:t>Encourager, au sein des États membres, l’accès à des filières éducatives de qualité, inclusives et équitables à tous les niveaux, dans toutes les modalités et dans les quatre langues officielles de l’Organisation</w:t>
      </w:r>
      <w:r w:rsidR="00141240" w:rsidRPr="005D062F">
        <w:rPr>
          <w:rFonts w:ascii="Times New Roman" w:eastAsia="Cambria" w:hAnsi="Times New Roman" w:cs="Times New Roman"/>
          <w:color w:val="000000" w:themeColor="text1"/>
          <w:sz w:val="22"/>
          <w:szCs w:val="22"/>
          <w:lang w:val="fr-FR"/>
        </w:rPr>
        <w:t>.</w:t>
      </w:r>
    </w:p>
    <w:p w14:paraId="0F0133DD" w14:textId="77777777" w:rsidR="00141240" w:rsidRPr="005D062F" w:rsidRDefault="00141240" w:rsidP="00CB030B">
      <w:pPr>
        <w:ind w:firstLine="18"/>
        <w:jc w:val="both"/>
        <w:rPr>
          <w:rFonts w:ascii="Times New Roman" w:hAnsi="Times New Roman" w:cs="Times New Roman"/>
          <w:b/>
          <w:bCs/>
          <w:color w:val="000000" w:themeColor="text1"/>
          <w:sz w:val="22"/>
          <w:szCs w:val="22"/>
          <w:lang w:val="fr-FR"/>
        </w:rPr>
      </w:pPr>
    </w:p>
    <w:p w14:paraId="7895C21A" w14:textId="751D1A3B" w:rsidR="00FA78B8" w:rsidRPr="005D062F" w:rsidRDefault="00FC03D6" w:rsidP="00CB030B">
      <w:pPr>
        <w:jc w:val="both"/>
        <w:rPr>
          <w:rFonts w:ascii="Times New Roman" w:eastAsia="Times New Roman" w:hAnsi="Times New Roman" w:cs="Times New Roman"/>
          <w:b/>
          <w:color w:val="000000"/>
          <w:sz w:val="22"/>
          <w:szCs w:val="22"/>
          <w:lang w:val="fr-FR"/>
        </w:rPr>
      </w:pPr>
      <w:r w:rsidRPr="005D062F">
        <w:rPr>
          <w:rFonts w:ascii="Times New Roman" w:eastAsia="Times New Roman" w:hAnsi="Times New Roman" w:cs="Times New Roman"/>
          <w:b/>
          <w:color w:val="000000"/>
          <w:sz w:val="22"/>
          <w:szCs w:val="22"/>
          <w:lang w:val="fr-FR"/>
        </w:rPr>
        <w:t>Programmes de bourses d’</w:t>
      </w:r>
      <w:r w:rsidR="00DA5E85" w:rsidRPr="005D062F">
        <w:rPr>
          <w:rFonts w:ascii="Times New Roman" w:eastAsia="Times New Roman" w:hAnsi="Times New Roman" w:cs="Times New Roman"/>
          <w:b/>
          <w:color w:val="000000"/>
          <w:sz w:val="22"/>
          <w:szCs w:val="22"/>
          <w:lang w:val="fr-FR"/>
        </w:rPr>
        <w:t>étu</w:t>
      </w:r>
      <w:r w:rsidR="005C749F" w:rsidRPr="005D062F">
        <w:rPr>
          <w:rFonts w:ascii="Times New Roman" w:eastAsia="Times New Roman" w:hAnsi="Times New Roman" w:cs="Times New Roman"/>
          <w:b/>
          <w:color w:val="000000"/>
          <w:sz w:val="22"/>
          <w:szCs w:val="22"/>
          <w:lang w:val="fr-FR"/>
        </w:rPr>
        <w:t>des et de perfectionnement de l’</w:t>
      </w:r>
      <w:r w:rsidR="00DA5E85" w:rsidRPr="005D062F">
        <w:rPr>
          <w:rFonts w:ascii="Times New Roman" w:eastAsia="Times New Roman" w:hAnsi="Times New Roman" w:cs="Times New Roman"/>
          <w:b/>
          <w:color w:val="000000"/>
          <w:sz w:val="22"/>
          <w:szCs w:val="22"/>
          <w:lang w:val="fr-FR"/>
        </w:rPr>
        <w:t>OEA</w:t>
      </w:r>
    </w:p>
    <w:p w14:paraId="4163162C" w14:textId="77777777" w:rsidR="00DA5E85" w:rsidRPr="005D062F" w:rsidRDefault="00DA5E85" w:rsidP="00CB030B">
      <w:pPr>
        <w:jc w:val="both"/>
        <w:rPr>
          <w:rFonts w:ascii="Times New Roman" w:eastAsia="Cambria" w:hAnsi="Times New Roman" w:cs="Times New Roman"/>
          <w:color w:val="000000" w:themeColor="text1"/>
          <w:sz w:val="22"/>
          <w:szCs w:val="22"/>
          <w:lang w:val="fr-FR"/>
        </w:rPr>
      </w:pPr>
    </w:p>
    <w:p w14:paraId="7E02D2CE" w14:textId="6FA9C488" w:rsidR="00141240" w:rsidRPr="005D062F" w:rsidRDefault="00DA5E85" w:rsidP="00CB030B">
      <w:pPr>
        <w:pStyle w:val="ListParagraph"/>
        <w:numPr>
          <w:ilvl w:val="0"/>
          <w:numId w:val="24"/>
        </w:numPr>
        <w:ind w:left="1440" w:hanging="720"/>
        <w:jc w:val="both"/>
        <w:rPr>
          <w:rFonts w:eastAsia="Cambria"/>
          <w:color w:val="000000" w:themeColor="text1"/>
          <w:sz w:val="22"/>
          <w:szCs w:val="22"/>
          <w:lang w:val="fr-FR"/>
        </w:rPr>
      </w:pPr>
      <w:r w:rsidRPr="005D062F">
        <w:rPr>
          <w:rFonts w:eastAsia="Cambria"/>
          <w:color w:val="000000" w:themeColor="text1"/>
          <w:sz w:val="22"/>
          <w:szCs w:val="22"/>
          <w:lang w:val="fr-FR"/>
        </w:rPr>
        <w:t xml:space="preserve">Avec le soutien des </w:t>
      </w:r>
      <w:r w:rsidR="00141240" w:rsidRPr="005D062F">
        <w:rPr>
          <w:rFonts w:eastAsia="Cambria"/>
          <w:color w:val="000000" w:themeColor="text1"/>
          <w:sz w:val="22"/>
          <w:szCs w:val="22"/>
          <w:lang w:val="fr-FR"/>
        </w:rPr>
        <w:t>Go</w:t>
      </w:r>
      <w:r w:rsidRPr="005D062F">
        <w:rPr>
          <w:rFonts w:eastAsia="Cambria"/>
          <w:color w:val="000000" w:themeColor="text1"/>
          <w:sz w:val="22"/>
          <w:szCs w:val="22"/>
          <w:lang w:val="fr-FR"/>
        </w:rPr>
        <w:t>u</w:t>
      </w:r>
      <w:r w:rsidR="00141240" w:rsidRPr="005D062F">
        <w:rPr>
          <w:rFonts w:eastAsia="Cambria"/>
          <w:color w:val="000000" w:themeColor="text1"/>
          <w:sz w:val="22"/>
          <w:szCs w:val="22"/>
          <w:lang w:val="fr-FR"/>
        </w:rPr>
        <w:t>vern</w:t>
      </w:r>
      <w:r w:rsidRPr="005D062F">
        <w:rPr>
          <w:rFonts w:eastAsia="Cambria"/>
          <w:color w:val="000000" w:themeColor="text1"/>
          <w:sz w:val="22"/>
          <w:szCs w:val="22"/>
          <w:lang w:val="fr-FR"/>
        </w:rPr>
        <w:t>ements d</w:t>
      </w:r>
      <w:r w:rsidR="00141240" w:rsidRPr="005D062F">
        <w:rPr>
          <w:rFonts w:eastAsia="Cambria"/>
          <w:color w:val="000000" w:themeColor="text1"/>
          <w:sz w:val="22"/>
          <w:szCs w:val="22"/>
          <w:lang w:val="fr-FR"/>
        </w:rPr>
        <w:t>e</w:t>
      </w:r>
      <w:r w:rsidRPr="005D062F">
        <w:rPr>
          <w:rFonts w:eastAsia="Cambria"/>
          <w:color w:val="000000" w:themeColor="text1"/>
          <w:sz w:val="22"/>
          <w:szCs w:val="22"/>
          <w:lang w:val="fr-FR"/>
        </w:rPr>
        <w:t>s</w:t>
      </w:r>
      <w:r w:rsidR="00141240" w:rsidRPr="005D062F">
        <w:rPr>
          <w:rFonts w:eastAsia="Cambria"/>
          <w:color w:val="000000" w:themeColor="text1"/>
          <w:sz w:val="22"/>
          <w:szCs w:val="22"/>
          <w:lang w:val="fr-FR"/>
        </w:rPr>
        <w:t xml:space="preserve"> Bahamas, </w:t>
      </w:r>
      <w:r w:rsidRPr="005D062F">
        <w:rPr>
          <w:rFonts w:eastAsia="Cambria"/>
          <w:color w:val="000000" w:themeColor="text1"/>
          <w:sz w:val="22"/>
          <w:szCs w:val="22"/>
          <w:lang w:val="fr-FR"/>
        </w:rPr>
        <w:t>du Brés</w:t>
      </w:r>
      <w:r w:rsidR="00141240" w:rsidRPr="005D062F">
        <w:rPr>
          <w:rFonts w:eastAsia="Cambria"/>
          <w:color w:val="000000" w:themeColor="text1"/>
          <w:sz w:val="22"/>
          <w:szCs w:val="22"/>
          <w:lang w:val="fr-FR"/>
        </w:rPr>
        <w:t xml:space="preserve">il, </w:t>
      </w:r>
      <w:r w:rsidRPr="005D062F">
        <w:rPr>
          <w:rFonts w:eastAsia="Cambria"/>
          <w:color w:val="000000" w:themeColor="text1"/>
          <w:sz w:val="22"/>
          <w:szCs w:val="22"/>
          <w:lang w:val="fr-FR"/>
        </w:rPr>
        <w:t>du Chili et du Mexique</w:t>
      </w:r>
      <w:r w:rsidR="00141240" w:rsidRPr="005D062F">
        <w:rPr>
          <w:rFonts w:eastAsia="Cambria"/>
          <w:color w:val="000000" w:themeColor="text1"/>
          <w:sz w:val="22"/>
          <w:szCs w:val="22"/>
          <w:lang w:val="fr-FR"/>
        </w:rPr>
        <w:t>,</w:t>
      </w:r>
      <w:r w:rsidRPr="005D062F">
        <w:rPr>
          <w:rFonts w:eastAsia="Cambria"/>
          <w:color w:val="000000" w:themeColor="text1"/>
          <w:sz w:val="22"/>
          <w:szCs w:val="22"/>
          <w:lang w:val="fr-FR"/>
        </w:rPr>
        <w:t xml:space="preserve"> et en partenariat avec diverses institutions régionales et internationales, 3 432 </w:t>
      </w:r>
      <w:r w:rsidR="00931836" w:rsidRPr="005D062F">
        <w:rPr>
          <w:rFonts w:eastAsia="Cambria"/>
          <w:color w:val="000000" w:themeColor="text1"/>
          <w:sz w:val="22"/>
          <w:szCs w:val="22"/>
          <w:lang w:val="fr-FR"/>
        </w:rPr>
        <w:t>bourses d’</w:t>
      </w:r>
      <w:r w:rsidRPr="005D062F">
        <w:rPr>
          <w:rFonts w:eastAsia="Cambria"/>
          <w:color w:val="000000" w:themeColor="text1"/>
          <w:sz w:val="22"/>
          <w:szCs w:val="22"/>
          <w:lang w:val="fr-FR"/>
        </w:rPr>
        <w:t>études</w:t>
      </w:r>
      <w:r w:rsidR="00141240" w:rsidRPr="005D062F">
        <w:rPr>
          <w:rFonts w:eastAsia="Cambria"/>
          <w:color w:val="000000" w:themeColor="text1"/>
          <w:sz w:val="22"/>
          <w:szCs w:val="22"/>
          <w:lang w:val="fr-FR"/>
        </w:rPr>
        <w:t xml:space="preserve"> </w:t>
      </w:r>
      <w:r w:rsidRPr="005D062F">
        <w:rPr>
          <w:rFonts w:eastAsia="Cambria"/>
          <w:color w:val="000000" w:themeColor="text1"/>
          <w:sz w:val="22"/>
          <w:szCs w:val="22"/>
          <w:lang w:val="fr-FR"/>
        </w:rPr>
        <w:t>ont été attribuées à des citoyens de 34 États membres</w:t>
      </w:r>
      <w:r w:rsidR="00141240" w:rsidRPr="005D062F">
        <w:rPr>
          <w:rFonts w:eastAsia="Cambria"/>
          <w:color w:val="000000" w:themeColor="text1"/>
          <w:sz w:val="22"/>
          <w:szCs w:val="22"/>
          <w:lang w:val="fr-FR"/>
        </w:rPr>
        <w:t>.</w:t>
      </w:r>
    </w:p>
    <w:p w14:paraId="4D5E16C1" w14:textId="77777777" w:rsidR="00141240" w:rsidRPr="005D062F" w:rsidRDefault="00141240" w:rsidP="00723DAD">
      <w:pPr>
        <w:jc w:val="both"/>
        <w:rPr>
          <w:rFonts w:ascii="Times New Roman" w:eastAsia="Calibri" w:hAnsi="Times New Roman" w:cs="Times New Roman"/>
          <w:color w:val="000000" w:themeColor="text1"/>
          <w:sz w:val="22"/>
          <w:szCs w:val="22"/>
          <w:lang w:val="fr-FR"/>
        </w:rPr>
      </w:pPr>
    </w:p>
    <w:p w14:paraId="2D9BD5F0" w14:textId="01A694DA" w:rsidR="00141240" w:rsidRPr="005D062F" w:rsidRDefault="00931836" w:rsidP="00CB030B">
      <w:pPr>
        <w:pStyle w:val="ListParagraph"/>
        <w:numPr>
          <w:ilvl w:val="0"/>
          <w:numId w:val="24"/>
        </w:numPr>
        <w:ind w:left="1440" w:hanging="720"/>
        <w:jc w:val="both"/>
        <w:rPr>
          <w:rFonts w:eastAsia="Cambria"/>
          <w:color w:val="000000" w:themeColor="text1"/>
          <w:sz w:val="22"/>
          <w:szCs w:val="22"/>
          <w:lang w:val="fr-FR"/>
        </w:rPr>
      </w:pPr>
      <w:r w:rsidRPr="005D062F">
        <w:rPr>
          <w:rFonts w:eastAsia="Times New Roman"/>
          <w:color w:val="000000"/>
          <w:sz w:val="22"/>
          <w:szCs w:val="22"/>
          <w:lang w:val="fr-FR"/>
        </w:rPr>
        <w:t>Plus de 11 </w:t>
      </w:r>
      <w:r w:rsidR="00141240" w:rsidRPr="005D062F">
        <w:rPr>
          <w:color w:val="000000" w:themeColor="text1"/>
          <w:sz w:val="22"/>
          <w:szCs w:val="22"/>
          <w:lang w:val="fr-FR"/>
        </w:rPr>
        <w:t xml:space="preserve">000 </w:t>
      </w:r>
      <w:r w:rsidRPr="005D062F">
        <w:rPr>
          <w:rFonts w:eastAsia="Times New Roman"/>
          <w:color w:val="000000"/>
          <w:sz w:val="22"/>
          <w:szCs w:val="22"/>
          <w:lang w:val="fr-FR"/>
        </w:rPr>
        <w:t>bourses d’études</w:t>
      </w:r>
      <w:r w:rsidR="00141240" w:rsidRPr="005D062F">
        <w:rPr>
          <w:color w:val="000000" w:themeColor="text1"/>
          <w:sz w:val="22"/>
          <w:szCs w:val="22"/>
          <w:lang w:val="fr-FR"/>
        </w:rPr>
        <w:t xml:space="preserve"> </w:t>
      </w:r>
      <w:r w:rsidR="006A6921" w:rsidRPr="005D062F">
        <w:rPr>
          <w:color w:val="000000" w:themeColor="text1"/>
          <w:sz w:val="22"/>
          <w:szCs w:val="22"/>
          <w:lang w:val="fr-FR"/>
        </w:rPr>
        <w:t xml:space="preserve">ont été proposées </w:t>
      </w:r>
      <w:r w:rsidRPr="005D062F">
        <w:rPr>
          <w:rFonts w:eastAsia="Times New Roman"/>
          <w:color w:val="000000"/>
          <w:sz w:val="22"/>
          <w:szCs w:val="22"/>
          <w:lang w:val="fr-FR"/>
        </w:rPr>
        <w:t>par le biais de partenariats avec</w:t>
      </w:r>
      <w:r w:rsidRPr="005D062F">
        <w:rPr>
          <w:i/>
          <w:iCs/>
          <w:color w:val="000000" w:themeColor="text1"/>
          <w:sz w:val="22"/>
          <w:szCs w:val="22"/>
          <w:lang w:val="fr-FR"/>
        </w:rPr>
        <w:t xml:space="preserve"> </w:t>
      </w:r>
      <w:r w:rsidR="00141240" w:rsidRPr="005D062F">
        <w:rPr>
          <w:i/>
          <w:iCs/>
          <w:color w:val="000000" w:themeColor="text1"/>
          <w:sz w:val="22"/>
          <w:szCs w:val="22"/>
          <w:lang w:val="fr-FR"/>
        </w:rPr>
        <w:t>Soluciones Integrales de Formación y Gestión</w:t>
      </w:r>
      <w:r w:rsidR="00141240" w:rsidRPr="005D062F">
        <w:rPr>
          <w:color w:val="000000" w:themeColor="text1"/>
          <w:sz w:val="22"/>
          <w:szCs w:val="22"/>
          <w:lang w:val="fr-FR"/>
        </w:rPr>
        <w:t xml:space="preserve"> (</w:t>
      </w:r>
      <w:r w:rsidR="00F02923" w:rsidRPr="005D062F">
        <w:rPr>
          <w:color w:val="000000" w:themeColor="text1"/>
          <w:sz w:val="22"/>
          <w:szCs w:val="22"/>
          <w:lang w:val="fr-FR"/>
        </w:rPr>
        <w:t>Structuralia</w:t>
      </w:r>
      <w:r w:rsidR="00141240" w:rsidRPr="005D062F">
        <w:rPr>
          <w:color w:val="000000" w:themeColor="text1"/>
          <w:sz w:val="22"/>
          <w:szCs w:val="22"/>
          <w:lang w:val="fr-FR"/>
        </w:rPr>
        <w:t>)</w:t>
      </w:r>
      <w:r w:rsidR="00F02923" w:rsidRPr="005D062F">
        <w:rPr>
          <w:i/>
          <w:iCs/>
          <w:color w:val="000000" w:themeColor="text1"/>
          <w:sz w:val="22"/>
          <w:szCs w:val="22"/>
          <w:lang w:val="fr-FR"/>
        </w:rPr>
        <w:t xml:space="preserve"> </w:t>
      </w:r>
      <w:r w:rsidRPr="005D062F">
        <w:rPr>
          <w:color w:val="000000" w:themeColor="text1"/>
          <w:sz w:val="22"/>
          <w:szCs w:val="22"/>
          <w:lang w:val="fr-FR"/>
        </w:rPr>
        <w:t>et</w:t>
      </w:r>
      <w:r w:rsidR="00F02923" w:rsidRPr="005D062F">
        <w:rPr>
          <w:i/>
          <w:iCs/>
          <w:color w:val="000000" w:themeColor="text1"/>
          <w:sz w:val="22"/>
          <w:szCs w:val="22"/>
          <w:lang w:val="fr-FR"/>
        </w:rPr>
        <w:t xml:space="preserve"> Formato Educativo Escuela de Negocios</w:t>
      </w:r>
      <w:r w:rsidR="00141240" w:rsidRPr="005D062F">
        <w:rPr>
          <w:color w:val="000000" w:themeColor="text1"/>
          <w:sz w:val="22"/>
          <w:szCs w:val="22"/>
          <w:lang w:val="fr-FR"/>
        </w:rPr>
        <w:t xml:space="preserve"> </w:t>
      </w:r>
      <w:r w:rsidRPr="005D062F">
        <w:rPr>
          <w:rFonts w:eastAsia="Times New Roman"/>
          <w:color w:val="000000"/>
          <w:sz w:val="22"/>
          <w:szCs w:val="22"/>
          <w:lang w:val="fr-FR"/>
        </w:rPr>
        <w:t>en Espagne</w:t>
      </w:r>
      <w:r w:rsidR="00141240" w:rsidRPr="005D062F">
        <w:rPr>
          <w:color w:val="000000" w:themeColor="text1"/>
          <w:sz w:val="22"/>
          <w:szCs w:val="22"/>
          <w:lang w:val="fr-FR"/>
        </w:rPr>
        <w:t xml:space="preserve">, </w:t>
      </w:r>
      <w:r w:rsidR="006A6921" w:rsidRPr="005D062F">
        <w:rPr>
          <w:color w:val="000000" w:themeColor="text1"/>
          <w:sz w:val="22"/>
          <w:szCs w:val="22"/>
          <w:lang w:val="fr-FR"/>
        </w:rPr>
        <w:t xml:space="preserve">ainsi que </w:t>
      </w:r>
      <w:r w:rsidR="00141240" w:rsidRPr="005D062F">
        <w:rPr>
          <w:i/>
          <w:color w:val="000000" w:themeColor="text1"/>
          <w:sz w:val="22"/>
          <w:szCs w:val="22"/>
          <w:lang w:val="fr-FR"/>
        </w:rPr>
        <w:t>Marconi International University</w:t>
      </w:r>
      <w:r w:rsidR="00141240" w:rsidRPr="005D062F">
        <w:rPr>
          <w:color w:val="000000" w:themeColor="text1"/>
          <w:sz w:val="22"/>
          <w:szCs w:val="22"/>
          <w:lang w:val="fr-FR"/>
        </w:rPr>
        <w:t xml:space="preserve"> </w:t>
      </w:r>
      <w:r w:rsidR="006A6921" w:rsidRPr="005D062F">
        <w:rPr>
          <w:rFonts w:eastAsia="Times New Roman"/>
          <w:color w:val="000000"/>
          <w:sz w:val="22"/>
          <w:szCs w:val="22"/>
          <w:lang w:val="fr-FR"/>
        </w:rPr>
        <w:t>aux États-Unis</w:t>
      </w:r>
      <w:r w:rsidR="00F02923" w:rsidRPr="005D062F">
        <w:rPr>
          <w:color w:val="000000" w:themeColor="text1"/>
          <w:sz w:val="22"/>
          <w:szCs w:val="22"/>
          <w:lang w:val="fr-FR"/>
        </w:rPr>
        <w:t>.</w:t>
      </w:r>
    </w:p>
    <w:p w14:paraId="4E6B1A46" w14:textId="77777777" w:rsidR="00141240" w:rsidRPr="005D062F" w:rsidRDefault="00141240" w:rsidP="00723DAD">
      <w:pPr>
        <w:jc w:val="both"/>
        <w:rPr>
          <w:rFonts w:ascii="Times New Roman" w:eastAsia="Calibri" w:hAnsi="Times New Roman" w:cs="Times New Roman"/>
          <w:color w:val="000000" w:themeColor="text1"/>
          <w:sz w:val="22"/>
          <w:szCs w:val="22"/>
          <w:lang w:val="fr-FR"/>
        </w:rPr>
      </w:pPr>
    </w:p>
    <w:p w14:paraId="7DDBD135" w14:textId="4A5A96BF" w:rsidR="00141240" w:rsidRPr="005D062F" w:rsidRDefault="00365276" w:rsidP="00CB030B">
      <w:pPr>
        <w:pStyle w:val="ListParagraph"/>
        <w:numPr>
          <w:ilvl w:val="0"/>
          <w:numId w:val="24"/>
        </w:numPr>
        <w:ind w:left="1440" w:hanging="720"/>
        <w:jc w:val="both"/>
        <w:rPr>
          <w:rFonts w:eastAsia="Cambria"/>
          <w:color w:val="000000" w:themeColor="text1"/>
          <w:sz w:val="22"/>
          <w:szCs w:val="22"/>
          <w:lang w:val="fr-FR"/>
        </w:rPr>
      </w:pPr>
      <w:r w:rsidRPr="005D062F">
        <w:rPr>
          <w:rFonts w:eastAsia="Cambria"/>
          <w:color w:val="000000" w:themeColor="text1"/>
          <w:sz w:val="22"/>
          <w:szCs w:val="22"/>
          <w:lang w:val="fr-FR"/>
        </w:rPr>
        <w:t xml:space="preserve">La Commission de sélection des cours de perfectionnement professionnel </w:t>
      </w:r>
      <w:r w:rsidRPr="005D062F">
        <w:rPr>
          <w:rFonts w:eastAsia="Times New Roman"/>
          <w:color w:val="000000"/>
          <w:sz w:val="22"/>
          <w:szCs w:val="22"/>
          <w:lang w:val="fr-FR"/>
        </w:rPr>
        <w:t>du Programme de bourses de perfectionnement professionnel</w:t>
      </w:r>
      <w:r w:rsidR="00F02923" w:rsidRPr="005D062F">
        <w:rPr>
          <w:rFonts w:eastAsia="Cambria"/>
          <w:color w:val="000000" w:themeColor="text1"/>
          <w:sz w:val="22"/>
          <w:szCs w:val="22"/>
          <w:lang w:val="fr-FR"/>
        </w:rPr>
        <w:t xml:space="preserve"> </w:t>
      </w:r>
      <w:r w:rsidRPr="005D062F">
        <w:rPr>
          <w:rFonts w:eastAsia="Cambria"/>
          <w:color w:val="000000" w:themeColor="text1"/>
          <w:sz w:val="22"/>
          <w:szCs w:val="22"/>
          <w:lang w:val="fr-FR"/>
        </w:rPr>
        <w:t>a retenu</w:t>
      </w:r>
      <w:r w:rsidR="00F02923" w:rsidRPr="005D062F">
        <w:rPr>
          <w:rFonts w:eastAsia="Cambria"/>
          <w:color w:val="000000" w:themeColor="text1"/>
          <w:sz w:val="22"/>
          <w:szCs w:val="22"/>
          <w:lang w:val="fr-FR"/>
        </w:rPr>
        <w:t xml:space="preserve"> </w:t>
      </w:r>
      <w:r w:rsidRPr="005D062F">
        <w:rPr>
          <w:rFonts w:eastAsia="Cambria"/>
          <w:color w:val="000000" w:themeColor="text1"/>
          <w:sz w:val="22"/>
          <w:szCs w:val="22"/>
          <w:lang w:val="fr-FR"/>
        </w:rPr>
        <w:t xml:space="preserve">23 propositions de cours </w:t>
      </w:r>
      <w:r w:rsidR="00141240" w:rsidRPr="005D062F">
        <w:rPr>
          <w:rFonts w:eastAsia="Cambria"/>
          <w:color w:val="000000" w:themeColor="text1"/>
          <w:sz w:val="22"/>
          <w:szCs w:val="22"/>
          <w:lang w:val="fr-FR"/>
        </w:rPr>
        <w:t>pr</w:t>
      </w:r>
      <w:r w:rsidRPr="005D062F">
        <w:rPr>
          <w:rFonts w:eastAsia="Cambria"/>
          <w:color w:val="000000" w:themeColor="text1"/>
          <w:sz w:val="22"/>
          <w:szCs w:val="22"/>
          <w:lang w:val="fr-FR"/>
        </w:rPr>
        <w:t>ésé</w:t>
      </w:r>
      <w:r w:rsidR="00141240" w:rsidRPr="005D062F">
        <w:rPr>
          <w:rFonts w:eastAsia="Cambria"/>
          <w:color w:val="000000" w:themeColor="text1"/>
          <w:sz w:val="22"/>
          <w:szCs w:val="22"/>
          <w:lang w:val="fr-FR"/>
        </w:rPr>
        <w:t>lect</w:t>
      </w:r>
      <w:r w:rsidRPr="005D062F">
        <w:rPr>
          <w:rFonts w:eastAsia="Cambria"/>
          <w:color w:val="000000" w:themeColor="text1"/>
          <w:sz w:val="22"/>
          <w:szCs w:val="22"/>
          <w:lang w:val="fr-FR"/>
        </w:rPr>
        <w:t xml:space="preserve">ionnées </w:t>
      </w:r>
      <w:r w:rsidR="00F02923" w:rsidRPr="005D062F">
        <w:rPr>
          <w:rFonts w:eastAsia="Cambria"/>
          <w:color w:val="000000" w:themeColor="text1"/>
          <w:sz w:val="22"/>
          <w:szCs w:val="22"/>
          <w:lang w:val="fr-FR"/>
        </w:rPr>
        <w:t>(</w:t>
      </w:r>
      <w:r w:rsidRPr="005D062F">
        <w:rPr>
          <w:rFonts w:eastAsia="Cambria"/>
          <w:color w:val="000000" w:themeColor="text1"/>
          <w:sz w:val="22"/>
          <w:szCs w:val="22"/>
          <w:lang w:val="fr-FR"/>
        </w:rPr>
        <w:t>sur</w:t>
      </w:r>
      <w:r w:rsidR="00141240" w:rsidRPr="005D062F">
        <w:rPr>
          <w:rFonts w:eastAsia="Cambria"/>
          <w:color w:val="000000" w:themeColor="text1"/>
          <w:sz w:val="22"/>
          <w:szCs w:val="22"/>
          <w:lang w:val="fr-FR"/>
        </w:rPr>
        <w:t xml:space="preserve"> 53</w:t>
      </w:r>
      <w:r w:rsidRPr="005D062F">
        <w:rPr>
          <w:rFonts w:eastAsia="Cambria"/>
          <w:color w:val="000000" w:themeColor="text1"/>
          <w:sz w:val="22"/>
          <w:szCs w:val="22"/>
          <w:lang w:val="fr-FR"/>
        </w:rPr>
        <w:t xml:space="preserve"> reçues</w:t>
      </w:r>
      <w:r w:rsidR="00F02923" w:rsidRPr="005D062F">
        <w:rPr>
          <w:rFonts w:eastAsia="Cambria"/>
          <w:color w:val="000000" w:themeColor="text1"/>
          <w:sz w:val="22"/>
          <w:szCs w:val="22"/>
          <w:lang w:val="fr-FR"/>
        </w:rPr>
        <w:t xml:space="preserve">) </w:t>
      </w:r>
      <w:r w:rsidRPr="005D062F">
        <w:rPr>
          <w:rFonts w:eastAsia="Cambria"/>
          <w:color w:val="000000" w:themeColor="text1"/>
          <w:sz w:val="22"/>
          <w:szCs w:val="22"/>
          <w:lang w:val="fr-FR"/>
        </w:rPr>
        <w:t xml:space="preserve">provenant de 17 </w:t>
      </w:r>
      <w:r w:rsidRPr="005D062F">
        <w:rPr>
          <w:rFonts w:eastAsia="Times New Roman"/>
          <w:color w:val="000000"/>
          <w:sz w:val="22"/>
          <w:szCs w:val="22"/>
          <w:lang w:val="fr-FR"/>
        </w:rPr>
        <w:t>institutions différentes situées dans huit</w:t>
      </w:r>
      <w:r w:rsidR="00DA3FDF" w:rsidRPr="005D062F">
        <w:rPr>
          <w:rFonts w:eastAsia="Times New Roman"/>
          <w:color w:val="000000"/>
          <w:sz w:val="22"/>
          <w:szCs w:val="22"/>
          <w:lang w:val="fr-FR"/>
        </w:rPr>
        <w:t xml:space="preserve"> pays membres de l’</w:t>
      </w:r>
      <w:r w:rsidRPr="005D062F">
        <w:rPr>
          <w:rFonts w:eastAsia="Times New Roman"/>
          <w:color w:val="000000"/>
          <w:sz w:val="22"/>
          <w:szCs w:val="22"/>
          <w:lang w:val="fr-FR"/>
        </w:rPr>
        <w:t>OEA</w:t>
      </w:r>
      <w:r w:rsidR="00141240" w:rsidRPr="005D062F">
        <w:rPr>
          <w:rFonts w:eastAsia="Cambria"/>
          <w:color w:val="000000" w:themeColor="text1"/>
          <w:sz w:val="22"/>
          <w:szCs w:val="22"/>
          <w:lang w:val="fr-FR"/>
        </w:rPr>
        <w:t xml:space="preserve"> (Argentin</w:t>
      </w:r>
      <w:r w:rsidR="00DA3FDF" w:rsidRPr="005D062F">
        <w:rPr>
          <w:rFonts w:eastAsia="Cambria"/>
          <w:color w:val="000000" w:themeColor="text1"/>
          <w:sz w:val="22"/>
          <w:szCs w:val="22"/>
          <w:lang w:val="fr-FR"/>
        </w:rPr>
        <w:t>e</w:t>
      </w:r>
      <w:r w:rsidR="00141240" w:rsidRPr="005D062F">
        <w:rPr>
          <w:rFonts w:eastAsia="Cambria"/>
          <w:color w:val="000000" w:themeColor="text1"/>
          <w:sz w:val="22"/>
          <w:szCs w:val="22"/>
          <w:lang w:val="fr-FR"/>
        </w:rPr>
        <w:t>, Br</w:t>
      </w:r>
      <w:r w:rsidR="00DA3FDF" w:rsidRPr="005D062F">
        <w:rPr>
          <w:rFonts w:eastAsia="Cambria"/>
          <w:color w:val="000000" w:themeColor="text1"/>
          <w:sz w:val="22"/>
          <w:szCs w:val="22"/>
          <w:lang w:val="fr-FR"/>
        </w:rPr>
        <w:t>és</w:t>
      </w:r>
      <w:r w:rsidR="00141240" w:rsidRPr="005D062F">
        <w:rPr>
          <w:rFonts w:eastAsia="Cambria"/>
          <w:color w:val="000000" w:themeColor="text1"/>
          <w:sz w:val="22"/>
          <w:szCs w:val="22"/>
          <w:lang w:val="fr-FR"/>
        </w:rPr>
        <w:t>il, Chil</w:t>
      </w:r>
      <w:r w:rsidR="00DA3FDF" w:rsidRPr="005D062F">
        <w:rPr>
          <w:rFonts w:eastAsia="Cambria"/>
          <w:color w:val="000000" w:themeColor="text1"/>
          <w:sz w:val="22"/>
          <w:szCs w:val="22"/>
          <w:lang w:val="fr-FR"/>
        </w:rPr>
        <w:t>i</w:t>
      </w:r>
      <w:r w:rsidR="00141240" w:rsidRPr="005D062F">
        <w:rPr>
          <w:rFonts w:eastAsia="Cambria"/>
          <w:color w:val="000000" w:themeColor="text1"/>
          <w:sz w:val="22"/>
          <w:szCs w:val="22"/>
          <w:lang w:val="fr-FR"/>
        </w:rPr>
        <w:t xml:space="preserve">, </w:t>
      </w:r>
      <w:r w:rsidR="00DA3FDF" w:rsidRPr="005D062F">
        <w:rPr>
          <w:rFonts w:eastAsia="Cambria"/>
          <w:color w:val="000000" w:themeColor="text1"/>
          <w:sz w:val="22"/>
          <w:szCs w:val="22"/>
          <w:lang w:val="fr-FR"/>
        </w:rPr>
        <w:t xml:space="preserve">États-Unis, </w:t>
      </w:r>
      <w:r w:rsidR="00141240" w:rsidRPr="005D062F">
        <w:rPr>
          <w:rFonts w:eastAsia="Cambria"/>
          <w:color w:val="000000" w:themeColor="text1"/>
          <w:sz w:val="22"/>
          <w:szCs w:val="22"/>
          <w:lang w:val="fr-FR"/>
        </w:rPr>
        <w:t>Mexi</w:t>
      </w:r>
      <w:r w:rsidR="00DA3FDF" w:rsidRPr="005D062F">
        <w:rPr>
          <w:rFonts w:eastAsia="Cambria"/>
          <w:color w:val="000000" w:themeColor="text1"/>
          <w:sz w:val="22"/>
          <w:szCs w:val="22"/>
          <w:lang w:val="fr-FR"/>
        </w:rPr>
        <w:t>que</w:t>
      </w:r>
      <w:r w:rsidR="00141240" w:rsidRPr="005D062F">
        <w:rPr>
          <w:rFonts w:eastAsia="Cambria"/>
          <w:color w:val="000000" w:themeColor="text1"/>
          <w:sz w:val="22"/>
          <w:szCs w:val="22"/>
          <w:lang w:val="fr-FR"/>
        </w:rPr>
        <w:t>, P</w:t>
      </w:r>
      <w:r w:rsidR="00DA3FDF" w:rsidRPr="005D062F">
        <w:rPr>
          <w:rFonts w:eastAsia="Cambria"/>
          <w:color w:val="000000" w:themeColor="text1"/>
          <w:sz w:val="22"/>
          <w:szCs w:val="22"/>
          <w:lang w:val="fr-FR"/>
        </w:rPr>
        <w:t>é</w:t>
      </w:r>
      <w:r w:rsidR="00141240" w:rsidRPr="005D062F">
        <w:rPr>
          <w:rFonts w:eastAsia="Cambria"/>
          <w:color w:val="000000" w:themeColor="text1"/>
          <w:sz w:val="22"/>
          <w:szCs w:val="22"/>
          <w:lang w:val="fr-FR"/>
        </w:rPr>
        <w:t>r</w:t>
      </w:r>
      <w:r w:rsidR="00DA3FDF" w:rsidRPr="005D062F">
        <w:rPr>
          <w:rFonts w:eastAsia="Cambria"/>
          <w:color w:val="000000" w:themeColor="text1"/>
          <w:sz w:val="22"/>
          <w:szCs w:val="22"/>
          <w:lang w:val="fr-FR"/>
        </w:rPr>
        <w:t xml:space="preserve">ou, Trinité-et-Tobago et </w:t>
      </w:r>
      <w:r w:rsidR="00141240" w:rsidRPr="005D062F">
        <w:rPr>
          <w:rFonts w:eastAsia="Cambria"/>
          <w:color w:val="000000" w:themeColor="text1"/>
          <w:sz w:val="22"/>
          <w:szCs w:val="22"/>
          <w:lang w:val="fr-FR"/>
        </w:rPr>
        <w:t xml:space="preserve">Uruguay) </w:t>
      </w:r>
      <w:r w:rsidR="00DA3FDF" w:rsidRPr="005D062F">
        <w:rPr>
          <w:rFonts w:eastAsia="Cambria"/>
          <w:color w:val="000000" w:themeColor="text1"/>
          <w:sz w:val="22"/>
          <w:szCs w:val="22"/>
          <w:lang w:val="fr-FR"/>
        </w:rPr>
        <w:t>et trois pays</w:t>
      </w:r>
      <w:r w:rsidR="00141240" w:rsidRPr="005D062F">
        <w:rPr>
          <w:rFonts w:eastAsia="Cambria"/>
          <w:color w:val="000000" w:themeColor="text1"/>
          <w:sz w:val="22"/>
          <w:szCs w:val="22"/>
          <w:lang w:val="fr-FR"/>
        </w:rPr>
        <w:t xml:space="preserve"> </w:t>
      </w:r>
      <w:r w:rsidR="00DA3FDF" w:rsidRPr="005D062F">
        <w:rPr>
          <w:rFonts w:eastAsia="Cambria"/>
          <w:color w:val="000000" w:themeColor="text1"/>
          <w:sz w:val="22"/>
          <w:szCs w:val="22"/>
          <w:lang w:val="fr-FR"/>
        </w:rPr>
        <w:t>observateurs permanents près l’</w:t>
      </w:r>
      <w:r w:rsidR="00141240" w:rsidRPr="005D062F">
        <w:rPr>
          <w:rFonts w:eastAsia="Cambria"/>
          <w:color w:val="000000" w:themeColor="text1"/>
          <w:sz w:val="22"/>
          <w:szCs w:val="22"/>
          <w:lang w:val="fr-FR"/>
        </w:rPr>
        <w:t>O</w:t>
      </w:r>
      <w:r w:rsidR="00DA3FDF" w:rsidRPr="005D062F">
        <w:rPr>
          <w:rFonts w:eastAsia="Cambria"/>
          <w:color w:val="000000" w:themeColor="text1"/>
          <w:sz w:val="22"/>
          <w:szCs w:val="22"/>
          <w:lang w:val="fr-FR"/>
        </w:rPr>
        <w:t>EA (Chine</w:t>
      </w:r>
      <w:r w:rsidR="00141240" w:rsidRPr="005D062F">
        <w:rPr>
          <w:rFonts w:eastAsia="Cambria"/>
          <w:color w:val="000000" w:themeColor="text1"/>
          <w:sz w:val="22"/>
          <w:szCs w:val="22"/>
          <w:lang w:val="fr-FR"/>
        </w:rPr>
        <w:t xml:space="preserve">, </w:t>
      </w:r>
      <w:r w:rsidR="00DA3FDF" w:rsidRPr="005D062F">
        <w:rPr>
          <w:rFonts w:eastAsia="Cambria"/>
          <w:color w:val="000000" w:themeColor="text1"/>
          <w:sz w:val="22"/>
          <w:szCs w:val="22"/>
          <w:lang w:val="fr-FR"/>
        </w:rPr>
        <w:t>Espagne et Italie</w:t>
      </w:r>
      <w:r w:rsidR="00141240" w:rsidRPr="005D062F">
        <w:rPr>
          <w:rFonts w:eastAsia="Cambria"/>
          <w:color w:val="000000" w:themeColor="text1"/>
          <w:sz w:val="22"/>
          <w:szCs w:val="22"/>
          <w:lang w:val="fr-FR"/>
        </w:rPr>
        <w:t>).</w:t>
      </w:r>
    </w:p>
    <w:p w14:paraId="74F5E007" w14:textId="77777777" w:rsidR="00141240" w:rsidRPr="005D062F" w:rsidRDefault="00141240" w:rsidP="00723DAD">
      <w:pPr>
        <w:jc w:val="both"/>
        <w:rPr>
          <w:rFonts w:ascii="Times New Roman" w:eastAsia="Calibri" w:hAnsi="Times New Roman" w:cs="Times New Roman"/>
          <w:color w:val="000000" w:themeColor="text1"/>
          <w:sz w:val="22"/>
          <w:szCs w:val="22"/>
          <w:lang w:val="fr-FR"/>
        </w:rPr>
      </w:pPr>
    </w:p>
    <w:p w14:paraId="7E2E4783" w14:textId="06154373" w:rsidR="00141240" w:rsidRPr="005D062F" w:rsidRDefault="00FB3C2A" w:rsidP="00CB030B">
      <w:pPr>
        <w:pStyle w:val="ListParagraph"/>
        <w:numPr>
          <w:ilvl w:val="0"/>
          <w:numId w:val="24"/>
        </w:numPr>
        <w:ind w:left="1440" w:hanging="720"/>
        <w:jc w:val="both"/>
        <w:rPr>
          <w:rFonts w:eastAsia="Cambria"/>
          <w:color w:val="000000" w:themeColor="text1"/>
          <w:sz w:val="22"/>
          <w:szCs w:val="22"/>
          <w:lang w:val="fr-FR"/>
        </w:rPr>
      </w:pPr>
      <w:r w:rsidRPr="005D062F">
        <w:rPr>
          <w:rFonts w:eastAsia="Cambria"/>
          <w:color w:val="000000" w:themeColor="text1"/>
          <w:sz w:val="22"/>
          <w:szCs w:val="22"/>
          <w:lang w:val="fr-FR"/>
        </w:rPr>
        <w:t xml:space="preserve">Un </w:t>
      </w:r>
      <w:r w:rsidR="00141240" w:rsidRPr="005D062F">
        <w:rPr>
          <w:rFonts w:eastAsia="Cambria"/>
          <w:color w:val="000000" w:themeColor="text1"/>
          <w:sz w:val="22"/>
          <w:szCs w:val="22"/>
          <w:lang w:val="fr-FR"/>
        </w:rPr>
        <w:t xml:space="preserve">total </w:t>
      </w:r>
      <w:r w:rsidRPr="005D062F">
        <w:rPr>
          <w:rFonts w:eastAsia="Cambria"/>
          <w:color w:val="000000" w:themeColor="text1"/>
          <w:sz w:val="22"/>
          <w:szCs w:val="22"/>
          <w:lang w:val="fr-FR"/>
        </w:rPr>
        <w:t xml:space="preserve">de sept cours dans le cadre du </w:t>
      </w:r>
      <w:r w:rsidRPr="005D062F">
        <w:rPr>
          <w:rFonts w:eastAsia="Times New Roman"/>
          <w:color w:val="000000"/>
          <w:sz w:val="22"/>
          <w:szCs w:val="22"/>
          <w:lang w:val="fr-FR"/>
        </w:rPr>
        <w:t>Programme de bourses de perfectionnement professionnel</w:t>
      </w:r>
      <w:r w:rsidRPr="005D062F">
        <w:rPr>
          <w:rFonts w:eastAsia="Cambria"/>
          <w:color w:val="000000" w:themeColor="text1"/>
          <w:sz w:val="22"/>
          <w:szCs w:val="22"/>
          <w:lang w:val="fr-FR"/>
        </w:rPr>
        <w:t>, alignés sur les priorités des pays de l’OEA, doi</w:t>
      </w:r>
      <w:r w:rsidR="005C749F" w:rsidRPr="005D062F">
        <w:rPr>
          <w:rFonts w:eastAsia="Cambria"/>
          <w:color w:val="000000" w:themeColor="text1"/>
          <w:sz w:val="22"/>
          <w:szCs w:val="22"/>
          <w:lang w:val="fr-FR"/>
        </w:rPr>
        <w:t>ven</w:t>
      </w:r>
      <w:r w:rsidRPr="005D062F">
        <w:rPr>
          <w:rFonts w:eastAsia="Cambria"/>
          <w:color w:val="000000" w:themeColor="text1"/>
          <w:sz w:val="22"/>
          <w:szCs w:val="22"/>
          <w:lang w:val="fr-FR"/>
        </w:rPr>
        <w:t>t être dispensé</w:t>
      </w:r>
      <w:r w:rsidR="005C749F" w:rsidRPr="005D062F">
        <w:rPr>
          <w:rFonts w:eastAsia="Cambria"/>
          <w:color w:val="000000" w:themeColor="text1"/>
          <w:sz w:val="22"/>
          <w:szCs w:val="22"/>
          <w:lang w:val="fr-FR"/>
        </w:rPr>
        <w:t>s</w:t>
      </w:r>
      <w:r w:rsidRPr="005D062F">
        <w:rPr>
          <w:rFonts w:eastAsia="Cambria"/>
          <w:color w:val="000000" w:themeColor="text1"/>
          <w:sz w:val="22"/>
          <w:szCs w:val="22"/>
          <w:lang w:val="fr-FR"/>
        </w:rPr>
        <w:t xml:space="preserve"> entre mars et juin </w:t>
      </w:r>
      <w:r w:rsidR="00141240" w:rsidRPr="005D062F">
        <w:rPr>
          <w:rFonts w:eastAsia="Cambria"/>
          <w:color w:val="000000" w:themeColor="text1"/>
          <w:sz w:val="22"/>
          <w:szCs w:val="22"/>
          <w:lang w:val="fr-FR"/>
        </w:rPr>
        <w:t>2023</w:t>
      </w:r>
      <w:r w:rsidR="008D2331" w:rsidRPr="005D062F">
        <w:rPr>
          <w:rFonts w:eastAsia="Cambria"/>
          <w:color w:val="000000" w:themeColor="text1"/>
          <w:sz w:val="22"/>
          <w:szCs w:val="22"/>
          <w:lang w:val="fr-FR"/>
        </w:rPr>
        <w:t>.</w:t>
      </w:r>
    </w:p>
    <w:p w14:paraId="72ADA06D" w14:textId="77777777" w:rsidR="009F53F1" w:rsidRPr="005D062F" w:rsidRDefault="009F53F1" w:rsidP="00723DAD">
      <w:pPr>
        <w:jc w:val="both"/>
        <w:rPr>
          <w:rFonts w:ascii="Times New Roman" w:eastAsia="Calibri" w:hAnsi="Times New Roman" w:cs="Times New Roman"/>
          <w:color w:val="000000" w:themeColor="text1"/>
          <w:sz w:val="22"/>
          <w:szCs w:val="22"/>
          <w:lang w:val="fr-FR"/>
        </w:rPr>
      </w:pPr>
    </w:p>
    <w:p w14:paraId="507A7003" w14:textId="2C087BA1" w:rsidR="00141240" w:rsidRPr="005D062F" w:rsidRDefault="00D2457B" w:rsidP="00CB030B">
      <w:pPr>
        <w:pStyle w:val="ListParagraph"/>
        <w:numPr>
          <w:ilvl w:val="1"/>
          <w:numId w:val="24"/>
        </w:numPr>
        <w:ind w:left="1980" w:hanging="540"/>
        <w:jc w:val="both"/>
        <w:rPr>
          <w:rFonts w:eastAsia="Cambria"/>
          <w:color w:val="000000" w:themeColor="text1"/>
          <w:sz w:val="22"/>
          <w:szCs w:val="22"/>
          <w:lang w:val="fr-FR"/>
        </w:rPr>
      </w:pPr>
      <w:r w:rsidRPr="005D062F">
        <w:rPr>
          <w:rFonts w:eastAsia="Cambria"/>
          <w:color w:val="000000" w:themeColor="text1"/>
          <w:sz w:val="22"/>
          <w:szCs w:val="22"/>
          <w:lang w:val="fr-FR"/>
        </w:rPr>
        <w:t>Cours</w:t>
      </w:r>
      <w:r w:rsidR="00856921" w:rsidRPr="005D062F">
        <w:rPr>
          <w:rFonts w:eastAsia="Cambria"/>
          <w:color w:val="000000" w:themeColor="text1"/>
          <w:sz w:val="22"/>
          <w:szCs w:val="22"/>
          <w:lang w:val="fr-FR"/>
        </w:rPr>
        <w:t xml:space="preserve"> 1</w:t>
      </w:r>
      <w:r w:rsidRPr="005D062F">
        <w:rPr>
          <w:rFonts w:eastAsia="Cambria"/>
          <w:color w:val="000000" w:themeColor="text1"/>
          <w:sz w:val="22"/>
          <w:szCs w:val="22"/>
          <w:lang w:val="fr-FR"/>
        </w:rPr>
        <w:t xml:space="preserve"> et </w:t>
      </w:r>
      <w:r w:rsidR="003307E0" w:rsidRPr="005D062F">
        <w:rPr>
          <w:rFonts w:eastAsia="Cambria"/>
          <w:color w:val="000000" w:themeColor="text1"/>
          <w:sz w:val="22"/>
          <w:szCs w:val="22"/>
          <w:lang w:val="fr-FR"/>
        </w:rPr>
        <w:t>2 :</w:t>
      </w:r>
      <w:r w:rsidR="00856921" w:rsidRPr="005D062F">
        <w:rPr>
          <w:rFonts w:eastAsia="Cambria"/>
          <w:color w:val="000000" w:themeColor="text1"/>
          <w:sz w:val="22"/>
          <w:szCs w:val="22"/>
          <w:lang w:val="fr-FR"/>
        </w:rPr>
        <w:t xml:space="preserve"> </w:t>
      </w:r>
      <w:r w:rsidR="002F0270" w:rsidRPr="005D062F">
        <w:rPr>
          <w:rFonts w:eastAsia="Cambria"/>
          <w:b/>
          <w:bCs/>
          <w:color w:val="000000" w:themeColor="text1"/>
          <w:sz w:val="22"/>
          <w:szCs w:val="22"/>
          <w:lang w:val="fr-FR"/>
        </w:rPr>
        <w:t xml:space="preserve">Énergie renouvelable et développement durable </w:t>
      </w:r>
      <w:r w:rsidR="00F02923" w:rsidRPr="005D062F">
        <w:rPr>
          <w:rFonts w:eastAsia="Cambria"/>
          <w:color w:val="000000" w:themeColor="text1"/>
          <w:sz w:val="22"/>
          <w:szCs w:val="22"/>
          <w:lang w:val="fr-FR"/>
        </w:rPr>
        <w:t>(</w:t>
      </w:r>
      <w:r w:rsidR="002F0270" w:rsidRPr="005D062F">
        <w:rPr>
          <w:rFonts w:eastAsia="Cambria"/>
          <w:color w:val="000000" w:themeColor="text1"/>
          <w:sz w:val="22"/>
          <w:szCs w:val="22"/>
          <w:lang w:val="fr-FR"/>
        </w:rPr>
        <w:t>fort potentiel d’employabilité</w:t>
      </w:r>
      <w:r w:rsidR="00F02923" w:rsidRPr="005D062F">
        <w:rPr>
          <w:rFonts w:eastAsia="Cambria"/>
          <w:color w:val="000000" w:themeColor="text1"/>
          <w:sz w:val="22"/>
          <w:szCs w:val="22"/>
          <w:lang w:val="fr-FR"/>
        </w:rPr>
        <w:t>)</w:t>
      </w:r>
    </w:p>
    <w:p w14:paraId="04281403" w14:textId="2019FD1D" w:rsidR="00141240" w:rsidRPr="005D062F" w:rsidRDefault="006828EA" w:rsidP="00CB030B">
      <w:pPr>
        <w:pStyle w:val="ListParagraph"/>
        <w:numPr>
          <w:ilvl w:val="1"/>
          <w:numId w:val="24"/>
        </w:numPr>
        <w:ind w:left="1980" w:hanging="540"/>
        <w:jc w:val="both"/>
        <w:rPr>
          <w:rFonts w:eastAsia="Cambria"/>
          <w:color w:val="000000" w:themeColor="text1"/>
          <w:sz w:val="22"/>
          <w:szCs w:val="22"/>
          <w:lang w:val="fr-FR"/>
        </w:rPr>
      </w:pPr>
      <w:r w:rsidRPr="005D062F">
        <w:rPr>
          <w:rFonts w:eastAsia="Cambria"/>
          <w:color w:val="000000" w:themeColor="text1"/>
          <w:sz w:val="22"/>
          <w:szCs w:val="22"/>
          <w:lang w:val="fr-FR"/>
        </w:rPr>
        <w:t>Cours</w:t>
      </w:r>
      <w:r w:rsidR="00856921" w:rsidRPr="005D062F">
        <w:rPr>
          <w:rFonts w:eastAsia="Cambria"/>
          <w:color w:val="000000" w:themeColor="text1"/>
          <w:sz w:val="22"/>
          <w:szCs w:val="22"/>
          <w:lang w:val="fr-FR"/>
        </w:rPr>
        <w:t xml:space="preserve"> 3</w:t>
      </w:r>
      <w:r w:rsidR="003307E0" w:rsidRPr="005D062F">
        <w:rPr>
          <w:rFonts w:eastAsia="Cambria"/>
          <w:iCs/>
          <w:color w:val="000000" w:themeColor="text1"/>
          <w:sz w:val="22"/>
          <w:szCs w:val="22"/>
          <w:lang w:val="fr-FR"/>
        </w:rPr>
        <w:t> :</w:t>
      </w:r>
      <w:r w:rsidR="00856921" w:rsidRPr="005D062F">
        <w:rPr>
          <w:rFonts w:eastAsia="Cambria"/>
          <w:color w:val="000000" w:themeColor="text1"/>
          <w:sz w:val="22"/>
          <w:szCs w:val="22"/>
          <w:lang w:val="fr-FR"/>
        </w:rPr>
        <w:t xml:space="preserve"> </w:t>
      </w:r>
      <w:r w:rsidR="002F0270" w:rsidRPr="005D062F">
        <w:rPr>
          <w:rFonts w:eastAsia="Cambria"/>
          <w:b/>
          <w:bCs/>
          <w:color w:val="000000" w:themeColor="text1"/>
          <w:sz w:val="22"/>
          <w:szCs w:val="22"/>
          <w:lang w:val="fr-FR"/>
        </w:rPr>
        <w:t xml:space="preserve">Gestion des risques de catastrophe </w:t>
      </w:r>
      <w:r w:rsidR="00856921" w:rsidRPr="005D062F">
        <w:rPr>
          <w:rFonts w:eastAsia="Cambria"/>
          <w:color w:val="000000" w:themeColor="text1"/>
          <w:sz w:val="22"/>
          <w:szCs w:val="22"/>
          <w:lang w:val="fr-FR"/>
        </w:rPr>
        <w:t>(</w:t>
      </w:r>
      <w:r w:rsidR="002F0270" w:rsidRPr="005D062F">
        <w:rPr>
          <w:rFonts w:eastAsia="Cambria"/>
          <w:color w:val="000000" w:themeColor="text1"/>
          <w:sz w:val="22"/>
          <w:szCs w:val="22"/>
          <w:lang w:val="fr-FR"/>
        </w:rPr>
        <w:t>pour renforcer les capacités d’élaboration de projets au niveau local</w:t>
      </w:r>
      <w:r w:rsidR="00856921" w:rsidRPr="005D062F">
        <w:rPr>
          <w:rFonts w:eastAsia="Cambria"/>
          <w:color w:val="000000" w:themeColor="text1"/>
          <w:sz w:val="22"/>
          <w:szCs w:val="22"/>
          <w:lang w:val="fr-FR"/>
        </w:rPr>
        <w:t>)</w:t>
      </w:r>
    </w:p>
    <w:p w14:paraId="1094604E" w14:textId="1F87C225" w:rsidR="00141240" w:rsidRPr="005D062F" w:rsidRDefault="006828EA" w:rsidP="00CB030B">
      <w:pPr>
        <w:pStyle w:val="ListParagraph"/>
        <w:numPr>
          <w:ilvl w:val="1"/>
          <w:numId w:val="24"/>
        </w:numPr>
        <w:ind w:left="1980" w:hanging="540"/>
        <w:jc w:val="both"/>
        <w:rPr>
          <w:rFonts w:eastAsia="Cambria"/>
          <w:color w:val="000000" w:themeColor="text1"/>
          <w:sz w:val="22"/>
          <w:szCs w:val="22"/>
          <w:lang w:val="fr-FR"/>
        </w:rPr>
      </w:pPr>
      <w:r w:rsidRPr="005D062F">
        <w:rPr>
          <w:rFonts w:eastAsia="Cambria"/>
          <w:color w:val="000000" w:themeColor="text1"/>
          <w:sz w:val="22"/>
          <w:szCs w:val="22"/>
          <w:lang w:val="fr-FR"/>
        </w:rPr>
        <w:t>Cours</w:t>
      </w:r>
      <w:r w:rsidR="00856921" w:rsidRPr="005D062F">
        <w:rPr>
          <w:rFonts w:eastAsia="Cambria"/>
          <w:color w:val="000000" w:themeColor="text1"/>
          <w:sz w:val="22"/>
          <w:szCs w:val="22"/>
          <w:lang w:val="fr-FR"/>
        </w:rPr>
        <w:t xml:space="preserve"> 4</w:t>
      </w:r>
      <w:r w:rsidR="003307E0" w:rsidRPr="005D062F">
        <w:rPr>
          <w:rFonts w:eastAsia="Cambria"/>
          <w:color w:val="000000" w:themeColor="text1"/>
          <w:sz w:val="22"/>
          <w:szCs w:val="22"/>
          <w:lang w:val="fr-FR"/>
        </w:rPr>
        <w:t> :</w:t>
      </w:r>
      <w:r w:rsidR="00856921" w:rsidRPr="005D062F">
        <w:rPr>
          <w:rFonts w:eastAsia="Cambria"/>
          <w:i/>
          <w:iCs/>
          <w:color w:val="000000" w:themeColor="text1"/>
          <w:sz w:val="22"/>
          <w:szCs w:val="22"/>
          <w:lang w:val="fr-FR"/>
        </w:rPr>
        <w:t xml:space="preserve"> </w:t>
      </w:r>
      <w:r w:rsidR="00856921" w:rsidRPr="005D062F">
        <w:rPr>
          <w:rFonts w:eastAsia="Cambria"/>
          <w:b/>
          <w:bCs/>
          <w:color w:val="000000" w:themeColor="text1"/>
          <w:sz w:val="22"/>
          <w:szCs w:val="22"/>
          <w:lang w:val="fr-FR"/>
        </w:rPr>
        <w:t>R</w:t>
      </w:r>
      <w:r w:rsidR="00141240" w:rsidRPr="005D062F">
        <w:rPr>
          <w:rFonts w:eastAsia="Cambria"/>
          <w:b/>
          <w:bCs/>
          <w:color w:val="000000" w:themeColor="text1"/>
          <w:sz w:val="22"/>
          <w:szCs w:val="22"/>
          <w:lang w:val="fr-FR"/>
        </w:rPr>
        <w:t>e</w:t>
      </w:r>
      <w:r w:rsidR="002F0270" w:rsidRPr="005D062F">
        <w:rPr>
          <w:rFonts w:eastAsia="Cambria"/>
          <w:b/>
          <w:bCs/>
          <w:color w:val="000000" w:themeColor="text1"/>
          <w:sz w:val="22"/>
          <w:szCs w:val="22"/>
          <w:lang w:val="fr-FR"/>
        </w:rPr>
        <w:t xml:space="preserve">lance verte et développement durable </w:t>
      </w:r>
      <w:r w:rsidR="00856921" w:rsidRPr="005D062F">
        <w:rPr>
          <w:rFonts w:eastAsia="Cambria"/>
          <w:color w:val="000000" w:themeColor="text1"/>
          <w:sz w:val="22"/>
          <w:szCs w:val="22"/>
          <w:lang w:val="fr-FR"/>
        </w:rPr>
        <w:t>(</w:t>
      </w:r>
      <w:r w:rsidR="002F0270" w:rsidRPr="005D062F">
        <w:rPr>
          <w:rFonts w:eastAsia="Cambria"/>
          <w:color w:val="000000" w:themeColor="text1"/>
          <w:sz w:val="22"/>
          <w:szCs w:val="22"/>
          <w:lang w:val="fr-FR"/>
        </w:rPr>
        <w:t>en particulier, accen</w:t>
      </w:r>
      <w:r w:rsidR="00CF18F1" w:rsidRPr="005D062F">
        <w:rPr>
          <w:rFonts w:eastAsia="Cambria"/>
          <w:color w:val="000000" w:themeColor="text1"/>
          <w:sz w:val="22"/>
          <w:szCs w:val="22"/>
          <w:lang w:val="fr-FR"/>
        </w:rPr>
        <w:t xml:space="preserve">t mis sur le lien entre les </w:t>
      </w:r>
      <w:r w:rsidR="002F0270" w:rsidRPr="005D062F">
        <w:rPr>
          <w:rFonts w:eastAsia="Cambria"/>
          <w:color w:val="000000" w:themeColor="text1"/>
          <w:sz w:val="22"/>
          <w:szCs w:val="22"/>
          <w:lang w:val="fr-FR"/>
        </w:rPr>
        <w:t xml:space="preserve">enjeux environnementaux et le travail, avec une attention spéciale accordée </w:t>
      </w:r>
      <w:r w:rsidR="00A9257E" w:rsidRPr="005D062F">
        <w:rPr>
          <w:rFonts w:eastAsia="Cambria"/>
          <w:color w:val="000000" w:themeColor="text1"/>
          <w:sz w:val="22"/>
          <w:szCs w:val="22"/>
          <w:lang w:val="fr-FR"/>
        </w:rPr>
        <w:t xml:space="preserve">à la riposte à la </w:t>
      </w:r>
      <w:r w:rsidR="00856921" w:rsidRPr="005D062F">
        <w:rPr>
          <w:rFonts w:eastAsia="Cambria"/>
          <w:color w:val="000000" w:themeColor="text1"/>
          <w:sz w:val="22"/>
          <w:szCs w:val="22"/>
          <w:lang w:val="fr-FR"/>
        </w:rPr>
        <w:t>Covid-</w:t>
      </w:r>
      <w:r w:rsidR="00141240" w:rsidRPr="005D062F">
        <w:rPr>
          <w:rFonts w:eastAsia="Cambria"/>
          <w:color w:val="000000" w:themeColor="text1"/>
          <w:sz w:val="22"/>
          <w:szCs w:val="22"/>
          <w:lang w:val="fr-FR"/>
        </w:rPr>
        <w:t xml:space="preserve">19 </w:t>
      </w:r>
      <w:r w:rsidR="00A9257E" w:rsidRPr="005D062F">
        <w:rPr>
          <w:rFonts w:eastAsia="Cambria"/>
          <w:color w:val="000000" w:themeColor="text1"/>
          <w:sz w:val="22"/>
          <w:szCs w:val="22"/>
          <w:lang w:val="fr-FR"/>
        </w:rPr>
        <w:t xml:space="preserve">et son </w:t>
      </w:r>
      <w:r w:rsidR="00141240" w:rsidRPr="005D062F">
        <w:rPr>
          <w:rFonts w:eastAsia="Cambria"/>
          <w:color w:val="000000" w:themeColor="text1"/>
          <w:sz w:val="22"/>
          <w:szCs w:val="22"/>
          <w:lang w:val="fr-FR"/>
        </w:rPr>
        <w:t>impact</w:t>
      </w:r>
      <w:r w:rsidR="00A9257E" w:rsidRPr="005D062F">
        <w:rPr>
          <w:rFonts w:eastAsia="Cambria"/>
          <w:color w:val="000000" w:themeColor="text1"/>
          <w:sz w:val="22"/>
          <w:szCs w:val="22"/>
          <w:lang w:val="fr-FR"/>
        </w:rPr>
        <w:t xml:space="preserve"> sur l’économie et l’emploi</w:t>
      </w:r>
      <w:r w:rsidR="008D2331" w:rsidRPr="005D062F">
        <w:rPr>
          <w:rFonts w:eastAsia="Cambria"/>
          <w:color w:val="000000" w:themeColor="text1"/>
          <w:sz w:val="22"/>
          <w:szCs w:val="22"/>
          <w:lang w:val="fr-FR"/>
        </w:rPr>
        <w:t>)</w:t>
      </w:r>
    </w:p>
    <w:p w14:paraId="273F4011" w14:textId="5FB92256" w:rsidR="00141240" w:rsidRPr="005D062F" w:rsidRDefault="006828EA" w:rsidP="00CB030B">
      <w:pPr>
        <w:pStyle w:val="ListParagraph"/>
        <w:numPr>
          <w:ilvl w:val="1"/>
          <w:numId w:val="24"/>
        </w:numPr>
        <w:ind w:left="1980" w:hanging="540"/>
        <w:jc w:val="both"/>
        <w:rPr>
          <w:rFonts w:eastAsia="Cambria"/>
          <w:color w:val="000000" w:themeColor="text1"/>
          <w:sz w:val="22"/>
          <w:szCs w:val="22"/>
          <w:lang w:val="fr-FR"/>
        </w:rPr>
      </w:pPr>
      <w:r w:rsidRPr="005D062F">
        <w:rPr>
          <w:rFonts w:eastAsia="Cambria"/>
          <w:color w:val="000000" w:themeColor="text1"/>
          <w:sz w:val="22"/>
          <w:szCs w:val="22"/>
          <w:lang w:val="fr-FR"/>
        </w:rPr>
        <w:t>Cours</w:t>
      </w:r>
      <w:r w:rsidR="003307E0" w:rsidRPr="005D062F">
        <w:rPr>
          <w:rFonts w:eastAsia="Cambria"/>
          <w:color w:val="000000" w:themeColor="text1"/>
          <w:sz w:val="22"/>
          <w:szCs w:val="22"/>
          <w:lang w:val="fr-FR"/>
        </w:rPr>
        <w:t xml:space="preserve"> 5 :</w:t>
      </w:r>
      <w:r w:rsidR="003307E0" w:rsidRPr="005D062F">
        <w:rPr>
          <w:rFonts w:eastAsia="Cambria"/>
          <w:b/>
          <w:bCs/>
          <w:color w:val="000000" w:themeColor="text1"/>
          <w:sz w:val="22"/>
          <w:szCs w:val="22"/>
          <w:lang w:val="fr-FR"/>
        </w:rPr>
        <w:t xml:space="preserve"> </w:t>
      </w:r>
      <w:r w:rsidR="00C437CB" w:rsidRPr="005D062F">
        <w:rPr>
          <w:rFonts w:eastAsia="Cambria"/>
          <w:b/>
          <w:bCs/>
          <w:color w:val="000000" w:themeColor="text1"/>
          <w:sz w:val="22"/>
          <w:szCs w:val="22"/>
          <w:lang w:val="fr-FR"/>
        </w:rPr>
        <w:t>Tourism</w:t>
      </w:r>
      <w:r w:rsidR="003307E0" w:rsidRPr="005D062F">
        <w:rPr>
          <w:rFonts w:eastAsia="Cambria"/>
          <w:b/>
          <w:bCs/>
          <w:color w:val="000000" w:themeColor="text1"/>
          <w:sz w:val="22"/>
          <w:szCs w:val="22"/>
          <w:lang w:val="fr-FR"/>
        </w:rPr>
        <w:t>e durable et développement local dans les zones rurales</w:t>
      </w:r>
      <w:r w:rsidR="008D58EF" w:rsidRPr="005D062F">
        <w:rPr>
          <w:rFonts w:eastAsia="Cambria"/>
          <w:b/>
          <w:bCs/>
          <w:color w:val="000000" w:themeColor="text1"/>
          <w:sz w:val="22"/>
          <w:szCs w:val="22"/>
          <w:lang w:val="fr-FR"/>
        </w:rPr>
        <w:t xml:space="preserve"> </w:t>
      </w:r>
      <w:r w:rsidR="00C437CB" w:rsidRPr="005D062F">
        <w:rPr>
          <w:rFonts w:eastAsia="Cambria"/>
          <w:color w:val="000000" w:themeColor="text1"/>
          <w:sz w:val="22"/>
          <w:szCs w:val="22"/>
          <w:lang w:val="fr-FR"/>
        </w:rPr>
        <w:t>(</w:t>
      </w:r>
      <w:r w:rsidR="003307E0" w:rsidRPr="005D062F">
        <w:rPr>
          <w:rFonts w:eastAsia="Cambria"/>
          <w:color w:val="000000" w:themeColor="text1"/>
          <w:sz w:val="22"/>
          <w:szCs w:val="22"/>
          <w:lang w:val="fr-FR"/>
        </w:rPr>
        <w:t>renforce les capacités en vue d’élaborer des stratégies locales de développement, l’objectif étant de produire des modèles de tourisme responsable capables de tirer parti de leur immense potentiel en termes de prospérité économique, d’inclusion sociale et de préservation de la culture et de l’environnement</w:t>
      </w:r>
      <w:r w:rsidR="00C437CB" w:rsidRPr="005D062F">
        <w:rPr>
          <w:rFonts w:eastAsia="Cambria"/>
          <w:color w:val="000000" w:themeColor="text1"/>
          <w:sz w:val="22"/>
          <w:szCs w:val="22"/>
          <w:lang w:val="fr-FR"/>
        </w:rPr>
        <w:t>)</w:t>
      </w:r>
    </w:p>
    <w:p w14:paraId="40899AB3" w14:textId="7A494E29" w:rsidR="00141240" w:rsidRPr="005D062F" w:rsidRDefault="006828EA" w:rsidP="00CB030B">
      <w:pPr>
        <w:pStyle w:val="ListParagraph"/>
        <w:numPr>
          <w:ilvl w:val="1"/>
          <w:numId w:val="24"/>
        </w:numPr>
        <w:ind w:left="1980" w:hanging="540"/>
        <w:jc w:val="both"/>
        <w:rPr>
          <w:rFonts w:eastAsia="Cambria"/>
          <w:color w:val="000000" w:themeColor="text1"/>
          <w:sz w:val="22"/>
          <w:szCs w:val="22"/>
          <w:lang w:val="fr-FR"/>
        </w:rPr>
      </w:pPr>
      <w:r w:rsidRPr="005D062F">
        <w:rPr>
          <w:rFonts w:eastAsia="Cambria"/>
          <w:color w:val="000000" w:themeColor="text1"/>
          <w:sz w:val="22"/>
          <w:szCs w:val="22"/>
          <w:lang w:val="fr-FR"/>
        </w:rPr>
        <w:t>Cours</w:t>
      </w:r>
      <w:r w:rsidR="003307E0" w:rsidRPr="005D062F">
        <w:rPr>
          <w:rFonts w:eastAsia="Cambria"/>
          <w:color w:val="000000" w:themeColor="text1"/>
          <w:sz w:val="22"/>
          <w:szCs w:val="22"/>
          <w:lang w:val="fr-FR"/>
        </w:rPr>
        <w:t xml:space="preserve"> 6 : </w:t>
      </w:r>
      <w:r w:rsidR="003307E0" w:rsidRPr="005D062F">
        <w:rPr>
          <w:rFonts w:eastAsia="Cambria"/>
          <w:b/>
          <w:bCs/>
          <w:color w:val="000000" w:themeColor="text1"/>
          <w:sz w:val="22"/>
          <w:szCs w:val="22"/>
          <w:lang w:val="fr-FR"/>
        </w:rPr>
        <w:t>É</w:t>
      </w:r>
      <w:r w:rsidR="00C437CB" w:rsidRPr="005D062F">
        <w:rPr>
          <w:rFonts w:eastAsia="Cambria"/>
          <w:b/>
          <w:bCs/>
          <w:color w:val="000000" w:themeColor="text1"/>
          <w:sz w:val="22"/>
          <w:szCs w:val="22"/>
          <w:lang w:val="fr-FR"/>
        </w:rPr>
        <w:t>ducation</w:t>
      </w:r>
      <w:r w:rsidR="003307E0" w:rsidRPr="005D062F">
        <w:rPr>
          <w:rFonts w:eastAsia="Cambria"/>
          <w:b/>
          <w:bCs/>
          <w:color w:val="000000" w:themeColor="text1"/>
          <w:sz w:val="22"/>
          <w:szCs w:val="22"/>
          <w:lang w:val="fr-FR"/>
        </w:rPr>
        <w:t xml:space="preserve"> inclusive</w:t>
      </w:r>
      <w:r w:rsidR="00C437CB" w:rsidRPr="005D062F">
        <w:rPr>
          <w:rFonts w:eastAsia="Cambria"/>
          <w:color w:val="000000" w:themeColor="text1"/>
          <w:sz w:val="22"/>
          <w:szCs w:val="22"/>
          <w:lang w:val="fr-FR"/>
        </w:rPr>
        <w:t xml:space="preserve"> (f</w:t>
      </w:r>
      <w:r w:rsidR="00555CF9" w:rsidRPr="005D062F">
        <w:rPr>
          <w:rFonts w:eastAsia="Cambria"/>
          <w:color w:val="000000" w:themeColor="text1"/>
          <w:sz w:val="22"/>
          <w:szCs w:val="22"/>
          <w:lang w:val="fr-FR"/>
        </w:rPr>
        <w:t>avorise la réflexion critique sur les outils et stratégies efficaces d’inclusion promouvant les environnements éducatifs conviviaux)</w:t>
      </w:r>
    </w:p>
    <w:p w14:paraId="7A00ACA6" w14:textId="1A121D94" w:rsidR="00141240" w:rsidRPr="005D062F" w:rsidRDefault="006828EA" w:rsidP="00CB030B">
      <w:pPr>
        <w:pStyle w:val="ListParagraph"/>
        <w:numPr>
          <w:ilvl w:val="1"/>
          <w:numId w:val="24"/>
        </w:numPr>
        <w:ind w:left="1980" w:hanging="540"/>
        <w:jc w:val="both"/>
        <w:rPr>
          <w:rFonts w:eastAsia="Cambria"/>
          <w:color w:val="000000" w:themeColor="text1"/>
          <w:sz w:val="22"/>
          <w:szCs w:val="22"/>
          <w:lang w:val="fr-FR"/>
        </w:rPr>
      </w:pPr>
      <w:r w:rsidRPr="005D062F">
        <w:rPr>
          <w:rFonts w:eastAsia="Cambria"/>
          <w:color w:val="000000" w:themeColor="text1"/>
          <w:sz w:val="22"/>
          <w:szCs w:val="22"/>
          <w:lang w:val="fr-FR"/>
        </w:rPr>
        <w:t>Cours</w:t>
      </w:r>
      <w:r w:rsidR="003307E0" w:rsidRPr="005D062F">
        <w:rPr>
          <w:rFonts w:eastAsia="Cambria"/>
          <w:color w:val="000000" w:themeColor="text1"/>
          <w:sz w:val="22"/>
          <w:szCs w:val="22"/>
          <w:lang w:val="fr-FR"/>
        </w:rPr>
        <w:t xml:space="preserve"> 7 :</w:t>
      </w:r>
      <w:r w:rsidR="00C437CB" w:rsidRPr="005D062F">
        <w:rPr>
          <w:rFonts w:eastAsia="Cambria"/>
          <w:color w:val="000000" w:themeColor="text1"/>
          <w:sz w:val="22"/>
          <w:szCs w:val="22"/>
          <w:lang w:val="fr-FR"/>
        </w:rPr>
        <w:t xml:space="preserve"> </w:t>
      </w:r>
      <w:r w:rsidR="00C437CB" w:rsidRPr="005D062F">
        <w:rPr>
          <w:rFonts w:eastAsia="Cambria"/>
          <w:b/>
          <w:bCs/>
          <w:color w:val="000000" w:themeColor="text1"/>
          <w:sz w:val="22"/>
          <w:szCs w:val="22"/>
          <w:lang w:val="fr-FR"/>
        </w:rPr>
        <w:t xml:space="preserve">Introduction </w:t>
      </w:r>
      <w:r w:rsidR="003307E0" w:rsidRPr="005D062F">
        <w:rPr>
          <w:rFonts w:eastAsia="Cambria"/>
          <w:b/>
          <w:bCs/>
          <w:color w:val="000000" w:themeColor="text1"/>
          <w:sz w:val="22"/>
          <w:szCs w:val="22"/>
          <w:lang w:val="fr-FR"/>
        </w:rPr>
        <w:t xml:space="preserve">aux </w:t>
      </w:r>
      <w:r w:rsidR="00C437CB" w:rsidRPr="005D062F">
        <w:rPr>
          <w:rFonts w:eastAsia="Cambria"/>
          <w:b/>
          <w:bCs/>
          <w:color w:val="000000" w:themeColor="text1"/>
          <w:sz w:val="22"/>
          <w:szCs w:val="22"/>
          <w:lang w:val="fr-FR"/>
        </w:rPr>
        <w:t>n</w:t>
      </w:r>
      <w:r w:rsidR="003307E0" w:rsidRPr="005D062F">
        <w:rPr>
          <w:rFonts w:eastAsia="Cambria"/>
          <w:b/>
          <w:bCs/>
          <w:color w:val="000000" w:themeColor="text1"/>
          <w:sz w:val="22"/>
          <w:szCs w:val="22"/>
          <w:lang w:val="fr-FR"/>
        </w:rPr>
        <w:t>ouvelles t</w:t>
      </w:r>
      <w:r w:rsidR="00C437CB" w:rsidRPr="005D062F">
        <w:rPr>
          <w:rFonts w:eastAsia="Cambria"/>
          <w:b/>
          <w:bCs/>
          <w:color w:val="000000" w:themeColor="text1"/>
          <w:sz w:val="22"/>
          <w:szCs w:val="22"/>
          <w:lang w:val="fr-FR"/>
        </w:rPr>
        <w:t>echnologies</w:t>
      </w:r>
      <w:r w:rsidR="00C437CB" w:rsidRPr="005D062F">
        <w:rPr>
          <w:rFonts w:eastAsia="Cambria"/>
          <w:i/>
          <w:iCs/>
          <w:color w:val="000000" w:themeColor="text1"/>
          <w:sz w:val="22"/>
          <w:szCs w:val="22"/>
          <w:lang w:val="fr-FR"/>
        </w:rPr>
        <w:t xml:space="preserve"> </w:t>
      </w:r>
      <w:r w:rsidR="00C437CB" w:rsidRPr="005D062F">
        <w:rPr>
          <w:rFonts w:eastAsia="Cambria"/>
          <w:color w:val="000000" w:themeColor="text1"/>
          <w:sz w:val="22"/>
          <w:szCs w:val="22"/>
          <w:lang w:val="fr-FR"/>
        </w:rPr>
        <w:t>(</w:t>
      </w:r>
      <w:r w:rsidR="00555CF9" w:rsidRPr="005D062F">
        <w:rPr>
          <w:rFonts w:eastAsia="Cambria"/>
          <w:color w:val="000000" w:themeColor="text1"/>
          <w:sz w:val="22"/>
          <w:szCs w:val="22"/>
          <w:lang w:val="fr-FR"/>
        </w:rPr>
        <w:t xml:space="preserve">détermine les avantages de la </w:t>
      </w:r>
      <w:r w:rsidR="00141240" w:rsidRPr="005D062F">
        <w:rPr>
          <w:rFonts w:eastAsia="Cambria"/>
          <w:color w:val="000000" w:themeColor="text1"/>
          <w:sz w:val="22"/>
          <w:szCs w:val="22"/>
          <w:lang w:val="fr-FR"/>
        </w:rPr>
        <w:t>transformation</w:t>
      </w:r>
      <w:r w:rsidR="00555CF9" w:rsidRPr="005D062F">
        <w:rPr>
          <w:rFonts w:eastAsia="Cambria"/>
          <w:color w:val="000000" w:themeColor="text1"/>
          <w:sz w:val="22"/>
          <w:szCs w:val="22"/>
          <w:lang w:val="fr-FR"/>
        </w:rPr>
        <w:t xml:space="preserve"> numérique et décrit les </w:t>
      </w:r>
      <w:r w:rsidR="00141240" w:rsidRPr="005D062F">
        <w:rPr>
          <w:rFonts w:eastAsia="Cambria"/>
          <w:color w:val="000000" w:themeColor="text1"/>
          <w:sz w:val="22"/>
          <w:szCs w:val="22"/>
          <w:lang w:val="fr-FR"/>
        </w:rPr>
        <w:t xml:space="preserve">technologies </w:t>
      </w:r>
      <w:r w:rsidR="00555CF9" w:rsidRPr="005D062F">
        <w:rPr>
          <w:rFonts w:eastAsia="Cambria"/>
          <w:color w:val="000000" w:themeColor="text1"/>
          <w:sz w:val="22"/>
          <w:szCs w:val="22"/>
          <w:lang w:val="fr-FR"/>
        </w:rPr>
        <w:t>de la</w:t>
      </w:r>
      <w:r w:rsidR="00141240" w:rsidRPr="005D062F">
        <w:rPr>
          <w:rFonts w:eastAsia="Cambria"/>
          <w:color w:val="000000" w:themeColor="text1"/>
          <w:sz w:val="22"/>
          <w:szCs w:val="22"/>
          <w:lang w:val="fr-FR"/>
        </w:rPr>
        <w:t xml:space="preserve"> 4</w:t>
      </w:r>
      <w:r w:rsidR="00555CF9" w:rsidRPr="005D062F">
        <w:rPr>
          <w:rFonts w:eastAsia="Cambria"/>
          <w:color w:val="000000" w:themeColor="text1"/>
          <w:sz w:val="22"/>
          <w:szCs w:val="22"/>
          <w:vertAlign w:val="superscript"/>
          <w:lang w:val="fr-FR"/>
        </w:rPr>
        <w:t>e</w:t>
      </w:r>
      <w:r w:rsidR="00141240" w:rsidRPr="005D062F">
        <w:rPr>
          <w:rFonts w:eastAsia="Cambria"/>
          <w:color w:val="000000" w:themeColor="text1"/>
          <w:sz w:val="22"/>
          <w:szCs w:val="22"/>
          <w:lang w:val="fr-FR"/>
        </w:rPr>
        <w:t xml:space="preserve"> </w:t>
      </w:r>
      <w:r w:rsidR="00555CF9" w:rsidRPr="005D062F">
        <w:rPr>
          <w:rFonts w:eastAsia="Cambria"/>
          <w:color w:val="000000" w:themeColor="text1"/>
          <w:sz w:val="22"/>
          <w:szCs w:val="22"/>
          <w:lang w:val="fr-FR"/>
        </w:rPr>
        <w:t>Ré</w:t>
      </w:r>
      <w:r w:rsidR="00141240" w:rsidRPr="005D062F">
        <w:rPr>
          <w:rFonts w:eastAsia="Cambria"/>
          <w:color w:val="000000" w:themeColor="text1"/>
          <w:sz w:val="22"/>
          <w:szCs w:val="22"/>
          <w:lang w:val="fr-FR"/>
        </w:rPr>
        <w:t>volution</w:t>
      </w:r>
      <w:r w:rsidR="00555CF9" w:rsidRPr="005D062F">
        <w:rPr>
          <w:rFonts w:eastAsia="Cambria"/>
          <w:color w:val="000000" w:themeColor="text1"/>
          <w:sz w:val="22"/>
          <w:szCs w:val="22"/>
          <w:lang w:val="fr-FR"/>
        </w:rPr>
        <w:t xml:space="preserve"> industrielle</w:t>
      </w:r>
      <w:r w:rsidR="00141240" w:rsidRPr="005D062F">
        <w:rPr>
          <w:rFonts w:eastAsia="Cambria"/>
          <w:color w:val="000000" w:themeColor="text1"/>
          <w:sz w:val="22"/>
          <w:szCs w:val="22"/>
          <w:lang w:val="fr-FR"/>
        </w:rPr>
        <w:t xml:space="preserve"> </w:t>
      </w:r>
      <w:r w:rsidR="00555CF9" w:rsidRPr="005D062F">
        <w:rPr>
          <w:rFonts w:eastAsia="Cambria"/>
          <w:color w:val="000000" w:themeColor="text1"/>
          <w:sz w:val="22"/>
          <w:szCs w:val="22"/>
          <w:lang w:val="fr-FR"/>
        </w:rPr>
        <w:t>qui vont générer de nouveaux modèles commerciaux et produits/services, se traduisant au final par une augmentation de la productivité et la création de nouveaux emplois dans le secteur</w:t>
      </w:r>
      <w:r w:rsidR="00C437CB" w:rsidRPr="005D062F">
        <w:rPr>
          <w:rFonts w:eastAsia="Cambria"/>
          <w:color w:val="000000" w:themeColor="text1"/>
          <w:sz w:val="22"/>
          <w:szCs w:val="22"/>
          <w:lang w:val="fr-FR"/>
        </w:rPr>
        <w:t>)</w:t>
      </w:r>
    </w:p>
    <w:p w14:paraId="06EC6487" w14:textId="77777777" w:rsidR="00141240" w:rsidRPr="005D062F" w:rsidRDefault="00141240" w:rsidP="00723DAD">
      <w:pPr>
        <w:jc w:val="both"/>
        <w:rPr>
          <w:rFonts w:ascii="Times New Roman" w:hAnsi="Times New Roman" w:cs="Times New Roman"/>
          <w:color w:val="000000" w:themeColor="text1"/>
          <w:sz w:val="22"/>
          <w:szCs w:val="22"/>
          <w:lang w:val="fr-FR"/>
        </w:rPr>
      </w:pPr>
    </w:p>
    <w:p w14:paraId="6C272AFC" w14:textId="40E3ED0C" w:rsidR="00141240" w:rsidRPr="005D062F" w:rsidRDefault="00E06DE1" w:rsidP="00CB030B">
      <w:pPr>
        <w:pStyle w:val="ListParagraph"/>
        <w:numPr>
          <w:ilvl w:val="0"/>
          <w:numId w:val="24"/>
        </w:numPr>
        <w:ind w:left="1440" w:hanging="720"/>
        <w:jc w:val="both"/>
        <w:rPr>
          <w:rFonts w:eastAsia="Cambria"/>
          <w:color w:val="000000" w:themeColor="text1"/>
          <w:sz w:val="22"/>
          <w:szCs w:val="22"/>
          <w:lang w:val="fr-FR"/>
        </w:rPr>
      </w:pPr>
      <w:r w:rsidRPr="005D062F">
        <w:rPr>
          <w:rFonts w:eastAsia="Times New Roman"/>
          <w:color w:val="000000"/>
          <w:sz w:val="22"/>
          <w:szCs w:val="22"/>
          <w:lang w:val="fr-FR"/>
        </w:rPr>
        <w:t>Le Programme de bourses d’études universitaires a reçu</w:t>
      </w:r>
      <w:r w:rsidR="00141240" w:rsidRPr="005D062F">
        <w:rPr>
          <w:rFonts w:eastAsia="Times New Roman"/>
          <w:color w:val="000000"/>
          <w:sz w:val="22"/>
          <w:szCs w:val="22"/>
          <w:lang w:val="fr-FR"/>
        </w:rPr>
        <w:t xml:space="preserve"> </w:t>
      </w:r>
      <w:r w:rsidR="00174DB3" w:rsidRPr="005D062F">
        <w:rPr>
          <w:rFonts w:eastAsia="Times New Roman"/>
          <w:color w:val="000000"/>
          <w:sz w:val="22"/>
          <w:szCs w:val="22"/>
          <w:lang w:val="fr-FR"/>
        </w:rPr>
        <w:t>89</w:t>
      </w:r>
      <w:r w:rsidRPr="005D062F">
        <w:rPr>
          <w:rFonts w:eastAsia="Times New Roman"/>
          <w:color w:val="000000"/>
          <w:sz w:val="22"/>
          <w:szCs w:val="22"/>
          <w:lang w:val="fr-FR"/>
        </w:rPr>
        <w:t xml:space="preserve"> demandes de </w:t>
      </w:r>
      <w:r w:rsidR="00141240" w:rsidRPr="005D062F">
        <w:rPr>
          <w:rFonts w:eastAsia="Times New Roman"/>
          <w:color w:val="000000"/>
          <w:sz w:val="22"/>
          <w:szCs w:val="22"/>
          <w:lang w:val="fr-FR"/>
        </w:rPr>
        <w:t>28</w:t>
      </w:r>
      <w:r w:rsidR="007A05A2" w:rsidRPr="005D062F">
        <w:rPr>
          <w:rFonts w:eastAsia="Times New Roman"/>
          <w:color w:val="000000"/>
          <w:sz w:val="22"/>
          <w:szCs w:val="22"/>
          <w:lang w:val="fr-FR"/>
        </w:rPr>
        <w:t> États membres en réponse à l’</w:t>
      </w:r>
      <w:r w:rsidRPr="005D062F">
        <w:rPr>
          <w:rFonts w:eastAsia="Times New Roman"/>
          <w:color w:val="000000"/>
          <w:sz w:val="22"/>
          <w:szCs w:val="22"/>
          <w:lang w:val="fr-FR"/>
        </w:rPr>
        <w:t xml:space="preserve">appel à candidatures pour </w:t>
      </w:r>
      <w:r w:rsidR="00141240" w:rsidRPr="005D062F">
        <w:rPr>
          <w:rFonts w:eastAsia="Times New Roman"/>
          <w:color w:val="000000"/>
          <w:sz w:val="22"/>
          <w:szCs w:val="22"/>
          <w:lang w:val="fr-FR"/>
        </w:rPr>
        <w:t xml:space="preserve">2022. </w:t>
      </w:r>
      <w:r w:rsidRPr="005D062F">
        <w:rPr>
          <w:rFonts w:eastAsia="Times New Roman"/>
          <w:color w:val="000000"/>
          <w:sz w:val="22"/>
          <w:szCs w:val="22"/>
          <w:lang w:val="fr-FR"/>
        </w:rPr>
        <w:t>Trente-quatre (</w:t>
      </w:r>
      <w:r w:rsidR="00174DB3" w:rsidRPr="005D062F">
        <w:rPr>
          <w:rFonts w:eastAsia="Times New Roman"/>
          <w:color w:val="000000"/>
          <w:sz w:val="22"/>
          <w:szCs w:val="22"/>
          <w:lang w:val="fr-FR"/>
        </w:rPr>
        <w:t>34</w:t>
      </w:r>
      <w:r w:rsidRPr="005D062F">
        <w:rPr>
          <w:rFonts w:eastAsia="Times New Roman"/>
          <w:color w:val="000000"/>
          <w:sz w:val="22"/>
          <w:szCs w:val="22"/>
          <w:lang w:val="fr-FR"/>
        </w:rPr>
        <w:t>)</w:t>
      </w:r>
      <w:r w:rsidR="00174DB3" w:rsidRPr="005D062F">
        <w:rPr>
          <w:rFonts w:eastAsia="Times New Roman"/>
          <w:color w:val="000000"/>
          <w:sz w:val="22"/>
          <w:szCs w:val="22"/>
          <w:lang w:val="fr-FR"/>
        </w:rPr>
        <w:t xml:space="preserve"> </w:t>
      </w:r>
      <w:r w:rsidRPr="005D062F">
        <w:rPr>
          <w:rFonts w:eastAsia="Times New Roman"/>
          <w:color w:val="000000"/>
          <w:sz w:val="22"/>
          <w:szCs w:val="22"/>
          <w:lang w:val="fr-FR"/>
        </w:rPr>
        <w:t>bourses ont été attribuées </w:t>
      </w:r>
      <w:r w:rsidR="00174DB3" w:rsidRPr="005D062F">
        <w:rPr>
          <w:rFonts w:eastAsia="Times New Roman"/>
          <w:color w:val="000000"/>
          <w:sz w:val="22"/>
          <w:szCs w:val="22"/>
          <w:lang w:val="fr-FR"/>
        </w:rPr>
        <w:t xml:space="preserve">; six </w:t>
      </w:r>
      <w:r w:rsidRPr="005D062F">
        <w:rPr>
          <w:rFonts w:eastAsia="Times New Roman"/>
          <w:color w:val="000000"/>
          <w:sz w:val="22"/>
          <w:szCs w:val="22"/>
          <w:lang w:val="fr-FR"/>
        </w:rPr>
        <w:t>offres pour des études de premier cycle et</w:t>
      </w:r>
      <w:r w:rsidR="00174DB3" w:rsidRPr="005D062F">
        <w:rPr>
          <w:rFonts w:eastAsia="Times New Roman"/>
          <w:color w:val="000000"/>
          <w:sz w:val="22"/>
          <w:szCs w:val="22"/>
          <w:lang w:val="fr-FR"/>
        </w:rPr>
        <w:t xml:space="preserve"> 24 off</w:t>
      </w:r>
      <w:r w:rsidRPr="005D062F">
        <w:rPr>
          <w:rFonts w:eastAsia="Times New Roman"/>
          <w:color w:val="000000"/>
          <w:sz w:val="22"/>
          <w:szCs w:val="22"/>
          <w:lang w:val="fr-FR"/>
        </w:rPr>
        <w:t xml:space="preserve">res pour des études supérieures ont été </w:t>
      </w:r>
      <w:r w:rsidR="00174DB3" w:rsidRPr="005D062F">
        <w:rPr>
          <w:rFonts w:eastAsia="Times New Roman"/>
          <w:color w:val="000000"/>
          <w:sz w:val="22"/>
          <w:szCs w:val="22"/>
          <w:lang w:val="fr-FR"/>
        </w:rPr>
        <w:t>accept</w:t>
      </w:r>
      <w:r w:rsidRPr="005D062F">
        <w:rPr>
          <w:rFonts w:eastAsia="Times New Roman"/>
          <w:color w:val="000000"/>
          <w:sz w:val="22"/>
          <w:szCs w:val="22"/>
          <w:lang w:val="fr-FR"/>
        </w:rPr>
        <w:t>ées</w:t>
      </w:r>
      <w:r w:rsidR="00174DB3" w:rsidRPr="005D062F">
        <w:rPr>
          <w:rFonts w:eastAsia="Cambria"/>
          <w:color w:val="000000" w:themeColor="text1"/>
          <w:sz w:val="22"/>
          <w:szCs w:val="22"/>
          <w:lang w:val="fr-FR"/>
        </w:rPr>
        <w:t xml:space="preserve">. </w:t>
      </w:r>
    </w:p>
    <w:p w14:paraId="5716EBC6" w14:textId="77777777" w:rsidR="00174DB3" w:rsidRPr="005D062F" w:rsidRDefault="00174DB3" w:rsidP="00723DAD">
      <w:pPr>
        <w:jc w:val="both"/>
        <w:rPr>
          <w:rFonts w:ascii="Times New Roman" w:eastAsia="Cambria" w:hAnsi="Times New Roman" w:cs="Times New Roman"/>
          <w:color w:val="000000" w:themeColor="text1"/>
          <w:sz w:val="22"/>
          <w:szCs w:val="22"/>
          <w:lang w:val="fr-FR"/>
        </w:rPr>
      </w:pPr>
    </w:p>
    <w:p w14:paraId="35A8F39E" w14:textId="2167C956" w:rsidR="00141240" w:rsidRPr="005D062F" w:rsidRDefault="00E06DE1" w:rsidP="00CB030B">
      <w:pPr>
        <w:pStyle w:val="ListParagraph"/>
        <w:numPr>
          <w:ilvl w:val="1"/>
          <w:numId w:val="24"/>
        </w:numPr>
        <w:ind w:left="1980" w:hanging="540"/>
        <w:jc w:val="both"/>
        <w:rPr>
          <w:rFonts w:eastAsia="Cambria"/>
          <w:color w:val="000000" w:themeColor="text1"/>
          <w:sz w:val="22"/>
          <w:szCs w:val="22"/>
          <w:lang w:val="fr-FR"/>
        </w:rPr>
      </w:pPr>
      <w:r w:rsidRPr="005D062F">
        <w:rPr>
          <w:rFonts w:eastAsia="Times New Roman"/>
          <w:color w:val="000000"/>
          <w:sz w:val="22"/>
          <w:szCs w:val="22"/>
          <w:lang w:val="fr-FR"/>
        </w:rPr>
        <w:t>Les bourses d’études universitaires sont accordées pour les deux dernières années d’études du premier cycle aux citoyens des États membres anglophones des Caraïbes et du Suriname</w:t>
      </w:r>
      <w:r w:rsidR="00141240" w:rsidRPr="005D062F">
        <w:rPr>
          <w:rFonts w:eastAsia="Cambria"/>
          <w:color w:val="000000" w:themeColor="text1"/>
          <w:sz w:val="22"/>
          <w:szCs w:val="22"/>
          <w:lang w:val="fr-FR"/>
        </w:rPr>
        <w:t>.</w:t>
      </w:r>
    </w:p>
    <w:p w14:paraId="2D96C7CC" w14:textId="5FA688F6" w:rsidR="00141240" w:rsidRPr="005D062F" w:rsidRDefault="00E06DE1" w:rsidP="00CB030B">
      <w:pPr>
        <w:pStyle w:val="ListParagraph"/>
        <w:numPr>
          <w:ilvl w:val="1"/>
          <w:numId w:val="24"/>
        </w:numPr>
        <w:ind w:left="1980" w:hanging="540"/>
        <w:jc w:val="both"/>
        <w:rPr>
          <w:rFonts w:eastAsia="Cambria"/>
          <w:color w:val="000000" w:themeColor="text1"/>
          <w:sz w:val="22"/>
          <w:szCs w:val="22"/>
          <w:lang w:val="fr-FR"/>
        </w:rPr>
      </w:pPr>
      <w:r w:rsidRPr="005D062F">
        <w:rPr>
          <w:rFonts w:eastAsia="Cambria"/>
          <w:color w:val="000000" w:themeColor="text1"/>
          <w:sz w:val="22"/>
          <w:szCs w:val="22"/>
          <w:lang w:val="fr-FR"/>
        </w:rPr>
        <w:t xml:space="preserve">Les </w:t>
      </w:r>
      <w:r w:rsidRPr="005D062F">
        <w:rPr>
          <w:rFonts w:eastAsia="Times New Roman"/>
          <w:color w:val="000000"/>
          <w:sz w:val="22"/>
          <w:szCs w:val="22"/>
          <w:lang w:val="fr-FR"/>
        </w:rPr>
        <w:t>bourses d’études supérieures sont accordées pour des études menant à une maîtrise, un doctorat et/ou une recherche de troisième cycle aux citoyens de tous les États membres de l’OEA</w:t>
      </w:r>
      <w:r w:rsidR="00141240" w:rsidRPr="005D062F">
        <w:rPr>
          <w:rFonts w:eastAsia="Cambria"/>
          <w:color w:val="000000" w:themeColor="text1"/>
          <w:sz w:val="22"/>
          <w:szCs w:val="22"/>
          <w:lang w:val="fr-FR"/>
        </w:rPr>
        <w:t>.</w:t>
      </w:r>
    </w:p>
    <w:p w14:paraId="0C7B96F5" w14:textId="2FA20255" w:rsidR="00141240" w:rsidRPr="005D062F" w:rsidRDefault="007A05A2" w:rsidP="00CB030B">
      <w:pPr>
        <w:pStyle w:val="ListParagraph"/>
        <w:numPr>
          <w:ilvl w:val="1"/>
          <w:numId w:val="24"/>
        </w:numPr>
        <w:ind w:left="1980" w:hanging="540"/>
        <w:jc w:val="both"/>
        <w:rPr>
          <w:rFonts w:eastAsia="Cambria"/>
          <w:color w:val="000000" w:themeColor="text1"/>
          <w:sz w:val="22"/>
          <w:szCs w:val="22"/>
          <w:lang w:val="fr-FR"/>
        </w:rPr>
      </w:pPr>
      <w:r w:rsidRPr="005D062F">
        <w:rPr>
          <w:rFonts w:eastAsia="Times New Roman"/>
          <w:color w:val="000000"/>
          <w:sz w:val="22"/>
          <w:szCs w:val="22"/>
          <w:lang w:val="fr-FR"/>
        </w:rPr>
        <w:t>Les boursiers reçoivent jusqu’</w:t>
      </w:r>
      <w:r w:rsidR="00E06DE1" w:rsidRPr="005D062F">
        <w:rPr>
          <w:rFonts w:eastAsia="Times New Roman"/>
          <w:color w:val="000000"/>
          <w:sz w:val="22"/>
          <w:szCs w:val="22"/>
          <w:lang w:val="fr-FR"/>
        </w:rPr>
        <w:t>à 10 000 USD par année universitaire, pour un maximum de deux années universitaires, afin de poursuivre des études dans des établissements universitaires réputés des États membres de l’OEA, selon des modalités sur place, en ligne ou mixtes</w:t>
      </w:r>
      <w:r w:rsidR="00141240" w:rsidRPr="005D062F">
        <w:rPr>
          <w:rFonts w:eastAsia="Cambria"/>
          <w:color w:val="000000" w:themeColor="text1"/>
          <w:sz w:val="22"/>
          <w:szCs w:val="22"/>
          <w:lang w:val="fr-FR"/>
        </w:rPr>
        <w:t xml:space="preserve">. </w:t>
      </w:r>
    </w:p>
    <w:p w14:paraId="0D62485D" w14:textId="77777777" w:rsidR="00A427C5" w:rsidRPr="005D062F" w:rsidRDefault="00A427C5" w:rsidP="00CB030B">
      <w:pPr>
        <w:jc w:val="both"/>
        <w:rPr>
          <w:rFonts w:ascii="Times New Roman" w:eastAsia="Cambria" w:hAnsi="Times New Roman" w:cs="Times New Roman"/>
          <w:color w:val="000000" w:themeColor="text1"/>
          <w:sz w:val="22"/>
          <w:szCs w:val="22"/>
          <w:lang w:val="fr-FR"/>
        </w:rPr>
      </w:pPr>
    </w:p>
    <w:p w14:paraId="6984DFEA" w14:textId="74B038DE" w:rsidR="00141240" w:rsidRPr="005D062F" w:rsidRDefault="00E06DE1" w:rsidP="00CB030B">
      <w:pPr>
        <w:ind w:firstLine="720"/>
        <w:jc w:val="both"/>
        <w:rPr>
          <w:rFonts w:ascii="Times New Roman" w:eastAsia="Cambria" w:hAnsi="Times New Roman" w:cs="Times New Roman"/>
          <w:b/>
          <w:bCs/>
          <w:color w:val="000000" w:themeColor="text1"/>
          <w:sz w:val="22"/>
          <w:szCs w:val="22"/>
          <w:lang w:val="fr-FR"/>
        </w:rPr>
      </w:pPr>
      <w:r w:rsidRPr="005D062F">
        <w:rPr>
          <w:rFonts w:ascii="Times New Roman" w:eastAsia="Times New Roman" w:hAnsi="Times New Roman" w:cs="Times New Roman"/>
          <w:b/>
          <w:color w:val="000000"/>
          <w:sz w:val="22"/>
          <w:szCs w:val="22"/>
          <w:lang w:val="fr-FR"/>
        </w:rPr>
        <w:t>Fonds panaméricain</w:t>
      </w:r>
      <w:r w:rsidRPr="005D062F">
        <w:rPr>
          <w:rFonts w:ascii="Times New Roman" w:eastAsia="Cambria" w:hAnsi="Times New Roman" w:cs="Times New Roman"/>
          <w:b/>
          <w:bCs/>
          <w:color w:val="000000" w:themeColor="text1"/>
          <w:sz w:val="22"/>
          <w:szCs w:val="22"/>
          <w:lang w:val="fr-FR"/>
        </w:rPr>
        <w:t xml:space="preserve"> Leo S. Rowe</w:t>
      </w:r>
    </w:p>
    <w:p w14:paraId="3817561D" w14:textId="77777777" w:rsidR="003C1314" w:rsidRPr="005D062F" w:rsidRDefault="003C1314" w:rsidP="00CB030B">
      <w:pPr>
        <w:jc w:val="both"/>
        <w:rPr>
          <w:rFonts w:ascii="Times New Roman" w:eastAsia="Cambria" w:hAnsi="Times New Roman" w:cs="Times New Roman"/>
          <w:i/>
          <w:iCs/>
          <w:color w:val="000000" w:themeColor="text1"/>
          <w:sz w:val="22"/>
          <w:szCs w:val="22"/>
          <w:lang w:val="fr-FR"/>
        </w:rPr>
      </w:pPr>
    </w:p>
    <w:p w14:paraId="4C5D6552" w14:textId="5EFD6FED" w:rsidR="003C1314" w:rsidRPr="005D062F" w:rsidRDefault="00CE35D2" w:rsidP="00CB030B">
      <w:pPr>
        <w:pStyle w:val="ListParagraph"/>
        <w:numPr>
          <w:ilvl w:val="0"/>
          <w:numId w:val="24"/>
        </w:numPr>
        <w:ind w:left="1440" w:hanging="720"/>
        <w:jc w:val="both"/>
        <w:rPr>
          <w:rFonts w:eastAsia="Cambria"/>
          <w:color w:val="000000" w:themeColor="text1"/>
          <w:sz w:val="22"/>
          <w:szCs w:val="22"/>
          <w:lang w:val="fr-FR"/>
        </w:rPr>
      </w:pPr>
      <w:r w:rsidRPr="005D062F">
        <w:rPr>
          <w:rFonts w:eastAsia="Cambria"/>
          <w:color w:val="000000" w:themeColor="text1"/>
          <w:sz w:val="22"/>
          <w:szCs w:val="22"/>
          <w:lang w:val="fr-FR"/>
        </w:rPr>
        <w:t xml:space="preserve">Le Fonds </w:t>
      </w:r>
      <w:r w:rsidR="003C1314" w:rsidRPr="005D062F">
        <w:rPr>
          <w:rFonts w:eastAsia="Cambria"/>
          <w:color w:val="000000" w:themeColor="text1"/>
          <w:sz w:val="22"/>
          <w:szCs w:val="22"/>
          <w:lang w:val="fr-FR"/>
        </w:rPr>
        <w:t xml:space="preserve">Rowe </w:t>
      </w:r>
      <w:r w:rsidRPr="005D062F">
        <w:rPr>
          <w:rFonts w:eastAsia="Cambria"/>
          <w:color w:val="000000" w:themeColor="text1"/>
          <w:sz w:val="22"/>
          <w:szCs w:val="22"/>
          <w:lang w:val="fr-FR"/>
        </w:rPr>
        <w:t>est un</w:t>
      </w:r>
      <w:r w:rsidR="00141240" w:rsidRPr="005D062F">
        <w:rPr>
          <w:rFonts w:eastAsia="Cambria"/>
          <w:color w:val="000000" w:themeColor="text1"/>
          <w:sz w:val="22"/>
          <w:szCs w:val="22"/>
          <w:lang w:val="fr-FR"/>
        </w:rPr>
        <w:t xml:space="preserve"> program</w:t>
      </w:r>
      <w:r w:rsidRPr="005D062F">
        <w:rPr>
          <w:rFonts w:eastAsia="Cambria"/>
          <w:color w:val="000000" w:themeColor="text1"/>
          <w:sz w:val="22"/>
          <w:szCs w:val="22"/>
          <w:lang w:val="fr-FR"/>
        </w:rPr>
        <w:t>me de prêt éducatif qui aide les citoyens d’Amérique latine et des Caraïbes des États membres de l’OEA à financer leurs études ou leurs recherches dans des universités reconnues aux États-Unis grâce à l’octroi de prêts sans intérêts allant jusqu’à 15 </w:t>
      </w:r>
      <w:r w:rsidR="00141240" w:rsidRPr="005D062F">
        <w:rPr>
          <w:rFonts w:eastAsia="Cambria"/>
          <w:color w:val="000000" w:themeColor="text1"/>
          <w:sz w:val="22"/>
          <w:szCs w:val="22"/>
          <w:lang w:val="fr-FR"/>
        </w:rPr>
        <w:t>000</w:t>
      </w:r>
      <w:r w:rsidRPr="005D062F">
        <w:rPr>
          <w:rFonts w:eastAsia="Cambria"/>
          <w:color w:val="000000" w:themeColor="text1"/>
          <w:sz w:val="22"/>
          <w:szCs w:val="22"/>
          <w:lang w:val="fr-FR"/>
        </w:rPr>
        <w:t> USD</w:t>
      </w:r>
      <w:r w:rsidR="00141240" w:rsidRPr="005D062F">
        <w:rPr>
          <w:rFonts w:eastAsia="Cambria"/>
          <w:color w:val="000000" w:themeColor="text1"/>
          <w:sz w:val="22"/>
          <w:szCs w:val="22"/>
          <w:lang w:val="fr-FR"/>
        </w:rPr>
        <w:t>.</w:t>
      </w:r>
      <w:r w:rsidR="00E06DE1" w:rsidRPr="005D062F">
        <w:rPr>
          <w:rFonts w:eastAsia="Cambria"/>
          <w:color w:val="000000" w:themeColor="text1"/>
          <w:sz w:val="22"/>
          <w:szCs w:val="22"/>
          <w:lang w:val="fr-FR"/>
        </w:rPr>
        <w:t xml:space="preserve"> E</w:t>
      </w:r>
      <w:r w:rsidR="00F328E6" w:rsidRPr="005D062F">
        <w:rPr>
          <w:rFonts w:eastAsia="Cambria"/>
          <w:color w:val="000000" w:themeColor="text1"/>
          <w:sz w:val="22"/>
          <w:szCs w:val="22"/>
          <w:lang w:val="fr-FR"/>
        </w:rPr>
        <w:t>n 2022, le Fonds a </w:t>
      </w:r>
      <w:r w:rsidR="003C1314" w:rsidRPr="005D062F">
        <w:rPr>
          <w:rFonts w:eastAsia="Cambria"/>
          <w:color w:val="000000" w:themeColor="text1"/>
          <w:sz w:val="22"/>
          <w:szCs w:val="22"/>
          <w:lang w:val="fr-FR"/>
        </w:rPr>
        <w:t>:</w:t>
      </w:r>
    </w:p>
    <w:p w14:paraId="70474E36" w14:textId="77777777" w:rsidR="003C1314" w:rsidRPr="005D062F" w:rsidRDefault="003C1314" w:rsidP="00723DAD">
      <w:pPr>
        <w:jc w:val="both"/>
        <w:rPr>
          <w:rFonts w:ascii="Times New Roman" w:eastAsia="Cambria" w:hAnsi="Times New Roman" w:cs="Times New Roman"/>
          <w:color w:val="000000" w:themeColor="text1"/>
          <w:sz w:val="22"/>
          <w:szCs w:val="22"/>
          <w:lang w:val="fr-FR"/>
        </w:rPr>
      </w:pPr>
    </w:p>
    <w:p w14:paraId="57884094" w14:textId="50A3179E" w:rsidR="003C1314" w:rsidRPr="005D062F" w:rsidRDefault="00FC03D6" w:rsidP="00CB030B">
      <w:pPr>
        <w:pStyle w:val="ListParagraph"/>
        <w:numPr>
          <w:ilvl w:val="1"/>
          <w:numId w:val="24"/>
        </w:numPr>
        <w:ind w:left="1980" w:hanging="540"/>
        <w:jc w:val="both"/>
        <w:rPr>
          <w:rFonts w:eastAsia="Cambria"/>
          <w:color w:val="000000" w:themeColor="text1"/>
          <w:sz w:val="22"/>
          <w:szCs w:val="22"/>
          <w:lang w:val="fr-FR"/>
        </w:rPr>
      </w:pPr>
      <w:r w:rsidRPr="005D062F">
        <w:rPr>
          <w:rFonts w:eastAsia="Times New Roman"/>
          <w:color w:val="000000"/>
          <w:sz w:val="22"/>
          <w:szCs w:val="22"/>
          <w:lang w:val="fr-FR"/>
        </w:rPr>
        <w:t>géré un portefeuille d’</w:t>
      </w:r>
      <w:r w:rsidR="00E06DE1" w:rsidRPr="005D062F">
        <w:rPr>
          <w:rFonts w:eastAsia="Times New Roman"/>
          <w:color w:val="000000"/>
          <w:sz w:val="22"/>
          <w:szCs w:val="22"/>
          <w:lang w:val="fr-FR"/>
        </w:rPr>
        <w:t xml:space="preserve">investissements de </w:t>
      </w:r>
      <w:r w:rsidR="00E06DE1" w:rsidRPr="005D062F">
        <w:rPr>
          <w:rFonts w:eastAsia="Cambria"/>
          <w:color w:val="000000" w:themeColor="text1"/>
          <w:sz w:val="22"/>
          <w:szCs w:val="22"/>
          <w:lang w:val="fr-FR"/>
        </w:rPr>
        <w:t>19,4 </w:t>
      </w:r>
      <w:r w:rsidR="00141240" w:rsidRPr="005D062F">
        <w:rPr>
          <w:rFonts w:eastAsia="Cambria"/>
          <w:color w:val="000000" w:themeColor="text1"/>
          <w:sz w:val="22"/>
          <w:szCs w:val="22"/>
          <w:lang w:val="fr-FR"/>
        </w:rPr>
        <w:t>million</w:t>
      </w:r>
      <w:r w:rsidR="00E06DE1" w:rsidRPr="005D062F">
        <w:rPr>
          <w:rFonts w:eastAsia="Cambria"/>
          <w:color w:val="000000" w:themeColor="text1"/>
          <w:sz w:val="22"/>
          <w:szCs w:val="22"/>
          <w:lang w:val="fr-FR"/>
        </w:rPr>
        <w:t>s USD</w:t>
      </w:r>
      <w:r w:rsidR="00F328E6" w:rsidRPr="005D062F">
        <w:rPr>
          <w:rFonts w:eastAsia="Cambria"/>
          <w:color w:val="000000" w:themeColor="text1"/>
          <w:sz w:val="22"/>
          <w:szCs w:val="22"/>
          <w:lang w:val="fr-FR"/>
        </w:rPr>
        <w:t>,</w:t>
      </w:r>
    </w:p>
    <w:p w14:paraId="6F9B532C" w14:textId="1F49F853" w:rsidR="003C1314" w:rsidRPr="005D062F" w:rsidRDefault="00E06DE1" w:rsidP="00CB030B">
      <w:pPr>
        <w:pStyle w:val="ListParagraph"/>
        <w:numPr>
          <w:ilvl w:val="1"/>
          <w:numId w:val="24"/>
        </w:numPr>
        <w:ind w:left="1980" w:hanging="540"/>
        <w:jc w:val="both"/>
        <w:rPr>
          <w:rFonts w:eastAsia="Cambria"/>
          <w:color w:val="000000" w:themeColor="text1"/>
          <w:sz w:val="22"/>
          <w:szCs w:val="22"/>
          <w:lang w:val="fr-FR"/>
        </w:rPr>
      </w:pPr>
      <w:r w:rsidRPr="005D062F">
        <w:rPr>
          <w:rFonts w:eastAsia="Cambria"/>
          <w:color w:val="000000" w:themeColor="text1"/>
          <w:sz w:val="22"/>
          <w:szCs w:val="22"/>
          <w:lang w:val="fr-FR"/>
        </w:rPr>
        <w:t>a</w:t>
      </w:r>
      <w:r w:rsidR="00141240" w:rsidRPr="005D062F">
        <w:rPr>
          <w:rFonts w:eastAsia="Cambria"/>
          <w:color w:val="000000" w:themeColor="text1"/>
          <w:sz w:val="22"/>
          <w:szCs w:val="22"/>
          <w:lang w:val="fr-FR"/>
        </w:rPr>
        <w:t>dminist</w:t>
      </w:r>
      <w:r w:rsidRPr="005D062F">
        <w:rPr>
          <w:rFonts w:eastAsia="Cambria"/>
          <w:color w:val="000000" w:themeColor="text1"/>
          <w:sz w:val="22"/>
          <w:szCs w:val="22"/>
          <w:lang w:val="fr-FR"/>
        </w:rPr>
        <w:t>ré</w:t>
      </w:r>
      <w:r w:rsidR="00141240" w:rsidRPr="005D062F">
        <w:rPr>
          <w:rFonts w:eastAsia="Cambria"/>
          <w:color w:val="000000" w:themeColor="text1"/>
          <w:sz w:val="22"/>
          <w:szCs w:val="22"/>
          <w:lang w:val="fr-FR"/>
        </w:rPr>
        <w:t xml:space="preserve"> 377</w:t>
      </w:r>
      <w:r w:rsidRPr="005D062F">
        <w:rPr>
          <w:rFonts w:eastAsia="Cambria"/>
          <w:color w:val="000000" w:themeColor="text1"/>
          <w:sz w:val="22"/>
          <w:szCs w:val="22"/>
          <w:lang w:val="fr-FR"/>
        </w:rPr>
        <w:t> </w:t>
      </w:r>
      <w:r w:rsidR="00CE35D2" w:rsidRPr="005D062F">
        <w:rPr>
          <w:rFonts w:eastAsia="Times New Roman"/>
          <w:color w:val="000000"/>
          <w:sz w:val="22"/>
          <w:szCs w:val="22"/>
          <w:lang w:val="fr-FR"/>
        </w:rPr>
        <w:t>comptes de prêts d’</w:t>
      </w:r>
      <w:r w:rsidRPr="005D062F">
        <w:rPr>
          <w:rFonts w:eastAsia="Times New Roman"/>
          <w:color w:val="000000"/>
          <w:sz w:val="22"/>
          <w:szCs w:val="22"/>
          <w:lang w:val="fr-FR"/>
        </w:rPr>
        <w:t>une valeur</w:t>
      </w:r>
      <w:r w:rsidR="00141240" w:rsidRPr="005D062F">
        <w:rPr>
          <w:rFonts w:eastAsia="Cambria"/>
          <w:color w:val="000000" w:themeColor="text1"/>
          <w:sz w:val="22"/>
          <w:szCs w:val="22"/>
          <w:lang w:val="fr-FR"/>
        </w:rPr>
        <w:t xml:space="preserve"> </w:t>
      </w:r>
      <w:r w:rsidRPr="005D062F">
        <w:rPr>
          <w:rFonts w:eastAsia="Cambria"/>
          <w:color w:val="000000" w:themeColor="text1"/>
          <w:sz w:val="22"/>
          <w:szCs w:val="22"/>
          <w:lang w:val="fr-FR"/>
        </w:rPr>
        <w:t>de 2,37 </w:t>
      </w:r>
      <w:r w:rsidR="00141240" w:rsidRPr="005D062F">
        <w:rPr>
          <w:rFonts w:eastAsia="Cambria"/>
          <w:color w:val="000000" w:themeColor="text1"/>
          <w:sz w:val="22"/>
          <w:szCs w:val="22"/>
          <w:lang w:val="fr-FR"/>
        </w:rPr>
        <w:t>million</w:t>
      </w:r>
      <w:r w:rsidRPr="005D062F">
        <w:rPr>
          <w:rFonts w:eastAsia="Cambria"/>
          <w:color w:val="000000" w:themeColor="text1"/>
          <w:sz w:val="22"/>
          <w:szCs w:val="22"/>
          <w:lang w:val="fr-FR"/>
        </w:rPr>
        <w:t>s USD</w:t>
      </w:r>
      <w:r w:rsidR="00141240" w:rsidRPr="005D062F">
        <w:rPr>
          <w:rFonts w:eastAsia="Cambria"/>
          <w:color w:val="000000" w:themeColor="text1"/>
          <w:sz w:val="22"/>
          <w:szCs w:val="22"/>
          <w:lang w:val="fr-FR"/>
        </w:rPr>
        <w:t xml:space="preserve"> </w:t>
      </w:r>
      <w:r w:rsidRPr="005D062F">
        <w:rPr>
          <w:rFonts w:eastAsia="Times New Roman"/>
          <w:color w:val="000000"/>
          <w:sz w:val="22"/>
          <w:szCs w:val="22"/>
          <w:lang w:val="fr-FR"/>
        </w:rPr>
        <w:t>avec un taux de défaillance à un chiffre</w:t>
      </w:r>
      <w:r w:rsidR="00F328E6" w:rsidRPr="005D062F">
        <w:rPr>
          <w:rFonts w:eastAsia="Cambria"/>
          <w:color w:val="000000" w:themeColor="text1"/>
          <w:sz w:val="22"/>
          <w:szCs w:val="22"/>
          <w:lang w:val="fr-FR"/>
        </w:rPr>
        <w:t>,</w:t>
      </w:r>
    </w:p>
    <w:p w14:paraId="5B18AFC9" w14:textId="053A1BA0" w:rsidR="003C1314" w:rsidRPr="005D062F" w:rsidRDefault="00E06DE1" w:rsidP="00CB030B">
      <w:pPr>
        <w:pStyle w:val="ListParagraph"/>
        <w:numPr>
          <w:ilvl w:val="1"/>
          <w:numId w:val="24"/>
        </w:numPr>
        <w:ind w:left="1980" w:hanging="540"/>
        <w:jc w:val="both"/>
        <w:rPr>
          <w:rFonts w:eastAsia="Cambria"/>
          <w:color w:val="000000" w:themeColor="text1"/>
          <w:sz w:val="22"/>
          <w:szCs w:val="22"/>
          <w:lang w:val="fr-FR"/>
        </w:rPr>
      </w:pPr>
      <w:r w:rsidRPr="005D062F">
        <w:rPr>
          <w:rFonts w:eastAsia="Times New Roman"/>
          <w:color w:val="000000"/>
          <w:sz w:val="22"/>
          <w:szCs w:val="22"/>
          <w:lang w:val="fr-FR"/>
        </w:rPr>
        <w:t xml:space="preserve">accordé une aide financière de </w:t>
      </w:r>
      <w:r w:rsidRPr="005D062F">
        <w:rPr>
          <w:rFonts w:eastAsia="Cambria"/>
          <w:color w:val="000000" w:themeColor="text1"/>
          <w:sz w:val="22"/>
          <w:szCs w:val="22"/>
          <w:lang w:val="fr-FR"/>
        </w:rPr>
        <w:t>663 </w:t>
      </w:r>
      <w:r w:rsidR="00141240" w:rsidRPr="005D062F">
        <w:rPr>
          <w:rFonts w:eastAsia="Cambria"/>
          <w:color w:val="000000" w:themeColor="text1"/>
          <w:sz w:val="22"/>
          <w:szCs w:val="22"/>
          <w:lang w:val="fr-FR"/>
        </w:rPr>
        <w:t>158</w:t>
      </w:r>
      <w:r w:rsidRPr="005D062F">
        <w:rPr>
          <w:rFonts w:eastAsia="Cambria"/>
          <w:color w:val="000000" w:themeColor="text1"/>
          <w:sz w:val="22"/>
          <w:szCs w:val="22"/>
          <w:lang w:val="fr-FR"/>
        </w:rPr>
        <w:t> USD</w:t>
      </w:r>
      <w:r w:rsidR="00141240" w:rsidRPr="005D062F">
        <w:rPr>
          <w:rFonts w:eastAsia="Cambria"/>
          <w:color w:val="000000" w:themeColor="text1"/>
          <w:sz w:val="22"/>
          <w:szCs w:val="22"/>
          <w:lang w:val="fr-FR"/>
        </w:rPr>
        <w:t xml:space="preserve"> </w:t>
      </w:r>
      <w:r w:rsidRPr="005D062F">
        <w:rPr>
          <w:rFonts w:eastAsia="Times New Roman"/>
          <w:color w:val="000000"/>
          <w:sz w:val="22"/>
          <w:szCs w:val="22"/>
          <w:lang w:val="fr-FR"/>
        </w:rPr>
        <w:t xml:space="preserve">pour soutenir des étudiants internationaux de </w:t>
      </w:r>
      <w:r w:rsidR="00BA40C8" w:rsidRPr="005D062F">
        <w:rPr>
          <w:rFonts w:eastAsia="Times New Roman"/>
          <w:color w:val="000000"/>
          <w:sz w:val="22"/>
          <w:szCs w:val="22"/>
          <w:lang w:val="fr-FR"/>
        </w:rPr>
        <w:t>17</w:t>
      </w:r>
      <w:r w:rsidRPr="005D062F">
        <w:rPr>
          <w:rFonts w:eastAsia="Times New Roman"/>
          <w:color w:val="000000"/>
          <w:sz w:val="22"/>
          <w:szCs w:val="22"/>
          <w:lang w:val="fr-FR"/>
        </w:rPr>
        <w:t xml:space="preserve"> des </w:t>
      </w:r>
      <w:r w:rsidR="00BA40C8" w:rsidRPr="005D062F">
        <w:rPr>
          <w:rFonts w:eastAsia="Times New Roman"/>
          <w:color w:val="000000"/>
          <w:sz w:val="22"/>
          <w:szCs w:val="22"/>
          <w:lang w:val="fr-FR"/>
        </w:rPr>
        <w:t>32 États membres éligibles de l’</w:t>
      </w:r>
      <w:r w:rsidRPr="005D062F">
        <w:rPr>
          <w:rFonts w:eastAsia="Times New Roman"/>
          <w:color w:val="000000"/>
          <w:sz w:val="22"/>
          <w:szCs w:val="22"/>
          <w:lang w:val="fr-FR"/>
        </w:rPr>
        <w:t>OEA</w:t>
      </w:r>
      <w:r w:rsidR="00F328E6" w:rsidRPr="005D062F">
        <w:rPr>
          <w:rFonts w:eastAsia="Cambria"/>
          <w:color w:val="000000" w:themeColor="text1"/>
          <w:sz w:val="22"/>
          <w:szCs w:val="22"/>
          <w:lang w:val="fr-FR"/>
        </w:rPr>
        <w:t>,</w:t>
      </w:r>
    </w:p>
    <w:p w14:paraId="0CFB4FF6" w14:textId="55DC1E92" w:rsidR="00141240" w:rsidRPr="005D062F" w:rsidRDefault="00BA40C8" w:rsidP="00CB030B">
      <w:pPr>
        <w:pStyle w:val="ListParagraph"/>
        <w:numPr>
          <w:ilvl w:val="1"/>
          <w:numId w:val="24"/>
        </w:numPr>
        <w:ind w:left="1980" w:hanging="540"/>
        <w:jc w:val="both"/>
        <w:rPr>
          <w:rFonts w:eastAsia="Cambria"/>
          <w:color w:val="000000" w:themeColor="text1"/>
          <w:sz w:val="22"/>
          <w:szCs w:val="22"/>
          <w:lang w:val="fr-FR"/>
        </w:rPr>
      </w:pPr>
      <w:r w:rsidRPr="005D062F">
        <w:rPr>
          <w:rFonts w:eastAsia="Times New Roman"/>
          <w:color w:val="000000"/>
          <w:sz w:val="22"/>
          <w:szCs w:val="22"/>
          <w:lang w:val="fr-FR"/>
        </w:rPr>
        <w:t xml:space="preserve">fourni un appui financier à près de </w:t>
      </w:r>
      <w:r w:rsidR="00141240" w:rsidRPr="005D062F">
        <w:rPr>
          <w:rFonts w:eastAsia="Cambria"/>
          <w:color w:val="000000" w:themeColor="text1"/>
          <w:sz w:val="22"/>
          <w:szCs w:val="22"/>
          <w:lang w:val="fr-FR"/>
        </w:rPr>
        <w:t>100</w:t>
      </w:r>
      <w:r w:rsidRPr="005D062F">
        <w:rPr>
          <w:rFonts w:eastAsia="Cambria"/>
          <w:color w:val="000000" w:themeColor="text1"/>
          <w:sz w:val="22"/>
          <w:szCs w:val="22"/>
          <w:lang w:val="fr-FR"/>
        </w:rPr>
        <w:t> </w:t>
      </w:r>
      <w:r w:rsidRPr="005D062F">
        <w:rPr>
          <w:rFonts w:eastAsia="Times New Roman"/>
          <w:color w:val="000000"/>
          <w:sz w:val="22"/>
          <w:szCs w:val="22"/>
          <w:lang w:val="fr-FR"/>
        </w:rPr>
        <w:t>étudiants internationaux de la région pour les aider à couvrir les frais de scolarité et de subsistance liés à leurs études universitaires aux États-Unis</w:t>
      </w:r>
      <w:r w:rsidR="00141240" w:rsidRPr="005D062F">
        <w:rPr>
          <w:rFonts w:eastAsia="Cambria"/>
          <w:color w:val="000000" w:themeColor="text1"/>
          <w:sz w:val="22"/>
          <w:szCs w:val="22"/>
          <w:lang w:val="fr-FR"/>
        </w:rPr>
        <w:t>.</w:t>
      </w:r>
      <w:r w:rsidR="003C1314" w:rsidRPr="005D062F">
        <w:rPr>
          <w:rFonts w:eastAsia="Cambria"/>
          <w:color w:val="000000" w:themeColor="text1"/>
          <w:sz w:val="22"/>
          <w:szCs w:val="22"/>
          <w:lang w:val="fr-FR"/>
        </w:rPr>
        <w:t xml:space="preserve"> </w:t>
      </w:r>
      <w:r w:rsidRPr="005D062F">
        <w:rPr>
          <w:rFonts w:eastAsia="Cambria"/>
          <w:color w:val="000000" w:themeColor="text1"/>
          <w:sz w:val="22"/>
          <w:szCs w:val="22"/>
          <w:lang w:val="fr-FR"/>
        </w:rPr>
        <w:t xml:space="preserve">Parmi ces </w:t>
      </w:r>
      <w:r w:rsidR="003C1314" w:rsidRPr="005D062F">
        <w:rPr>
          <w:rFonts w:eastAsia="Cambria"/>
          <w:color w:val="000000" w:themeColor="text1"/>
          <w:sz w:val="22"/>
          <w:szCs w:val="22"/>
          <w:lang w:val="fr-FR"/>
        </w:rPr>
        <w:t>100</w:t>
      </w:r>
      <w:r w:rsidRPr="005D062F">
        <w:rPr>
          <w:rFonts w:eastAsia="Cambria"/>
          <w:color w:val="000000" w:themeColor="text1"/>
          <w:sz w:val="22"/>
          <w:szCs w:val="22"/>
          <w:lang w:val="fr-FR"/>
        </w:rPr>
        <w:t> étudiants </w:t>
      </w:r>
      <w:r w:rsidR="003C1314" w:rsidRPr="005D062F">
        <w:rPr>
          <w:rFonts w:eastAsia="Cambria"/>
          <w:color w:val="000000" w:themeColor="text1"/>
          <w:sz w:val="22"/>
          <w:szCs w:val="22"/>
          <w:lang w:val="fr-FR"/>
        </w:rPr>
        <w:t>:</w:t>
      </w:r>
    </w:p>
    <w:p w14:paraId="1E8C3208" w14:textId="0214243F" w:rsidR="003C1314" w:rsidRPr="005D062F" w:rsidRDefault="003C1314" w:rsidP="00CB030B">
      <w:pPr>
        <w:pStyle w:val="ListParagraph"/>
        <w:numPr>
          <w:ilvl w:val="2"/>
          <w:numId w:val="24"/>
        </w:numPr>
        <w:ind w:left="2520"/>
        <w:jc w:val="both"/>
        <w:rPr>
          <w:rFonts w:eastAsia="Cambria"/>
          <w:color w:val="000000" w:themeColor="text1"/>
          <w:sz w:val="22"/>
          <w:szCs w:val="22"/>
          <w:lang w:val="fr-FR"/>
        </w:rPr>
      </w:pPr>
      <w:r w:rsidRPr="005D062F">
        <w:rPr>
          <w:rFonts w:eastAsia="Cambria"/>
          <w:color w:val="000000" w:themeColor="text1"/>
          <w:sz w:val="22"/>
          <w:szCs w:val="22"/>
          <w:lang w:val="fr-FR"/>
        </w:rPr>
        <w:t xml:space="preserve">79 </w:t>
      </w:r>
      <w:r w:rsidR="00BA40C8" w:rsidRPr="005D062F">
        <w:rPr>
          <w:rFonts w:eastAsia="Cambria"/>
          <w:color w:val="000000" w:themeColor="text1"/>
          <w:sz w:val="22"/>
          <w:szCs w:val="22"/>
          <w:lang w:val="fr-FR"/>
        </w:rPr>
        <w:t>ont été inscrits dans des cycles supérieurs </w:t>
      </w:r>
      <w:r w:rsidRPr="005D062F">
        <w:rPr>
          <w:rFonts w:eastAsia="Cambria"/>
          <w:color w:val="000000" w:themeColor="text1"/>
          <w:sz w:val="22"/>
          <w:szCs w:val="22"/>
          <w:lang w:val="fr-FR"/>
        </w:rPr>
        <w:t>;</w:t>
      </w:r>
    </w:p>
    <w:p w14:paraId="7615E0DD" w14:textId="076C8DED" w:rsidR="003C1314" w:rsidRPr="005D062F" w:rsidRDefault="003C1314" w:rsidP="00CB030B">
      <w:pPr>
        <w:pStyle w:val="ListParagraph"/>
        <w:numPr>
          <w:ilvl w:val="2"/>
          <w:numId w:val="24"/>
        </w:numPr>
        <w:ind w:left="2520"/>
        <w:jc w:val="both"/>
        <w:rPr>
          <w:rFonts w:eastAsia="Cambria"/>
          <w:color w:val="000000" w:themeColor="text1"/>
          <w:sz w:val="22"/>
          <w:szCs w:val="22"/>
          <w:lang w:val="fr-FR"/>
        </w:rPr>
      </w:pPr>
      <w:r w:rsidRPr="005D062F">
        <w:rPr>
          <w:rFonts w:eastAsia="Cambria"/>
          <w:color w:val="000000" w:themeColor="text1"/>
          <w:sz w:val="22"/>
          <w:szCs w:val="22"/>
          <w:lang w:val="fr-FR"/>
        </w:rPr>
        <w:t>48</w:t>
      </w:r>
      <w:r w:rsidR="00BA40C8" w:rsidRPr="005D062F">
        <w:rPr>
          <w:rFonts w:eastAsia="Cambria"/>
          <w:color w:val="000000" w:themeColor="text1"/>
          <w:sz w:val="22"/>
          <w:szCs w:val="22"/>
          <w:lang w:val="fr-FR"/>
        </w:rPr>
        <w:t> % étaient des femmes ; et</w:t>
      </w:r>
    </w:p>
    <w:p w14:paraId="601063C5" w14:textId="3AC7D0E3" w:rsidR="00141240" w:rsidRPr="005D062F" w:rsidRDefault="00BA40C8" w:rsidP="00CB030B">
      <w:pPr>
        <w:pStyle w:val="ListParagraph"/>
        <w:numPr>
          <w:ilvl w:val="2"/>
          <w:numId w:val="24"/>
        </w:numPr>
        <w:ind w:left="2520"/>
        <w:jc w:val="both"/>
        <w:rPr>
          <w:rFonts w:eastAsia="Cambria"/>
          <w:color w:val="000000" w:themeColor="text1"/>
          <w:sz w:val="22"/>
          <w:szCs w:val="22"/>
          <w:lang w:val="fr-FR"/>
        </w:rPr>
      </w:pPr>
      <w:r w:rsidRPr="005D062F">
        <w:rPr>
          <w:rFonts w:eastAsia="Cambria"/>
          <w:color w:val="000000" w:themeColor="text1"/>
          <w:sz w:val="22"/>
          <w:szCs w:val="22"/>
          <w:lang w:val="fr-FR"/>
        </w:rPr>
        <w:t xml:space="preserve">Tous ont suivi des études </w:t>
      </w:r>
      <w:r w:rsidR="003C1314" w:rsidRPr="005D062F">
        <w:rPr>
          <w:rFonts w:eastAsia="Cambria"/>
          <w:color w:val="000000" w:themeColor="text1"/>
          <w:sz w:val="22"/>
          <w:szCs w:val="22"/>
          <w:lang w:val="fr-FR"/>
        </w:rPr>
        <w:t>(tradition</w:t>
      </w:r>
      <w:r w:rsidRPr="005D062F">
        <w:rPr>
          <w:rFonts w:eastAsia="Cambria"/>
          <w:color w:val="000000" w:themeColor="text1"/>
          <w:sz w:val="22"/>
          <w:szCs w:val="22"/>
          <w:lang w:val="fr-FR"/>
        </w:rPr>
        <w:t>ne</w:t>
      </w:r>
      <w:r w:rsidR="003C1314" w:rsidRPr="005D062F">
        <w:rPr>
          <w:rFonts w:eastAsia="Cambria"/>
          <w:color w:val="000000" w:themeColor="text1"/>
          <w:sz w:val="22"/>
          <w:szCs w:val="22"/>
          <w:lang w:val="fr-FR"/>
        </w:rPr>
        <w:t>l</w:t>
      </w:r>
      <w:r w:rsidRPr="005D062F">
        <w:rPr>
          <w:rFonts w:eastAsia="Cambria"/>
          <w:color w:val="000000" w:themeColor="text1"/>
          <w:sz w:val="22"/>
          <w:szCs w:val="22"/>
          <w:lang w:val="fr-FR"/>
        </w:rPr>
        <w:t>les</w:t>
      </w:r>
      <w:r w:rsidR="003C1314" w:rsidRPr="005D062F">
        <w:rPr>
          <w:rFonts w:eastAsia="Cambria"/>
          <w:color w:val="000000" w:themeColor="text1"/>
          <w:sz w:val="22"/>
          <w:szCs w:val="22"/>
          <w:lang w:val="fr-FR"/>
        </w:rPr>
        <w:t>) s</w:t>
      </w:r>
      <w:r w:rsidRPr="005D062F">
        <w:rPr>
          <w:rFonts w:eastAsia="Cambria"/>
          <w:color w:val="000000" w:themeColor="text1"/>
          <w:sz w:val="22"/>
          <w:szCs w:val="22"/>
          <w:lang w:val="fr-FR"/>
        </w:rPr>
        <w:t>ur site</w:t>
      </w:r>
      <w:r w:rsidR="003C1314" w:rsidRPr="005D062F">
        <w:rPr>
          <w:rFonts w:eastAsia="Cambria"/>
          <w:color w:val="000000" w:themeColor="text1"/>
          <w:sz w:val="22"/>
          <w:szCs w:val="22"/>
          <w:lang w:val="fr-FR"/>
        </w:rPr>
        <w:t xml:space="preserve">. </w:t>
      </w:r>
    </w:p>
    <w:p w14:paraId="29A34205" w14:textId="78D1A40D" w:rsidR="00141240" w:rsidRPr="005D062F" w:rsidRDefault="00F328E6" w:rsidP="00CB030B">
      <w:pPr>
        <w:pStyle w:val="ListParagraph"/>
        <w:numPr>
          <w:ilvl w:val="1"/>
          <w:numId w:val="24"/>
        </w:numPr>
        <w:ind w:left="1980" w:hanging="540"/>
        <w:jc w:val="both"/>
        <w:rPr>
          <w:rFonts w:eastAsia="Cambria"/>
          <w:color w:val="000000" w:themeColor="text1"/>
          <w:sz w:val="22"/>
          <w:szCs w:val="22"/>
          <w:lang w:val="fr-FR"/>
        </w:rPr>
      </w:pPr>
      <w:r w:rsidRPr="005D062F">
        <w:rPr>
          <w:rFonts w:eastAsia="Times New Roman"/>
          <w:color w:val="000000"/>
          <w:sz w:val="22"/>
          <w:szCs w:val="22"/>
          <w:lang w:val="fr-FR"/>
        </w:rPr>
        <w:t>accordé des</w:t>
      </w:r>
      <w:r w:rsidR="00CE35D2" w:rsidRPr="005D062F">
        <w:rPr>
          <w:rFonts w:eastAsia="Times New Roman"/>
          <w:color w:val="000000"/>
          <w:sz w:val="22"/>
          <w:szCs w:val="22"/>
          <w:lang w:val="fr-FR"/>
        </w:rPr>
        <w:t xml:space="preserve"> prêts éducatifs et des prêts d’</w:t>
      </w:r>
      <w:r w:rsidRPr="005D062F">
        <w:rPr>
          <w:rFonts w:eastAsia="Times New Roman"/>
          <w:color w:val="000000"/>
          <w:sz w:val="22"/>
          <w:szCs w:val="22"/>
          <w:lang w:val="fr-FR"/>
        </w:rPr>
        <w:t>urgence aux membres du personnel du SG/OEA pour les frais de scolarité de leurs enfants à charge</w:t>
      </w:r>
      <w:r w:rsidRPr="005D062F">
        <w:rPr>
          <w:rFonts w:eastAsia="Cambria"/>
          <w:color w:val="000000" w:themeColor="text1"/>
          <w:sz w:val="22"/>
          <w:szCs w:val="22"/>
          <w:lang w:val="fr-FR"/>
        </w:rPr>
        <w:t>,</w:t>
      </w:r>
    </w:p>
    <w:p w14:paraId="68260330" w14:textId="21E3FC1A" w:rsidR="00141240" w:rsidRPr="005D062F" w:rsidRDefault="00F328E6" w:rsidP="00CB030B">
      <w:pPr>
        <w:pStyle w:val="ListParagraph"/>
        <w:numPr>
          <w:ilvl w:val="1"/>
          <w:numId w:val="24"/>
        </w:numPr>
        <w:ind w:left="1980" w:hanging="540"/>
        <w:jc w:val="both"/>
        <w:rPr>
          <w:rFonts w:eastAsia="Cambria"/>
          <w:color w:val="000000" w:themeColor="text1"/>
          <w:sz w:val="22"/>
          <w:szCs w:val="22"/>
          <w:lang w:val="fr-FR"/>
        </w:rPr>
      </w:pPr>
      <w:r w:rsidRPr="005D062F">
        <w:rPr>
          <w:rFonts w:eastAsia="Cambria"/>
          <w:color w:val="000000" w:themeColor="text1"/>
          <w:sz w:val="22"/>
          <w:szCs w:val="22"/>
          <w:lang w:val="fr-FR"/>
        </w:rPr>
        <w:t xml:space="preserve">accordé des bourses d’aide d’urgence dans le contexte de la </w:t>
      </w:r>
      <w:r w:rsidR="003C1314" w:rsidRPr="005D062F">
        <w:rPr>
          <w:rFonts w:eastAsia="Cambria"/>
          <w:color w:val="000000" w:themeColor="text1"/>
          <w:sz w:val="22"/>
          <w:szCs w:val="22"/>
          <w:lang w:val="fr-FR"/>
        </w:rPr>
        <w:t>Covid</w:t>
      </w:r>
      <w:r w:rsidR="00141240" w:rsidRPr="005D062F">
        <w:rPr>
          <w:rFonts w:eastAsia="Cambria"/>
          <w:color w:val="000000" w:themeColor="text1"/>
          <w:sz w:val="22"/>
          <w:szCs w:val="22"/>
          <w:lang w:val="fr-FR"/>
        </w:rPr>
        <w:t xml:space="preserve">-19 </w:t>
      </w:r>
      <w:r w:rsidRPr="005D062F">
        <w:rPr>
          <w:rFonts w:eastAsia="Cambria"/>
          <w:color w:val="000000" w:themeColor="text1"/>
          <w:sz w:val="22"/>
          <w:szCs w:val="22"/>
          <w:lang w:val="fr-FR"/>
        </w:rPr>
        <w:t>à des étudiants suivant leur cursus aux États-Unis, leur permettant ainsi de surmonter les difficultés financières causées par la pandémie,</w:t>
      </w:r>
    </w:p>
    <w:p w14:paraId="155534DD" w14:textId="56BB181C" w:rsidR="00141240" w:rsidRPr="005D062F" w:rsidRDefault="00F328E6" w:rsidP="00CB030B">
      <w:pPr>
        <w:pStyle w:val="ListParagraph"/>
        <w:numPr>
          <w:ilvl w:val="1"/>
          <w:numId w:val="24"/>
        </w:numPr>
        <w:ind w:left="1980" w:hanging="540"/>
        <w:jc w:val="both"/>
        <w:rPr>
          <w:rFonts w:eastAsia="Cambria"/>
          <w:color w:val="000000" w:themeColor="text1"/>
          <w:sz w:val="22"/>
          <w:szCs w:val="22"/>
          <w:lang w:val="fr-FR"/>
        </w:rPr>
      </w:pPr>
      <w:r w:rsidRPr="005D062F">
        <w:rPr>
          <w:rFonts w:eastAsia="Cambria"/>
          <w:color w:val="000000" w:themeColor="text1"/>
          <w:sz w:val="22"/>
          <w:szCs w:val="22"/>
          <w:lang w:val="fr-FR"/>
        </w:rPr>
        <w:t>c</w:t>
      </w:r>
      <w:r w:rsidR="00141240" w:rsidRPr="005D062F">
        <w:rPr>
          <w:rFonts w:eastAsia="Cambria"/>
          <w:color w:val="000000" w:themeColor="text1"/>
          <w:sz w:val="22"/>
          <w:szCs w:val="22"/>
          <w:lang w:val="fr-FR"/>
        </w:rPr>
        <w:t>ontinu</w:t>
      </w:r>
      <w:r w:rsidRPr="005D062F">
        <w:rPr>
          <w:rFonts w:eastAsia="Cambria"/>
          <w:color w:val="000000" w:themeColor="text1"/>
          <w:sz w:val="22"/>
          <w:szCs w:val="22"/>
          <w:lang w:val="fr-FR"/>
        </w:rPr>
        <w:t>é la campagne de collecte de fonds</w:t>
      </w:r>
      <w:r w:rsidR="00141240" w:rsidRPr="005D062F">
        <w:rPr>
          <w:rFonts w:eastAsia="Cambria"/>
          <w:color w:val="000000" w:themeColor="text1"/>
          <w:sz w:val="22"/>
          <w:szCs w:val="22"/>
          <w:lang w:val="fr-FR"/>
        </w:rPr>
        <w:t xml:space="preserve"> </w:t>
      </w:r>
      <w:r w:rsidRPr="005D062F">
        <w:rPr>
          <w:rFonts w:eastAsia="Cambria"/>
          <w:color w:val="000000" w:themeColor="text1"/>
          <w:sz w:val="22"/>
          <w:szCs w:val="22"/>
          <w:lang w:val="fr-FR"/>
        </w:rPr>
        <w:t>« </w:t>
      </w:r>
      <w:r w:rsidR="00141240" w:rsidRPr="005D062F">
        <w:rPr>
          <w:rFonts w:eastAsia="Cambria"/>
          <w:color w:val="000000" w:themeColor="text1"/>
          <w:sz w:val="22"/>
          <w:szCs w:val="22"/>
          <w:lang w:val="fr-FR"/>
        </w:rPr>
        <w:t>Give to Education</w:t>
      </w:r>
      <w:r w:rsidRPr="005D062F">
        <w:rPr>
          <w:rFonts w:eastAsia="Cambria"/>
          <w:color w:val="000000" w:themeColor="text1"/>
          <w:sz w:val="22"/>
          <w:szCs w:val="22"/>
          <w:lang w:val="fr-FR"/>
        </w:rPr>
        <w:t> »</w:t>
      </w:r>
      <w:r w:rsidR="00141240" w:rsidRPr="005D062F">
        <w:rPr>
          <w:rFonts w:eastAsia="Cambria"/>
          <w:color w:val="000000" w:themeColor="text1"/>
          <w:sz w:val="22"/>
          <w:szCs w:val="22"/>
          <w:lang w:val="fr-FR"/>
        </w:rPr>
        <w:t xml:space="preserve"> </w:t>
      </w:r>
      <w:r w:rsidR="00CE35D2" w:rsidRPr="005D062F">
        <w:rPr>
          <w:rFonts w:eastAsia="Cambria"/>
          <w:color w:val="000000" w:themeColor="text1"/>
          <w:sz w:val="22"/>
          <w:szCs w:val="22"/>
          <w:lang w:val="fr-FR"/>
        </w:rPr>
        <w:t>afin de fournir des bourses d’</w:t>
      </w:r>
      <w:r w:rsidRPr="005D062F">
        <w:rPr>
          <w:rFonts w:eastAsia="Cambria"/>
          <w:color w:val="000000" w:themeColor="text1"/>
          <w:sz w:val="22"/>
          <w:szCs w:val="22"/>
          <w:lang w:val="fr-FR"/>
        </w:rPr>
        <w:t>urgence supplémentaires,</w:t>
      </w:r>
    </w:p>
    <w:p w14:paraId="69C07B99" w14:textId="450D4A85" w:rsidR="003C1314" w:rsidRPr="005D062F" w:rsidRDefault="00FC7C4A" w:rsidP="00CB030B">
      <w:pPr>
        <w:pStyle w:val="ListParagraph"/>
        <w:numPr>
          <w:ilvl w:val="1"/>
          <w:numId w:val="24"/>
        </w:numPr>
        <w:ind w:left="1980" w:hanging="540"/>
        <w:jc w:val="both"/>
        <w:rPr>
          <w:rFonts w:eastAsia="Cambria"/>
          <w:color w:val="000000" w:themeColor="text1"/>
          <w:sz w:val="22"/>
          <w:szCs w:val="22"/>
          <w:lang w:val="fr-FR"/>
        </w:rPr>
      </w:pPr>
      <w:r w:rsidRPr="005D062F">
        <w:rPr>
          <w:rFonts w:eastAsia="Cambria"/>
          <w:color w:val="000000" w:themeColor="text1"/>
          <w:sz w:val="22"/>
          <w:szCs w:val="22"/>
          <w:lang w:val="fr-FR"/>
        </w:rPr>
        <w:t xml:space="preserve">réalisé, </w:t>
      </w:r>
      <w:r w:rsidR="00F328E6" w:rsidRPr="005D062F">
        <w:rPr>
          <w:rFonts w:eastAsia="Cambria"/>
          <w:color w:val="000000" w:themeColor="text1"/>
          <w:sz w:val="22"/>
          <w:szCs w:val="22"/>
          <w:lang w:val="fr-FR"/>
        </w:rPr>
        <w:t>e</w:t>
      </w:r>
      <w:r w:rsidR="001C7424" w:rsidRPr="005D062F">
        <w:rPr>
          <w:rFonts w:eastAsia="Cambria"/>
          <w:color w:val="000000" w:themeColor="text1"/>
          <w:sz w:val="22"/>
          <w:szCs w:val="22"/>
          <w:lang w:val="fr-FR"/>
        </w:rPr>
        <w:t>n collaboration avec d’</w:t>
      </w:r>
      <w:r w:rsidR="00F328E6" w:rsidRPr="005D062F">
        <w:rPr>
          <w:rFonts w:eastAsia="Cambria"/>
          <w:color w:val="000000" w:themeColor="text1"/>
          <w:sz w:val="22"/>
          <w:szCs w:val="22"/>
          <w:lang w:val="fr-FR"/>
        </w:rPr>
        <w:t>autres instituti</w:t>
      </w:r>
      <w:r w:rsidR="001C7424" w:rsidRPr="005D062F">
        <w:rPr>
          <w:rFonts w:eastAsia="Cambria"/>
          <w:color w:val="000000" w:themeColor="text1"/>
          <w:sz w:val="22"/>
          <w:szCs w:val="22"/>
          <w:lang w:val="fr-FR"/>
        </w:rPr>
        <w:t>ons liées à l’</w:t>
      </w:r>
      <w:r w:rsidR="00F328E6" w:rsidRPr="005D062F">
        <w:rPr>
          <w:rFonts w:eastAsia="Cambria"/>
          <w:color w:val="000000" w:themeColor="text1"/>
          <w:sz w:val="22"/>
          <w:szCs w:val="22"/>
          <w:lang w:val="fr-FR"/>
        </w:rPr>
        <w:t>enseignement supérieur</w:t>
      </w:r>
      <w:r w:rsidR="003C1314" w:rsidRPr="005D062F">
        <w:rPr>
          <w:rFonts w:eastAsia="Cambria"/>
          <w:color w:val="000000" w:themeColor="text1"/>
          <w:sz w:val="22"/>
          <w:szCs w:val="22"/>
          <w:lang w:val="fr-FR"/>
        </w:rPr>
        <w:t xml:space="preserve">, </w:t>
      </w:r>
      <w:r w:rsidR="001C7424" w:rsidRPr="005D062F">
        <w:rPr>
          <w:rFonts w:eastAsia="Cambria"/>
          <w:color w:val="000000" w:themeColor="text1"/>
          <w:sz w:val="22"/>
          <w:szCs w:val="22"/>
          <w:lang w:val="fr-FR"/>
        </w:rPr>
        <w:t xml:space="preserve">des webinaires </w:t>
      </w:r>
      <w:r w:rsidR="00CE35D2" w:rsidRPr="005D062F">
        <w:rPr>
          <w:rFonts w:eastAsia="Cambria"/>
          <w:color w:val="000000" w:themeColor="text1"/>
          <w:sz w:val="22"/>
          <w:szCs w:val="22"/>
          <w:lang w:val="fr-FR"/>
        </w:rPr>
        <w:t>à l’</w:t>
      </w:r>
      <w:r w:rsidR="001C7424" w:rsidRPr="005D062F">
        <w:rPr>
          <w:rFonts w:eastAsia="Cambria"/>
          <w:color w:val="000000" w:themeColor="text1"/>
          <w:sz w:val="22"/>
          <w:szCs w:val="22"/>
          <w:lang w:val="fr-FR"/>
        </w:rPr>
        <w:t>intention des citoyens des États membres de l’OEA,</w:t>
      </w:r>
    </w:p>
    <w:p w14:paraId="33B9F0CC" w14:textId="47384C4A" w:rsidR="00141240" w:rsidRPr="005D062F" w:rsidRDefault="001C7424" w:rsidP="00CB030B">
      <w:pPr>
        <w:pStyle w:val="ListParagraph"/>
        <w:numPr>
          <w:ilvl w:val="1"/>
          <w:numId w:val="24"/>
        </w:numPr>
        <w:ind w:left="1980" w:hanging="540"/>
        <w:jc w:val="both"/>
        <w:rPr>
          <w:rFonts w:eastAsia="Cambria"/>
          <w:color w:val="000000" w:themeColor="text1"/>
          <w:sz w:val="22"/>
          <w:szCs w:val="22"/>
          <w:lang w:val="fr-FR"/>
        </w:rPr>
      </w:pPr>
      <w:r w:rsidRPr="005D062F">
        <w:rPr>
          <w:rFonts w:eastAsia="Cambria"/>
          <w:color w:val="000000" w:themeColor="text1"/>
          <w:sz w:val="22"/>
          <w:szCs w:val="22"/>
          <w:lang w:val="fr-FR"/>
        </w:rPr>
        <w:t>o</w:t>
      </w:r>
      <w:r w:rsidR="003C1314" w:rsidRPr="005D062F">
        <w:rPr>
          <w:rFonts w:eastAsia="Cambria"/>
          <w:color w:val="000000" w:themeColor="text1"/>
          <w:sz w:val="22"/>
          <w:szCs w:val="22"/>
          <w:lang w:val="fr-FR"/>
        </w:rPr>
        <w:t>rgani</w:t>
      </w:r>
      <w:r w:rsidRPr="005D062F">
        <w:rPr>
          <w:rFonts w:eastAsia="Cambria"/>
          <w:color w:val="000000" w:themeColor="text1"/>
          <w:sz w:val="22"/>
          <w:szCs w:val="22"/>
          <w:lang w:val="fr-FR"/>
        </w:rPr>
        <w:t xml:space="preserve">sé des webinaires </w:t>
      </w:r>
      <w:r w:rsidR="007A05A2" w:rsidRPr="005D062F">
        <w:rPr>
          <w:rFonts w:eastAsia="Cambria"/>
          <w:color w:val="000000" w:themeColor="text1"/>
          <w:sz w:val="22"/>
          <w:szCs w:val="22"/>
          <w:lang w:val="fr-FR"/>
        </w:rPr>
        <w:t xml:space="preserve">en collaboration avec des </w:t>
      </w:r>
      <w:r w:rsidRPr="005D062F">
        <w:rPr>
          <w:rFonts w:eastAsia="Cambria"/>
          <w:color w:val="000000" w:themeColor="text1"/>
          <w:sz w:val="22"/>
          <w:szCs w:val="22"/>
          <w:lang w:val="fr-FR"/>
        </w:rPr>
        <w:t>instituti</w:t>
      </w:r>
      <w:r w:rsidR="00CE35D2" w:rsidRPr="005D062F">
        <w:rPr>
          <w:rFonts w:eastAsia="Cambria"/>
          <w:color w:val="000000" w:themeColor="text1"/>
          <w:sz w:val="22"/>
          <w:szCs w:val="22"/>
          <w:lang w:val="fr-FR"/>
        </w:rPr>
        <w:t>ons liées à l’</w:t>
      </w:r>
      <w:r w:rsidRPr="005D062F">
        <w:rPr>
          <w:rFonts w:eastAsia="Cambria"/>
          <w:color w:val="000000" w:themeColor="text1"/>
          <w:sz w:val="22"/>
          <w:szCs w:val="22"/>
          <w:lang w:val="fr-FR"/>
        </w:rPr>
        <w:t>enseignement supérieur</w:t>
      </w:r>
      <w:r w:rsidR="003C1314" w:rsidRPr="005D062F">
        <w:rPr>
          <w:rFonts w:eastAsia="Cambria"/>
          <w:color w:val="000000" w:themeColor="text1"/>
          <w:sz w:val="22"/>
          <w:szCs w:val="22"/>
          <w:lang w:val="fr-FR"/>
        </w:rPr>
        <w:t>.</w:t>
      </w:r>
    </w:p>
    <w:p w14:paraId="26F01CAE" w14:textId="77777777" w:rsidR="00F21F21" w:rsidRPr="005D062F" w:rsidRDefault="00F21F21" w:rsidP="00CB030B">
      <w:pPr>
        <w:contextualSpacing/>
        <w:jc w:val="both"/>
        <w:rPr>
          <w:rFonts w:ascii="Times New Roman" w:eastAsia="Calibri" w:hAnsi="Times New Roman" w:cs="Times New Roman"/>
          <w:i/>
          <w:iCs/>
          <w:color w:val="000000" w:themeColor="text1"/>
          <w:sz w:val="22"/>
          <w:szCs w:val="22"/>
          <w:lang w:val="fr-FR"/>
        </w:rPr>
      </w:pPr>
    </w:p>
    <w:p w14:paraId="5942F72C" w14:textId="0122F91F" w:rsidR="006C0224" w:rsidRPr="005D062F" w:rsidRDefault="001C7424" w:rsidP="00CB030B">
      <w:pPr>
        <w:ind w:firstLine="720"/>
        <w:contextualSpacing/>
        <w:jc w:val="both"/>
        <w:rPr>
          <w:rFonts w:ascii="Times New Roman" w:eastAsia="Calibri" w:hAnsi="Times New Roman" w:cs="Times New Roman"/>
          <w:b/>
          <w:bCs/>
          <w:color w:val="000000" w:themeColor="text1"/>
          <w:sz w:val="22"/>
          <w:szCs w:val="22"/>
          <w:lang w:val="fr-FR"/>
        </w:rPr>
      </w:pPr>
      <w:r w:rsidRPr="005D062F">
        <w:rPr>
          <w:rFonts w:ascii="Times New Roman" w:eastAsia="Calibri" w:hAnsi="Times New Roman" w:cs="Times New Roman"/>
          <w:b/>
          <w:bCs/>
          <w:color w:val="000000" w:themeColor="text1"/>
          <w:sz w:val="22"/>
          <w:szCs w:val="22"/>
          <w:lang w:val="fr-FR"/>
        </w:rPr>
        <w:t>Secré</w:t>
      </w:r>
      <w:r w:rsidR="006C0224" w:rsidRPr="005D062F">
        <w:rPr>
          <w:rFonts w:ascii="Times New Roman" w:eastAsia="Calibri" w:hAnsi="Times New Roman" w:cs="Times New Roman"/>
          <w:b/>
          <w:bCs/>
          <w:color w:val="000000" w:themeColor="text1"/>
          <w:sz w:val="22"/>
          <w:szCs w:val="22"/>
          <w:lang w:val="fr-FR"/>
        </w:rPr>
        <w:t xml:space="preserve">tariat </w:t>
      </w:r>
      <w:r w:rsidRPr="005D062F">
        <w:rPr>
          <w:rFonts w:ascii="Times New Roman" w:eastAsia="Calibri" w:hAnsi="Times New Roman" w:cs="Times New Roman"/>
          <w:b/>
          <w:bCs/>
          <w:color w:val="000000" w:themeColor="text1"/>
          <w:sz w:val="22"/>
          <w:szCs w:val="22"/>
          <w:lang w:val="fr-FR"/>
        </w:rPr>
        <w:t>de la Commission interaméricaine des ports</w:t>
      </w:r>
    </w:p>
    <w:p w14:paraId="29E60B40" w14:textId="77777777" w:rsidR="0094654F" w:rsidRPr="005D062F" w:rsidRDefault="0094654F" w:rsidP="00CB030B">
      <w:pPr>
        <w:jc w:val="both"/>
        <w:rPr>
          <w:rFonts w:ascii="Times New Roman" w:eastAsia="Calibri" w:hAnsi="Times New Roman" w:cs="Times New Roman"/>
          <w:color w:val="000000" w:themeColor="text1"/>
          <w:sz w:val="22"/>
          <w:szCs w:val="22"/>
          <w:lang w:val="fr-FR"/>
        </w:rPr>
      </w:pPr>
    </w:p>
    <w:p w14:paraId="1F8BF07A" w14:textId="49FE33D4" w:rsidR="0094654F" w:rsidRPr="005D062F" w:rsidRDefault="001D5161" w:rsidP="00CB030B">
      <w:pPr>
        <w:pStyle w:val="ListParagraph"/>
        <w:numPr>
          <w:ilvl w:val="0"/>
          <w:numId w:val="24"/>
        </w:numPr>
        <w:ind w:left="1440" w:hanging="720"/>
        <w:contextualSpacing/>
        <w:jc w:val="both"/>
        <w:rPr>
          <w:rFonts w:eastAsia="Cambria"/>
          <w:color w:val="000000" w:themeColor="text1"/>
          <w:sz w:val="22"/>
          <w:szCs w:val="22"/>
          <w:lang w:val="fr-FR"/>
        </w:rPr>
      </w:pPr>
      <w:r w:rsidRPr="005D062F">
        <w:rPr>
          <w:rFonts w:eastAsia="Cambria"/>
          <w:color w:val="000000" w:themeColor="text1"/>
          <w:sz w:val="22"/>
          <w:szCs w:val="22"/>
          <w:lang w:val="fr-FR"/>
        </w:rPr>
        <w:t>D</w:t>
      </w:r>
      <w:r w:rsidR="00FC03D6" w:rsidRPr="005D062F">
        <w:rPr>
          <w:rFonts w:eastAsia="Cambria"/>
          <w:color w:val="000000" w:themeColor="text1"/>
          <w:sz w:val="22"/>
          <w:szCs w:val="22"/>
          <w:lang w:val="fr-FR"/>
        </w:rPr>
        <w:t>es pratiques optimales</w:t>
      </w:r>
      <w:r w:rsidRPr="005D062F">
        <w:rPr>
          <w:rFonts w:eastAsia="Cambria"/>
          <w:color w:val="000000" w:themeColor="text1"/>
          <w:sz w:val="22"/>
          <w:szCs w:val="22"/>
          <w:lang w:val="fr-FR"/>
        </w:rPr>
        <w:t xml:space="preserve"> ont été diffusées</w:t>
      </w:r>
      <w:r w:rsidR="00FC03D6" w:rsidRPr="005D062F">
        <w:rPr>
          <w:rFonts w:eastAsia="Cambria"/>
          <w:color w:val="000000" w:themeColor="text1"/>
          <w:sz w:val="22"/>
          <w:szCs w:val="22"/>
          <w:lang w:val="fr-FR"/>
        </w:rPr>
        <w:t xml:space="preserve"> auprès de 2 </w:t>
      </w:r>
      <w:r w:rsidR="0094654F" w:rsidRPr="005D062F">
        <w:rPr>
          <w:rFonts w:eastAsia="Cambria"/>
          <w:color w:val="000000" w:themeColor="text1"/>
          <w:sz w:val="22"/>
          <w:szCs w:val="22"/>
          <w:lang w:val="fr-FR"/>
        </w:rPr>
        <w:t>038</w:t>
      </w:r>
      <w:r w:rsidR="00FC03D6" w:rsidRPr="005D062F">
        <w:rPr>
          <w:rFonts w:eastAsia="Cambria"/>
          <w:color w:val="000000" w:themeColor="text1"/>
          <w:sz w:val="22"/>
          <w:szCs w:val="22"/>
          <w:lang w:val="fr-FR"/>
        </w:rPr>
        <w:t> responsables</w:t>
      </w:r>
      <w:r w:rsidR="0094654F" w:rsidRPr="005D062F">
        <w:rPr>
          <w:rFonts w:eastAsia="Cambria"/>
          <w:color w:val="000000" w:themeColor="text1"/>
          <w:sz w:val="22"/>
          <w:szCs w:val="22"/>
          <w:lang w:val="fr-FR"/>
        </w:rPr>
        <w:t xml:space="preserve"> port</w:t>
      </w:r>
      <w:r w:rsidR="00FC03D6" w:rsidRPr="005D062F">
        <w:rPr>
          <w:rFonts w:eastAsia="Cambria"/>
          <w:color w:val="000000" w:themeColor="text1"/>
          <w:sz w:val="22"/>
          <w:szCs w:val="22"/>
          <w:lang w:val="fr-FR"/>
        </w:rPr>
        <w:t xml:space="preserve">uaires de </w:t>
      </w:r>
      <w:r w:rsidR="0094654F" w:rsidRPr="005D062F">
        <w:rPr>
          <w:rFonts w:eastAsia="Cambria"/>
          <w:color w:val="000000" w:themeColor="text1"/>
          <w:sz w:val="22"/>
          <w:szCs w:val="22"/>
          <w:lang w:val="fr-FR"/>
        </w:rPr>
        <w:t>28</w:t>
      </w:r>
      <w:r w:rsidR="00FC03D6" w:rsidRPr="005D062F">
        <w:rPr>
          <w:rFonts w:eastAsia="Cambria"/>
          <w:color w:val="000000" w:themeColor="text1"/>
          <w:sz w:val="22"/>
          <w:szCs w:val="22"/>
          <w:lang w:val="fr-FR"/>
        </w:rPr>
        <w:t xml:space="preserve"> États membres de l’OEA par le biais d’une série de </w:t>
      </w:r>
      <w:r w:rsidR="00270088">
        <w:rPr>
          <w:rFonts w:eastAsia="Cambria"/>
          <w:color w:val="000000" w:themeColor="text1"/>
          <w:sz w:val="22"/>
          <w:szCs w:val="22"/>
          <w:lang w:val="fr-FR"/>
        </w:rPr>
        <w:t>12</w:t>
      </w:r>
      <w:r w:rsidR="00FC03D6" w:rsidRPr="005D062F">
        <w:rPr>
          <w:rFonts w:eastAsia="Cambria"/>
          <w:color w:val="000000" w:themeColor="text1"/>
          <w:sz w:val="22"/>
          <w:szCs w:val="22"/>
          <w:lang w:val="fr-FR"/>
        </w:rPr>
        <w:t xml:space="preserve"> webinaires techniques organisés avec sept partenaires stratégiques</w:t>
      </w:r>
      <w:r w:rsidR="0094654F" w:rsidRPr="005D062F">
        <w:rPr>
          <w:rFonts w:eastAsia="Cambria"/>
          <w:color w:val="000000" w:themeColor="text1"/>
          <w:sz w:val="22"/>
          <w:szCs w:val="22"/>
          <w:lang w:val="fr-FR"/>
        </w:rPr>
        <w:t xml:space="preserve">. </w:t>
      </w:r>
      <w:r w:rsidR="00FC03D6" w:rsidRPr="005D062F">
        <w:rPr>
          <w:rFonts w:eastAsia="Cambria"/>
          <w:color w:val="000000" w:themeColor="text1"/>
          <w:sz w:val="22"/>
          <w:szCs w:val="22"/>
          <w:lang w:val="fr-FR"/>
        </w:rPr>
        <w:t>Parmi les sujets abordés figuraient le dé</w:t>
      </w:r>
      <w:r w:rsidR="0094654F" w:rsidRPr="005D062F">
        <w:rPr>
          <w:rFonts w:eastAsia="Cambria"/>
          <w:color w:val="000000" w:themeColor="text1"/>
          <w:sz w:val="22"/>
          <w:szCs w:val="22"/>
          <w:lang w:val="fr-FR"/>
        </w:rPr>
        <w:t>velop</w:t>
      </w:r>
      <w:r w:rsidR="00FC03D6" w:rsidRPr="005D062F">
        <w:rPr>
          <w:rFonts w:eastAsia="Cambria"/>
          <w:color w:val="000000" w:themeColor="text1"/>
          <w:sz w:val="22"/>
          <w:szCs w:val="22"/>
          <w:lang w:val="fr-FR"/>
        </w:rPr>
        <w:t>pe</w:t>
      </w:r>
      <w:r w:rsidR="0094654F" w:rsidRPr="005D062F">
        <w:rPr>
          <w:rFonts w:eastAsia="Cambria"/>
          <w:color w:val="000000" w:themeColor="text1"/>
          <w:sz w:val="22"/>
          <w:szCs w:val="22"/>
          <w:lang w:val="fr-FR"/>
        </w:rPr>
        <w:t>ment</w:t>
      </w:r>
      <w:r w:rsidR="00FC03D6" w:rsidRPr="005D062F">
        <w:rPr>
          <w:rFonts w:eastAsia="Cambria"/>
          <w:color w:val="000000" w:themeColor="text1"/>
          <w:sz w:val="22"/>
          <w:szCs w:val="22"/>
          <w:lang w:val="fr-FR"/>
        </w:rPr>
        <w:t xml:space="preserve"> des ports</w:t>
      </w:r>
      <w:r w:rsidR="0094654F" w:rsidRPr="005D062F">
        <w:rPr>
          <w:rFonts w:eastAsia="Cambria"/>
          <w:color w:val="000000" w:themeColor="text1"/>
          <w:sz w:val="22"/>
          <w:szCs w:val="22"/>
          <w:lang w:val="fr-FR"/>
        </w:rPr>
        <w:t xml:space="preserve">, </w:t>
      </w:r>
      <w:r w:rsidR="00FC03D6" w:rsidRPr="005D062F">
        <w:rPr>
          <w:rFonts w:eastAsia="Cambria"/>
          <w:color w:val="000000" w:themeColor="text1"/>
          <w:sz w:val="22"/>
          <w:szCs w:val="22"/>
          <w:lang w:val="fr-FR"/>
        </w:rPr>
        <w:t>l’égalité hommes-femmes, la protection et la sécurité portuaires</w:t>
      </w:r>
      <w:r w:rsidR="0094654F" w:rsidRPr="005D062F">
        <w:rPr>
          <w:rFonts w:eastAsia="Cambria"/>
          <w:color w:val="000000" w:themeColor="text1"/>
          <w:sz w:val="22"/>
          <w:szCs w:val="22"/>
          <w:lang w:val="fr-FR"/>
        </w:rPr>
        <w:t xml:space="preserve">, </w:t>
      </w:r>
      <w:r w:rsidR="00FC03D6" w:rsidRPr="005D062F">
        <w:rPr>
          <w:rFonts w:eastAsia="Cambria"/>
          <w:color w:val="000000" w:themeColor="text1"/>
          <w:sz w:val="22"/>
          <w:szCs w:val="22"/>
          <w:lang w:val="fr-FR"/>
        </w:rPr>
        <w:t xml:space="preserve">les services douaniers, les ports de croisière, la gestion durable, la </w:t>
      </w:r>
      <w:r w:rsidR="0094654F" w:rsidRPr="005D062F">
        <w:rPr>
          <w:rFonts w:eastAsia="Cambria"/>
          <w:color w:val="000000" w:themeColor="text1"/>
          <w:sz w:val="22"/>
          <w:szCs w:val="22"/>
          <w:lang w:val="fr-FR"/>
        </w:rPr>
        <w:t>respons</w:t>
      </w:r>
      <w:r w:rsidR="00FC03D6" w:rsidRPr="005D062F">
        <w:rPr>
          <w:rFonts w:eastAsia="Cambria"/>
          <w:color w:val="000000" w:themeColor="text1"/>
          <w:sz w:val="22"/>
          <w:szCs w:val="22"/>
          <w:lang w:val="fr-FR"/>
        </w:rPr>
        <w:t>a</w:t>
      </w:r>
      <w:r w:rsidR="0094654F" w:rsidRPr="005D062F">
        <w:rPr>
          <w:rFonts w:eastAsia="Cambria"/>
          <w:color w:val="000000" w:themeColor="text1"/>
          <w:sz w:val="22"/>
          <w:szCs w:val="22"/>
          <w:lang w:val="fr-FR"/>
        </w:rPr>
        <w:t>bilit</w:t>
      </w:r>
      <w:r w:rsidR="00FC03D6" w:rsidRPr="005D062F">
        <w:rPr>
          <w:rFonts w:eastAsia="Cambria"/>
          <w:color w:val="000000" w:themeColor="text1"/>
          <w:sz w:val="22"/>
          <w:szCs w:val="22"/>
          <w:lang w:val="fr-FR"/>
        </w:rPr>
        <w:t>é sociale et l’</w:t>
      </w:r>
      <w:r w:rsidR="0094654F" w:rsidRPr="005D062F">
        <w:rPr>
          <w:rFonts w:eastAsia="Cambria"/>
          <w:color w:val="000000" w:themeColor="text1"/>
          <w:sz w:val="22"/>
          <w:szCs w:val="22"/>
          <w:lang w:val="fr-FR"/>
        </w:rPr>
        <w:t>innovation</w:t>
      </w:r>
      <w:r w:rsidR="00FC03D6" w:rsidRPr="005D062F">
        <w:rPr>
          <w:rFonts w:eastAsia="Cambria"/>
          <w:color w:val="000000" w:themeColor="text1"/>
          <w:sz w:val="22"/>
          <w:szCs w:val="22"/>
          <w:lang w:val="fr-FR"/>
        </w:rPr>
        <w:t xml:space="preserve"> technologique</w:t>
      </w:r>
      <w:r w:rsidR="0094654F" w:rsidRPr="005D062F">
        <w:rPr>
          <w:rFonts w:eastAsia="Cambria"/>
          <w:color w:val="000000" w:themeColor="text1"/>
          <w:sz w:val="22"/>
          <w:szCs w:val="22"/>
          <w:lang w:val="fr-FR"/>
        </w:rPr>
        <w:t>.</w:t>
      </w:r>
    </w:p>
    <w:p w14:paraId="52FFC75B" w14:textId="77777777" w:rsidR="006C0224" w:rsidRPr="005D062F" w:rsidRDefault="006C0224" w:rsidP="00723DAD">
      <w:pPr>
        <w:jc w:val="both"/>
        <w:rPr>
          <w:rFonts w:ascii="Times New Roman" w:eastAsia="Calibri" w:hAnsi="Times New Roman" w:cs="Times New Roman"/>
          <w:color w:val="000000" w:themeColor="text1"/>
          <w:sz w:val="22"/>
          <w:szCs w:val="22"/>
          <w:lang w:val="fr-FR"/>
        </w:rPr>
      </w:pPr>
    </w:p>
    <w:p w14:paraId="398FBD7C" w14:textId="289BD945" w:rsidR="006C0224" w:rsidRPr="005D062F" w:rsidRDefault="00E131EA" w:rsidP="00CB030B">
      <w:pPr>
        <w:pStyle w:val="ListParagraph"/>
        <w:numPr>
          <w:ilvl w:val="0"/>
          <w:numId w:val="24"/>
        </w:numPr>
        <w:ind w:left="1440" w:hanging="720"/>
        <w:contextualSpacing/>
        <w:jc w:val="both"/>
        <w:rPr>
          <w:rFonts w:eastAsia="Cambria"/>
          <w:color w:val="000000" w:themeColor="text1"/>
          <w:sz w:val="22"/>
          <w:szCs w:val="22"/>
          <w:lang w:val="fr-FR"/>
        </w:rPr>
      </w:pPr>
      <w:r w:rsidRPr="005D062F">
        <w:rPr>
          <w:rFonts w:eastAsia="Cambria"/>
          <w:color w:val="000000" w:themeColor="text1"/>
          <w:sz w:val="22"/>
          <w:szCs w:val="22"/>
          <w:lang w:val="fr-FR"/>
        </w:rPr>
        <w:t>Q</w:t>
      </w:r>
      <w:r w:rsidR="00E7555B" w:rsidRPr="005D062F">
        <w:rPr>
          <w:rFonts w:eastAsia="Cambria"/>
          <w:color w:val="000000" w:themeColor="text1"/>
          <w:sz w:val="22"/>
          <w:szCs w:val="22"/>
          <w:lang w:val="fr-FR"/>
        </w:rPr>
        <w:t xml:space="preserve">uatre événements continentaux </w:t>
      </w:r>
      <w:r w:rsidRPr="005D062F">
        <w:rPr>
          <w:rFonts w:eastAsia="Cambria"/>
          <w:color w:val="000000" w:themeColor="text1"/>
          <w:sz w:val="22"/>
          <w:szCs w:val="22"/>
          <w:lang w:val="fr-FR"/>
        </w:rPr>
        <w:t xml:space="preserve">ont été organisés </w:t>
      </w:r>
      <w:r w:rsidR="00E7555B" w:rsidRPr="005D062F">
        <w:rPr>
          <w:rFonts w:eastAsia="Cambria"/>
          <w:color w:val="000000" w:themeColor="text1"/>
          <w:sz w:val="22"/>
          <w:szCs w:val="22"/>
          <w:lang w:val="fr-FR"/>
        </w:rPr>
        <w:t xml:space="preserve">en partenariat avec les autorités portuaires nationales, initiant plus de 2 100 responsables portuaires de 29 États membres de l’OEA à des pratiques réussies dans les domaines suivants : gestion portuaire durable et protection de l’environnement </w:t>
      </w:r>
      <w:r w:rsidR="006C0224" w:rsidRPr="005D062F">
        <w:rPr>
          <w:rFonts w:eastAsia="Cambria"/>
          <w:color w:val="000000" w:themeColor="text1"/>
          <w:sz w:val="22"/>
          <w:szCs w:val="22"/>
          <w:lang w:val="fr-FR"/>
        </w:rPr>
        <w:t>(Mexi</w:t>
      </w:r>
      <w:r w:rsidR="00E7555B" w:rsidRPr="005D062F">
        <w:rPr>
          <w:rFonts w:eastAsia="Cambria"/>
          <w:color w:val="000000" w:themeColor="text1"/>
          <w:sz w:val="22"/>
          <w:szCs w:val="22"/>
          <w:lang w:val="fr-FR"/>
        </w:rPr>
        <w:t>que</w:t>
      </w:r>
      <w:r w:rsidR="006C0224" w:rsidRPr="005D062F">
        <w:rPr>
          <w:rFonts w:eastAsia="Cambria"/>
          <w:color w:val="000000" w:themeColor="text1"/>
          <w:sz w:val="22"/>
          <w:szCs w:val="22"/>
          <w:lang w:val="fr-FR"/>
        </w:rPr>
        <w:t>)</w:t>
      </w:r>
      <w:r w:rsidR="00E7555B" w:rsidRPr="005D062F">
        <w:rPr>
          <w:rFonts w:eastAsia="Cambria"/>
          <w:color w:val="000000" w:themeColor="text1"/>
          <w:sz w:val="22"/>
          <w:szCs w:val="22"/>
          <w:lang w:val="fr-FR"/>
        </w:rPr>
        <w:t> </w:t>
      </w:r>
      <w:r w:rsidR="0094654F" w:rsidRPr="005D062F">
        <w:rPr>
          <w:rFonts w:eastAsia="Cambria"/>
          <w:color w:val="000000" w:themeColor="text1"/>
          <w:sz w:val="22"/>
          <w:szCs w:val="22"/>
          <w:lang w:val="fr-FR"/>
        </w:rPr>
        <w:t>;</w:t>
      </w:r>
      <w:r w:rsidR="006C0224" w:rsidRPr="005D062F">
        <w:rPr>
          <w:rFonts w:eastAsia="Cambria"/>
          <w:color w:val="000000" w:themeColor="text1"/>
          <w:sz w:val="22"/>
          <w:szCs w:val="22"/>
          <w:lang w:val="fr-FR"/>
        </w:rPr>
        <w:t xml:space="preserve"> </w:t>
      </w:r>
      <w:r w:rsidR="00777AF2" w:rsidRPr="005D062F">
        <w:rPr>
          <w:rFonts w:eastAsia="Cambria"/>
          <w:color w:val="000000" w:themeColor="text1"/>
          <w:sz w:val="22"/>
          <w:szCs w:val="22"/>
          <w:lang w:val="fr-FR"/>
        </w:rPr>
        <w:t xml:space="preserve">voies navigables, navigation intérieure et ports de croisière </w:t>
      </w:r>
      <w:r w:rsidR="001244AE" w:rsidRPr="005D062F">
        <w:rPr>
          <w:rFonts w:eastAsia="Cambria"/>
          <w:color w:val="000000" w:themeColor="text1"/>
          <w:sz w:val="22"/>
          <w:szCs w:val="22"/>
          <w:lang w:val="fr-FR"/>
        </w:rPr>
        <w:t>(Argentine</w:t>
      </w:r>
      <w:r w:rsidR="006C0224" w:rsidRPr="005D062F">
        <w:rPr>
          <w:rFonts w:eastAsia="Cambria"/>
          <w:color w:val="000000" w:themeColor="text1"/>
          <w:sz w:val="22"/>
          <w:szCs w:val="22"/>
          <w:lang w:val="fr-FR"/>
        </w:rPr>
        <w:t>)</w:t>
      </w:r>
      <w:r w:rsidR="001244AE" w:rsidRPr="005D062F">
        <w:rPr>
          <w:rFonts w:eastAsia="Cambria"/>
          <w:color w:val="000000" w:themeColor="text1"/>
          <w:sz w:val="22"/>
          <w:szCs w:val="22"/>
          <w:lang w:val="fr-FR"/>
        </w:rPr>
        <w:t> </w:t>
      </w:r>
      <w:r w:rsidR="0094654F" w:rsidRPr="005D062F">
        <w:rPr>
          <w:rFonts w:eastAsia="Cambria"/>
          <w:color w:val="000000" w:themeColor="text1"/>
          <w:sz w:val="22"/>
          <w:szCs w:val="22"/>
          <w:lang w:val="fr-FR"/>
        </w:rPr>
        <w:t>;</w:t>
      </w:r>
      <w:r w:rsidR="001244AE" w:rsidRPr="005D062F">
        <w:rPr>
          <w:rFonts w:eastAsia="Cambria"/>
          <w:color w:val="000000" w:themeColor="text1"/>
          <w:sz w:val="22"/>
          <w:szCs w:val="22"/>
          <w:lang w:val="fr-FR"/>
        </w:rPr>
        <w:t xml:space="preserve"> p</w:t>
      </w:r>
      <w:r w:rsidR="006C0224" w:rsidRPr="005D062F">
        <w:rPr>
          <w:rFonts w:eastAsia="Cambria"/>
          <w:color w:val="000000" w:themeColor="text1"/>
          <w:sz w:val="22"/>
          <w:szCs w:val="22"/>
          <w:lang w:val="fr-FR"/>
        </w:rPr>
        <w:t>rotection</w:t>
      </w:r>
      <w:r w:rsidR="001244AE" w:rsidRPr="005D062F">
        <w:rPr>
          <w:rFonts w:eastAsia="Cambria"/>
          <w:color w:val="000000" w:themeColor="text1"/>
          <w:sz w:val="22"/>
          <w:szCs w:val="22"/>
          <w:lang w:val="fr-FR"/>
        </w:rPr>
        <w:t xml:space="preserve"> et sécurité portuaires </w:t>
      </w:r>
      <w:r w:rsidR="00777AF2" w:rsidRPr="005D062F">
        <w:rPr>
          <w:rFonts w:eastAsia="Cambria"/>
          <w:color w:val="000000" w:themeColor="text1"/>
          <w:sz w:val="22"/>
          <w:szCs w:val="22"/>
          <w:lang w:val="fr-FR"/>
        </w:rPr>
        <w:t>et r</w:t>
      </w:r>
      <w:r w:rsidR="006C0224" w:rsidRPr="005D062F">
        <w:rPr>
          <w:rFonts w:eastAsia="Cambria"/>
          <w:color w:val="000000" w:themeColor="text1"/>
          <w:sz w:val="22"/>
          <w:szCs w:val="22"/>
          <w:lang w:val="fr-FR"/>
        </w:rPr>
        <w:t>elation</w:t>
      </w:r>
      <w:r w:rsidR="0094654F" w:rsidRPr="005D062F">
        <w:rPr>
          <w:rFonts w:eastAsia="Cambria"/>
          <w:color w:val="000000" w:themeColor="text1"/>
          <w:sz w:val="22"/>
          <w:szCs w:val="22"/>
          <w:lang w:val="fr-FR"/>
        </w:rPr>
        <w:t>s</w:t>
      </w:r>
      <w:r w:rsidR="00777AF2" w:rsidRPr="005D062F">
        <w:rPr>
          <w:rFonts w:eastAsia="Cambria"/>
          <w:color w:val="000000" w:themeColor="text1"/>
          <w:sz w:val="22"/>
          <w:szCs w:val="22"/>
          <w:lang w:val="fr-FR"/>
        </w:rPr>
        <w:t xml:space="preserve"> port-ville</w:t>
      </w:r>
      <w:r w:rsidR="006C0224" w:rsidRPr="005D062F">
        <w:rPr>
          <w:rFonts w:eastAsia="Cambria"/>
          <w:color w:val="000000" w:themeColor="text1"/>
          <w:sz w:val="22"/>
          <w:szCs w:val="22"/>
          <w:lang w:val="fr-FR"/>
        </w:rPr>
        <w:t xml:space="preserve"> (Barb</w:t>
      </w:r>
      <w:r w:rsidR="001244AE" w:rsidRPr="005D062F">
        <w:rPr>
          <w:rFonts w:eastAsia="Cambria"/>
          <w:color w:val="000000" w:themeColor="text1"/>
          <w:sz w:val="22"/>
          <w:szCs w:val="22"/>
          <w:lang w:val="fr-FR"/>
        </w:rPr>
        <w:t>ade et États-Unis</w:t>
      </w:r>
      <w:r w:rsidR="006C0224" w:rsidRPr="005D062F">
        <w:rPr>
          <w:rFonts w:eastAsia="Cambria"/>
          <w:color w:val="000000" w:themeColor="text1"/>
          <w:sz w:val="22"/>
          <w:szCs w:val="22"/>
          <w:lang w:val="fr-FR"/>
        </w:rPr>
        <w:t>)</w:t>
      </w:r>
      <w:r w:rsidR="001244AE" w:rsidRPr="005D062F">
        <w:rPr>
          <w:rFonts w:eastAsia="Cambria"/>
          <w:color w:val="000000" w:themeColor="text1"/>
          <w:sz w:val="22"/>
          <w:szCs w:val="22"/>
          <w:lang w:val="fr-FR"/>
        </w:rPr>
        <w:t> ; et</w:t>
      </w:r>
      <w:r w:rsidR="0094654F" w:rsidRPr="005D062F">
        <w:rPr>
          <w:rFonts w:eastAsia="Cambria"/>
          <w:color w:val="000000" w:themeColor="text1"/>
          <w:sz w:val="22"/>
          <w:szCs w:val="22"/>
          <w:lang w:val="fr-FR"/>
        </w:rPr>
        <w:t xml:space="preserve"> </w:t>
      </w:r>
      <w:r w:rsidR="00777AF2" w:rsidRPr="005D062F">
        <w:rPr>
          <w:rFonts w:eastAsia="Cambria"/>
          <w:color w:val="000000" w:themeColor="text1"/>
          <w:sz w:val="22"/>
          <w:szCs w:val="22"/>
          <w:lang w:val="fr-FR"/>
        </w:rPr>
        <w:t>relations port-ville</w:t>
      </w:r>
      <w:r w:rsidR="006C0224" w:rsidRPr="005D062F">
        <w:rPr>
          <w:rFonts w:eastAsia="Cambria"/>
          <w:color w:val="000000" w:themeColor="text1"/>
          <w:sz w:val="22"/>
          <w:szCs w:val="22"/>
          <w:lang w:val="fr-FR"/>
        </w:rPr>
        <w:t xml:space="preserve">, </w:t>
      </w:r>
      <w:r w:rsidR="001244AE" w:rsidRPr="005D062F">
        <w:rPr>
          <w:rFonts w:eastAsia="Cambria"/>
          <w:color w:val="000000" w:themeColor="text1"/>
          <w:sz w:val="22"/>
          <w:szCs w:val="22"/>
          <w:lang w:val="fr-FR"/>
        </w:rPr>
        <w:t>responsa</w:t>
      </w:r>
      <w:r w:rsidR="006C0224" w:rsidRPr="005D062F">
        <w:rPr>
          <w:rFonts w:eastAsia="Cambria"/>
          <w:color w:val="000000" w:themeColor="text1"/>
          <w:sz w:val="22"/>
          <w:szCs w:val="22"/>
          <w:lang w:val="fr-FR"/>
        </w:rPr>
        <w:t>bilit</w:t>
      </w:r>
      <w:r w:rsidR="001244AE" w:rsidRPr="005D062F">
        <w:rPr>
          <w:rFonts w:eastAsia="Cambria"/>
          <w:color w:val="000000" w:themeColor="text1"/>
          <w:sz w:val="22"/>
          <w:szCs w:val="22"/>
          <w:lang w:val="fr-FR"/>
        </w:rPr>
        <w:t xml:space="preserve">é sociale et parité hommes-femmes </w:t>
      </w:r>
      <w:r w:rsidR="006C0224" w:rsidRPr="005D062F">
        <w:rPr>
          <w:rFonts w:eastAsia="Cambria"/>
          <w:color w:val="000000" w:themeColor="text1"/>
          <w:sz w:val="22"/>
          <w:szCs w:val="22"/>
          <w:lang w:val="fr-FR"/>
        </w:rPr>
        <w:t>(P</w:t>
      </w:r>
      <w:r w:rsidR="001244AE" w:rsidRPr="005D062F">
        <w:rPr>
          <w:rFonts w:eastAsia="Cambria"/>
          <w:color w:val="000000" w:themeColor="text1"/>
          <w:sz w:val="22"/>
          <w:szCs w:val="22"/>
          <w:lang w:val="fr-FR"/>
        </w:rPr>
        <w:t>é</w:t>
      </w:r>
      <w:r w:rsidR="006C0224" w:rsidRPr="005D062F">
        <w:rPr>
          <w:rFonts w:eastAsia="Cambria"/>
          <w:color w:val="000000" w:themeColor="text1"/>
          <w:sz w:val="22"/>
          <w:szCs w:val="22"/>
          <w:lang w:val="fr-FR"/>
        </w:rPr>
        <w:t>r</w:t>
      </w:r>
      <w:r w:rsidR="001244AE" w:rsidRPr="005D062F">
        <w:rPr>
          <w:rFonts w:eastAsia="Cambria"/>
          <w:color w:val="000000" w:themeColor="text1"/>
          <w:sz w:val="22"/>
          <w:szCs w:val="22"/>
          <w:lang w:val="fr-FR"/>
        </w:rPr>
        <w:t>o</w:t>
      </w:r>
      <w:r w:rsidR="006C0224" w:rsidRPr="005D062F">
        <w:rPr>
          <w:rFonts w:eastAsia="Cambria"/>
          <w:color w:val="000000" w:themeColor="text1"/>
          <w:sz w:val="22"/>
          <w:szCs w:val="22"/>
          <w:lang w:val="fr-FR"/>
        </w:rPr>
        <w:t>u).</w:t>
      </w:r>
    </w:p>
    <w:p w14:paraId="5A650634" w14:textId="3524E889" w:rsidR="006C0224" w:rsidRPr="005D062F" w:rsidRDefault="006C0224" w:rsidP="00723DAD">
      <w:pPr>
        <w:jc w:val="both"/>
        <w:rPr>
          <w:rFonts w:ascii="Times New Roman" w:eastAsia="Calibri" w:hAnsi="Times New Roman" w:cs="Times New Roman"/>
          <w:color w:val="000000" w:themeColor="text1"/>
          <w:sz w:val="22"/>
          <w:szCs w:val="22"/>
          <w:lang w:val="fr-FR"/>
        </w:rPr>
      </w:pPr>
    </w:p>
    <w:p w14:paraId="1485DB64" w14:textId="0C1435AD" w:rsidR="00F21F21" w:rsidRPr="005D062F" w:rsidRDefault="004B17EA" w:rsidP="00CB030B">
      <w:pPr>
        <w:pStyle w:val="ListParagraph"/>
        <w:numPr>
          <w:ilvl w:val="0"/>
          <w:numId w:val="24"/>
        </w:numPr>
        <w:ind w:left="1440" w:hanging="720"/>
        <w:contextualSpacing/>
        <w:jc w:val="both"/>
        <w:rPr>
          <w:rFonts w:eastAsia="Cambria"/>
          <w:color w:val="000000" w:themeColor="text1"/>
          <w:sz w:val="22"/>
          <w:szCs w:val="22"/>
          <w:lang w:val="fr-FR"/>
        </w:rPr>
      </w:pPr>
      <w:r w:rsidRPr="005D062F">
        <w:rPr>
          <w:rFonts w:eastAsia="Cambria"/>
          <w:color w:val="000000" w:themeColor="text1"/>
          <w:sz w:val="22"/>
          <w:szCs w:val="22"/>
          <w:lang w:val="fr-FR"/>
        </w:rPr>
        <w:t>Le Secrétariat</w:t>
      </w:r>
      <w:r w:rsidR="00FF1AA0" w:rsidRPr="005D062F">
        <w:rPr>
          <w:rFonts w:eastAsia="Cambria"/>
          <w:color w:val="000000" w:themeColor="text1"/>
          <w:sz w:val="22"/>
          <w:szCs w:val="22"/>
          <w:lang w:val="fr-FR"/>
        </w:rPr>
        <w:t xml:space="preserve"> a formé, en </w:t>
      </w:r>
      <w:r w:rsidR="006C0224" w:rsidRPr="005D062F">
        <w:rPr>
          <w:rFonts w:eastAsia="Cambria"/>
          <w:color w:val="000000" w:themeColor="text1"/>
          <w:sz w:val="22"/>
          <w:szCs w:val="22"/>
          <w:lang w:val="fr-FR"/>
        </w:rPr>
        <w:t xml:space="preserve">collaboration </w:t>
      </w:r>
      <w:r w:rsidR="00FF1AA0" w:rsidRPr="005D062F">
        <w:rPr>
          <w:rFonts w:eastAsia="Cambria"/>
          <w:color w:val="000000" w:themeColor="text1"/>
          <w:sz w:val="22"/>
          <w:szCs w:val="22"/>
          <w:lang w:val="fr-FR"/>
        </w:rPr>
        <w:t xml:space="preserve">avec l’Autorité portuaire nationale du Pérou et le Centre national de formation portuaire de l’Argentine, 565 agents </w:t>
      </w:r>
      <w:r w:rsidR="006C0224" w:rsidRPr="005D062F">
        <w:rPr>
          <w:rFonts w:eastAsia="Cambria"/>
          <w:color w:val="000000" w:themeColor="text1"/>
          <w:sz w:val="22"/>
          <w:szCs w:val="22"/>
          <w:lang w:val="fr-FR"/>
        </w:rPr>
        <w:t>port</w:t>
      </w:r>
      <w:r w:rsidR="00FF1AA0" w:rsidRPr="005D062F">
        <w:rPr>
          <w:rFonts w:eastAsia="Cambria"/>
          <w:color w:val="000000" w:themeColor="text1"/>
          <w:sz w:val="22"/>
          <w:szCs w:val="22"/>
          <w:lang w:val="fr-FR"/>
        </w:rPr>
        <w:t xml:space="preserve">uaires de </w:t>
      </w:r>
      <w:r w:rsidR="006C0224" w:rsidRPr="005D062F">
        <w:rPr>
          <w:rFonts w:eastAsia="Cambria"/>
          <w:color w:val="000000" w:themeColor="text1"/>
          <w:sz w:val="22"/>
          <w:szCs w:val="22"/>
          <w:lang w:val="fr-FR"/>
        </w:rPr>
        <w:t>28</w:t>
      </w:r>
      <w:r w:rsidR="00FF1AA0" w:rsidRPr="005D062F">
        <w:rPr>
          <w:rFonts w:eastAsia="Cambria"/>
          <w:color w:val="000000" w:themeColor="text1"/>
          <w:sz w:val="22"/>
          <w:szCs w:val="22"/>
          <w:lang w:val="fr-FR"/>
        </w:rPr>
        <w:t xml:space="preserve"> États membres dans le cadre de </w:t>
      </w:r>
      <w:r w:rsidR="00B20338" w:rsidRPr="005D062F">
        <w:rPr>
          <w:rFonts w:eastAsia="Cambria"/>
          <w:color w:val="000000" w:themeColor="text1"/>
          <w:sz w:val="22"/>
          <w:szCs w:val="22"/>
          <w:lang w:val="fr-FR"/>
        </w:rPr>
        <w:t>29</w:t>
      </w:r>
      <w:r w:rsidR="00FF1AA0" w:rsidRPr="005D062F">
        <w:rPr>
          <w:rFonts w:eastAsia="Cambria"/>
          <w:color w:val="000000" w:themeColor="text1"/>
          <w:sz w:val="22"/>
          <w:szCs w:val="22"/>
          <w:lang w:val="fr-FR"/>
        </w:rPr>
        <w:t xml:space="preserve"> cours de perfectionnement </w:t>
      </w:r>
      <w:r w:rsidR="00B20338" w:rsidRPr="005D062F">
        <w:rPr>
          <w:rFonts w:eastAsia="Cambria"/>
          <w:color w:val="000000" w:themeColor="text1"/>
          <w:sz w:val="22"/>
          <w:szCs w:val="22"/>
          <w:lang w:val="fr-FR"/>
        </w:rPr>
        <w:t>profession</w:t>
      </w:r>
      <w:r w:rsidR="00FF1AA0" w:rsidRPr="005D062F">
        <w:rPr>
          <w:rFonts w:eastAsia="Cambria"/>
          <w:color w:val="000000" w:themeColor="text1"/>
          <w:sz w:val="22"/>
          <w:szCs w:val="22"/>
          <w:lang w:val="fr-FR"/>
        </w:rPr>
        <w:t>ne</w:t>
      </w:r>
      <w:r w:rsidR="00B20338" w:rsidRPr="005D062F">
        <w:rPr>
          <w:rFonts w:eastAsia="Cambria"/>
          <w:color w:val="000000" w:themeColor="text1"/>
          <w:sz w:val="22"/>
          <w:szCs w:val="22"/>
          <w:lang w:val="fr-FR"/>
        </w:rPr>
        <w:t>l</w:t>
      </w:r>
      <w:r w:rsidR="00FF1AA0" w:rsidRPr="005D062F">
        <w:rPr>
          <w:rFonts w:eastAsia="Cambria"/>
          <w:color w:val="000000" w:themeColor="text1"/>
          <w:sz w:val="22"/>
          <w:szCs w:val="22"/>
          <w:lang w:val="fr-FR"/>
        </w:rPr>
        <w:t xml:space="preserve"> certifié grâce à des bourses d’une valeur de 526 </w:t>
      </w:r>
      <w:r w:rsidR="00B20338" w:rsidRPr="005D062F">
        <w:rPr>
          <w:rFonts w:eastAsia="Cambria"/>
          <w:color w:val="000000" w:themeColor="text1"/>
          <w:sz w:val="22"/>
          <w:szCs w:val="22"/>
          <w:lang w:val="fr-FR"/>
        </w:rPr>
        <w:t>950</w:t>
      </w:r>
      <w:r w:rsidR="00FF1AA0" w:rsidRPr="005D062F">
        <w:rPr>
          <w:rFonts w:eastAsia="Cambria"/>
          <w:color w:val="000000" w:themeColor="text1"/>
          <w:sz w:val="22"/>
          <w:szCs w:val="22"/>
          <w:lang w:val="fr-FR"/>
        </w:rPr>
        <w:t> USD</w:t>
      </w:r>
      <w:r w:rsidR="00B20338" w:rsidRPr="005D062F">
        <w:rPr>
          <w:rFonts w:eastAsia="Cambria"/>
          <w:color w:val="000000" w:themeColor="text1"/>
          <w:sz w:val="22"/>
          <w:szCs w:val="22"/>
          <w:lang w:val="fr-FR"/>
        </w:rPr>
        <w:t xml:space="preserve">. </w:t>
      </w:r>
      <w:r w:rsidR="00233790" w:rsidRPr="005D062F">
        <w:rPr>
          <w:rFonts w:eastAsia="Cambria"/>
          <w:color w:val="000000" w:themeColor="text1"/>
          <w:sz w:val="22"/>
          <w:szCs w:val="22"/>
          <w:lang w:val="fr-FR"/>
        </w:rPr>
        <w:t xml:space="preserve">Les sujets abordés incluaient la gestion de projets, les risques dans les opérations de transport maritime, la gestion des ressources humaines, </w:t>
      </w:r>
      <w:r w:rsidR="00777AF2" w:rsidRPr="005D062F">
        <w:rPr>
          <w:rFonts w:eastAsia="Cambria"/>
          <w:color w:val="000000" w:themeColor="text1"/>
          <w:sz w:val="22"/>
          <w:szCs w:val="22"/>
          <w:lang w:val="fr-FR"/>
        </w:rPr>
        <w:t xml:space="preserve">les systèmes de </w:t>
      </w:r>
      <w:r w:rsidR="00B20338" w:rsidRPr="005D062F">
        <w:rPr>
          <w:rFonts w:eastAsia="Cambria"/>
          <w:color w:val="000000" w:themeColor="text1"/>
          <w:sz w:val="22"/>
          <w:szCs w:val="22"/>
          <w:lang w:val="fr-FR"/>
        </w:rPr>
        <w:t xml:space="preserve">distribution </w:t>
      </w:r>
      <w:r w:rsidR="003062D7" w:rsidRPr="005D062F">
        <w:rPr>
          <w:rFonts w:eastAsia="Cambria"/>
          <w:color w:val="000000" w:themeColor="text1"/>
          <w:sz w:val="22"/>
          <w:szCs w:val="22"/>
          <w:lang w:val="fr-FR"/>
        </w:rPr>
        <w:t>relatifs à la logistique portuaire</w:t>
      </w:r>
      <w:r w:rsidR="00B20338" w:rsidRPr="005D062F">
        <w:rPr>
          <w:rFonts w:eastAsia="Cambria"/>
          <w:color w:val="000000" w:themeColor="text1"/>
          <w:sz w:val="22"/>
          <w:szCs w:val="22"/>
          <w:lang w:val="fr-FR"/>
        </w:rPr>
        <w:t xml:space="preserve">, </w:t>
      </w:r>
      <w:r w:rsidR="00777AF2" w:rsidRPr="005D062F">
        <w:rPr>
          <w:rFonts w:eastAsia="Cambria"/>
          <w:color w:val="000000" w:themeColor="text1"/>
          <w:sz w:val="22"/>
          <w:szCs w:val="22"/>
          <w:lang w:val="fr-FR"/>
        </w:rPr>
        <w:t>les femmes dans l’administration portuaire</w:t>
      </w:r>
      <w:r w:rsidR="00B20338" w:rsidRPr="005D062F">
        <w:rPr>
          <w:rFonts w:eastAsia="Cambria"/>
          <w:color w:val="000000" w:themeColor="text1"/>
          <w:sz w:val="22"/>
          <w:szCs w:val="22"/>
          <w:lang w:val="fr-FR"/>
        </w:rPr>
        <w:t xml:space="preserve">, </w:t>
      </w:r>
      <w:r w:rsidR="00777AF2" w:rsidRPr="005D062F">
        <w:rPr>
          <w:rFonts w:eastAsia="Cambria"/>
          <w:color w:val="000000" w:themeColor="text1"/>
          <w:sz w:val="22"/>
          <w:szCs w:val="22"/>
          <w:lang w:val="fr-FR"/>
        </w:rPr>
        <w:t>la sécurité des opérations</w:t>
      </w:r>
      <w:r w:rsidR="00B20338" w:rsidRPr="005D062F">
        <w:rPr>
          <w:rFonts w:eastAsia="Cambria"/>
          <w:color w:val="000000" w:themeColor="text1"/>
          <w:sz w:val="22"/>
          <w:szCs w:val="22"/>
          <w:lang w:val="fr-FR"/>
        </w:rPr>
        <w:t xml:space="preserve">, </w:t>
      </w:r>
      <w:r w:rsidR="00777AF2" w:rsidRPr="005D062F">
        <w:rPr>
          <w:rFonts w:eastAsia="Cambria"/>
          <w:color w:val="000000" w:themeColor="text1"/>
          <w:sz w:val="22"/>
          <w:szCs w:val="22"/>
          <w:lang w:val="fr-FR"/>
        </w:rPr>
        <w:t>la compétitivité des ports</w:t>
      </w:r>
      <w:r w:rsidR="00B20338" w:rsidRPr="005D062F">
        <w:rPr>
          <w:rFonts w:eastAsia="Cambria"/>
          <w:color w:val="000000" w:themeColor="text1"/>
          <w:sz w:val="22"/>
          <w:szCs w:val="22"/>
          <w:lang w:val="fr-FR"/>
        </w:rPr>
        <w:t xml:space="preserve">, </w:t>
      </w:r>
      <w:r w:rsidR="002649A6" w:rsidRPr="005D062F">
        <w:rPr>
          <w:rFonts w:eastAsia="Cambria"/>
          <w:color w:val="000000" w:themeColor="text1"/>
          <w:sz w:val="22"/>
          <w:szCs w:val="22"/>
          <w:lang w:val="fr-FR"/>
        </w:rPr>
        <w:t>l’</w:t>
      </w:r>
      <w:r w:rsidR="003062D7" w:rsidRPr="005D062F">
        <w:rPr>
          <w:rFonts w:eastAsia="Cambria"/>
          <w:color w:val="000000" w:themeColor="text1"/>
          <w:sz w:val="22"/>
          <w:szCs w:val="22"/>
          <w:lang w:val="fr-FR"/>
        </w:rPr>
        <w:t>analyse de données</w:t>
      </w:r>
      <w:r w:rsidR="00B20338" w:rsidRPr="005D062F">
        <w:rPr>
          <w:rFonts w:eastAsia="Cambria"/>
          <w:color w:val="000000" w:themeColor="text1"/>
          <w:sz w:val="22"/>
          <w:szCs w:val="22"/>
          <w:lang w:val="fr-FR"/>
        </w:rPr>
        <w:t xml:space="preserve">, </w:t>
      </w:r>
      <w:r w:rsidR="002649A6" w:rsidRPr="005D062F">
        <w:rPr>
          <w:rFonts w:eastAsia="Cambria"/>
          <w:color w:val="000000" w:themeColor="text1"/>
          <w:sz w:val="22"/>
          <w:szCs w:val="22"/>
          <w:lang w:val="fr-FR"/>
        </w:rPr>
        <w:t xml:space="preserve">les </w:t>
      </w:r>
      <w:r w:rsidR="003062D7" w:rsidRPr="005D062F">
        <w:rPr>
          <w:rFonts w:eastAsia="Cambria"/>
          <w:color w:val="000000" w:themeColor="text1"/>
          <w:sz w:val="22"/>
          <w:szCs w:val="22"/>
          <w:lang w:val="fr-FR"/>
        </w:rPr>
        <w:t>concessions portuaires</w:t>
      </w:r>
      <w:r w:rsidR="002649A6" w:rsidRPr="005D062F">
        <w:rPr>
          <w:rFonts w:eastAsia="Cambria"/>
          <w:color w:val="000000" w:themeColor="text1"/>
          <w:sz w:val="22"/>
          <w:szCs w:val="22"/>
          <w:lang w:val="fr-FR"/>
        </w:rPr>
        <w:t xml:space="preserve"> ainsi que la prise de décisions</w:t>
      </w:r>
      <w:r w:rsidR="00B20338" w:rsidRPr="005D062F">
        <w:rPr>
          <w:rFonts w:eastAsia="Cambria"/>
          <w:color w:val="000000" w:themeColor="text1"/>
          <w:sz w:val="22"/>
          <w:szCs w:val="22"/>
          <w:lang w:val="fr-FR"/>
        </w:rPr>
        <w:t>.</w:t>
      </w:r>
    </w:p>
    <w:p w14:paraId="67D375C9" w14:textId="77777777" w:rsidR="00F21F21" w:rsidRPr="005D062F" w:rsidRDefault="00F21F21" w:rsidP="00723DAD">
      <w:pPr>
        <w:jc w:val="both"/>
        <w:rPr>
          <w:rFonts w:ascii="Times New Roman" w:eastAsia="Cambria" w:hAnsi="Times New Roman" w:cs="Times New Roman"/>
          <w:color w:val="000000" w:themeColor="text1"/>
          <w:sz w:val="22"/>
          <w:szCs w:val="22"/>
          <w:lang w:val="fr-FR"/>
        </w:rPr>
      </w:pPr>
    </w:p>
    <w:p w14:paraId="5FD367F3" w14:textId="1B002FE6" w:rsidR="00141240" w:rsidRPr="005D062F" w:rsidRDefault="004425D6" w:rsidP="00CB030B">
      <w:pPr>
        <w:pStyle w:val="ListParagraph"/>
        <w:numPr>
          <w:ilvl w:val="0"/>
          <w:numId w:val="24"/>
        </w:numPr>
        <w:ind w:left="1440" w:hanging="720"/>
        <w:contextualSpacing/>
        <w:jc w:val="both"/>
        <w:rPr>
          <w:rFonts w:eastAsia="Cambria"/>
          <w:color w:val="000000" w:themeColor="text1"/>
          <w:sz w:val="22"/>
          <w:szCs w:val="22"/>
          <w:lang w:val="fr-FR"/>
        </w:rPr>
      </w:pPr>
      <w:r w:rsidRPr="005D062F">
        <w:rPr>
          <w:rFonts w:eastAsia="Cambria"/>
          <w:color w:val="000000" w:themeColor="text1"/>
          <w:sz w:val="22"/>
          <w:szCs w:val="22"/>
          <w:lang w:val="fr-FR"/>
        </w:rPr>
        <w:t>Les agents portuaires de S</w:t>
      </w:r>
      <w:r w:rsidR="00F21F21" w:rsidRPr="005D062F">
        <w:rPr>
          <w:rFonts w:eastAsia="Cambria"/>
          <w:color w:val="000000" w:themeColor="text1"/>
          <w:sz w:val="22"/>
          <w:szCs w:val="22"/>
          <w:lang w:val="fr-FR"/>
        </w:rPr>
        <w:t>int Maarten</w:t>
      </w:r>
      <w:r w:rsidRPr="005D062F">
        <w:rPr>
          <w:rFonts w:eastAsia="Cambria"/>
          <w:color w:val="000000" w:themeColor="text1"/>
          <w:sz w:val="22"/>
          <w:szCs w:val="22"/>
          <w:lang w:val="fr-FR"/>
        </w:rPr>
        <w:t xml:space="preserve"> (Saint-Martin)</w:t>
      </w:r>
      <w:r w:rsidR="00F21F21" w:rsidRPr="005D062F">
        <w:rPr>
          <w:rFonts w:eastAsia="Cambria"/>
          <w:color w:val="000000" w:themeColor="text1"/>
          <w:sz w:val="22"/>
          <w:szCs w:val="22"/>
          <w:lang w:val="fr-FR"/>
        </w:rPr>
        <w:t xml:space="preserve"> </w:t>
      </w:r>
      <w:r w:rsidRPr="005D062F">
        <w:rPr>
          <w:rFonts w:eastAsia="Cambria"/>
          <w:color w:val="000000" w:themeColor="text1"/>
          <w:sz w:val="22"/>
          <w:szCs w:val="22"/>
          <w:lang w:val="fr-FR"/>
        </w:rPr>
        <w:t xml:space="preserve">ont également bénéficié de ces activités en raison du MA signé entre la </w:t>
      </w:r>
      <w:r w:rsidR="00F21F21" w:rsidRPr="005D062F">
        <w:rPr>
          <w:rFonts w:eastAsia="Cambria"/>
          <w:color w:val="000000" w:themeColor="text1"/>
          <w:sz w:val="22"/>
          <w:szCs w:val="22"/>
          <w:lang w:val="fr-FR"/>
        </w:rPr>
        <w:t xml:space="preserve">CIP </w:t>
      </w:r>
      <w:r w:rsidRPr="005D062F">
        <w:rPr>
          <w:rFonts w:eastAsia="Cambria"/>
          <w:color w:val="000000" w:themeColor="text1"/>
          <w:sz w:val="22"/>
          <w:szCs w:val="22"/>
          <w:lang w:val="fr-FR"/>
        </w:rPr>
        <w:t>et l’Association des administrations portuaires des Caraïbes</w:t>
      </w:r>
      <w:r w:rsidR="004C0712" w:rsidRPr="005D062F">
        <w:rPr>
          <w:rFonts w:eastAsia="Cambria"/>
          <w:color w:val="000000" w:themeColor="text1"/>
          <w:sz w:val="22"/>
          <w:szCs w:val="22"/>
          <w:lang w:val="fr-FR"/>
        </w:rPr>
        <w:t>.</w:t>
      </w:r>
    </w:p>
    <w:p w14:paraId="6BF2C3B9" w14:textId="5B4B7609" w:rsidR="00784AE3" w:rsidRPr="005D062F" w:rsidRDefault="00784AE3" w:rsidP="00CB030B">
      <w:pPr>
        <w:rPr>
          <w:rFonts w:ascii="Times New Roman" w:hAnsi="Times New Roman" w:cs="Times New Roman"/>
          <w:sz w:val="22"/>
          <w:szCs w:val="22"/>
          <w:lang w:val="fr-FR"/>
        </w:rPr>
      </w:pPr>
    </w:p>
    <w:p w14:paraId="2F20B3D8" w14:textId="77777777" w:rsidR="00A427C5" w:rsidRPr="005D062F" w:rsidRDefault="00A427C5" w:rsidP="00CB030B">
      <w:pPr>
        <w:rPr>
          <w:rFonts w:ascii="Times New Roman" w:hAnsi="Times New Roman" w:cs="Times New Roman"/>
          <w:sz w:val="22"/>
          <w:szCs w:val="22"/>
          <w:lang w:val="fr-FR"/>
        </w:rPr>
      </w:pPr>
    </w:p>
    <w:p w14:paraId="49391F10" w14:textId="515B4F4A" w:rsidR="00784AE3" w:rsidRPr="00002E24" w:rsidRDefault="00EA3A90" w:rsidP="00002E24">
      <w:pPr>
        <w:pStyle w:val="Heading1"/>
      </w:pPr>
      <w:bookmarkStart w:id="26" w:name="_Toc124243414"/>
      <w:r w:rsidRPr="005D062F">
        <w:t>LIGNE STRATÉGIQUE</w:t>
      </w:r>
      <w:r w:rsidR="00784AE3" w:rsidRPr="005D062F">
        <w:t xml:space="preserve"> 4</w:t>
      </w:r>
      <w:bookmarkEnd w:id="26"/>
    </w:p>
    <w:p w14:paraId="31F16FEF" w14:textId="085CD9D5" w:rsidR="00A427C5" w:rsidRPr="005D062F" w:rsidRDefault="00A427C5" w:rsidP="00CB030B">
      <w:pPr>
        <w:pBdr>
          <w:bottom w:val="single" w:sz="6" w:space="1" w:color="auto"/>
        </w:pBdr>
        <w:rPr>
          <w:rFonts w:ascii="Times New Roman" w:hAnsi="Times New Roman" w:cs="Times New Roman"/>
          <w:sz w:val="22"/>
          <w:szCs w:val="22"/>
          <w:lang w:val="fr-FR"/>
        </w:rPr>
      </w:pPr>
      <w:r w:rsidRPr="005D062F">
        <w:rPr>
          <w:rFonts w:ascii="Times New Roman" w:hAnsi="Times New Roman" w:cs="Times New Roman"/>
          <w:sz w:val="22"/>
          <w:szCs w:val="22"/>
          <w:lang w:val="fr-FR"/>
        </w:rPr>
        <w:t>PROMO</w:t>
      </w:r>
      <w:r w:rsidR="004425D6" w:rsidRPr="005D062F">
        <w:rPr>
          <w:rFonts w:ascii="Times New Roman" w:hAnsi="Times New Roman" w:cs="Times New Roman"/>
          <w:sz w:val="22"/>
          <w:szCs w:val="22"/>
          <w:lang w:val="fr-FR"/>
        </w:rPr>
        <w:t>UVOIR LE TRAVAIL DÉCENT, DIGNE ET PRODUCTIF POUR TOUS</w:t>
      </w:r>
    </w:p>
    <w:p w14:paraId="4EB46545" w14:textId="799DE80C" w:rsidR="00784AE3" w:rsidRPr="005D062F" w:rsidRDefault="00784AE3" w:rsidP="00CB030B">
      <w:pPr>
        <w:rPr>
          <w:rFonts w:ascii="Times New Roman" w:hAnsi="Times New Roman" w:cs="Times New Roman"/>
          <w:sz w:val="22"/>
          <w:szCs w:val="22"/>
          <w:lang w:val="fr-FR"/>
        </w:rPr>
      </w:pPr>
    </w:p>
    <w:p w14:paraId="5F75E77A" w14:textId="6375BE27" w:rsidR="00FF0178" w:rsidRPr="005D062F" w:rsidRDefault="00462DCE" w:rsidP="00CB030B">
      <w:pPr>
        <w:ind w:firstLine="720"/>
        <w:jc w:val="both"/>
        <w:rPr>
          <w:rFonts w:ascii="Times New Roman" w:hAnsi="Times New Roman" w:cs="Times New Roman"/>
          <w:sz w:val="22"/>
          <w:szCs w:val="22"/>
          <w:lang w:val="fr-FR"/>
        </w:rPr>
      </w:pPr>
      <w:r w:rsidRPr="005D062F">
        <w:rPr>
          <w:rFonts w:ascii="Times New Roman" w:hAnsi="Times New Roman" w:cs="Times New Roman"/>
          <w:sz w:val="22"/>
          <w:szCs w:val="22"/>
          <w:lang w:val="fr-FR"/>
        </w:rPr>
        <w:t xml:space="preserve">Le SEDI renforce la capacité des États membres à améliorer les conditions de travail, à promouvoir les droits des travailleurs et à créer des emplois, œuvrant donc à </w:t>
      </w:r>
      <w:r w:rsidR="00D27A0C" w:rsidRPr="005D062F">
        <w:rPr>
          <w:rFonts w:ascii="Times New Roman" w:hAnsi="Times New Roman" w:cs="Times New Roman"/>
          <w:sz w:val="22"/>
          <w:szCs w:val="22"/>
          <w:lang w:val="fr-FR"/>
        </w:rPr>
        <w:t>favoriser</w:t>
      </w:r>
      <w:r w:rsidRPr="005D062F">
        <w:rPr>
          <w:rFonts w:ascii="Times New Roman" w:hAnsi="Times New Roman" w:cs="Times New Roman"/>
          <w:sz w:val="22"/>
          <w:szCs w:val="22"/>
          <w:lang w:val="fr-FR"/>
        </w:rPr>
        <w:t xml:space="preserve"> l’emploi productif et le travail décent pour tous</w:t>
      </w:r>
      <w:r w:rsidR="00FF0178" w:rsidRPr="005D062F">
        <w:rPr>
          <w:rFonts w:ascii="Times New Roman" w:hAnsi="Times New Roman" w:cs="Times New Roman"/>
          <w:sz w:val="22"/>
          <w:szCs w:val="22"/>
          <w:lang w:val="fr-FR"/>
        </w:rPr>
        <w:t xml:space="preserve">. </w:t>
      </w:r>
      <w:r w:rsidRPr="005D062F">
        <w:rPr>
          <w:rFonts w:ascii="Times New Roman" w:hAnsi="Times New Roman" w:cs="Times New Roman"/>
          <w:sz w:val="22"/>
          <w:szCs w:val="22"/>
          <w:lang w:val="fr-FR"/>
        </w:rPr>
        <w:t xml:space="preserve">Ses </w:t>
      </w:r>
      <w:r w:rsidR="00FF0178" w:rsidRPr="005D062F">
        <w:rPr>
          <w:rFonts w:ascii="Times New Roman" w:hAnsi="Times New Roman" w:cs="Times New Roman"/>
          <w:sz w:val="22"/>
          <w:szCs w:val="22"/>
          <w:lang w:val="fr-FR"/>
        </w:rPr>
        <w:t>efforts</w:t>
      </w:r>
      <w:r w:rsidRPr="005D062F">
        <w:rPr>
          <w:rFonts w:ascii="Times New Roman" w:hAnsi="Times New Roman" w:cs="Times New Roman"/>
          <w:sz w:val="22"/>
          <w:szCs w:val="22"/>
          <w:lang w:val="fr-FR"/>
        </w:rPr>
        <w:t xml:space="preserve"> portent principalement sur l’exécution des mandats de la Conférence interaméricaine des ministres du travail (</w:t>
      </w:r>
      <w:r w:rsidR="00FF0178" w:rsidRPr="005D062F">
        <w:rPr>
          <w:rFonts w:ascii="Times New Roman" w:hAnsi="Times New Roman" w:cs="Times New Roman"/>
          <w:sz w:val="22"/>
          <w:szCs w:val="22"/>
          <w:lang w:val="fr-FR"/>
        </w:rPr>
        <w:t>C</w:t>
      </w:r>
      <w:r w:rsidRPr="005D062F">
        <w:rPr>
          <w:rFonts w:ascii="Times New Roman" w:hAnsi="Times New Roman" w:cs="Times New Roman"/>
          <w:sz w:val="22"/>
          <w:szCs w:val="22"/>
          <w:lang w:val="fr-FR"/>
        </w:rPr>
        <w:t>IMT</w:t>
      </w:r>
      <w:r w:rsidR="00FF0178" w:rsidRPr="005D062F">
        <w:rPr>
          <w:rFonts w:ascii="Times New Roman" w:hAnsi="Times New Roman" w:cs="Times New Roman"/>
          <w:sz w:val="22"/>
          <w:szCs w:val="22"/>
          <w:lang w:val="fr-FR"/>
        </w:rPr>
        <w:t xml:space="preserve">), </w:t>
      </w:r>
      <w:r w:rsidR="001150C9" w:rsidRPr="005D062F">
        <w:rPr>
          <w:rFonts w:ascii="Times New Roman" w:hAnsi="Times New Roman" w:cs="Times New Roman"/>
          <w:sz w:val="22"/>
          <w:szCs w:val="22"/>
          <w:lang w:val="fr-FR"/>
        </w:rPr>
        <w:t>qui, lors de sa dernière réunion tenue en septemb</w:t>
      </w:r>
      <w:r w:rsidR="00FF0178" w:rsidRPr="005D062F">
        <w:rPr>
          <w:rFonts w:ascii="Times New Roman" w:hAnsi="Times New Roman" w:cs="Times New Roman"/>
          <w:sz w:val="22"/>
          <w:szCs w:val="22"/>
          <w:lang w:val="fr-FR"/>
        </w:rPr>
        <w:t>r</w:t>
      </w:r>
      <w:r w:rsidR="001150C9" w:rsidRPr="005D062F">
        <w:rPr>
          <w:rFonts w:ascii="Times New Roman" w:hAnsi="Times New Roman" w:cs="Times New Roman"/>
          <w:sz w:val="22"/>
          <w:szCs w:val="22"/>
          <w:lang w:val="fr-FR"/>
        </w:rPr>
        <w:t>e</w:t>
      </w:r>
      <w:r w:rsidR="00FF0178" w:rsidRPr="005D062F">
        <w:rPr>
          <w:rFonts w:ascii="Times New Roman" w:hAnsi="Times New Roman" w:cs="Times New Roman"/>
          <w:sz w:val="22"/>
          <w:szCs w:val="22"/>
          <w:lang w:val="fr-FR"/>
        </w:rPr>
        <w:t xml:space="preserve"> 2021, </w:t>
      </w:r>
      <w:r w:rsidR="001150C9" w:rsidRPr="005D062F">
        <w:rPr>
          <w:rFonts w:ascii="Times New Roman" w:hAnsi="Times New Roman" w:cs="Times New Roman"/>
          <w:sz w:val="22"/>
          <w:szCs w:val="22"/>
          <w:lang w:val="fr-FR"/>
        </w:rPr>
        <w:t xml:space="preserve">a </w:t>
      </w:r>
      <w:r w:rsidR="00FF0178" w:rsidRPr="005D062F">
        <w:rPr>
          <w:rFonts w:ascii="Times New Roman" w:hAnsi="Times New Roman" w:cs="Times New Roman"/>
          <w:sz w:val="22"/>
          <w:szCs w:val="22"/>
          <w:lang w:val="fr-FR"/>
        </w:rPr>
        <w:t>reco</w:t>
      </w:r>
      <w:r w:rsidR="001150C9" w:rsidRPr="005D062F">
        <w:rPr>
          <w:rFonts w:ascii="Times New Roman" w:hAnsi="Times New Roman" w:cs="Times New Roman"/>
          <w:sz w:val="22"/>
          <w:szCs w:val="22"/>
          <w:lang w:val="fr-FR"/>
        </w:rPr>
        <w:t>nnu les effets négatifs de la pandémie sur les niveaux d’emploi, la participation</w:t>
      </w:r>
      <w:r w:rsidR="00CF18F1" w:rsidRPr="005D062F">
        <w:rPr>
          <w:rFonts w:ascii="Times New Roman" w:hAnsi="Times New Roman" w:cs="Times New Roman"/>
          <w:sz w:val="22"/>
          <w:szCs w:val="22"/>
          <w:lang w:val="fr-FR"/>
        </w:rPr>
        <w:t xml:space="preserve"> au travail et les inég</w:t>
      </w:r>
      <w:r w:rsidR="001150C9" w:rsidRPr="005D062F">
        <w:rPr>
          <w:rFonts w:ascii="Times New Roman" w:hAnsi="Times New Roman" w:cs="Times New Roman"/>
          <w:sz w:val="22"/>
          <w:szCs w:val="22"/>
          <w:lang w:val="fr-FR"/>
        </w:rPr>
        <w:t>alités</w:t>
      </w:r>
      <w:r w:rsidR="00FF0178" w:rsidRPr="005D062F">
        <w:rPr>
          <w:rFonts w:ascii="Times New Roman" w:hAnsi="Times New Roman" w:cs="Times New Roman"/>
          <w:sz w:val="22"/>
          <w:szCs w:val="22"/>
          <w:lang w:val="fr-FR"/>
        </w:rPr>
        <w:t xml:space="preserve">. </w:t>
      </w:r>
      <w:r w:rsidR="001150C9" w:rsidRPr="005D062F">
        <w:rPr>
          <w:rFonts w:ascii="Times New Roman" w:hAnsi="Times New Roman" w:cs="Times New Roman"/>
          <w:sz w:val="22"/>
          <w:szCs w:val="22"/>
          <w:lang w:val="fr-FR"/>
        </w:rPr>
        <w:t>La CIMT a aussi dirigé des actions régionales en faveur de la construction d’un monde du travail plus résilient et d’une reprise de l’emploi durable, équitable et axée sur les personnes. E</w:t>
      </w:r>
      <w:r w:rsidR="00FF0178" w:rsidRPr="005D062F">
        <w:rPr>
          <w:rFonts w:ascii="Times New Roman" w:hAnsi="Times New Roman" w:cs="Times New Roman"/>
          <w:sz w:val="22"/>
          <w:szCs w:val="22"/>
          <w:lang w:val="fr-FR"/>
        </w:rPr>
        <w:t xml:space="preserve">n 2022, </w:t>
      </w:r>
      <w:r w:rsidR="001150C9" w:rsidRPr="005D062F">
        <w:rPr>
          <w:rFonts w:ascii="Times New Roman" w:hAnsi="Times New Roman" w:cs="Times New Roman"/>
          <w:sz w:val="22"/>
          <w:szCs w:val="22"/>
          <w:lang w:val="fr-FR"/>
        </w:rPr>
        <w:t xml:space="preserve">les </w:t>
      </w:r>
      <w:r w:rsidR="00FF0178" w:rsidRPr="005D062F">
        <w:rPr>
          <w:rFonts w:ascii="Times New Roman" w:hAnsi="Times New Roman" w:cs="Times New Roman"/>
          <w:sz w:val="22"/>
          <w:szCs w:val="22"/>
          <w:lang w:val="fr-FR"/>
        </w:rPr>
        <w:t xml:space="preserve">actions </w:t>
      </w:r>
      <w:r w:rsidR="001150C9" w:rsidRPr="005D062F">
        <w:rPr>
          <w:rFonts w:ascii="Times New Roman" w:hAnsi="Times New Roman" w:cs="Times New Roman"/>
          <w:sz w:val="22"/>
          <w:szCs w:val="22"/>
          <w:lang w:val="fr-FR"/>
        </w:rPr>
        <w:t xml:space="preserve">du SEDI dans ce domaine, essentiellement soutenues par le </w:t>
      </w:r>
      <w:r w:rsidR="00FF0178" w:rsidRPr="005D062F">
        <w:rPr>
          <w:rFonts w:ascii="Times New Roman" w:hAnsi="Times New Roman" w:cs="Times New Roman"/>
          <w:sz w:val="22"/>
          <w:szCs w:val="22"/>
          <w:lang w:val="fr-FR"/>
        </w:rPr>
        <w:t xml:space="preserve">RIAL, </w:t>
      </w:r>
      <w:r w:rsidR="001150C9" w:rsidRPr="005D062F">
        <w:rPr>
          <w:rFonts w:ascii="Times New Roman" w:hAnsi="Times New Roman" w:cs="Times New Roman"/>
          <w:sz w:val="22"/>
          <w:szCs w:val="22"/>
          <w:lang w:val="fr-FR"/>
        </w:rPr>
        <w:t xml:space="preserve">ont principalement porté sur l’approfondissement du </w:t>
      </w:r>
      <w:r w:rsidR="00FF0178" w:rsidRPr="005D062F">
        <w:rPr>
          <w:rFonts w:ascii="Times New Roman" w:hAnsi="Times New Roman" w:cs="Times New Roman"/>
          <w:sz w:val="22"/>
          <w:szCs w:val="22"/>
          <w:lang w:val="fr-FR"/>
        </w:rPr>
        <w:t xml:space="preserve">dialogue </w:t>
      </w:r>
      <w:r w:rsidR="001150C9" w:rsidRPr="005D062F">
        <w:rPr>
          <w:rFonts w:ascii="Times New Roman" w:hAnsi="Times New Roman" w:cs="Times New Roman"/>
          <w:sz w:val="22"/>
          <w:szCs w:val="22"/>
          <w:lang w:val="fr-FR"/>
        </w:rPr>
        <w:t xml:space="preserve">social entre les </w:t>
      </w:r>
      <w:r w:rsidR="00FF0178" w:rsidRPr="005D062F">
        <w:rPr>
          <w:rFonts w:ascii="Times New Roman" w:hAnsi="Times New Roman" w:cs="Times New Roman"/>
          <w:sz w:val="22"/>
          <w:szCs w:val="22"/>
          <w:lang w:val="fr-FR"/>
        </w:rPr>
        <w:t>go</w:t>
      </w:r>
      <w:r w:rsidR="001150C9" w:rsidRPr="005D062F">
        <w:rPr>
          <w:rFonts w:ascii="Times New Roman" w:hAnsi="Times New Roman" w:cs="Times New Roman"/>
          <w:sz w:val="22"/>
          <w:szCs w:val="22"/>
          <w:lang w:val="fr-FR"/>
        </w:rPr>
        <w:t>u</w:t>
      </w:r>
      <w:r w:rsidR="00FF0178" w:rsidRPr="005D062F">
        <w:rPr>
          <w:rFonts w:ascii="Times New Roman" w:hAnsi="Times New Roman" w:cs="Times New Roman"/>
          <w:sz w:val="22"/>
          <w:szCs w:val="22"/>
          <w:lang w:val="fr-FR"/>
        </w:rPr>
        <w:t>vern</w:t>
      </w:r>
      <w:r w:rsidR="001150C9" w:rsidRPr="005D062F">
        <w:rPr>
          <w:rFonts w:ascii="Times New Roman" w:hAnsi="Times New Roman" w:cs="Times New Roman"/>
          <w:sz w:val="22"/>
          <w:szCs w:val="22"/>
          <w:lang w:val="fr-FR"/>
        </w:rPr>
        <w:t>e</w:t>
      </w:r>
      <w:r w:rsidR="00FF0178" w:rsidRPr="005D062F">
        <w:rPr>
          <w:rFonts w:ascii="Times New Roman" w:hAnsi="Times New Roman" w:cs="Times New Roman"/>
          <w:sz w:val="22"/>
          <w:szCs w:val="22"/>
          <w:lang w:val="fr-FR"/>
        </w:rPr>
        <w:t xml:space="preserve">ments, </w:t>
      </w:r>
      <w:r w:rsidR="001150C9" w:rsidRPr="005D062F">
        <w:rPr>
          <w:rFonts w:ascii="Times New Roman" w:hAnsi="Times New Roman" w:cs="Times New Roman"/>
          <w:sz w:val="22"/>
          <w:szCs w:val="22"/>
          <w:lang w:val="fr-FR"/>
        </w:rPr>
        <w:t xml:space="preserve">les </w:t>
      </w:r>
      <w:r w:rsidR="00CF18F1" w:rsidRPr="005D062F">
        <w:rPr>
          <w:rFonts w:ascii="Times New Roman" w:hAnsi="Times New Roman" w:cs="Times New Roman"/>
          <w:sz w:val="22"/>
          <w:szCs w:val="22"/>
          <w:lang w:val="fr-FR"/>
        </w:rPr>
        <w:t>travailleurs</w:t>
      </w:r>
      <w:r w:rsidR="001150C9" w:rsidRPr="005D062F">
        <w:rPr>
          <w:rFonts w:ascii="Times New Roman" w:hAnsi="Times New Roman" w:cs="Times New Roman"/>
          <w:sz w:val="22"/>
          <w:szCs w:val="22"/>
          <w:lang w:val="fr-FR"/>
        </w:rPr>
        <w:t xml:space="preserve"> et les </w:t>
      </w:r>
      <w:r w:rsidR="00FF0178" w:rsidRPr="005D062F">
        <w:rPr>
          <w:rFonts w:ascii="Times New Roman" w:hAnsi="Times New Roman" w:cs="Times New Roman"/>
          <w:sz w:val="22"/>
          <w:szCs w:val="22"/>
          <w:lang w:val="fr-FR"/>
        </w:rPr>
        <w:t>employe</w:t>
      </w:r>
      <w:r w:rsidR="001150C9" w:rsidRPr="005D062F">
        <w:rPr>
          <w:rFonts w:ascii="Times New Roman" w:hAnsi="Times New Roman" w:cs="Times New Roman"/>
          <w:sz w:val="22"/>
          <w:szCs w:val="22"/>
          <w:lang w:val="fr-FR"/>
        </w:rPr>
        <w:t>u</w:t>
      </w:r>
      <w:r w:rsidR="00FF0178" w:rsidRPr="005D062F">
        <w:rPr>
          <w:rFonts w:ascii="Times New Roman" w:hAnsi="Times New Roman" w:cs="Times New Roman"/>
          <w:sz w:val="22"/>
          <w:szCs w:val="22"/>
          <w:lang w:val="fr-FR"/>
        </w:rPr>
        <w:t xml:space="preserve">rs </w:t>
      </w:r>
      <w:r w:rsidR="00D27A0C" w:rsidRPr="005D062F">
        <w:rPr>
          <w:rFonts w:ascii="Times New Roman" w:hAnsi="Times New Roman" w:cs="Times New Roman"/>
          <w:sz w:val="22"/>
          <w:szCs w:val="22"/>
          <w:lang w:val="fr-FR"/>
        </w:rPr>
        <w:t>ainsi que sur</w:t>
      </w:r>
      <w:r w:rsidR="00E247A7" w:rsidRPr="005D062F">
        <w:rPr>
          <w:rFonts w:ascii="Times New Roman" w:hAnsi="Times New Roman" w:cs="Times New Roman"/>
          <w:sz w:val="22"/>
          <w:szCs w:val="22"/>
          <w:lang w:val="fr-FR"/>
        </w:rPr>
        <w:t xml:space="preserve"> le renforcement des </w:t>
      </w:r>
      <w:r w:rsidR="00FF0178" w:rsidRPr="005D062F">
        <w:rPr>
          <w:rFonts w:ascii="Times New Roman" w:hAnsi="Times New Roman" w:cs="Times New Roman"/>
          <w:sz w:val="22"/>
          <w:szCs w:val="22"/>
          <w:lang w:val="fr-FR"/>
        </w:rPr>
        <w:t>capacit</w:t>
      </w:r>
      <w:r w:rsidR="00E247A7" w:rsidRPr="005D062F">
        <w:rPr>
          <w:rFonts w:ascii="Times New Roman" w:hAnsi="Times New Roman" w:cs="Times New Roman"/>
          <w:sz w:val="22"/>
          <w:szCs w:val="22"/>
          <w:lang w:val="fr-FR"/>
        </w:rPr>
        <w:t>és des ministres du travail dans leurs efforts pour améliorer les services d’inspection du travail, réglementer le télétravail, fournir des formations et dé</w:t>
      </w:r>
      <w:r w:rsidR="00FF0178" w:rsidRPr="005D062F">
        <w:rPr>
          <w:rFonts w:ascii="Times New Roman" w:hAnsi="Times New Roman" w:cs="Times New Roman"/>
          <w:sz w:val="22"/>
          <w:szCs w:val="22"/>
          <w:lang w:val="fr-FR"/>
        </w:rPr>
        <w:t>velop</w:t>
      </w:r>
      <w:r w:rsidR="00E247A7" w:rsidRPr="005D062F">
        <w:rPr>
          <w:rFonts w:ascii="Times New Roman" w:hAnsi="Times New Roman" w:cs="Times New Roman"/>
          <w:sz w:val="22"/>
          <w:szCs w:val="22"/>
          <w:lang w:val="fr-FR"/>
        </w:rPr>
        <w:t>per les compétences adaptées au marché du travail</w:t>
      </w:r>
      <w:r w:rsidR="00FF0178" w:rsidRPr="005D062F">
        <w:rPr>
          <w:rFonts w:ascii="Times New Roman" w:hAnsi="Times New Roman" w:cs="Times New Roman"/>
          <w:sz w:val="22"/>
          <w:szCs w:val="22"/>
          <w:lang w:val="fr-FR"/>
        </w:rPr>
        <w:t xml:space="preserve">, </w:t>
      </w:r>
      <w:r w:rsidR="00D27A0C" w:rsidRPr="005D062F">
        <w:rPr>
          <w:rFonts w:ascii="Times New Roman" w:hAnsi="Times New Roman" w:cs="Times New Roman"/>
          <w:sz w:val="22"/>
          <w:szCs w:val="22"/>
          <w:lang w:val="fr-FR"/>
        </w:rPr>
        <w:t xml:space="preserve">favoriser le </w:t>
      </w:r>
      <w:r w:rsidR="00E247A7" w:rsidRPr="005D062F">
        <w:rPr>
          <w:rFonts w:ascii="Times New Roman" w:hAnsi="Times New Roman" w:cs="Times New Roman"/>
          <w:sz w:val="22"/>
          <w:szCs w:val="22"/>
          <w:lang w:val="fr-FR"/>
        </w:rPr>
        <w:t xml:space="preserve">passage de l’économie </w:t>
      </w:r>
      <w:r w:rsidR="00FF0178" w:rsidRPr="005D062F">
        <w:rPr>
          <w:rFonts w:ascii="Times New Roman" w:hAnsi="Times New Roman" w:cs="Times New Roman"/>
          <w:sz w:val="22"/>
          <w:szCs w:val="22"/>
          <w:lang w:val="fr-FR"/>
        </w:rPr>
        <w:t>inform</w:t>
      </w:r>
      <w:r w:rsidR="00E247A7" w:rsidRPr="005D062F">
        <w:rPr>
          <w:rFonts w:ascii="Times New Roman" w:hAnsi="Times New Roman" w:cs="Times New Roman"/>
          <w:sz w:val="22"/>
          <w:szCs w:val="22"/>
          <w:lang w:val="fr-FR"/>
        </w:rPr>
        <w:t>e</w:t>
      </w:r>
      <w:r w:rsidR="00FF0178" w:rsidRPr="005D062F">
        <w:rPr>
          <w:rFonts w:ascii="Times New Roman" w:hAnsi="Times New Roman" w:cs="Times New Roman"/>
          <w:sz w:val="22"/>
          <w:szCs w:val="22"/>
          <w:lang w:val="fr-FR"/>
        </w:rPr>
        <w:t>l</w:t>
      </w:r>
      <w:r w:rsidR="00E247A7" w:rsidRPr="005D062F">
        <w:rPr>
          <w:rFonts w:ascii="Times New Roman" w:hAnsi="Times New Roman" w:cs="Times New Roman"/>
          <w:sz w:val="22"/>
          <w:szCs w:val="22"/>
          <w:lang w:val="fr-FR"/>
        </w:rPr>
        <w:t>le à l’économie forme</w:t>
      </w:r>
      <w:r w:rsidR="00FF0178" w:rsidRPr="005D062F">
        <w:rPr>
          <w:rFonts w:ascii="Times New Roman" w:hAnsi="Times New Roman" w:cs="Times New Roman"/>
          <w:sz w:val="22"/>
          <w:szCs w:val="22"/>
          <w:lang w:val="fr-FR"/>
        </w:rPr>
        <w:t>l</w:t>
      </w:r>
      <w:r w:rsidR="00E247A7" w:rsidRPr="005D062F">
        <w:rPr>
          <w:rFonts w:ascii="Times New Roman" w:hAnsi="Times New Roman" w:cs="Times New Roman"/>
          <w:sz w:val="22"/>
          <w:szCs w:val="22"/>
          <w:lang w:val="fr-FR"/>
        </w:rPr>
        <w:t xml:space="preserve">le, parvenir à une plus grande égalité dans l’emploi et prévenir la </w:t>
      </w:r>
      <w:r w:rsidR="00FF0178" w:rsidRPr="005D062F">
        <w:rPr>
          <w:rFonts w:ascii="Times New Roman" w:hAnsi="Times New Roman" w:cs="Times New Roman"/>
          <w:sz w:val="22"/>
          <w:szCs w:val="22"/>
          <w:lang w:val="fr-FR"/>
        </w:rPr>
        <w:t>violence a</w:t>
      </w:r>
      <w:r w:rsidR="00E247A7" w:rsidRPr="005D062F">
        <w:rPr>
          <w:rFonts w:ascii="Times New Roman" w:hAnsi="Times New Roman" w:cs="Times New Roman"/>
          <w:sz w:val="22"/>
          <w:szCs w:val="22"/>
          <w:lang w:val="fr-FR"/>
        </w:rPr>
        <w:t>u travail</w:t>
      </w:r>
      <w:r w:rsidR="00FF0178" w:rsidRPr="005D062F">
        <w:rPr>
          <w:rFonts w:ascii="Times New Roman" w:hAnsi="Times New Roman" w:cs="Times New Roman"/>
          <w:sz w:val="22"/>
          <w:szCs w:val="22"/>
          <w:lang w:val="fr-FR"/>
        </w:rPr>
        <w:t>.</w:t>
      </w:r>
    </w:p>
    <w:p w14:paraId="3DD09635" w14:textId="2BEA7D68" w:rsidR="005F30B1" w:rsidRPr="005D062F" w:rsidRDefault="005F30B1" w:rsidP="00CB030B">
      <w:pPr>
        <w:jc w:val="both"/>
        <w:rPr>
          <w:rFonts w:ascii="Times New Roman" w:hAnsi="Times New Roman" w:cs="Times New Roman"/>
          <w:sz w:val="22"/>
          <w:szCs w:val="22"/>
          <w:lang w:val="fr-FR"/>
        </w:rPr>
      </w:pPr>
    </w:p>
    <w:p w14:paraId="205EEAE0" w14:textId="53670618" w:rsidR="00FF0178" w:rsidRPr="002D4DF7" w:rsidRDefault="00C2663A" w:rsidP="002D4DF7">
      <w:pPr>
        <w:pStyle w:val="Heading2"/>
      </w:pPr>
      <w:bookmarkStart w:id="27" w:name="_Toc124243415"/>
      <w:r w:rsidRPr="005D062F">
        <w:t>OBJECTIF</w:t>
      </w:r>
      <w:r w:rsidR="00FF0178" w:rsidRPr="005D062F">
        <w:t xml:space="preserve"> 4.1</w:t>
      </w:r>
      <w:bookmarkEnd w:id="27"/>
    </w:p>
    <w:p w14:paraId="7B2C9967" w14:textId="77777777" w:rsidR="009F53F1" w:rsidRPr="005D062F" w:rsidRDefault="009F53F1" w:rsidP="00CB030B">
      <w:pPr>
        <w:jc w:val="both"/>
        <w:rPr>
          <w:rFonts w:ascii="Times New Roman" w:hAnsi="Times New Roman" w:cs="Times New Roman"/>
          <w:sz w:val="22"/>
          <w:szCs w:val="22"/>
          <w:lang w:val="fr-FR"/>
        </w:rPr>
      </w:pPr>
    </w:p>
    <w:p w14:paraId="5D00B740" w14:textId="545038B0" w:rsidR="00FF0178" w:rsidRPr="005D062F" w:rsidRDefault="00770DE6" w:rsidP="00CB030B">
      <w:pPr>
        <w:ind w:firstLine="720"/>
        <w:jc w:val="both"/>
        <w:rPr>
          <w:rFonts w:ascii="Times New Roman" w:hAnsi="Times New Roman" w:cs="Times New Roman"/>
          <w:sz w:val="22"/>
          <w:szCs w:val="22"/>
          <w:lang w:val="fr-FR"/>
        </w:rPr>
      </w:pPr>
      <w:r w:rsidRPr="005D062F">
        <w:rPr>
          <w:rFonts w:ascii="Times New Roman" w:eastAsia="Times New Roman" w:hAnsi="Times New Roman" w:cs="Times New Roman"/>
          <w:color w:val="000000"/>
          <w:sz w:val="22"/>
          <w:szCs w:val="22"/>
          <w:lang w:val="fr-FR"/>
        </w:rPr>
        <w:t>Amélior</w:t>
      </w:r>
      <w:r w:rsidR="00DB321A" w:rsidRPr="005D062F">
        <w:rPr>
          <w:rFonts w:ascii="Times New Roman" w:eastAsia="Times New Roman" w:hAnsi="Times New Roman" w:cs="Times New Roman"/>
          <w:color w:val="000000"/>
          <w:sz w:val="22"/>
          <w:szCs w:val="22"/>
          <w:lang w:val="fr-FR"/>
        </w:rPr>
        <w:t>er</w:t>
      </w:r>
      <w:r w:rsidR="00726BEA" w:rsidRPr="005D062F">
        <w:rPr>
          <w:rFonts w:ascii="Times New Roman" w:eastAsia="Times New Roman" w:hAnsi="Times New Roman" w:cs="Times New Roman"/>
          <w:color w:val="000000"/>
          <w:sz w:val="22"/>
          <w:szCs w:val="22"/>
          <w:lang w:val="fr-FR"/>
        </w:rPr>
        <w:t xml:space="preserve"> les capacités des Éta</w:t>
      </w:r>
      <w:r w:rsidR="008D6781" w:rsidRPr="005D062F">
        <w:rPr>
          <w:rFonts w:ascii="Times New Roman" w:eastAsia="Times New Roman" w:hAnsi="Times New Roman" w:cs="Times New Roman"/>
          <w:color w:val="000000"/>
          <w:sz w:val="22"/>
          <w:szCs w:val="22"/>
          <w:lang w:val="fr-FR"/>
        </w:rPr>
        <w:t xml:space="preserve">ts membres </w:t>
      </w:r>
      <w:r w:rsidR="00DB321A" w:rsidRPr="005D062F">
        <w:rPr>
          <w:rFonts w:ascii="Times New Roman" w:eastAsia="Times New Roman" w:hAnsi="Times New Roman" w:cs="Times New Roman"/>
          <w:color w:val="000000"/>
          <w:sz w:val="22"/>
          <w:szCs w:val="22"/>
          <w:lang w:val="fr-FR"/>
        </w:rPr>
        <w:t>en vue de renforcer</w:t>
      </w:r>
      <w:r w:rsidR="008D6781" w:rsidRPr="005D062F">
        <w:rPr>
          <w:rFonts w:ascii="Times New Roman" w:eastAsia="Times New Roman" w:hAnsi="Times New Roman" w:cs="Times New Roman"/>
          <w:color w:val="000000"/>
          <w:sz w:val="22"/>
          <w:szCs w:val="22"/>
          <w:lang w:val="fr-FR"/>
        </w:rPr>
        <w:t xml:space="preserve"> l</w:t>
      </w:r>
      <w:r w:rsidR="00726BEA" w:rsidRPr="005D062F">
        <w:rPr>
          <w:rFonts w:ascii="Times New Roman" w:eastAsia="Times New Roman" w:hAnsi="Times New Roman" w:cs="Times New Roman"/>
          <w:color w:val="000000"/>
          <w:sz w:val="22"/>
          <w:szCs w:val="22"/>
          <w:lang w:val="fr-FR"/>
        </w:rPr>
        <w:t>es systèmes d’éducation et de formation continue</w:t>
      </w:r>
      <w:r w:rsidR="00FF0178" w:rsidRPr="005D062F">
        <w:rPr>
          <w:rFonts w:ascii="Times New Roman" w:hAnsi="Times New Roman" w:cs="Times New Roman"/>
          <w:sz w:val="22"/>
          <w:szCs w:val="22"/>
          <w:lang w:val="fr-FR"/>
        </w:rPr>
        <w:t>.</w:t>
      </w:r>
    </w:p>
    <w:p w14:paraId="5DB913BD" w14:textId="77777777" w:rsidR="00FF0178" w:rsidRPr="005D062F" w:rsidRDefault="00FF0178" w:rsidP="00CB030B">
      <w:pPr>
        <w:jc w:val="both"/>
        <w:rPr>
          <w:rFonts w:ascii="Times New Roman" w:hAnsi="Times New Roman" w:cs="Times New Roman"/>
          <w:color w:val="000000" w:themeColor="text1"/>
          <w:sz w:val="22"/>
          <w:szCs w:val="22"/>
          <w:lang w:val="fr-FR"/>
        </w:rPr>
      </w:pPr>
    </w:p>
    <w:p w14:paraId="00777330" w14:textId="263E957A" w:rsidR="00FF0178" w:rsidRPr="005D062F" w:rsidRDefault="004901E7" w:rsidP="00CB030B">
      <w:pPr>
        <w:pStyle w:val="ListParagraph"/>
        <w:numPr>
          <w:ilvl w:val="0"/>
          <w:numId w:val="24"/>
        </w:numPr>
        <w:ind w:left="1440" w:hanging="720"/>
        <w:jc w:val="both"/>
        <w:rPr>
          <w:rFonts w:eastAsia="Cambria"/>
          <w:color w:val="000000" w:themeColor="text1"/>
          <w:sz w:val="22"/>
          <w:szCs w:val="22"/>
          <w:lang w:val="fr-FR"/>
        </w:rPr>
      </w:pPr>
      <w:r w:rsidRPr="005D062F">
        <w:rPr>
          <w:rFonts w:eastAsia="Cambria"/>
          <w:color w:val="000000" w:themeColor="text1"/>
          <w:sz w:val="22"/>
          <w:szCs w:val="22"/>
          <w:lang w:val="fr-FR"/>
        </w:rPr>
        <w:t xml:space="preserve">Le SEDI </w:t>
      </w:r>
      <w:r w:rsidR="00D8592F" w:rsidRPr="005D062F">
        <w:rPr>
          <w:rFonts w:eastAsia="Cambria"/>
          <w:color w:val="000000" w:themeColor="text1"/>
          <w:sz w:val="22"/>
          <w:szCs w:val="22"/>
          <w:lang w:val="fr-FR"/>
        </w:rPr>
        <w:t xml:space="preserve">a continué de </w:t>
      </w:r>
      <w:r w:rsidR="00FF0178" w:rsidRPr="005D062F">
        <w:rPr>
          <w:rFonts w:eastAsia="Cambria"/>
          <w:color w:val="000000" w:themeColor="text1"/>
          <w:sz w:val="22"/>
          <w:szCs w:val="22"/>
          <w:lang w:val="fr-FR"/>
        </w:rPr>
        <w:t>promo</w:t>
      </w:r>
      <w:r w:rsidR="00D8592F" w:rsidRPr="005D062F">
        <w:rPr>
          <w:rFonts w:eastAsia="Cambria"/>
          <w:color w:val="000000" w:themeColor="text1"/>
          <w:sz w:val="22"/>
          <w:szCs w:val="22"/>
          <w:lang w:val="fr-FR"/>
        </w:rPr>
        <w:t xml:space="preserve">uvoir la collaboration </w:t>
      </w:r>
      <w:r w:rsidR="00FF0178" w:rsidRPr="005D062F">
        <w:rPr>
          <w:rFonts w:eastAsia="Cambria"/>
          <w:color w:val="000000" w:themeColor="text1"/>
          <w:sz w:val="22"/>
          <w:szCs w:val="22"/>
          <w:lang w:val="fr-FR"/>
        </w:rPr>
        <w:t>en</w:t>
      </w:r>
      <w:r w:rsidR="00D8592F" w:rsidRPr="005D062F">
        <w:rPr>
          <w:rFonts w:eastAsia="Cambria"/>
          <w:color w:val="000000" w:themeColor="text1"/>
          <w:sz w:val="22"/>
          <w:szCs w:val="22"/>
          <w:lang w:val="fr-FR"/>
        </w:rPr>
        <w:t>tre les ministres du travail et de l’éducation du</w:t>
      </w:r>
      <w:r w:rsidR="00FF0178" w:rsidRPr="005D062F">
        <w:rPr>
          <w:rFonts w:eastAsia="Cambria"/>
          <w:color w:val="000000" w:themeColor="text1"/>
          <w:sz w:val="22"/>
          <w:szCs w:val="22"/>
          <w:lang w:val="fr-FR"/>
        </w:rPr>
        <w:t xml:space="preserve"> RIAL</w:t>
      </w:r>
      <w:r w:rsidR="00D8592F" w:rsidRPr="005D062F">
        <w:rPr>
          <w:rFonts w:eastAsia="Cambria"/>
          <w:color w:val="000000" w:themeColor="text1"/>
          <w:sz w:val="22"/>
          <w:szCs w:val="22"/>
          <w:lang w:val="fr-FR"/>
        </w:rPr>
        <w:t xml:space="preserve"> dans le cadre des processu</w:t>
      </w:r>
      <w:r w:rsidR="00FF0178" w:rsidRPr="005D062F">
        <w:rPr>
          <w:rFonts w:eastAsia="Cambria"/>
          <w:color w:val="000000" w:themeColor="text1"/>
          <w:sz w:val="22"/>
          <w:szCs w:val="22"/>
          <w:lang w:val="fr-FR"/>
        </w:rPr>
        <w:t>s</w:t>
      </w:r>
      <w:r w:rsidR="00D8592F" w:rsidRPr="005D062F">
        <w:rPr>
          <w:rFonts w:eastAsia="Cambria"/>
          <w:color w:val="000000" w:themeColor="text1"/>
          <w:sz w:val="22"/>
          <w:szCs w:val="22"/>
          <w:lang w:val="fr-FR"/>
        </w:rPr>
        <w:t xml:space="preserve"> ministériels du travail et de l’éducation. La c</w:t>
      </w:r>
      <w:r w:rsidR="00FF0178" w:rsidRPr="005D062F">
        <w:rPr>
          <w:rFonts w:eastAsia="Cambria"/>
          <w:color w:val="000000" w:themeColor="text1"/>
          <w:sz w:val="22"/>
          <w:szCs w:val="22"/>
          <w:lang w:val="fr-FR"/>
        </w:rPr>
        <w:t xml:space="preserve">oordination </w:t>
      </w:r>
      <w:r w:rsidR="00D8592F" w:rsidRPr="005D062F">
        <w:rPr>
          <w:rFonts w:eastAsia="Cambria"/>
          <w:color w:val="000000" w:themeColor="text1"/>
          <w:sz w:val="22"/>
          <w:szCs w:val="22"/>
          <w:lang w:val="fr-FR"/>
        </w:rPr>
        <w:t xml:space="preserve">entre les deux portefeuilles sectoriels a été définie comme priorité </w:t>
      </w:r>
      <w:r w:rsidR="0007001E" w:rsidRPr="005D062F">
        <w:rPr>
          <w:rFonts w:eastAsia="Cambria"/>
          <w:color w:val="000000" w:themeColor="text1"/>
          <w:sz w:val="22"/>
          <w:szCs w:val="22"/>
          <w:lang w:val="fr-FR"/>
        </w:rPr>
        <w:t>du</w:t>
      </w:r>
      <w:r w:rsidR="00D8592F" w:rsidRPr="005D062F">
        <w:rPr>
          <w:rFonts w:eastAsia="Cambria"/>
          <w:color w:val="000000" w:themeColor="text1"/>
          <w:sz w:val="22"/>
          <w:szCs w:val="22"/>
          <w:lang w:val="fr-FR"/>
        </w:rPr>
        <w:t xml:space="preserve"> Plan de travail </w:t>
      </w:r>
      <w:r w:rsidR="00FF0178" w:rsidRPr="005D062F">
        <w:rPr>
          <w:rFonts w:eastAsia="Cambria"/>
          <w:color w:val="000000" w:themeColor="text1"/>
          <w:sz w:val="22"/>
          <w:szCs w:val="22"/>
          <w:lang w:val="fr-FR"/>
        </w:rPr>
        <w:t xml:space="preserve">2022-2024 </w:t>
      </w:r>
      <w:r w:rsidR="00D8592F" w:rsidRPr="005D062F">
        <w:rPr>
          <w:rFonts w:eastAsia="Cambria"/>
          <w:color w:val="000000" w:themeColor="text1"/>
          <w:sz w:val="22"/>
          <w:szCs w:val="22"/>
          <w:lang w:val="fr-FR"/>
        </w:rPr>
        <w:t>de la CIMT</w:t>
      </w:r>
      <w:r w:rsidR="00FF0178" w:rsidRPr="005D062F">
        <w:rPr>
          <w:rFonts w:eastAsia="Cambria"/>
          <w:color w:val="000000" w:themeColor="text1"/>
          <w:sz w:val="22"/>
          <w:szCs w:val="22"/>
          <w:lang w:val="fr-FR"/>
        </w:rPr>
        <w:t xml:space="preserve"> (</w:t>
      </w:r>
      <w:r w:rsidR="00D8592F" w:rsidRPr="005D062F">
        <w:rPr>
          <w:rFonts w:eastAsia="Cambria"/>
          <w:color w:val="000000" w:themeColor="text1"/>
          <w:sz w:val="22"/>
          <w:szCs w:val="22"/>
          <w:lang w:val="fr-FR"/>
        </w:rPr>
        <w:t xml:space="preserve">soulignant les activités à mener à bien en </w:t>
      </w:r>
      <w:r w:rsidR="00FF0178" w:rsidRPr="005D062F">
        <w:rPr>
          <w:rFonts w:eastAsia="Cambria"/>
          <w:color w:val="000000" w:themeColor="text1"/>
          <w:sz w:val="22"/>
          <w:szCs w:val="22"/>
          <w:lang w:val="fr-FR"/>
        </w:rPr>
        <w:t xml:space="preserve">2023 </w:t>
      </w:r>
      <w:r w:rsidR="00D8592F" w:rsidRPr="005D062F">
        <w:rPr>
          <w:rFonts w:eastAsia="Cambria"/>
          <w:color w:val="000000" w:themeColor="text1"/>
          <w:sz w:val="22"/>
          <w:szCs w:val="22"/>
          <w:lang w:val="fr-FR"/>
        </w:rPr>
        <w:t>et</w:t>
      </w:r>
      <w:r w:rsidR="00FF0178" w:rsidRPr="005D062F">
        <w:rPr>
          <w:rFonts w:eastAsia="Cambria"/>
          <w:color w:val="000000" w:themeColor="text1"/>
          <w:sz w:val="22"/>
          <w:szCs w:val="22"/>
          <w:lang w:val="fr-FR"/>
        </w:rPr>
        <w:t xml:space="preserve"> 2024), </w:t>
      </w:r>
      <w:r w:rsidR="00D8592F" w:rsidRPr="005D062F">
        <w:rPr>
          <w:rFonts w:eastAsia="Cambria"/>
          <w:color w:val="000000" w:themeColor="text1"/>
          <w:sz w:val="22"/>
          <w:szCs w:val="22"/>
          <w:lang w:val="fr-FR"/>
        </w:rPr>
        <w:t>et lors de la deuxième phase de mise en œuvre du PIE</w:t>
      </w:r>
      <w:r w:rsidR="00BF4B76" w:rsidRPr="005D062F">
        <w:rPr>
          <w:rFonts w:eastAsia="Cambria"/>
          <w:color w:val="000000" w:themeColor="text1"/>
          <w:sz w:val="22"/>
          <w:szCs w:val="22"/>
          <w:lang w:val="fr-FR"/>
        </w:rPr>
        <w:t>.</w:t>
      </w:r>
    </w:p>
    <w:p w14:paraId="640850A5" w14:textId="77777777" w:rsidR="00A427C5" w:rsidRPr="005D062F" w:rsidRDefault="00A427C5" w:rsidP="00723DAD">
      <w:pPr>
        <w:jc w:val="both"/>
        <w:rPr>
          <w:rFonts w:ascii="Times New Roman" w:eastAsia="Calibri" w:hAnsi="Times New Roman" w:cs="Times New Roman"/>
          <w:color w:val="000000" w:themeColor="text1"/>
          <w:sz w:val="22"/>
          <w:szCs w:val="22"/>
          <w:lang w:val="fr-FR"/>
        </w:rPr>
      </w:pPr>
    </w:p>
    <w:p w14:paraId="018AA46D" w14:textId="07F9903C" w:rsidR="00FF0178" w:rsidRPr="005D062F" w:rsidRDefault="000E29FB" w:rsidP="00CB030B">
      <w:pPr>
        <w:pStyle w:val="ListParagraph"/>
        <w:numPr>
          <w:ilvl w:val="0"/>
          <w:numId w:val="24"/>
        </w:numPr>
        <w:ind w:left="1440" w:hanging="720"/>
        <w:jc w:val="both"/>
        <w:rPr>
          <w:rFonts w:eastAsia="Cambria"/>
          <w:color w:val="000000" w:themeColor="text1"/>
          <w:sz w:val="22"/>
          <w:szCs w:val="22"/>
          <w:lang w:val="fr-FR"/>
        </w:rPr>
      </w:pPr>
      <w:r w:rsidRPr="005D062F">
        <w:rPr>
          <w:rFonts w:eastAsia="Cambria"/>
          <w:color w:val="000000" w:themeColor="text1"/>
          <w:sz w:val="22"/>
          <w:szCs w:val="22"/>
          <w:lang w:val="fr-FR"/>
        </w:rPr>
        <w:t>Les ministères du travail du Pé</w:t>
      </w:r>
      <w:r w:rsidR="00FF0178" w:rsidRPr="005D062F">
        <w:rPr>
          <w:rFonts w:eastAsia="Cambria"/>
          <w:color w:val="000000" w:themeColor="text1"/>
          <w:sz w:val="22"/>
          <w:szCs w:val="22"/>
          <w:lang w:val="fr-FR"/>
        </w:rPr>
        <w:t>r</w:t>
      </w:r>
      <w:r w:rsidRPr="005D062F">
        <w:rPr>
          <w:rFonts w:eastAsia="Cambria"/>
          <w:color w:val="000000" w:themeColor="text1"/>
          <w:sz w:val="22"/>
          <w:szCs w:val="22"/>
          <w:lang w:val="fr-FR"/>
        </w:rPr>
        <w:t>ou et de l’Éq</w:t>
      </w:r>
      <w:r w:rsidR="00FF0178" w:rsidRPr="005D062F">
        <w:rPr>
          <w:rFonts w:eastAsia="Cambria"/>
          <w:color w:val="000000" w:themeColor="text1"/>
          <w:sz w:val="22"/>
          <w:szCs w:val="22"/>
          <w:lang w:val="fr-FR"/>
        </w:rPr>
        <w:t>ua</w:t>
      </w:r>
      <w:r w:rsidRPr="005D062F">
        <w:rPr>
          <w:rFonts w:eastAsia="Cambria"/>
          <w:color w:val="000000" w:themeColor="text1"/>
          <w:sz w:val="22"/>
          <w:szCs w:val="22"/>
          <w:lang w:val="fr-FR"/>
        </w:rPr>
        <w:t xml:space="preserve">teur élaborent actuellement des programmes de formation </w:t>
      </w:r>
      <w:r w:rsidR="0080113B" w:rsidRPr="005D062F">
        <w:rPr>
          <w:rFonts w:eastAsia="Cambria"/>
          <w:color w:val="000000" w:themeColor="text1"/>
          <w:sz w:val="22"/>
          <w:szCs w:val="22"/>
          <w:lang w:val="fr-FR"/>
        </w:rPr>
        <w:t>aux</w:t>
      </w:r>
      <w:r w:rsidR="00B04A50" w:rsidRPr="005D062F">
        <w:rPr>
          <w:rFonts w:eastAsia="Cambria"/>
          <w:color w:val="000000" w:themeColor="text1"/>
          <w:sz w:val="22"/>
          <w:szCs w:val="22"/>
          <w:lang w:val="fr-FR"/>
        </w:rPr>
        <w:t xml:space="preserve"> compétences numériques et qualifications nationales</w:t>
      </w:r>
      <w:r w:rsidR="00437DFC" w:rsidRPr="005D062F">
        <w:rPr>
          <w:rFonts w:eastAsia="Cambria"/>
          <w:color w:val="000000" w:themeColor="text1"/>
          <w:sz w:val="22"/>
          <w:szCs w:val="22"/>
          <w:lang w:val="fr-FR"/>
        </w:rPr>
        <w:t xml:space="preserve">, suite à l’assistance technique du </w:t>
      </w:r>
      <w:r w:rsidR="00FF0178" w:rsidRPr="005D062F">
        <w:rPr>
          <w:rFonts w:eastAsia="Cambria"/>
          <w:color w:val="000000" w:themeColor="text1"/>
          <w:sz w:val="22"/>
          <w:szCs w:val="22"/>
          <w:lang w:val="fr-FR"/>
        </w:rPr>
        <w:t xml:space="preserve">Paraguay </w:t>
      </w:r>
      <w:r w:rsidR="00437DFC" w:rsidRPr="005D062F">
        <w:rPr>
          <w:rFonts w:eastAsia="Cambria"/>
          <w:color w:val="000000" w:themeColor="text1"/>
          <w:sz w:val="22"/>
          <w:szCs w:val="22"/>
          <w:lang w:val="fr-FR"/>
        </w:rPr>
        <w:t>et de la</w:t>
      </w:r>
      <w:r w:rsidR="00FF0178" w:rsidRPr="005D062F">
        <w:rPr>
          <w:rFonts w:eastAsia="Cambria"/>
          <w:color w:val="000000" w:themeColor="text1"/>
          <w:sz w:val="22"/>
          <w:szCs w:val="22"/>
          <w:lang w:val="fr-FR"/>
        </w:rPr>
        <w:t xml:space="preserve"> Colombi</w:t>
      </w:r>
      <w:r w:rsidR="00437DFC" w:rsidRPr="005D062F">
        <w:rPr>
          <w:rFonts w:eastAsia="Cambria"/>
          <w:color w:val="000000" w:themeColor="text1"/>
          <w:sz w:val="22"/>
          <w:szCs w:val="22"/>
          <w:lang w:val="fr-FR"/>
        </w:rPr>
        <w:t>e</w:t>
      </w:r>
      <w:r w:rsidR="00FF0178" w:rsidRPr="005D062F">
        <w:rPr>
          <w:rFonts w:eastAsia="Cambria"/>
          <w:color w:val="000000" w:themeColor="text1"/>
          <w:sz w:val="22"/>
          <w:szCs w:val="22"/>
          <w:lang w:val="fr-FR"/>
        </w:rPr>
        <w:t xml:space="preserve"> </w:t>
      </w:r>
      <w:r w:rsidR="00437DFC" w:rsidRPr="005D062F">
        <w:rPr>
          <w:rFonts w:eastAsia="Cambria"/>
          <w:color w:val="000000" w:themeColor="text1"/>
          <w:sz w:val="22"/>
          <w:szCs w:val="22"/>
          <w:lang w:val="fr-FR"/>
        </w:rPr>
        <w:t xml:space="preserve">par le biais de la </w:t>
      </w:r>
      <w:r w:rsidR="00FF0178" w:rsidRPr="005D062F">
        <w:rPr>
          <w:rFonts w:eastAsia="Cambria"/>
          <w:color w:val="000000" w:themeColor="text1"/>
          <w:sz w:val="22"/>
          <w:szCs w:val="22"/>
          <w:lang w:val="fr-FR"/>
        </w:rPr>
        <w:t>coop</w:t>
      </w:r>
      <w:r w:rsidR="00437DFC" w:rsidRPr="005D062F">
        <w:rPr>
          <w:rFonts w:eastAsia="Cambria"/>
          <w:color w:val="000000" w:themeColor="text1"/>
          <w:sz w:val="22"/>
          <w:szCs w:val="22"/>
          <w:lang w:val="fr-FR"/>
        </w:rPr>
        <w:t>é</w:t>
      </w:r>
      <w:r w:rsidR="00FF0178" w:rsidRPr="005D062F">
        <w:rPr>
          <w:rFonts w:eastAsia="Cambria"/>
          <w:color w:val="000000" w:themeColor="text1"/>
          <w:sz w:val="22"/>
          <w:szCs w:val="22"/>
          <w:lang w:val="fr-FR"/>
        </w:rPr>
        <w:t>ration</w:t>
      </w:r>
      <w:r w:rsidR="00437DFC" w:rsidRPr="005D062F">
        <w:rPr>
          <w:rFonts w:eastAsia="Cambria"/>
          <w:color w:val="000000" w:themeColor="text1"/>
          <w:sz w:val="22"/>
          <w:szCs w:val="22"/>
          <w:lang w:val="fr-FR"/>
        </w:rPr>
        <w:t xml:space="preserve"> bilatérale RIAL/OEA</w:t>
      </w:r>
      <w:r w:rsidR="00FF0178" w:rsidRPr="005D062F">
        <w:rPr>
          <w:rFonts w:eastAsia="Cambria"/>
          <w:color w:val="000000" w:themeColor="text1"/>
          <w:sz w:val="22"/>
          <w:szCs w:val="22"/>
          <w:lang w:val="fr-FR"/>
        </w:rPr>
        <w:t>.</w:t>
      </w:r>
    </w:p>
    <w:p w14:paraId="3ED28E9D" w14:textId="77777777" w:rsidR="00FF0178" w:rsidRPr="005D062F" w:rsidRDefault="00FF0178" w:rsidP="00723DAD">
      <w:pPr>
        <w:jc w:val="both"/>
        <w:rPr>
          <w:rFonts w:ascii="Times New Roman" w:eastAsia="Calibri" w:hAnsi="Times New Roman" w:cs="Times New Roman"/>
          <w:color w:val="000000" w:themeColor="text1"/>
          <w:sz w:val="22"/>
          <w:szCs w:val="22"/>
          <w:lang w:val="fr-FR"/>
        </w:rPr>
      </w:pPr>
    </w:p>
    <w:p w14:paraId="2EB5F809" w14:textId="3FB5D7CE" w:rsidR="00FF0178" w:rsidRPr="005D062F" w:rsidRDefault="0080113B" w:rsidP="00CB030B">
      <w:pPr>
        <w:pStyle w:val="ListParagraph"/>
        <w:numPr>
          <w:ilvl w:val="0"/>
          <w:numId w:val="24"/>
        </w:numPr>
        <w:ind w:left="1440" w:hanging="720"/>
        <w:jc w:val="both"/>
        <w:rPr>
          <w:rFonts w:eastAsia="Cambria"/>
          <w:color w:val="000000" w:themeColor="text1"/>
          <w:sz w:val="22"/>
          <w:szCs w:val="22"/>
          <w:lang w:val="fr-FR"/>
        </w:rPr>
      </w:pPr>
      <w:r w:rsidRPr="005D062F">
        <w:rPr>
          <w:rFonts w:eastAsia="Cambria"/>
          <w:color w:val="000000" w:themeColor="text1"/>
          <w:sz w:val="22"/>
          <w:szCs w:val="22"/>
          <w:lang w:val="fr-FR"/>
        </w:rPr>
        <w:t>Le ministre du travail, de l’emploi et de la sécurité sociale de l’Argentine et le Pré</w:t>
      </w:r>
      <w:r w:rsidR="00FF0178" w:rsidRPr="005D062F">
        <w:rPr>
          <w:rFonts w:eastAsia="Cambria"/>
          <w:color w:val="000000" w:themeColor="text1"/>
          <w:sz w:val="22"/>
          <w:szCs w:val="22"/>
          <w:lang w:val="fr-FR"/>
        </w:rPr>
        <w:t xml:space="preserve">sident </w:t>
      </w:r>
      <w:r w:rsidRPr="005D062F">
        <w:rPr>
          <w:rFonts w:eastAsia="Cambria"/>
          <w:color w:val="000000" w:themeColor="text1"/>
          <w:sz w:val="22"/>
          <w:szCs w:val="22"/>
          <w:lang w:val="fr-FR"/>
        </w:rPr>
        <w:t>de la CIMT ont participé à la Onzième Réunion interaméricaine des ministres de l’éducation, réaffirmant ainsi l’engagement de travailler au sein du programme intersectoriel et du cadre du PIE 2022-2027</w:t>
      </w:r>
      <w:r w:rsidR="00A427C5" w:rsidRPr="005D062F">
        <w:rPr>
          <w:rFonts w:eastAsia="Cambria"/>
          <w:color w:val="000000" w:themeColor="text1"/>
          <w:sz w:val="22"/>
          <w:szCs w:val="22"/>
          <w:lang w:val="fr-FR"/>
        </w:rPr>
        <w:t>.</w:t>
      </w:r>
    </w:p>
    <w:p w14:paraId="5523D785" w14:textId="4F71F544" w:rsidR="00FF0178" w:rsidRPr="005D062F" w:rsidRDefault="00FF0178" w:rsidP="00CB030B">
      <w:pPr>
        <w:jc w:val="both"/>
        <w:rPr>
          <w:rFonts w:ascii="Times New Roman" w:eastAsia="Calibri" w:hAnsi="Times New Roman" w:cs="Times New Roman"/>
          <w:color w:val="000000" w:themeColor="text1"/>
          <w:sz w:val="22"/>
          <w:szCs w:val="22"/>
          <w:lang w:val="fr-FR"/>
        </w:rPr>
      </w:pPr>
    </w:p>
    <w:p w14:paraId="46C5602F" w14:textId="65E944AA" w:rsidR="00FF0178" w:rsidRPr="002D4DF7" w:rsidRDefault="00C2663A" w:rsidP="002D4DF7">
      <w:pPr>
        <w:pStyle w:val="Heading2"/>
        <w:keepNext/>
      </w:pPr>
      <w:bookmarkStart w:id="28" w:name="_Toc124243416"/>
      <w:r w:rsidRPr="005D062F">
        <w:t>OBJECTIF</w:t>
      </w:r>
      <w:r w:rsidR="00FF0178" w:rsidRPr="005D062F">
        <w:t xml:space="preserve"> 4.2</w:t>
      </w:r>
      <w:bookmarkEnd w:id="28"/>
    </w:p>
    <w:p w14:paraId="4F16ADA2" w14:textId="77777777" w:rsidR="003631D7" w:rsidRPr="005D062F" w:rsidRDefault="003631D7" w:rsidP="00607D18">
      <w:pPr>
        <w:keepNext/>
        <w:ind w:firstLine="14"/>
        <w:jc w:val="both"/>
        <w:rPr>
          <w:rFonts w:ascii="Times New Roman" w:eastAsia="Cambria" w:hAnsi="Times New Roman" w:cs="Times New Roman"/>
          <w:color w:val="000000" w:themeColor="text1"/>
          <w:sz w:val="22"/>
          <w:szCs w:val="22"/>
          <w:lang w:val="fr-FR"/>
        </w:rPr>
      </w:pPr>
    </w:p>
    <w:p w14:paraId="6DF92316" w14:textId="63DC7E39" w:rsidR="00454278" w:rsidRPr="005D062F" w:rsidRDefault="00454278" w:rsidP="002F3303">
      <w:pPr>
        <w:ind w:firstLine="720"/>
        <w:jc w:val="both"/>
        <w:rPr>
          <w:rFonts w:ascii="Times New Roman" w:eastAsia="Times New Roman" w:hAnsi="Times New Roman" w:cs="Times New Roman"/>
          <w:color w:val="000000"/>
          <w:sz w:val="22"/>
          <w:szCs w:val="22"/>
          <w:lang w:val="fr-FR"/>
        </w:rPr>
      </w:pPr>
      <w:r w:rsidRPr="005D062F">
        <w:rPr>
          <w:rFonts w:ascii="Times New Roman" w:eastAsia="Times New Roman" w:hAnsi="Times New Roman" w:cs="Times New Roman"/>
          <w:color w:val="000000"/>
          <w:sz w:val="22"/>
          <w:szCs w:val="22"/>
          <w:lang w:val="fr-FR"/>
        </w:rPr>
        <w:t>Renforcer les capacités institutionnelles des États membres afin de favoriser des conditions et perspectives d’emploi équitables et inclusives pour les populations en situation de vulnérabilité et tous les groupes qui rencontrent des difficultés importantes sur le marché du travail.</w:t>
      </w:r>
    </w:p>
    <w:p w14:paraId="09625376" w14:textId="77777777" w:rsidR="00FF0178" w:rsidRPr="005D062F" w:rsidRDefault="00FF0178" w:rsidP="00CB030B">
      <w:pPr>
        <w:jc w:val="both"/>
        <w:rPr>
          <w:rFonts w:ascii="Times New Roman" w:eastAsia="Cambria" w:hAnsi="Times New Roman" w:cs="Times New Roman"/>
          <w:color w:val="000000" w:themeColor="text1"/>
          <w:sz w:val="22"/>
          <w:szCs w:val="22"/>
          <w:lang w:val="fr-FR"/>
        </w:rPr>
      </w:pPr>
    </w:p>
    <w:p w14:paraId="1C288620" w14:textId="76CEE474" w:rsidR="00FF0178" w:rsidRPr="005D062F" w:rsidRDefault="00570B90" w:rsidP="00CB030B">
      <w:pPr>
        <w:pStyle w:val="ListParagraph"/>
        <w:numPr>
          <w:ilvl w:val="0"/>
          <w:numId w:val="24"/>
        </w:numPr>
        <w:ind w:left="1440" w:hanging="720"/>
        <w:jc w:val="both"/>
        <w:rPr>
          <w:rFonts w:eastAsia="Cambria"/>
          <w:color w:val="000000" w:themeColor="text1"/>
          <w:sz w:val="22"/>
          <w:szCs w:val="22"/>
          <w:lang w:val="fr-FR"/>
        </w:rPr>
      </w:pPr>
      <w:r w:rsidRPr="005D062F">
        <w:rPr>
          <w:rFonts w:eastAsia="Cambria"/>
          <w:color w:val="000000" w:themeColor="text1"/>
          <w:sz w:val="22"/>
          <w:szCs w:val="22"/>
          <w:lang w:val="fr-FR"/>
        </w:rPr>
        <w:t xml:space="preserve">Le SEDI a créé le </w:t>
      </w:r>
      <w:r w:rsidRPr="005D062F">
        <w:rPr>
          <w:rFonts w:eastAsia="Cambria"/>
          <w:b/>
          <w:bCs/>
          <w:color w:val="000000" w:themeColor="text1"/>
          <w:sz w:val="22"/>
          <w:szCs w:val="22"/>
          <w:lang w:val="fr-FR"/>
        </w:rPr>
        <w:t xml:space="preserve">Réseau des coordonnateurs des questions de genre dans les ministères du travail </w:t>
      </w:r>
      <w:r w:rsidR="004F2E68" w:rsidRPr="005D062F">
        <w:rPr>
          <w:rFonts w:eastAsia="Cambria"/>
          <w:color w:val="000000" w:themeColor="text1"/>
          <w:sz w:val="22"/>
          <w:szCs w:val="22"/>
          <w:lang w:val="fr-FR"/>
        </w:rPr>
        <w:t xml:space="preserve">en tant que communauté spécialisée </w:t>
      </w:r>
      <w:r w:rsidR="00D076CF" w:rsidRPr="005D062F">
        <w:rPr>
          <w:rFonts w:eastAsia="Cambria"/>
          <w:color w:val="000000" w:themeColor="text1"/>
          <w:sz w:val="22"/>
          <w:szCs w:val="22"/>
          <w:lang w:val="fr-FR"/>
        </w:rPr>
        <w:t xml:space="preserve">au sein du </w:t>
      </w:r>
      <w:r w:rsidR="00FF0178" w:rsidRPr="005D062F">
        <w:rPr>
          <w:rFonts w:eastAsia="Cambria"/>
          <w:color w:val="000000" w:themeColor="text1"/>
          <w:sz w:val="22"/>
          <w:szCs w:val="22"/>
          <w:lang w:val="fr-FR"/>
        </w:rPr>
        <w:t>RIAL</w:t>
      </w:r>
      <w:r w:rsidR="00D076CF" w:rsidRPr="005D062F">
        <w:rPr>
          <w:rFonts w:eastAsia="Cambria"/>
          <w:color w:val="000000" w:themeColor="text1"/>
          <w:sz w:val="22"/>
          <w:szCs w:val="22"/>
          <w:lang w:val="fr-FR"/>
        </w:rPr>
        <w:t> </w:t>
      </w:r>
      <w:r w:rsidR="00FF0178" w:rsidRPr="005D062F">
        <w:rPr>
          <w:rFonts w:eastAsia="Cambria"/>
          <w:color w:val="000000" w:themeColor="text1"/>
          <w:sz w:val="22"/>
          <w:szCs w:val="22"/>
          <w:lang w:val="fr-FR"/>
        </w:rPr>
        <w:t xml:space="preserve">; </w:t>
      </w:r>
      <w:r w:rsidRPr="005D062F">
        <w:rPr>
          <w:rFonts w:eastAsia="Cambria"/>
          <w:color w:val="000000" w:themeColor="text1"/>
          <w:sz w:val="22"/>
          <w:szCs w:val="22"/>
          <w:lang w:val="fr-FR"/>
        </w:rPr>
        <w:t xml:space="preserve">Le </w:t>
      </w:r>
      <w:r w:rsidR="00FF0178" w:rsidRPr="005D062F">
        <w:rPr>
          <w:rFonts w:eastAsia="Cambria"/>
          <w:color w:val="000000" w:themeColor="text1"/>
          <w:sz w:val="22"/>
          <w:szCs w:val="22"/>
          <w:lang w:val="fr-FR"/>
        </w:rPr>
        <w:t xml:space="preserve">document </w:t>
      </w:r>
      <w:r w:rsidRPr="005D062F">
        <w:rPr>
          <w:rFonts w:eastAsia="Cambria"/>
          <w:color w:val="000000" w:themeColor="text1"/>
          <w:sz w:val="22"/>
          <w:szCs w:val="22"/>
          <w:lang w:val="fr-FR"/>
        </w:rPr>
        <w:t xml:space="preserve">opérationnel et le plan de travail annuel </w:t>
      </w:r>
      <w:r w:rsidR="00A844A7" w:rsidRPr="005D062F">
        <w:rPr>
          <w:rFonts w:eastAsia="Cambria"/>
          <w:color w:val="000000" w:themeColor="text1"/>
          <w:sz w:val="22"/>
          <w:szCs w:val="22"/>
          <w:lang w:val="fr-FR"/>
        </w:rPr>
        <w:t xml:space="preserve">correspondants </w:t>
      </w:r>
      <w:r w:rsidRPr="005D062F">
        <w:rPr>
          <w:rFonts w:eastAsia="Cambria"/>
          <w:color w:val="000000" w:themeColor="text1"/>
          <w:sz w:val="22"/>
          <w:szCs w:val="22"/>
          <w:lang w:val="fr-FR"/>
        </w:rPr>
        <w:t>ont été élaborés en mars. Dans le cadre de ce Réseau</w:t>
      </w:r>
      <w:r w:rsidR="00487B97" w:rsidRPr="005D062F">
        <w:rPr>
          <w:rFonts w:eastAsia="Cambria"/>
          <w:color w:val="000000" w:themeColor="text1"/>
          <w:sz w:val="22"/>
          <w:szCs w:val="22"/>
          <w:lang w:val="fr-FR"/>
        </w:rPr>
        <w:t>, il convient de citer les réalisations suivantes </w:t>
      </w:r>
      <w:r w:rsidR="00FF0178" w:rsidRPr="005D062F">
        <w:rPr>
          <w:rFonts w:eastAsia="Cambria"/>
          <w:color w:val="000000" w:themeColor="text1"/>
          <w:sz w:val="22"/>
          <w:szCs w:val="22"/>
          <w:lang w:val="fr-FR"/>
        </w:rPr>
        <w:t>:</w:t>
      </w:r>
    </w:p>
    <w:p w14:paraId="59AE2C33" w14:textId="77777777" w:rsidR="00FF0178" w:rsidRPr="005D062F" w:rsidRDefault="00FF0178" w:rsidP="00723DAD">
      <w:pPr>
        <w:jc w:val="both"/>
        <w:rPr>
          <w:rFonts w:ascii="Times New Roman" w:eastAsia="Calibri" w:hAnsi="Times New Roman" w:cs="Times New Roman"/>
          <w:color w:val="000000" w:themeColor="text1"/>
          <w:sz w:val="22"/>
          <w:szCs w:val="22"/>
          <w:lang w:val="fr-FR"/>
        </w:rPr>
      </w:pPr>
    </w:p>
    <w:p w14:paraId="09E291AC" w14:textId="414927FF" w:rsidR="00FF0178" w:rsidRPr="005D062F" w:rsidRDefault="00B32F27" w:rsidP="00CB030B">
      <w:pPr>
        <w:pStyle w:val="ListParagraph"/>
        <w:numPr>
          <w:ilvl w:val="1"/>
          <w:numId w:val="24"/>
        </w:numPr>
        <w:ind w:left="1980" w:hanging="540"/>
        <w:jc w:val="both"/>
        <w:rPr>
          <w:rFonts w:eastAsia="Cambria"/>
          <w:color w:val="000000" w:themeColor="text1"/>
          <w:sz w:val="22"/>
          <w:szCs w:val="22"/>
          <w:lang w:val="fr-FR"/>
        </w:rPr>
      </w:pPr>
      <w:r w:rsidRPr="005D062F">
        <w:rPr>
          <w:rFonts w:eastAsia="Cambria"/>
          <w:color w:val="000000" w:themeColor="text1"/>
          <w:sz w:val="22"/>
          <w:szCs w:val="22"/>
          <w:lang w:val="fr-FR"/>
        </w:rPr>
        <w:t>T</w:t>
      </w:r>
      <w:r w:rsidR="00570B90" w:rsidRPr="005D062F">
        <w:rPr>
          <w:rFonts w:eastAsia="Cambria"/>
          <w:color w:val="000000" w:themeColor="text1"/>
          <w:sz w:val="22"/>
          <w:szCs w:val="22"/>
          <w:lang w:val="fr-FR"/>
        </w:rPr>
        <w:t xml:space="preserve">rois dialogues continentaux sur le thème du genre ont été organisés avec la participation des représentants de </w:t>
      </w:r>
      <w:r w:rsidR="00FF0178" w:rsidRPr="005D062F">
        <w:rPr>
          <w:rFonts w:eastAsia="Cambria"/>
          <w:color w:val="000000" w:themeColor="text1"/>
          <w:sz w:val="22"/>
          <w:szCs w:val="22"/>
          <w:lang w:val="fr-FR"/>
        </w:rPr>
        <w:t>30</w:t>
      </w:r>
      <w:r w:rsidR="006043B4" w:rsidRPr="005D062F">
        <w:rPr>
          <w:rFonts w:eastAsia="Cambria"/>
          <w:color w:val="000000" w:themeColor="text1"/>
          <w:sz w:val="22"/>
          <w:szCs w:val="22"/>
          <w:lang w:val="fr-FR"/>
        </w:rPr>
        <w:t xml:space="preserve"> </w:t>
      </w:r>
      <w:r w:rsidR="00570B90" w:rsidRPr="005D062F">
        <w:rPr>
          <w:rFonts w:eastAsia="Cambria"/>
          <w:color w:val="000000" w:themeColor="text1"/>
          <w:sz w:val="22"/>
          <w:szCs w:val="22"/>
          <w:lang w:val="fr-FR"/>
        </w:rPr>
        <w:t>États membres. Plusieurs questions prioritaires ont été abordées, notamment les services d’inspection du travail avec la prise en compte de la parité femmes-hommes</w:t>
      </w:r>
      <w:r w:rsidR="00FF0178" w:rsidRPr="005D062F">
        <w:rPr>
          <w:rFonts w:eastAsia="Cambria"/>
          <w:color w:val="000000" w:themeColor="text1"/>
          <w:sz w:val="22"/>
          <w:szCs w:val="22"/>
          <w:lang w:val="fr-FR"/>
        </w:rPr>
        <w:t>.</w:t>
      </w:r>
    </w:p>
    <w:p w14:paraId="53FB3199" w14:textId="107240CB" w:rsidR="00FF0178" w:rsidRPr="005D062F" w:rsidRDefault="00B32F27" w:rsidP="00CB030B">
      <w:pPr>
        <w:pStyle w:val="ListParagraph"/>
        <w:numPr>
          <w:ilvl w:val="1"/>
          <w:numId w:val="24"/>
        </w:numPr>
        <w:ind w:left="1980" w:hanging="540"/>
        <w:jc w:val="both"/>
        <w:rPr>
          <w:rFonts w:eastAsia="Cambria"/>
          <w:color w:val="000000" w:themeColor="text1"/>
          <w:sz w:val="22"/>
          <w:szCs w:val="22"/>
          <w:lang w:val="fr-FR"/>
        </w:rPr>
      </w:pPr>
      <w:r w:rsidRPr="005D062F">
        <w:rPr>
          <w:rFonts w:eastAsia="Cambria"/>
          <w:color w:val="000000" w:themeColor="text1"/>
          <w:sz w:val="22"/>
          <w:szCs w:val="22"/>
          <w:lang w:val="fr-FR"/>
        </w:rPr>
        <w:t xml:space="preserve">Le </w:t>
      </w:r>
      <w:r w:rsidRPr="005D062F">
        <w:rPr>
          <w:rFonts w:eastAsia="Cambria"/>
          <w:b/>
          <w:bCs/>
          <w:color w:val="000000" w:themeColor="text1"/>
          <w:sz w:val="22"/>
          <w:szCs w:val="22"/>
          <w:lang w:val="fr-FR"/>
        </w:rPr>
        <w:t>Manue</w:t>
      </w:r>
      <w:r w:rsidR="00FF0178" w:rsidRPr="005D062F">
        <w:rPr>
          <w:rFonts w:eastAsia="Cambria"/>
          <w:b/>
          <w:bCs/>
          <w:color w:val="000000" w:themeColor="text1"/>
          <w:sz w:val="22"/>
          <w:szCs w:val="22"/>
          <w:lang w:val="fr-FR"/>
        </w:rPr>
        <w:t xml:space="preserve">l </w:t>
      </w:r>
      <w:r w:rsidR="00D4628D" w:rsidRPr="005D062F">
        <w:rPr>
          <w:rFonts w:eastAsia="Cambria"/>
          <w:b/>
          <w:bCs/>
          <w:color w:val="000000" w:themeColor="text1"/>
          <w:sz w:val="22"/>
          <w:szCs w:val="22"/>
          <w:lang w:val="fr-FR"/>
        </w:rPr>
        <w:t xml:space="preserve">pour la création et le fonctionnement des groupes chargés des questions de genre dans les ministères du travail </w:t>
      </w:r>
      <w:r w:rsidR="00D4628D" w:rsidRPr="005D062F">
        <w:rPr>
          <w:rFonts w:eastAsia="Cambria"/>
          <w:color w:val="000000" w:themeColor="text1"/>
          <w:sz w:val="22"/>
          <w:szCs w:val="22"/>
          <w:lang w:val="fr-FR"/>
        </w:rPr>
        <w:t>a été achevé</w:t>
      </w:r>
      <w:r w:rsidR="00FF0178" w:rsidRPr="005D062F">
        <w:rPr>
          <w:rFonts w:eastAsia="Cambria"/>
          <w:color w:val="000000" w:themeColor="text1"/>
          <w:sz w:val="22"/>
          <w:szCs w:val="22"/>
          <w:lang w:val="fr-FR"/>
        </w:rPr>
        <w:t>.</w:t>
      </w:r>
    </w:p>
    <w:p w14:paraId="66AAAAAC" w14:textId="6BA0EF20" w:rsidR="00FF0178" w:rsidRPr="005D062F" w:rsidRDefault="00B32F27" w:rsidP="00CB030B">
      <w:pPr>
        <w:pStyle w:val="ListParagraph"/>
        <w:numPr>
          <w:ilvl w:val="1"/>
          <w:numId w:val="24"/>
        </w:numPr>
        <w:ind w:left="1980" w:hanging="540"/>
        <w:jc w:val="both"/>
        <w:rPr>
          <w:rFonts w:eastAsia="Cambria"/>
          <w:color w:val="000000" w:themeColor="text1"/>
          <w:sz w:val="22"/>
          <w:szCs w:val="22"/>
          <w:lang w:val="fr-FR"/>
        </w:rPr>
      </w:pPr>
      <w:r w:rsidRPr="005D062F">
        <w:rPr>
          <w:rFonts w:eastAsia="Cambria"/>
          <w:color w:val="000000" w:themeColor="text1"/>
          <w:sz w:val="22"/>
          <w:szCs w:val="22"/>
          <w:lang w:val="fr-FR"/>
        </w:rPr>
        <w:t>L</w:t>
      </w:r>
      <w:r w:rsidR="000D410F" w:rsidRPr="005D062F">
        <w:rPr>
          <w:rFonts w:eastAsia="Cambria"/>
          <w:color w:val="000000" w:themeColor="text1"/>
          <w:sz w:val="22"/>
          <w:szCs w:val="22"/>
          <w:lang w:val="fr-FR"/>
        </w:rPr>
        <w:t>a</w:t>
      </w:r>
      <w:r w:rsidR="008D58EF" w:rsidRPr="005D062F">
        <w:rPr>
          <w:rFonts w:eastAsia="Cambria"/>
          <w:color w:val="000000" w:themeColor="text1"/>
          <w:sz w:val="22"/>
          <w:szCs w:val="22"/>
          <w:lang w:val="fr-FR"/>
        </w:rPr>
        <w:t xml:space="preserve"> </w:t>
      </w:r>
      <w:r w:rsidR="000D410F" w:rsidRPr="005D062F">
        <w:rPr>
          <w:rFonts w:eastAsia="Cambria"/>
          <w:color w:val="000000" w:themeColor="text1"/>
          <w:sz w:val="22"/>
          <w:szCs w:val="22"/>
          <w:lang w:val="fr-FR"/>
        </w:rPr>
        <w:t>version anglaise du</w:t>
      </w:r>
      <w:r w:rsidRPr="005D062F">
        <w:rPr>
          <w:rFonts w:eastAsia="Cambria"/>
          <w:color w:val="000000" w:themeColor="text1"/>
          <w:sz w:val="22"/>
          <w:szCs w:val="22"/>
          <w:lang w:val="fr-FR"/>
        </w:rPr>
        <w:t xml:space="preserve"> </w:t>
      </w:r>
      <w:r w:rsidR="00FF0178" w:rsidRPr="005D062F">
        <w:rPr>
          <w:rFonts w:eastAsia="Cambria"/>
          <w:b/>
          <w:bCs/>
          <w:color w:val="000000" w:themeColor="text1"/>
          <w:sz w:val="22"/>
          <w:szCs w:val="22"/>
          <w:lang w:val="fr-FR"/>
        </w:rPr>
        <w:t>Cours</w:t>
      </w:r>
      <w:r w:rsidR="000D410F" w:rsidRPr="005D062F">
        <w:rPr>
          <w:rFonts w:eastAsia="Cambria"/>
          <w:b/>
          <w:bCs/>
          <w:color w:val="000000" w:themeColor="text1"/>
          <w:sz w:val="22"/>
          <w:szCs w:val="22"/>
          <w:lang w:val="fr-FR"/>
        </w:rPr>
        <w:t xml:space="preserve"> virtuel sur la v</w:t>
      </w:r>
      <w:r w:rsidR="00FF0178" w:rsidRPr="005D062F">
        <w:rPr>
          <w:rFonts w:eastAsia="Cambria"/>
          <w:b/>
          <w:bCs/>
          <w:color w:val="000000" w:themeColor="text1"/>
          <w:sz w:val="22"/>
          <w:szCs w:val="22"/>
          <w:lang w:val="fr-FR"/>
        </w:rPr>
        <w:t xml:space="preserve">iolence </w:t>
      </w:r>
      <w:r w:rsidR="000D410F" w:rsidRPr="005D062F">
        <w:rPr>
          <w:rFonts w:eastAsia="Cambria"/>
          <w:b/>
          <w:bCs/>
          <w:color w:val="000000" w:themeColor="text1"/>
          <w:sz w:val="22"/>
          <w:szCs w:val="22"/>
          <w:lang w:val="fr-FR"/>
        </w:rPr>
        <w:t>sexiste au travail</w:t>
      </w:r>
      <w:r w:rsidR="000D410F" w:rsidRPr="005D062F">
        <w:rPr>
          <w:rFonts w:eastAsia="Cambria"/>
          <w:color w:val="000000" w:themeColor="text1"/>
          <w:sz w:val="22"/>
          <w:szCs w:val="22"/>
          <w:lang w:val="fr-FR"/>
        </w:rPr>
        <w:t xml:space="preserve"> </w:t>
      </w:r>
      <w:r w:rsidR="00FF0178" w:rsidRPr="005D062F">
        <w:rPr>
          <w:rFonts w:eastAsia="Cambria"/>
          <w:color w:val="000000" w:themeColor="text1"/>
          <w:sz w:val="22"/>
          <w:szCs w:val="22"/>
          <w:lang w:val="fr-FR"/>
        </w:rPr>
        <w:t>a</w:t>
      </w:r>
      <w:r w:rsidR="000D410F" w:rsidRPr="005D062F">
        <w:rPr>
          <w:rFonts w:eastAsia="Cambria"/>
          <w:color w:val="000000" w:themeColor="text1"/>
          <w:sz w:val="22"/>
          <w:szCs w:val="22"/>
          <w:lang w:val="fr-FR"/>
        </w:rPr>
        <w:t xml:space="preserve"> été lancée sur le Portail éducatif des </w:t>
      </w:r>
      <w:r w:rsidR="00FF0178" w:rsidRPr="005D062F">
        <w:rPr>
          <w:rFonts w:eastAsia="Cambria"/>
          <w:color w:val="000000" w:themeColor="text1"/>
          <w:sz w:val="22"/>
          <w:szCs w:val="22"/>
          <w:lang w:val="fr-FR"/>
        </w:rPr>
        <w:t>Am</w:t>
      </w:r>
      <w:r w:rsidR="000D410F" w:rsidRPr="005D062F">
        <w:rPr>
          <w:rFonts w:eastAsia="Cambria"/>
          <w:color w:val="000000" w:themeColor="text1"/>
          <w:sz w:val="22"/>
          <w:szCs w:val="22"/>
          <w:lang w:val="fr-FR"/>
        </w:rPr>
        <w:t>é</w:t>
      </w:r>
      <w:r w:rsidR="00FF0178" w:rsidRPr="005D062F">
        <w:rPr>
          <w:rFonts w:eastAsia="Cambria"/>
          <w:color w:val="000000" w:themeColor="text1"/>
          <w:sz w:val="22"/>
          <w:szCs w:val="22"/>
          <w:lang w:val="fr-FR"/>
        </w:rPr>
        <w:t>ri</w:t>
      </w:r>
      <w:r w:rsidR="000D410F" w:rsidRPr="005D062F">
        <w:rPr>
          <w:rFonts w:eastAsia="Cambria"/>
          <w:color w:val="000000" w:themeColor="text1"/>
          <w:sz w:val="22"/>
          <w:szCs w:val="22"/>
          <w:lang w:val="fr-FR"/>
        </w:rPr>
        <w:t>que</w:t>
      </w:r>
      <w:r w:rsidR="00FF0178" w:rsidRPr="005D062F">
        <w:rPr>
          <w:rFonts w:eastAsia="Cambria"/>
          <w:color w:val="000000" w:themeColor="text1"/>
          <w:sz w:val="22"/>
          <w:szCs w:val="22"/>
          <w:lang w:val="fr-FR"/>
        </w:rPr>
        <w:t xml:space="preserve">s, </w:t>
      </w:r>
      <w:r w:rsidR="000D410F" w:rsidRPr="005D062F">
        <w:rPr>
          <w:rFonts w:eastAsia="Cambria"/>
          <w:color w:val="000000" w:themeColor="text1"/>
          <w:sz w:val="22"/>
          <w:szCs w:val="22"/>
          <w:lang w:val="fr-FR"/>
        </w:rPr>
        <w:t>avec la</w:t>
      </w:r>
      <w:r w:rsidR="00FF0178" w:rsidRPr="005D062F">
        <w:rPr>
          <w:rFonts w:eastAsia="Cambria"/>
          <w:color w:val="000000" w:themeColor="text1"/>
          <w:sz w:val="22"/>
          <w:szCs w:val="22"/>
          <w:lang w:val="fr-FR"/>
        </w:rPr>
        <w:t xml:space="preserve"> participation </w:t>
      </w:r>
      <w:r w:rsidR="000D410F" w:rsidRPr="005D062F">
        <w:rPr>
          <w:rFonts w:eastAsia="Cambria"/>
          <w:color w:val="000000" w:themeColor="text1"/>
          <w:sz w:val="22"/>
          <w:szCs w:val="22"/>
          <w:lang w:val="fr-FR"/>
        </w:rPr>
        <w:t>des dirigeants de dix États membres des Caraïbes</w:t>
      </w:r>
      <w:r w:rsidR="00FF0178" w:rsidRPr="005D062F">
        <w:rPr>
          <w:rFonts w:eastAsia="Cambria"/>
          <w:color w:val="000000" w:themeColor="text1"/>
          <w:sz w:val="22"/>
          <w:szCs w:val="22"/>
          <w:lang w:val="fr-FR"/>
        </w:rPr>
        <w:t>.</w:t>
      </w:r>
    </w:p>
    <w:p w14:paraId="3C627E7F" w14:textId="1F303148" w:rsidR="00FF0178" w:rsidRPr="005D062F" w:rsidRDefault="00B32F27" w:rsidP="00CB030B">
      <w:pPr>
        <w:pStyle w:val="ListParagraph"/>
        <w:numPr>
          <w:ilvl w:val="1"/>
          <w:numId w:val="24"/>
        </w:numPr>
        <w:ind w:left="1980" w:hanging="540"/>
        <w:jc w:val="both"/>
        <w:rPr>
          <w:rFonts w:eastAsia="Cambria"/>
          <w:color w:val="000000" w:themeColor="text1"/>
          <w:sz w:val="22"/>
          <w:szCs w:val="22"/>
          <w:lang w:val="fr-FR"/>
        </w:rPr>
      </w:pPr>
      <w:r w:rsidRPr="005D062F">
        <w:rPr>
          <w:rFonts w:eastAsia="Cambria"/>
          <w:color w:val="000000" w:themeColor="text1"/>
          <w:sz w:val="22"/>
          <w:szCs w:val="22"/>
          <w:lang w:val="fr-FR"/>
        </w:rPr>
        <w:t>C</w:t>
      </w:r>
      <w:r w:rsidR="000D410F" w:rsidRPr="005D062F">
        <w:rPr>
          <w:rFonts w:eastAsia="Cambria"/>
          <w:color w:val="000000" w:themeColor="text1"/>
          <w:sz w:val="22"/>
          <w:szCs w:val="22"/>
          <w:lang w:val="fr-FR"/>
        </w:rPr>
        <w:t xml:space="preserve">es </w:t>
      </w:r>
      <w:r w:rsidR="00FF0178" w:rsidRPr="005D062F">
        <w:rPr>
          <w:rFonts w:eastAsia="Cambria"/>
          <w:color w:val="000000" w:themeColor="text1"/>
          <w:sz w:val="22"/>
          <w:szCs w:val="22"/>
          <w:lang w:val="fr-FR"/>
        </w:rPr>
        <w:t xml:space="preserve">actions </w:t>
      </w:r>
      <w:r w:rsidR="000D410F" w:rsidRPr="005D062F">
        <w:rPr>
          <w:rFonts w:eastAsia="Cambria"/>
          <w:color w:val="000000" w:themeColor="text1"/>
          <w:sz w:val="22"/>
          <w:szCs w:val="22"/>
          <w:lang w:val="fr-FR"/>
        </w:rPr>
        <w:t>ont chacune été menées en étroite collaboration avec la</w:t>
      </w:r>
      <w:r w:rsidR="00FF0178" w:rsidRPr="005D062F">
        <w:rPr>
          <w:rFonts w:eastAsia="Cambria"/>
          <w:color w:val="000000" w:themeColor="text1"/>
          <w:sz w:val="22"/>
          <w:szCs w:val="22"/>
          <w:lang w:val="fr-FR"/>
        </w:rPr>
        <w:t xml:space="preserve"> CIM.</w:t>
      </w:r>
    </w:p>
    <w:p w14:paraId="499BAD44" w14:textId="77777777" w:rsidR="00FF0178" w:rsidRPr="005D062F" w:rsidRDefault="00FF0178" w:rsidP="00CB030B">
      <w:pPr>
        <w:jc w:val="both"/>
        <w:rPr>
          <w:rFonts w:ascii="Times New Roman" w:eastAsia="Cambria" w:hAnsi="Times New Roman" w:cs="Times New Roman"/>
          <w:color w:val="000000" w:themeColor="text1"/>
          <w:sz w:val="22"/>
          <w:szCs w:val="22"/>
          <w:lang w:val="fr-FR"/>
        </w:rPr>
      </w:pPr>
    </w:p>
    <w:p w14:paraId="5CCF8C11" w14:textId="02D2058E" w:rsidR="00FF0178" w:rsidRPr="005D062F" w:rsidRDefault="006043B4" w:rsidP="00CB030B">
      <w:pPr>
        <w:pStyle w:val="ListParagraph"/>
        <w:numPr>
          <w:ilvl w:val="0"/>
          <w:numId w:val="24"/>
        </w:numPr>
        <w:ind w:left="1440" w:hanging="720"/>
        <w:jc w:val="both"/>
        <w:rPr>
          <w:rFonts w:eastAsia="Cambria"/>
          <w:color w:val="000000" w:themeColor="text1"/>
          <w:sz w:val="22"/>
          <w:szCs w:val="22"/>
          <w:lang w:val="fr-FR"/>
        </w:rPr>
      </w:pPr>
      <w:r w:rsidRPr="005D062F">
        <w:rPr>
          <w:rFonts w:eastAsia="Cambria"/>
          <w:color w:val="000000" w:themeColor="text1"/>
          <w:sz w:val="22"/>
          <w:szCs w:val="22"/>
          <w:lang w:val="fr-FR"/>
        </w:rPr>
        <w:t xml:space="preserve">Il a organisé un vaste </w:t>
      </w:r>
      <w:r w:rsidR="00FF0178" w:rsidRPr="005D062F">
        <w:rPr>
          <w:rFonts w:eastAsia="Cambria"/>
          <w:color w:val="000000" w:themeColor="text1"/>
          <w:sz w:val="22"/>
          <w:szCs w:val="22"/>
          <w:lang w:val="fr-FR"/>
        </w:rPr>
        <w:t xml:space="preserve">dialogue </w:t>
      </w:r>
      <w:r w:rsidRPr="005D062F">
        <w:rPr>
          <w:rFonts w:eastAsia="Cambria"/>
          <w:color w:val="000000" w:themeColor="text1"/>
          <w:sz w:val="22"/>
          <w:szCs w:val="22"/>
          <w:lang w:val="fr-FR"/>
        </w:rPr>
        <w:t xml:space="preserve">régional et élaboré un document de recommandations politiques </w:t>
      </w:r>
      <w:r w:rsidR="0007001E" w:rsidRPr="005D062F">
        <w:rPr>
          <w:rFonts w:eastAsia="Cambria"/>
          <w:color w:val="000000" w:themeColor="text1"/>
          <w:sz w:val="22"/>
          <w:szCs w:val="22"/>
          <w:lang w:val="fr-FR"/>
        </w:rPr>
        <w:t>en vue</w:t>
      </w:r>
      <w:r w:rsidRPr="005D062F">
        <w:rPr>
          <w:rFonts w:eastAsia="Cambria"/>
          <w:color w:val="000000" w:themeColor="text1"/>
          <w:sz w:val="22"/>
          <w:szCs w:val="22"/>
          <w:lang w:val="fr-FR"/>
        </w:rPr>
        <w:t xml:space="preserve"> de renforcer et d’institutionnaliser le dialogue </w:t>
      </w:r>
      <w:r w:rsidR="00FF0178" w:rsidRPr="005D062F">
        <w:rPr>
          <w:rFonts w:eastAsia="Cambria"/>
          <w:color w:val="000000" w:themeColor="text1"/>
          <w:sz w:val="22"/>
          <w:szCs w:val="22"/>
          <w:lang w:val="fr-FR"/>
        </w:rPr>
        <w:t xml:space="preserve">social </w:t>
      </w:r>
      <w:r w:rsidRPr="005D062F">
        <w:rPr>
          <w:rFonts w:eastAsia="Cambria"/>
          <w:color w:val="000000" w:themeColor="text1"/>
          <w:sz w:val="22"/>
          <w:szCs w:val="22"/>
          <w:lang w:val="fr-FR"/>
        </w:rPr>
        <w:t>entre les</w:t>
      </w:r>
      <w:r w:rsidR="00FF0178" w:rsidRPr="005D062F">
        <w:rPr>
          <w:rFonts w:eastAsia="Cambria"/>
          <w:color w:val="000000" w:themeColor="text1"/>
          <w:sz w:val="22"/>
          <w:szCs w:val="22"/>
          <w:lang w:val="fr-FR"/>
        </w:rPr>
        <w:t xml:space="preserve"> go</w:t>
      </w:r>
      <w:r w:rsidRPr="005D062F">
        <w:rPr>
          <w:rFonts w:eastAsia="Cambria"/>
          <w:color w:val="000000" w:themeColor="text1"/>
          <w:sz w:val="22"/>
          <w:szCs w:val="22"/>
          <w:lang w:val="fr-FR"/>
        </w:rPr>
        <w:t>u</w:t>
      </w:r>
      <w:r w:rsidR="00FF0178" w:rsidRPr="005D062F">
        <w:rPr>
          <w:rFonts w:eastAsia="Cambria"/>
          <w:color w:val="000000" w:themeColor="text1"/>
          <w:sz w:val="22"/>
          <w:szCs w:val="22"/>
          <w:lang w:val="fr-FR"/>
        </w:rPr>
        <w:t>vern</w:t>
      </w:r>
      <w:r w:rsidRPr="005D062F">
        <w:rPr>
          <w:rFonts w:eastAsia="Cambria"/>
          <w:color w:val="000000" w:themeColor="text1"/>
          <w:sz w:val="22"/>
          <w:szCs w:val="22"/>
          <w:lang w:val="fr-FR"/>
        </w:rPr>
        <w:t>e</w:t>
      </w:r>
      <w:r w:rsidR="00FF0178" w:rsidRPr="005D062F">
        <w:rPr>
          <w:rFonts w:eastAsia="Cambria"/>
          <w:color w:val="000000" w:themeColor="text1"/>
          <w:sz w:val="22"/>
          <w:szCs w:val="22"/>
          <w:lang w:val="fr-FR"/>
        </w:rPr>
        <w:t xml:space="preserve">ments, </w:t>
      </w:r>
      <w:r w:rsidRPr="005D062F">
        <w:rPr>
          <w:rFonts w:eastAsia="Cambria"/>
          <w:color w:val="000000" w:themeColor="text1"/>
          <w:sz w:val="22"/>
          <w:szCs w:val="22"/>
          <w:lang w:val="fr-FR"/>
        </w:rPr>
        <w:t>les tra</w:t>
      </w:r>
      <w:r w:rsidR="006E1BAB" w:rsidRPr="005D062F">
        <w:rPr>
          <w:rFonts w:eastAsia="Cambria"/>
          <w:color w:val="000000" w:themeColor="text1"/>
          <w:sz w:val="22"/>
          <w:szCs w:val="22"/>
          <w:lang w:val="fr-FR"/>
        </w:rPr>
        <w:t>vailleurs et les employeurs dans toute</w:t>
      </w:r>
      <w:r w:rsidRPr="005D062F">
        <w:rPr>
          <w:rFonts w:eastAsia="Cambria"/>
          <w:color w:val="000000" w:themeColor="text1"/>
          <w:sz w:val="22"/>
          <w:szCs w:val="22"/>
          <w:lang w:val="fr-FR"/>
        </w:rPr>
        <w:t xml:space="preserve"> la région, suite à l’atelier continental intitulé « </w:t>
      </w:r>
      <w:r w:rsidRPr="005D062F">
        <w:rPr>
          <w:rFonts w:eastAsia="Cambria"/>
          <w:b/>
          <w:bCs/>
          <w:color w:val="000000" w:themeColor="text1"/>
          <w:sz w:val="22"/>
          <w:szCs w:val="22"/>
          <w:lang w:val="fr-FR"/>
        </w:rPr>
        <w:t xml:space="preserve">Le </w:t>
      </w:r>
      <w:r w:rsidR="00FF0178" w:rsidRPr="005D062F">
        <w:rPr>
          <w:rFonts w:eastAsia="Cambria"/>
          <w:b/>
          <w:bCs/>
          <w:color w:val="000000" w:themeColor="text1"/>
          <w:sz w:val="22"/>
          <w:szCs w:val="22"/>
          <w:lang w:val="fr-FR"/>
        </w:rPr>
        <w:t>dialogue</w:t>
      </w:r>
      <w:r w:rsidRPr="005D062F">
        <w:rPr>
          <w:rFonts w:eastAsia="Cambria"/>
          <w:b/>
          <w:bCs/>
          <w:color w:val="000000" w:themeColor="text1"/>
          <w:sz w:val="22"/>
          <w:szCs w:val="22"/>
          <w:lang w:val="fr-FR"/>
        </w:rPr>
        <w:t xml:space="preserve"> social </w:t>
      </w:r>
      <w:r w:rsidR="0007001E" w:rsidRPr="005D062F">
        <w:rPr>
          <w:rFonts w:eastAsia="Cambria"/>
          <w:b/>
          <w:bCs/>
          <w:color w:val="000000" w:themeColor="text1"/>
          <w:sz w:val="22"/>
          <w:szCs w:val="22"/>
          <w:lang w:val="fr-FR"/>
        </w:rPr>
        <w:t>au service d’</w:t>
      </w:r>
      <w:r w:rsidRPr="005D062F">
        <w:rPr>
          <w:rFonts w:eastAsia="Cambria"/>
          <w:b/>
          <w:bCs/>
          <w:color w:val="000000" w:themeColor="text1"/>
          <w:sz w:val="22"/>
          <w:szCs w:val="22"/>
          <w:lang w:val="fr-FR"/>
        </w:rPr>
        <w:t>une reprise durable, juste et é</w:t>
      </w:r>
      <w:r w:rsidR="00FF0178" w:rsidRPr="005D062F">
        <w:rPr>
          <w:rFonts w:eastAsia="Cambria"/>
          <w:b/>
          <w:bCs/>
          <w:color w:val="000000" w:themeColor="text1"/>
          <w:sz w:val="22"/>
          <w:szCs w:val="22"/>
          <w:lang w:val="fr-FR"/>
        </w:rPr>
        <w:t>quitable</w:t>
      </w:r>
      <w:r w:rsidRPr="005D062F">
        <w:rPr>
          <w:rFonts w:eastAsia="Cambria"/>
          <w:b/>
          <w:bCs/>
          <w:color w:val="000000" w:themeColor="text1"/>
          <w:sz w:val="22"/>
          <w:szCs w:val="22"/>
          <w:lang w:val="fr-FR"/>
        </w:rPr>
        <w:t> </w:t>
      </w:r>
      <w:r w:rsidRPr="005D062F">
        <w:rPr>
          <w:rFonts w:eastAsia="Cambria"/>
          <w:bCs/>
          <w:color w:val="000000" w:themeColor="text1"/>
          <w:sz w:val="22"/>
          <w:szCs w:val="22"/>
          <w:lang w:val="fr-FR"/>
        </w:rPr>
        <w:t>»</w:t>
      </w:r>
      <w:r w:rsidR="00BB2314" w:rsidRPr="005D062F">
        <w:rPr>
          <w:rFonts w:eastAsia="Cambria"/>
          <w:b/>
          <w:bCs/>
          <w:color w:val="000000" w:themeColor="text1"/>
          <w:sz w:val="22"/>
          <w:szCs w:val="22"/>
          <w:lang w:val="fr-FR"/>
        </w:rPr>
        <w:t xml:space="preserve"> </w:t>
      </w:r>
      <w:r w:rsidR="00BB2314" w:rsidRPr="005D062F">
        <w:rPr>
          <w:rFonts w:eastAsia="Cambria"/>
          <w:bCs/>
          <w:color w:val="000000" w:themeColor="text1"/>
          <w:sz w:val="22"/>
          <w:szCs w:val="22"/>
          <w:lang w:val="fr-FR"/>
        </w:rPr>
        <w:t>qui a eu l</w:t>
      </w:r>
      <w:r w:rsidR="006E1BAB" w:rsidRPr="005D062F">
        <w:rPr>
          <w:rFonts w:eastAsia="Cambria"/>
          <w:bCs/>
          <w:color w:val="000000" w:themeColor="text1"/>
          <w:sz w:val="22"/>
          <w:szCs w:val="22"/>
          <w:lang w:val="fr-FR"/>
        </w:rPr>
        <w:t>i</w:t>
      </w:r>
      <w:r w:rsidR="00BB2314" w:rsidRPr="005D062F">
        <w:rPr>
          <w:rFonts w:eastAsia="Cambria"/>
          <w:bCs/>
          <w:color w:val="000000" w:themeColor="text1"/>
          <w:sz w:val="22"/>
          <w:szCs w:val="22"/>
          <w:lang w:val="fr-FR"/>
        </w:rPr>
        <w:t xml:space="preserve">eu à </w:t>
      </w:r>
      <w:r w:rsidR="00BB2314" w:rsidRPr="005D062F">
        <w:rPr>
          <w:rFonts w:eastAsia="Cambria"/>
          <w:color w:val="000000" w:themeColor="text1"/>
          <w:sz w:val="22"/>
          <w:szCs w:val="22"/>
          <w:lang w:val="fr-FR"/>
        </w:rPr>
        <w:t>Bogota</w:t>
      </w:r>
      <w:r w:rsidR="00FF0178" w:rsidRPr="005D062F">
        <w:rPr>
          <w:rFonts w:eastAsia="Cambria"/>
          <w:color w:val="000000" w:themeColor="text1"/>
          <w:sz w:val="22"/>
          <w:szCs w:val="22"/>
          <w:lang w:val="fr-FR"/>
        </w:rPr>
        <w:t xml:space="preserve"> </w:t>
      </w:r>
      <w:r w:rsidR="00BB2314" w:rsidRPr="005D062F">
        <w:rPr>
          <w:rFonts w:eastAsia="Cambria"/>
          <w:color w:val="000000" w:themeColor="text1"/>
          <w:sz w:val="22"/>
          <w:szCs w:val="22"/>
          <w:lang w:val="fr-FR"/>
        </w:rPr>
        <w:t>(Colombie) en j</w:t>
      </w:r>
      <w:r w:rsidR="00FF0178" w:rsidRPr="005D062F">
        <w:rPr>
          <w:rFonts w:eastAsia="Cambria"/>
          <w:color w:val="000000" w:themeColor="text1"/>
          <w:sz w:val="22"/>
          <w:szCs w:val="22"/>
          <w:lang w:val="fr-FR"/>
        </w:rPr>
        <w:t>u</w:t>
      </w:r>
      <w:r w:rsidR="00BB2314" w:rsidRPr="005D062F">
        <w:rPr>
          <w:rFonts w:eastAsia="Cambria"/>
          <w:color w:val="000000" w:themeColor="text1"/>
          <w:sz w:val="22"/>
          <w:szCs w:val="22"/>
          <w:lang w:val="fr-FR"/>
        </w:rPr>
        <w:t>illet</w:t>
      </w:r>
      <w:r w:rsidR="006E1BAB" w:rsidRPr="005D062F">
        <w:rPr>
          <w:rFonts w:eastAsia="Cambria"/>
          <w:color w:val="000000" w:themeColor="text1"/>
          <w:sz w:val="22"/>
          <w:szCs w:val="22"/>
          <w:lang w:val="fr-FR"/>
        </w:rPr>
        <w:t>. Les délé</w:t>
      </w:r>
      <w:r w:rsidR="00FF0178" w:rsidRPr="005D062F">
        <w:rPr>
          <w:rFonts w:eastAsia="Cambria"/>
          <w:color w:val="000000" w:themeColor="text1"/>
          <w:sz w:val="22"/>
          <w:szCs w:val="22"/>
          <w:lang w:val="fr-FR"/>
        </w:rPr>
        <w:t>gations</w:t>
      </w:r>
      <w:r w:rsidR="006E1BAB" w:rsidRPr="005D062F">
        <w:rPr>
          <w:rFonts w:eastAsia="Cambria"/>
          <w:color w:val="000000" w:themeColor="text1"/>
          <w:sz w:val="22"/>
          <w:szCs w:val="22"/>
          <w:lang w:val="fr-FR"/>
        </w:rPr>
        <w:t xml:space="preserve"> gouvernementales et les organis</w:t>
      </w:r>
      <w:r w:rsidR="00FF0178" w:rsidRPr="005D062F">
        <w:rPr>
          <w:rFonts w:eastAsia="Cambria"/>
          <w:color w:val="000000" w:themeColor="text1"/>
          <w:sz w:val="22"/>
          <w:szCs w:val="22"/>
          <w:lang w:val="fr-FR"/>
        </w:rPr>
        <w:t>ations</w:t>
      </w:r>
      <w:r w:rsidR="006E1BAB" w:rsidRPr="005D062F">
        <w:rPr>
          <w:rFonts w:eastAsia="Cambria"/>
          <w:color w:val="000000" w:themeColor="text1"/>
          <w:sz w:val="22"/>
          <w:szCs w:val="22"/>
          <w:lang w:val="fr-FR"/>
        </w:rPr>
        <w:t xml:space="preserve"> de travailleurs et d’employeurs de </w:t>
      </w:r>
      <w:r w:rsidR="00FF0178" w:rsidRPr="005D062F">
        <w:rPr>
          <w:rFonts w:eastAsia="Cambria"/>
          <w:color w:val="000000" w:themeColor="text1"/>
          <w:sz w:val="22"/>
          <w:szCs w:val="22"/>
          <w:lang w:val="fr-FR"/>
        </w:rPr>
        <w:t>29</w:t>
      </w:r>
      <w:r w:rsidR="006E1BAB" w:rsidRPr="005D062F">
        <w:rPr>
          <w:rFonts w:eastAsia="Cambria"/>
          <w:color w:val="000000" w:themeColor="text1"/>
          <w:sz w:val="22"/>
          <w:szCs w:val="22"/>
          <w:lang w:val="fr-FR"/>
        </w:rPr>
        <w:t xml:space="preserve"> États membres ont </w:t>
      </w:r>
      <w:r w:rsidR="00FF0178" w:rsidRPr="005D062F">
        <w:rPr>
          <w:rFonts w:eastAsia="Cambria"/>
          <w:color w:val="000000" w:themeColor="text1"/>
          <w:sz w:val="22"/>
          <w:szCs w:val="22"/>
          <w:lang w:val="fr-FR"/>
        </w:rPr>
        <w:t>particip</w:t>
      </w:r>
      <w:r w:rsidR="006E1BAB" w:rsidRPr="005D062F">
        <w:rPr>
          <w:rFonts w:eastAsia="Cambria"/>
          <w:color w:val="000000" w:themeColor="text1"/>
          <w:sz w:val="22"/>
          <w:szCs w:val="22"/>
          <w:lang w:val="fr-FR"/>
        </w:rPr>
        <w:t>é</w:t>
      </w:r>
      <w:r w:rsidR="00FF0178" w:rsidRPr="005D062F">
        <w:rPr>
          <w:rFonts w:eastAsia="Cambria"/>
          <w:color w:val="000000" w:themeColor="text1"/>
          <w:sz w:val="22"/>
          <w:szCs w:val="22"/>
          <w:lang w:val="fr-FR"/>
        </w:rPr>
        <w:t xml:space="preserve"> </w:t>
      </w:r>
      <w:r w:rsidR="006E1BAB" w:rsidRPr="005D062F">
        <w:rPr>
          <w:rFonts w:eastAsia="Cambria"/>
          <w:color w:val="000000" w:themeColor="text1"/>
          <w:sz w:val="22"/>
          <w:szCs w:val="22"/>
          <w:lang w:val="fr-FR"/>
        </w:rPr>
        <w:t>à ce</w:t>
      </w:r>
      <w:r w:rsidR="00FF0178" w:rsidRPr="005D062F">
        <w:rPr>
          <w:rFonts w:eastAsia="Cambria"/>
          <w:color w:val="000000" w:themeColor="text1"/>
          <w:sz w:val="22"/>
          <w:szCs w:val="22"/>
          <w:lang w:val="fr-FR"/>
        </w:rPr>
        <w:t xml:space="preserve"> dialogue. </w:t>
      </w:r>
    </w:p>
    <w:p w14:paraId="49CAE010" w14:textId="77777777" w:rsidR="00FF0178" w:rsidRPr="005D062F" w:rsidRDefault="00FF0178" w:rsidP="00723DAD">
      <w:pPr>
        <w:jc w:val="both"/>
        <w:rPr>
          <w:rFonts w:ascii="Times New Roman" w:eastAsia="Calibri" w:hAnsi="Times New Roman" w:cs="Times New Roman"/>
          <w:color w:val="000000" w:themeColor="text1"/>
          <w:sz w:val="22"/>
          <w:szCs w:val="22"/>
          <w:lang w:val="fr-FR"/>
        </w:rPr>
      </w:pPr>
    </w:p>
    <w:p w14:paraId="735E0251" w14:textId="67D2E8DE" w:rsidR="00FF0178" w:rsidRPr="005D062F" w:rsidRDefault="00BB7659" w:rsidP="006E7478">
      <w:pPr>
        <w:pStyle w:val="ListParagraph"/>
        <w:numPr>
          <w:ilvl w:val="0"/>
          <w:numId w:val="35"/>
        </w:numPr>
        <w:ind w:left="1440" w:hanging="720"/>
        <w:contextualSpacing/>
        <w:jc w:val="both"/>
        <w:rPr>
          <w:rFonts w:eastAsia="Cambria"/>
          <w:i/>
          <w:iCs/>
          <w:color w:val="000000" w:themeColor="text1"/>
          <w:sz w:val="22"/>
          <w:szCs w:val="22"/>
          <w:lang w:val="fr-FR"/>
        </w:rPr>
      </w:pPr>
      <w:r w:rsidRPr="005D062F">
        <w:rPr>
          <w:rFonts w:eastAsia="Cambria"/>
          <w:color w:val="000000" w:themeColor="text1"/>
          <w:sz w:val="22"/>
          <w:szCs w:val="22"/>
          <w:lang w:val="fr-FR"/>
        </w:rPr>
        <w:t xml:space="preserve">Il a organisé un atelier continental dans le cadre du </w:t>
      </w:r>
      <w:r w:rsidR="00FF0178" w:rsidRPr="005D062F">
        <w:rPr>
          <w:rFonts w:eastAsia="Cambria"/>
          <w:color w:val="000000" w:themeColor="text1"/>
          <w:sz w:val="22"/>
          <w:szCs w:val="22"/>
          <w:lang w:val="fr-FR"/>
        </w:rPr>
        <w:t>RIAL</w:t>
      </w:r>
      <w:r w:rsidRPr="005D062F">
        <w:rPr>
          <w:rFonts w:eastAsia="Cambria"/>
          <w:color w:val="000000" w:themeColor="text1"/>
          <w:sz w:val="22"/>
          <w:szCs w:val="22"/>
          <w:lang w:val="fr-FR"/>
        </w:rPr>
        <w:t xml:space="preserve"> </w:t>
      </w:r>
      <w:r w:rsidR="002D0407" w:rsidRPr="005D062F">
        <w:rPr>
          <w:rFonts w:eastAsia="Cambria"/>
          <w:color w:val="000000" w:themeColor="text1"/>
          <w:sz w:val="22"/>
          <w:szCs w:val="22"/>
          <w:lang w:val="fr-FR"/>
        </w:rPr>
        <w:t>en vue</w:t>
      </w:r>
      <w:r w:rsidRPr="005D062F">
        <w:rPr>
          <w:rFonts w:eastAsia="Cambria"/>
          <w:color w:val="000000" w:themeColor="text1"/>
          <w:sz w:val="22"/>
          <w:szCs w:val="22"/>
          <w:lang w:val="fr-FR"/>
        </w:rPr>
        <w:t xml:space="preserve"> d’échanger des expériences et de présenter des solutions à l’un des problèmes les plus persistants et complexes que re</w:t>
      </w:r>
      <w:r w:rsidR="002D0407" w:rsidRPr="005D062F">
        <w:rPr>
          <w:rFonts w:eastAsia="Cambria"/>
          <w:color w:val="000000" w:themeColor="text1"/>
          <w:sz w:val="22"/>
          <w:szCs w:val="22"/>
          <w:lang w:val="fr-FR"/>
        </w:rPr>
        <w:t>n</w:t>
      </w:r>
      <w:r w:rsidRPr="005D062F">
        <w:rPr>
          <w:rFonts w:eastAsia="Cambria"/>
          <w:color w:val="000000" w:themeColor="text1"/>
          <w:sz w:val="22"/>
          <w:szCs w:val="22"/>
          <w:lang w:val="fr-FR"/>
        </w:rPr>
        <w:t xml:space="preserve">contre la région concernant le marché du travail : l’emploi </w:t>
      </w:r>
      <w:r w:rsidR="00FF0178" w:rsidRPr="005D062F">
        <w:rPr>
          <w:rFonts w:eastAsia="Cambria"/>
          <w:color w:val="000000" w:themeColor="text1"/>
          <w:sz w:val="22"/>
          <w:szCs w:val="22"/>
          <w:lang w:val="fr-FR"/>
        </w:rPr>
        <w:t>inform</w:t>
      </w:r>
      <w:r w:rsidRPr="005D062F">
        <w:rPr>
          <w:rFonts w:eastAsia="Cambria"/>
          <w:color w:val="000000" w:themeColor="text1"/>
          <w:sz w:val="22"/>
          <w:szCs w:val="22"/>
          <w:lang w:val="fr-FR"/>
        </w:rPr>
        <w:t>el</w:t>
      </w:r>
      <w:r w:rsidR="002D0407" w:rsidRPr="005D062F">
        <w:rPr>
          <w:rFonts w:eastAsia="Cambria"/>
          <w:color w:val="000000" w:themeColor="text1"/>
          <w:sz w:val="22"/>
          <w:szCs w:val="22"/>
          <w:lang w:val="fr-FR"/>
        </w:rPr>
        <w:t>. En octob</w:t>
      </w:r>
      <w:r w:rsidR="00FF0178" w:rsidRPr="005D062F">
        <w:rPr>
          <w:rFonts w:eastAsia="Cambria"/>
          <w:color w:val="000000" w:themeColor="text1"/>
          <w:sz w:val="22"/>
          <w:szCs w:val="22"/>
          <w:lang w:val="fr-FR"/>
        </w:rPr>
        <w:t>r</w:t>
      </w:r>
      <w:r w:rsidR="002D0407" w:rsidRPr="005D062F">
        <w:rPr>
          <w:rFonts w:eastAsia="Cambria"/>
          <w:color w:val="000000" w:themeColor="text1"/>
          <w:sz w:val="22"/>
          <w:szCs w:val="22"/>
          <w:lang w:val="fr-FR"/>
        </w:rPr>
        <w:t>e</w:t>
      </w:r>
      <w:r w:rsidR="00FF0178" w:rsidRPr="005D062F">
        <w:rPr>
          <w:rFonts w:eastAsia="Cambria"/>
          <w:color w:val="000000" w:themeColor="text1"/>
          <w:sz w:val="22"/>
          <w:szCs w:val="22"/>
          <w:lang w:val="fr-FR"/>
        </w:rPr>
        <w:t xml:space="preserve">, </w:t>
      </w:r>
      <w:r w:rsidR="002D0407" w:rsidRPr="005D062F">
        <w:rPr>
          <w:rFonts w:eastAsia="Cambria"/>
          <w:color w:val="000000" w:themeColor="text1"/>
          <w:sz w:val="22"/>
          <w:szCs w:val="22"/>
          <w:lang w:val="fr-FR"/>
        </w:rPr>
        <w:t>à Buenos Aires (Argentine)</w:t>
      </w:r>
      <w:r w:rsidR="00FF0178" w:rsidRPr="005D062F">
        <w:rPr>
          <w:rFonts w:eastAsia="Cambria"/>
          <w:color w:val="000000" w:themeColor="text1"/>
          <w:sz w:val="22"/>
          <w:szCs w:val="22"/>
          <w:lang w:val="fr-FR"/>
        </w:rPr>
        <w:t xml:space="preserve">, </w:t>
      </w:r>
      <w:r w:rsidR="002D0407" w:rsidRPr="005D062F">
        <w:rPr>
          <w:rFonts w:eastAsia="Cambria"/>
          <w:color w:val="000000" w:themeColor="text1"/>
          <w:sz w:val="22"/>
          <w:szCs w:val="22"/>
          <w:lang w:val="fr-FR"/>
        </w:rPr>
        <w:t xml:space="preserve">les fonctionnaires des ministères du travail de </w:t>
      </w:r>
      <w:r w:rsidR="00FF0178" w:rsidRPr="006E7478">
        <w:rPr>
          <w:sz w:val="22"/>
          <w:szCs w:val="22"/>
          <w:lang w:val="fr-FR"/>
        </w:rPr>
        <w:t>24</w:t>
      </w:r>
      <w:r w:rsidR="002D0407" w:rsidRPr="005D062F">
        <w:rPr>
          <w:rFonts w:eastAsia="Cambria"/>
          <w:color w:val="000000" w:themeColor="text1"/>
          <w:sz w:val="22"/>
          <w:szCs w:val="22"/>
          <w:lang w:val="fr-FR"/>
        </w:rPr>
        <w:t xml:space="preserve"> États membres de l’</w:t>
      </w:r>
      <w:r w:rsidR="00FF0178" w:rsidRPr="005D062F">
        <w:rPr>
          <w:rFonts w:eastAsia="Cambria"/>
          <w:color w:val="000000" w:themeColor="text1"/>
          <w:sz w:val="22"/>
          <w:szCs w:val="22"/>
          <w:lang w:val="fr-FR"/>
        </w:rPr>
        <w:t>O</w:t>
      </w:r>
      <w:r w:rsidR="002D0407" w:rsidRPr="005D062F">
        <w:rPr>
          <w:rFonts w:eastAsia="Cambria"/>
          <w:color w:val="000000" w:themeColor="text1"/>
          <w:sz w:val="22"/>
          <w:szCs w:val="22"/>
          <w:lang w:val="fr-FR"/>
        </w:rPr>
        <w:t>E</w:t>
      </w:r>
      <w:r w:rsidR="00FF0178" w:rsidRPr="005D062F">
        <w:rPr>
          <w:rFonts w:eastAsia="Cambria"/>
          <w:color w:val="000000" w:themeColor="text1"/>
          <w:sz w:val="22"/>
          <w:szCs w:val="22"/>
          <w:lang w:val="fr-FR"/>
        </w:rPr>
        <w:t>A</w:t>
      </w:r>
      <w:r w:rsidR="002D0407" w:rsidRPr="005D062F">
        <w:rPr>
          <w:rFonts w:eastAsia="Cambria"/>
          <w:color w:val="000000" w:themeColor="text1"/>
          <w:sz w:val="22"/>
          <w:szCs w:val="22"/>
          <w:lang w:val="fr-FR"/>
        </w:rPr>
        <w:t xml:space="preserve">, les représentants des travailleurs et des </w:t>
      </w:r>
      <w:r w:rsidR="00FF0178" w:rsidRPr="005D062F">
        <w:rPr>
          <w:rFonts w:eastAsia="Cambria"/>
          <w:color w:val="000000" w:themeColor="text1"/>
          <w:sz w:val="22"/>
          <w:szCs w:val="22"/>
          <w:lang w:val="fr-FR"/>
        </w:rPr>
        <w:t>employe</w:t>
      </w:r>
      <w:r w:rsidR="002D0407" w:rsidRPr="005D062F">
        <w:rPr>
          <w:rFonts w:eastAsia="Cambria"/>
          <w:color w:val="000000" w:themeColor="text1"/>
          <w:sz w:val="22"/>
          <w:szCs w:val="22"/>
          <w:lang w:val="fr-FR"/>
        </w:rPr>
        <w:t>u</w:t>
      </w:r>
      <w:r w:rsidR="00FF0178" w:rsidRPr="005D062F">
        <w:rPr>
          <w:rFonts w:eastAsia="Cambria"/>
          <w:color w:val="000000" w:themeColor="text1"/>
          <w:sz w:val="22"/>
          <w:szCs w:val="22"/>
          <w:lang w:val="fr-FR"/>
        </w:rPr>
        <w:t>rs</w:t>
      </w:r>
      <w:r w:rsidR="002D0407" w:rsidRPr="005D062F">
        <w:rPr>
          <w:rFonts w:eastAsia="Cambria"/>
          <w:color w:val="000000" w:themeColor="text1"/>
          <w:sz w:val="22"/>
          <w:szCs w:val="22"/>
          <w:lang w:val="fr-FR"/>
        </w:rPr>
        <w:t xml:space="preserve"> ainsi que</w:t>
      </w:r>
      <w:r w:rsidR="00937D65" w:rsidRPr="005D062F">
        <w:rPr>
          <w:rFonts w:eastAsia="Cambria"/>
          <w:color w:val="000000" w:themeColor="text1"/>
          <w:sz w:val="22"/>
          <w:szCs w:val="22"/>
          <w:lang w:val="fr-FR"/>
        </w:rPr>
        <w:t xml:space="preserve"> les</w:t>
      </w:r>
      <w:r w:rsidR="002D0407" w:rsidRPr="005D062F">
        <w:rPr>
          <w:rFonts w:eastAsia="Cambria"/>
          <w:color w:val="000000" w:themeColor="text1"/>
          <w:sz w:val="22"/>
          <w:szCs w:val="22"/>
          <w:lang w:val="fr-FR"/>
        </w:rPr>
        <w:t xml:space="preserve"> organis</w:t>
      </w:r>
      <w:r w:rsidR="00FF0178" w:rsidRPr="005D062F">
        <w:rPr>
          <w:rFonts w:eastAsia="Cambria"/>
          <w:color w:val="000000" w:themeColor="text1"/>
          <w:sz w:val="22"/>
          <w:szCs w:val="22"/>
          <w:lang w:val="fr-FR"/>
        </w:rPr>
        <w:t>ations</w:t>
      </w:r>
      <w:r w:rsidR="002D0407" w:rsidRPr="005D062F">
        <w:rPr>
          <w:rFonts w:eastAsia="Cambria"/>
          <w:color w:val="000000" w:themeColor="text1"/>
          <w:sz w:val="22"/>
          <w:szCs w:val="22"/>
          <w:lang w:val="fr-FR"/>
        </w:rPr>
        <w:t xml:space="preserve"> internationales</w:t>
      </w:r>
      <w:r w:rsidR="00937D65" w:rsidRPr="005D062F">
        <w:rPr>
          <w:rFonts w:eastAsia="Cambria"/>
          <w:color w:val="000000" w:themeColor="text1"/>
          <w:sz w:val="22"/>
          <w:szCs w:val="22"/>
          <w:lang w:val="fr-FR"/>
        </w:rPr>
        <w:t xml:space="preserve"> ont été convoqués pour un </w:t>
      </w:r>
      <w:r w:rsidR="00937D65" w:rsidRPr="005D062F">
        <w:rPr>
          <w:rFonts w:eastAsia="Cambria"/>
          <w:b/>
          <w:bCs/>
          <w:color w:val="000000" w:themeColor="text1"/>
          <w:sz w:val="22"/>
          <w:szCs w:val="22"/>
          <w:lang w:val="fr-FR"/>
        </w:rPr>
        <w:t>d</w:t>
      </w:r>
      <w:r w:rsidR="00FF0178" w:rsidRPr="005D062F">
        <w:rPr>
          <w:rFonts w:eastAsia="Cambria"/>
          <w:b/>
          <w:bCs/>
          <w:color w:val="000000" w:themeColor="text1"/>
          <w:sz w:val="22"/>
          <w:szCs w:val="22"/>
          <w:lang w:val="fr-FR"/>
        </w:rPr>
        <w:t>ialogue</w:t>
      </w:r>
      <w:r w:rsidR="00937D65" w:rsidRPr="005D062F">
        <w:rPr>
          <w:rFonts w:eastAsia="Cambria"/>
          <w:b/>
          <w:bCs/>
          <w:color w:val="000000" w:themeColor="text1"/>
          <w:sz w:val="22"/>
          <w:szCs w:val="22"/>
          <w:lang w:val="fr-FR"/>
        </w:rPr>
        <w:t xml:space="preserve"> social en faveur d’un passage</w:t>
      </w:r>
      <w:r w:rsidR="00ED69F7" w:rsidRPr="005D062F">
        <w:rPr>
          <w:rFonts w:eastAsia="Cambria"/>
          <w:b/>
          <w:bCs/>
          <w:color w:val="000000" w:themeColor="text1"/>
          <w:sz w:val="22"/>
          <w:szCs w:val="22"/>
          <w:lang w:val="fr-FR"/>
        </w:rPr>
        <w:t>,</w:t>
      </w:r>
      <w:r w:rsidR="00937D65" w:rsidRPr="005D062F">
        <w:rPr>
          <w:rFonts w:eastAsia="Cambria"/>
          <w:b/>
          <w:bCs/>
          <w:color w:val="000000" w:themeColor="text1"/>
          <w:sz w:val="22"/>
          <w:szCs w:val="22"/>
          <w:lang w:val="fr-FR"/>
        </w:rPr>
        <w:t xml:space="preserve"> fondé sur les droits, de l’emploi informel à l’emploi formel. </w:t>
      </w:r>
      <w:r w:rsidR="00937D65" w:rsidRPr="005D062F">
        <w:rPr>
          <w:rFonts w:eastAsia="Cambria"/>
          <w:bCs/>
          <w:color w:val="000000" w:themeColor="text1"/>
          <w:sz w:val="22"/>
          <w:szCs w:val="22"/>
          <w:lang w:val="fr-FR"/>
        </w:rPr>
        <w:t xml:space="preserve">Ils ont déterminé les pratiques optimales dans toute la région et formulé des </w:t>
      </w:r>
      <w:r w:rsidR="00937D65" w:rsidRPr="005D062F">
        <w:rPr>
          <w:rFonts w:eastAsia="Cambria"/>
          <w:color w:val="000000" w:themeColor="text1"/>
          <w:sz w:val="22"/>
          <w:szCs w:val="22"/>
          <w:lang w:val="fr-FR"/>
        </w:rPr>
        <w:t>recomma</w:t>
      </w:r>
      <w:r w:rsidR="00FF0178" w:rsidRPr="005D062F">
        <w:rPr>
          <w:rFonts w:eastAsia="Cambria"/>
          <w:color w:val="000000" w:themeColor="text1"/>
          <w:sz w:val="22"/>
          <w:szCs w:val="22"/>
          <w:lang w:val="fr-FR"/>
        </w:rPr>
        <w:t>ndations</w:t>
      </w:r>
      <w:r w:rsidR="00937D65" w:rsidRPr="005D062F">
        <w:rPr>
          <w:rFonts w:eastAsia="Cambria"/>
          <w:color w:val="000000" w:themeColor="text1"/>
          <w:sz w:val="22"/>
          <w:szCs w:val="22"/>
          <w:lang w:val="fr-FR"/>
        </w:rPr>
        <w:t xml:space="preserve"> visant à traiter le problème de l’emploi informel</w:t>
      </w:r>
      <w:r w:rsidR="00570E1B" w:rsidRPr="005D062F">
        <w:rPr>
          <w:rFonts w:eastAsia="Cambria"/>
          <w:color w:val="000000" w:themeColor="text1"/>
          <w:sz w:val="22"/>
          <w:szCs w:val="22"/>
          <w:lang w:val="fr-FR"/>
        </w:rPr>
        <w:t>.</w:t>
      </w:r>
    </w:p>
    <w:p w14:paraId="48F1A468" w14:textId="77777777" w:rsidR="00FF0178" w:rsidRPr="005D062F" w:rsidRDefault="00FF0178" w:rsidP="00723DAD">
      <w:pPr>
        <w:jc w:val="both"/>
        <w:rPr>
          <w:rFonts w:ascii="Times New Roman" w:eastAsia="Calibri" w:hAnsi="Times New Roman" w:cs="Times New Roman"/>
          <w:color w:val="000000" w:themeColor="text1"/>
          <w:sz w:val="22"/>
          <w:szCs w:val="22"/>
          <w:lang w:val="fr-FR"/>
        </w:rPr>
      </w:pPr>
    </w:p>
    <w:p w14:paraId="793CFC59" w14:textId="20BC7BCE" w:rsidR="00FF0178" w:rsidRPr="005D062F" w:rsidRDefault="00607C5E" w:rsidP="006E7478">
      <w:pPr>
        <w:pStyle w:val="ListParagraph"/>
        <w:numPr>
          <w:ilvl w:val="0"/>
          <w:numId w:val="35"/>
        </w:numPr>
        <w:ind w:left="1440" w:hanging="720"/>
        <w:contextualSpacing/>
        <w:jc w:val="both"/>
        <w:rPr>
          <w:rFonts w:eastAsia="Cambria"/>
          <w:color w:val="000000" w:themeColor="text1"/>
          <w:sz w:val="22"/>
          <w:szCs w:val="22"/>
          <w:lang w:val="fr-FR"/>
        </w:rPr>
      </w:pPr>
      <w:r w:rsidRPr="005D062F">
        <w:rPr>
          <w:rFonts w:eastAsia="Cambria"/>
          <w:color w:val="000000" w:themeColor="text1"/>
          <w:sz w:val="22"/>
          <w:szCs w:val="22"/>
          <w:lang w:val="fr-FR"/>
        </w:rPr>
        <w:t xml:space="preserve">Il a permis d’approfondir la </w:t>
      </w:r>
      <w:r w:rsidR="00FF0178" w:rsidRPr="005D062F">
        <w:rPr>
          <w:rFonts w:eastAsia="Cambria"/>
          <w:color w:val="000000" w:themeColor="text1"/>
          <w:sz w:val="22"/>
          <w:szCs w:val="22"/>
          <w:lang w:val="fr-FR"/>
        </w:rPr>
        <w:t>coop</w:t>
      </w:r>
      <w:r w:rsidRPr="005D062F">
        <w:rPr>
          <w:rFonts w:eastAsia="Cambria"/>
          <w:color w:val="000000" w:themeColor="text1"/>
          <w:sz w:val="22"/>
          <w:szCs w:val="22"/>
          <w:lang w:val="fr-FR"/>
        </w:rPr>
        <w:t>é</w:t>
      </w:r>
      <w:r w:rsidR="00FF0178" w:rsidRPr="005D062F">
        <w:rPr>
          <w:rFonts w:eastAsia="Cambria"/>
          <w:color w:val="000000" w:themeColor="text1"/>
          <w:sz w:val="22"/>
          <w:szCs w:val="22"/>
          <w:lang w:val="fr-FR"/>
        </w:rPr>
        <w:t>ration</w:t>
      </w:r>
      <w:r w:rsidR="006700A8" w:rsidRPr="005D062F">
        <w:rPr>
          <w:rFonts w:eastAsia="Cambria"/>
          <w:color w:val="000000" w:themeColor="text1"/>
          <w:sz w:val="22"/>
          <w:szCs w:val="22"/>
          <w:lang w:val="fr-FR"/>
        </w:rPr>
        <w:t xml:space="preserve"> dans le domaine du travail grâce à l’engagement important des ministres du travail dans le cadre du RIAL. E</w:t>
      </w:r>
      <w:r w:rsidR="00FF0178" w:rsidRPr="005D062F">
        <w:rPr>
          <w:rFonts w:eastAsia="Cambria"/>
          <w:color w:val="000000" w:themeColor="text1"/>
          <w:sz w:val="22"/>
          <w:szCs w:val="22"/>
          <w:lang w:val="fr-FR"/>
        </w:rPr>
        <w:t>n 2022,</w:t>
      </w:r>
      <w:r w:rsidR="006700A8" w:rsidRPr="005D062F">
        <w:rPr>
          <w:rFonts w:eastAsia="Cambria"/>
          <w:color w:val="000000" w:themeColor="text1"/>
          <w:sz w:val="22"/>
          <w:szCs w:val="22"/>
          <w:lang w:val="fr-FR"/>
        </w:rPr>
        <w:t xml:space="preserve"> le</w:t>
      </w:r>
      <w:r w:rsidR="00FF0178" w:rsidRPr="005D062F">
        <w:rPr>
          <w:rFonts w:eastAsia="Cambria"/>
          <w:color w:val="000000" w:themeColor="text1"/>
          <w:sz w:val="22"/>
          <w:szCs w:val="22"/>
          <w:lang w:val="fr-FR"/>
        </w:rPr>
        <w:t xml:space="preserve"> RIAL </w:t>
      </w:r>
      <w:r w:rsidR="006700A8" w:rsidRPr="005D062F">
        <w:rPr>
          <w:rFonts w:eastAsia="Cambria"/>
          <w:color w:val="000000" w:themeColor="text1"/>
          <w:sz w:val="22"/>
          <w:szCs w:val="22"/>
          <w:lang w:val="fr-FR"/>
        </w:rPr>
        <w:t>a mené des activités de coopération virtuelle bilatérale avec la participation des ministres du travail de l’Argentine</w:t>
      </w:r>
      <w:r w:rsidR="00FF0178" w:rsidRPr="005D062F">
        <w:rPr>
          <w:rFonts w:eastAsia="Cambria"/>
          <w:color w:val="000000" w:themeColor="text1"/>
          <w:sz w:val="22"/>
          <w:szCs w:val="22"/>
          <w:lang w:val="fr-FR"/>
        </w:rPr>
        <w:t xml:space="preserve">, </w:t>
      </w:r>
      <w:r w:rsidR="006700A8" w:rsidRPr="005D062F">
        <w:rPr>
          <w:rFonts w:eastAsia="Cambria"/>
          <w:color w:val="000000" w:themeColor="text1"/>
          <w:sz w:val="22"/>
          <w:szCs w:val="22"/>
          <w:lang w:val="fr-FR"/>
        </w:rPr>
        <w:t xml:space="preserve">du </w:t>
      </w:r>
      <w:r w:rsidR="00FF0178" w:rsidRPr="005D062F">
        <w:rPr>
          <w:rFonts w:eastAsia="Cambria"/>
          <w:color w:val="000000" w:themeColor="text1"/>
          <w:sz w:val="22"/>
          <w:szCs w:val="22"/>
          <w:lang w:val="fr-FR"/>
        </w:rPr>
        <w:t xml:space="preserve">Belize, </w:t>
      </w:r>
      <w:r w:rsidR="006700A8" w:rsidRPr="005D062F">
        <w:rPr>
          <w:rFonts w:eastAsia="Cambria"/>
          <w:color w:val="000000" w:themeColor="text1"/>
          <w:sz w:val="22"/>
          <w:szCs w:val="22"/>
          <w:lang w:val="fr-FR"/>
        </w:rPr>
        <w:t>de la Barbade</w:t>
      </w:r>
      <w:r w:rsidR="00FF0178" w:rsidRPr="005D062F">
        <w:rPr>
          <w:rFonts w:eastAsia="Cambria"/>
          <w:color w:val="000000" w:themeColor="text1"/>
          <w:sz w:val="22"/>
          <w:szCs w:val="22"/>
          <w:lang w:val="fr-FR"/>
        </w:rPr>
        <w:t xml:space="preserve">, </w:t>
      </w:r>
      <w:r w:rsidR="006700A8" w:rsidRPr="005D062F">
        <w:rPr>
          <w:rFonts w:eastAsia="Cambria"/>
          <w:color w:val="000000" w:themeColor="text1"/>
          <w:sz w:val="22"/>
          <w:szCs w:val="22"/>
          <w:lang w:val="fr-FR"/>
        </w:rPr>
        <w:t xml:space="preserve">de la </w:t>
      </w:r>
      <w:r w:rsidR="00FF0178" w:rsidRPr="005D062F">
        <w:rPr>
          <w:rFonts w:eastAsia="Cambria"/>
          <w:color w:val="000000" w:themeColor="text1"/>
          <w:sz w:val="22"/>
          <w:szCs w:val="22"/>
          <w:lang w:val="fr-FR"/>
        </w:rPr>
        <w:t>B</w:t>
      </w:r>
      <w:r w:rsidR="006700A8" w:rsidRPr="005D062F">
        <w:rPr>
          <w:rFonts w:eastAsia="Cambria"/>
          <w:color w:val="000000" w:themeColor="text1"/>
          <w:sz w:val="22"/>
          <w:szCs w:val="22"/>
          <w:lang w:val="fr-FR"/>
        </w:rPr>
        <w:t>olivie</w:t>
      </w:r>
      <w:r w:rsidR="00FF0178" w:rsidRPr="005D062F">
        <w:rPr>
          <w:rFonts w:eastAsia="Cambria"/>
          <w:color w:val="000000" w:themeColor="text1"/>
          <w:sz w:val="22"/>
          <w:szCs w:val="22"/>
          <w:lang w:val="fr-FR"/>
        </w:rPr>
        <w:t>,</w:t>
      </w:r>
      <w:r w:rsidR="006700A8" w:rsidRPr="005D062F">
        <w:rPr>
          <w:rFonts w:eastAsia="Cambria"/>
          <w:color w:val="000000" w:themeColor="text1"/>
          <w:sz w:val="22"/>
          <w:szCs w:val="22"/>
          <w:lang w:val="fr-FR"/>
        </w:rPr>
        <w:t xml:space="preserve"> de la</w:t>
      </w:r>
      <w:r w:rsidR="00FF0178" w:rsidRPr="005D062F">
        <w:rPr>
          <w:rFonts w:eastAsia="Cambria"/>
          <w:color w:val="000000" w:themeColor="text1"/>
          <w:sz w:val="22"/>
          <w:szCs w:val="22"/>
          <w:lang w:val="fr-FR"/>
        </w:rPr>
        <w:t xml:space="preserve"> Colom</w:t>
      </w:r>
      <w:r w:rsidR="006700A8" w:rsidRPr="005D062F">
        <w:rPr>
          <w:rFonts w:eastAsia="Cambria"/>
          <w:color w:val="000000" w:themeColor="text1"/>
          <w:sz w:val="22"/>
          <w:szCs w:val="22"/>
          <w:lang w:val="fr-FR"/>
        </w:rPr>
        <w:t>bie</w:t>
      </w:r>
      <w:r w:rsidR="00FF0178" w:rsidRPr="005D062F">
        <w:rPr>
          <w:rFonts w:eastAsia="Cambria"/>
          <w:color w:val="000000" w:themeColor="text1"/>
          <w:sz w:val="22"/>
          <w:szCs w:val="22"/>
          <w:lang w:val="fr-FR"/>
        </w:rPr>
        <w:t xml:space="preserve">, </w:t>
      </w:r>
      <w:r w:rsidR="006700A8" w:rsidRPr="005D062F">
        <w:rPr>
          <w:rFonts w:eastAsia="Cambria"/>
          <w:color w:val="000000" w:themeColor="text1"/>
          <w:sz w:val="22"/>
          <w:szCs w:val="22"/>
          <w:lang w:val="fr-FR"/>
        </w:rPr>
        <w:t>de l’Équateu</w:t>
      </w:r>
      <w:r w:rsidR="00FF0178" w:rsidRPr="005D062F">
        <w:rPr>
          <w:rFonts w:eastAsia="Cambria"/>
          <w:color w:val="000000" w:themeColor="text1"/>
          <w:sz w:val="22"/>
          <w:szCs w:val="22"/>
          <w:lang w:val="fr-FR"/>
        </w:rPr>
        <w:t xml:space="preserve">r, </w:t>
      </w:r>
      <w:r w:rsidR="006700A8" w:rsidRPr="005D062F">
        <w:rPr>
          <w:rFonts w:eastAsia="Cambria"/>
          <w:color w:val="000000" w:themeColor="text1"/>
          <w:sz w:val="22"/>
          <w:szCs w:val="22"/>
          <w:lang w:val="fr-FR"/>
        </w:rPr>
        <w:t xml:space="preserve">du </w:t>
      </w:r>
      <w:r w:rsidR="00FF0178" w:rsidRPr="005D062F">
        <w:rPr>
          <w:rFonts w:eastAsia="Cambria"/>
          <w:color w:val="000000" w:themeColor="text1"/>
          <w:sz w:val="22"/>
          <w:szCs w:val="22"/>
          <w:lang w:val="fr-FR"/>
        </w:rPr>
        <w:t xml:space="preserve">Guatemala, </w:t>
      </w:r>
      <w:r w:rsidR="006700A8" w:rsidRPr="005D062F">
        <w:rPr>
          <w:rFonts w:eastAsia="Cambria"/>
          <w:color w:val="000000" w:themeColor="text1"/>
          <w:sz w:val="22"/>
          <w:szCs w:val="22"/>
          <w:lang w:val="fr-FR"/>
        </w:rPr>
        <w:t xml:space="preserve">du </w:t>
      </w:r>
      <w:r w:rsidR="00FF0178" w:rsidRPr="005D062F">
        <w:rPr>
          <w:rFonts w:eastAsia="Cambria"/>
          <w:color w:val="000000" w:themeColor="text1"/>
          <w:sz w:val="22"/>
          <w:szCs w:val="22"/>
          <w:lang w:val="fr-FR"/>
        </w:rPr>
        <w:t xml:space="preserve">Panama, </w:t>
      </w:r>
      <w:r w:rsidR="006700A8" w:rsidRPr="005D062F">
        <w:rPr>
          <w:rFonts w:eastAsia="Cambria"/>
          <w:color w:val="000000" w:themeColor="text1"/>
          <w:sz w:val="22"/>
          <w:szCs w:val="22"/>
          <w:lang w:val="fr-FR"/>
        </w:rPr>
        <w:t>du Paraguay, du Pé</w:t>
      </w:r>
      <w:r w:rsidR="00FF0178" w:rsidRPr="005D062F">
        <w:rPr>
          <w:rFonts w:eastAsia="Cambria"/>
          <w:color w:val="000000" w:themeColor="text1"/>
          <w:sz w:val="22"/>
          <w:szCs w:val="22"/>
          <w:lang w:val="fr-FR"/>
        </w:rPr>
        <w:t>r</w:t>
      </w:r>
      <w:r w:rsidR="00C315B6" w:rsidRPr="005D062F">
        <w:rPr>
          <w:rFonts w:eastAsia="Cambria"/>
          <w:color w:val="000000" w:themeColor="text1"/>
          <w:sz w:val="22"/>
          <w:szCs w:val="22"/>
          <w:lang w:val="fr-FR"/>
        </w:rPr>
        <w:t>o</w:t>
      </w:r>
      <w:r w:rsidR="00FF0178" w:rsidRPr="005D062F">
        <w:rPr>
          <w:rFonts w:eastAsia="Cambria"/>
          <w:color w:val="000000" w:themeColor="text1"/>
          <w:sz w:val="22"/>
          <w:szCs w:val="22"/>
          <w:lang w:val="fr-FR"/>
        </w:rPr>
        <w:t>u</w:t>
      </w:r>
      <w:r w:rsidR="006700A8" w:rsidRPr="005D062F">
        <w:rPr>
          <w:rFonts w:eastAsia="Cambria"/>
          <w:color w:val="000000" w:themeColor="text1"/>
          <w:sz w:val="22"/>
          <w:szCs w:val="22"/>
          <w:lang w:val="fr-FR"/>
        </w:rPr>
        <w:t xml:space="preserve"> et de l’</w:t>
      </w:r>
      <w:r w:rsidR="00FF0178" w:rsidRPr="005D062F">
        <w:rPr>
          <w:rFonts w:eastAsia="Cambria"/>
          <w:color w:val="000000" w:themeColor="text1"/>
          <w:sz w:val="22"/>
          <w:szCs w:val="22"/>
          <w:lang w:val="fr-FR"/>
        </w:rPr>
        <w:t>Uruguay,</w:t>
      </w:r>
      <w:r w:rsidR="006700A8" w:rsidRPr="005D062F">
        <w:rPr>
          <w:rFonts w:eastAsia="Cambria"/>
          <w:color w:val="000000" w:themeColor="text1"/>
          <w:sz w:val="22"/>
          <w:szCs w:val="22"/>
          <w:lang w:val="fr-FR"/>
        </w:rPr>
        <w:t xml:space="preserve"> en leur per</w:t>
      </w:r>
      <w:r w:rsidR="00C315B6" w:rsidRPr="005D062F">
        <w:rPr>
          <w:rFonts w:eastAsia="Cambria"/>
          <w:color w:val="000000" w:themeColor="text1"/>
          <w:sz w:val="22"/>
          <w:szCs w:val="22"/>
          <w:lang w:val="fr-FR"/>
        </w:rPr>
        <w:t>m</w:t>
      </w:r>
      <w:r w:rsidR="006700A8" w:rsidRPr="005D062F">
        <w:rPr>
          <w:rFonts w:eastAsia="Cambria"/>
          <w:color w:val="000000" w:themeColor="text1"/>
          <w:sz w:val="22"/>
          <w:szCs w:val="22"/>
          <w:lang w:val="fr-FR"/>
        </w:rPr>
        <w:t xml:space="preserve">ettant de renforcer leurs capacités et d’élaborer des produits spécifiques concernant la santé et la sécurité au travail, les services d’inspection du travail, le cadre des qualifications nationales, les stratégies visant à prévenir la violence sexiste au travail, </w:t>
      </w:r>
      <w:r w:rsidR="00C315B6" w:rsidRPr="005D062F">
        <w:rPr>
          <w:rFonts w:eastAsia="Cambria"/>
          <w:color w:val="000000" w:themeColor="text1"/>
          <w:sz w:val="22"/>
          <w:szCs w:val="22"/>
          <w:lang w:val="fr-FR"/>
        </w:rPr>
        <w:t xml:space="preserve">l’identification des entreprises et personnes recourant au travail des enfants </w:t>
      </w:r>
      <w:r w:rsidR="006700A8" w:rsidRPr="005D062F">
        <w:rPr>
          <w:rFonts w:eastAsia="Cambria"/>
          <w:color w:val="000000" w:themeColor="text1"/>
          <w:sz w:val="22"/>
          <w:szCs w:val="22"/>
          <w:lang w:val="fr-FR"/>
        </w:rPr>
        <w:t>ainsi que les signes d’exploitation</w:t>
      </w:r>
      <w:r w:rsidR="00C315B6" w:rsidRPr="005D062F">
        <w:rPr>
          <w:rFonts w:eastAsia="Cambria"/>
          <w:color w:val="000000" w:themeColor="text1"/>
          <w:sz w:val="22"/>
          <w:szCs w:val="22"/>
          <w:lang w:val="fr-FR"/>
        </w:rPr>
        <w:t xml:space="preserve"> au travail. En novemb</w:t>
      </w:r>
      <w:r w:rsidR="00FF0178" w:rsidRPr="005D062F">
        <w:rPr>
          <w:rFonts w:eastAsia="Cambria"/>
          <w:color w:val="000000" w:themeColor="text1"/>
          <w:sz w:val="22"/>
          <w:szCs w:val="22"/>
          <w:lang w:val="fr-FR"/>
        </w:rPr>
        <w:t>r</w:t>
      </w:r>
      <w:r w:rsidR="00C315B6" w:rsidRPr="005D062F">
        <w:rPr>
          <w:rFonts w:eastAsia="Cambria"/>
          <w:color w:val="000000" w:themeColor="text1"/>
          <w:sz w:val="22"/>
          <w:szCs w:val="22"/>
          <w:lang w:val="fr-FR"/>
        </w:rPr>
        <w:t>e</w:t>
      </w:r>
      <w:r w:rsidR="00FF0178" w:rsidRPr="005D062F">
        <w:rPr>
          <w:rFonts w:eastAsia="Cambria"/>
          <w:color w:val="000000" w:themeColor="text1"/>
          <w:sz w:val="22"/>
          <w:szCs w:val="22"/>
          <w:lang w:val="fr-FR"/>
        </w:rPr>
        <w:t xml:space="preserve"> 2022, </w:t>
      </w:r>
      <w:r w:rsidR="00C315B6" w:rsidRPr="005D062F">
        <w:rPr>
          <w:rFonts w:eastAsia="Cambria"/>
          <w:color w:val="000000" w:themeColor="text1"/>
          <w:sz w:val="22"/>
          <w:szCs w:val="22"/>
          <w:lang w:val="fr-FR"/>
        </w:rPr>
        <w:t xml:space="preserve">le </w:t>
      </w:r>
      <w:r w:rsidR="00FF0178" w:rsidRPr="005D062F">
        <w:rPr>
          <w:rFonts w:eastAsia="Cambria"/>
          <w:color w:val="000000" w:themeColor="text1"/>
          <w:sz w:val="22"/>
          <w:szCs w:val="22"/>
          <w:lang w:val="fr-FR"/>
        </w:rPr>
        <w:t xml:space="preserve">RIAL </w:t>
      </w:r>
      <w:r w:rsidR="00C315B6" w:rsidRPr="005D062F">
        <w:rPr>
          <w:rFonts w:eastAsia="Cambria"/>
          <w:color w:val="000000" w:themeColor="text1"/>
          <w:sz w:val="22"/>
          <w:szCs w:val="22"/>
          <w:lang w:val="fr-FR"/>
        </w:rPr>
        <w:t xml:space="preserve">a dirigé </w:t>
      </w:r>
      <w:r w:rsidR="00C315B6" w:rsidRPr="006E7478">
        <w:rPr>
          <w:sz w:val="22"/>
          <w:szCs w:val="22"/>
          <w:lang w:val="fr-FR"/>
        </w:rPr>
        <w:t>une</w:t>
      </w:r>
      <w:r w:rsidR="00C315B6" w:rsidRPr="005D062F">
        <w:rPr>
          <w:rFonts w:eastAsia="Cambria"/>
          <w:color w:val="000000" w:themeColor="text1"/>
          <w:sz w:val="22"/>
          <w:szCs w:val="22"/>
          <w:lang w:val="fr-FR"/>
        </w:rPr>
        <w:t xml:space="preserve"> activité de coopération bilatérale en présentiel, au cours de laquelle des fonctionnaires panaméens ont bénéficié d’une formation sur site dispensée par le Chili sur les services d’inspection du travail dans le secteur minier</w:t>
      </w:r>
      <w:r w:rsidR="00FF0178" w:rsidRPr="005D062F">
        <w:rPr>
          <w:rFonts w:eastAsia="Cambria"/>
          <w:color w:val="000000" w:themeColor="text1"/>
          <w:sz w:val="22"/>
          <w:szCs w:val="22"/>
          <w:lang w:val="fr-FR"/>
        </w:rPr>
        <w:t>.</w:t>
      </w:r>
    </w:p>
    <w:p w14:paraId="33A9E8FB" w14:textId="77777777" w:rsidR="00FF0178" w:rsidRPr="005D062F" w:rsidRDefault="00FF0178" w:rsidP="00723DAD">
      <w:pPr>
        <w:jc w:val="both"/>
        <w:rPr>
          <w:rFonts w:ascii="Times New Roman" w:eastAsia="Calibri" w:hAnsi="Times New Roman" w:cs="Times New Roman"/>
          <w:color w:val="000000" w:themeColor="text1"/>
          <w:sz w:val="22"/>
          <w:szCs w:val="22"/>
          <w:lang w:val="fr-FR"/>
        </w:rPr>
      </w:pPr>
    </w:p>
    <w:p w14:paraId="185BA866" w14:textId="13577D8D" w:rsidR="00FF0178" w:rsidRPr="005D062F" w:rsidRDefault="00ED69F7" w:rsidP="006E7478">
      <w:pPr>
        <w:pStyle w:val="ListParagraph"/>
        <w:numPr>
          <w:ilvl w:val="0"/>
          <w:numId w:val="35"/>
        </w:numPr>
        <w:ind w:left="1440" w:hanging="720"/>
        <w:contextualSpacing/>
        <w:jc w:val="both"/>
        <w:rPr>
          <w:rFonts w:eastAsia="Cambria"/>
          <w:color w:val="000000" w:themeColor="text1"/>
          <w:sz w:val="22"/>
          <w:szCs w:val="22"/>
          <w:lang w:val="fr-FR"/>
        </w:rPr>
      </w:pPr>
      <w:r w:rsidRPr="005D062F">
        <w:rPr>
          <w:rFonts w:eastAsia="Cambria"/>
          <w:color w:val="000000" w:themeColor="text1"/>
          <w:sz w:val="22"/>
          <w:szCs w:val="22"/>
          <w:lang w:val="fr-FR"/>
        </w:rPr>
        <w:t xml:space="preserve">Le </w:t>
      </w:r>
      <w:r w:rsidR="00FF0178" w:rsidRPr="005D062F">
        <w:rPr>
          <w:rFonts w:eastAsia="Cambria"/>
          <w:color w:val="000000" w:themeColor="text1"/>
          <w:sz w:val="22"/>
          <w:szCs w:val="22"/>
          <w:lang w:val="fr-FR"/>
        </w:rPr>
        <w:t xml:space="preserve">SEDI </w:t>
      </w:r>
      <w:r w:rsidRPr="005D062F">
        <w:rPr>
          <w:rFonts w:eastAsia="Cambria"/>
          <w:color w:val="000000" w:themeColor="text1"/>
          <w:sz w:val="22"/>
          <w:szCs w:val="22"/>
          <w:lang w:val="fr-FR"/>
        </w:rPr>
        <w:t xml:space="preserve">a élaboré et publié le </w:t>
      </w:r>
      <w:r w:rsidR="00FF0178" w:rsidRPr="005D062F">
        <w:rPr>
          <w:rFonts w:eastAsia="Cambria"/>
          <w:b/>
          <w:bCs/>
          <w:color w:val="000000" w:themeColor="text1"/>
          <w:sz w:val="22"/>
          <w:szCs w:val="22"/>
          <w:lang w:val="fr-FR"/>
        </w:rPr>
        <w:t>Port</w:t>
      </w:r>
      <w:r w:rsidR="00233936" w:rsidRPr="005D062F">
        <w:rPr>
          <w:rFonts w:eastAsia="Cambria"/>
          <w:b/>
          <w:bCs/>
          <w:color w:val="000000" w:themeColor="text1"/>
          <w:sz w:val="22"/>
          <w:szCs w:val="22"/>
          <w:lang w:val="fr-FR"/>
        </w:rPr>
        <w:t xml:space="preserve">efeuille de lois et </w:t>
      </w:r>
      <w:r w:rsidR="000010D4" w:rsidRPr="005D062F">
        <w:rPr>
          <w:rFonts w:eastAsia="Cambria"/>
          <w:b/>
          <w:bCs/>
          <w:color w:val="000000" w:themeColor="text1"/>
          <w:sz w:val="22"/>
          <w:szCs w:val="22"/>
          <w:lang w:val="fr-FR"/>
        </w:rPr>
        <w:t>réglementations en matière de télétravail</w:t>
      </w:r>
      <w:r w:rsidR="00FF0178" w:rsidRPr="005D062F">
        <w:rPr>
          <w:rFonts w:eastAsia="Cambria"/>
          <w:bCs/>
          <w:color w:val="000000" w:themeColor="text1"/>
          <w:sz w:val="22"/>
          <w:szCs w:val="22"/>
          <w:lang w:val="fr-FR"/>
        </w:rPr>
        <w:t>,</w:t>
      </w:r>
      <w:r w:rsidR="00FF0178" w:rsidRPr="005D062F">
        <w:rPr>
          <w:rFonts w:eastAsia="Cambria"/>
          <w:color w:val="000000" w:themeColor="text1"/>
          <w:sz w:val="22"/>
          <w:szCs w:val="22"/>
          <w:lang w:val="fr-FR"/>
        </w:rPr>
        <w:t xml:space="preserve"> </w:t>
      </w:r>
      <w:r w:rsidRPr="005D062F">
        <w:rPr>
          <w:rFonts w:eastAsia="Cambria"/>
          <w:color w:val="000000" w:themeColor="text1"/>
          <w:sz w:val="22"/>
          <w:szCs w:val="22"/>
          <w:lang w:val="fr-FR"/>
        </w:rPr>
        <w:t>disponible</w:t>
      </w:r>
      <w:r w:rsidR="00FF0178" w:rsidRPr="005D062F">
        <w:rPr>
          <w:rFonts w:eastAsia="Cambria"/>
          <w:color w:val="000000" w:themeColor="text1"/>
          <w:sz w:val="22"/>
          <w:szCs w:val="22"/>
          <w:lang w:val="fr-FR"/>
        </w:rPr>
        <w:t xml:space="preserve"> </w:t>
      </w:r>
      <w:hyperlink r:id="rId21" w:history="1">
        <w:r w:rsidRPr="005D062F">
          <w:rPr>
            <w:rStyle w:val="Hyperlink"/>
            <w:rFonts w:eastAsia="Cambria"/>
            <w:sz w:val="22"/>
            <w:szCs w:val="22"/>
            <w:lang w:val="fr-FR"/>
          </w:rPr>
          <w:t>ici</w:t>
        </w:r>
      </w:hyperlink>
      <w:r w:rsidR="005C4B6D" w:rsidRPr="005D062F">
        <w:rPr>
          <w:rFonts w:eastAsia="Cambria"/>
          <w:color w:val="000000" w:themeColor="text1"/>
          <w:sz w:val="22"/>
          <w:szCs w:val="22"/>
          <w:lang w:val="fr-FR"/>
        </w:rPr>
        <w:t xml:space="preserve"> </w:t>
      </w:r>
      <w:r w:rsidRPr="005D062F">
        <w:rPr>
          <w:rFonts w:eastAsia="Cambria"/>
          <w:color w:val="000000" w:themeColor="text1"/>
          <w:sz w:val="22"/>
          <w:szCs w:val="22"/>
          <w:lang w:val="fr-FR"/>
        </w:rPr>
        <w:t xml:space="preserve">(en anglais seulement) sur le site Web du </w:t>
      </w:r>
      <w:r w:rsidR="00FF0178" w:rsidRPr="005D062F">
        <w:rPr>
          <w:rFonts w:eastAsia="Cambria"/>
          <w:color w:val="000000" w:themeColor="text1"/>
          <w:sz w:val="22"/>
          <w:szCs w:val="22"/>
          <w:lang w:val="fr-FR"/>
        </w:rPr>
        <w:t>RIAL</w:t>
      </w:r>
      <w:r w:rsidRPr="005D062F">
        <w:rPr>
          <w:rFonts w:eastAsia="Cambria"/>
          <w:color w:val="000000" w:themeColor="text1"/>
          <w:sz w:val="22"/>
          <w:szCs w:val="22"/>
          <w:lang w:val="fr-FR"/>
        </w:rPr>
        <w:t xml:space="preserve">. Ce portefeuille regroupe plus de </w:t>
      </w:r>
      <w:r w:rsidR="00FF0178" w:rsidRPr="005D062F">
        <w:rPr>
          <w:rFonts w:eastAsia="Cambria"/>
          <w:color w:val="000000" w:themeColor="text1"/>
          <w:sz w:val="22"/>
          <w:szCs w:val="22"/>
          <w:lang w:val="fr-FR"/>
        </w:rPr>
        <w:t>90 l</w:t>
      </w:r>
      <w:r w:rsidRPr="005D062F">
        <w:rPr>
          <w:rFonts w:eastAsia="Cambria"/>
          <w:color w:val="000000" w:themeColor="text1"/>
          <w:sz w:val="22"/>
          <w:szCs w:val="22"/>
          <w:lang w:val="fr-FR"/>
        </w:rPr>
        <w:t xml:space="preserve">ois, réglementations, </w:t>
      </w:r>
      <w:r w:rsidR="00FF0178" w:rsidRPr="005D062F">
        <w:rPr>
          <w:rFonts w:eastAsia="Cambria"/>
          <w:color w:val="000000" w:themeColor="text1"/>
          <w:sz w:val="22"/>
          <w:szCs w:val="22"/>
          <w:lang w:val="fr-FR"/>
        </w:rPr>
        <w:t>r</w:t>
      </w:r>
      <w:r w:rsidRPr="005D062F">
        <w:rPr>
          <w:rFonts w:eastAsia="Cambria"/>
          <w:color w:val="000000" w:themeColor="text1"/>
          <w:sz w:val="22"/>
          <w:szCs w:val="22"/>
          <w:lang w:val="fr-FR"/>
        </w:rPr>
        <w:t>é</w:t>
      </w:r>
      <w:r w:rsidR="00FF0178" w:rsidRPr="005D062F">
        <w:rPr>
          <w:rFonts w:eastAsia="Cambria"/>
          <w:color w:val="000000" w:themeColor="text1"/>
          <w:sz w:val="22"/>
          <w:szCs w:val="22"/>
          <w:lang w:val="fr-FR"/>
        </w:rPr>
        <w:t>solutions</w:t>
      </w:r>
      <w:r w:rsidRPr="005D062F">
        <w:rPr>
          <w:rFonts w:eastAsia="Cambria"/>
          <w:color w:val="000000" w:themeColor="text1"/>
          <w:sz w:val="22"/>
          <w:szCs w:val="22"/>
          <w:lang w:val="fr-FR"/>
        </w:rPr>
        <w:t xml:space="preserve"> et d’autres </w:t>
      </w:r>
      <w:r w:rsidR="00FF0178" w:rsidRPr="005D062F">
        <w:rPr>
          <w:rFonts w:eastAsia="Cambria"/>
          <w:color w:val="000000" w:themeColor="text1"/>
          <w:sz w:val="22"/>
          <w:szCs w:val="22"/>
          <w:lang w:val="fr-FR"/>
        </w:rPr>
        <w:t xml:space="preserve">instruments </w:t>
      </w:r>
      <w:r w:rsidRPr="005D062F">
        <w:rPr>
          <w:rFonts w:eastAsia="Cambria"/>
          <w:color w:val="000000" w:themeColor="text1"/>
          <w:sz w:val="22"/>
          <w:szCs w:val="22"/>
          <w:lang w:val="fr-FR"/>
        </w:rPr>
        <w:t xml:space="preserve">réglementaires de </w:t>
      </w:r>
      <w:r w:rsidR="00FF0178" w:rsidRPr="005D062F">
        <w:rPr>
          <w:rFonts w:eastAsia="Cambria"/>
          <w:color w:val="000000" w:themeColor="text1"/>
          <w:sz w:val="22"/>
          <w:szCs w:val="22"/>
          <w:lang w:val="fr-FR"/>
        </w:rPr>
        <w:t xml:space="preserve">23 </w:t>
      </w:r>
      <w:r w:rsidRPr="005D062F">
        <w:rPr>
          <w:rFonts w:eastAsia="Cambria"/>
          <w:color w:val="000000" w:themeColor="text1"/>
          <w:sz w:val="22"/>
          <w:szCs w:val="22"/>
          <w:lang w:val="fr-FR"/>
        </w:rPr>
        <w:t>États membres</w:t>
      </w:r>
      <w:r w:rsidR="005C4B6D" w:rsidRPr="005D062F">
        <w:rPr>
          <w:rFonts w:eastAsia="Cambria"/>
          <w:color w:val="000000" w:themeColor="text1"/>
          <w:sz w:val="22"/>
          <w:szCs w:val="22"/>
          <w:lang w:val="fr-FR"/>
        </w:rPr>
        <w:t>.</w:t>
      </w:r>
      <w:r w:rsidR="000010D4" w:rsidRPr="005D062F">
        <w:rPr>
          <w:rFonts w:eastAsia="Cambria"/>
          <w:color w:val="000000" w:themeColor="text1"/>
          <w:sz w:val="22"/>
          <w:szCs w:val="22"/>
          <w:lang w:val="fr-FR"/>
        </w:rPr>
        <w:t xml:space="preserve"> Il constitue un </w:t>
      </w:r>
      <w:r w:rsidR="00124DD4" w:rsidRPr="005D062F">
        <w:rPr>
          <w:rFonts w:eastAsia="Cambria"/>
          <w:color w:val="000000" w:themeColor="text1"/>
          <w:sz w:val="22"/>
          <w:szCs w:val="22"/>
          <w:lang w:val="fr-FR"/>
        </w:rPr>
        <w:t>répertoire</w:t>
      </w:r>
      <w:r w:rsidR="00233936" w:rsidRPr="005D062F">
        <w:rPr>
          <w:rFonts w:eastAsia="Cambria"/>
          <w:color w:val="000000" w:themeColor="text1"/>
          <w:sz w:val="22"/>
          <w:szCs w:val="22"/>
          <w:lang w:val="fr-FR"/>
        </w:rPr>
        <w:t xml:space="preserve"> utile </w:t>
      </w:r>
      <w:r w:rsidR="00233936" w:rsidRPr="006E7478">
        <w:rPr>
          <w:sz w:val="22"/>
          <w:szCs w:val="22"/>
          <w:lang w:val="fr-FR"/>
        </w:rPr>
        <w:t>d’informations</w:t>
      </w:r>
      <w:r w:rsidR="00233936" w:rsidRPr="005D062F">
        <w:rPr>
          <w:rFonts w:eastAsia="Cambria"/>
          <w:color w:val="000000" w:themeColor="text1"/>
          <w:sz w:val="22"/>
          <w:szCs w:val="22"/>
          <w:lang w:val="fr-FR"/>
        </w:rPr>
        <w:t xml:space="preserve"> et de documents de recherche </w:t>
      </w:r>
      <w:r w:rsidR="000010D4" w:rsidRPr="005D062F">
        <w:rPr>
          <w:rFonts w:eastAsia="Cambria"/>
          <w:color w:val="000000" w:themeColor="text1"/>
          <w:sz w:val="22"/>
          <w:szCs w:val="22"/>
          <w:lang w:val="fr-FR"/>
        </w:rPr>
        <w:t>ainsi qu’une source de référence stratégique pour les autres pays qui s’attachent à faire avancer les efforts déployés dans ce domaine</w:t>
      </w:r>
      <w:r w:rsidR="00FF0178" w:rsidRPr="005D062F">
        <w:rPr>
          <w:rFonts w:eastAsia="Cambria"/>
          <w:color w:val="000000" w:themeColor="text1"/>
          <w:sz w:val="22"/>
          <w:szCs w:val="22"/>
          <w:lang w:val="fr-FR"/>
        </w:rPr>
        <w:t>.</w:t>
      </w:r>
    </w:p>
    <w:p w14:paraId="2285CF58" w14:textId="3CA39B23" w:rsidR="00A427C5" w:rsidRPr="005D062F" w:rsidRDefault="00A427C5" w:rsidP="00CB030B">
      <w:pPr>
        <w:rPr>
          <w:rFonts w:ascii="Times New Roman" w:hAnsi="Times New Roman" w:cs="Times New Roman"/>
          <w:sz w:val="22"/>
          <w:szCs w:val="22"/>
          <w:lang w:val="fr-FR"/>
        </w:rPr>
      </w:pPr>
    </w:p>
    <w:p w14:paraId="6B83612F" w14:textId="77777777" w:rsidR="003631D7" w:rsidRPr="005D062F" w:rsidRDefault="003631D7" w:rsidP="00CB030B">
      <w:pPr>
        <w:rPr>
          <w:rFonts w:ascii="Times New Roman" w:hAnsi="Times New Roman" w:cs="Times New Roman"/>
          <w:sz w:val="22"/>
          <w:szCs w:val="22"/>
          <w:lang w:val="fr-FR"/>
        </w:rPr>
      </w:pPr>
    </w:p>
    <w:p w14:paraId="78B87EA4" w14:textId="3E5BC0E7" w:rsidR="00BF4B76" w:rsidRPr="00002E24" w:rsidRDefault="00EA3A90" w:rsidP="00002E24">
      <w:pPr>
        <w:pStyle w:val="Heading1"/>
      </w:pPr>
      <w:bookmarkStart w:id="29" w:name="_Toc124243417"/>
      <w:r w:rsidRPr="005D062F">
        <w:t>LIGNE STRATÉGIQUE</w:t>
      </w:r>
      <w:r w:rsidR="00BF4B76" w:rsidRPr="005D062F">
        <w:t xml:space="preserve"> 5</w:t>
      </w:r>
      <w:bookmarkEnd w:id="29"/>
    </w:p>
    <w:p w14:paraId="4724DA26" w14:textId="3D67956C" w:rsidR="00A427C5" w:rsidRPr="005D062F" w:rsidRDefault="00790EF2" w:rsidP="002F3303">
      <w:pPr>
        <w:pBdr>
          <w:bottom w:val="single" w:sz="6" w:space="1" w:color="auto"/>
        </w:pBdr>
        <w:jc w:val="both"/>
        <w:rPr>
          <w:rFonts w:ascii="Times New Roman" w:hAnsi="Times New Roman" w:cs="Times New Roman"/>
          <w:sz w:val="22"/>
          <w:szCs w:val="22"/>
          <w:lang w:val="fr-FR"/>
        </w:rPr>
      </w:pPr>
      <w:r w:rsidRPr="005D062F">
        <w:rPr>
          <w:rFonts w:ascii="Times New Roman" w:hAnsi="Times New Roman" w:cs="Times New Roman"/>
          <w:sz w:val="22"/>
          <w:szCs w:val="22"/>
          <w:lang w:val="fr-FR"/>
        </w:rPr>
        <w:t xml:space="preserve">ENCOURAGER LA </w:t>
      </w:r>
      <w:r w:rsidR="00A427C5" w:rsidRPr="005D062F">
        <w:rPr>
          <w:rFonts w:ascii="Times New Roman" w:hAnsi="Times New Roman" w:cs="Times New Roman"/>
          <w:sz w:val="22"/>
          <w:szCs w:val="22"/>
          <w:lang w:val="fr-FR"/>
        </w:rPr>
        <w:t>COOP</w:t>
      </w:r>
      <w:r w:rsidRPr="005D062F">
        <w:rPr>
          <w:rFonts w:ascii="Times New Roman" w:hAnsi="Times New Roman" w:cs="Times New Roman"/>
          <w:sz w:val="22"/>
          <w:szCs w:val="22"/>
          <w:lang w:val="fr-FR"/>
        </w:rPr>
        <w:t>É</w:t>
      </w:r>
      <w:r w:rsidR="00A427C5" w:rsidRPr="005D062F">
        <w:rPr>
          <w:rFonts w:ascii="Times New Roman" w:hAnsi="Times New Roman" w:cs="Times New Roman"/>
          <w:sz w:val="22"/>
          <w:szCs w:val="22"/>
          <w:lang w:val="fr-FR"/>
        </w:rPr>
        <w:t xml:space="preserve">RATION </w:t>
      </w:r>
      <w:r w:rsidRPr="005D062F">
        <w:rPr>
          <w:rFonts w:ascii="Times New Roman" w:hAnsi="Times New Roman" w:cs="Times New Roman"/>
          <w:sz w:val="22"/>
          <w:szCs w:val="22"/>
          <w:lang w:val="fr-FR"/>
        </w:rPr>
        <w:t xml:space="preserve">POUR LE DÉVELOPPEMENT ET LA CRÉATION DE </w:t>
      </w:r>
      <w:r w:rsidR="00A427C5" w:rsidRPr="005D062F">
        <w:rPr>
          <w:rFonts w:ascii="Times New Roman" w:hAnsi="Times New Roman" w:cs="Times New Roman"/>
          <w:sz w:val="22"/>
          <w:szCs w:val="22"/>
          <w:lang w:val="fr-FR"/>
        </w:rPr>
        <w:t>PART</w:t>
      </w:r>
      <w:r w:rsidRPr="005D062F">
        <w:rPr>
          <w:rFonts w:ascii="Times New Roman" w:hAnsi="Times New Roman" w:cs="Times New Roman"/>
          <w:sz w:val="22"/>
          <w:szCs w:val="22"/>
          <w:lang w:val="fr-FR"/>
        </w:rPr>
        <w:t>ENA</w:t>
      </w:r>
      <w:r w:rsidR="00A427C5" w:rsidRPr="005D062F">
        <w:rPr>
          <w:rFonts w:ascii="Times New Roman" w:hAnsi="Times New Roman" w:cs="Times New Roman"/>
          <w:sz w:val="22"/>
          <w:szCs w:val="22"/>
          <w:lang w:val="fr-FR"/>
        </w:rPr>
        <w:t>R</w:t>
      </w:r>
      <w:r w:rsidRPr="005D062F">
        <w:rPr>
          <w:rFonts w:ascii="Times New Roman" w:hAnsi="Times New Roman" w:cs="Times New Roman"/>
          <w:sz w:val="22"/>
          <w:szCs w:val="22"/>
          <w:lang w:val="fr-FR"/>
        </w:rPr>
        <w:t>IATS</w:t>
      </w:r>
    </w:p>
    <w:p w14:paraId="3E491BB7" w14:textId="77777777" w:rsidR="00A427C5" w:rsidRPr="005D062F" w:rsidRDefault="00A427C5" w:rsidP="00CB030B">
      <w:pPr>
        <w:rPr>
          <w:rFonts w:ascii="Times New Roman" w:hAnsi="Times New Roman" w:cs="Times New Roman"/>
          <w:sz w:val="22"/>
          <w:szCs w:val="22"/>
          <w:lang w:val="fr-FR"/>
        </w:rPr>
      </w:pPr>
    </w:p>
    <w:p w14:paraId="514F7C5E" w14:textId="7879D2E9" w:rsidR="001F022B" w:rsidRPr="005D062F" w:rsidRDefault="008A5C05" w:rsidP="00CB030B">
      <w:pPr>
        <w:ind w:firstLine="720"/>
        <w:jc w:val="both"/>
        <w:rPr>
          <w:rFonts w:ascii="Times New Roman" w:hAnsi="Times New Roman" w:cs="Times New Roman"/>
          <w:sz w:val="22"/>
          <w:szCs w:val="22"/>
          <w:lang w:val="fr-FR"/>
        </w:rPr>
      </w:pPr>
      <w:r w:rsidRPr="005D062F">
        <w:rPr>
          <w:rFonts w:ascii="Times New Roman" w:hAnsi="Times New Roman" w:cs="Times New Roman"/>
          <w:sz w:val="22"/>
          <w:szCs w:val="22"/>
          <w:lang w:val="fr-FR"/>
        </w:rPr>
        <w:t>L</w:t>
      </w:r>
      <w:r w:rsidR="00BF4B76" w:rsidRPr="005D062F">
        <w:rPr>
          <w:rFonts w:ascii="Times New Roman" w:hAnsi="Times New Roman" w:cs="Times New Roman"/>
          <w:sz w:val="22"/>
          <w:szCs w:val="22"/>
          <w:lang w:val="fr-FR"/>
        </w:rPr>
        <w:t>e</w:t>
      </w:r>
      <w:r w:rsidRPr="005D062F">
        <w:rPr>
          <w:rFonts w:ascii="Times New Roman" w:hAnsi="Times New Roman" w:cs="Times New Roman"/>
          <w:sz w:val="22"/>
          <w:szCs w:val="22"/>
          <w:lang w:val="fr-FR"/>
        </w:rPr>
        <w:t xml:space="preserve"> Fonds de coopération pour le développement de l’Organisation des États Amé</w:t>
      </w:r>
      <w:r w:rsidR="003631D7" w:rsidRPr="005D062F">
        <w:rPr>
          <w:rFonts w:ascii="Times New Roman" w:hAnsi="Times New Roman" w:cs="Times New Roman"/>
          <w:sz w:val="22"/>
          <w:szCs w:val="22"/>
          <w:lang w:val="fr-FR"/>
        </w:rPr>
        <w:t>rica</w:t>
      </w:r>
      <w:r w:rsidRPr="005D062F">
        <w:rPr>
          <w:rFonts w:ascii="Times New Roman" w:hAnsi="Times New Roman" w:cs="Times New Roman"/>
          <w:sz w:val="22"/>
          <w:szCs w:val="22"/>
          <w:lang w:val="fr-FR"/>
        </w:rPr>
        <w:t>i</w:t>
      </w:r>
      <w:r w:rsidR="003631D7" w:rsidRPr="005D062F">
        <w:rPr>
          <w:rFonts w:ascii="Times New Roman" w:hAnsi="Times New Roman" w:cs="Times New Roman"/>
          <w:sz w:val="22"/>
          <w:szCs w:val="22"/>
          <w:lang w:val="fr-FR"/>
        </w:rPr>
        <w:t>n</w:t>
      </w:r>
      <w:r w:rsidRPr="005D062F">
        <w:rPr>
          <w:rFonts w:ascii="Times New Roman" w:hAnsi="Times New Roman" w:cs="Times New Roman"/>
          <w:sz w:val="22"/>
          <w:szCs w:val="22"/>
          <w:lang w:val="fr-FR"/>
        </w:rPr>
        <w:t>s</w:t>
      </w:r>
      <w:r w:rsidR="003631D7" w:rsidRPr="005D062F">
        <w:rPr>
          <w:rFonts w:ascii="Times New Roman" w:hAnsi="Times New Roman" w:cs="Times New Roman"/>
          <w:sz w:val="22"/>
          <w:szCs w:val="22"/>
          <w:lang w:val="fr-FR"/>
        </w:rPr>
        <w:t xml:space="preserve"> (</w:t>
      </w:r>
      <w:r w:rsidR="00A427C5" w:rsidRPr="005D062F">
        <w:rPr>
          <w:rFonts w:ascii="Times New Roman" w:hAnsi="Times New Roman" w:cs="Times New Roman"/>
          <w:sz w:val="22"/>
          <w:szCs w:val="22"/>
          <w:lang w:val="fr-FR"/>
        </w:rPr>
        <w:t>F</w:t>
      </w:r>
      <w:r w:rsidRPr="005D062F">
        <w:rPr>
          <w:rFonts w:ascii="Times New Roman" w:hAnsi="Times New Roman" w:cs="Times New Roman"/>
          <w:sz w:val="22"/>
          <w:szCs w:val="22"/>
          <w:lang w:val="fr-FR"/>
        </w:rPr>
        <w:t>CD/OEA</w:t>
      </w:r>
      <w:r w:rsidR="003631D7" w:rsidRPr="005D062F">
        <w:rPr>
          <w:rFonts w:ascii="Times New Roman" w:hAnsi="Times New Roman" w:cs="Times New Roman"/>
          <w:sz w:val="22"/>
          <w:szCs w:val="22"/>
          <w:lang w:val="fr-FR"/>
        </w:rPr>
        <w:t>)</w:t>
      </w:r>
      <w:r w:rsidR="00BF4B76" w:rsidRPr="005D062F">
        <w:rPr>
          <w:rFonts w:ascii="Times New Roman" w:hAnsi="Times New Roman" w:cs="Times New Roman"/>
          <w:sz w:val="22"/>
          <w:szCs w:val="22"/>
          <w:lang w:val="fr-FR"/>
        </w:rPr>
        <w:t xml:space="preserve"> </w:t>
      </w:r>
      <w:r w:rsidRPr="005D062F">
        <w:rPr>
          <w:rFonts w:ascii="Times New Roman" w:hAnsi="Times New Roman" w:cs="Times New Roman"/>
          <w:sz w:val="22"/>
          <w:szCs w:val="22"/>
          <w:lang w:val="fr-FR"/>
        </w:rPr>
        <w:t>exploite les partenariats et alliances multisectorie</w:t>
      </w:r>
      <w:r w:rsidR="00BF4B76" w:rsidRPr="005D062F">
        <w:rPr>
          <w:rFonts w:ascii="Times New Roman" w:hAnsi="Times New Roman" w:cs="Times New Roman"/>
          <w:sz w:val="22"/>
          <w:szCs w:val="22"/>
          <w:lang w:val="fr-FR"/>
        </w:rPr>
        <w:t>l</w:t>
      </w:r>
      <w:r w:rsidRPr="005D062F">
        <w:rPr>
          <w:rFonts w:ascii="Times New Roman" w:hAnsi="Times New Roman" w:cs="Times New Roman"/>
          <w:sz w:val="22"/>
          <w:szCs w:val="22"/>
          <w:lang w:val="fr-FR"/>
        </w:rPr>
        <w:t>s pour proposer des initiatives ciblées d</w:t>
      </w:r>
      <w:r w:rsidR="00106289" w:rsidRPr="005D062F">
        <w:rPr>
          <w:rFonts w:ascii="Times New Roman" w:hAnsi="Times New Roman" w:cs="Times New Roman"/>
          <w:sz w:val="22"/>
          <w:szCs w:val="22"/>
          <w:lang w:val="fr-FR"/>
        </w:rPr>
        <w:t>e coopération technique qui reposent sur la collectivité, sont assurées au niveau local et répondent aux besoins spécifiques des États membres en matière de renforcement des capacités</w:t>
      </w:r>
      <w:r w:rsidR="00BF4B76" w:rsidRPr="005D062F">
        <w:rPr>
          <w:rFonts w:ascii="Times New Roman" w:hAnsi="Times New Roman" w:cs="Times New Roman"/>
          <w:sz w:val="22"/>
          <w:szCs w:val="22"/>
          <w:lang w:val="fr-FR"/>
        </w:rPr>
        <w:t xml:space="preserve">. </w:t>
      </w:r>
      <w:r w:rsidR="00366466" w:rsidRPr="005D062F">
        <w:rPr>
          <w:rFonts w:ascii="Times New Roman" w:hAnsi="Times New Roman" w:cs="Times New Roman"/>
          <w:sz w:val="22"/>
          <w:szCs w:val="22"/>
          <w:lang w:val="fr-FR"/>
        </w:rPr>
        <w:t>Lors du cycle de programmation 2017-2021 ré</w:t>
      </w:r>
      <w:r w:rsidR="00BF4B76" w:rsidRPr="005D062F">
        <w:rPr>
          <w:rFonts w:ascii="Times New Roman" w:hAnsi="Times New Roman" w:cs="Times New Roman"/>
          <w:sz w:val="22"/>
          <w:szCs w:val="22"/>
          <w:lang w:val="fr-FR"/>
        </w:rPr>
        <w:t>ce</w:t>
      </w:r>
      <w:r w:rsidR="00366466" w:rsidRPr="005D062F">
        <w:rPr>
          <w:rFonts w:ascii="Times New Roman" w:hAnsi="Times New Roman" w:cs="Times New Roman"/>
          <w:sz w:val="22"/>
          <w:szCs w:val="22"/>
          <w:lang w:val="fr-FR"/>
        </w:rPr>
        <w:t xml:space="preserve">mment achevé, une somme de 1,5 </w:t>
      </w:r>
      <w:r w:rsidR="001F022B" w:rsidRPr="005D062F">
        <w:rPr>
          <w:rFonts w:ascii="Times New Roman" w:hAnsi="Times New Roman" w:cs="Times New Roman"/>
          <w:sz w:val="22"/>
          <w:szCs w:val="22"/>
          <w:lang w:val="fr-FR"/>
        </w:rPr>
        <w:t>million</w:t>
      </w:r>
      <w:r w:rsidR="00366466" w:rsidRPr="005D062F">
        <w:rPr>
          <w:rFonts w:ascii="Times New Roman" w:hAnsi="Times New Roman" w:cs="Times New Roman"/>
          <w:sz w:val="22"/>
          <w:szCs w:val="22"/>
          <w:lang w:val="fr-FR"/>
        </w:rPr>
        <w:t xml:space="preserve"> USD a été allouée et 17 projets régionaux ont été mis en œuvre dans les trois domaines thématiques définis comme prioritaires par le PIE </w:t>
      </w:r>
      <w:r w:rsidR="001F022B" w:rsidRPr="005D062F">
        <w:rPr>
          <w:rFonts w:ascii="Times New Roman" w:hAnsi="Times New Roman" w:cs="Times New Roman"/>
          <w:sz w:val="22"/>
          <w:szCs w:val="22"/>
          <w:lang w:val="fr-FR"/>
        </w:rPr>
        <w:t xml:space="preserve">: </w:t>
      </w:r>
      <w:r w:rsidR="00007D15" w:rsidRPr="005D062F">
        <w:rPr>
          <w:rFonts w:ascii="Times New Roman" w:hAnsi="Times New Roman" w:cs="Times New Roman"/>
          <w:sz w:val="22"/>
          <w:szCs w:val="22"/>
          <w:lang w:val="fr-FR"/>
        </w:rPr>
        <w:t>éducation de qualité, inclusive et assortie d’équité</w:t>
      </w:r>
      <w:r w:rsidR="00366466" w:rsidRPr="005D062F">
        <w:rPr>
          <w:rFonts w:ascii="Times New Roman" w:hAnsi="Times New Roman" w:cs="Times New Roman"/>
          <w:sz w:val="22"/>
          <w:szCs w:val="22"/>
          <w:lang w:val="fr-FR"/>
        </w:rPr>
        <w:t> </w:t>
      </w:r>
      <w:r w:rsidR="001F022B" w:rsidRPr="005D062F">
        <w:rPr>
          <w:rFonts w:ascii="Times New Roman" w:hAnsi="Times New Roman" w:cs="Times New Roman"/>
          <w:sz w:val="22"/>
          <w:szCs w:val="22"/>
          <w:lang w:val="fr-FR"/>
        </w:rPr>
        <w:t xml:space="preserve">; </w:t>
      </w:r>
      <w:r w:rsidR="00366466" w:rsidRPr="005D062F">
        <w:rPr>
          <w:rFonts w:ascii="Times New Roman" w:hAnsi="Times New Roman" w:cs="Times New Roman"/>
          <w:sz w:val="22"/>
          <w:szCs w:val="22"/>
          <w:lang w:val="fr-FR"/>
        </w:rPr>
        <w:t xml:space="preserve">renforcement de la </w:t>
      </w:r>
      <w:r w:rsidR="001F022B" w:rsidRPr="005D062F">
        <w:rPr>
          <w:rFonts w:ascii="Times New Roman" w:hAnsi="Times New Roman" w:cs="Times New Roman"/>
          <w:sz w:val="22"/>
          <w:szCs w:val="22"/>
          <w:lang w:val="fr-FR"/>
        </w:rPr>
        <w:t>profession</w:t>
      </w:r>
      <w:r w:rsidR="00366466" w:rsidRPr="005D062F">
        <w:rPr>
          <w:rFonts w:ascii="Times New Roman" w:hAnsi="Times New Roman" w:cs="Times New Roman"/>
          <w:sz w:val="22"/>
          <w:szCs w:val="22"/>
          <w:lang w:val="fr-FR"/>
        </w:rPr>
        <w:t xml:space="preserve"> d’enseignant ; et </w:t>
      </w:r>
      <w:r w:rsidR="00366466" w:rsidRPr="005D062F">
        <w:rPr>
          <w:rFonts w:ascii="Times New Roman" w:eastAsia="Times New Roman" w:hAnsi="Times New Roman" w:cs="Times New Roman"/>
          <w:color w:val="000000"/>
          <w:sz w:val="22"/>
          <w:szCs w:val="22"/>
          <w:lang w:val="fr-FR"/>
        </w:rPr>
        <w:t>prise en charge intégrale de la petite enfance</w:t>
      </w:r>
      <w:r w:rsidR="001F022B" w:rsidRPr="005D062F">
        <w:rPr>
          <w:rFonts w:ascii="Times New Roman" w:hAnsi="Times New Roman" w:cs="Times New Roman"/>
          <w:sz w:val="22"/>
          <w:szCs w:val="22"/>
          <w:lang w:val="fr-FR"/>
        </w:rPr>
        <w:t xml:space="preserve">. </w:t>
      </w:r>
      <w:r w:rsidR="00366466" w:rsidRPr="005D062F">
        <w:rPr>
          <w:rFonts w:ascii="Times New Roman" w:hAnsi="Times New Roman" w:cs="Times New Roman"/>
          <w:sz w:val="22"/>
          <w:szCs w:val="22"/>
          <w:lang w:val="fr-FR"/>
        </w:rPr>
        <w:t>Les proje</w:t>
      </w:r>
      <w:r w:rsidR="001F022B" w:rsidRPr="005D062F">
        <w:rPr>
          <w:rFonts w:ascii="Times New Roman" w:hAnsi="Times New Roman" w:cs="Times New Roman"/>
          <w:sz w:val="22"/>
          <w:szCs w:val="22"/>
          <w:lang w:val="fr-FR"/>
        </w:rPr>
        <w:t>ts</w:t>
      </w:r>
      <w:r w:rsidR="00366466" w:rsidRPr="005D062F">
        <w:rPr>
          <w:rFonts w:ascii="Times New Roman" w:hAnsi="Times New Roman" w:cs="Times New Roman"/>
          <w:sz w:val="22"/>
          <w:szCs w:val="22"/>
          <w:lang w:val="fr-FR"/>
        </w:rPr>
        <w:t xml:space="preserve"> ont été conçus pour renforcer la qualité de l’enseignement proposé dans les </w:t>
      </w:r>
      <w:r w:rsidR="001E2639" w:rsidRPr="005D062F">
        <w:rPr>
          <w:rFonts w:ascii="Times New Roman" w:hAnsi="Times New Roman" w:cs="Times New Roman"/>
          <w:sz w:val="22"/>
          <w:szCs w:val="22"/>
          <w:lang w:val="fr-FR"/>
        </w:rPr>
        <w:t xml:space="preserve">États membres et élargir </w:t>
      </w:r>
      <w:r w:rsidR="00366466" w:rsidRPr="005D062F">
        <w:rPr>
          <w:rFonts w:ascii="Times New Roman" w:hAnsi="Times New Roman" w:cs="Times New Roman"/>
          <w:sz w:val="22"/>
          <w:szCs w:val="22"/>
          <w:lang w:val="fr-FR"/>
        </w:rPr>
        <w:t>l’accès</w:t>
      </w:r>
      <w:r w:rsidR="001E2639" w:rsidRPr="005D062F">
        <w:rPr>
          <w:rFonts w:ascii="Times New Roman" w:hAnsi="Times New Roman" w:cs="Times New Roman"/>
          <w:sz w:val="22"/>
          <w:szCs w:val="22"/>
          <w:lang w:val="fr-FR"/>
        </w:rPr>
        <w:t xml:space="preserve"> des groupes vulnérables tels que les femmes, les jeunes, les autochtones et les communautés rurales</w:t>
      </w:r>
      <w:r w:rsidR="00366466" w:rsidRPr="005D062F">
        <w:rPr>
          <w:rFonts w:ascii="Times New Roman" w:hAnsi="Times New Roman" w:cs="Times New Roman"/>
          <w:sz w:val="22"/>
          <w:szCs w:val="22"/>
          <w:lang w:val="fr-FR"/>
        </w:rPr>
        <w:t xml:space="preserve"> </w:t>
      </w:r>
      <w:r w:rsidR="001E2639" w:rsidRPr="005D062F">
        <w:rPr>
          <w:rFonts w:ascii="Times New Roman" w:hAnsi="Times New Roman" w:cs="Times New Roman"/>
          <w:sz w:val="22"/>
          <w:szCs w:val="22"/>
          <w:lang w:val="fr-FR"/>
        </w:rPr>
        <w:t>à l’éducation</w:t>
      </w:r>
      <w:r w:rsidR="001F022B" w:rsidRPr="005D062F">
        <w:rPr>
          <w:rFonts w:ascii="Times New Roman" w:hAnsi="Times New Roman" w:cs="Times New Roman"/>
          <w:sz w:val="22"/>
          <w:szCs w:val="22"/>
          <w:lang w:val="fr-FR"/>
        </w:rPr>
        <w:t>.</w:t>
      </w:r>
    </w:p>
    <w:p w14:paraId="2316474D" w14:textId="28BA0A67" w:rsidR="001F022B" w:rsidRPr="005D062F" w:rsidRDefault="001F022B" w:rsidP="00CB030B">
      <w:pPr>
        <w:jc w:val="both"/>
        <w:rPr>
          <w:rFonts w:ascii="Times New Roman" w:hAnsi="Times New Roman" w:cs="Times New Roman"/>
          <w:sz w:val="22"/>
          <w:szCs w:val="22"/>
          <w:lang w:val="fr-FR"/>
        </w:rPr>
      </w:pPr>
    </w:p>
    <w:p w14:paraId="73A0B06A" w14:textId="11A4BE31" w:rsidR="00BF4B76" w:rsidRPr="005D062F" w:rsidRDefault="002A71FE" w:rsidP="00CB030B">
      <w:pPr>
        <w:ind w:firstLine="720"/>
        <w:jc w:val="both"/>
        <w:rPr>
          <w:rFonts w:ascii="Times New Roman" w:hAnsi="Times New Roman" w:cs="Times New Roman"/>
          <w:sz w:val="22"/>
          <w:szCs w:val="22"/>
          <w:lang w:val="fr-FR"/>
        </w:rPr>
      </w:pPr>
      <w:r w:rsidRPr="005D062F">
        <w:rPr>
          <w:rFonts w:ascii="Times New Roman" w:hAnsi="Times New Roman" w:cs="Times New Roman"/>
          <w:sz w:val="22"/>
          <w:szCs w:val="22"/>
          <w:lang w:val="fr-FR"/>
        </w:rPr>
        <w:t xml:space="preserve">Lors de son cycle de programmation actuel </w:t>
      </w:r>
      <w:r w:rsidR="001F022B" w:rsidRPr="005D062F">
        <w:rPr>
          <w:rFonts w:ascii="Times New Roman" w:hAnsi="Times New Roman" w:cs="Times New Roman"/>
          <w:sz w:val="22"/>
          <w:szCs w:val="22"/>
          <w:lang w:val="fr-FR"/>
        </w:rPr>
        <w:t>2021-2024</w:t>
      </w:r>
      <w:r w:rsidRPr="005D062F">
        <w:rPr>
          <w:rFonts w:ascii="Times New Roman" w:hAnsi="Times New Roman" w:cs="Times New Roman"/>
          <w:sz w:val="22"/>
          <w:szCs w:val="22"/>
          <w:lang w:val="fr-FR"/>
        </w:rPr>
        <w:t xml:space="preserve">, le </w:t>
      </w:r>
      <w:r w:rsidR="00902AB5" w:rsidRPr="005D062F">
        <w:rPr>
          <w:rFonts w:ascii="Times New Roman" w:hAnsi="Times New Roman" w:cs="Times New Roman"/>
          <w:sz w:val="22"/>
          <w:szCs w:val="22"/>
          <w:lang w:val="fr-FR"/>
        </w:rPr>
        <w:t>F</w:t>
      </w:r>
      <w:r w:rsidRPr="005D062F">
        <w:rPr>
          <w:rFonts w:ascii="Times New Roman" w:hAnsi="Times New Roman" w:cs="Times New Roman"/>
          <w:sz w:val="22"/>
          <w:szCs w:val="22"/>
          <w:lang w:val="fr-FR"/>
        </w:rPr>
        <w:t xml:space="preserve">CD s’est vu attribuer </w:t>
      </w:r>
      <w:r w:rsidR="001F7E11" w:rsidRPr="005D062F">
        <w:rPr>
          <w:rFonts w:ascii="Times New Roman" w:hAnsi="Times New Roman" w:cs="Times New Roman"/>
          <w:sz w:val="22"/>
          <w:szCs w:val="22"/>
          <w:lang w:val="fr-FR"/>
        </w:rPr>
        <w:t>une somme de 1,</w:t>
      </w:r>
      <w:r w:rsidR="00902AB5" w:rsidRPr="005D062F">
        <w:rPr>
          <w:rFonts w:ascii="Times New Roman" w:hAnsi="Times New Roman" w:cs="Times New Roman"/>
          <w:sz w:val="22"/>
          <w:szCs w:val="22"/>
          <w:lang w:val="fr-FR"/>
        </w:rPr>
        <w:t>8 million</w:t>
      </w:r>
      <w:r w:rsidR="001F7E11" w:rsidRPr="005D062F">
        <w:rPr>
          <w:rFonts w:ascii="Times New Roman" w:hAnsi="Times New Roman" w:cs="Times New Roman"/>
          <w:sz w:val="22"/>
          <w:szCs w:val="22"/>
          <w:lang w:val="fr-FR"/>
        </w:rPr>
        <w:t xml:space="preserve"> USD</w:t>
      </w:r>
      <w:r w:rsidR="00902AB5" w:rsidRPr="005D062F">
        <w:rPr>
          <w:rFonts w:ascii="Times New Roman" w:hAnsi="Times New Roman" w:cs="Times New Roman"/>
          <w:sz w:val="22"/>
          <w:szCs w:val="22"/>
          <w:lang w:val="fr-FR"/>
        </w:rPr>
        <w:t xml:space="preserve"> (</w:t>
      </w:r>
      <w:hyperlink r:id="rId22" w:history="1">
        <w:r w:rsidR="00902AB5" w:rsidRPr="005D062F">
          <w:rPr>
            <w:rFonts w:ascii="Times New Roman" w:hAnsi="Times New Roman" w:cs="Times New Roman"/>
            <w:color w:val="0563C1" w:themeColor="hyperlink"/>
            <w:sz w:val="22"/>
            <w:szCs w:val="22"/>
            <w:u w:val="single"/>
            <w:lang w:val="fr-FR"/>
          </w:rPr>
          <w:t>AICD/JD/DE-131/21</w:t>
        </w:r>
      </w:hyperlink>
      <w:r w:rsidR="001F7E11" w:rsidRPr="005D062F">
        <w:rPr>
          <w:rFonts w:ascii="Times New Roman" w:hAnsi="Times New Roman" w:cs="Times New Roman"/>
          <w:sz w:val="22"/>
          <w:szCs w:val="22"/>
          <w:lang w:val="fr-FR"/>
        </w:rPr>
        <w:t>, en</w:t>
      </w:r>
      <w:r w:rsidR="008D58EF" w:rsidRPr="005D062F">
        <w:rPr>
          <w:rFonts w:ascii="Times New Roman" w:hAnsi="Times New Roman" w:cs="Times New Roman"/>
          <w:sz w:val="22"/>
          <w:szCs w:val="22"/>
          <w:lang w:val="fr-FR"/>
        </w:rPr>
        <w:t xml:space="preserve"> </w:t>
      </w:r>
      <w:r w:rsidR="001F7E11" w:rsidRPr="005D062F">
        <w:rPr>
          <w:rFonts w:ascii="Times New Roman" w:hAnsi="Times New Roman" w:cs="Times New Roman"/>
          <w:sz w:val="22"/>
          <w:szCs w:val="22"/>
          <w:lang w:val="fr-FR"/>
        </w:rPr>
        <w:t>anglais seulement</w:t>
      </w:r>
      <w:r w:rsidR="00902AB5" w:rsidRPr="005D062F">
        <w:rPr>
          <w:rFonts w:ascii="Times New Roman" w:hAnsi="Times New Roman" w:cs="Times New Roman"/>
          <w:sz w:val="22"/>
          <w:szCs w:val="22"/>
          <w:lang w:val="fr-FR"/>
        </w:rPr>
        <w:t xml:space="preserve">) </w:t>
      </w:r>
      <w:r w:rsidR="001F7E11" w:rsidRPr="005D062F">
        <w:rPr>
          <w:rFonts w:ascii="Times New Roman" w:hAnsi="Times New Roman" w:cs="Times New Roman"/>
          <w:sz w:val="22"/>
          <w:szCs w:val="22"/>
          <w:lang w:val="fr-FR"/>
        </w:rPr>
        <w:t xml:space="preserve">pour soutenir la mise en œuvre de </w:t>
      </w:r>
      <w:r w:rsidR="002839C1">
        <w:rPr>
          <w:rFonts w:ascii="Times New Roman" w:hAnsi="Times New Roman" w:cs="Times New Roman"/>
          <w:sz w:val="22"/>
          <w:szCs w:val="22"/>
          <w:lang w:val="fr-FR"/>
        </w:rPr>
        <w:t>18</w:t>
      </w:r>
      <w:r w:rsidR="001F7E11" w:rsidRPr="005D062F">
        <w:rPr>
          <w:rFonts w:ascii="Times New Roman" w:hAnsi="Times New Roman" w:cs="Times New Roman"/>
          <w:sz w:val="22"/>
          <w:szCs w:val="22"/>
          <w:lang w:val="fr-FR"/>
        </w:rPr>
        <w:t> programmes régionaux, avec un accent mis sur l’éducation, la science et la technologie comme sujets transversaux reliant quatre domaines thématiques </w:t>
      </w:r>
      <w:r w:rsidR="00902AB5" w:rsidRPr="005D062F">
        <w:rPr>
          <w:rFonts w:ascii="Times New Roman" w:hAnsi="Times New Roman" w:cs="Times New Roman"/>
          <w:sz w:val="22"/>
          <w:szCs w:val="22"/>
          <w:lang w:val="fr-FR"/>
        </w:rPr>
        <w:t xml:space="preserve">: </w:t>
      </w:r>
      <w:r w:rsidR="00422F6C" w:rsidRPr="005D062F">
        <w:rPr>
          <w:rFonts w:ascii="Times New Roman" w:hAnsi="Times New Roman" w:cs="Times New Roman"/>
          <w:sz w:val="22"/>
          <w:szCs w:val="22"/>
          <w:lang w:val="fr-FR"/>
        </w:rPr>
        <w:t>le renforcement</w:t>
      </w:r>
      <w:r w:rsidR="001F7E11" w:rsidRPr="005D062F">
        <w:rPr>
          <w:rFonts w:ascii="Times New Roman" w:hAnsi="Times New Roman" w:cs="Times New Roman"/>
          <w:sz w:val="22"/>
          <w:szCs w:val="22"/>
          <w:lang w:val="fr-FR"/>
        </w:rPr>
        <w:t xml:space="preserve"> des MP</w:t>
      </w:r>
      <w:r w:rsidR="00BF4B76" w:rsidRPr="005D062F">
        <w:rPr>
          <w:rFonts w:ascii="Times New Roman" w:hAnsi="Times New Roman" w:cs="Times New Roman"/>
          <w:sz w:val="22"/>
          <w:szCs w:val="22"/>
          <w:lang w:val="fr-FR"/>
        </w:rPr>
        <w:t>ME</w:t>
      </w:r>
      <w:r w:rsidR="00422F6C" w:rsidRPr="005D062F">
        <w:rPr>
          <w:rFonts w:ascii="Times New Roman" w:hAnsi="Times New Roman" w:cs="Times New Roman"/>
          <w:sz w:val="22"/>
          <w:szCs w:val="22"/>
          <w:lang w:val="fr-FR"/>
        </w:rPr>
        <w:t xml:space="preserve"> par</w:t>
      </w:r>
      <w:r w:rsidR="00BF4B76" w:rsidRPr="005D062F">
        <w:rPr>
          <w:rFonts w:ascii="Times New Roman" w:hAnsi="Times New Roman" w:cs="Times New Roman"/>
          <w:sz w:val="22"/>
          <w:szCs w:val="22"/>
          <w:lang w:val="fr-FR"/>
        </w:rPr>
        <w:t xml:space="preserve"> </w:t>
      </w:r>
      <w:r w:rsidR="001F7E11" w:rsidRPr="005D062F">
        <w:rPr>
          <w:rFonts w:ascii="Times New Roman" w:hAnsi="Times New Roman" w:cs="Times New Roman"/>
          <w:sz w:val="22"/>
          <w:szCs w:val="22"/>
          <w:lang w:val="fr-FR"/>
        </w:rPr>
        <w:t>l’</w:t>
      </w:r>
      <w:r w:rsidR="00BF4B76" w:rsidRPr="005D062F">
        <w:rPr>
          <w:rFonts w:ascii="Times New Roman" w:hAnsi="Times New Roman" w:cs="Times New Roman"/>
          <w:sz w:val="22"/>
          <w:szCs w:val="22"/>
          <w:lang w:val="fr-FR"/>
        </w:rPr>
        <w:t xml:space="preserve">innovation </w:t>
      </w:r>
      <w:r w:rsidR="001F7E11" w:rsidRPr="005D062F">
        <w:rPr>
          <w:rFonts w:ascii="Times New Roman" w:hAnsi="Times New Roman" w:cs="Times New Roman"/>
          <w:sz w:val="22"/>
          <w:szCs w:val="22"/>
          <w:lang w:val="fr-FR"/>
        </w:rPr>
        <w:t>e</w:t>
      </w:r>
      <w:r w:rsidR="00422F6C" w:rsidRPr="005D062F">
        <w:rPr>
          <w:rFonts w:ascii="Times New Roman" w:hAnsi="Times New Roman" w:cs="Times New Roman"/>
          <w:sz w:val="22"/>
          <w:szCs w:val="22"/>
          <w:lang w:val="fr-FR"/>
        </w:rPr>
        <w:t xml:space="preserve">t </w:t>
      </w:r>
      <w:r w:rsidR="001F7E11" w:rsidRPr="005D062F">
        <w:rPr>
          <w:rFonts w:ascii="Times New Roman" w:hAnsi="Times New Roman" w:cs="Times New Roman"/>
          <w:sz w:val="22"/>
          <w:szCs w:val="22"/>
          <w:lang w:val="fr-FR"/>
        </w:rPr>
        <w:t>la technologie </w:t>
      </w:r>
      <w:r w:rsidR="00BF4B76" w:rsidRPr="005D062F">
        <w:rPr>
          <w:rFonts w:ascii="Times New Roman" w:hAnsi="Times New Roman" w:cs="Times New Roman"/>
          <w:sz w:val="22"/>
          <w:szCs w:val="22"/>
          <w:lang w:val="fr-FR"/>
        </w:rPr>
        <w:t xml:space="preserve">; </w:t>
      </w:r>
      <w:r w:rsidR="00422F6C" w:rsidRPr="005D062F">
        <w:rPr>
          <w:rFonts w:ascii="Times New Roman" w:hAnsi="Times New Roman" w:cs="Times New Roman"/>
          <w:sz w:val="22"/>
          <w:szCs w:val="22"/>
          <w:lang w:val="fr-FR"/>
        </w:rPr>
        <w:t xml:space="preserve">la </w:t>
      </w:r>
      <w:r w:rsidR="00F36898" w:rsidRPr="005D062F">
        <w:rPr>
          <w:rFonts w:ascii="Times New Roman" w:hAnsi="Times New Roman" w:cs="Times New Roman"/>
          <w:sz w:val="22"/>
          <w:szCs w:val="22"/>
          <w:lang w:val="fr-FR"/>
        </w:rPr>
        <w:t>reconversion de la main-d’</w:t>
      </w:r>
      <w:r w:rsidR="00422F6C" w:rsidRPr="005D062F">
        <w:rPr>
          <w:rFonts w:ascii="Times New Roman" w:hAnsi="Times New Roman" w:cs="Times New Roman"/>
          <w:sz w:val="22"/>
          <w:szCs w:val="22"/>
          <w:lang w:val="fr-FR"/>
        </w:rPr>
        <w:t>œuvre par une approche innovante en vue du relèvement du secteur du tourisme et des </w:t>
      </w:r>
      <w:r w:rsidR="0003245D" w:rsidRPr="005D062F">
        <w:rPr>
          <w:rFonts w:ascii="Times New Roman" w:hAnsi="Times New Roman" w:cs="Times New Roman"/>
          <w:sz w:val="22"/>
          <w:szCs w:val="22"/>
          <w:lang w:val="fr-FR"/>
        </w:rPr>
        <w:t>économies régionales </w:t>
      </w:r>
      <w:r w:rsidR="00BF4B76" w:rsidRPr="005D062F">
        <w:rPr>
          <w:rFonts w:ascii="Times New Roman" w:hAnsi="Times New Roman" w:cs="Times New Roman"/>
          <w:sz w:val="22"/>
          <w:szCs w:val="22"/>
          <w:lang w:val="fr-FR"/>
        </w:rPr>
        <w:t xml:space="preserve">; </w:t>
      </w:r>
      <w:r w:rsidR="00422F6C" w:rsidRPr="005D062F">
        <w:rPr>
          <w:rFonts w:ascii="Times New Roman" w:hAnsi="Times New Roman" w:cs="Times New Roman"/>
          <w:sz w:val="22"/>
          <w:szCs w:val="22"/>
          <w:lang w:val="fr-FR"/>
        </w:rPr>
        <w:t>l’</w:t>
      </w:r>
      <w:r w:rsidR="00BF4B76" w:rsidRPr="005D062F">
        <w:rPr>
          <w:rFonts w:ascii="Times New Roman" w:hAnsi="Times New Roman" w:cs="Times New Roman"/>
          <w:sz w:val="22"/>
          <w:szCs w:val="22"/>
          <w:lang w:val="fr-FR"/>
        </w:rPr>
        <w:t xml:space="preserve">innovation </w:t>
      </w:r>
      <w:r w:rsidR="00422F6C" w:rsidRPr="005D062F">
        <w:rPr>
          <w:rFonts w:ascii="Times New Roman" w:hAnsi="Times New Roman" w:cs="Times New Roman"/>
          <w:sz w:val="22"/>
          <w:szCs w:val="22"/>
          <w:lang w:val="fr-FR"/>
        </w:rPr>
        <w:t>scientifique et technologique au service de la résilience </w:t>
      </w:r>
      <w:r w:rsidR="00BF4B76" w:rsidRPr="005D062F">
        <w:rPr>
          <w:rFonts w:ascii="Times New Roman" w:hAnsi="Times New Roman" w:cs="Times New Roman"/>
          <w:sz w:val="22"/>
          <w:szCs w:val="22"/>
          <w:lang w:val="fr-FR"/>
        </w:rPr>
        <w:t xml:space="preserve">; </w:t>
      </w:r>
      <w:r w:rsidR="00422F6C" w:rsidRPr="005D062F">
        <w:rPr>
          <w:rFonts w:ascii="Times New Roman" w:hAnsi="Times New Roman" w:cs="Times New Roman"/>
          <w:sz w:val="22"/>
          <w:szCs w:val="22"/>
          <w:lang w:val="fr-FR"/>
        </w:rPr>
        <w:t xml:space="preserve">et, la </w:t>
      </w:r>
      <w:r w:rsidR="00902AB5" w:rsidRPr="005D062F">
        <w:rPr>
          <w:rFonts w:ascii="Times New Roman" w:hAnsi="Times New Roman" w:cs="Times New Roman"/>
          <w:sz w:val="22"/>
          <w:szCs w:val="22"/>
          <w:lang w:val="fr-FR"/>
        </w:rPr>
        <w:t>science</w:t>
      </w:r>
      <w:r w:rsidR="00BF4B76" w:rsidRPr="005D062F">
        <w:rPr>
          <w:rFonts w:ascii="Times New Roman" w:hAnsi="Times New Roman" w:cs="Times New Roman"/>
          <w:sz w:val="22"/>
          <w:szCs w:val="22"/>
          <w:lang w:val="fr-FR"/>
        </w:rPr>
        <w:t xml:space="preserve"> </w:t>
      </w:r>
      <w:r w:rsidR="00422F6C" w:rsidRPr="005D062F">
        <w:rPr>
          <w:rFonts w:ascii="Times New Roman" w:hAnsi="Times New Roman" w:cs="Times New Roman"/>
          <w:sz w:val="22"/>
          <w:szCs w:val="22"/>
          <w:lang w:val="fr-FR"/>
        </w:rPr>
        <w:t>au service de la prise de décisions dans la planifica</w:t>
      </w:r>
      <w:r w:rsidR="002474B6" w:rsidRPr="005D062F">
        <w:rPr>
          <w:rFonts w:ascii="Times New Roman" w:hAnsi="Times New Roman" w:cs="Times New Roman"/>
          <w:sz w:val="22"/>
          <w:szCs w:val="22"/>
          <w:lang w:val="fr-FR"/>
        </w:rPr>
        <w:t>tion des risques de catastrophe</w:t>
      </w:r>
      <w:r w:rsidR="00BF4B76" w:rsidRPr="005D062F">
        <w:rPr>
          <w:rFonts w:ascii="Times New Roman" w:hAnsi="Times New Roman" w:cs="Times New Roman"/>
          <w:sz w:val="22"/>
          <w:szCs w:val="22"/>
          <w:lang w:val="fr-FR"/>
        </w:rPr>
        <w:t xml:space="preserve">. </w:t>
      </w:r>
      <w:r w:rsidR="00F36898" w:rsidRPr="005D062F">
        <w:rPr>
          <w:rFonts w:ascii="Times New Roman" w:hAnsi="Times New Roman" w:cs="Times New Roman"/>
          <w:sz w:val="22"/>
          <w:szCs w:val="22"/>
          <w:lang w:val="fr-FR"/>
        </w:rPr>
        <w:t xml:space="preserve">Ces </w:t>
      </w:r>
      <w:r w:rsidR="00BF4B76" w:rsidRPr="005D062F">
        <w:rPr>
          <w:rFonts w:ascii="Times New Roman" w:hAnsi="Times New Roman" w:cs="Times New Roman"/>
          <w:sz w:val="22"/>
          <w:szCs w:val="22"/>
          <w:lang w:val="fr-FR"/>
        </w:rPr>
        <w:t>program</w:t>
      </w:r>
      <w:r w:rsidR="00F36898" w:rsidRPr="005D062F">
        <w:rPr>
          <w:rFonts w:ascii="Times New Roman" w:hAnsi="Times New Roman" w:cs="Times New Roman"/>
          <w:sz w:val="22"/>
          <w:szCs w:val="22"/>
          <w:lang w:val="fr-FR"/>
        </w:rPr>
        <w:t>me</w:t>
      </w:r>
      <w:r w:rsidR="00BF4B76" w:rsidRPr="005D062F">
        <w:rPr>
          <w:rFonts w:ascii="Times New Roman" w:hAnsi="Times New Roman" w:cs="Times New Roman"/>
          <w:sz w:val="22"/>
          <w:szCs w:val="22"/>
          <w:lang w:val="fr-FR"/>
        </w:rPr>
        <w:t xml:space="preserve">s, </w:t>
      </w:r>
      <w:r w:rsidR="00F36898" w:rsidRPr="005D062F">
        <w:rPr>
          <w:rFonts w:ascii="Times New Roman" w:hAnsi="Times New Roman" w:cs="Times New Roman"/>
          <w:sz w:val="22"/>
          <w:szCs w:val="22"/>
          <w:lang w:val="fr-FR"/>
        </w:rPr>
        <w:t>qui en sont tous aux premiers stades de mise en œuvre, devraient</w:t>
      </w:r>
      <w:r w:rsidR="008D58EF" w:rsidRPr="005D062F">
        <w:rPr>
          <w:rFonts w:ascii="Times New Roman" w:hAnsi="Times New Roman" w:cs="Times New Roman"/>
          <w:sz w:val="22"/>
          <w:szCs w:val="22"/>
          <w:lang w:val="fr-FR"/>
        </w:rPr>
        <w:t xml:space="preserve"> </w:t>
      </w:r>
      <w:r w:rsidR="00F36898" w:rsidRPr="005D062F">
        <w:rPr>
          <w:rFonts w:ascii="Times New Roman" w:hAnsi="Times New Roman" w:cs="Times New Roman"/>
          <w:sz w:val="22"/>
          <w:szCs w:val="22"/>
          <w:lang w:val="fr-FR"/>
        </w:rPr>
        <w:t xml:space="preserve">aider les États membres dans leur processus de relèvement suite aux effets dévastateurs de la pandémie de </w:t>
      </w:r>
      <w:r w:rsidR="00902AB5" w:rsidRPr="005D062F">
        <w:rPr>
          <w:rFonts w:ascii="Times New Roman" w:hAnsi="Times New Roman" w:cs="Times New Roman"/>
          <w:sz w:val="22"/>
          <w:szCs w:val="22"/>
          <w:lang w:val="fr-FR"/>
        </w:rPr>
        <w:t>Covid</w:t>
      </w:r>
      <w:r w:rsidR="00F36898" w:rsidRPr="005D062F">
        <w:rPr>
          <w:rFonts w:ascii="Times New Roman" w:hAnsi="Times New Roman" w:cs="Times New Roman"/>
          <w:sz w:val="22"/>
          <w:szCs w:val="22"/>
          <w:lang w:val="fr-FR"/>
        </w:rPr>
        <w:t>-19</w:t>
      </w:r>
      <w:r w:rsidR="00BF4B76" w:rsidRPr="005D062F">
        <w:rPr>
          <w:rFonts w:ascii="Times New Roman" w:hAnsi="Times New Roman" w:cs="Times New Roman"/>
          <w:sz w:val="22"/>
          <w:szCs w:val="22"/>
          <w:lang w:val="fr-FR"/>
        </w:rPr>
        <w:t xml:space="preserve">. </w:t>
      </w:r>
    </w:p>
    <w:p w14:paraId="0F8BA046" w14:textId="77777777" w:rsidR="00CF18F1" w:rsidRPr="005D062F" w:rsidRDefault="00CF18F1" w:rsidP="00CB030B">
      <w:pPr>
        <w:jc w:val="both"/>
        <w:rPr>
          <w:rFonts w:ascii="Times New Roman" w:hAnsi="Times New Roman" w:cs="Times New Roman"/>
          <w:sz w:val="22"/>
          <w:szCs w:val="22"/>
          <w:lang w:val="fr-FR"/>
        </w:rPr>
      </w:pPr>
    </w:p>
    <w:p w14:paraId="353DBE27" w14:textId="4C416C22" w:rsidR="00902AB5" w:rsidRPr="005D062F" w:rsidRDefault="007132D8" w:rsidP="00607D18">
      <w:pPr>
        <w:keepNext/>
        <w:ind w:left="720"/>
        <w:jc w:val="both"/>
        <w:rPr>
          <w:rFonts w:ascii="Times New Roman" w:hAnsi="Times New Roman" w:cs="Times New Roman"/>
          <w:b/>
          <w:bCs/>
          <w:sz w:val="22"/>
          <w:szCs w:val="22"/>
          <w:u w:val="single"/>
          <w:lang w:val="fr-FR"/>
        </w:rPr>
      </w:pPr>
      <w:r w:rsidRPr="005D062F">
        <w:rPr>
          <w:rFonts w:ascii="Times New Roman" w:hAnsi="Times New Roman" w:cs="Times New Roman"/>
          <w:b/>
          <w:bCs/>
          <w:sz w:val="22"/>
          <w:szCs w:val="22"/>
          <w:u w:val="single"/>
          <w:lang w:val="fr-FR"/>
        </w:rPr>
        <w:t>CYCLE</w:t>
      </w:r>
      <w:r w:rsidR="00EB37E7" w:rsidRPr="005D062F">
        <w:rPr>
          <w:rFonts w:ascii="Times New Roman" w:hAnsi="Times New Roman" w:cs="Times New Roman"/>
          <w:b/>
          <w:bCs/>
          <w:sz w:val="22"/>
          <w:szCs w:val="22"/>
          <w:u w:val="single"/>
          <w:lang w:val="fr-FR"/>
        </w:rPr>
        <w:t xml:space="preserve"> DE PROGRAMMATION</w:t>
      </w:r>
      <w:r w:rsidRPr="005D062F">
        <w:rPr>
          <w:rFonts w:ascii="Times New Roman" w:hAnsi="Times New Roman" w:cs="Times New Roman"/>
          <w:b/>
          <w:bCs/>
          <w:sz w:val="22"/>
          <w:szCs w:val="22"/>
          <w:u w:val="single"/>
          <w:lang w:val="fr-FR"/>
        </w:rPr>
        <w:t xml:space="preserve"> 2017-2021</w:t>
      </w:r>
      <w:r w:rsidR="00EB37E7" w:rsidRPr="005D062F">
        <w:rPr>
          <w:rFonts w:ascii="Times New Roman" w:hAnsi="Times New Roman" w:cs="Times New Roman"/>
          <w:b/>
          <w:bCs/>
          <w:sz w:val="22"/>
          <w:szCs w:val="22"/>
          <w:u w:val="single"/>
          <w:lang w:val="fr-FR"/>
        </w:rPr>
        <w:t xml:space="preserve"> DU FCD/OEA</w:t>
      </w:r>
    </w:p>
    <w:p w14:paraId="7AED48E5" w14:textId="7C127BA3" w:rsidR="00902AB5" w:rsidRPr="002839C1" w:rsidRDefault="00902AB5" w:rsidP="00607D18">
      <w:pPr>
        <w:keepNext/>
        <w:jc w:val="both"/>
        <w:rPr>
          <w:rFonts w:ascii="Times New Roman" w:hAnsi="Times New Roman" w:cs="Times New Roman"/>
          <w:sz w:val="22"/>
          <w:szCs w:val="22"/>
          <w:lang w:val="fr-FR"/>
        </w:rPr>
      </w:pPr>
    </w:p>
    <w:p w14:paraId="6CEA5DC7" w14:textId="04DE28E0" w:rsidR="00902AB5" w:rsidRPr="005D062F" w:rsidRDefault="007132D8" w:rsidP="00607D18">
      <w:pPr>
        <w:keepNext/>
        <w:ind w:left="720"/>
        <w:rPr>
          <w:rFonts w:ascii="Times New Roman" w:hAnsi="Times New Roman" w:cs="Times New Roman"/>
          <w:b/>
          <w:bCs/>
          <w:sz w:val="22"/>
          <w:szCs w:val="22"/>
          <w:lang w:val="fr-FR"/>
        </w:rPr>
      </w:pPr>
      <w:r w:rsidRPr="005D062F">
        <w:rPr>
          <w:rFonts w:ascii="Times New Roman" w:hAnsi="Times New Roman" w:cs="Times New Roman"/>
          <w:b/>
          <w:bCs/>
          <w:sz w:val="22"/>
          <w:szCs w:val="22"/>
          <w:lang w:val="fr-FR"/>
        </w:rPr>
        <w:t>PROGRAM</w:t>
      </w:r>
      <w:r w:rsidR="00EB37E7" w:rsidRPr="005D062F">
        <w:rPr>
          <w:rFonts w:ascii="Times New Roman" w:hAnsi="Times New Roman" w:cs="Times New Roman"/>
          <w:b/>
          <w:bCs/>
          <w:sz w:val="22"/>
          <w:szCs w:val="22"/>
          <w:lang w:val="fr-FR"/>
        </w:rPr>
        <w:t>ME</w:t>
      </w:r>
      <w:r w:rsidRPr="005D062F">
        <w:rPr>
          <w:rFonts w:ascii="Times New Roman" w:hAnsi="Times New Roman" w:cs="Times New Roman"/>
          <w:b/>
          <w:bCs/>
          <w:sz w:val="22"/>
          <w:szCs w:val="22"/>
          <w:lang w:val="fr-FR"/>
        </w:rPr>
        <w:t xml:space="preserve"> I</w:t>
      </w:r>
    </w:p>
    <w:p w14:paraId="187DE239" w14:textId="49818450" w:rsidR="00902AB5" w:rsidRPr="005D062F" w:rsidRDefault="00EB37E7" w:rsidP="00607D18">
      <w:pPr>
        <w:keepNext/>
        <w:ind w:left="720"/>
        <w:jc w:val="both"/>
        <w:rPr>
          <w:rFonts w:ascii="Times New Roman" w:hAnsi="Times New Roman" w:cs="Times New Roman"/>
          <w:b/>
          <w:bCs/>
          <w:sz w:val="22"/>
          <w:szCs w:val="22"/>
          <w:lang w:val="fr-FR"/>
        </w:rPr>
      </w:pPr>
      <w:r w:rsidRPr="005D062F">
        <w:rPr>
          <w:rFonts w:ascii="Times New Roman" w:hAnsi="Times New Roman" w:cs="Times New Roman"/>
          <w:b/>
          <w:bCs/>
          <w:sz w:val="22"/>
          <w:szCs w:val="22"/>
          <w:lang w:val="fr-FR"/>
        </w:rPr>
        <w:t>É</w:t>
      </w:r>
      <w:r w:rsidR="00902AB5" w:rsidRPr="005D062F">
        <w:rPr>
          <w:rFonts w:ascii="Times New Roman" w:hAnsi="Times New Roman" w:cs="Times New Roman"/>
          <w:b/>
          <w:bCs/>
          <w:sz w:val="22"/>
          <w:szCs w:val="22"/>
          <w:lang w:val="fr-FR"/>
        </w:rPr>
        <w:t>ducation</w:t>
      </w:r>
      <w:r w:rsidRPr="005D062F">
        <w:rPr>
          <w:rFonts w:ascii="Times New Roman" w:hAnsi="Times New Roman" w:cs="Times New Roman"/>
          <w:b/>
          <w:bCs/>
          <w:sz w:val="22"/>
          <w:szCs w:val="22"/>
          <w:lang w:val="fr-FR"/>
        </w:rPr>
        <w:t xml:space="preserve"> de qualit</w:t>
      </w:r>
      <w:r w:rsidR="00A9359E" w:rsidRPr="005D062F">
        <w:rPr>
          <w:rFonts w:ascii="Times New Roman" w:hAnsi="Times New Roman" w:cs="Times New Roman"/>
          <w:b/>
          <w:bCs/>
          <w:sz w:val="22"/>
          <w:szCs w:val="22"/>
          <w:lang w:val="fr-FR"/>
        </w:rPr>
        <w:t>é</w:t>
      </w:r>
      <w:r w:rsidRPr="005D062F">
        <w:rPr>
          <w:rFonts w:ascii="Times New Roman" w:hAnsi="Times New Roman" w:cs="Times New Roman"/>
          <w:b/>
          <w:bCs/>
          <w:sz w:val="22"/>
          <w:szCs w:val="22"/>
          <w:lang w:val="fr-FR"/>
        </w:rPr>
        <w:t>, inclusive et</w:t>
      </w:r>
      <w:r w:rsidR="00007D15" w:rsidRPr="005D062F">
        <w:rPr>
          <w:rFonts w:ascii="Times New Roman" w:hAnsi="Times New Roman" w:cs="Times New Roman"/>
          <w:b/>
          <w:bCs/>
          <w:sz w:val="22"/>
          <w:szCs w:val="22"/>
          <w:lang w:val="fr-FR"/>
        </w:rPr>
        <w:t xml:space="preserve"> assortie d’</w:t>
      </w:r>
      <w:r w:rsidRPr="005D062F">
        <w:rPr>
          <w:rFonts w:ascii="Times New Roman" w:hAnsi="Times New Roman" w:cs="Times New Roman"/>
          <w:b/>
          <w:bCs/>
          <w:sz w:val="22"/>
          <w:szCs w:val="22"/>
          <w:lang w:val="fr-FR"/>
        </w:rPr>
        <w:t>é</w:t>
      </w:r>
      <w:r w:rsidR="00007D15" w:rsidRPr="005D062F">
        <w:rPr>
          <w:rFonts w:ascii="Times New Roman" w:hAnsi="Times New Roman" w:cs="Times New Roman"/>
          <w:b/>
          <w:bCs/>
          <w:sz w:val="22"/>
          <w:szCs w:val="22"/>
          <w:lang w:val="fr-FR"/>
        </w:rPr>
        <w:t>quité</w:t>
      </w:r>
      <w:r w:rsidRPr="005D062F">
        <w:rPr>
          <w:rFonts w:ascii="Times New Roman" w:hAnsi="Times New Roman" w:cs="Times New Roman"/>
          <w:b/>
          <w:bCs/>
          <w:sz w:val="22"/>
          <w:szCs w:val="22"/>
          <w:lang w:val="fr-FR"/>
        </w:rPr>
        <w:t> </w:t>
      </w:r>
      <w:r w:rsidR="00902AB5" w:rsidRPr="005D062F">
        <w:rPr>
          <w:rFonts w:ascii="Times New Roman" w:hAnsi="Times New Roman" w:cs="Times New Roman"/>
          <w:b/>
          <w:bCs/>
          <w:sz w:val="22"/>
          <w:szCs w:val="22"/>
          <w:lang w:val="fr-FR"/>
        </w:rPr>
        <w:t xml:space="preserve">: Costa Rica, </w:t>
      </w:r>
      <w:r w:rsidRPr="005D062F">
        <w:rPr>
          <w:rFonts w:ascii="Times New Roman" w:hAnsi="Times New Roman" w:cs="Times New Roman"/>
          <w:b/>
          <w:bCs/>
          <w:sz w:val="22"/>
          <w:szCs w:val="22"/>
          <w:lang w:val="fr-FR"/>
        </w:rPr>
        <w:t>Éq</w:t>
      </w:r>
      <w:r w:rsidR="00902AB5" w:rsidRPr="005D062F">
        <w:rPr>
          <w:rFonts w:ascii="Times New Roman" w:hAnsi="Times New Roman" w:cs="Times New Roman"/>
          <w:b/>
          <w:bCs/>
          <w:sz w:val="22"/>
          <w:szCs w:val="22"/>
          <w:lang w:val="fr-FR"/>
        </w:rPr>
        <w:t>ua</w:t>
      </w:r>
      <w:r w:rsidRPr="005D062F">
        <w:rPr>
          <w:rFonts w:ascii="Times New Roman" w:hAnsi="Times New Roman" w:cs="Times New Roman"/>
          <w:b/>
          <w:bCs/>
          <w:sz w:val="22"/>
          <w:szCs w:val="22"/>
          <w:lang w:val="fr-FR"/>
        </w:rPr>
        <w:t>teu</w:t>
      </w:r>
      <w:r w:rsidR="00902AB5" w:rsidRPr="005D062F">
        <w:rPr>
          <w:rFonts w:ascii="Times New Roman" w:hAnsi="Times New Roman" w:cs="Times New Roman"/>
          <w:b/>
          <w:bCs/>
          <w:sz w:val="22"/>
          <w:szCs w:val="22"/>
          <w:lang w:val="fr-FR"/>
        </w:rPr>
        <w:t>r, El Salvador, Guyana, Nicaragua</w:t>
      </w:r>
    </w:p>
    <w:p w14:paraId="7474C336" w14:textId="77777777" w:rsidR="00151146" w:rsidRPr="005D062F" w:rsidRDefault="00151146" w:rsidP="00607D18">
      <w:pPr>
        <w:keepNext/>
        <w:jc w:val="both"/>
        <w:rPr>
          <w:rFonts w:ascii="Times New Roman" w:eastAsia="Calibri" w:hAnsi="Times New Roman" w:cs="Times New Roman"/>
          <w:color w:val="000000" w:themeColor="text1"/>
          <w:sz w:val="22"/>
          <w:szCs w:val="22"/>
          <w:lang w:val="fr-FR"/>
        </w:rPr>
      </w:pPr>
    </w:p>
    <w:p w14:paraId="6299F75B" w14:textId="01480F85" w:rsidR="00902AB5" w:rsidRPr="005D062F" w:rsidRDefault="00902AB5" w:rsidP="00CB030B">
      <w:pPr>
        <w:tabs>
          <w:tab w:val="left" w:pos="3315"/>
        </w:tabs>
        <w:ind w:left="720"/>
        <w:contextualSpacing/>
        <w:jc w:val="both"/>
        <w:rPr>
          <w:rFonts w:ascii="Times New Roman" w:hAnsi="Times New Roman" w:cs="Times New Roman"/>
          <w:bCs/>
          <w:sz w:val="22"/>
          <w:szCs w:val="22"/>
          <w:lang w:val="fr-FR"/>
        </w:rPr>
      </w:pPr>
      <w:r w:rsidRPr="005D062F">
        <w:rPr>
          <w:rFonts w:ascii="Times New Roman" w:hAnsi="Times New Roman" w:cs="Times New Roman"/>
          <w:b/>
          <w:bCs/>
          <w:sz w:val="22"/>
          <w:szCs w:val="22"/>
          <w:lang w:val="fr-FR"/>
        </w:rPr>
        <w:t>Costa Rica</w:t>
      </w:r>
      <w:r w:rsidR="00EB37E7" w:rsidRPr="005D062F">
        <w:rPr>
          <w:rFonts w:ascii="Times New Roman" w:hAnsi="Times New Roman" w:cs="Times New Roman"/>
          <w:b/>
          <w:bCs/>
          <w:sz w:val="22"/>
          <w:szCs w:val="22"/>
          <w:lang w:val="fr-FR"/>
        </w:rPr>
        <w:t> </w:t>
      </w:r>
      <w:r w:rsidR="005F68EC" w:rsidRPr="005D062F">
        <w:rPr>
          <w:rFonts w:ascii="Times New Roman" w:hAnsi="Times New Roman" w:cs="Times New Roman"/>
          <w:b/>
          <w:bCs/>
          <w:sz w:val="22"/>
          <w:szCs w:val="22"/>
          <w:lang w:val="fr-FR"/>
        </w:rPr>
        <w:t xml:space="preserve">: </w:t>
      </w:r>
      <w:r w:rsidR="008B4A98" w:rsidRPr="005D062F">
        <w:rPr>
          <w:rFonts w:ascii="Times New Roman" w:hAnsi="Times New Roman" w:cs="Times New Roman"/>
          <w:b/>
          <w:bCs/>
          <w:sz w:val="22"/>
          <w:szCs w:val="22"/>
          <w:lang w:val="fr-FR"/>
        </w:rPr>
        <w:t>E</w:t>
      </w:r>
      <w:r w:rsidR="005F68EC" w:rsidRPr="005D062F">
        <w:rPr>
          <w:rFonts w:ascii="Times New Roman" w:hAnsi="Times New Roman" w:cs="Times New Roman"/>
          <w:b/>
          <w:bCs/>
          <w:sz w:val="22"/>
          <w:szCs w:val="22"/>
          <w:lang w:val="fr-FR"/>
        </w:rPr>
        <w:t>nseignants c</w:t>
      </w:r>
      <w:r w:rsidRPr="005D062F">
        <w:rPr>
          <w:rFonts w:ascii="Times New Roman" w:hAnsi="Times New Roman" w:cs="Times New Roman"/>
          <w:b/>
          <w:bCs/>
          <w:sz w:val="22"/>
          <w:szCs w:val="22"/>
          <w:lang w:val="fr-FR"/>
        </w:rPr>
        <w:t>ommun</w:t>
      </w:r>
      <w:r w:rsidR="005F68EC" w:rsidRPr="005D062F">
        <w:rPr>
          <w:rFonts w:ascii="Times New Roman" w:hAnsi="Times New Roman" w:cs="Times New Roman"/>
          <w:b/>
          <w:bCs/>
          <w:sz w:val="22"/>
          <w:szCs w:val="22"/>
          <w:lang w:val="fr-FR"/>
        </w:rPr>
        <w:t xml:space="preserve">autaires </w:t>
      </w:r>
      <w:r w:rsidR="00977197" w:rsidRPr="005D062F">
        <w:rPr>
          <w:rFonts w:ascii="Times New Roman" w:hAnsi="Times New Roman" w:cs="Times New Roman"/>
          <w:b/>
          <w:bCs/>
          <w:sz w:val="22"/>
          <w:szCs w:val="22"/>
          <w:lang w:val="fr-FR"/>
        </w:rPr>
        <w:t>+</w:t>
      </w:r>
      <w:r w:rsidR="005F68EC" w:rsidRPr="005D062F">
        <w:rPr>
          <w:rFonts w:ascii="Times New Roman" w:hAnsi="Times New Roman" w:cs="Times New Roman"/>
          <w:b/>
          <w:bCs/>
          <w:sz w:val="22"/>
          <w:szCs w:val="22"/>
          <w:lang w:val="fr-FR"/>
        </w:rPr>
        <w:t xml:space="preserve"> </w:t>
      </w:r>
      <w:r w:rsidR="008B4A98" w:rsidRPr="005D062F">
        <w:rPr>
          <w:rFonts w:ascii="Times New Roman" w:hAnsi="Times New Roman" w:cs="Times New Roman"/>
          <w:b/>
          <w:bCs/>
          <w:sz w:val="22"/>
          <w:szCs w:val="22"/>
          <w:lang w:val="fr-FR"/>
        </w:rPr>
        <w:t>S</w:t>
      </w:r>
      <w:r w:rsidR="005F68EC" w:rsidRPr="005D062F">
        <w:rPr>
          <w:rFonts w:ascii="Times New Roman" w:hAnsi="Times New Roman" w:cs="Times New Roman"/>
          <w:b/>
          <w:bCs/>
          <w:sz w:val="22"/>
          <w:szCs w:val="22"/>
          <w:lang w:val="fr-FR"/>
        </w:rPr>
        <w:t>tratégie</w:t>
      </w:r>
      <w:r w:rsidR="00977197" w:rsidRPr="005D062F">
        <w:rPr>
          <w:rFonts w:ascii="Times New Roman" w:hAnsi="Times New Roman" w:cs="Times New Roman"/>
          <w:b/>
          <w:bCs/>
          <w:sz w:val="22"/>
          <w:szCs w:val="22"/>
          <w:lang w:val="fr-FR"/>
        </w:rPr>
        <w:t xml:space="preserve"> </w:t>
      </w:r>
      <w:r w:rsidR="005F68EC" w:rsidRPr="005D062F">
        <w:rPr>
          <w:rFonts w:ascii="Times New Roman" w:hAnsi="Times New Roman" w:cs="Times New Roman"/>
          <w:bCs/>
          <w:iCs/>
          <w:sz w:val="22"/>
          <w:szCs w:val="22"/>
          <w:lang w:val="fr-FR"/>
        </w:rPr>
        <w:t>« </w:t>
      </w:r>
      <w:r w:rsidRPr="005D062F">
        <w:rPr>
          <w:rFonts w:ascii="Times New Roman" w:hAnsi="Times New Roman" w:cs="Times New Roman"/>
          <w:b/>
          <w:bCs/>
          <w:i/>
          <w:iCs/>
          <w:sz w:val="22"/>
          <w:szCs w:val="22"/>
          <w:lang w:val="fr-FR"/>
        </w:rPr>
        <w:t xml:space="preserve">Yo </w:t>
      </w:r>
      <w:r w:rsidR="00977197" w:rsidRPr="005D062F">
        <w:rPr>
          <w:rFonts w:ascii="Times New Roman" w:hAnsi="Times New Roman" w:cs="Times New Roman"/>
          <w:b/>
          <w:bCs/>
          <w:i/>
          <w:iCs/>
          <w:sz w:val="22"/>
          <w:szCs w:val="22"/>
          <w:lang w:val="fr-FR"/>
        </w:rPr>
        <w:t>M</w:t>
      </w:r>
      <w:r w:rsidRPr="005D062F">
        <w:rPr>
          <w:rFonts w:ascii="Times New Roman" w:hAnsi="Times New Roman" w:cs="Times New Roman"/>
          <w:b/>
          <w:bCs/>
          <w:i/>
          <w:iCs/>
          <w:sz w:val="22"/>
          <w:szCs w:val="22"/>
          <w:lang w:val="fr-FR"/>
        </w:rPr>
        <w:t xml:space="preserve">e </w:t>
      </w:r>
      <w:r w:rsidR="00977197" w:rsidRPr="005D062F">
        <w:rPr>
          <w:rFonts w:ascii="Times New Roman" w:hAnsi="Times New Roman" w:cs="Times New Roman"/>
          <w:b/>
          <w:bCs/>
          <w:i/>
          <w:iCs/>
          <w:sz w:val="22"/>
          <w:szCs w:val="22"/>
          <w:lang w:val="fr-FR"/>
        </w:rPr>
        <w:t>A</w:t>
      </w:r>
      <w:r w:rsidR="005F68EC" w:rsidRPr="005D062F">
        <w:rPr>
          <w:rFonts w:ascii="Times New Roman" w:hAnsi="Times New Roman" w:cs="Times New Roman"/>
          <w:b/>
          <w:bCs/>
          <w:i/>
          <w:iCs/>
          <w:sz w:val="22"/>
          <w:szCs w:val="22"/>
          <w:lang w:val="fr-FR"/>
        </w:rPr>
        <w:t>punto</w:t>
      </w:r>
      <w:r w:rsidR="005F68EC" w:rsidRPr="005D062F">
        <w:rPr>
          <w:rFonts w:ascii="Times New Roman" w:hAnsi="Times New Roman" w:cs="Times New Roman"/>
          <w:bCs/>
          <w:iCs/>
          <w:sz w:val="22"/>
          <w:szCs w:val="22"/>
          <w:lang w:val="fr-FR"/>
        </w:rPr>
        <w:t> »</w:t>
      </w:r>
    </w:p>
    <w:p w14:paraId="47B34E9A" w14:textId="0617243A" w:rsidR="00902AB5" w:rsidRPr="005D062F" w:rsidRDefault="00EB37E7" w:rsidP="006E7478">
      <w:pPr>
        <w:pStyle w:val="ListParagraph"/>
        <w:numPr>
          <w:ilvl w:val="0"/>
          <w:numId w:val="35"/>
        </w:numPr>
        <w:ind w:left="1440" w:hanging="720"/>
        <w:contextualSpacing/>
        <w:jc w:val="both"/>
        <w:rPr>
          <w:rFonts w:eastAsiaTheme="minorHAnsi"/>
          <w:sz w:val="22"/>
          <w:szCs w:val="22"/>
          <w:lang w:val="fr-FR"/>
        </w:rPr>
      </w:pPr>
      <w:r w:rsidRPr="005D062F">
        <w:rPr>
          <w:rFonts w:eastAsiaTheme="minorHAnsi"/>
          <w:sz w:val="22"/>
          <w:szCs w:val="22"/>
          <w:lang w:val="fr-FR"/>
        </w:rPr>
        <w:t>Deux-cent-quarante-trois (</w:t>
      </w:r>
      <w:r w:rsidR="00902AB5" w:rsidRPr="005D062F">
        <w:rPr>
          <w:rFonts w:eastAsiaTheme="minorHAnsi"/>
          <w:sz w:val="22"/>
          <w:szCs w:val="22"/>
          <w:lang w:val="fr-FR"/>
        </w:rPr>
        <w:t>243</w:t>
      </w:r>
      <w:r w:rsidRPr="005D062F">
        <w:rPr>
          <w:rFonts w:eastAsiaTheme="minorHAnsi"/>
          <w:sz w:val="22"/>
          <w:szCs w:val="22"/>
          <w:lang w:val="fr-FR"/>
        </w:rPr>
        <w:t>) béné</w:t>
      </w:r>
      <w:r w:rsidR="00902AB5" w:rsidRPr="005D062F">
        <w:rPr>
          <w:rFonts w:eastAsiaTheme="minorHAnsi"/>
          <w:sz w:val="22"/>
          <w:szCs w:val="22"/>
          <w:lang w:val="fr-FR"/>
        </w:rPr>
        <w:t>ficia</w:t>
      </w:r>
      <w:r w:rsidRPr="005D062F">
        <w:rPr>
          <w:rFonts w:eastAsiaTheme="minorHAnsi"/>
          <w:sz w:val="22"/>
          <w:szCs w:val="22"/>
          <w:lang w:val="fr-FR"/>
        </w:rPr>
        <w:t xml:space="preserve">ires </w:t>
      </w:r>
      <w:r w:rsidR="00977197" w:rsidRPr="005D062F">
        <w:rPr>
          <w:sz w:val="22"/>
          <w:szCs w:val="22"/>
          <w:lang w:val="fr-FR"/>
        </w:rPr>
        <w:t>(</w:t>
      </w:r>
      <w:r w:rsidR="008954DC" w:rsidRPr="005D062F">
        <w:rPr>
          <w:sz w:val="22"/>
          <w:szCs w:val="22"/>
          <w:lang w:val="fr-FR"/>
        </w:rPr>
        <w:t xml:space="preserve">ceux </w:t>
      </w:r>
      <w:r w:rsidR="005F68EC" w:rsidRPr="005D062F">
        <w:rPr>
          <w:sz w:val="22"/>
          <w:szCs w:val="22"/>
          <w:lang w:val="fr-FR"/>
        </w:rPr>
        <w:t>dont les</w:t>
      </w:r>
      <w:r w:rsidR="008954DC" w:rsidRPr="005D062F">
        <w:rPr>
          <w:sz w:val="22"/>
          <w:szCs w:val="22"/>
          <w:lang w:val="fr-FR"/>
        </w:rPr>
        <w:t xml:space="preserve"> besoins de base</w:t>
      </w:r>
      <w:r w:rsidR="005F68EC" w:rsidRPr="005D062F">
        <w:rPr>
          <w:sz w:val="22"/>
          <w:szCs w:val="22"/>
          <w:lang w:val="fr-FR"/>
        </w:rPr>
        <w:t xml:space="preserve"> sont </w:t>
      </w:r>
      <w:r w:rsidR="008954DC" w:rsidRPr="005D062F">
        <w:rPr>
          <w:sz w:val="22"/>
          <w:szCs w:val="22"/>
          <w:lang w:val="fr-FR"/>
        </w:rPr>
        <w:t xml:space="preserve">non satisfaits et </w:t>
      </w:r>
      <w:r w:rsidR="005F68EC" w:rsidRPr="005D062F">
        <w:rPr>
          <w:sz w:val="22"/>
          <w:szCs w:val="22"/>
          <w:lang w:val="fr-FR"/>
        </w:rPr>
        <w:t>dont la famille a un faible niveau d’études</w:t>
      </w:r>
      <w:r w:rsidR="00977197" w:rsidRPr="005D062F">
        <w:rPr>
          <w:sz w:val="22"/>
          <w:szCs w:val="22"/>
          <w:lang w:val="fr-FR"/>
        </w:rPr>
        <w:t xml:space="preserve">) </w:t>
      </w:r>
      <w:r w:rsidR="005F68EC" w:rsidRPr="005D062F">
        <w:rPr>
          <w:rFonts w:eastAsiaTheme="minorHAnsi"/>
          <w:sz w:val="22"/>
          <w:szCs w:val="22"/>
          <w:lang w:val="fr-FR"/>
        </w:rPr>
        <w:t xml:space="preserve">de 18 centres </w:t>
      </w:r>
      <w:r w:rsidR="00034C00" w:rsidRPr="005D062F">
        <w:rPr>
          <w:rFonts w:eastAsiaTheme="minorHAnsi"/>
          <w:sz w:val="22"/>
          <w:szCs w:val="22"/>
          <w:lang w:val="fr-FR"/>
        </w:rPr>
        <w:t>éducatifs</w:t>
      </w:r>
      <w:r w:rsidR="005F68EC" w:rsidRPr="005D062F">
        <w:rPr>
          <w:rFonts w:eastAsiaTheme="minorHAnsi"/>
          <w:sz w:val="22"/>
          <w:szCs w:val="22"/>
          <w:lang w:val="fr-FR"/>
        </w:rPr>
        <w:t xml:space="preserve"> situés dans des </w:t>
      </w:r>
      <w:r w:rsidR="005F68EC" w:rsidRPr="006E7478">
        <w:rPr>
          <w:sz w:val="22"/>
          <w:szCs w:val="22"/>
          <w:lang w:val="fr-FR"/>
        </w:rPr>
        <w:t>districts</w:t>
      </w:r>
      <w:r w:rsidR="005F68EC" w:rsidRPr="005D062F">
        <w:rPr>
          <w:rFonts w:eastAsiaTheme="minorHAnsi"/>
          <w:sz w:val="22"/>
          <w:szCs w:val="22"/>
          <w:lang w:val="fr-FR"/>
        </w:rPr>
        <w:t xml:space="preserve"> prioritaires </w:t>
      </w:r>
      <w:r w:rsidRPr="005D062F">
        <w:rPr>
          <w:sz w:val="22"/>
          <w:szCs w:val="22"/>
          <w:lang w:val="fr-FR"/>
        </w:rPr>
        <w:t>ont été réintégré</w:t>
      </w:r>
      <w:r w:rsidR="008954DC" w:rsidRPr="005D062F">
        <w:rPr>
          <w:sz w:val="22"/>
          <w:szCs w:val="22"/>
          <w:lang w:val="fr-FR"/>
        </w:rPr>
        <w:t>s</w:t>
      </w:r>
      <w:r w:rsidRPr="005D062F">
        <w:rPr>
          <w:sz w:val="22"/>
          <w:szCs w:val="22"/>
          <w:lang w:val="fr-FR"/>
        </w:rPr>
        <w:t xml:space="preserve"> dans l’</w:t>
      </w:r>
      <w:r w:rsidRPr="005D062F">
        <w:rPr>
          <w:rFonts w:eastAsiaTheme="minorHAnsi"/>
          <w:sz w:val="22"/>
          <w:szCs w:val="22"/>
          <w:lang w:val="fr-FR"/>
        </w:rPr>
        <w:t>é</w:t>
      </w:r>
      <w:r w:rsidR="00902AB5" w:rsidRPr="005D062F">
        <w:rPr>
          <w:rFonts w:eastAsiaTheme="minorHAnsi"/>
          <w:sz w:val="22"/>
          <w:szCs w:val="22"/>
          <w:lang w:val="fr-FR"/>
        </w:rPr>
        <w:t>ducation</w:t>
      </w:r>
      <w:r w:rsidRPr="005D062F">
        <w:rPr>
          <w:rFonts w:eastAsiaTheme="minorHAnsi"/>
          <w:sz w:val="22"/>
          <w:szCs w:val="22"/>
          <w:lang w:val="fr-FR"/>
        </w:rPr>
        <w:t xml:space="preserve"> formelle </w:t>
      </w:r>
      <w:r w:rsidR="00977197" w:rsidRPr="005D062F">
        <w:rPr>
          <w:sz w:val="22"/>
          <w:szCs w:val="22"/>
          <w:lang w:val="fr-FR"/>
        </w:rPr>
        <w:t xml:space="preserve">; </w:t>
      </w:r>
      <w:r w:rsidRPr="005D062F">
        <w:rPr>
          <w:sz w:val="22"/>
          <w:szCs w:val="22"/>
          <w:lang w:val="fr-FR"/>
        </w:rPr>
        <w:t>le taux de ré</w:t>
      </w:r>
      <w:r w:rsidR="00977197" w:rsidRPr="005D062F">
        <w:rPr>
          <w:sz w:val="22"/>
          <w:szCs w:val="22"/>
          <w:lang w:val="fr-FR"/>
        </w:rPr>
        <w:t>tention</w:t>
      </w:r>
      <w:r w:rsidRPr="005D062F">
        <w:rPr>
          <w:sz w:val="22"/>
          <w:szCs w:val="22"/>
          <w:lang w:val="fr-FR"/>
        </w:rPr>
        <w:t xml:space="preserve"> de ces bénéficiaires était de </w:t>
      </w:r>
      <w:r w:rsidR="00977197" w:rsidRPr="005D062F">
        <w:rPr>
          <w:sz w:val="22"/>
          <w:szCs w:val="22"/>
          <w:lang w:val="fr-FR"/>
        </w:rPr>
        <w:t>95</w:t>
      </w:r>
      <w:r w:rsidRPr="005D062F">
        <w:rPr>
          <w:sz w:val="22"/>
          <w:szCs w:val="22"/>
          <w:lang w:val="fr-FR"/>
        </w:rPr>
        <w:t> % en raison du travail effectué par les enseignants communautaires</w:t>
      </w:r>
      <w:r w:rsidR="00902AB5" w:rsidRPr="005D062F">
        <w:rPr>
          <w:rFonts w:eastAsiaTheme="minorHAnsi"/>
          <w:sz w:val="22"/>
          <w:szCs w:val="22"/>
          <w:lang w:val="fr-FR"/>
        </w:rPr>
        <w:t xml:space="preserve">. </w:t>
      </w:r>
    </w:p>
    <w:p w14:paraId="44DB3D0A" w14:textId="77777777" w:rsidR="00902AB5" w:rsidRPr="005D062F" w:rsidRDefault="00902AB5" w:rsidP="00CB030B">
      <w:pPr>
        <w:tabs>
          <w:tab w:val="left" w:pos="3315"/>
        </w:tabs>
        <w:contextualSpacing/>
        <w:jc w:val="both"/>
        <w:rPr>
          <w:rFonts w:ascii="Times New Roman" w:eastAsia="MS PGothic" w:hAnsi="Times New Roman" w:cs="Times New Roman"/>
          <w:color w:val="000000"/>
          <w:kern w:val="24"/>
          <w:sz w:val="22"/>
          <w:szCs w:val="22"/>
          <w:lang w:val="fr-FR"/>
        </w:rPr>
      </w:pPr>
    </w:p>
    <w:p w14:paraId="29C19355" w14:textId="311FDD9D" w:rsidR="00902AB5" w:rsidRPr="005D062F" w:rsidRDefault="00D8692A" w:rsidP="00607D18">
      <w:pPr>
        <w:tabs>
          <w:tab w:val="left" w:pos="3315"/>
        </w:tabs>
        <w:ind w:left="720"/>
        <w:contextualSpacing/>
        <w:jc w:val="both"/>
        <w:rPr>
          <w:rFonts w:ascii="Times New Roman" w:hAnsi="Times New Roman" w:cs="Times New Roman"/>
          <w:b/>
          <w:bCs/>
          <w:sz w:val="22"/>
          <w:szCs w:val="22"/>
          <w:lang w:val="fr-FR"/>
        </w:rPr>
      </w:pPr>
      <w:r w:rsidRPr="005D062F">
        <w:rPr>
          <w:rFonts w:ascii="Times New Roman" w:hAnsi="Times New Roman" w:cs="Times New Roman"/>
          <w:b/>
          <w:bCs/>
          <w:sz w:val="22"/>
          <w:szCs w:val="22"/>
          <w:lang w:val="fr-FR"/>
        </w:rPr>
        <w:t>Éq</w:t>
      </w:r>
      <w:r w:rsidR="00902AB5" w:rsidRPr="005D062F">
        <w:rPr>
          <w:rFonts w:ascii="Times New Roman" w:hAnsi="Times New Roman" w:cs="Times New Roman"/>
          <w:b/>
          <w:bCs/>
          <w:sz w:val="22"/>
          <w:szCs w:val="22"/>
          <w:lang w:val="fr-FR"/>
        </w:rPr>
        <w:t>ua</w:t>
      </w:r>
      <w:r w:rsidRPr="005D062F">
        <w:rPr>
          <w:rFonts w:ascii="Times New Roman" w:hAnsi="Times New Roman" w:cs="Times New Roman"/>
          <w:b/>
          <w:bCs/>
          <w:sz w:val="22"/>
          <w:szCs w:val="22"/>
          <w:lang w:val="fr-FR"/>
        </w:rPr>
        <w:t>teur </w:t>
      </w:r>
      <w:r w:rsidR="00902AB5" w:rsidRPr="005D062F">
        <w:rPr>
          <w:rFonts w:ascii="Times New Roman" w:hAnsi="Times New Roman" w:cs="Times New Roman"/>
          <w:b/>
          <w:bCs/>
          <w:sz w:val="22"/>
          <w:szCs w:val="22"/>
          <w:lang w:val="fr-FR"/>
        </w:rPr>
        <w:t xml:space="preserve">: </w:t>
      </w:r>
      <w:r w:rsidR="008B4A98" w:rsidRPr="005D062F">
        <w:rPr>
          <w:rFonts w:ascii="Times New Roman" w:hAnsi="Times New Roman" w:cs="Times New Roman"/>
          <w:b/>
          <w:bCs/>
          <w:sz w:val="22"/>
          <w:szCs w:val="22"/>
          <w:lang w:val="fr-FR"/>
        </w:rPr>
        <w:t>P</w:t>
      </w:r>
      <w:r w:rsidR="00902AB5" w:rsidRPr="005D062F">
        <w:rPr>
          <w:rFonts w:ascii="Times New Roman" w:hAnsi="Times New Roman" w:cs="Times New Roman"/>
          <w:b/>
          <w:bCs/>
          <w:sz w:val="22"/>
          <w:szCs w:val="22"/>
          <w:lang w:val="fr-FR"/>
        </w:rPr>
        <w:t>rogram</w:t>
      </w:r>
      <w:r w:rsidRPr="005D062F">
        <w:rPr>
          <w:rFonts w:ascii="Times New Roman" w:hAnsi="Times New Roman" w:cs="Times New Roman"/>
          <w:b/>
          <w:bCs/>
          <w:sz w:val="22"/>
          <w:szCs w:val="22"/>
          <w:lang w:val="fr-FR"/>
        </w:rPr>
        <w:t>me de formation des enseignants</w:t>
      </w:r>
      <w:r w:rsidR="00902AB5" w:rsidRPr="005D062F">
        <w:rPr>
          <w:rFonts w:ascii="Times New Roman" w:hAnsi="Times New Roman" w:cs="Times New Roman"/>
          <w:b/>
          <w:bCs/>
          <w:sz w:val="22"/>
          <w:szCs w:val="22"/>
          <w:lang w:val="fr-FR"/>
        </w:rPr>
        <w:t xml:space="preserve"> </w:t>
      </w:r>
      <w:r w:rsidRPr="005D062F">
        <w:rPr>
          <w:rFonts w:ascii="Times New Roman" w:hAnsi="Times New Roman" w:cs="Times New Roman"/>
          <w:b/>
          <w:bCs/>
          <w:sz w:val="22"/>
          <w:szCs w:val="22"/>
          <w:lang w:val="fr-FR"/>
        </w:rPr>
        <w:t>et pratiqu</w:t>
      </w:r>
      <w:r w:rsidR="00902AB5" w:rsidRPr="005D062F">
        <w:rPr>
          <w:rFonts w:ascii="Times New Roman" w:hAnsi="Times New Roman" w:cs="Times New Roman"/>
          <w:b/>
          <w:bCs/>
          <w:sz w:val="22"/>
          <w:szCs w:val="22"/>
          <w:lang w:val="fr-FR"/>
        </w:rPr>
        <w:t>es</w:t>
      </w:r>
      <w:r w:rsidRPr="005D062F">
        <w:rPr>
          <w:rFonts w:ascii="Times New Roman" w:hAnsi="Times New Roman" w:cs="Times New Roman"/>
          <w:b/>
          <w:bCs/>
          <w:sz w:val="22"/>
          <w:szCs w:val="22"/>
          <w:lang w:val="fr-FR"/>
        </w:rPr>
        <w:t xml:space="preserve"> éducatives inclusives en faveur des écoles équatoriennes</w:t>
      </w:r>
    </w:p>
    <w:p w14:paraId="5B0E7CFF" w14:textId="3F2C51AA" w:rsidR="00977197" w:rsidRPr="005D062F" w:rsidRDefault="00D8692A" w:rsidP="006E7478">
      <w:pPr>
        <w:pStyle w:val="ListParagraph"/>
        <w:numPr>
          <w:ilvl w:val="0"/>
          <w:numId w:val="35"/>
        </w:numPr>
        <w:ind w:left="1440" w:hanging="720"/>
        <w:contextualSpacing/>
        <w:jc w:val="both"/>
        <w:rPr>
          <w:rFonts w:eastAsia="MS PGothic"/>
          <w:color w:val="000000" w:themeColor="text1"/>
          <w:kern w:val="24"/>
          <w:sz w:val="22"/>
          <w:szCs w:val="22"/>
          <w:lang w:val="fr-FR"/>
        </w:rPr>
      </w:pPr>
      <w:r w:rsidRPr="005D062F">
        <w:rPr>
          <w:rFonts w:eastAsia="MS PGothic"/>
          <w:color w:val="000000" w:themeColor="text1"/>
          <w:kern w:val="24"/>
          <w:sz w:val="22"/>
          <w:szCs w:val="22"/>
          <w:lang w:val="fr-FR"/>
        </w:rPr>
        <w:t>Mille-deux-cent-dix-huit (1 </w:t>
      </w:r>
      <w:r w:rsidR="00977197" w:rsidRPr="005D062F">
        <w:rPr>
          <w:rFonts w:eastAsia="MS PGothic"/>
          <w:color w:val="000000" w:themeColor="text1"/>
          <w:kern w:val="24"/>
          <w:sz w:val="22"/>
          <w:szCs w:val="22"/>
          <w:lang w:val="fr-FR"/>
        </w:rPr>
        <w:t>218</w:t>
      </w:r>
      <w:r w:rsidRPr="005D062F">
        <w:rPr>
          <w:rFonts w:eastAsia="MS PGothic"/>
          <w:color w:val="000000" w:themeColor="text1"/>
          <w:kern w:val="24"/>
          <w:sz w:val="22"/>
          <w:szCs w:val="22"/>
          <w:lang w:val="fr-FR"/>
        </w:rPr>
        <w:t>) enseignants ont dé</w:t>
      </w:r>
      <w:r w:rsidR="00977197" w:rsidRPr="005D062F">
        <w:rPr>
          <w:rFonts w:eastAsia="MS PGothic"/>
          <w:color w:val="000000" w:themeColor="text1"/>
          <w:kern w:val="24"/>
          <w:sz w:val="22"/>
          <w:szCs w:val="22"/>
          <w:lang w:val="fr-FR"/>
        </w:rPr>
        <w:t>velop</w:t>
      </w:r>
      <w:r w:rsidRPr="005D062F">
        <w:rPr>
          <w:rFonts w:eastAsia="MS PGothic"/>
          <w:color w:val="000000" w:themeColor="text1"/>
          <w:kern w:val="24"/>
          <w:sz w:val="22"/>
          <w:szCs w:val="22"/>
          <w:lang w:val="fr-FR"/>
        </w:rPr>
        <w:t xml:space="preserve">pé des compétences pour la mise en œuvre </w:t>
      </w:r>
      <w:r w:rsidRPr="006E7478">
        <w:rPr>
          <w:sz w:val="22"/>
          <w:szCs w:val="22"/>
          <w:lang w:val="fr-FR"/>
        </w:rPr>
        <w:t>de</w:t>
      </w:r>
      <w:r w:rsidRPr="005D062F">
        <w:rPr>
          <w:rFonts w:eastAsia="MS PGothic"/>
          <w:color w:val="000000" w:themeColor="text1"/>
          <w:kern w:val="24"/>
          <w:sz w:val="22"/>
          <w:szCs w:val="22"/>
          <w:lang w:val="fr-FR"/>
        </w:rPr>
        <w:t xml:space="preserve"> méthodes innovantes </w:t>
      </w:r>
      <w:r w:rsidR="00E0382E" w:rsidRPr="005D062F">
        <w:rPr>
          <w:rFonts w:eastAsia="MS PGothic"/>
          <w:color w:val="000000" w:themeColor="text1"/>
          <w:kern w:val="24"/>
          <w:sz w:val="22"/>
          <w:szCs w:val="22"/>
          <w:lang w:val="fr-FR"/>
        </w:rPr>
        <w:t xml:space="preserve">d’inclusion éducative </w:t>
      </w:r>
      <w:r w:rsidRPr="005D062F">
        <w:rPr>
          <w:rFonts w:eastAsia="MS PGothic"/>
          <w:color w:val="000000" w:themeColor="text1"/>
          <w:kern w:val="24"/>
          <w:sz w:val="22"/>
          <w:szCs w:val="22"/>
          <w:lang w:val="fr-FR"/>
        </w:rPr>
        <w:t>dans les établissements public</w:t>
      </w:r>
      <w:r w:rsidR="00977197" w:rsidRPr="005D062F">
        <w:rPr>
          <w:rFonts w:eastAsia="MS PGothic"/>
          <w:color w:val="000000" w:themeColor="text1"/>
          <w:kern w:val="24"/>
          <w:sz w:val="22"/>
          <w:szCs w:val="22"/>
          <w:lang w:val="fr-FR"/>
        </w:rPr>
        <w:t>s (</w:t>
      </w:r>
      <w:r w:rsidRPr="005D062F">
        <w:rPr>
          <w:rFonts w:eastAsia="MS PGothic"/>
          <w:color w:val="000000" w:themeColor="text1"/>
          <w:kern w:val="24"/>
          <w:sz w:val="22"/>
          <w:szCs w:val="22"/>
          <w:lang w:val="fr-FR"/>
        </w:rPr>
        <w:t>enseignement primaire) d</w:t>
      </w:r>
      <w:r w:rsidR="00977197" w:rsidRPr="005D062F">
        <w:rPr>
          <w:rFonts w:eastAsia="MS PGothic"/>
          <w:color w:val="000000" w:themeColor="text1"/>
          <w:kern w:val="24"/>
          <w:sz w:val="22"/>
          <w:szCs w:val="22"/>
          <w:lang w:val="fr-FR"/>
        </w:rPr>
        <w:t>e</w:t>
      </w:r>
      <w:r w:rsidRPr="005D062F">
        <w:rPr>
          <w:rFonts w:eastAsia="MS PGothic"/>
          <w:color w:val="000000" w:themeColor="text1"/>
          <w:kern w:val="24"/>
          <w:sz w:val="22"/>
          <w:szCs w:val="22"/>
          <w:lang w:val="fr-FR"/>
        </w:rPr>
        <w:t>s provinces d’</w:t>
      </w:r>
      <w:r w:rsidR="00977197" w:rsidRPr="005D062F">
        <w:rPr>
          <w:rFonts w:eastAsia="MS PGothic"/>
          <w:color w:val="000000" w:themeColor="text1"/>
          <w:kern w:val="24"/>
          <w:sz w:val="22"/>
          <w:szCs w:val="22"/>
          <w:lang w:val="fr-FR"/>
        </w:rPr>
        <w:t xml:space="preserve">Azuay, </w:t>
      </w:r>
      <w:r w:rsidRPr="005D062F">
        <w:rPr>
          <w:rFonts w:eastAsia="MS PGothic"/>
          <w:color w:val="000000" w:themeColor="text1"/>
          <w:kern w:val="24"/>
          <w:sz w:val="22"/>
          <w:szCs w:val="22"/>
          <w:lang w:val="fr-FR"/>
        </w:rPr>
        <w:t xml:space="preserve">de Cañar et de </w:t>
      </w:r>
      <w:r w:rsidR="00977197" w:rsidRPr="005D062F">
        <w:rPr>
          <w:rFonts w:eastAsia="MS PGothic"/>
          <w:color w:val="000000" w:themeColor="text1"/>
          <w:kern w:val="24"/>
          <w:sz w:val="22"/>
          <w:szCs w:val="22"/>
          <w:lang w:val="fr-FR"/>
        </w:rPr>
        <w:t>Morona Santiago.</w:t>
      </w:r>
      <w:r w:rsidRPr="005D062F">
        <w:rPr>
          <w:rFonts w:eastAsia="MS PGothic"/>
          <w:color w:val="000000" w:themeColor="text1"/>
          <w:kern w:val="24"/>
          <w:sz w:val="22"/>
          <w:szCs w:val="22"/>
          <w:lang w:val="fr-FR"/>
        </w:rPr>
        <w:t xml:space="preserve"> Ces compétences sont transposables dans le système éducatif général, permettant ainsi de promouvoir une éducation plus </w:t>
      </w:r>
      <w:r w:rsidR="00977197" w:rsidRPr="005D062F">
        <w:rPr>
          <w:rFonts w:eastAsia="MS PGothic"/>
          <w:color w:val="000000" w:themeColor="text1"/>
          <w:kern w:val="24"/>
          <w:sz w:val="22"/>
          <w:szCs w:val="22"/>
          <w:lang w:val="fr-FR"/>
        </w:rPr>
        <w:t xml:space="preserve">inclusive </w:t>
      </w:r>
      <w:r w:rsidRPr="005D062F">
        <w:rPr>
          <w:rFonts w:eastAsia="MS PGothic"/>
          <w:color w:val="000000" w:themeColor="text1"/>
          <w:kern w:val="24"/>
          <w:sz w:val="22"/>
          <w:szCs w:val="22"/>
          <w:lang w:val="fr-FR"/>
        </w:rPr>
        <w:t>dans les autres établissement</w:t>
      </w:r>
      <w:r w:rsidR="00977197" w:rsidRPr="005D062F">
        <w:rPr>
          <w:rFonts w:eastAsia="MS PGothic"/>
          <w:color w:val="000000" w:themeColor="text1"/>
          <w:kern w:val="24"/>
          <w:sz w:val="22"/>
          <w:szCs w:val="22"/>
          <w:lang w:val="fr-FR"/>
        </w:rPr>
        <w:t>s.</w:t>
      </w:r>
    </w:p>
    <w:p w14:paraId="1D416448" w14:textId="77777777" w:rsidR="00902AB5" w:rsidRPr="005D062F" w:rsidRDefault="00902AB5" w:rsidP="00CB030B">
      <w:pPr>
        <w:tabs>
          <w:tab w:val="left" w:pos="3315"/>
        </w:tabs>
        <w:contextualSpacing/>
        <w:jc w:val="both"/>
        <w:rPr>
          <w:rFonts w:ascii="Times New Roman" w:eastAsia="MS PGothic" w:hAnsi="Times New Roman" w:cs="Times New Roman"/>
          <w:color w:val="000000"/>
          <w:kern w:val="24"/>
          <w:sz w:val="22"/>
          <w:szCs w:val="22"/>
          <w:lang w:val="fr-FR"/>
        </w:rPr>
      </w:pPr>
    </w:p>
    <w:p w14:paraId="70B0CD96" w14:textId="217E26AB" w:rsidR="00902AB5" w:rsidRPr="005D062F" w:rsidRDefault="00902AB5" w:rsidP="00E423F2">
      <w:pPr>
        <w:tabs>
          <w:tab w:val="left" w:pos="3315"/>
        </w:tabs>
        <w:ind w:left="720"/>
        <w:contextualSpacing/>
        <w:jc w:val="both"/>
        <w:rPr>
          <w:rFonts w:ascii="Times New Roman" w:hAnsi="Times New Roman" w:cs="Times New Roman"/>
          <w:b/>
          <w:bCs/>
          <w:sz w:val="22"/>
          <w:szCs w:val="22"/>
          <w:lang w:val="fr-FR"/>
        </w:rPr>
      </w:pPr>
      <w:r w:rsidRPr="005D062F">
        <w:rPr>
          <w:rFonts w:ascii="Times New Roman" w:hAnsi="Times New Roman" w:cs="Times New Roman"/>
          <w:b/>
          <w:bCs/>
          <w:sz w:val="22"/>
          <w:szCs w:val="22"/>
          <w:lang w:val="fr-FR"/>
        </w:rPr>
        <w:t>El Salvador</w:t>
      </w:r>
      <w:r w:rsidR="00E0382E" w:rsidRPr="005D062F">
        <w:rPr>
          <w:rFonts w:ascii="Times New Roman" w:hAnsi="Times New Roman" w:cs="Times New Roman"/>
          <w:b/>
          <w:bCs/>
          <w:sz w:val="22"/>
          <w:szCs w:val="22"/>
          <w:lang w:val="fr-FR"/>
        </w:rPr>
        <w:t> </w:t>
      </w:r>
      <w:r w:rsidRPr="005D062F">
        <w:rPr>
          <w:rFonts w:ascii="Times New Roman" w:hAnsi="Times New Roman" w:cs="Times New Roman"/>
          <w:b/>
          <w:bCs/>
          <w:sz w:val="22"/>
          <w:szCs w:val="22"/>
          <w:lang w:val="fr-FR"/>
        </w:rPr>
        <w:t xml:space="preserve">: </w:t>
      </w:r>
      <w:r w:rsidR="008B4A98" w:rsidRPr="005D062F">
        <w:rPr>
          <w:rFonts w:ascii="Times New Roman" w:hAnsi="Times New Roman" w:cs="Times New Roman"/>
          <w:b/>
          <w:bCs/>
          <w:sz w:val="22"/>
          <w:szCs w:val="22"/>
          <w:lang w:val="fr-FR"/>
        </w:rPr>
        <w:t>É</w:t>
      </w:r>
      <w:r w:rsidR="00E0382E" w:rsidRPr="005D062F">
        <w:rPr>
          <w:rFonts w:ascii="Times New Roman" w:hAnsi="Times New Roman" w:cs="Times New Roman"/>
          <w:b/>
          <w:bCs/>
          <w:sz w:val="22"/>
          <w:szCs w:val="22"/>
          <w:lang w:val="fr-FR"/>
        </w:rPr>
        <w:t xml:space="preserve">ducation inclusive </w:t>
      </w:r>
      <w:r w:rsidR="00977197" w:rsidRPr="005D062F">
        <w:rPr>
          <w:rFonts w:ascii="Times New Roman" w:hAnsi="Times New Roman" w:cs="Times New Roman"/>
          <w:b/>
          <w:bCs/>
          <w:sz w:val="22"/>
          <w:szCs w:val="22"/>
          <w:lang w:val="fr-FR"/>
        </w:rPr>
        <w:t xml:space="preserve">– </w:t>
      </w:r>
      <w:r w:rsidR="00A73DB9" w:rsidRPr="005D062F">
        <w:rPr>
          <w:rFonts w:ascii="Times New Roman" w:hAnsi="Times New Roman" w:cs="Times New Roman"/>
          <w:b/>
          <w:bCs/>
          <w:sz w:val="22"/>
          <w:szCs w:val="22"/>
          <w:lang w:val="fr-FR"/>
        </w:rPr>
        <w:t>C</w:t>
      </w:r>
      <w:r w:rsidR="00E0382E" w:rsidRPr="005D062F">
        <w:rPr>
          <w:rFonts w:ascii="Times New Roman" w:hAnsi="Times New Roman" w:cs="Times New Roman"/>
          <w:b/>
          <w:bCs/>
          <w:sz w:val="22"/>
          <w:szCs w:val="22"/>
          <w:lang w:val="fr-FR"/>
        </w:rPr>
        <w:t xml:space="preserve">réation d’espaces de </w:t>
      </w:r>
      <w:r w:rsidRPr="005D062F">
        <w:rPr>
          <w:rFonts w:ascii="Times New Roman" w:hAnsi="Times New Roman" w:cs="Times New Roman"/>
          <w:b/>
          <w:bCs/>
          <w:sz w:val="22"/>
          <w:szCs w:val="22"/>
          <w:lang w:val="fr-FR"/>
        </w:rPr>
        <w:t xml:space="preserve">participation </w:t>
      </w:r>
      <w:r w:rsidR="00E0382E" w:rsidRPr="005D062F">
        <w:rPr>
          <w:rFonts w:ascii="Times New Roman" w:hAnsi="Times New Roman" w:cs="Times New Roman"/>
          <w:b/>
          <w:bCs/>
          <w:sz w:val="22"/>
          <w:szCs w:val="22"/>
          <w:lang w:val="fr-FR"/>
        </w:rPr>
        <w:t xml:space="preserve">et d’apprentissage tout au long de la vie </w:t>
      </w:r>
    </w:p>
    <w:p w14:paraId="21BA92D3" w14:textId="583FB72D" w:rsidR="00774906" w:rsidRPr="005D062F" w:rsidRDefault="00E0382E" w:rsidP="006E7478">
      <w:pPr>
        <w:pStyle w:val="ListParagraph"/>
        <w:numPr>
          <w:ilvl w:val="0"/>
          <w:numId w:val="35"/>
        </w:numPr>
        <w:ind w:left="1440" w:hanging="720"/>
        <w:contextualSpacing/>
        <w:jc w:val="both"/>
        <w:rPr>
          <w:rFonts w:eastAsia="MS PGothic"/>
          <w:color w:val="000000"/>
          <w:kern w:val="24"/>
          <w:sz w:val="22"/>
          <w:szCs w:val="22"/>
          <w:lang w:val="fr-FR"/>
        </w:rPr>
      </w:pPr>
      <w:r w:rsidRPr="005D062F">
        <w:rPr>
          <w:rFonts w:eastAsia="MS PGothic"/>
          <w:color w:val="000000"/>
          <w:kern w:val="24"/>
          <w:sz w:val="22"/>
          <w:szCs w:val="22"/>
          <w:lang w:val="fr-FR"/>
        </w:rPr>
        <w:t xml:space="preserve">Les perspectives éducatives en matière de développement de l’apprentissage ainsi que les </w:t>
      </w:r>
      <w:r w:rsidRPr="006E7478">
        <w:rPr>
          <w:sz w:val="22"/>
          <w:szCs w:val="22"/>
          <w:lang w:val="fr-FR"/>
        </w:rPr>
        <w:t>compétences</w:t>
      </w:r>
      <w:r w:rsidRPr="005D062F">
        <w:rPr>
          <w:rFonts w:eastAsia="MS PGothic"/>
          <w:color w:val="000000"/>
          <w:kern w:val="24"/>
          <w:sz w:val="22"/>
          <w:szCs w:val="22"/>
          <w:lang w:val="fr-FR"/>
        </w:rPr>
        <w:t xml:space="preserve"> générales et de la vie courante se sont améliorées pour plus</w:t>
      </w:r>
      <w:r w:rsidR="00A73DB9" w:rsidRPr="005D062F">
        <w:rPr>
          <w:rFonts w:eastAsia="MS PGothic"/>
          <w:color w:val="000000"/>
          <w:kern w:val="24"/>
          <w:sz w:val="22"/>
          <w:szCs w:val="22"/>
          <w:lang w:val="fr-FR"/>
        </w:rPr>
        <w:t xml:space="preserve"> de </w:t>
      </w:r>
      <w:r w:rsidRPr="005D062F">
        <w:rPr>
          <w:rFonts w:eastAsia="MS PGothic"/>
          <w:color w:val="000000"/>
          <w:kern w:val="24"/>
          <w:sz w:val="22"/>
          <w:szCs w:val="22"/>
          <w:lang w:val="fr-FR"/>
        </w:rPr>
        <w:t>5 </w:t>
      </w:r>
      <w:r w:rsidR="00774906" w:rsidRPr="005D062F">
        <w:rPr>
          <w:rFonts w:eastAsia="MS PGothic"/>
          <w:color w:val="000000"/>
          <w:kern w:val="24"/>
          <w:sz w:val="22"/>
          <w:szCs w:val="22"/>
          <w:lang w:val="fr-FR"/>
        </w:rPr>
        <w:t>000</w:t>
      </w:r>
      <w:r w:rsidRPr="005D062F">
        <w:rPr>
          <w:rFonts w:eastAsia="MS PGothic"/>
          <w:color w:val="000000"/>
          <w:kern w:val="24"/>
          <w:sz w:val="22"/>
          <w:szCs w:val="22"/>
          <w:lang w:val="fr-FR"/>
        </w:rPr>
        <w:t> </w:t>
      </w:r>
      <w:r w:rsidR="00774906" w:rsidRPr="005D062F">
        <w:rPr>
          <w:rFonts w:eastAsia="MS PGothic"/>
          <w:color w:val="000000"/>
          <w:kern w:val="24"/>
          <w:sz w:val="22"/>
          <w:szCs w:val="22"/>
          <w:lang w:val="fr-FR"/>
        </w:rPr>
        <w:t>adolescents</w:t>
      </w:r>
      <w:r w:rsidRPr="005D062F">
        <w:rPr>
          <w:rFonts w:eastAsia="MS PGothic"/>
          <w:color w:val="000000"/>
          <w:kern w:val="24"/>
          <w:sz w:val="22"/>
          <w:szCs w:val="22"/>
          <w:lang w:val="fr-FR"/>
        </w:rPr>
        <w:t xml:space="preserve"> handicapés exposés à un risque d’exclusion et de</w:t>
      </w:r>
      <w:r w:rsidR="00774906" w:rsidRPr="005D062F">
        <w:rPr>
          <w:rFonts w:eastAsia="MS PGothic"/>
          <w:color w:val="000000"/>
          <w:kern w:val="24"/>
          <w:sz w:val="22"/>
          <w:szCs w:val="22"/>
          <w:lang w:val="fr-FR"/>
        </w:rPr>
        <w:t xml:space="preserve"> </w:t>
      </w:r>
      <w:r w:rsidRPr="005D062F">
        <w:rPr>
          <w:rFonts w:eastAsia="MS PGothic"/>
          <w:color w:val="000000"/>
          <w:kern w:val="24"/>
          <w:sz w:val="22"/>
          <w:szCs w:val="22"/>
          <w:lang w:val="fr-FR"/>
        </w:rPr>
        <w:t>vulnérabilité sociale</w:t>
      </w:r>
      <w:r w:rsidR="00774906" w:rsidRPr="005D062F">
        <w:rPr>
          <w:rFonts w:eastAsia="MS PGothic"/>
          <w:color w:val="000000"/>
          <w:kern w:val="24"/>
          <w:sz w:val="22"/>
          <w:szCs w:val="22"/>
          <w:lang w:val="fr-FR"/>
        </w:rPr>
        <w:t>.</w:t>
      </w:r>
    </w:p>
    <w:p w14:paraId="3A04FCF7" w14:textId="2425FDF6" w:rsidR="00774906" w:rsidRPr="005D062F" w:rsidRDefault="001C4DA4" w:rsidP="006E7478">
      <w:pPr>
        <w:pStyle w:val="ListParagraph"/>
        <w:numPr>
          <w:ilvl w:val="0"/>
          <w:numId w:val="35"/>
        </w:numPr>
        <w:ind w:left="1440" w:hanging="720"/>
        <w:contextualSpacing/>
        <w:jc w:val="both"/>
        <w:rPr>
          <w:rFonts w:eastAsia="MS PGothic"/>
          <w:color w:val="000000"/>
          <w:kern w:val="24"/>
          <w:sz w:val="22"/>
          <w:szCs w:val="22"/>
          <w:lang w:val="fr-FR"/>
        </w:rPr>
      </w:pPr>
      <w:r w:rsidRPr="005D062F">
        <w:rPr>
          <w:rFonts w:eastAsia="MS PGothic"/>
          <w:color w:val="000000"/>
          <w:kern w:val="24"/>
          <w:sz w:val="22"/>
          <w:szCs w:val="22"/>
          <w:lang w:val="fr-FR"/>
        </w:rPr>
        <w:t xml:space="preserve">Une formation a été dispensée à </w:t>
      </w:r>
      <w:r w:rsidR="00774906" w:rsidRPr="005D062F">
        <w:rPr>
          <w:rFonts w:eastAsia="MS PGothic"/>
          <w:color w:val="000000"/>
          <w:kern w:val="24"/>
          <w:sz w:val="22"/>
          <w:szCs w:val="22"/>
          <w:lang w:val="fr-FR"/>
        </w:rPr>
        <w:t>618 profession</w:t>
      </w:r>
      <w:r w:rsidRPr="005D062F">
        <w:rPr>
          <w:rFonts w:eastAsia="MS PGothic"/>
          <w:color w:val="000000"/>
          <w:kern w:val="24"/>
          <w:sz w:val="22"/>
          <w:szCs w:val="22"/>
          <w:lang w:val="fr-FR"/>
        </w:rPr>
        <w:t>nels dans le domaine des TIC dans les 14 départements d’</w:t>
      </w:r>
      <w:r w:rsidR="00774906" w:rsidRPr="005D062F">
        <w:rPr>
          <w:rFonts w:eastAsia="MS PGothic"/>
          <w:color w:val="000000"/>
          <w:kern w:val="24"/>
          <w:sz w:val="22"/>
          <w:szCs w:val="22"/>
          <w:lang w:val="fr-FR"/>
        </w:rPr>
        <w:t>El Salvador</w:t>
      </w:r>
      <w:r w:rsidRPr="005D062F">
        <w:rPr>
          <w:rFonts w:eastAsia="MS PGothic"/>
          <w:color w:val="000000"/>
          <w:kern w:val="24"/>
          <w:sz w:val="22"/>
          <w:szCs w:val="22"/>
          <w:lang w:val="fr-FR"/>
        </w:rPr>
        <w:t xml:space="preserve"> et à</w:t>
      </w:r>
      <w:r w:rsidR="002615BA" w:rsidRPr="005D062F">
        <w:rPr>
          <w:rFonts w:eastAsia="MS PGothic"/>
          <w:color w:val="000000"/>
          <w:kern w:val="24"/>
          <w:sz w:val="22"/>
          <w:szCs w:val="22"/>
          <w:lang w:val="fr-FR"/>
        </w:rPr>
        <w:t xml:space="preserve"> 270 </w:t>
      </w:r>
      <w:r w:rsidRPr="005D062F">
        <w:rPr>
          <w:rFonts w:eastAsia="MS PGothic"/>
          <w:color w:val="000000"/>
          <w:kern w:val="24"/>
          <w:sz w:val="22"/>
          <w:szCs w:val="22"/>
          <w:lang w:val="fr-FR"/>
        </w:rPr>
        <w:t>enseignants d’é</w:t>
      </w:r>
      <w:r w:rsidR="002615BA" w:rsidRPr="005D062F">
        <w:rPr>
          <w:rFonts w:eastAsia="MS PGothic"/>
          <w:color w:val="000000"/>
          <w:kern w:val="24"/>
          <w:sz w:val="22"/>
          <w:szCs w:val="22"/>
          <w:lang w:val="fr-FR"/>
        </w:rPr>
        <w:t>ducation</w:t>
      </w:r>
      <w:r w:rsidRPr="005D062F">
        <w:rPr>
          <w:rFonts w:eastAsia="MS PGothic"/>
          <w:color w:val="000000"/>
          <w:kern w:val="24"/>
          <w:sz w:val="22"/>
          <w:szCs w:val="22"/>
          <w:lang w:val="fr-FR"/>
        </w:rPr>
        <w:t xml:space="preserve"> spécialisée</w:t>
      </w:r>
      <w:r w:rsidR="002615BA" w:rsidRPr="005D062F">
        <w:rPr>
          <w:rFonts w:eastAsia="MS PGothic"/>
          <w:color w:val="000000"/>
          <w:kern w:val="24"/>
          <w:sz w:val="22"/>
          <w:szCs w:val="22"/>
          <w:lang w:val="fr-FR"/>
        </w:rPr>
        <w:t xml:space="preserve"> </w:t>
      </w:r>
      <w:r w:rsidRPr="005D062F">
        <w:rPr>
          <w:rFonts w:eastAsia="MS PGothic"/>
          <w:color w:val="000000"/>
          <w:kern w:val="24"/>
          <w:sz w:val="22"/>
          <w:szCs w:val="22"/>
          <w:lang w:val="fr-FR"/>
        </w:rPr>
        <w:t xml:space="preserve">dans celui de la </w:t>
      </w:r>
      <w:r w:rsidRPr="006E7478">
        <w:rPr>
          <w:sz w:val="22"/>
          <w:szCs w:val="22"/>
          <w:lang w:val="fr-FR"/>
        </w:rPr>
        <w:t>création</w:t>
      </w:r>
      <w:r w:rsidRPr="005D062F">
        <w:rPr>
          <w:rFonts w:eastAsia="MS PGothic"/>
          <w:color w:val="000000"/>
          <w:kern w:val="24"/>
          <w:sz w:val="22"/>
          <w:szCs w:val="22"/>
          <w:lang w:val="fr-FR"/>
        </w:rPr>
        <w:t xml:space="preserve"> et </w:t>
      </w:r>
      <w:r w:rsidRPr="006E7478">
        <w:rPr>
          <w:sz w:val="22"/>
          <w:szCs w:val="22"/>
          <w:lang w:val="fr-FR"/>
        </w:rPr>
        <w:t>de</w:t>
      </w:r>
      <w:r w:rsidRPr="005D062F">
        <w:rPr>
          <w:rFonts w:eastAsia="MS PGothic"/>
          <w:color w:val="000000"/>
          <w:kern w:val="24"/>
          <w:sz w:val="22"/>
          <w:szCs w:val="22"/>
          <w:lang w:val="fr-FR"/>
        </w:rPr>
        <w:t xml:space="preserve"> la gestion de salles de classe virtuelles, et ce, dans un effort pour améliorer le deg</w:t>
      </w:r>
      <w:r w:rsidR="00267A47" w:rsidRPr="005D062F">
        <w:rPr>
          <w:rFonts w:eastAsia="MS PGothic"/>
          <w:color w:val="000000"/>
          <w:kern w:val="24"/>
          <w:sz w:val="22"/>
          <w:szCs w:val="22"/>
          <w:lang w:val="fr-FR"/>
        </w:rPr>
        <w:t>ré d’attention des élèves et mettre en avant l</w:t>
      </w:r>
      <w:r w:rsidRPr="005D062F">
        <w:rPr>
          <w:rFonts w:eastAsia="MS PGothic"/>
          <w:color w:val="000000"/>
          <w:kern w:val="24"/>
          <w:sz w:val="22"/>
          <w:szCs w:val="22"/>
          <w:lang w:val="fr-FR"/>
        </w:rPr>
        <w:t>es méthodes d’apprentissage innovantes grâce à différents types de médias</w:t>
      </w:r>
      <w:r w:rsidR="002615BA" w:rsidRPr="005D062F">
        <w:rPr>
          <w:rFonts w:eastAsia="MS PGothic"/>
          <w:color w:val="000000"/>
          <w:kern w:val="24"/>
          <w:sz w:val="22"/>
          <w:szCs w:val="22"/>
          <w:lang w:val="fr-FR"/>
        </w:rPr>
        <w:t>.</w:t>
      </w:r>
    </w:p>
    <w:p w14:paraId="1A48D51F" w14:textId="77777777" w:rsidR="00902AB5" w:rsidRPr="005D062F" w:rsidRDefault="00902AB5" w:rsidP="00CB030B">
      <w:pPr>
        <w:tabs>
          <w:tab w:val="left" w:pos="3315"/>
        </w:tabs>
        <w:contextualSpacing/>
        <w:jc w:val="both"/>
        <w:rPr>
          <w:rFonts w:ascii="Times New Roman" w:eastAsia="MS PGothic" w:hAnsi="Times New Roman" w:cs="Times New Roman"/>
          <w:color w:val="000000"/>
          <w:kern w:val="24"/>
          <w:sz w:val="22"/>
          <w:szCs w:val="22"/>
          <w:lang w:val="fr-FR"/>
        </w:rPr>
      </w:pPr>
    </w:p>
    <w:p w14:paraId="7724CC2B" w14:textId="5EA2D144" w:rsidR="00902AB5" w:rsidRPr="005D062F" w:rsidRDefault="00902AB5" w:rsidP="008F7F23">
      <w:pPr>
        <w:ind w:left="720"/>
        <w:jc w:val="both"/>
        <w:rPr>
          <w:rFonts w:ascii="Times New Roman" w:hAnsi="Times New Roman" w:cs="Times New Roman"/>
          <w:b/>
          <w:bCs/>
          <w:sz w:val="22"/>
          <w:szCs w:val="22"/>
          <w:lang w:val="fr-FR"/>
        </w:rPr>
      </w:pPr>
      <w:r w:rsidRPr="005D062F">
        <w:rPr>
          <w:rFonts w:ascii="Times New Roman" w:hAnsi="Times New Roman" w:cs="Times New Roman"/>
          <w:b/>
          <w:bCs/>
          <w:sz w:val="22"/>
          <w:szCs w:val="22"/>
          <w:lang w:val="fr-FR"/>
        </w:rPr>
        <w:t>Guyana</w:t>
      </w:r>
      <w:r w:rsidR="00D54261" w:rsidRPr="005D062F">
        <w:rPr>
          <w:rFonts w:ascii="Times New Roman" w:hAnsi="Times New Roman" w:cs="Times New Roman"/>
          <w:b/>
          <w:bCs/>
          <w:sz w:val="22"/>
          <w:szCs w:val="22"/>
          <w:lang w:val="fr-FR"/>
        </w:rPr>
        <w:t> </w:t>
      </w:r>
      <w:r w:rsidRPr="005D062F">
        <w:rPr>
          <w:rFonts w:ascii="Times New Roman" w:hAnsi="Times New Roman" w:cs="Times New Roman"/>
          <w:b/>
          <w:bCs/>
          <w:sz w:val="22"/>
          <w:szCs w:val="22"/>
          <w:lang w:val="fr-FR"/>
        </w:rPr>
        <w:t xml:space="preserve">: </w:t>
      </w:r>
      <w:r w:rsidR="00DF370C" w:rsidRPr="005D062F">
        <w:rPr>
          <w:rFonts w:ascii="Times New Roman" w:hAnsi="Times New Roman" w:cs="Times New Roman"/>
          <w:b/>
          <w:bCs/>
          <w:sz w:val="22"/>
          <w:szCs w:val="22"/>
          <w:lang w:val="fr-FR"/>
        </w:rPr>
        <w:t>A</w:t>
      </w:r>
      <w:r w:rsidR="00FB4ADF" w:rsidRPr="005D062F">
        <w:rPr>
          <w:rFonts w:ascii="Times New Roman" w:hAnsi="Times New Roman" w:cs="Times New Roman"/>
          <w:b/>
          <w:bCs/>
          <w:sz w:val="22"/>
          <w:szCs w:val="22"/>
          <w:lang w:val="fr-FR"/>
        </w:rPr>
        <w:t xml:space="preserve">méliorer </w:t>
      </w:r>
      <w:r w:rsidR="00E423F2" w:rsidRPr="005D062F">
        <w:rPr>
          <w:rFonts w:ascii="Times New Roman" w:hAnsi="Times New Roman" w:cs="Times New Roman"/>
          <w:b/>
          <w:bCs/>
          <w:sz w:val="22"/>
          <w:szCs w:val="22"/>
          <w:lang w:val="fr-FR"/>
        </w:rPr>
        <w:t xml:space="preserve">l’enseignement </w:t>
      </w:r>
      <w:r w:rsidR="001E563F" w:rsidRPr="005D062F">
        <w:rPr>
          <w:rFonts w:ascii="Times New Roman" w:hAnsi="Times New Roman" w:cs="Times New Roman"/>
          <w:b/>
          <w:bCs/>
          <w:sz w:val="22"/>
          <w:szCs w:val="22"/>
          <w:lang w:val="fr-FR"/>
        </w:rPr>
        <w:t>t</w:t>
      </w:r>
      <w:r w:rsidRPr="005D062F">
        <w:rPr>
          <w:rFonts w:ascii="Times New Roman" w:hAnsi="Times New Roman" w:cs="Times New Roman"/>
          <w:b/>
          <w:bCs/>
          <w:sz w:val="22"/>
          <w:szCs w:val="22"/>
          <w:lang w:val="fr-FR"/>
        </w:rPr>
        <w:t>echni</w:t>
      </w:r>
      <w:r w:rsidR="00E423F2" w:rsidRPr="005D062F">
        <w:rPr>
          <w:rFonts w:ascii="Times New Roman" w:hAnsi="Times New Roman" w:cs="Times New Roman"/>
          <w:b/>
          <w:bCs/>
          <w:sz w:val="22"/>
          <w:szCs w:val="22"/>
          <w:lang w:val="fr-FR"/>
        </w:rPr>
        <w:t xml:space="preserve">que et professionnel </w:t>
      </w:r>
      <w:r w:rsidR="00D54261" w:rsidRPr="005D062F">
        <w:rPr>
          <w:rFonts w:ascii="Times New Roman" w:hAnsi="Times New Roman" w:cs="Times New Roman"/>
          <w:b/>
          <w:bCs/>
          <w:sz w:val="22"/>
          <w:szCs w:val="22"/>
          <w:lang w:val="fr-FR"/>
        </w:rPr>
        <w:t xml:space="preserve">dans les établissements </w:t>
      </w:r>
      <w:r w:rsidR="001E563F" w:rsidRPr="005D062F">
        <w:rPr>
          <w:rFonts w:ascii="Times New Roman" w:hAnsi="Times New Roman" w:cs="Times New Roman"/>
          <w:b/>
          <w:bCs/>
          <w:sz w:val="22"/>
          <w:szCs w:val="22"/>
          <w:lang w:val="fr-FR"/>
        </w:rPr>
        <w:t>s</w:t>
      </w:r>
      <w:r w:rsidRPr="005D062F">
        <w:rPr>
          <w:rFonts w:ascii="Times New Roman" w:hAnsi="Times New Roman" w:cs="Times New Roman"/>
          <w:b/>
          <w:bCs/>
          <w:sz w:val="22"/>
          <w:szCs w:val="22"/>
          <w:lang w:val="fr-FR"/>
        </w:rPr>
        <w:t>econda</w:t>
      </w:r>
      <w:r w:rsidR="00D54261" w:rsidRPr="005D062F">
        <w:rPr>
          <w:rFonts w:ascii="Times New Roman" w:hAnsi="Times New Roman" w:cs="Times New Roman"/>
          <w:b/>
          <w:bCs/>
          <w:sz w:val="22"/>
          <w:szCs w:val="22"/>
          <w:lang w:val="fr-FR"/>
        </w:rPr>
        <w:t>ire</w:t>
      </w:r>
      <w:r w:rsidR="00FB4ADF" w:rsidRPr="005D062F">
        <w:rPr>
          <w:rFonts w:ascii="Times New Roman" w:hAnsi="Times New Roman" w:cs="Times New Roman"/>
          <w:b/>
          <w:bCs/>
          <w:sz w:val="22"/>
          <w:szCs w:val="22"/>
          <w:lang w:val="fr-FR"/>
        </w:rPr>
        <w:t>s</w:t>
      </w:r>
      <w:r w:rsidR="00D54261" w:rsidRPr="005D062F">
        <w:rPr>
          <w:rFonts w:ascii="Times New Roman" w:hAnsi="Times New Roman" w:cs="Times New Roman"/>
          <w:b/>
          <w:bCs/>
          <w:sz w:val="22"/>
          <w:szCs w:val="22"/>
          <w:lang w:val="fr-FR"/>
        </w:rPr>
        <w:t xml:space="preserve"> et </w:t>
      </w:r>
      <w:r w:rsidR="001E563F" w:rsidRPr="005D062F">
        <w:rPr>
          <w:rFonts w:ascii="Times New Roman" w:hAnsi="Times New Roman" w:cs="Times New Roman"/>
          <w:b/>
          <w:bCs/>
          <w:sz w:val="22"/>
          <w:szCs w:val="22"/>
          <w:lang w:val="fr-FR"/>
        </w:rPr>
        <w:t>p</w:t>
      </w:r>
      <w:r w:rsidR="00D54261" w:rsidRPr="005D062F">
        <w:rPr>
          <w:rFonts w:ascii="Times New Roman" w:hAnsi="Times New Roman" w:cs="Times New Roman"/>
          <w:b/>
          <w:bCs/>
          <w:sz w:val="22"/>
          <w:szCs w:val="22"/>
          <w:lang w:val="fr-FR"/>
        </w:rPr>
        <w:t>ost</w:t>
      </w:r>
      <w:r w:rsidR="001E563F" w:rsidRPr="005D062F">
        <w:rPr>
          <w:rFonts w:ascii="Times New Roman" w:hAnsi="Times New Roman" w:cs="Times New Roman"/>
          <w:b/>
          <w:bCs/>
          <w:sz w:val="22"/>
          <w:szCs w:val="22"/>
          <w:lang w:val="fr-FR"/>
        </w:rPr>
        <w:t>s</w:t>
      </w:r>
      <w:r w:rsidR="00D54261" w:rsidRPr="005D062F">
        <w:rPr>
          <w:rFonts w:ascii="Times New Roman" w:hAnsi="Times New Roman" w:cs="Times New Roman"/>
          <w:b/>
          <w:bCs/>
          <w:sz w:val="22"/>
          <w:szCs w:val="22"/>
          <w:lang w:val="fr-FR"/>
        </w:rPr>
        <w:t>econdaire</w:t>
      </w:r>
      <w:r w:rsidR="00FB4ADF" w:rsidRPr="005D062F">
        <w:rPr>
          <w:rFonts w:ascii="Times New Roman" w:hAnsi="Times New Roman" w:cs="Times New Roman"/>
          <w:b/>
          <w:bCs/>
          <w:sz w:val="22"/>
          <w:szCs w:val="22"/>
          <w:lang w:val="fr-FR"/>
        </w:rPr>
        <w:t>s</w:t>
      </w:r>
    </w:p>
    <w:p w14:paraId="642CA9A0" w14:textId="080B44D6" w:rsidR="002615BA" w:rsidRPr="005D062F" w:rsidRDefault="00E423F2" w:rsidP="006E7478">
      <w:pPr>
        <w:pStyle w:val="ListParagraph"/>
        <w:numPr>
          <w:ilvl w:val="0"/>
          <w:numId w:val="35"/>
        </w:numPr>
        <w:ind w:left="1440" w:hanging="720"/>
        <w:contextualSpacing/>
        <w:jc w:val="both"/>
        <w:rPr>
          <w:rFonts w:eastAsia="MS PGothic"/>
          <w:color w:val="000000"/>
          <w:kern w:val="24"/>
          <w:sz w:val="22"/>
          <w:szCs w:val="22"/>
          <w:lang w:val="fr-FR"/>
        </w:rPr>
      </w:pPr>
      <w:r w:rsidRPr="005D062F">
        <w:rPr>
          <w:rFonts w:eastAsia="MS PGothic"/>
          <w:color w:val="000000"/>
          <w:kern w:val="24"/>
          <w:sz w:val="22"/>
          <w:szCs w:val="22"/>
          <w:lang w:val="fr-FR"/>
        </w:rPr>
        <w:t>Vingt-sept (</w:t>
      </w:r>
      <w:r w:rsidR="002615BA" w:rsidRPr="005D062F">
        <w:rPr>
          <w:rFonts w:eastAsia="MS PGothic"/>
          <w:color w:val="000000"/>
          <w:kern w:val="24"/>
          <w:sz w:val="22"/>
          <w:szCs w:val="22"/>
          <w:lang w:val="fr-FR"/>
        </w:rPr>
        <w:t>27</w:t>
      </w:r>
      <w:r w:rsidRPr="005D062F">
        <w:rPr>
          <w:rFonts w:eastAsia="MS PGothic"/>
          <w:color w:val="000000"/>
          <w:kern w:val="24"/>
          <w:sz w:val="22"/>
          <w:szCs w:val="22"/>
          <w:lang w:val="fr-FR"/>
        </w:rPr>
        <w:t xml:space="preserve">) enseignants et membres du personnel d’établissements d’enseignement </w:t>
      </w:r>
      <w:r w:rsidRPr="006E7478">
        <w:rPr>
          <w:sz w:val="22"/>
          <w:szCs w:val="22"/>
          <w:lang w:val="fr-FR"/>
        </w:rPr>
        <w:t>postsecondaire</w:t>
      </w:r>
      <w:r w:rsidRPr="005D062F">
        <w:rPr>
          <w:rFonts w:eastAsia="MS PGothic"/>
          <w:color w:val="000000"/>
          <w:kern w:val="24"/>
          <w:sz w:val="22"/>
          <w:szCs w:val="22"/>
          <w:lang w:val="fr-FR"/>
        </w:rPr>
        <w:t xml:space="preserve"> et fonctionnaires du ministère de l’éducation ont obtenu une certification </w:t>
      </w:r>
      <w:r w:rsidR="00E114D4" w:rsidRPr="005D062F">
        <w:rPr>
          <w:rFonts w:eastAsia="MS PGothic"/>
          <w:color w:val="000000"/>
          <w:kern w:val="24"/>
          <w:sz w:val="22"/>
          <w:szCs w:val="22"/>
          <w:lang w:val="fr-FR"/>
        </w:rPr>
        <w:t xml:space="preserve">dans </w:t>
      </w:r>
      <w:r w:rsidR="00E114D4" w:rsidRPr="005D062F">
        <w:rPr>
          <w:rFonts w:eastAsia="MS PGothic"/>
          <w:b/>
          <w:color w:val="000000"/>
          <w:kern w:val="24"/>
          <w:sz w:val="22"/>
          <w:szCs w:val="22"/>
          <w:lang w:val="fr-FR"/>
        </w:rPr>
        <w:t>l’enseignement de l’entretien et la réparation des équipements lourds et l’administration de la sécurité et de la santé au travail</w:t>
      </w:r>
      <w:r w:rsidR="00A427C5" w:rsidRPr="005D062F">
        <w:rPr>
          <w:rFonts w:eastAsia="MS PGothic"/>
          <w:color w:val="000000"/>
          <w:kern w:val="24"/>
          <w:sz w:val="22"/>
          <w:szCs w:val="22"/>
          <w:lang w:val="fr-FR"/>
        </w:rPr>
        <w:t>.</w:t>
      </w:r>
      <w:r w:rsidR="002615BA" w:rsidRPr="005D062F">
        <w:rPr>
          <w:rFonts w:eastAsia="MS PGothic"/>
          <w:color w:val="000000"/>
          <w:kern w:val="24"/>
          <w:sz w:val="22"/>
          <w:szCs w:val="22"/>
          <w:lang w:val="fr-FR"/>
        </w:rPr>
        <w:t xml:space="preserve"> </w:t>
      </w:r>
      <w:r w:rsidRPr="005D062F">
        <w:rPr>
          <w:rFonts w:eastAsia="MS PGothic"/>
          <w:color w:val="000000"/>
          <w:kern w:val="24"/>
          <w:sz w:val="22"/>
          <w:szCs w:val="22"/>
          <w:lang w:val="fr-FR"/>
        </w:rPr>
        <w:t xml:space="preserve">Cette activité de renforcement des capacités permet à ces enseignants et fonctionnaires de former d’autres </w:t>
      </w:r>
      <w:r w:rsidRPr="006E7478">
        <w:rPr>
          <w:sz w:val="22"/>
          <w:szCs w:val="22"/>
          <w:lang w:val="fr-FR"/>
        </w:rPr>
        <w:t>professionn</w:t>
      </w:r>
      <w:r w:rsidR="00267A47" w:rsidRPr="006E7478">
        <w:rPr>
          <w:sz w:val="22"/>
          <w:szCs w:val="22"/>
          <w:lang w:val="fr-FR"/>
        </w:rPr>
        <w:t>els</w:t>
      </w:r>
      <w:r w:rsidR="00267A47" w:rsidRPr="005D062F">
        <w:rPr>
          <w:rFonts w:eastAsia="MS PGothic"/>
          <w:color w:val="000000"/>
          <w:kern w:val="24"/>
          <w:sz w:val="22"/>
          <w:szCs w:val="22"/>
          <w:lang w:val="fr-FR"/>
        </w:rPr>
        <w:t xml:space="preserve">, en élargissant le champ de </w:t>
      </w:r>
      <w:r w:rsidRPr="005D062F">
        <w:rPr>
          <w:rFonts w:eastAsia="MS PGothic"/>
          <w:color w:val="000000"/>
          <w:kern w:val="24"/>
          <w:sz w:val="22"/>
          <w:szCs w:val="22"/>
          <w:lang w:val="fr-FR"/>
        </w:rPr>
        <w:t>l’enseignement technique et professionnel pour répondre aux besoins de main-d’œuvre</w:t>
      </w:r>
      <w:r w:rsidR="002615BA" w:rsidRPr="005D062F">
        <w:rPr>
          <w:rFonts w:eastAsia="MS PGothic"/>
          <w:color w:val="000000"/>
          <w:kern w:val="24"/>
          <w:sz w:val="22"/>
          <w:szCs w:val="22"/>
          <w:lang w:val="fr-FR"/>
        </w:rPr>
        <w:t>.</w:t>
      </w:r>
    </w:p>
    <w:p w14:paraId="3B77AC5F" w14:textId="12AEDCC5" w:rsidR="00902AB5" w:rsidRPr="005D062F" w:rsidRDefault="00902AB5" w:rsidP="00CB030B">
      <w:pPr>
        <w:rPr>
          <w:rFonts w:ascii="Times New Roman" w:hAnsi="Times New Roman" w:cs="Times New Roman"/>
          <w:sz w:val="22"/>
          <w:szCs w:val="22"/>
          <w:lang w:val="fr-FR"/>
        </w:rPr>
      </w:pPr>
    </w:p>
    <w:p w14:paraId="791C962B" w14:textId="21F99913" w:rsidR="00902AB5" w:rsidRPr="005D062F" w:rsidRDefault="00902AB5" w:rsidP="00607D18">
      <w:pPr>
        <w:keepNext/>
        <w:ind w:left="720"/>
        <w:jc w:val="both"/>
        <w:rPr>
          <w:rFonts w:ascii="Times New Roman" w:hAnsi="Times New Roman" w:cs="Times New Roman"/>
          <w:b/>
          <w:bCs/>
          <w:sz w:val="22"/>
          <w:szCs w:val="22"/>
          <w:lang w:val="fr-FR"/>
        </w:rPr>
      </w:pPr>
      <w:r w:rsidRPr="005D062F">
        <w:rPr>
          <w:rFonts w:ascii="Times New Roman" w:hAnsi="Times New Roman" w:cs="Times New Roman"/>
          <w:b/>
          <w:bCs/>
          <w:sz w:val="22"/>
          <w:szCs w:val="22"/>
          <w:lang w:val="fr-FR"/>
        </w:rPr>
        <w:t>Nicaragua</w:t>
      </w:r>
      <w:r w:rsidR="008B4A98" w:rsidRPr="005D062F">
        <w:rPr>
          <w:rFonts w:ascii="Times New Roman" w:hAnsi="Times New Roman" w:cs="Times New Roman"/>
          <w:b/>
          <w:bCs/>
          <w:sz w:val="22"/>
          <w:szCs w:val="22"/>
          <w:lang w:val="fr-FR"/>
        </w:rPr>
        <w:t> </w:t>
      </w:r>
      <w:r w:rsidRPr="005D062F">
        <w:rPr>
          <w:rFonts w:ascii="Times New Roman" w:hAnsi="Times New Roman" w:cs="Times New Roman"/>
          <w:b/>
          <w:bCs/>
          <w:sz w:val="22"/>
          <w:szCs w:val="22"/>
          <w:lang w:val="fr-FR"/>
        </w:rPr>
        <w:t xml:space="preserve">: </w:t>
      </w:r>
      <w:r w:rsidR="008B4A98" w:rsidRPr="005D062F">
        <w:rPr>
          <w:rFonts w:ascii="Times New Roman" w:hAnsi="Times New Roman" w:cs="Times New Roman"/>
          <w:b/>
          <w:bCs/>
          <w:sz w:val="22"/>
          <w:szCs w:val="22"/>
          <w:lang w:val="fr-FR"/>
        </w:rPr>
        <w:t>Renforcer les capacités et les compétences technologiques des étudiants, des ens</w:t>
      </w:r>
      <w:r w:rsidR="00E114D4" w:rsidRPr="005D062F">
        <w:rPr>
          <w:rFonts w:ascii="Times New Roman" w:hAnsi="Times New Roman" w:cs="Times New Roman"/>
          <w:b/>
          <w:bCs/>
          <w:sz w:val="22"/>
          <w:szCs w:val="22"/>
          <w:lang w:val="fr-FR"/>
        </w:rPr>
        <w:t>eignants et des directeurs de l’</w:t>
      </w:r>
      <w:r w:rsidR="008B4A98" w:rsidRPr="005D062F">
        <w:rPr>
          <w:rFonts w:ascii="Times New Roman" w:hAnsi="Times New Roman" w:cs="Times New Roman"/>
          <w:b/>
          <w:bCs/>
          <w:sz w:val="22"/>
          <w:szCs w:val="22"/>
          <w:lang w:val="fr-FR"/>
        </w:rPr>
        <w:t>enseignement secondaire à distance dans les zones rurales</w:t>
      </w:r>
    </w:p>
    <w:p w14:paraId="57D0AF49" w14:textId="596683EC" w:rsidR="002615BA" w:rsidRPr="005D062F" w:rsidRDefault="006B4D36" w:rsidP="006E7478">
      <w:pPr>
        <w:pStyle w:val="ListParagraph"/>
        <w:numPr>
          <w:ilvl w:val="0"/>
          <w:numId w:val="35"/>
        </w:numPr>
        <w:ind w:left="1440" w:hanging="720"/>
        <w:contextualSpacing/>
        <w:jc w:val="both"/>
        <w:rPr>
          <w:rFonts w:eastAsia="MS PGothic"/>
          <w:color w:val="000000"/>
          <w:kern w:val="24"/>
          <w:sz w:val="22"/>
          <w:szCs w:val="22"/>
          <w:lang w:val="fr-FR"/>
        </w:rPr>
      </w:pPr>
      <w:r w:rsidRPr="005D062F">
        <w:rPr>
          <w:rFonts w:eastAsia="MS PGothic"/>
          <w:color w:val="000000"/>
          <w:kern w:val="24"/>
          <w:sz w:val="22"/>
          <w:szCs w:val="22"/>
          <w:lang w:val="fr-FR"/>
        </w:rPr>
        <w:t xml:space="preserve">Des améliorations d’infrastructures et des mises à niveau technologiques ont </w:t>
      </w:r>
      <w:r w:rsidR="00CF18F1" w:rsidRPr="005D062F">
        <w:rPr>
          <w:rFonts w:eastAsia="MS PGothic"/>
          <w:color w:val="000000"/>
          <w:kern w:val="24"/>
          <w:sz w:val="22"/>
          <w:szCs w:val="22"/>
          <w:lang w:val="fr-FR"/>
        </w:rPr>
        <w:t>bénéficié</w:t>
      </w:r>
      <w:r w:rsidRPr="005D062F">
        <w:rPr>
          <w:rFonts w:eastAsia="MS PGothic"/>
          <w:color w:val="000000"/>
          <w:kern w:val="24"/>
          <w:sz w:val="22"/>
          <w:szCs w:val="22"/>
          <w:lang w:val="fr-FR"/>
        </w:rPr>
        <w:t xml:space="preserve"> à 21 </w:t>
      </w:r>
      <w:r w:rsidRPr="006E7478">
        <w:rPr>
          <w:sz w:val="22"/>
          <w:szCs w:val="22"/>
          <w:lang w:val="fr-FR"/>
        </w:rPr>
        <w:t>écoles</w:t>
      </w:r>
      <w:r w:rsidRPr="005D062F">
        <w:rPr>
          <w:rFonts w:eastAsia="MS PGothic"/>
          <w:color w:val="000000"/>
          <w:kern w:val="24"/>
          <w:sz w:val="22"/>
          <w:szCs w:val="22"/>
          <w:lang w:val="fr-FR"/>
        </w:rPr>
        <w:t xml:space="preserve"> situées en milieu rural </w:t>
      </w:r>
      <w:r w:rsidR="002615BA" w:rsidRPr="005D062F">
        <w:rPr>
          <w:rFonts w:eastAsia="MS PGothic"/>
          <w:color w:val="000000"/>
          <w:kern w:val="24"/>
          <w:sz w:val="22"/>
          <w:szCs w:val="22"/>
          <w:lang w:val="fr-FR"/>
        </w:rPr>
        <w:t>(</w:t>
      </w:r>
      <w:r w:rsidRPr="005D062F">
        <w:rPr>
          <w:rFonts w:eastAsia="MS PGothic"/>
          <w:color w:val="000000"/>
          <w:kern w:val="24"/>
          <w:sz w:val="22"/>
          <w:szCs w:val="22"/>
          <w:lang w:val="fr-FR"/>
        </w:rPr>
        <w:t>où plus de 2 700 élèves sont inscrits à l’apprentissage à distance</w:t>
      </w:r>
      <w:r w:rsidR="002615BA" w:rsidRPr="005D062F">
        <w:rPr>
          <w:rFonts w:eastAsia="MS PGothic"/>
          <w:color w:val="000000"/>
          <w:kern w:val="24"/>
          <w:sz w:val="22"/>
          <w:szCs w:val="22"/>
          <w:lang w:val="fr-FR"/>
        </w:rPr>
        <w:t xml:space="preserve">), </w:t>
      </w:r>
      <w:r w:rsidRPr="005D062F">
        <w:rPr>
          <w:rFonts w:eastAsia="MS PGothic"/>
          <w:color w:val="000000"/>
          <w:kern w:val="24"/>
          <w:sz w:val="22"/>
          <w:szCs w:val="22"/>
          <w:lang w:val="fr-FR"/>
        </w:rPr>
        <w:t>renforçant ainsi l</w:t>
      </w:r>
      <w:r w:rsidR="00267A47" w:rsidRPr="005D062F">
        <w:rPr>
          <w:rFonts w:eastAsia="MS PGothic"/>
          <w:color w:val="000000"/>
          <w:kern w:val="24"/>
          <w:sz w:val="22"/>
          <w:szCs w:val="22"/>
          <w:lang w:val="fr-FR"/>
        </w:rPr>
        <w:t xml:space="preserve">’ensemble du réseau </w:t>
      </w:r>
      <w:r w:rsidRPr="005D062F">
        <w:rPr>
          <w:rFonts w:eastAsia="MS PGothic"/>
          <w:color w:val="000000"/>
          <w:kern w:val="24"/>
          <w:sz w:val="22"/>
          <w:szCs w:val="22"/>
          <w:lang w:val="fr-FR"/>
        </w:rPr>
        <w:t>du système éducatif d’apprentissage à distance</w:t>
      </w:r>
      <w:r w:rsidR="002615BA" w:rsidRPr="005D062F">
        <w:rPr>
          <w:rFonts w:eastAsia="MS PGothic"/>
          <w:color w:val="000000"/>
          <w:kern w:val="24"/>
          <w:sz w:val="22"/>
          <w:szCs w:val="22"/>
          <w:lang w:val="fr-FR"/>
        </w:rPr>
        <w:t>.</w:t>
      </w:r>
    </w:p>
    <w:p w14:paraId="4062DD49" w14:textId="6312A3B4" w:rsidR="00902AB5" w:rsidRPr="005D062F" w:rsidRDefault="008B4A98" w:rsidP="006E7478">
      <w:pPr>
        <w:pStyle w:val="ListParagraph"/>
        <w:numPr>
          <w:ilvl w:val="0"/>
          <w:numId w:val="35"/>
        </w:numPr>
        <w:ind w:left="1440" w:hanging="720"/>
        <w:contextualSpacing/>
        <w:jc w:val="both"/>
        <w:rPr>
          <w:rFonts w:eastAsia="MS PGothic"/>
          <w:color w:val="000000"/>
          <w:kern w:val="24"/>
          <w:sz w:val="22"/>
          <w:szCs w:val="22"/>
          <w:lang w:val="fr-FR"/>
        </w:rPr>
      </w:pPr>
      <w:r w:rsidRPr="005D062F">
        <w:rPr>
          <w:rFonts w:eastAsia="MS PGothic"/>
          <w:color w:val="000000"/>
          <w:kern w:val="24"/>
          <w:sz w:val="22"/>
          <w:szCs w:val="22"/>
          <w:lang w:val="fr-FR"/>
        </w:rPr>
        <w:t>Dans le cadre de l’apprentissage à distance, 21 directeur</w:t>
      </w:r>
      <w:r w:rsidR="002615BA" w:rsidRPr="005D062F">
        <w:rPr>
          <w:rFonts w:eastAsia="MS PGothic"/>
          <w:color w:val="000000"/>
          <w:kern w:val="24"/>
          <w:sz w:val="22"/>
          <w:szCs w:val="22"/>
          <w:lang w:val="fr-FR"/>
        </w:rPr>
        <w:t xml:space="preserve">s, 63 </w:t>
      </w:r>
      <w:r w:rsidRPr="005D062F">
        <w:rPr>
          <w:rFonts w:eastAsia="MS PGothic"/>
          <w:color w:val="000000"/>
          <w:kern w:val="24"/>
          <w:sz w:val="22"/>
          <w:szCs w:val="22"/>
          <w:lang w:val="fr-FR"/>
        </w:rPr>
        <w:t>enseignants et 2 749 é</w:t>
      </w:r>
      <w:r w:rsidR="00D44305" w:rsidRPr="005D062F">
        <w:rPr>
          <w:rFonts w:eastAsia="MS PGothic"/>
          <w:color w:val="000000"/>
          <w:kern w:val="24"/>
          <w:sz w:val="22"/>
          <w:szCs w:val="22"/>
          <w:lang w:val="fr-FR"/>
        </w:rPr>
        <w:t>lève</w:t>
      </w:r>
      <w:r w:rsidRPr="005D062F">
        <w:rPr>
          <w:rFonts w:eastAsia="MS PGothic"/>
          <w:color w:val="000000"/>
          <w:kern w:val="24"/>
          <w:sz w:val="22"/>
          <w:szCs w:val="22"/>
          <w:lang w:val="fr-FR"/>
        </w:rPr>
        <w:t xml:space="preserve">s </w:t>
      </w:r>
      <w:r w:rsidRPr="006E7478">
        <w:rPr>
          <w:sz w:val="22"/>
          <w:szCs w:val="22"/>
          <w:lang w:val="fr-FR"/>
        </w:rPr>
        <w:t>appliquent</w:t>
      </w:r>
      <w:r w:rsidRPr="005D062F">
        <w:rPr>
          <w:rFonts w:eastAsia="MS PGothic"/>
          <w:color w:val="000000"/>
          <w:kern w:val="24"/>
          <w:sz w:val="22"/>
          <w:szCs w:val="22"/>
          <w:lang w:val="fr-FR"/>
        </w:rPr>
        <w:t xml:space="preserve"> les TIC à </w:t>
      </w:r>
      <w:r w:rsidRPr="005D062F">
        <w:rPr>
          <w:sz w:val="22"/>
          <w:szCs w:val="22"/>
          <w:lang w:val="fr-FR"/>
        </w:rPr>
        <w:t>l’enseignement et l’apprentissage des mathématiques, de l’anglais, de la langue et de la littérature, des sciences naturelles et des sciences sociales</w:t>
      </w:r>
      <w:r w:rsidR="002615BA" w:rsidRPr="005D062F">
        <w:rPr>
          <w:rFonts w:eastAsia="MS PGothic"/>
          <w:color w:val="000000"/>
          <w:kern w:val="24"/>
          <w:sz w:val="22"/>
          <w:szCs w:val="22"/>
          <w:lang w:val="fr-FR"/>
        </w:rPr>
        <w:t>.</w:t>
      </w:r>
    </w:p>
    <w:p w14:paraId="2067AC79" w14:textId="3689F2C1" w:rsidR="00B90A02" w:rsidRPr="005D062F" w:rsidRDefault="00B90A02" w:rsidP="00CB030B">
      <w:pPr>
        <w:tabs>
          <w:tab w:val="left" w:pos="3315"/>
        </w:tabs>
        <w:contextualSpacing/>
        <w:jc w:val="both"/>
        <w:rPr>
          <w:rFonts w:ascii="Times New Roman" w:eastAsia="MS PGothic" w:hAnsi="Times New Roman" w:cs="Times New Roman"/>
          <w:color w:val="000000"/>
          <w:kern w:val="24"/>
          <w:sz w:val="22"/>
          <w:szCs w:val="22"/>
          <w:lang w:val="fr-FR"/>
        </w:rPr>
      </w:pPr>
    </w:p>
    <w:p w14:paraId="65329979" w14:textId="283DC8F2" w:rsidR="00B90A02" w:rsidRPr="005D062F" w:rsidRDefault="00B90A02" w:rsidP="00CB030B">
      <w:pPr>
        <w:ind w:left="720"/>
        <w:rPr>
          <w:rFonts w:ascii="Times New Roman" w:hAnsi="Times New Roman" w:cs="Times New Roman"/>
          <w:b/>
          <w:bCs/>
          <w:sz w:val="22"/>
          <w:szCs w:val="22"/>
          <w:lang w:val="fr-FR"/>
        </w:rPr>
      </w:pPr>
      <w:r w:rsidRPr="005D062F">
        <w:rPr>
          <w:rFonts w:ascii="Times New Roman" w:hAnsi="Times New Roman" w:cs="Times New Roman"/>
          <w:b/>
          <w:bCs/>
          <w:sz w:val="22"/>
          <w:szCs w:val="22"/>
          <w:lang w:val="fr-FR"/>
        </w:rPr>
        <w:t>PROGRAM</w:t>
      </w:r>
      <w:r w:rsidR="00E114D4" w:rsidRPr="005D062F">
        <w:rPr>
          <w:rFonts w:ascii="Times New Roman" w:hAnsi="Times New Roman" w:cs="Times New Roman"/>
          <w:b/>
          <w:bCs/>
          <w:sz w:val="22"/>
          <w:szCs w:val="22"/>
          <w:lang w:val="fr-FR"/>
        </w:rPr>
        <w:t>ME</w:t>
      </w:r>
      <w:r w:rsidRPr="005D062F">
        <w:rPr>
          <w:rFonts w:ascii="Times New Roman" w:hAnsi="Times New Roman" w:cs="Times New Roman"/>
          <w:b/>
          <w:bCs/>
          <w:sz w:val="22"/>
          <w:szCs w:val="22"/>
          <w:lang w:val="fr-FR"/>
        </w:rPr>
        <w:t xml:space="preserve"> II</w:t>
      </w:r>
    </w:p>
    <w:p w14:paraId="4ECAF87A" w14:textId="7FBB917B" w:rsidR="00B90A02" w:rsidRPr="005D062F" w:rsidRDefault="00E114D4" w:rsidP="00CB030B">
      <w:pPr>
        <w:ind w:left="720"/>
        <w:rPr>
          <w:rFonts w:ascii="Times New Roman" w:eastAsia="MS PGothic" w:hAnsi="Times New Roman" w:cs="Times New Roman"/>
          <w:b/>
          <w:bCs/>
          <w:color w:val="000000"/>
          <w:kern w:val="24"/>
          <w:sz w:val="22"/>
          <w:szCs w:val="22"/>
          <w:lang w:val="fr-FR"/>
        </w:rPr>
      </w:pPr>
      <w:r w:rsidRPr="005D062F">
        <w:rPr>
          <w:rFonts w:ascii="Times New Roman" w:eastAsia="MS PGothic" w:hAnsi="Times New Roman" w:cs="Times New Roman"/>
          <w:b/>
          <w:bCs/>
          <w:color w:val="000000"/>
          <w:kern w:val="24"/>
          <w:sz w:val="22"/>
          <w:szCs w:val="22"/>
          <w:lang w:val="fr-FR"/>
        </w:rPr>
        <w:t>Renforcement de la profession d’enseignant</w:t>
      </w:r>
      <w:r w:rsidRPr="005D062F">
        <w:rPr>
          <w:rFonts w:ascii="Times New Roman" w:hAnsi="Times New Roman" w:cs="Times New Roman"/>
          <w:sz w:val="22"/>
          <w:szCs w:val="22"/>
          <w:lang w:val="fr-FR"/>
        </w:rPr>
        <w:t> </w:t>
      </w:r>
      <w:r w:rsidRPr="005D062F">
        <w:rPr>
          <w:rFonts w:ascii="Times New Roman" w:eastAsia="MS PGothic" w:hAnsi="Times New Roman" w:cs="Times New Roman"/>
          <w:b/>
          <w:bCs/>
          <w:color w:val="000000"/>
          <w:kern w:val="24"/>
          <w:sz w:val="22"/>
          <w:szCs w:val="22"/>
          <w:lang w:val="fr-FR"/>
        </w:rPr>
        <w:t>: Antigua-et-</w:t>
      </w:r>
      <w:r w:rsidR="00B90A02" w:rsidRPr="005D062F">
        <w:rPr>
          <w:rFonts w:ascii="Times New Roman" w:eastAsia="MS PGothic" w:hAnsi="Times New Roman" w:cs="Times New Roman"/>
          <w:b/>
          <w:bCs/>
          <w:color w:val="000000"/>
          <w:kern w:val="24"/>
          <w:sz w:val="22"/>
          <w:szCs w:val="22"/>
          <w:lang w:val="fr-FR"/>
        </w:rPr>
        <w:t>Barbuda, Argentin</w:t>
      </w:r>
      <w:r w:rsidRPr="005D062F">
        <w:rPr>
          <w:rFonts w:ascii="Times New Roman" w:eastAsia="MS PGothic" w:hAnsi="Times New Roman" w:cs="Times New Roman"/>
          <w:b/>
          <w:bCs/>
          <w:color w:val="000000"/>
          <w:kern w:val="24"/>
          <w:sz w:val="22"/>
          <w:szCs w:val="22"/>
          <w:lang w:val="fr-FR"/>
        </w:rPr>
        <w:t>e, Barbade</w:t>
      </w:r>
      <w:r w:rsidR="00B90A02" w:rsidRPr="005D062F">
        <w:rPr>
          <w:rFonts w:ascii="Times New Roman" w:eastAsia="MS PGothic" w:hAnsi="Times New Roman" w:cs="Times New Roman"/>
          <w:b/>
          <w:bCs/>
          <w:color w:val="000000"/>
          <w:kern w:val="24"/>
          <w:sz w:val="22"/>
          <w:szCs w:val="22"/>
          <w:lang w:val="fr-FR"/>
        </w:rPr>
        <w:t xml:space="preserve">, </w:t>
      </w:r>
      <w:r w:rsidRPr="005D062F">
        <w:rPr>
          <w:rFonts w:ascii="Times New Roman" w:eastAsia="MS PGothic" w:hAnsi="Times New Roman" w:cs="Times New Roman"/>
          <w:b/>
          <w:bCs/>
          <w:color w:val="000000"/>
          <w:kern w:val="24"/>
          <w:sz w:val="22"/>
          <w:szCs w:val="22"/>
          <w:lang w:val="fr-FR"/>
        </w:rPr>
        <w:t>Pé</w:t>
      </w:r>
      <w:r w:rsidR="00B90A02" w:rsidRPr="005D062F">
        <w:rPr>
          <w:rFonts w:ascii="Times New Roman" w:eastAsia="MS PGothic" w:hAnsi="Times New Roman" w:cs="Times New Roman"/>
          <w:b/>
          <w:bCs/>
          <w:color w:val="000000"/>
          <w:kern w:val="24"/>
          <w:sz w:val="22"/>
          <w:szCs w:val="22"/>
          <w:lang w:val="fr-FR"/>
        </w:rPr>
        <w:t>r</w:t>
      </w:r>
      <w:r w:rsidRPr="005D062F">
        <w:rPr>
          <w:rFonts w:ascii="Times New Roman" w:eastAsia="MS PGothic" w:hAnsi="Times New Roman" w:cs="Times New Roman"/>
          <w:b/>
          <w:bCs/>
          <w:color w:val="000000"/>
          <w:kern w:val="24"/>
          <w:sz w:val="22"/>
          <w:szCs w:val="22"/>
          <w:lang w:val="fr-FR"/>
        </w:rPr>
        <w:t>ou, Saint-Kitts-et-</w:t>
      </w:r>
      <w:r w:rsidR="00B90A02" w:rsidRPr="005D062F">
        <w:rPr>
          <w:rFonts w:ascii="Times New Roman" w:eastAsia="MS PGothic" w:hAnsi="Times New Roman" w:cs="Times New Roman"/>
          <w:b/>
          <w:bCs/>
          <w:color w:val="000000"/>
          <w:kern w:val="24"/>
          <w:sz w:val="22"/>
          <w:szCs w:val="22"/>
          <w:lang w:val="fr-FR"/>
        </w:rPr>
        <w:t>Nevis</w:t>
      </w:r>
    </w:p>
    <w:p w14:paraId="53A67FC5" w14:textId="77777777" w:rsidR="00B90A02" w:rsidRPr="005D062F" w:rsidRDefault="00B90A02" w:rsidP="00CB030B">
      <w:pPr>
        <w:rPr>
          <w:rFonts w:ascii="Times New Roman" w:hAnsi="Times New Roman" w:cs="Times New Roman"/>
          <w:sz w:val="22"/>
          <w:szCs w:val="22"/>
          <w:lang w:val="fr-FR"/>
        </w:rPr>
      </w:pPr>
    </w:p>
    <w:p w14:paraId="35809CA2" w14:textId="4DF78919" w:rsidR="00B90A02" w:rsidRPr="005D062F" w:rsidRDefault="00E114D4" w:rsidP="008F7F23">
      <w:pPr>
        <w:ind w:left="720"/>
        <w:jc w:val="both"/>
        <w:rPr>
          <w:rFonts w:ascii="Times New Roman" w:hAnsi="Times New Roman" w:cs="Times New Roman"/>
          <w:b/>
          <w:bCs/>
          <w:sz w:val="22"/>
          <w:szCs w:val="22"/>
          <w:lang w:val="fr-FR"/>
        </w:rPr>
      </w:pPr>
      <w:r w:rsidRPr="005D062F">
        <w:rPr>
          <w:rFonts w:ascii="Times New Roman" w:hAnsi="Times New Roman" w:cs="Times New Roman"/>
          <w:b/>
          <w:bCs/>
          <w:sz w:val="22"/>
          <w:szCs w:val="22"/>
          <w:lang w:val="fr-FR"/>
        </w:rPr>
        <w:t>Antigua-et-</w:t>
      </w:r>
      <w:r w:rsidR="00B90A02" w:rsidRPr="005D062F">
        <w:rPr>
          <w:rFonts w:ascii="Times New Roman" w:hAnsi="Times New Roman" w:cs="Times New Roman"/>
          <w:b/>
          <w:bCs/>
          <w:sz w:val="22"/>
          <w:szCs w:val="22"/>
          <w:lang w:val="fr-FR"/>
        </w:rPr>
        <w:t>Barbuda</w:t>
      </w:r>
      <w:r w:rsidRPr="005D062F">
        <w:rPr>
          <w:rFonts w:ascii="Times New Roman" w:hAnsi="Times New Roman" w:cs="Times New Roman"/>
          <w:b/>
          <w:bCs/>
          <w:sz w:val="22"/>
          <w:szCs w:val="22"/>
          <w:lang w:val="fr-FR"/>
        </w:rPr>
        <w:t> </w:t>
      </w:r>
      <w:r w:rsidR="00B90A02" w:rsidRPr="005D062F">
        <w:rPr>
          <w:rFonts w:ascii="Times New Roman" w:hAnsi="Times New Roman" w:cs="Times New Roman"/>
          <w:b/>
          <w:bCs/>
          <w:sz w:val="22"/>
          <w:szCs w:val="22"/>
          <w:lang w:val="fr-FR"/>
        </w:rPr>
        <w:t xml:space="preserve">: </w:t>
      </w:r>
      <w:r w:rsidRPr="005D062F">
        <w:rPr>
          <w:rFonts w:ascii="Times New Roman" w:hAnsi="Times New Roman" w:cs="Times New Roman"/>
          <w:b/>
          <w:bCs/>
          <w:sz w:val="22"/>
          <w:szCs w:val="22"/>
          <w:lang w:val="fr-FR"/>
        </w:rPr>
        <w:t>Autonomisation des enseignants au service de l’édification de la nation</w:t>
      </w:r>
    </w:p>
    <w:p w14:paraId="6DBDC24A" w14:textId="5E099FF2" w:rsidR="00B90A02" w:rsidRPr="005D062F" w:rsidRDefault="00E114D4" w:rsidP="006E7478">
      <w:pPr>
        <w:pStyle w:val="ListParagraph"/>
        <w:numPr>
          <w:ilvl w:val="0"/>
          <w:numId w:val="35"/>
        </w:numPr>
        <w:ind w:left="1440" w:hanging="720"/>
        <w:contextualSpacing/>
        <w:jc w:val="both"/>
        <w:rPr>
          <w:sz w:val="22"/>
          <w:szCs w:val="22"/>
          <w:lang w:val="fr-FR"/>
        </w:rPr>
      </w:pPr>
      <w:r w:rsidRPr="005D062F">
        <w:rPr>
          <w:sz w:val="22"/>
          <w:szCs w:val="22"/>
          <w:lang w:val="fr-FR"/>
        </w:rPr>
        <w:t xml:space="preserve">Un total de </w:t>
      </w:r>
      <w:r w:rsidR="00B90A02" w:rsidRPr="005D062F">
        <w:rPr>
          <w:sz w:val="22"/>
          <w:szCs w:val="22"/>
          <w:lang w:val="fr-FR"/>
        </w:rPr>
        <w:t xml:space="preserve">360 </w:t>
      </w:r>
      <w:r w:rsidRPr="005D062F">
        <w:rPr>
          <w:sz w:val="22"/>
          <w:szCs w:val="22"/>
          <w:lang w:val="fr-FR"/>
        </w:rPr>
        <w:t>enseignants et 2 </w:t>
      </w:r>
      <w:r w:rsidR="00B90A02" w:rsidRPr="005D062F">
        <w:rPr>
          <w:sz w:val="22"/>
          <w:szCs w:val="22"/>
          <w:lang w:val="fr-FR"/>
        </w:rPr>
        <w:t xml:space="preserve">480 </w:t>
      </w:r>
      <w:r w:rsidR="00747CCA" w:rsidRPr="005D062F">
        <w:rPr>
          <w:sz w:val="22"/>
          <w:szCs w:val="22"/>
          <w:lang w:val="fr-FR"/>
        </w:rPr>
        <w:t>élèves</w:t>
      </w:r>
      <w:r w:rsidRPr="005D062F">
        <w:rPr>
          <w:sz w:val="22"/>
          <w:szCs w:val="22"/>
          <w:lang w:val="fr-FR"/>
        </w:rPr>
        <w:t xml:space="preserve"> </w:t>
      </w:r>
      <w:r w:rsidR="00747CCA" w:rsidRPr="005D062F">
        <w:rPr>
          <w:sz w:val="22"/>
          <w:szCs w:val="22"/>
          <w:lang w:val="fr-FR"/>
        </w:rPr>
        <w:t xml:space="preserve">de tous les niveaux d’enseignement </w:t>
      </w:r>
      <w:r w:rsidRPr="005D062F">
        <w:rPr>
          <w:sz w:val="22"/>
          <w:szCs w:val="22"/>
          <w:lang w:val="fr-FR"/>
        </w:rPr>
        <w:t xml:space="preserve">se sont familiarisés avec les questions sociales </w:t>
      </w:r>
      <w:r w:rsidR="00747CCA" w:rsidRPr="005D062F">
        <w:rPr>
          <w:sz w:val="22"/>
          <w:szCs w:val="22"/>
          <w:lang w:val="fr-FR"/>
        </w:rPr>
        <w:t>actuelles, identifiant ainsi les signes avant-coureurs et les stratégies permettant de limiter les comportements perturbateurs</w:t>
      </w:r>
      <w:r w:rsidR="00B90A02" w:rsidRPr="005D062F">
        <w:rPr>
          <w:sz w:val="22"/>
          <w:szCs w:val="22"/>
          <w:lang w:val="fr-FR"/>
        </w:rPr>
        <w:t>.</w:t>
      </w:r>
    </w:p>
    <w:p w14:paraId="1F6C72D1" w14:textId="3A3D4B1C" w:rsidR="00B90A02" w:rsidRPr="005D062F" w:rsidRDefault="00747CCA" w:rsidP="006E7478">
      <w:pPr>
        <w:pStyle w:val="ListParagraph"/>
        <w:numPr>
          <w:ilvl w:val="0"/>
          <w:numId w:val="35"/>
        </w:numPr>
        <w:ind w:left="1440" w:hanging="720"/>
        <w:contextualSpacing/>
        <w:jc w:val="both"/>
        <w:rPr>
          <w:sz w:val="22"/>
          <w:szCs w:val="22"/>
          <w:lang w:val="fr-FR"/>
        </w:rPr>
      </w:pPr>
      <w:r w:rsidRPr="005D062F">
        <w:rPr>
          <w:sz w:val="22"/>
          <w:szCs w:val="22"/>
          <w:lang w:val="fr-FR"/>
        </w:rPr>
        <w:t xml:space="preserve">Trois écoles pilotes ont commencé à mettre en œuvre des stratégies </w:t>
      </w:r>
      <w:r w:rsidR="00B90A02" w:rsidRPr="005D062F">
        <w:rPr>
          <w:sz w:val="22"/>
          <w:szCs w:val="22"/>
          <w:lang w:val="fr-FR"/>
        </w:rPr>
        <w:t>psychosocial</w:t>
      </w:r>
      <w:r w:rsidRPr="005D062F">
        <w:rPr>
          <w:sz w:val="22"/>
          <w:szCs w:val="22"/>
          <w:lang w:val="fr-FR"/>
        </w:rPr>
        <w:t>es</w:t>
      </w:r>
      <w:r w:rsidR="00B90A02" w:rsidRPr="005D062F">
        <w:rPr>
          <w:sz w:val="22"/>
          <w:szCs w:val="22"/>
          <w:lang w:val="fr-FR"/>
        </w:rPr>
        <w:t xml:space="preserve"> </w:t>
      </w:r>
      <w:r w:rsidRPr="005D062F">
        <w:rPr>
          <w:sz w:val="22"/>
          <w:szCs w:val="22"/>
          <w:lang w:val="fr-FR"/>
        </w:rPr>
        <w:t xml:space="preserve">suite au </w:t>
      </w:r>
      <w:r w:rsidR="00F77E5F" w:rsidRPr="005D062F">
        <w:rPr>
          <w:sz w:val="22"/>
          <w:szCs w:val="22"/>
          <w:lang w:val="fr-FR"/>
        </w:rPr>
        <w:t>programme de renforcement de l’apprentissage socio</w:t>
      </w:r>
      <w:r w:rsidR="00277CA5" w:rsidRPr="005D062F">
        <w:rPr>
          <w:sz w:val="22"/>
          <w:szCs w:val="22"/>
          <w:lang w:val="fr-FR"/>
        </w:rPr>
        <w:t>-émotionnel destiné aux élève</w:t>
      </w:r>
      <w:r w:rsidR="00F77E5F" w:rsidRPr="005D062F">
        <w:rPr>
          <w:sz w:val="22"/>
          <w:szCs w:val="22"/>
          <w:lang w:val="fr-FR"/>
        </w:rPr>
        <w:t>s</w:t>
      </w:r>
      <w:r w:rsidR="00B90A02" w:rsidRPr="005D062F">
        <w:rPr>
          <w:sz w:val="22"/>
          <w:szCs w:val="22"/>
          <w:lang w:val="fr-FR"/>
        </w:rPr>
        <w:t>.</w:t>
      </w:r>
    </w:p>
    <w:p w14:paraId="259EAE9A" w14:textId="1681252A" w:rsidR="00B90A02" w:rsidRPr="005D062F" w:rsidRDefault="006C5239" w:rsidP="006E7478">
      <w:pPr>
        <w:pStyle w:val="ListParagraph"/>
        <w:numPr>
          <w:ilvl w:val="0"/>
          <w:numId w:val="35"/>
        </w:numPr>
        <w:ind w:left="1440" w:hanging="720"/>
        <w:contextualSpacing/>
        <w:jc w:val="both"/>
        <w:rPr>
          <w:sz w:val="22"/>
          <w:szCs w:val="22"/>
          <w:lang w:val="fr-FR"/>
        </w:rPr>
      </w:pPr>
      <w:r w:rsidRPr="005D062F">
        <w:rPr>
          <w:sz w:val="22"/>
          <w:szCs w:val="22"/>
          <w:lang w:val="fr-FR"/>
        </w:rPr>
        <w:t>Cinquante-cinq (</w:t>
      </w:r>
      <w:r w:rsidR="00B90A02" w:rsidRPr="005D062F">
        <w:rPr>
          <w:sz w:val="22"/>
          <w:szCs w:val="22"/>
          <w:lang w:val="fr-FR"/>
        </w:rPr>
        <w:t>55</w:t>
      </w:r>
      <w:r w:rsidRPr="005D062F">
        <w:rPr>
          <w:sz w:val="22"/>
          <w:szCs w:val="22"/>
          <w:lang w:val="fr-FR"/>
        </w:rPr>
        <w:t xml:space="preserve">) enseignants, titulaires d’une </w:t>
      </w:r>
      <w:r w:rsidRPr="005D062F">
        <w:rPr>
          <w:rFonts w:eastAsia="MS PGothic"/>
          <w:b/>
          <w:bCs/>
          <w:color w:val="000000"/>
          <w:kern w:val="24"/>
          <w:sz w:val="22"/>
          <w:szCs w:val="22"/>
          <w:lang w:val="fr-FR"/>
        </w:rPr>
        <w:t>c</w:t>
      </w:r>
      <w:r w:rsidR="00B90A02" w:rsidRPr="005D062F">
        <w:rPr>
          <w:rFonts w:eastAsia="MS PGothic"/>
          <w:b/>
          <w:bCs/>
          <w:color w:val="000000"/>
          <w:kern w:val="24"/>
          <w:sz w:val="22"/>
          <w:szCs w:val="22"/>
          <w:lang w:val="fr-FR"/>
        </w:rPr>
        <w:t>ertification</w:t>
      </w:r>
      <w:r w:rsidRPr="005D062F">
        <w:rPr>
          <w:rFonts w:eastAsia="MS PGothic"/>
          <w:b/>
          <w:bCs/>
          <w:color w:val="000000"/>
          <w:kern w:val="24"/>
          <w:sz w:val="22"/>
          <w:szCs w:val="22"/>
          <w:lang w:val="fr-FR"/>
        </w:rPr>
        <w:t xml:space="preserve"> dans le domaine de l’éducation inclusive internationale</w:t>
      </w:r>
      <w:r w:rsidR="00B90A02" w:rsidRPr="005D062F">
        <w:rPr>
          <w:rFonts w:eastAsia="MS PGothic"/>
          <w:bCs/>
          <w:color w:val="000000"/>
          <w:kern w:val="24"/>
          <w:sz w:val="22"/>
          <w:szCs w:val="22"/>
          <w:lang w:val="fr-FR"/>
        </w:rPr>
        <w:t>,</w:t>
      </w:r>
      <w:r w:rsidR="00B90A02" w:rsidRPr="005D062F">
        <w:rPr>
          <w:sz w:val="22"/>
          <w:szCs w:val="22"/>
          <w:lang w:val="fr-FR"/>
        </w:rPr>
        <w:t xml:space="preserve"> </w:t>
      </w:r>
      <w:r w:rsidRPr="005D062F">
        <w:rPr>
          <w:sz w:val="22"/>
          <w:szCs w:val="22"/>
          <w:lang w:val="fr-FR"/>
        </w:rPr>
        <w:t>ont dé</w:t>
      </w:r>
      <w:r w:rsidR="00B90A02" w:rsidRPr="005D062F">
        <w:rPr>
          <w:sz w:val="22"/>
          <w:szCs w:val="22"/>
          <w:lang w:val="fr-FR"/>
        </w:rPr>
        <w:t>velop</w:t>
      </w:r>
      <w:r w:rsidRPr="005D062F">
        <w:rPr>
          <w:sz w:val="22"/>
          <w:szCs w:val="22"/>
          <w:lang w:val="fr-FR"/>
        </w:rPr>
        <w:t xml:space="preserve">pé des compétences pour déterminer et mettre en œuvre un certain nombre de stratégies visant à différencier l’enseignement et adapter les leçons dans l’optique de toucher chaque élève </w:t>
      </w:r>
      <w:r w:rsidR="00B90A02" w:rsidRPr="005D062F">
        <w:rPr>
          <w:sz w:val="22"/>
          <w:szCs w:val="22"/>
          <w:lang w:val="fr-FR"/>
        </w:rPr>
        <w:t>d</w:t>
      </w:r>
      <w:r w:rsidRPr="005D062F">
        <w:rPr>
          <w:sz w:val="22"/>
          <w:szCs w:val="22"/>
          <w:lang w:val="fr-FR"/>
        </w:rPr>
        <w:t>e manière</w:t>
      </w:r>
      <w:r w:rsidR="00BF5BC0" w:rsidRPr="005D062F">
        <w:rPr>
          <w:sz w:val="22"/>
          <w:szCs w:val="22"/>
          <w:lang w:val="fr-FR"/>
        </w:rPr>
        <w:t xml:space="preserve"> individuelle</w:t>
      </w:r>
      <w:r w:rsidR="00B90A02" w:rsidRPr="005D062F">
        <w:rPr>
          <w:sz w:val="22"/>
          <w:szCs w:val="22"/>
          <w:lang w:val="fr-FR"/>
        </w:rPr>
        <w:t>.</w:t>
      </w:r>
    </w:p>
    <w:p w14:paraId="1C46B48E" w14:textId="77777777" w:rsidR="00B90A02" w:rsidRPr="005D062F" w:rsidRDefault="00B90A02" w:rsidP="00CB030B">
      <w:pPr>
        <w:jc w:val="both"/>
        <w:rPr>
          <w:rFonts w:ascii="Times New Roman" w:hAnsi="Times New Roman" w:cs="Times New Roman"/>
          <w:sz w:val="22"/>
          <w:szCs w:val="22"/>
          <w:lang w:val="fr-FR"/>
        </w:rPr>
      </w:pPr>
    </w:p>
    <w:p w14:paraId="539D10C0" w14:textId="04A342D7" w:rsidR="00B90A02" w:rsidRPr="005D062F" w:rsidRDefault="00B90A02" w:rsidP="00CB030B">
      <w:pPr>
        <w:ind w:firstLine="720"/>
        <w:jc w:val="both"/>
        <w:rPr>
          <w:rFonts w:ascii="Times New Roman" w:hAnsi="Times New Roman" w:cs="Times New Roman"/>
          <w:b/>
          <w:bCs/>
          <w:sz w:val="22"/>
          <w:szCs w:val="22"/>
          <w:lang w:val="fr-FR"/>
        </w:rPr>
      </w:pPr>
      <w:r w:rsidRPr="005D062F">
        <w:rPr>
          <w:rFonts w:ascii="Times New Roman" w:hAnsi="Times New Roman" w:cs="Times New Roman"/>
          <w:b/>
          <w:bCs/>
          <w:sz w:val="22"/>
          <w:szCs w:val="22"/>
          <w:lang w:val="fr-FR"/>
        </w:rPr>
        <w:t>Argentin</w:t>
      </w:r>
      <w:r w:rsidR="00E114D4" w:rsidRPr="005D062F">
        <w:rPr>
          <w:rFonts w:ascii="Times New Roman" w:hAnsi="Times New Roman" w:cs="Times New Roman"/>
          <w:b/>
          <w:bCs/>
          <w:sz w:val="22"/>
          <w:szCs w:val="22"/>
          <w:lang w:val="fr-FR"/>
        </w:rPr>
        <w:t>e </w:t>
      </w:r>
      <w:r w:rsidRPr="005D062F">
        <w:rPr>
          <w:rFonts w:ascii="Times New Roman" w:hAnsi="Times New Roman" w:cs="Times New Roman"/>
          <w:b/>
          <w:bCs/>
          <w:sz w:val="22"/>
          <w:szCs w:val="22"/>
          <w:lang w:val="fr-FR"/>
        </w:rPr>
        <w:t xml:space="preserve">: </w:t>
      </w:r>
      <w:r w:rsidR="00E114D4" w:rsidRPr="005D062F">
        <w:rPr>
          <w:rFonts w:ascii="Times New Roman" w:hAnsi="Times New Roman" w:cs="Times New Roman"/>
          <w:b/>
          <w:bCs/>
          <w:sz w:val="22"/>
          <w:szCs w:val="22"/>
          <w:lang w:val="fr-FR"/>
        </w:rPr>
        <w:t>Formation des formateurs</w:t>
      </w:r>
    </w:p>
    <w:p w14:paraId="6CE5FBC0" w14:textId="290B6603" w:rsidR="00B90A02" w:rsidRPr="005D062F" w:rsidRDefault="00DE2741" w:rsidP="006E7478">
      <w:pPr>
        <w:pStyle w:val="ListParagraph"/>
        <w:numPr>
          <w:ilvl w:val="0"/>
          <w:numId w:val="35"/>
        </w:numPr>
        <w:ind w:left="1440" w:hanging="720"/>
        <w:contextualSpacing/>
        <w:jc w:val="both"/>
        <w:rPr>
          <w:sz w:val="22"/>
          <w:szCs w:val="22"/>
          <w:lang w:val="fr-FR"/>
        </w:rPr>
      </w:pPr>
      <w:r w:rsidRPr="005D062F">
        <w:rPr>
          <w:sz w:val="22"/>
          <w:szCs w:val="22"/>
          <w:lang w:val="fr-FR"/>
        </w:rPr>
        <w:t>Deux-cents (</w:t>
      </w:r>
      <w:r w:rsidR="00B90A02" w:rsidRPr="005D062F">
        <w:rPr>
          <w:sz w:val="22"/>
          <w:szCs w:val="22"/>
          <w:lang w:val="fr-FR"/>
        </w:rPr>
        <w:t>200</w:t>
      </w:r>
      <w:r w:rsidRPr="005D062F">
        <w:rPr>
          <w:sz w:val="22"/>
          <w:szCs w:val="22"/>
          <w:lang w:val="fr-FR"/>
        </w:rPr>
        <w:t>)</w:t>
      </w:r>
      <w:r w:rsidR="00B90A02" w:rsidRPr="005D062F">
        <w:rPr>
          <w:sz w:val="22"/>
          <w:szCs w:val="22"/>
          <w:lang w:val="fr-FR"/>
        </w:rPr>
        <w:t xml:space="preserve"> </w:t>
      </w:r>
      <w:r w:rsidRPr="005D062F">
        <w:rPr>
          <w:sz w:val="22"/>
          <w:szCs w:val="22"/>
          <w:lang w:val="fr-FR"/>
        </w:rPr>
        <w:t xml:space="preserve">équipes pédagogiques </w:t>
      </w:r>
      <w:r w:rsidR="00B90A02" w:rsidRPr="005D062F">
        <w:rPr>
          <w:sz w:val="22"/>
          <w:szCs w:val="22"/>
          <w:lang w:val="fr-FR"/>
        </w:rPr>
        <w:t>(</w:t>
      </w:r>
      <w:r w:rsidRPr="005D062F">
        <w:rPr>
          <w:sz w:val="22"/>
          <w:szCs w:val="22"/>
          <w:lang w:val="fr-FR"/>
        </w:rPr>
        <w:t xml:space="preserve">soit </w:t>
      </w:r>
      <w:r w:rsidR="00B90A02" w:rsidRPr="005D062F">
        <w:rPr>
          <w:sz w:val="22"/>
          <w:szCs w:val="22"/>
          <w:lang w:val="fr-FR"/>
        </w:rPr>
        <w:t xml:space="preserve">925 </w:t>
      </w:r>
      <w:r w:rsidRPr="005D062F">
        <w:rPr>
          <w:sz w:val="22"/>
          <w:szCs w:val="22"/>
          <w:lang w:val="fr-FR"/>
        </w:rPr>
        <w:t>enseignants</w:t>
      </w:r>
      <w:r w:rsidR="00B90A02" w:rsidRPr="005D062F">
        <w:rPr>
          <w:sz w:val="22"/>
          <w:szCs w:val="22"/>
          <w:lang w:val="fr-FR"/>
        </w:rPr>
        <w:t xml:space="preserve">) </w:t>
      </w:r>
      <w:r w:rsidRPr="005D062F">
        <w:rPr>
          <w:sz w:val="22"/>
          <w:szCs w:val="22"/>
          <w:lang w:val="fr-FR"/>
        </w:rPr>
        <w:t xml:space="preserve">d’instituts de formation supérieure des enseignants ont été formées à l’enseignement fondé sur la compréhension, au développement des compétences d’enseignement professionnel et à la création de </w:t>
      </w:r>
      <w:r w:rsidR="00277CA5" w:rsidRPr="005D062F">
        <w:rPr>
          <w:sz w:val="22"/>
          <w:szCs w:val="22"/>
          <w:lang w:val="fr-FR"/>
        </w:rPr>
        <w:t>communautés de perfectionnement professionnel</w:t>
      </w:r>
      <w:r w:rsidR="00BF5BC0" w:rsidRPr="005D062F">
        <w:rPr>
          <w:sz w:val="22"/>
          <w:szCs w:val="22"/>
          <w:lang w:val="fr-FR"/>
        </w:rPr>
        <w:t>. Des études virtuelles ont été utilisées pour déterminer les différentes manières dont la formation a influé sur leurs pratiques d’enseignement </w:t>
      </w:r>
      <w:r w:rsidR="00B90A02" w:rsidRPr="005D062F">
        <w:rPr>
          <w:sz w:val="22"/>
          <w:szCs w:val="22"/>
          <w:lang w:val="fr-FR"/>
        </w:rPr>
        <w:t xml:space="preserve">; </w:t>
      </w:r>
      <w:r w:rsidR="00BF5BC0" w:rsidRPr="005D062F">
        <w:rPr>
          <w:sz w:val="22"/>
          <w:szCs w:val="22"/>
          <w:lang w:val="fr-FR"/>
        </w:rPr>
        <w:t xml:space="preserve">plus de </w:t>
      </w:r>
      <w:r w:rsidR="00B90A02" w:rsidRPr="005D062F">
        <w:rPr>
          <w:sz w:val="22"/>
          <w:szCs w:val="22"/>
          <w:lang w:val="fr-FR"/>
        </w:rPr>
        <w:t>90</w:t>
      </w:r>
      <w:r w:rsidR="00BF5BC0" w:rsidRPr="005D062F">
        <w:rPr>
          <w:sz w:val="22"/>
          <w:szCs w:val="22"/>
          <w:lang w:val="fr-FR"/>
        </w:rPr>
        <w:t> %</w:t>
      </w:r>
      <w:r w:rsidR="00B90A02" w:rsidRPr="005D062F">
        <w:rPr>
          <w:sz w:val="22"/>
          <w:szCs w:val="22"/>
          <w:lang w:val="fr-FR"/>
        </w:rPr>
        <w:t xml:space="preserve"> </w:t>
      </w:r>
      <w:r w:rsidR="00BF5BC0" w:rsidRPr="005D062F">
        <w:rPr>
          <w:sz w:val="22"/>
          <w:szCs w:val="22"/>
          <w:lang w:val="fr-FR"/>
        </w:rPr>
        <w:t>des</w:t>
      </w:r>
      <w:r w:rsidR="00B90A02" w:rsidRPr="005D062F">
        <w:rPr>
          <w:sz w:val="22"/>
          <w:szCs w:val="22"/>
          <w:lang w:val="fr-FR"/>
        </w:rPr>
        <w:t xml:space="preserve"> participants</w:t>
      </w:r>
      <w:r w:rsidR="00BF5BC0" w:rsidRPr="005D062F">
        <w:rPr>
          <w:sz w:val="22"/>
          <w:szCs w:val="22"/>
          <w:lang w:val="fr-FR"/>
        </w:rPr>
        <w:t xml:space="preserve"> ont été satisfaits du </w:t>
      </w:r>
      <w:r w:rsidR="00B90A02" w:rsidRPr="005D062F">
        <w:rPr>
          <w:sz w:val="22"/>
          <w:szCs w:val="22"/>
          <w:lang w:val="fr-FR"/>
        </w:rPr>
        <w:t>program</w:t>
      </w:r>
      <w:r w:rsidR="00BF5BC0" w:rsidRPr="005D062F">
        <w:rPr>
          <w:sz w:val="22"/>
          <w:szCs w:val="22"/>
          <w:lang w:val="fr-FR"/>
        </w:rPr>
        <w:t>me</w:t>
      </w:r>
      <w:r w:rsidR="00B90A02" w:rsidRPr="005D062F">
        <w:rPr>
          <w:sz w:val="22"/>
          <w:szCs w:val="22"/>
          <w:lang w:val="fr-FR"/>
        </w:rPr>
        <w:t>.</w:t>
      </w:r>
    </w:p>
    <w:p w14:paraId="6FC97A51" w14:textId="05453DD1" w:rsidR="00B90A02" w:rsidRPr="005D062F" w:rsidRDefault="00B90A02" w:rsidP="008F7F23">
      <w:pPr>
        <w:pStyle w:val="ListParagraph"/>
        <w:numPr>
          <w:ilvl w:val="1"/>
          <w:numId w:val="26"/>
        </w:numPr>
        <w:ind w:left="1800"/>
        <w:jc w:val="both"/>
        <w:rPr>
          <w:sz w:val="22"/>
          <w:szCs w:val="22"/>
          <w:lang w:val="fr-FR"/>
        </w:rPr>
      </w:pPr>
      <w:r w:rsidRPr="005D062F">
        <w:rPr>
          <w:sz w:val="22"/>
          <w:szCs w:val="22"/>
          <w:lang w:val="fr-FR"/>
        </w:rPr>
        <w:t>D</w:t>
      </w:r>
      <w:r w:rsidR="00940F19" w:rsidRPr="005D062F">
        <w:rPr>
          <w:sz w:val="22"/>
          <w:szCs w:val="22"/>
          <w:lang w:val="fr-FR"/>
        </w:rPr>
        <w:t>es stratégies ont été élaborées et mises en œuvre pour assurer le transfert de ces connaissances à un réseau plus large d’éducateurs ; Elles ont permis d’atteindre 5 </w:t>
      </w:r>
      <w:r w:rsidRPr="005D062F">
        <w:rPr>
          <w:sz w:val="22"/>
          <w:szCs w:val="22"/>
          <w:lang w:val="fr-FR"/>
        </w:rPr>
        <w:t xml:space="preserve">950 </w:t>
      </w:r>
      <w:r w:rsidR="00940F19" w:rsidRPr="005D062F">
        <w:rPr>
          <w:sz w:val="22"/>
          <w:szCs w:val="22"/>
          <w:lang w:val="fr-FR"/>
        </w:rPr>
        <w:t xml:space="preserve">enseignants et d’élaborer </w:t>
      </w:r>
      <w:r w:rsidRPr="005D062F">
        <w:rPr>
          <w:sz w:val="22"/>
          <w:szCs w:val="22"/>
          <w:lang w:val="fr-FR"/>
        </w:rPr>
        <w:t xml:space="preserve">238 </w:t>
      </w:r>
      <w:r w:rsidR="00940F19" w:rsidRPr="005D062F">
        <w:rPr>
          <w:sz w:val="22"/>
          <w:szCs w:val="22"/>
          <w:lang w:val="fr-FR"/>
        </w:rPr>
        <w:t>projets d’</w:t>
      </w:r>
      <w:r w:rsidRPr="005D062F">
        <w:rPr>
          <w:sz w:val="22"/>
          <w:szCs w:val="22"/>
          <w:lang w:val="fr-FR"/>
        </w:rPr>
        <w:t xml:space="preserve">innovation </w:t>
      </w:r>
      <w:r w:rsidR="00940F19" w:rsidRPr="005D062F">
        <w:rPr>
          <w:sz w:val="22"/>
          <w:szCs w:val="22"/>
          <w:lang w:val="fr-FR"/>
        </w:rPr>
        <w:t xml:space="preserve">dans le cadre de la </w:t>
      </w:r>
      <w:r w:rsidR="00BF5BC0" w:rsidRPr="005D062F">
        <w:rPr>
          <w:b/>
          <w:sz w:val="22"/>
          <w:szCs w:val="22"/>
          <w:lang w:val="fr-FR"/>
        </w:rPr>
        <w:t xml:space="preserve">mise à jour des </w:t>
      </w:r>
      <w:r w:rsidR="002264EA" w:rsidRPr="005D062F">
        <w:rPr>
          <w:b/>
          <w:sz w:val="22"/>
          <w:szCs w:val="22"/>
          <w:lang w:val="fr-FR"/>
        </w:rPr>
        <w:t>performances scolaires</w:t>
      </w:r>
      <w:r w:rsidRPr="005D062F">
        <w:rPr>
          <w:sz w:val="22"/>
          <w:szCs w:val="22"/>
          <w:lang w:val="fr-FR"/>
        </w:rPr>
        <w:t>.</w:t>
      </w:r>
    </w:p>
    <w:p w14:paraId="61276306" w14:textId="786D9D36" w:rsidR="00B90A02" w:rsidRPr="005D062F" w:rsidRDefault="00B6431A" w:rsidP="006E7478">
      <w:pPr>
        <w:pStyle w:val="ListParagraph"/>
        <w:numPr>
          <w:ilvl w:val="0"/>
          <w:numId w:val="35"/>
        </w:numPr>
        <w:ind w:left="1440" w:hanging="720"/>
        <w:contextualSpacing/>
        <w:jc w:val="both"/>
        <w:rPr>
          <w:sz w:val="22"/>
          <w:szCs w:val="22"/>
          <w:lang w:val="fr-FR"/>
        </w:rPr>
      </w:pPr>
      <w:r w:rsidRPr="005D062F">
        <w:rPr>
          <w:sz w:val="22"/>
          <w:szCs w:val="22"/>
          <w:lang w:val="fr-FR"/>
        </w:rPr>
        <w:t xml:space="preserve">Les dispositifs de formation des enseignants ont été </w:t>
      </w:r>
      <w:r w:rsidR="002A21A7" w:rsidRPr="005D062F">
        <w:rPr>
          <w:sz w:val="22"/>
          <w:szCs w:val="22"/>
          <w:lang w:val="fr-FR"/>
        </w:rPr>
        <w:t xml:space="preserve">évalués pour le développement des </w:t>
      </w:r>
      <w:r w:rsidR="00E114D4" w:rsidRPr="005D062F">
        <w:rPr>
          <w:sz w:val="22"/>
          <w:szCs w:val="22"/>
          <w:lang w:val="fr-FR"/>
        </w:rPr>
        <w:t>innovations pédagogiques</w:t>
      </w:r>
      <w:r w:rsidRPr="005D062F">
        <w:rPr>
          <w:sz w:val="22"/>
          <w:szCs w:val="22"/>
          <w:lang w:val="fr-FR"/>
        </w:rPr>
        <w:t xml:space="preserve"> et des communaut</w:t>
      </w:r>
      <w:r w:rsidR="00B341F2" w:rsidRPr="005D062F">
        <w:rPr>
          <w:sz w:val="22"/>
          <w:szCs w:val="22"/>
          <w:lang w:val="fr-FR"/>
        </w:rPr>
        <w:t>és de perfectionnement</w:t>
      </w:r>
      <w:r w:rsidRPr="005D062F">
        <w:rPr>
          <w:sz w:val="22"/>
          <w:szCs w:val="22"/>
          <w:lang w:val="fr-FR"/>
        </w:rPr>
        <w:t xml:space="preserve"> professionnel, en vue d’une mise en œuvre dans tout le pays</w:t>
      </w:r>
      <w:r w:rsidR="00B90A02" w:rsidRPr="005D062F">
        <w:rPr>
          <w:sz w:val="22"/>
          <w:szCs w:val="22"/>
          <w:lang w:val="fr-FR"/>
        </w:rPr>
        <w:t xml:space="preserve">. </w:t>
      </w:r>
      <w:r w:rsidRPr="005D062F">
        <w:rPr>
          <w:sz w:val="22"/>
          <w:szCs w:val="22"/>
          <w:lang w:val="fr-FR"/>
        </w:rPr>
        <w:t>Quatre études ont été achevées, dont l’une a été réalisée par une équipe de conseil externe</w:t>
      </w:r>
      <w:r w:rsidR="00B90A02" w:rsidRPr="005D062F">
        <w:rPr>
          <w:sz w:val="22"/>
          <w:szCs w:val="22"/>
          <w:lang w:val="fr-FR"/>
        </w:rPr>
        <w:t>.</w:t>
      </w:r>
    </w:p>
    <w:p w14:paraId="5C74B389" w14:textId="77777777" w:rsidR="00EE3694" w:rsidRPr="008F7F23" w:rsidRDefault="00EE3694" w:rsidP="008F7F23">
      <w:pPr>
        <w:rPr>
          <w:rFonts w:ascii="Times New Roman" w:hAnsi="Times New Roman" w:cs="Times New Roman"/>
          <w:sz w:val="22"/>
          <w:szCs w:val="22"/>
          <w:lang w:val="fr-FR"/>
        </w:rPr>
      </w:pPr>
    </w:p>
    <w:p w14:paraId="28152FA5" w14:textId="62CBCFC8" w:rsidR="00B90A02" w:rsidRPr="005D062F" w:rsidRDefault="00E114D4" w:rsidP="008F7F23">
      <w:pPr>
        <w:ind w:left="720"/>
        <w:jc w:val="both"/>
        <w:rPr>
          <w:rFonts w:ascii="Times New Roman" w:hAnsi="Times New Roman" w:cs="Times New Roman"/>
          <w:b/>
          <w:bCs/>
          <w:sz w:val="22"/>
          <w:szCs w:val="22"/>
          <w:lang w:val="fr-FR"/>
        </w:rPr>
      </w:pPr>
      <w:r w:rsidRPr="005D062F">
        <w:rPr>
          <w:rFonts w:ascii="Times New Roman" w:hAnsi="Times New Roman" w:cs="Times New Roman"/>
          <w:b/>
          <w:bCs/>
          <w:sz w:val="22"/>
          <w:szCs w:val="22"/>
          <w:lang w:val="fr-FR"/>
        </w:rPr>
        <w:t>Barbade </w:t>
      </w:r>
      <w:r w:rsidR="00B90A02" w:rsidRPr="005D062F">
        <w:rPr>
          <w:rFonts w:ascii="Times New Roman" w:hAnsi="Times New Roman" w:cs="Times New Roman"/>
          <w:b/>
          <w:bCs/>
          <w:sz w:val="22"/>
          <w:szCs w:val="22"/>
          <w:lang w:val="fr-FR"/>
        </w:rPr>
        <w:t xml:space="preserve">: </w:t>
      </w:r>
      <w:r w:rsidRPr="005D062F">
        <w:rPr>
          <w:rFonts w:ascii="Times New Roman" w:hAnsi="Times New Roman" w:cs="Times New Roman"/>
          <w:b/>
          <w:bCs/>
          <w:sz w:val="22"/>
          <w:szCs w:val="22"/>
          <w:lang w:val="fr-FR"/>
        </w:rPr>
        <w:t>Renforcement du perfectionnement professionnel des enseignants pour améliorer la qualité de l’éducation</w:t>
      </w:r>
    </w:p>
    <w:p w14:paraId="4FD1916D" w14:textId="4C624039" w:rsidR="00B90A02" w:rsidRPr="005D062F" w:rsidRDefault="005C50A2" w:rsidP="006E7478">
      <w:pPr>
        <w:pStyle w:val="ListParagraph"/>
        <w:numPr>
          <w:ilvl w:val="0"/>
          <w:numId w:val="35"/>
        </w:numPr>
        <w:ind w:left="1440" w:hanging="720"/>
        <w:contextualSpacing/>
        <w:jc w:val="both"/>
        <w:rPr>
          <w:b/>
          <w:bCs/>
          <w:sz w:val="22"/>
          <w:szCs w:val="22"/>
          <w:lang w:val="fr-FR"/>
        </w:rPr>
      </w:pPr>
      <w:r w:rsidRPr="005D062F">
        <w:rPr>
          <w:sz w:val="22"/>
          <w:szCs w:val="22"/>
          <w:lang w:val="fr-FR"/>
        </w:rPr>
        <w:t>Un</w:t>
      </w:r>
      <w:r w:rsidR="00B90A02" w:rsidRPr="005D062F">
        <w:rPr>
          <w:sz w:val="22"/>
          <w:szCs w:val="22"/>
          <w:lang w:val="fr-FR"/>
        </w:rPr>
        <w:t xml:space="preserve"> </w:t>
      </w:r>
      <w:r w:rsidR="00E114D4" w:rsidRPr="005D062F">
        <w:rPr>
          <w:sz w:val="22"/>
          <w:szCs w:val="22"/>
          <w:lang w:val="fr-FR"/>
        </w:rPr>
        <w:t xml:space="preserve">centre de perfectionnement professionnel </w:t>
      </w:r>
      <w:r w:rsidRPr="005D062F">
        <w:rPr>
          <w:sz w:val="22"/>
          <w:szCs w:val="22"/>
          <w:lang w:val="fr-FR"/>
        </w:rPr>
        <w:t xml:space="preserve">a été mis en place, dédié uniquement à la mise en œuvre de programmes de </w:t>
      </w:r>
      <w:r w:rsidR="002A21A7" w:rsidRPr="005D062F">
        <w:rPr>
          <w:sz w:val="22"/>
          <w:szCs w:val="22"/>
          <w:lang w:val="fr-FR"/>
        </w:rPr>
        <w:t>perfectionn</w:t>
      </w:r>
      <w:r w:rsidR="0034016F" w:rsidRPr="005D062F">
        <w:rPr>
          <w:sz w:val="22"/>
          <w:szCs w:val="22"/>
          <w:lang w:val="fr-FR"/>
        </w:rPr>
        <w:t>ement continu dans les domaines nécessitant d’améliorer la qualité de l’éducation</w:t>
      </w:r>
      <w:r w:rsidR="005216D1" w:rsidRPr="005D062F">
        <w:rPr>
          <w:sz w:val="22"/>
          <w:szCs w:val="22"/>
          <w:lang w:val="fr-FR"/>
        </w:rPr>
        <w:t xml:space="preserve">. </w:t>
      </w:r>
      <w:r w:rsidRPr="005D062F">
        <w:rPr>
          <w:sz w:val="22"/>
          <w:szCs w:val="22"/>
          <w:lang w:val="fr-FR"/>
        </w:rPr>
        <w:t>En décembre</w:t>
      </w:r>
      <w:r w:rsidR="00B90A02" w:rsidRPr="005D062F">
        <w:rPr>
          <w:sz w:val="22"/>
          <w:szCs w:val="22"/>
          <w:lang w:val="fr-FR"/>
        </w:rPr>
        <w:t xml:space="preserve"> 2021</w:t>
      </w:r>
      <w:r w:rsidR="005216D1" w:rsidRPr="005D062F">
        <w:rPr>
          <w:sz w:val="22"/>
          <w:szCs w:val="22"/>
          <w:lang w:val="fr-FR"/>
        </w:rPr>
        <w:t xml:space="preserve">, </w:t>
      </w:r>
      <w:r w:rsidRPr="005D062F">
        <w:rPr>
          <w:sz w:val="22"/>
          <w:szCs w:val="22"/>
          <w:lang w:val="fr-FR"/>
        </w:rPr>
        <w:t xml:space="preserve">le centre a bénéficié à un total de </w:t>
      </w:r>
      <w:r w:rsidR="00B90A02" w:rsidRPr="005D062F">
        <w:rPr>
          <w:sz w:val="22"/>
          <w:szCs w:val="22"/>
          <w:lang w:val="fr-FR"/>
        </w:rPr>
        <w:t>1</w:t>
      </w:r>
      <w:r w:rsidR="008F7F23">
        <w:rPr>
          <w:sz w:val="22"/>
          <w:szCs w:val="22"/>
          <w:lang w:val="fr-FR"/>
        </w:rPr>
        <w:t> </w:t>
      </w:r>
      <w:r w:rsidR="00B90A02" w:rsidRPr="005D062F">
        <w:rPr>
          <w:sz w:val="22"/>
          <w:szCs w:val="22"/>
          <w:lang w:val="fr-FR"/>
        </w:rPr>
        <w:t>060</w:t>
      </w:r>
      <w:r w:rsidRPr="005D062F">
        <w:rPr>
          <w:sz w:val="22"/>
          <w:szCs w:val="22"/>
          <w:lang w:val="fr-FR"/>
        </w:rPr>
        <w:t xml:space="preserve"> enseignants et 195 administrateu</w:t>
      </w:r>
      <w:r w:rsidR="00B90A02" w:rsidRPr="005D062F">
        <w:rPr>
          <w:sz w:val="22"/>
          <w:szCs w:val="22"/>
          <w:lang w:val="fr-FR"/>
        </w:rPr>
        <w:t>rs</w:t>
      </w:r>
      <w:r w:rsidRPr="005D062F">
        <w:rPr>
          <w:sz w:val="22"/>
          <w:szCs w:val="22"/>
          <w:lang w:val="fr-FR"/>
        </w:rPr>
        <w:t xml:space="preserve"> par le biais de cours en ligne/mixtes, l’objectif étant d’élargir les possibilités de perfectionnement professionnel des enseignants dans toute la Barbade</w:t>
      </w:r>
      <w:r w:rsidR="005216D1" w:rsidRPr="005D062F">
        <w:rPr>
          <w:sz w:val="22"/>
          <w:szCs w:val="22"/>
          <w:lang w:val="fr-FR"/>
        </w:rPr>
        <w:t>.</w:t>
      </w:r>
    </w:p>
    <w:p w14:paraId="35C4DD30" w14:textId="77777777" w:rsidR="00B90A02" w:rsidRPr="005D062F" w:rsidRDefault="00B90A02" w:rsidP="00CB030B">
      <w:pPr>
        <w:rPr>
          <w:rFonts w:ascii="Times New Roman" w:hAnsi="Times New Roman" w:cs="Times New Roman"/>
          <w:b/>
          <w:bCs/>
          <w:sz w:val="22"/>
          <w:szCs w:val="22"/>
          <w:lang w:val="fr-FR"/>
        </w:rPr>
      </w:pPr>
    </w:p>
    <w:p w14:paraId="5C664511" w14:textId="3F7E7E9B" w:rsidR="00B90A02" w:rsidRPr="005D062F" w:rsidRDefault="00E114D4" w:rsidP="00CB030B">
      <w:pPr>
        <w:ind w:firstLine="720"/>
        <w:rPr>
          <w:rFonts w:ascii="Times New Roman" w:hAnsi="Times New Roman" w:cs="Times New Roman"/>
          <w:sz w:val="22"/>
          <w:szCs w:val="22"/>
          <w:lang w:val="fr-FR"/>
        </w:rPr>
      </w:pPr>
      <w:r w:rsidRPr="005D062F">
        <w:rPr>
          <w:rFonts w:ascii="Times New Roman" w:hAnsi="Times New Roman" w:cs="Times New Roman"/>
          <w:b/>
          <w:bCs/>
          <w:sz w:val="22"/>
          <w:szCs w:val="22"/>
          <w:lang w:val="fr-FR"/>
        </w:rPr>
        <w:t>Pé</w:t>
      </w:r>
      <w:r w:rsidR="00B90A02" w:rsidRPr="005D062F">
        <w:rPr>
          <w:rFonts w:ascii="Times New Roman" w:hAnsi="Times New Roman" w:cs="Times New Roman"/>
          <w:b/>
          <w:bCs/>
          <w:sz w:val="22"/>
          <w:szCs w:val="22"/>
          <w:lang w:val="fr-FR"/>
        </w:rPr>
        <w:t>r</w:t>
      </w:r>
      <w:r w:rsidRPr="005D062F">
        <w:rPr>
          <w:rFonts w:ascii="Times New Roman" w:hAnsi="Times New Roman" w:cs="Times New Roman"/>
          <w:b/>
          <w:bCs/>
          <w:sz w:val="22"/>
          <w:szCs w:val="22"/>
          <w:lang w:val="fr-FR"/>
        </w:rPr>
        <w:t>o</w:t>
      </w:r>
      <w:r w:rsidR="00B90A02" w:rsidRPr="005D062F">
        <w:rPr>
          <w:rFonts w:ascii="Times New Roman" w:hAnsi="Times New Roman" w:cs="Times New Roman"/>
          <w:b/>
          <w:bCs/>
          <w:sz w:val="22"/>
          <w:szCs w:val="22"/>
          <w:lang w:val="fr-FR"/>
        </w:rPr>
        <w:t>u</w:t>
      </w:r>
      <w:r w:rsidRPr="005D062F">
        <w:rPr>
          <w:rFonts w:ascii="Times New Roman" w:hAnsi="Times New Roman" w:cs="Times New Roman"/>
          <w:b/>
          <w:bCs/>
          <w:sz w:val="22"/>
          <w:szCs w:val="22"/>
          <w:lang w:val="fr-FR"/>
        </w:rPr>
        <w:t> </w:t>
      </w:r>
      <w:r w:rsidR="00B90A02" w:rsidRPr="005D062F">
        <w:rPr>
          <w:rFonts w:ascii="Times New Roman" w:hAnsi="Times New Roman" w:cs="Times New Roman"/>
          <w:b/>
          <w:bCs/>
          <w:sz w:val="22"/>
          <w:szCs w:val="22"/>
          <w:lang w:val="fr-FR"/>
        </w:rPr>
        <w:t xml:space="preserve">: </w:t>
      </w:r>
      <w:r w:rsidRPr="005D062F">
        <w:rPr>
          <w:rFonts w:ascii="Times New Roman" w:hAnsi="Times New Roman" w:cs="Times New Roman"/>
          <w:b/>
          <w:bCs/>
          <w:sz w:val="22"/>
          <w:szCs w:val="22"/>
          <w:lang w:val="fr-FR"/>
        </w:rPr>
        <w:t>Développer les bonnes pratiques durables en matière d’enseignement</w:t>
      </w:r>
    </w:p>
    <w:p w14:paraId="3CD22F06" w14:textId="63C94AB7" w:rsidR="001E563F" w:rsidRPr="005D062F" w:rsidRDefault="001E563F" w:rsidP="006E7478">
      <w:pPr>
        <w:pStyle w:val="ListParagraph"/>
        <w:numPr>
          <w:ilvl w:val="0"/>
          <w:numId w:val="35"/>
        </w:numPr>
        <w:ind w:left="1440" w:hanging="720"/>
        <w:contextualSpacing/>
        <w:jc w:val="both"/>
        <w:rPr>
          <w:sz w:val="22"/>
          <w:szCs w:val="22"/>
          <w:lang w:val="fr-FR"/>
        </w:rPr>
      </w:pPr>
      <w:r w:rsidRPr="005D062F">
        <w:rPr>
          <w:sz w:val="22"/>
          <w:szCs w:val="22"/>
          <w:lang w:val="fr-FR"/>
        </w:rPr>
        <w:t>Consolidat</w:t>
      </w:r>
      <w:r w:rsidR="009F0218" w:rsidRPr="005D062F">
        <w:rPr>
          <w:sz w:val="22"/>
          <w:szCs w:val="22"/>
          <w:lang w:val="fr-FR"/>
        </w:rPr>
        <w:t xml:space="preserve">ion, organisation et partage </w:t>
      </w:r>
      <w:r w:rsidRPr="005D062F">
        <w:rPr>
          <w:sz w:val="22"/>
          <w:szCs w:val="22"/>
          <w:lang w:val="fr-FR"/>
        </w:rPr>
        <w:t>(</w:t>
      </w:r>
      <w:r w:rsidR="0034016F" w:rsidRPr="005D062F">
        <w:rPr>
          <w:sz w:val="22"/>
          <w:szCs w:val="22"/>
          <w:lang w:val="fr-FR"/>
        </w:rPr>
        <w:t>par le biais de l’</w:t>
      </w:r>
      <w:r w:rsidRPr="005D062F">
        <w:rPr>
          <w:sz w:val="22"/>
          <w:szCs w:val="22"/>
          <w:lang w:val="fr-FR"/>
        </w:rPr>
        <w:t>Observato</w:t>
      </w:r>
      <w:r w:rsidR="0034016F" w:rsidRPr="005D062F">
        <w:rPr>
          <w:sz w:val="22"/>
          <w:szCs w:val="22"/>
          <w:lang w:val="fr-FR"/>
        </w:rPr>
        <w:t>ire national des bonnes pratiques et de l’i</w:t>
      </w:r>
      <w:r w:rsidRPr="005D062F">
        <w:rPr>
          <w:sz w:val="22"/>
          <w:szCs w:val="22"/>
          <w:lang w:val="fr-FR"/>
        </w:rPr>
        <w:t>nnovation</w:t>
      </w:r>
      <w:r w:rsidR="0034016F" w:rsidRPr="005D062F">
        <w:rPr>
          <w:sz w:val="22"/>
          <w:szCs w:val="22"/>
          <w:lang w:val="fr-FR"/>
        </w:rPr>
        <w:t xml:space="preserve"> éducative</w:t>
      </w:r>
      <w:r w:rsidRPr="005D062F">
        <w:rPr>
          <w:sz w:val="22"/>
          <w:szCs w:val="22"/>
          <w:lang w:val="fr-FR"/>
        </w:rPr>
        <w:t xml:space="preserve">) </w:t>
      </w:r>
      <w:r w:rsidR="009F0218" w:rsidRPr="005D062F">
        <w:rPr>
          <w:sz w:val="22"/>
          <w:szCs w:val="22"/>
          <w:lang w:val="fr-FR"/>
        </w:rPr>
        <w:t xml:space="preserve">des </w:t>
      </w:r>
      <w:r w:rsidRPr="005D062F">
        <w:rPr>
          <w:sz w:val="22"/>
          <w:szCs w:val="22"/>
          <w:lang w:val="fr-FR"/>
        </w:rPr>
        <w:t>ex</w:t>
      </w:r>
      <w:r w:rsidR="009F0218" w:rsidRPr="005D062F">
        <w:rPr>
          <w:sz w:val="22"/>
          <w:szCs w:val="22"/>
          <w:lang w:val="fr-FR"/>
        </w:rPr>
        <w:t>e</w:t>
      </w:r>
      <w:r w:rsidRPr="005D062F">
        <w:rPr>
          <w:sz w:val="22"/>
          <w:szCs w:val="22"/>
          <w:lang w:val="fr-FR"/>
        </w:rPr>
        <w:t>mples</w:t>
      </w:r>
      <w:r w:rsidR="009F0218" w:rsidRPr="005D062F">
        <w:rPr>
          <w:sz w:val="22"/>
          <w:szCs w:val="22"/>
          <w:lang w:val="fr-FR"/>
        </w:rPr>
        <w:t xml:space="preserve"> de pratiques d’enseignement durable</w:t>
      </w:r>
      <w:r w:rsidR="001F2C1F" w:rsidRPr="005D062F">
        <w:rPr>
          <w:sz w:val="22"/>
          <w:szCs w:val="22"/>
          <w:lang w:val="fr-FR"/>
        </w:rPr>
        <w:t>s</w:t>
      </w:r>
      <w:r w:rsidR="009F0218" w:rsidRPr="005D062F">
        <w:rPr>
          <w:sz w:val="22"/>
          <w:szCs w:val="22"/>
          <w:lang w:val="fr-FR"/>
        </w:rPr>
        <w:t xml:space="preserve"> au niveau national</w:t>
      </w:r>
      <w:r w:rsidRPr="005D062F">
        <w:rPr>
          <w:sz w:val="22"/>
          <w:szCs w:val="22"/>
          <w:lang w:val="fr-FR"/>
        </w:rPr>
        <w:t>.</w:t>
      </w:r>
    </w:p>
    <w:p w14:paraId="1D767223" w14:textId="686D26BF" w:rsidR="001E563F" w:rsidRPr="005D062F" w:rsidRDefault="0034016F" w:rsidP="006E7478">
      <w:pPr>
        <w:pStyle w:val="ListParagraph"/>
        <w:numPr>
          <w:ilvl w:val="0"/>
          <w:numId w:val="35"/>
        </w:numPr>
        <w:ind w:left="1440" w:hanging="720"/>
        <w:contextualSpacing/>
        <w:jc w:val="both"/>
        <w:rPr>
          <w:sz w:val="22"/>
          <w:szCs w:val="22"/>
          <w:lang w:val="fr-FR"/>
        </w:rPr>
      </w:pPr>
      <w:r w:rsidRPr="005D062F">
        <w:rPr>
          <w:sz w:val="22"/>
          <w:szCs w:val="22"/>
          <w:lang w:val="fr-FR"/>
        </w:rPr>
        <w:t>Renforcement accru des capacités des enseignants pour la mise en œuvre puis le partage des pratiques durables</w:t>
      </w:r>
      <w:r w:rsidR="00F357C2" w:rsidRPr="005D062F">
        <w:rPr>
          <w:sz w:val="22"/>
          <w:szCs w:val="22"/>
          <w:lang w:val="fr-FR"/>
        </w:rPr>
        <w:t>.</w:t>
      </w:r>
    </w:p>
    <w:p w14:paraId="1CD51A66" w14:textId="77777777" w:rsidR="001E563F" w:rsidRPr="005D062F" w:rsidRDefault="001E563F" w:rsidP="00CB030B">
      <w:pPr>
        <w:jc w:val="both"/>
        <w:rPr>
          <w:rFonts w:ascii="Times New Roman" w:hAnsi="Times New Roman" w:cs="Times New Roman"/>
          <w:b/>
          <w:bCs/>
          <w:sz w:val="22"/>
          <w:szCs w:val="22"/>
          <w:lang w:val="fr-FR"/>
        </w:rPr>
      </w:pPr>
    </w:p>
    <w:p w14:paraId="742710BA" w14:textId="106E9743" w:rsidR="00B90A02" w:rsidRPr="005D062F" w:rsidRDefault="00E114D4" w:rsidP="00CB030B">
      <w:pPr>
        <w:ind w:firstLine="720"/>
        <w:rPr>
          <w:rFonts w:ascii="Times New Roman" w:hAnsi="Times New Roman" w:cs="Times New Roman"/>
          <w:b/>
          <w:bCs/>
          <w:sz w:val="22"/>
          <w:szCs w:val="22"/>
          <w:lang w:val="fr-FR"/>
        </w:rPr>
      </w:pPr>
      <w:r w:rsidRPr="005D062F">
        <w:rPr>
          <w:rFonts w:ascii="Times New Roman" w:hAnsi="Times New Roman" w:cs="Times New Roman"/>
          <w:b/>
          <w:bCs/>
          <w:sz w:val="22"/>
          <w:szCs w:val="22"/>
          <w:lang w:val="fr-FR"/>
        </w:rPr>
        <w:t>Saint-Kitts-et-</w:t>
      </w:r>
      <w:r w:rsidR="00B90A02" w:rsidRPr="005D062F">
        <w:rPr>
          <w:rFonts w:ascii="Times New Roman" w:hAnsi="Times New Roman" w:cs="Times New Roman"/>
          <w:b/>
          <w:bCs/>
          <w:sz w:val="22"/>
          <w:szCs w:val="22"/>
          <w:lang w:val="fr-FR"/>
        </w:rPr>
        <w:t>Nevis</w:t>
      </w:r>
      <w:r w:rsidRPr="005D062F">
        <w:rPr>
          <w:rFonts w:ascii="Times New Roman" w:hAnsi="Times New Roman" w:cs="Times New Roman"/>
          <w:b/>
          <w:bCs/>
          <w:sz w:val="22"/>
          <w:szCs w:val="22"/>
          <w:lang w:val="fr-FR"/>
        </w:rPr>
        <w:t> </w:t>
      </w:r>
      <w:r w:rsidR="00B90A02" w:rsidRPr="005D062F">
        <w:rPr>
          <w:rFonts w:ascii="Times New Roman" w:hAnsi="Times New Roman" w:cs="Times New Roman"/>
          <w:b/>
          <w:bCs/>
          <w:sz w:val="22"/>
          <w:szCs w:val="22"/>
          <w:lang w:val="fr-FR"/>
        </w:rPr>
        <w:t xml:space="preserve">: </w:t>
      </w:r>
      <w:r w:rsidRPr="005D062F">
        <w:rPr>
          <w:rFonts w:ascii="Times New Roman" w:hAnsi="Times New Roman" w:cs="Times New Roman"/>
          <w:b/>
          <w:bCs/>
          <w:sz w:val="22"/>
          <w:szCs w:val="22"/>
          <w:lang w:val="fr-FR"/>
        </w:rPr>
        <w:t>Professionnalisation du personnel enseignant</w:t>
      </w:r>
    </w:p>
    <w:p w14:paraId="57845DAE" w14:textId="3ED4781C" w:rsidR="00704809" w:rsidRPr="005D062F" w:rsidRDefault="00B8239E" w:rsidP="006E7478">
      <w:pPr>
        <w:pStyle w:val="ListParagraph"/>
        <w:numPr>
          <w:ilvl w:val="0"/>
          <w:numId w:val="35"/>
        </w:numPr>
        <w:ind w:left="1440" w:hanging="720"/>
        <w:contextualSpacing/>
        <w:jc w:val="both"/>
        <w:rPr>
          <w:sz w:val="22"/>
          <w:szCs w:val="22"/>
          <w:lang w:val="fr-FR"/>
        </w:rPr>
      </w:pPr>
      <w:r w:rsidRPr="005D062F">
        <w:rPr>
          <w:sz w:val="22"/>
          <w:szCs w:val="22"/>
          <w:lang w:val="fr-FR"/>
        </w:rPr>
        <w:t>Élaboration d’u</w:t>
      </w:r>
      <w:r w:rsidR="00B81C81" w:rsidRPr="005D062F">
        <w:rPr>
          <w:sz w:val="22"/>
          <w:szCs w:val="22"/>
          <w:lang w:val="fr-FR"/>
        </w:rPr>
        <w:t xml:space="preserve">n cadre de perfectionnement professionnel continu </w:t>
      </w:r>
      <w:r w:rsidRPr="005D062F">
        <w:rPr>
          <w:sz w:val="22"/>
          <w:szCs w:val="22"/>
          <w:lang w:val="fr-FR"/>
        </w:rPr>
        <w:t>d</w:t>
      </w:r>
      <w:r w:rsidR="00B81C81" w:rsidRPr="005D062F">
        <w:rPr>
          <w:sz w:val="22"/>
          <w:szCs w:val="22"/>
          <w:lang w:val="fr-FR"/>
        </w:rPr>
        <w:t>es éducateurs </w:t>
      </w:r>
      <w:r w:rsidR="00704809" w:rsidRPr="005D062F">
        <w:rPr>
          <w:sz w:val="22"/>
          <w:szCs w:val="22"/>
          <w:lang w:val="fr-FR"/>
        </w:rPr>
        <w:t xml:space="preserve">; </w:t>
      </w:r>
      <w:r w:rsidRPr="005D062F">
        <w:rPr>
          <w:sz w:val="22"/>
          <w:szCs w:val="22"/>
          <w:lang w:val="fr-FR"/>
        </w:rPr>
        <w:t>d’un plan de carrière pour le personnel du secteur de l’éducation</w:t>
      </w:r>
      <w:r w:rsidR="00704809" w:rsidRPr="005D062F">
        <w:rPr>
          <w:sz w:val="22"/>
          <w:szCs w:val="22"/>
          <w:lang w:val="fr-FR"/>
        </w:rPr>
        <w:t xml:space="preserve">, </w:t>
      </w:r>
      <w:r w:rsidR="00A75CEF" w:rsidRPr="005D062F">
        <w:rPr>
          <w:sz w:val="22"/>
          <w:szCs w:val="22"/>
          <w:lang w:val="fr-FR"/>
        </w:rPr>
        <w:t>y compris les coûts prévus de la réforme du barème des traitements de la fonction publique </w:t>
      </w:r>
      <w:r w:rsidR="00704809" w:rsidRPr="005D062F">
        <w:rPr>
          <w:sz w:val="22"/>
          <w:szCs w:val="22"/>
          <w:lang w:val="fr-FR"/>
        </w:rPr>
        <w:t xml:space="preserve">; </w:t>
      </w:r>
      <w:r w:rsidRPr="005D062F">
        <w:rPr>
          <w:sz w:val="22"/>
          <w:szCs w:val="22"/>
          <w:lang w:val="fr-FR"/>
        </w:rPr>
        <w:t>d’un système d’évaluation des</w:t>
      </w:r>
      <w:r w:rsidR="00704809" w:rsidRPr="005D062F">
        <w:rPr>
          <w:sz w:val="22"/>
          <w:szCs w:val="22"/>
          <w:lang w:val="fr-FR"/>
        </w:rPr>
        <w:t xml:space="preserve"> </w:t>
      </w:r>
      <w:r w:rsidRPr="005D062F">
        <w:rPr>
          <w:sz w:val="22"/>
          <w:szCs w:val="22"/>
          <w:lang w:val="fr-FR"/>
        </w:rPr>
        <w:t>é</w:t>
      </w:r>
      <w:r w:rsidR="00704809" w:rsidRPr="005D062F">
        <w:rPr>
          <w:sz w:val="22"/>
          <w:szCs w:val="22"/>
          <w:lang w:val="fr-FR"/>
        </w:rPr>
        <w:t>ducat</w:t>
      </w:r>
      <w:r w:rsidRPr="005D062F">
        <w:rPr>
          <w:sz w:val="22"/>
          <w:szCs w:val="22"/>
          <w:lang w:val="fr-FR"/>
        </w:rPr>
        <w:t>eu</w:t>
      </w:r>
      <w:r w:rsidR="00704809" w:rsidRPr="005D062F">
        <w:rPr>
          <w:sz w:val="22"/>
          <w:szCs w:val="22"/>
          <w:lang w:val="fr-FR"/>
        </w:rPr>
        <w:t>rs</w:t>
      </w:r>
      <w:r w:rsidRPr="005D062F">
        <w:rPr>
          <w:sz w:val="22"/>
          <w:szCs w:val="22"/>
          <w:lang w:val="fr-FR"/>
        </w:rPr>
        <w:t> </w:t>
      </w:r>
      <w:r w:rsidR="00704809" w:rsidRPr="005D062F">
        <w:rPr>
          <w:sz w:val="22"/>
          <w:szCs w:val="22"/>
          <w:lang w:val="fr-FR"/>
        </w:rPr>
        <w:t xml:space="preserve">; </w:t>
      </w:r>
      <w:r w:rsidRPr="005D062F">
        <w:rPr>
          <w:sz w:val="22"/>
          <w:szCs w:val="22"/>
          <w:lang w:val="fr-FR"/>
        </w:rPr>
        <w:t>et de nouvelles normes professionne</w:t>
      </w:r>
      <w:r w:rsidR="00704809" w:rsidRPr="005D062F">
        <w:rPr>
          <w:sz w:val="22"/>
          <w:szCs w:val="22"/>
          <w:lang w:val="fr-FR"/>
        </w:rPr>
        <w:t>l</w:t>
      </w:r>
      <w:r w:rsidRPr="005D062F">
        <w:rPr>
          <w:sz w:val="22"/>
          <w:szCs w:val="22"/>
          <w:lang w:val="fr-FR"/>
        </w:rPr>
        <w:t xml:space="preserve">les, dont un code de conduite, </w:t>
      </w:r>
      <w:r w:rsidR="00F91DD9" w:rsidRPr="005D062F">
        <w:rPr>
          <w:sz w:val="22"/>
          <w:szCs w:val="22"/>
          <w:lang w:val="fr-FR"/>
        </w:rPr>
        <w:t>pour les enseignants et éducateurs</w:t>
      </w:r>
      <w:r w:rsidR="00704809" w:rsidRPr="005D062F">
        <w:rPr>
          <w:sz w:val="22"/>
          <w:szCs w:val="22"/>
          <w:lang w:val="fr-FR"/>
        </w:rPr>
        <w:t xml:space="preserve">. </w:t>
      </w:r>
      <w:r w:rsidR="00B81C81" w:rsidRPr="005D062F">
        <w:rPr>
          <w:sz w:val="22"/>
          <w:szCs w:val="22"/>
          <w:lang w:val="fr-FR"/>
        </w:rPr>
        <w:t xml:space="preserve">Ces mesures sont destinées à encourager la </w:t>
      </w:r>
      <w:r w:rsidR="00CF18F1" w:rsidRPr="005D062F">
        <w:rPr>
          <w:sz w:val="22"/>
          <w:szCs w:val="22"/>
          <w:lang w:val="fr-FR"/>
        </w:rPr>
        <w:t>professionnalisation</w:t>
      </w:r>
      <w:r w:rsidR="00B81C81" w:rsidRPr="005D062F">
        <w:rPr>
          <w:sz w:val="22"/>
          <w:szCs w:val="22"/>
          <w:lang w:val="fr-FR"/>
        </w:rPr>
        <w:t xml:space="preserve"> du personnel enseignant, ce qui se traduit par l’amélioration de l’enseignement</w:t>
      </w:r>
      <w:r w:rsidRPr="005D062F">
        <w:rPr>
          <w:sz w:val="22"/>
          <w:szCs w:val="22"/>
          <w:lang w:val="fr-FR"/>
        </w:rPr>
        <w:t>, du développement professionnel et de la gestion éducative</w:t>
      </w:r>
      <w:r w:rsidR="00704809" w:rsidRPr="005D062F">
        <w:rPr>
          <w:sz w:val="22"/>
          <w:szCs w:val="22"/>
          <w:lang w:val="fr-FR"/>
        </w:rPr>
        <w:t>.</w:t>
      </w:r>
    </w:p>
    <w:p w14:paraId="1FA48EA8" w14:textId="40FD7C3C" w:rsidR="00FA4EDE" w:rsidRPr="005D062F" w:rsidRDefault="001F2C1F" w:rsidP="006E7478">
      <w:pPr>
        <w:pStyle w:val="ListParagraph"/>
        <w:numPr>
          <w:ilvl w:val="0"/>
          <w:numId w:val="35"/>
        </w:numPr>
        <w:ind w:left="1440" w:hanging="720"/>
        <w:contextualSpacing/>
        <w:jc w:val="both"/>
        <w:rPr>
          <w:sz w:val="22"/>
          <w:szCs w:val="22"/>
          <w:lang w:val="fr-FR"/>
        </w:rPr>
      </w:pPr>
      <w:r w:rsidRPr="005D062F">
        <w:rPr>
          <w:sz w:val="22"/>
          <w:szCs w:val="22"/>
          <w:lang w:val="fr-FR"/>
        </w:rPr>
        <w:t>Quatre-vingts (</w:t>
      </w:r>
      <w:r w:rsidR="00B90A02" w:rsidRPr="005D062F">
        <w:rPr>
          <w:sz w:val="22"/>
          <w:szCs w:val="22"/>
          <w:lang w:val="fr-FR"/>
        </w:rPr>
        <w:t>80</w:t>
      </w:r>
      <w:r w:rsidRPr="005D062F">
        <w:rPr>
          <w:sz w:val="22"/>
          <w:szCs w:val="22"/>
          <w:lang w:val="fr-FR"/>
        </w:rPr>
        <w:t>) enseignants ont obtenu une certification pour enseigner l’anglais en seconde langue dans les écoles</w:t>
      </w:r>
      <w:r w:rsidR="00704809" w:rsidRPr="005D062F">
        <w:rPr>
          <w:sz w:val="22"/>
          <w:szCs w:val="22"/>
          <w:lang w:val="fr-FR"/>
        </w:rPr>
        <w:t>.</w:t>
      </w:r>
    </w:p>
    <w:p w14:paraId="3EA99434" w14:textId="77777777" w:rsidR="003631D7" w:rsidRPr="00607D18" w:rsidRDefault="003631D7" w:rsidP="00CB030B">
      <w:pPr>
        <w:contextualSpacing/>
        <w:rPr>
          <w:rFonts w:ascii="Times New Roman" w:hAnsi="Times New Roman" w:cs="Times New Roman"/>
          <w:sz w:val="22"/>
          <w:szCs w:val="22"/>
          <w:lang w:val="fr-FR"/>
        </w:rPr>
      </w:pPr>
    </w:p>
    <w:p w14:paraId="0BBB4F59" w14:textId="262CD64D" w:rsidR="00915887" w:rsidRPr="005D062F" w:rsidRDefault="00915887" w:rsidP="00607D18">
      <w:pPr>
        <w:ind w:left="720"/>
        <w:contextualSpacing/>
        <w:rPr>
          <w:rFonts w:ascii="Times New Roman" w:hAnsi="Times New Roman" w:cs="Times New Roman"/>
          <w:b/>
          <w:bCs/>
          <w:sz w:val="22"/>
          <w:szCs w:val="22"/>
          <w:lang w:val="fr-FR"/>
        </w:rPr>
      </w:pPr>
      <w:r w:rsidRPr="005D062F">
        <w:rPr>
          <w:rFonts w:ascii="Times New Roman" w:hAnsi="Times New Roman" w:cs="Times New Roman"/>
          <w:b/>
          <w:bCs/>
          <w:sz w:val="22"/>
          <w:szCs w:val="22"/>
          <w:lang w:val="fr-FR"/>
        </w:rPr>
        <w:t>PROGRAM</w:t>
      </w:r>
      <w:r w:rsidR="006E05BC" w:rsidRPr="005D062F">
        <w:rPr>
          <w:rFonts w:ascii="Times New Roman" w:hAnsi="Times New Roman" w:cs="Times New Roman"/>
          <w:b/>
          <w:bCs/>
          <w:sz w:val="22"/>
          <w:szCs w:val="22"/>
          <w:lang w:val="fr-FR"/>
        </w:rPr>
        <w:t>ME</w:t>
      </w:r>
      <w:r w:rsidRPr="005D062F">
        <w:rPr>
          <w:rFonts w:ascii="Times New Roman" w:hAnsi="Times New Roman" w:cs="Times New Roman"/>
          <w:b/>
          <w:bCs/>
          <w:sz w:val="22"/>
          <w:szCs w:val="22"/>
          <w:lang w:val="fr-FR"/>
        </w:rPr>
        <w:t xml:space="preserve"> III</w:t>
      </w:r>
    </w:p>
    <w:p w14:paraId="484205F1" w14:textId="2EB35387" w:rsidR="00915887" w:rsidRPr="005D062F" w:rsidRDefault="006E05BC" w:rsidP="00CB030B">
      <w:pPr>
        <w:ind w:left="720"/>
        <w:jc w:val="both"/>
        <w:rPr>
          <w:rFonts w:ascii="Times New Roman" w:eastAsia="MS PGothic" w:hAnsi="Times New Roman" w:cs="Times New Roman"/>
          <w:b/>
          <w:bCs/>
          <w:color w:val="000000"/>
          <w:kern w:val="24"/>
          <w:sz w:val="22"/>
          <w:szCs w:val="22"/>
          <w:lang w:val="fr-FR"/>
        </w:rPr>
      </w:pPr>
      <w:r w:rsidRPr="005D062F">
        <w:rPr>
          <w:rFonts w:ascii="Times New Roman" w:eastAsia="MS PGothic" w:hAnsi="Times New Roman" w:cs="Times New Roman"/>
          <w:b/>
          <w:bCs/>
          <w:color w:val="000000"/>
          <w:kern w:val="24"/>
          <w:sz w:val="22"/>
          <w:szCs w:val="22"/>
          <w:lang w:val="fr-FR"/>
        </w:rPr>
        <w:t>Prise en charge intégrale de la petite enfance </w:t>
      </w:r>
      <w:r w:rsidR="005C50A2" w:rsidRPr="005D062F">
        <w:rPr>
          <w:rFonts w:ascii="Times New Roman" w:eastAsia="MS PGothic" w:hAnsi="Times New Roman" w:cs="Times New Roman"/>
          <w:b/>
          <w:bCs/>
          <w:color w:val="000000"/>
          <w:kern w:val="24"/>
          <w:sz w:val="22"/>
          <w:szCs w:val="22"/>
          <w:lang w:val="fr-FR"/>
        </w:rPr>
        <w:t xml:space="preserve">: </w:t>
      </w:r>
      <w:r w:rsidR="00915887" w:rsidRPr="005D062F">
        <w:rPr>
          <w:rFonts w:ascii="Times New Roman" w:eastAsia="MS PGothic" w:hAnsi="Times New Roman" w:cs="Times New Roman"/>
          <w:b/>
          <w:bCs/>
          <w:color w:val="000000"/>
          <w:kern w:val="24"/>
          <w:sz w:val="22"/>
          <w:szCs w:val="22"/>
          <w:lang w:val="fr-FR"/>
        </w:rPr>
        <w:t>Bahamas, Honduras, Pana</w:t>
      </w:r>
      <w:r w:rsidR="005C50A2" w:rsidRPr="005D062F">
        <w:rPr>
          <w:rFonts w:ascii="Times New Roman" w:eastAsia="MS PGothic" w:hAnsi="Times New Roman" w:cs="Times New Roman"/>
          <w:b/>
          <w:bCs/>
          <w:color w:val="000000"/>
          <w:kern w:val="24"/>
          <w:sz w:val="22"/>
          <w:szCs w:val="22"/>
          <w:lang w:val="fr-FR"/>
        </w:rPr>
        <w:t>ma, Sainte-Lucie</w:t>
      </w:r>
      <w:r w:rsidR="00915887" w:rsidRPr="005D062F">
        <w:rPr>
          <w:rFonts w:ascii="Times New Roman" w:eastAsia="MS PGothic" w:hAnsi="Times New Roman" w:cs="Times New Roman"/>
          <w:b/>
          <w:bCs/>
          <w:color w:val="000000"/>
          <w:kern w:val="24"/>
          <w:sz w:val="22"/>
          <w:szCs w:val="22"/>
          <w:lang w:val="fr-FR"/>
        </w:rPr>
        <w:t>, S</w:t>
      </w:r>
      <w:r w:rsidR="005C50A2" w:rsidRPr="005D062F">
        <w:rPr>
          <w:rFonts w:ascii="Times New Roman" w:eastAsia="MS PGothic" w:hAnsi="Times New Roman" w:cs="Times New Roman"/>
          <w:b/>
          <w:bCs/>
          <w:color w:val="000000"/>
          <w:kern w:val="24"/>
          <w:sz w:val="22"/>
          <w:szCs w:val="22"/>
          <w:lang w:val="fr-FR"/>
        </w:rPr>
        <w:t>aint-Vincent-et-</w:t>
      </w:r>
      <w:r w:rsidR="00915887" w:rsidRPr="005D062F">
        <w:rPr>
          <w:rFonts w:ascii="Times New Roman" w:eastAsia="MS PGothic" w:hAnsi="Times New Roman" w:cs="Times New Roman"/>
          <w:b/>
          <w:bCs/>
          <w:color w:val="000000"/>
          <w:kern w:val="24"/>
          <w:sz w:val="22"/>
          <w:szCs w:val="22"/>
          <w:lang w:val="fr-FR"/>
        </w:rPr>
        <w:t>Grenadines, Uruguay</w:t>
      </w:r>
    </w:p>
    <w:p w14:paraId="0CB00A58" w14:textId="58898C7D" w:rsidR="00543D52" w:rsidRPr="005D062F" w:rsidRDefault="00543D52" w:rsidP="00CB030B">
      <w:pPr>
        <w:jc w:val="both"/>
        <w:rPr>
          <w:rFonts w:ascii="Times New Roman" w:eastAsia="MS PGothic" w:hAnsi="Times New Roman" w:cs="Times New Roman"/>
          <w:i/>
          <w:iCs/>
          <w:color w:val="000000"/>
          <w:kern w:val="24"/>
          <w:sz w:val="22"/>
          <w:szCs w:val="22"/>
          <w:lang w:val="fr-FR"/>
        </w:rPr>
      </w:pPr>
    </w:p>
    <w:p w14:paraId="11DAFCAC" w14:textId="7687E699" w:rsidR="00543D52" w:rsidRPr="005D062F" w:rsidRDefault="00543D52" w:rsidP="00CB030B">
      <w:pPr>
        <w:ind w:firstLine="720"/>
        <w:rPr>
          <w:rFonts w:ascii="Times New Roman" w:hAnsi="Times New Roman" w:cs="Times New Roman"/>
          <w:b/>
          <w:bCs/>
          <w:sz w:val="22"/>
          <w:szCs w:val="22"/>
          <w:lang w:val="fr-FR"/>
        </w:rPr>
      </w:pPr>
      <w:r w:rsidRPr="005D062F">
        <w:rPr>
          <w:rFonts w:ascii="Times New Roman" w:hAnsi="Times New Roman" w:cs="Times New Roman"/>
          <w:b/>
          <w:bCs/>
          <w:sz w:val="22"/>
          <w:szCs w:val="22"/>
          <w:lang w:val="fr-FR"/>
        </w:rPr>
        <w:t>Bahamas</w:t>
      </w:r>
      <w:r w:rsidR="005C50A2" w:rsidRPr="005D062F">
        <w:rPr>
          <w:rFonts w:ascii="Times New Roman" w:hAnsi="Times New Roman" w:cs="Times New Roman"/>
          <w:b/>
          <w:bCs/>
          <w:sz w:val="22"/>
          <w:szCs w:val="22"/>
          <w:lang w:val="fr-FR"/>
        </w:rPr>
        <w:t> </w:t>
      </w:r>
      <w:r w:rsidRPr="005D062F">
        <w:rPr>
          <w:rFonts w:ascii="Times New Roman" w:hAnsi="Times New Roman" w:cs="Times New Roman"/>
          <w:b/>
          <w:bCs/>
          <w:sz w:val="22"/>
          <w:szCs w:val="22"/>
          <w:lang w:val="fr-FR"/>
        </w:rPr>
        <w:t xml:space="preserve">: </w:t>
      </w:r>
      <w:r w:rsidR="005C50A2" w:rsidRPr="005D062F">
        <w:rPr>
          <w:rFonts w:ascii="Times New Roman" w:hAnsi="Times New Roman" w:cs="Times New Roman"/>
          <w:b/>
          <w:bCs/>
          <w:sz w:val="22"/>
          <w:szCs w:val="22"/>
          <w:lang w:val="fr-FR"/>
        </w:rPr>
        <w:t>Projet « </w:t>
      </w:r>
      <w:r w:rsidRPr="005D062F">
        <w:rPr>
          <w:rFonts w:ascii="Times New Roman" w:hAnsi="Times New Roman" w:cs="Times New Roman"/>
          <w:b/>
          <w:bCs/>
          <w:sz w:val="22"/>
          <w:szCs w:val="22"/>
          <w:lang w:val="fr-FR"/>
        </w:rPr>
        <w:t>Early Start</w:t>
      </w:r>
      <w:r w:rsidR="005C50A2" w:rsidRPr="005D062F">
        <w:rPr>
          <w:rFonts w:ascii="Times New Roman" w:hAnsi="Times New Roman" w:cs="Times New Roman"/>
          <w:b/>
          <w:bCs/>
          <w:sz w:val="22"/>
          <w:szCs w:val="22"/>
          <w:lang w:val="fr-FR"/>
        </w:rPr>
        <w:t> » des Bahamas (Accès précoce à l’éducation)</w:t>
      </w:r>
    </w:p>
    <w:p w14:paraId="191C1F24" w14:textId="44164A01" w:rsidR="00543D52" w:rsidRPr="005D062F" w:rsidRDefault="00761F20" w:rsidP="006E7478">
      <w:pPr>
        <w:pStyle w:val="ListParagraph"/>
        <w:numPr>
          <w:ilvl w:val="0"/>
          <w:numId w:val="35"/>
        </w:numPr>
        <w:ind w:left="1440" w:hanging="720"/>
        <w:contextualSpacing/>
        <w:jc w:val="both"/>
        <w:rPr>
          <w:sz w:val="22"/>
          <w:szCs w:val="22"/>
          <w:lang w:val="fr-FR"/>
        </w:rPr>
      </w:pPr>
      <w:r w:rsidRPr="005D062F">
        <w:rPr>
          <w:sz w:val="22"/>
          <w:szCs w:val="22"/>
          <w:lang w:val="fr-FR"/>
        </w:rPr>
        <w:t xml:space="preserve">Élaboration d’une version révisée du </w:t>
      </w:r>
      <w:r w:rsidR="00335CC1" w:rsidRPr="005D062F">
        <w:rPr>
          <w:sz w:val="22"/>
          <w:szCs w:val="22"/>
          <w:lang w:val="fr-FR"/>
        </w:rPr>
        <w:t xml:space="preserve">programme préscolaire avec la contribution de plus </w:t>
      </w:r>
      <w:r w:rsidR="006E7478">
        <w:rPr>
          <w:sz w:val="22"/>
          <w:szCs w:val="22"/>
          <w:lang w:val="fr-FR"/>
        </w:rPr>
        <w:t xml:space="preserve">de </w:t>
      </w:r>
      <w:r w:rsidR="008B35D9" w:rsidRPr="005D062F">
        <w:rPr>
          <w:sz w:val="22"/>
          <w:szCs w:val="22"/>
          <w:lang w:val="fr-FR"/>
        </w:rPr>
        <w:t xml:space="preserve">245 agents ayant la charge d’enfants, </w:t>
      </w:r>
      <w:r w:rsidR="00335CC1" w:rsidRPr="005D062F">
        <w:rPr>
          <w:sz w:val="22"/>
          <w:szCs w:val="22"/>
          <w:lang w:val="fr-FR"/>
        </w:rPr>
        <w:t>enseignants</w:t>
      </w:r>
      <w:r w:rsidR="008B35D9" w:rsidRPr="005D062F">
        <w:rPr>
          <w:sz w:val="22"/>
          <w:szCs w:val="22"/>
          <w:lang w:val="fr-FR"/>
        </w:rPr>
        <w:t xml:space="preserve"> et aides-enseignants</w:t>
      </w:r>
      <w:r w:rsidR="00543D52" w:rsidRPr="005D062F">
        <w:rPr>
          <w:sz w:val="22"/>
          <w:szCs w:val="22"/>
          <w:lang w:val="fr-FR"/>
        </w:rPr>
        <w:t xml:space="preserve"> </w:t>
      </w:r>
      <w:r w:rsidR="00335CC1" w:rsidRPr="005D062F">
        <w:rPr>
          <w:sz w:val="22"/>
          <w:szCs w:val="22"/>
          <w:lang w:val="fr-FR"/>
        </w:rPr>
        <w:t>des écoles primaires publiques et privé</w:t>
      </w:r>
      <w:r w:rsidR="00543D52" w:rsidRPr="005D062F">
        <w:rPr>
          <w:sz w:val="22"/>
          <w:szCs w:val="22"/>
          <w:lang w:val="fr-FR"/>
        </w:rPr>
        <w:t>e</w:t>
      </w:r>
      <w:r w:rsidR="00335CC1" w:rsidRPr="005D062F">
        <w:rPr>
          <w:sz w:val="22"/>
          <w:szCs w:val="22"/>
          <w:lang w:val="fr-FR"/>
        </w:rPr>
        <w:t>s</w:t>
      </w:r>
      <w:r w:rsidR="00BB659A" w:rsidRPr="005D062F">
        <w:rPr>
          <w:sz w:val="22"/>
          <w:szCs w:val="22"/>
          <w:lang w:val="fr-FR"/>
        </w:rPr>
        <w:t>.</w:t>
      </w:r>
    </w:p>
    <w:p w14:paraId="66E35495" w14:textId="6954B29C" w:rsidR="00543D52" w:rsidRDefault="00BB659A" w:rsidP="006E7478">
      <w:pPr>
        <w:pStyle w:val="ListParagraph"/>
        <w:numPr>
          <w:ilvl w:val="0"/>
          <w:numId w:val="35"/>
        </w:numPr>
        <w:ind w:left="1440" w:hanging="720"/>
        <w:contextualSpacing/>
        <w:jc w:val="both"/>
        <w:rPr>
          <w:sz w:val="22"/>
          <w:szCs w:val="22"/>
          <w:lang w:val="fr-FR"/>
        </w:rPr>
      </w:pPr>
      <w:r w:rsidRPr="005D062F">
        <w:rPr>
          <w:sz w:val="22"/>
          <w:szCs w:val="22"/>
          <w:lang w:val="fr-FR"/>
        </w:rPr>
        <w:t>Familiari</w:t>
      </w:r>
      <w:r w:rsidR="008B35D9" w:rsidRPr="005D062F">
        <w:rPr>
          <w:sz w:val="22"/>
          <w:szCs w:val="22"/>
          <w:lang w:val="fr-FR"/>
        </w:rPr>
        <w:t xml:space="preserve">sation et formation des parties prenantes de la petite enfance, directeurs, agents ayant la charge d’enfants, enseignants, aides-enseignants et </w:t>
      </w:r>
      <w:r w:rsidR="00543D52" w:rsidRPr="005D062F">
        <w:rPr>
          <w:sz w:val="22"/>
          <w:szCs w:val="22"/>
          <w:lang w:val="fr-FR"/>
        </w:rPr>
        <w:t xml:space="preserve">parents </w:t>
      </w:r>
      <w:r w:rsidR="008B35D9" w:rsidRPr="005D062F">
        <w:rPr>
          <w:sz w:val="22"/>
          <w:szCs w:val="22"/>
          <w:lang w:val="fr-FR"/>
        </w:rPr>
        <w:t xml:space="preserve">aux pratiques adaptées en matière d’enseignement et de soins aux jeunes enfants. </w:t>
      </w:r>
      <w:r w:rsidR="00CF18F1" w:rsidRPr="005D062F">
        <w:rPr>
          <w:sz w:val="22"/>
          <w:szCs w:val="22"/>
          <w:lang w:val="fr-FR"/>
        </w:rPr>
        <w:t>Dans un souci de pérennité</w:t>
      </w:r>
      <w:r w:rsidR="00F357C2" w:rsidRPr="005D062F">
        <w:rPr>
          <w:sz w:val="22"/>
          <w:szCs w:val="22"/>
          <w:lang w:val="fr-FR"/>
        </w:rPr>
        <w:t xml:space="preserve">, </w:t>
      </w:r>
      <w:r w:rsidR="008E7A13" w:rsidRPr="005D062F">
        <w:rPr>
          <w:sz w:val="22"/>
          <w:szCs w:val="22"/>
          <w:lang w:val="fr-FR"/>
        </w:rPr>
        <w:t>le cycle d’élaboration des programmes du ministère de l’éducation a été instit</w:t>
      </w:r>
      <w:r w:rsidR="00445C43" w:rsidRPr="005D062F">
        <w:rPr>
          <w:sz w:val="22"/>
          <w:szCs w:val="22"/>
          <w:lang w:val="fr-FR"/>
        </w:rPr>
        <w:t xml:space="preserve">ué pour garantir la révision </w:t>
      </w:r>
      <w:r w:rsidR="008E7A13" w:rsidRPr="005D062F">
        <w:rPr>
          <w:sz w:val="22"/>
          <w:szCs w:val="22"/>
          <w:lang w:val="fr-FR"/>
        </w:rPr>
        <w:t>tous</w:t>
      </w:r>
      <w:r w:rsidR="00445C43" w:rsidRPr="005D062F">
        <w:rPr>
          <w:sz w:val="22"/>
          <w:szCs w:val="22"/>
          <w:lang w:val="fr-FR"/>
        </w:rPr>
        <w:t xml:space="preserve"> les cinq ans de l’ensemble d</w:t>
      </w:r>
      <w:r w:rsidR="008E7A13" w:rsidRPr="005D062F">
        <w:rPr>
          <w:sz w:val="22"/>
          <w:szCs w:val="22"/>
          <w:lang w:val="fr-FR"/>
        </w:rPr>
        <w:t xml:space="preserve">es documents </w:t>
      </w:r>
      <w:r w:rsidR="00445C43" w:rsidRPr="005D062F">
        <w:rPr>
          <w:sz w:val="22"/>
          <w:szCs w:val="22"/>
          <w:lang w:val="fr-FR"/>
        </w:rPr>
        <w:t>relatifs aux</w:t>
      </w:r>
      <w:r w:rsidR="008E7A13" w:rsidRPr="005D062F">
        <w:rPr>
          <w:sz w:val="22"/>
          <w:szCs w:val="22"/>
          <w:lang w:val="fr-FR"/>
        </w:rPr>
        <w:t xml:space="preserve"> programmes</w:t>
      </w:r>
      <w:r w:rsidR="00543D52" w:rsidRPr="005D062F">
        <w:rPr>
          <w:sz w:val="22"/>
          <w:szCs w:val="22"/>
          <w:lang w:val="fr-FR"/>
        </w:rPr>
        <w:t>.</w:t>
      </w:r>
    </w:p>
    <w:p w14:paraId="7154F84A" w14:textId="39BE7DBF" w:rsidR="00E06CD3" w:rsidRDefault="00E06CD3" w:rsidP="00E06CD3">
      <w:pPr>
        <w:contextualSpacing/>
        <w:jc w:val="both"/>
        <w:rPr>
          <w:sz w:val="22"/>
          <w:szCs w:val="22"/>
          <w:lang w:val="fr-FR"/>
        </w:rPr>
      </w:pPr>
    </w:p>
    <w:p w14:paraId="5BEAE7FE" w14:textId="77777777" w:rsidR="00E06CD3" w:rsidRPr="00E06CD3" w:rsidRDefault="00E06CD3" w:rsidP="00E06CD3">
      <w:pPr>
        <w:contextualSpacing/>
        <w:jc w:val="both"/>
        <w:rPr>
          <w:sz w:val="22"/>
          <w:szCs w:val="22"/>
          <w:lang w:val="fr-FR"/>
        </w:rPr>
      </w:pPr>
    </w:p>
    <w:p w14:paraId="3A30D449" w14:textId="77777777" w:rsidR="00543D52" w:rsidRPr="006E7478" w:rsidRDefault="00543D52" w:rsidP="00CB030B">
      <w:pPr>
        <w:rPr>
          <w:rFonts w:ascii="Times New Roman" w:hAnsi="Times New Roman" w:cs="Times New Roman"/>
          <w:sz w:val="22"/>
          <w:szCs w:val="22"/>
          <w:lang w:val="fr-FR"/>
        </w:rPr>
      </w:pPr>
    </w:p>
    <w:p w14:paraId="7E4CCD88" w14:textId="2D694860" w:rsidR="00543D52" w:rsidRPr="005D062F" w:rsidRDefault="00543D52" w:rsidP="00CB030B">
      <w:pPr>
        <w:ind w:firstLine="720"/>
        <w:rPr>
          <w:rFonts w:ascii="Times New Roman" w:hAnsi="Times New Roman" w:cs="Times New Roman"/>
          <w:b/>
          <w:bCs/>
          <w:sz w:val="22"/>
          <w:szCs w:val="22"/>
          <w:lang w:val="fr-FR"/>
        </w:rPr>
      </w:pPr>
      <w:r w:rsidRPr="005D062F">
        <w:rPr>
          <w:rFonts w:ascii="Times New Roman" w:hAnsi="Times New Roman" w:cs="Times New Roman"/>
          <w:b/>
          <w:bCs/>
          <w:sz w:val="22"/>
          <w:szCs w:val="22"/>
          <w:lang w:val="fr-FR"/>
        </w:rPr>
        <w:t>Honduras</w:t>
      </w:r>
      <w:r w:rsidR="005C50A2" w:rsidRPr="005D062F">
        <w:rPr>
          <w:rFonts w:ascii="Times New Roman" w:hAnsi="Times New Roman" w:cs="Times New Roman"/>
          <w:b/>
          <w:bCs/>
          <w:sz w:val="22"/>
          <w:szCs w:val="22"/>
          <w:lang w:val="fr-FR"/>
        </w:rPr>
        <w:t> </w:t>
      </w:r>
      <w:r w:rsidRPr="005D062F">
        <w:rPr>
          <w:rFonts w:ascii="Times New Roman" w:hAnsi="Times New Roman" w:cs="Times New Roman"/>
          <w:b/>
          <w:bCs/>
          <w:sz w:val="22"/>
          <w:szCs w:val="22"/>
          <w:lang w:val="fr-FR"/>
        </w:rPr>
        <w:t xml:space="preserve">: </w:t>
      </w:r>
      <w:r w:rsidR="005C50A2" w:rsidRPr="005D062F">
        <w:rPr>
          <w:rFonts w:ascii="Times New Roman" w:hAnsi="Times New Roman" w:cs="Times New Roman"/>
          <w:b/>
          <w:bCs/>
          <w:sz w:val="22"/>
          <w:szCs w:val="22"/>
          <w:lang w:val="fr-FR"/>
        </w:rPr>
        <w:t>Pères et mères élevant leurs enfants avec amour</w:t>
      </w:r>
    </w:p>
    <w:p w14:paraId="763CE516" w14:textId="346A7C8A" w:rsidR="00F357C2" w:rsidRPr="005D062F" w:rsidRDefault="00BD1795" w:rsidP="006E7478">
      <w:pPr>
        <w:pStyle w:val="ListParagraph"/>
        <w:numPr>
          <w:ilvl w:val="0"/>
          <w:numId w:val="35"/>
        </w:numPr>
        <w:ind w:left="1440" w:hanging="720"/>
        <w:contextualSpacing/>
        <w:jc w:val="both"/>
        <w:rPr>
          <w:sz w:val="22"/>
          <w:szCs w:val="22"/>
          <w:lang w:val="fr-FR"/>
        </w:rPr>
      </w:pPr>
      <w:r w:rsidRPr="005D062F">
        <w:rPr>
          <w:sz w:val="22"/>
          <w:szCs w:val="22"/>
          <w:lang w:val="fr-FR"/>
        </w:rPr>
        <w:t>Affinement de la stratégie communautaire « </w:t>
      </w:r>
      <w:r w:rsidRPr="005D062F">
        <w:rPr>
          <w:i/>
          <w:iCs/>
          <w:sz w:val="22"/>
          <w:szCs w:val="22"/>
          <w:lang w:val="fr-FR"/>
        </w:rPr>
        <w:t>Criando con Amor </w:t>
      </w:r>
      <w:r w:rsidRPr="005D062F">
        <w:rPr>
          <w:iCs/>
          <w:sz w:val="22"/>
          <w:szCs w:val="22"/>
          <w:lang w:val="fr-FR"/>
        </w:rPr>
        <w:t>»</w:t>
      </w:r>
      <w:r w:rsidRPr="005D062F">
        <w:rPr>
          <w:i/>
          <w:iCs/>
          <w:sz w:val="22"/>
          <w:szCs w:val="22"/>
          <w:lang w:val="fr-FR"/>
        </w:rPr>
        <w:t xml:space="preserve"> </w:t>
      </w:r>
      <w:r w:rsidR="00351D73" w:rsidRPr="005D062F">
        <w:rPr>
          <w:sz w:val="22"/>
          <w:szCs w:val="22"/>
          <w:lang w:val="fr-FR"/>
        </w:rPr>
        <w:t>actuellement enseignée à 1 </w:t>
      </w:r>
      <w:r w:rsidRPr="005D062F">
        <w:rPr>
          <w:sz w:val="22"/>
          <w:szCs w:val="22"/>
          <w:lang w:val="fr-FR"/>
        </w:rPr>
        <w:t>353 facilitateurs,</w:t>
      </w:r>
      <w:r w:rsidR="008D58EF" w:rsidRPr="005D062F">
        <w:rPr>
          <w:sz w:val="22"/>
          <w:szCs w:val="22"/>
          <w:lang w:val="fr-FR"/>
        </w:rPr>
        <w:t xml:space="preserve"> </w:t>
      </w:r>
      <w:r w:rsidR="00F357C2" w:rsidRPr="005D062F">
        <w:rPr>
          <w:sz w:val="22"/>
          <w:szCs w:val="22"/>
          <w:lang w:val="fr-FR"/>
        </w:rPr>
        <w:t>parents</w:t>
      </w:r>
      <w:r w:rsidR="00351D73" w:rsidRPr="005D062F">
        <w:rPr>
          <w:sz w:val="22"/>
          <w:szCs w:val="22"/>
          <w:lang w:val="fr-FR"/>
        </w:rPr>
        <w:t xml:space="preserve"> et acteu</w:t>
      </w:r>
      <w:r w:rsidR="00F357C2" w:rsidRPr="005D062F">
        <w:rPr>
          <w:sz w:val="22"/>
          <w:szCs w:val="22"/>
          <w:lang w:val="fr-FR"/>
        </w:rPr>
        <w:t>rs</w:t>
      </w:r>
      <w:r w:rsidR="00351D73" w:rsidRPr="005D062F">
        <w:rPr>
          <w:sz w:val="22"/>
          <w:szCs w:val="22"/>
          <w:lang w:val="fr-FR"/>
        </w:rPr>
        <w:t xml:space="preserve"> communautaires </w:t>
      </w:r>
      <w:r w:rsidR="00761F20" w:rsidRPr="005D062F">
        <w:rPr>
          <w:sz w:val="22"/>
          <w:szCs w:val="22"/>
          <w:lang w:val="fr-FR"/>
        </w:rPr>
        <w:t>en vue, d’une part,</w:t>
      </w:r>
      <w:r w:rsidR="00351D73" w:rsidRPr="005D062F">
        <w:rPr>
          <w:sz w:val="22"/>
          <w:szCs w:val="22"/>
          <w:lang w:val="fr-FR"/>
        </w:rPr>
        <w:t xml:space="preserve"> </w:t>
      </w:r>
      <w:r w:rsidR="00761F20" w:rsidRPr="005D062F">
        <w:rPr>
          <w:sz w:val="22"/>
          <w:szCs w:val="22"/>
          <w:lang w:val="fr-FR"/>
        </w:rPr>
        <w:t xml:space="preserve">de </w:t>
      </w:r>
      <w:r w:rsidRPr="005D062F">
        <w:rPr>
          <w:sz w:val="22"/>
          <w:szCs w:val="22"/>
          <w:lang w:val="fr-FR"/>
        </w:rPr>
        <w:t xml:space="preserve">les sensibiliser à </w:t>
      </w:r>
      <w:r w:rsidR="006E7478">
        <w:rPr>
          <w:sz w:val="22"/>
          <w:szCs w:val="22"/>
          <w:lang w:val="fr-FR"/>
        </w:rPr>
        <w:t>14</w:t>
      </w:r>
      <w:r w:rsidRPr="005D062F">
        <w:rPr>
          <w:sz w:val="22"/>
          <w:szCs w:val="22"/>
          <w:lang w:val="fr-FR"/>
        </w:rPr>
        <w:t xml:space="preserve"> changements de comportement conçus pour optimiser le développement social et physique de l’enfant et</w:t>
      </w:r>
      <w:r w:rsidR="00761F20" w:rsidRPr="005D062F">
        <w:rPr>
          <w:sz w:val="22"/>
          <w:szCs w:val="22"/>
          <w:lang w:val="fr-FR"/>
        </w:rPr>
        <w:t>, d’autre part,</w:t>
      </w:r>
      <w:r w:rsidRPr="005D062F">
        <w:rPr>
          <w:sz w:val="22"/>
          <w:szCs w:val="22"/>
          <w:lang w:val="fr-FR"/>
        </w:rPr>
        <w:t xml:space="preserve"> </w:t>
      </w:r>
      <w:r w:rsidR="00761F20" w:rsidRPr="005D062F">
        <w:rPr>
          <w:sz w:val="22"/>
          <w:szCs w:val="22"/>
          <w:lang w:val="fr-FR"/>
        </w:rPr>
        <w:t xml:space="preserve">de </w:t>
      </w:r>
      <w:r w:rsidR="00351D73" w:rsidRPr="005D062F">
        <w:rPr>
          <w:sz w:val="22"/>
          <w:szCs w:val="22"/>
          <w:lang w:val="fr-FR"/>
        </w:rPr>
        <w:t>promouvoir le</w:t>
      </w:r>
      <w:r w:rsidRPr="005D062F">
        <w:rPr>
          <w:sz w:val="22"/>
          <w:szCs w:val="22"/>
          <w:lang w:val="fr-FR"/>
        </w:rPr>
        <w:t>s</w:t>
      </w:r>
      <w:r w:rsidR="00351D73" w:rsidRPr="005D062F">
        <w:rPr>
          <w:sz w:val="22"/>
          <w:szCs w:val="22"/>
          <w:lang w:val="fr-FR"/>
        </w:rPr>
        <w:t xml:space="preserve"> stratégies de </w:t>
      </w:r>
      <w:r w:rsidRPr="005D062F">
        <w:rPr>
          <w:sz w:val="22"/>
          <w:szCs w:val="22"/>
          <w:lang w:val="fr-FR"/>
        </w:rPr>
        <w:t>mise en œuvre correspondantes</w:t>
      </w:r>
      <w:r w:rsidR="00F357C2" w:rsidRPr="005D062F">
        <w:rPr>
          <w:sz w:val="22"/>
          <w:szCs w:val="22"/>
          <w:lang w:val="fr-FR"/>
        </w:rPr>
        <w:t>.</w:t>
      </w:r>
    </w:p>
    <w:p w14:paraId="32F8EC56" w14:textId="77777777" w:rsidR="00EE3694" w:rsidRPr="005D062F" w:rsidRDefault="00EE3694" w:rsidP="00723DAD">
      <w:pPr>
        <w:jc w:val="both"/>
        <w:rPr>
          <w:rFonts w:ascii="Times New Roman" w:hAnsi="Times New Roman" w:cs="Times New Roman"/>
          <w:sz w:val="22"/>
          <w:szCs w:val="22"/>
          <w:lang w:val="fr-FR"/>
        </w:rPr>
      </w:pPr>
    </w:p>
    <w:p w14:paraId="2D2433FB" w14:textId="4216BF1B" w:rsidR="00682B03" w:rsidRPr="005D062F" w:rsidRDefault="00543D52" w:rsidP="006E7478">
      <w:pPr>
        <w:pStyle w:val="Default"/>
        <w:ind w:left="720"/>
        <w:jc w:val="both"/>
        <w:rPr>
          <w:sz w:val="22"/>
          <w:szCs w:val="22"/>
        </w:rPr>
      </w:pPr>
      <w:r w:rsidRPr="005D062F">
        <w:rPr>
          <w:b/>
          <w:bCs/>
          <w:sz w:val="22"/>
          <w:szCs w:val="22"/>
        </w:rPr>
        <w:t>Panama</w:t>
      </w:r>
      <w:r w:rsidR="00682B03" w:rsidRPr="005D062F">
        <w:rPr>
          <w:b/>
          <w:bCs/>
          <w:sz w:val="22"/>
          <w:szCs w:val="22"/>
        </w:rPr>
        <w:t> </w:t>
      </w:r>
      <w:r w:rsidRPr="005D062F">
        <w:rPr>
          <w:b/>
          <w:bCs/>
          <w:sz w:val="22"/>
          <w:szCs w:val="22"/>
        </w:rPr>
        <w:t>:</w:t>
      </w:r>
      <w:r w:rsidRPr="005D062F">
        <w:rPr>
          <w:rFonts w:eastAsia="MS PGothic"/>
          <w:b/>
          <w:bCs/>
          <w:i/>
          <w:iCs/>
          <w:color w:val="000000" w:themeColor="text1"/>
          <w:kern w:val="24"/>
          <w:sz w:val="22"/>
          <w:szCs w:val="22"/>
          <w:lang w:eastAsia="es-CO"/>
        </w:rPr>
        <w:t xml:space="preserve"> </w:t>
      </w:r>
      <w:r w:rsidR="00682B03" w:rsidRPr="005D062F">
        <w:rPr>
          <w:b/>
          <w:bCs/>
          <w:sz w:val="22"/>
          <w:szCs w:val="22"/>
        </w:rPr>
        <w:t xml:space="preserve">L’éducation de la petite enfance importe parce qu’il faut commencer par le début </w:t>
      </w:r>
    </w:p>
    <w:p w14:paraId="1074910A" w14:textId="454D4C1D" w:rsidR="00543D52" w:rsidRPr="005D062F" w:rsidRDefault="00543D52" w:rsidP="00723DAD">
      <w:pPr>
        <w:jc w:val="both"/>
        <w:rPr>
          <w:rFonts w:ascii="Times New Roman" w:eastAsia="Calibri" w:hAnsi="Times New Roman" w:cs="Times New Roman"/>
          <w:color w:val="000000" w:themeColor="text1"/>
          <w:sz w:val="22"/>
          <w:szCs w:val="22"/>
          <w:lang w:val="fr-FR"/>
        </w:rPr>
      </w:pPr>
    </w:p>
    <w:p w14:paraId="62ECF4A3" w14:textId="1D1C9EC4" w:rsidR="00543D52" w:rsidRPr="005D062F" w:rsidRDefault="00034C00" w:rsidP="006E7478">
      <w:pPr>
        <w:pStyle w:val="ListParagraph"/>
        <w:numPr>
          <w:ilvl w:val="0"/>
          <w:numId w:val="35"/>
        </w:numPr>
        <w:ind w:left="1440" w:hanging="720"/>
        <w:contextualSpacing/>
        <w:jc w:val="both"/>
        <w:rPr>
          <w:sz w:val="22"/>
          <w:szCs w:val="22"/>
          <w:lang w:val="fr-FR"/>
        </w:rPr>
      </w:pPr>
      <w:r w:rsidRPr="005D062F">
        <w:rPr>
          <w:sz w:val="22"/>
          <w:szCs w:val="22"/>
          <w:lang w:val="fr-FR"/>
        </w:rPr>
        <w:t>Élaboration d’un plan intersectorie</w:t>
      </w:r>
      <w:r w:rsidR="00543D52" w:rsidRPr="005D062F">
        <w:rPr>
          <w:sz w:val="22"/>
          <w:szCs w:val="22"/>
          <w:lang w:val="fr-FR"/>
        </w:rPr>
        <w:t>l</w:t>
      </w:r>
      <w:r w:rsidRPr="005D062F">
        <w:rPr>
          <w:sz w:val="22"/>
          <w:szCs w:val="22"/>
          <w:lang w:val="fr-FR"/>
        </w:rPr>
        <w:t xml:space="preserve"> d’assistance et de soutien t</w:t>
      </w:r>
      <w:r w:rsidR="00543D52" w:rsidRPr="005D062F">
        <w:rPr>
          <w:sz w:val="22"/>
          <w:szCs w:val="22"/>
          <w:lang w:val="fr-FR"/>
        </w:rPr>
        <w:t>echni</w:t>
      </w:r>
      <w:r w:rsidRPr="005D062F">
        <w:rPr>
          <w:sz w:val="22"/>
          <w:szCs w:val="22"/>
          <w:lang w:val="fr-FR"/>
        </w:rPr>
        <w:t>ques</w:t>
      </w:r>
      <w:r w:rsidR="005141C6" w:rsidRPr="005D062F">
        <w:rPr>
          <w:sz w:val="22"/>
          <w:szCs w:val="22"/>
          <w:lang w:val="fr-FR"/>
        </w:rPr>
        <w:t>.</w:t>
      </w:r>
    </w:p>
    <w:p w14:paraId="1D3E4F00" w14:textId="26B62436" w:rsidR="00074265" w:rsidRPr="005D062F" w:rsidRDefault="00034C00" w:rsidP="006E7478">
      <w:pPr>
        <w:pStyle w:val="ListParagraph"/>
        <w:numPr>
          <w:ilvl w:val="0"/>
          <w:numId w:val="35"/>
        </w:numPr>
        <w:ind w:left="1440" w:hanging="720"/>
        <w:contextualSpacing/>
        <w:jc w:val="both"/>
        <w:rPr>
          <w:sz w:val="22"/>
          <w:szCs w:val="22"/>
          <w:lang w:val="fr-FR"/>
        </w:rPr>
      </w:pPr>
      <w:r w:rsidRPr="005D062F">
        <w:rPr>
          <w:sz w:val="22"/>
          <w:szCs w:val="22"/>
          <w:lang w:val="fr-FR"/>
        </w:rPr>
        <w:t xml:space="preserve">Organisation de 30 ateliers à vocation familiale dans les centres éducatifs de l’Institut panaméen de formation, Retorno et </w:t>
      </w:r>
      <w:r w:rsidR="00074265" w:rsidRPr="005D062F">
        <w:rPr>
          <w:sz w:val="22"/>
          <w:szCs w:val="22"/>
          <w:lang w:val="fr-FR"/>
        </w:rPr>
        <w:t>San Juan Bosco.</w:t>
      </w:r>
    </w:p>
    <w:p w14:paraId="53B79B4A" w14:textId="155C4934" w:rsidR="00EE3694" w:rsidRPr="005D062F" w:rsidRDefault="00034C00" w:rsidP="006E7478">
      <w:pPr>
        <w:pStyle w:val="ListParagraph"/>
        <w:numPr>
          <w:ilvl w:val="0"/>
          <w:numId w:val="35"/>
        </w:numPr>
        <w:ind w:left="1440" w:hanging="720"/>
        <w:contextualSpacing/>
        <w:jc w:val="both"/>
        <w:rPr>
          <w:sz w:val="22"/>
          <w:szCs w:val="22"/>
          <w:lang w:val="fr-FR"/>
        </w:rPr>
      </w:pPr>
      <w:r w:rsidRPr="005D062F">
        <w:rPr>
          <w:sz w:val="22"/>
          <w:szCs w:val="22"/>
          <w:lang w:val="fr-FR"/>
        </w:rPr>
        <w:t xml:space="preserve">Définition en cours d’une stratégie visant à transformer les approches </w:t>
      </w:r>
      <w:r w:rsidR="00CF18F1" w:rsidRPr="005D062F">
        <w:rPr>
          <w:sz w:val="22"/>
          <w:szCs w:val="22"/>
          <w:lang w:val="fr-FR"/>
        </w:rPr>
        <w:t>pédagogiques</w:t>
      </w:r>
      <w:r w:rsidR="0016123B" w:rsidRPr="005D062F">
        <w:rPr>
          <w:sz w:val="22"/>
          <w:szCs w:val="22"/>
          <w:lang w:val="fr-FR"/>
        </w:rPr>
        <w:t xml:space="preserve"> dans les établissements scolaires d’enseignement spécial</w:t>
      </w:r>
      <w:r w:rsidR="00074265" w:rsidRPr="005D062F">
        <w:rPr>
          <w:sz w:val="22"/>
          <w:szCs w:val="22"/>
          <w:lang w:val="fr-FR"/>
        </w:rPr>
        <w:t>.</w:t>
      </w:r>
    </w:p>
    <w:p w14:paraId="5CA6F4A1" w14:textId="77777777" w:rsidR="00682B03" w:rsidRPr="005D062F" w:rsidRDefault="00682B03" w:rsidP="00723DAD">
      <w:pPr>
        <w:jc w:val="both"/>
        <w:rPr>
          <w:rFonts w:ascii="Times New Roman" w:hAnsi="Times New Roman" w:cs="Times New Roman"/>
          <w:sz w:val="22"/>
          <w:szCs w:val="22"/>
          <w:lang w:val="fr-FR"/>
        </w:rPr>
      </w:pPr>
    </w:p>
    <w:p w14:paraId="302E071B" w14:textId="70D36867" w:rsidR="00682B03" w:rsidRPr="005D062F" w:rsidRDefault="00682B03" w:rsidP="002F6355">
      <w:pPr>
        <w:pStyle w:val="Default"/>
        <w:ind w:left="720"/>
        <w:rPr>
          <w:b/>
          <w:bCs/>
          <w:sz w:val="22"/>
          <w:szCs w:val="22"/>
        </w:rPr>
      </w:pPr>
      <w:r w:rsidRPr="005D062F">
        <w:rPr>
          <w:b/>
          <w:bCs/>
          <w:sz w:val="22"/>
          <w:szCs w:val="22"/>
        </w:rPr>
        <w:t>Sainte-Lucie </w:t>
      </w:r>
      <w:r w:rsidR="00543D52" w:rsidRPr="005D062F">
        <w:rPr>
          <w:b/>
          <w:bCs/>
          <w:sz w:val="22"/>
          <w:szCs w:val="22"/>
        </w:rPr>
        <w:t xml:space="preserve">: </w:t>
      </w:r>
      <w:r w:rsidRPr="005D062F">
        <w:rPr>
          <w:b/>
          <w:bCs/>
          <w:sz w:val="22"/>
          <w:szCs w:val="22"/>
        </w:rPr>
        <w:t xml:space="preserve">Progresser vers un secteur de la prise en charge de la petite enfance dont la qualité est mieux assurée </w:t>
      </w:r>
    </w:p>
    <w:p w14:paraId="45CD554D" w14:textId="3D6608D8" w:rsidR="00543D52" w:rsidRPr="005D062F" w:rsidRDefault="00543D52" w:rsidP="00723DAD">
      <w:pPr>
        <w:jc w:val="both"/>
        <w:rPr>
          <w:rFonts w:ascii="Times New Roman" w:eastAsia="Calibri" w:hAnsi="Times New Roman" w:cs="Times New Roman"/>
          <w:color w:val="000000" w:themeColor="text1"/>
          <w:sz w:val="22"/>
          <w:szCs w:val="22"/>
          <w:lang w:val="fr-FR"/>
        </w:rPr>
      </w:pPr>
    </w:p>
    <w:p w14:paraId="6C18B38D" w14:textId="32A9A869" w:rsidR="00BD78E0" w:rsidRPr="005D062F" w:rsidRDefault="004F38CD" w:rsidP="006E7478">
      <w:pPr>
        <w:pStyle w:val="ListParagraph"/>
        <w:numPr>
          <w:ilvl w:val="0"/>
          <w:numId w:val="35"/>
        </w:numPr>
        <w:ind w:left="1440" w:hanging="720"/>
        <w:contextualSpacing/>
        <w:jc w:val="both"/>
        <w:rPr>
          <w:sz w:val="22"/>
          <w:szCs w:val="22"/>
          <w:lang w:val="fr-FR"/>
        </w:rPr>
      </w:pPr>
      <w:r w:rsidRPr="005D062F">
        <w:rPr>
          <w:sz w:val="22"/>
          <w:szCs w:val="22"/>
          <w:lang w:val="fr-FR"/>
        </w:rPr>
        <w:t>Présentation d’un premier projet d</w:t>
      </w:r>
      <w:r w:rsidR="00774EE4" w:rsidRPr="005D062F">
        <w:rPr>
          <w:sz w:val="22"/>
          <w:szCs w:val="22"/>
          <w:lang w:val="fr-FR"/>
        </w:rPr>
        <w:t>’</w:t>
      </w:r>
      <w:r w:rsidR="00774EE4" w:rsidRPr="005D062F">
        <w:rPr>
          <w:b/>
          <w:sz w:val="22"/>
          <w:szCs w:val="22"/>
          <w:lang w:val="fr-FR"/>
        </w:rPr>
        <w:t xml:space="preserve">instrument législatif de Sainte-Lucie </w:t>
      </w:r>
      <w:r w:rsidR="00761F20" w:rsidRPr="005D062F">
        <w:rPr>
          <w:b/>
          <w:sz w:val="22"/>
          <w:szCs w:val="22"/>
          <w:lang w:val="fr-FR"/>
        </w:rPr>
        <w:t>relatif au</w:t>
      </w:r>
      <w:r w:rsidR="00774EE4" w:rsidRPr="005D062F">
        <w:rPr>
          <w:b/>
          <w:sz w:val="22"/>
          <w:szCs w:val="22"/>
          <w:lang w:val="fr-FR"/>
        </w:rPr>
        <w:t xml:space="preserve"> Règlement sur l’éducation </w:t>
      </w:r>
      <w:r w:rsidRPr="005D062F">
        <w:rPr>
          <w:sz w:val="22"/>
          <w:szCs w:val="22"/>
          <w:lang w:val="fr-FR"/>
        </w:rPr>
        <w:t>au Bureau du Procureur général pour approbation</w:t>
      </w:r>
      <w:r w:rsidR="00BD78E0" w:rsidRPr="005D062F">
        <w:rPr>
          <w:sz w:val="22"/>
          <w:szCs w:val="22"/>
          <w:lang w:val="fr-FR"/>
        </w:rPr>
        <w:t>.</w:t>
      </w:r>
    </w:p>
    <w:p w14:paraId="516AEA38" w14:textId="3F1AE036" w:rsidR="00BD78E0" w:rsidRPr="005D062F" w:rsidRDefault="005059DC" w:rsidP="006E7478">
      <w:pPr>
        <w:pStyle w:val="ListParagraph"/>
        <w:numPr>
          <w:ilvl w:val="0"/>
          <w:numId w:val="35"/>
        </w:numPr>
        <w:ind w:left="1440" w:hanging="720"/>
        <w:contextualSpacing/>
        <w:jc w:val="both"/>
        <w:rPr>
          <w:sz w:val="22"/>
          <w:szCs w:val="22"/>
          <w:lang w:val="fr-FR"/>
        </w:rPr>
      </w:pPr>
      <w:r w:rsidRPr="005D062F">
        <w:rPr>
          <w:sz w:val="22"/>
          <w:szCs w:val="22"/>
          <w:lang w:val="fr-FR"/>
        </w:rPr>
        <w:t xml:space="preserve">Évaluation de </w:t>
      </w:r>
      <w:r w:rsidR="00BD78E0" w:rsidRPr="005D062F">
        <w:rPr>
          <w:sz w:val="22"/>
          <w:szCs w:val="22"/>
          <w:lang w:val="fr-FR"/>
        </w:rPr>
        <w:t xml:space="preserve">116 </w:t>
      </w:r>
      <w:r w:rsidRPr="005D062F">
        <w:rPr>
          <w:sz w:val="22"/>
          <w:szCs w:val="22"/>
          <w:lang w:val="fr-FR"/>
        </w:rPr>
        <w:t>centres de la petite enfance </w:t>
      </w:r>
      <w:r w:rsidR="00BD78E0" w:rsidRPr="005D062F">
        <w:rPr>
          <w:sz w:val="22"/>
          <w:szCs w:val="22"/>
          <w:lang w:val="fr-FR"/>
        </w:rPr>
        <w:t xml:space="preserve">; 63 </w:t>
      </w:r>
      <w:r w:rsidRPr="005D062F">
        <w:rPr>
          <w:sz w:val="22"/>
          <w:szCs w:val="22"/>
          <w:lang w:val="fr-FR"/>
        </w:rPr>
        <w:t xml:space="preserve">ont obtenu une </w:t>
      </w:r>
      <w:r w:rsidR="00BD78E0" w:rsidRPr="005D062F">
        <w:rPr>
          <w:sz w:val="22"/>
          <w:szCs w:val="22"/>
          <w:lang w:val="fr-FR"/>
        </w:rPr>
        <w:t xml:space="preserve">certification </w:t>
      </w:r>
      <w:r w:rsidR="007611E3" w:rsidRPr="005D062F">
        <w:rPr>
          <w:sz w:val="22"/>
          <w:szCs w:val="22"/>
          <w:lang w:val="fr-FR"/>
        </w:rPr>
        <w:t>en utilisant la liste de contrôle de l’</w:t>
      </w:r>
      <w:r w:rsidR="00BD78E0" w:rsidRPr="005D062F">
        <w:rPr>
          <w:sz w:val="22"/>
          <w:szCs w:val="22"/>
          <w:lang w:val="fr-FR"/>
        </w:rPr>
        <w:t>OEC</w:t>
      </w:r>
      <w:r w:rsidR="007611E3" w:rsidRPr="005D062F">
        <w:rPr>
          <w:sz w:val="22"/>
          <w:szCs w:val="22"/>
          <w:lang w:val="fr-FR"/>
        </w:rPr>
        <w:t>O</w:t>
      </w:r>
      <w:r w:rsidR="00BD78E0" w:rsidRPr="005D062F">
        <w:rPr>
          <w:sz w:val="22"/>
          <w:szCs w:val="22"/>
          <w:lang w:val="fr-FR"/>
        </w:rPr>
        <w:t xml:space="preserve">. </w:t>
      </w:r>
      <w:r w:rsidRPr="005D062F">
        <w:rPr>
          <w:sz w:val="22"/>
          <w:szCs w:val="22"/>
          <w:lang w:val="fr-FR"/>
        </w:rPr>
        <w:t>Trente-cinq (</w:t>
      </w:r>
      <w:r w:rsidR="00BD78E0" w:rsidRPr="005D062F">
        <w:rPr>
          <w:sz w:val="22"/>
          <w:szCs w:val="22"/>
          <w:lang w:val="fr-FR"/>
        </w:rPr>
        <w:t>35</w:t>
      </w:r>
      <w:r w:rsidRPr="005D062F">
        <w:rPr>
          <w:sz w:val="22"/>
          <w:szCs w:val="22"/>
          <w:lang w:val="fr-FR"/>
        </w:rPr>
        <w:t xml:space="preserve">) professionnels ont acquis une expérience pratique </w:t>
      </w:r>
      <w:r w:rsidR="007611E3" w:rsidRPr="005D062F">
        <w:rPr>
          <w:sz w:val="22"/>
          <w:szCs w:val="22"/>
          <w:lang w:val="fr-FR"/>
        </w:rPr>
        <w:t>de l</w:t>
      </w:r>
      <w:r w:rsidRPr="005D062F">
        <w:rPr>
          <w:sz w:val="22"/>
          <w:szCs w:val="22"/>
          <w:lang w:val="fr-FR"/>
        </w:rPr>
        <w:t>’observation des enfants</w:t>
      </w:r>
      <w:r w:rsidR="007611E3" w:rsidRPr="005D062F">
        <w:rPr>
          <w:sz w:val="22"/>
          <w:szCs w:val="22"/>
          <w:lang w:val="fr-FR"/>
        </w:rPr>
        <w:t xml:space="preserve"> et de la planification des leçons</w:t>
      </w:r>
      <w:r w:rsidR="00BD78E0" w:rsidRPr="005D062F">
        <w:rPr>
          <w:sz w:val="22"/>
          <w:szCs w:val="22"/>
          <w:lang w:val="fr-FR"/>
        </w:rPr>
        <w:t xml:space="preserve">. </w:t>
      </w:r>
      <w:r w:rsidR="007611E3" w:rsidRPr="005D062F">
        <w:rPr>
          <w:sz w:val="22"/>
          <w:szCs w:val="22"/>
          <w:lang w:val="fr-FR"/>
        </w:rPr>
        <w:t>Cette démarche permettra de normaliser les activités dans les centres existants et d’améliorer leur fonctionnement</w:t>
      </w:r>
      <w:r w:rsidR="00BD78E0" w:rsidRPr="005D062F">
        <w:rPr>
          <w:sz w:val="22"/>
          <w:szCs w:val="22"/>
          <w:lang w:val="fr-FR"/>
        </w:rPr>
        <w:t>.</w:t>
      </w:r>
    </w:p>
    <w:p w14:paraId="521DEDE0" w14:textId="7A1446AA" w:rsidR="00543D52" w:rsidRPr="005D062F" w:rsidRDefault="007611E3" w:rsidP="006E7478">
      <w:pPr>
        <w:pStyle w:val="ListParagraph"/>
        <w:numPr>
          <w:ilvl w:val="0"/>
          <w:numId w:val="35"/>
        </w:numPr>
        <w:ind w:left="1440" w:hanging="720"/>
        <w:contextualSpacing/>
        <w:jc w:val="both"/>
        <w:rPr>
          <w:bCs/>
          <w:sz w:val="22"/>
          <w:szCs w:val="22"/>
          <w:lang w:val="fr-FR"/>
        </w:rPr>
      </w:pPr>
      <w:r w:rsidRPr="005D062F">
        <w:rPr>
          <w:sz w:val="22"/>
          <w:szCs w:val="22"/>
          <w:lang w:val="fr-FR"/>
        </w:rPr>
        <w:t xml:space="preserve">Formation de </w:t>
      </w:r>
      <w:r w:rsidR="006E7478">
        <w:rPr>
          <w:sz w:val="22"/>
          <w:szCs w:val="22"/>
          <w:lang w:val="fr-FR"/>
        </w:rPr>
        <w:t>12</w:t>
      </w:r>
      <w:r w:rsidRPr="005D062F">
        <w:rPr>
          <w:sz w:val="22"/>
          <w:szCs w:val="22"/>
          <w:lang w:val="fr-FR"/>
        </w:rPr>
        <w:t xml:space="preserve"> enseignants à l’utilisation technique des équipements </w:t>
      </w:r>
      <w:r w:rsidR="00BD78E0" w:rsidRPr="005D062F">
        <w:rPr>
          <w:sz w:val="22"/>
          <w:szCs w:val="22"/>
          <w:lang w:val="fr-FR"/>
        </w:rPr>
        <w:t>(</w:t>
      </w:r>
      <w:r w:rsidR="0017640E" w:rsidRPr="005D062F">
        <w:rPr>
          <w:sz w:val="22"/>
          <w:szCs w:val="22"/>
          <w:lang w:val="fr-FR"/>
        </w:rPr>
        <w:t>en lien avec les projets en cours dans leurs établissements respectifs</w:t>
      </w:r>
      <w:r w:rsidR="00BD78E0" w:rsidRPr="005D062F">
        <w:rPr>
          <w:sz w:val="22"/>
          <w:szCs w:val="22"/>
          <w:lang w:val="fr-FR"/>
        </w:rPr>
        <w:t xml:space="preserve">) </w:t>
      </w:r>
      <w:r w:rsidR="0017640E" w:rsidRPr="005D062F">
        <w:rPr>
          <w:sz w:val="22"/>
          <w:szCs w:val="22"/>
          <w:lang w:val="fr-FR"/>
        </w:rPr>
        <w:t xml:space="preserve">dans le cadre du </w:t>
      </w:r>
      <w:r w:rsidR="0017640E" w:rsidRPr="005D062F">
        <w:rPr>
          <w:rFonts w:eastAsia="Times New Roman"/>
          <w:b/>
          <w:color w:val="000000"/>
          <w:sz w:val="22"/>
          <w:szCs w:val="22"/>
          <w:lang w:val="fr-FR"/>
        </w:rPr>
        <w:t>projet d’éducation numérique</w:t>
      </w:r>
      <w:r w:rsidR="0017640E" w:rsidRPr="005D062F">
        <w:rPr>
          <w:rFonts w:eastAsia="Times New Roman"/>
          <w:color w:val="000000"/>
          <w:sz w:val="22"/>
          <w:szCs w:val="22"/>
          <w:lang w:val="fr-FR"/>
        </w:rPr>
        <w:t xml:space="preserve"> </w:t>
      </w:r>
      <w:r w:rsidR="00543D52" w:rsidRPr="005D062F">
        <w:rPr>
          <w:i/>
          <w:iCs/>
          <w:sz w:val="22"/>
          <w:szCs w:val="22"/>
          <w:lang w:val="fr-FR"/>
        </w:rPr>
        <w:t>ProFut</w:t>
      </w:r>
      <w:r w:rsidR="0017640E" w:rsidRPr="005D062F">
        <w:rPr>
          <w:i/>
          <w:iCs/>
          <w:sz w:val="22"/>
          <w:szCs w:val="22"/>
          <w:lang w:val="fr-FR"/>
        </w:rPr>
        <w:t>uro</w:t>
      </w:r>
      <w:r w:rsidR="00BD78E0" w:rsidRPr="005D062F">
        <w:rPr>
          <w:bCs/>
          <w:sz w:val="22"/>
          <w:szCs w:val="22"/>
          <w:lang w:val="fr-FR"/>
        </w:rPr>
        <w:t>.</w:t>
      </w:r>
    </w:p>
    <w:p w14:paraId="613B7E38" w14:textId="77777777" w:rsidR="00543D52" w:rsidRPr="005D062F" w:rsidRDefault="00543D52" w:rsidP="00723DAD">
      <w:pPr>
        <w:jc w:val="both"/>
        <w:rPr>
          <w:rFonts w:ascii="Times New Roman" w:eastAsia="Calibri" w:hAnsi="Times New Roman" w:cs="Times New Roman"/>
          <w:color w:val="000000" w:themeColor="text1"/>
          <w:sz w:val="22"/>
          <w:szCs w:val="22"/>
          <w:lang w:val="fr-FR"/>
        </w:rPr>
      </w:pPr>
    </w:p>
    <w:p w14:paraId="6AFC4F37" w14:textId="4E36235F" w:rsidR="00682B03" w:rsidRPr="005D062F" w:rsidRDefault="00682B03" w:rsidP="00607D18">
      <w:pPr>
        <w:pStyle w:val="Default"/>
        <w:autoSpaceDE/>
        <w:autoSpaceDN/>
        <w:adjustRightInd/>
        <w:ind w:left="720"/>
        <w:contextualSpacing/>
        <w:jc w:val="both"/>
        <w:rPr>
          <w:sz w:val="22"/>
          <w:szCs w:val="22"/>
        </w:rPr>
      </w:pPr>
      <w:r w:rsidRPr="005D062F">
        <w:rPr>
          <w:b/>
          <w:bCs/>
          <w:sz w:val="22"/>
          <w:szCs w:val="22"/>
        </w:rPr>
        <w:t>Saint-Vincent-et-</w:t>
      </w:r>
      <w:r w:rsidR="00543D52" w:rsidRPr="005D062F">
        <w:rPr>
          <w:b/>
          <w:bCs/>
          <w:sz w:val="22"/>
          <w:szCs w:val="22"/>
        </w:rPr>
        <w:t>Grenadines</w:t>
      </w:r>
      <w:r w:rsidRPr="005D062F">
        <w:rPr>
          <w:b/>
          <w:bCs/>
          <w:sz w:val="22"/>
          <w:szCs w:val="22"/>
        </w:rPr>
        <w:t> </w:t>
      </w:r>
      <w:r w:rsidR="00543D52" w:rsidRPr="005D062F">
        <w:rPr>
          <w:b/>
          <w:bCs/>
          <w:sz w:val="22"/>
          <w:szCs w:val="22"/>
        </w:rPr>
        <w:t xml:space="preserve">: </w:t>
      </w:r>
      <w:r w:rsidRPr="005D062F">
        <w:rPr>
          <w:b/>
          <w:bCs/>
          <w:sz w:val="22"/>
          <w:szCs w:val="22"/>
        </w:rPr>
        <w:t>Restructurer le programme d’éducation de la petite enfance</w:t>
      </w:r>
    </w:p>
    <w:p w14:paraId="6033DFCD" w14:textId="28D7615F" w:rsidR="00543D52" w:rsidRPr="005D062F" w:rsidRDefault="003634A2" w:rsidP="006E7478">
      <w:pPr>
        <w:pStyle w:val="ListParagraph"/>
        <w:numPr>
          <w:ilvl w:val="0"/>
          <w:numId w:val="35"/>
        </w:numPr>
        <w:ind w:left="1440" w:hanging="720"/>
        <w:contextualSpacing/>
        <w:jc w:val="both"/>
        <w:rPr>
          <w:sz w:val="22"/>
          <w:szCs w:val="22"/>
          <w:lang w:val="fr-FR"/>
        </w:rPr>
      </w:pPr>
      <w:r w:rsidRPr="005D062F">
        <w:rPr>
          <w:sz w:val="22"/>
          <w:szCs w:val="22"/>
          <w:lang w:val="fr-FR"/>
        </w:rPr>
        <w:t>Élaborat</w:t>
      </w:r>
      <w:r w:rsidR="0007482A" w:rsidRPr="005D062F">
        <w:rPr>
          <w:sz w:val="22"/>
          <w:szCs w:val="22"/>
          <w:lang w:val="fr-FR"/>
        </w:rPr>
        <w:t>i</w:t>
      </w:r>
      <w:r w:rsidRPr="005D062F">
        <w:rPr>
          <w:sz w:val="22"/>
          <w:szCs w:val="22"/>
          <w:lang w:val="fr-FR"/>
        </w:rPr>
        <w:t xml:space="preserve">on d’un programme </w:t>
      </w:r>
      <w:r w:rsidR="0007482A" w:rsidRPr="005D062F">
        <w:rPr>
          <w:sz w:val="22"/>
          <w:szCs w:val="22"/>
          <w:lang w:val="fr-FR"/>
        </w:rPr>
        <w:t xml:space="preserve">d’éducation de la petite enfance </w:t>
      </w:r>
      <w:r w:rsidR="00B91749" w:rsidRPr="005D062F">
        <w:rPr>
          <w:sz w:val="22"/>
          <w:szCs w:val="22"/>
          <w:lang w:val="fr-FR"/>
        </w:rPr>
        <w:t>restructur</w:t>
      </w:r>
      <w:r w:rsidR="0007482A" w:rsidRPr="005D062F">
        <w:rPr>
          <w:sz w:val="22"/>
          <w:szCs w:val="22"/>
          <w:lang w:val="fr-FR"/>
        </w:rPr>
        <w:t xml:space="preserve">é, axé sur les élèves et fondé sur les projets avec une approche plus intégrée de la planification </w:t>
      </w:r>
      <w:r w:rsidR="00B91749" w:rsidRPr="005D062F">
        <w:rPr>
          <w:sz w:val="22"/>
          <w:szCs w:val="22"/>
          <w:lang w:val="fr-FR"/>
        </w:rPr>
        <w:t>d</w:t>
      </w:r>
      <w:r w:rsidR="0007482A" w:rsidRPr="005D062F">
        <w:rPr>
          <w:sz w:val="22"/>
          <w:szCs w:val="22"/>
          <w:lang w:val="fr-FR"/>
        </w:rPr>
        <w:t>es leçons</w:t>
      </w:r>
      <w:r w:rsidR="00B91749" w:rsidRPr="005D062F">
        <w:rPr>
          <w:sz w:val="22"/>
          <w:szCs w:val="22"/>
          <w:lang w:val="fr-FR"/>
        </w:rPr>
        <w:t xml:space="preserve">. </w:t>
      </w:r>
      <w:r w:rsidR="0007482A" w:rsidRPr="005D062F">
        <w:rPr>
          <w:sz w:val="22"/>
          <w:szCs w:val="22"/>
          <w:lang w:val="fr-FR"/>
        </w:rPr>
        <w:t>Cette activité a fait prendre conscience de l’</w:t>
      </w:r>
      <w:r w:rsidR="00543D52" w:rsidRPr="005D062F">
        <w:rPr>
          <w:sz w:val="22"/>
          <w:szCs w:val="22"/>
          <w:lang w:val="fr-FR"/>
        </w:rPr>
        <w:t>importance</w:t>
      </w:r>
      <w:r w:rsidR="0007482A" w:rsidRPr="005D062F">
        <w:rPr>
          <w:sz w:val="22"/>
          <w:szCs w:val="22"/>
          <w:lang w:val="fr-FR"/>
        </w:rPr>
        <w:t xml:space="preserve"> de l’éduc</w:t>
      </w:r>
      <w:r w:rsidR="00FE3880" w:rsidRPr="005D062F">
        <w:rPr>
          <w:sz w:val="22"/>
          <w:szCs w:val="22"/>
          <w:lang w:val="fr-FR"/>
        </w:rPr>
        <w:t xml:space="preserve">ation de la petite enfance et </w:t>
      </w:r>
      <w:r w:rsidR="0007482A" w:rsidRPr="005D062F">
        <w:rPr>
          <w:sz w:val="22"/>
          <w:szCs w:val="22"/>
          <w:lang w:val="fr-FR"/>
        </w:rPr>
        <w:t>mis en exergue les avantages qu’apporte un programme axé sur les élèves</w:t>
      </w:r>
      <w:r w:rsidR="00FD13F3" w:rsidRPr="005D062F">
        <w:rPr>
          <w:sz w:val="22"/>
          <w:szCs w:val="22"/>
          <w:lang w:val="fr-FR"/>
        </w:rPr>
        <w:t>.</w:t>
      </w:r>
    </w:p>
    <w:p w14:paraId="411DB874" w14:textId="77777777" w:rsidR="00543D52" w:rsidRPr="005D062F" w:rsidRDefault="00543D52" w:rsidP="00723DAD">
      <w:pPr>
        <w:jc w:val="both"/>
        <w:rPr>
          <w:rFonts w:ascii="Times New Roman" w:hAnsi="Times New Roman" w:cs="Times New Roman"/>
          <w:sz w:val="22"/>
          <w:szCs w:val="22"/>
          <w:lang w:val="fr-FR"/>
        </w:rPr>
      </w:pPr>
    </w:p>
    <w:p w14:paraId="00BA4710" w14:textId="0359412A" w:rsidR="00682B03" w:rsidRPr="005D062F" w:rsidRDefault="00543D52" w:rsidP="00607D18">
      <w:pPr>
        <w:pStyle w:val="Default"/>
        <w:ind w:left="720"/>
        <w:jc w:val="both"/>
        <w:rPr>
          <w:b/>
          <w:bCs/>
          <w:sz w:val="22"/>
          <w:szCs w:val="22"/>
        </w:rPr>
      </w:pPr>
      <w:r w:rsidRPr="005D062F">
        <w:rPr>
          <w:b/>
          <w:bCs/>
          <w:sz w:val="22"/>
          <w:szCs w:val="22"/>
        </w:rPr>
        <w:t>Uruguay</w:t>
      </w:r>
      <w:r w:rsidR="00682B03" w:rsidRPr="005D062F">
        <w:rPr>
          <w:b/>
          <w:bCs/>
          <w:sz w:val="22"/>
          <w:szCs w:val="22"/>
        </w:rPr>
        <w:t> </w:t>
      </w:r>
      <w:r w:rsidRPr="005D062F">
        <w:rPr>
          <w:b/>
          <w:bCs/>
          <w:sz w:val="22"/>
          <w:szCs w:val="22"/>
        </w:rPr>
        <w:t>:</w:t>
      </w:r>
      <w:r w:rsidRPr="005D062F">
        <w:rPr>
          <w:sz w:val="22"/>
          <w:szCs w:val="22"/>
        </w:rPr>
        <w:t xml:space="preserve"> </w:t>
      </w:r>
      <w:r w:rsidR="00682B03" w:rsidRPr="005D062F">
        <w:rPr>
          <w:b/>
          <w:bCs/>
          <w:sz w:val="22"/>
          <w:szCs w:val="22"/>
        </w:rPr>
        <w:t xml:space="preserve">Intégration interinstitutionnelle des systèmes </w:t>
      </w:r>
      <w:r w:rsidR="005D4D4B" w:rsidRPr="005D062F">
        <w:rPr>
          <w:b/>
          <w:bCs/>
          <w:sz w:val="22"/>
          <w:szCs w:val="22"/>
        </w:rPr>
        <w:t>d’information pour l</w:t>
      </w:r>
      <w:r w:rsidR="00FE3880" w:rsidRPr="005D062F">
        <w:rPr>
          <w:b/>
          <w:bCs/>
          <w:sz w:val="22"/>
          <w:szCs w:val="22"/>
        </w:rPr>
        <w:t xml:space="preserve">es soins et </w:t>
      </w:r>
      <w:r w:rsidR="005D4D4B" w:rsidRPr="005D062F">
        <w:rPr>
          <w:b/>
          <w:bCs/>
          <w:sz w:val="22"/>
          <w:szCs w:val="22"/>
        </w:rPr>
        <w:t>l’éducation de la petit</w:t>
      </w:r>
      <w:r w:rsidR="00682B03" w:rsidRPr="005D062F">
        <w:rPr>
          <w:b/>
          <w:bCs/>
          <w:sz w:val="22"/>
          <w:szCs w:val="22"/>
        </w:rPr>
        <w:t>e enfance en Uruguay</w:t>
      </w:r>
    </w:p>
    <w:p w14:paraId="2C3A1315" w14:textId="4B7D7263" w:rsidR="00543D52" w:rsidRPr="005D062F" w:rsidRDefault="00543D52" w:rsidP="00723DAD">
      <w:pPr>
        <w:jc w:val="both"/>
        <w:rPr>
          <w:rFonts w:ascii="Times New Roman" w:hAnsi="Times New Roman" w:cs="Times New Roman"/>
          <w:sz w:val="22"/>
          <w:szCs w:val="22"/>
          <w:lang w:val="fr-FR"/>
        </w:rPr>
      </w:pPr>
    </w:p>
    <w:p w14:paraId="2FDF6BEE" w14:textId="09C7618B" w:rsidR="00543D52" w:rsidRPr="005D062F" w:rsidRDefault="005D4D4B" w:rsidP="006E7478">
      <w:pPr>
        <w:pStyle w:val="ListParagraph"/>
        <w:numPr>
          <w:ilvl w:val="0"/>
          <w:numId w:val="35"/>
        </w:numPr>
        <w:ind w:left="1440" w:hanging="720"/>
        <w:contextualSpacing/>
        <w:jc w:val="both"/>
        <w:rPr>
          <w:rFonts w:eastAsia="MS PGothic"/>
          <w:color w:val="000000"/>
          <w:kern w:val="24"/>
          <w:sz w:val="22"/>
          <w:szCs w:val="22"/>
          <w:lang w:val="fr-FR"/>
        </w:rPr>
      </w:pPr>
      <w:r w:rsidRPr="005D062F">
        <w:rPr>
          <w:sz w:val="22"/>
          <w:szCs w:val="22"/>
          <w:lang w:val="fr-FR"/>
        </w:rPr>
        <w:t>Élaboration d’indicateurs de qualité pour l’éducation et les soins complets à la petite enfance ainsi que d’un contenu éducatif</w:t>
      </w:r>
      <w:r w:rsidR="00FE3880" w:rsidRPr="005D062F">
        <w:rPr>
          <w:sz w:val="22"/>
          <w:szCs w:val="22"/>
          <w:lang w:val="fr-FR"/>
        </w:rPr>
        <w:t>,</w:t>
      </w:r>
      <w:r w:rsidRPr="005D062F">
        <w:rPr>
          <w:sz w:val="22"/>
          <w:szCs w:val="22"/>
          <w:lang w:val="fr-FR"/>
        </w:rPr>
        <w:t xml:space="preserve"> en vue de leur diffusion conformément à l’accord </w:t>
      </w:r>
      <w:r w:rsidR="00F46F2B" w:rsidRPr="005D062F">
        <w:rPr>
          <w:sz w:val="22"/>
          <w:szCs w:val="22"/>
          <w:lang w:val="fr-FR"/>
        </w:rPr>
        <w:t>i</w:t>
      </w:r>
      <w:r w:rsidRPr="005D062F">
        <w:rPr>
          <w:sz w:val="22"/>
          <w:szCs w:val="22"/>
          <w:lang w:val="fr-FR"/>
        </w:rPr>
        <w:t xml:space="preserve">nterinstitutionnel et intersectoriel établi entre </w:t>
      </w:r>
      <w:r w:rsidR="00F46F2B" w:rsidRPr="005D062F">
        <w:rPr>
          <w:sz w:val="22"/>
          <w:szCs w:val="22"/>
          <w:lang w:val="fr-FR"/>
        </w:rPr>
        <w:t>six</w:t>
      </w:r>
      <w:r w:rsidR="00543D52" w:rsidRPr="005D062F">
        <w:rPr>
          <w:sz w:val="22"/>
          <w:szCs w:val="22"/>
          <w:lang w:val="fr-FR"/>
        </w:rPr>
        <w:t xml:space="preserve"> institutions</w:t>
      </w:r>
      <w:r w:rsidRPr="005D062F">
        <w:rPr>
          <w:sz w:val="22"/>
          <w:szCs w:val="22"/>
          <w:lang w:val="fr-FR"/>
        </w:rPr>
        <w:t xml:space="preserve"> nationales</w:t>
      </w:r>
      <w:r w:rsidR="00543D52" w:rsidRPr="005D062F">
        <w:rPr>
          <w:sz w:val="22"/>
          <w:szCs w:val="22"/>
          <w:lang w:val="fr-FR"/>
        </w:rPr>
        <w:t xml:space="preserve"> </w:t>
      </w:r>
      <w:r w:rsidR="005114D9" w:rsidRPr="005D062F">
        <w:rPr>
          <w:sz w:val="22"/>
          <w:szCs w:val="22"/>
          <w:lang w:val="fr-FR"/>
        </w:rPr>
        <w:t xml:space="preserve">– </w:t>
      </w:r>
      <w:r w:rsidRPr="005D062F">
        <w:rPr>
          <w:sz w:val="22"/>
          <w:szCs w:val="22"/>
          <w:lang w:val="fr-FR"/>
        </w:rPr>
        <w:t>l</w:t>
      </w:r>
      <w:r w:rsidR="00FA4EDE" w:rsidRPr="005D062F">
        <w:rPr>
          <w:sz w:val="22"/>
          <w:szCs w:val="22"/>
          <w:lang w:val="fr-FR"/>
        </w:rPr>
        <w:t xml:space="preserve">e </w:t>
      </w:r>
      <w:r w:rsidRPr="005D062F">
        <w:rPr>
          <w:sz w:val="22"/>
          <w:szCs w:val="22"/>
          <w:lang w:val="fr-FR"/>
        </w:rPr>
        <w:t>m</w:t>
      </w:r>
      <w:r w:rsidR="00543D52" w:rsidRPr="005D062F">
        <w:rPr>
          <w:sz w:val="22"/>
          <w:szCs w:val="22"/>
          <w:lang w:val="fr-FR"/>
        </w:rPr>
        <w:t>inist</w:t>
      </w:r>
      <w:r w:rsidRPr="005D062F">
        <w:rPr>
          <w:sz w:val="22"/>
          <w:szCs w:val="22"/>
          <w:lang w:val="fr-FR"/>
        </w:rPr>
        <w:t>ère de l’éducation et de la c</w:t>
      </w:r>
      <w:r w:rsidR="00543D52" w:rsidRPr="005D062F">
        <w:rPr>
          <w:sz w:val="22"/>
          <w:szCs w:val="22"/>
          <w:lang w:val="fr-FR"/>
        </w:rPr>
        <w:t xml:space="preserve">ulture, </w:t>
      </w:r>
      <w:r w:rsidR="00335CC1" w:rsidRPr="005D062F">
        <w:rPr>
          <w:sz w:val="22"/>
          <w:szCs w:val="22"/>
          <w:lang w:val="fr-FR"/>
        </w:rPr>
        <w:t>l’</w:t>
      </w:r>
      <w:r w:rsidRPr="005D062F">
        <w:rPr>
          <w:sz w:val="22"/>
          <w:szCs w:val="22"/>
          <w:lang w:val="fr-FR"/>
        </w:rPr>
        <w:t>Institut des enfants et des adolescents de l’Uruguay</w:t>
      </w:r>
      <w:r w:rsidR="00543D52" w:rsidRPr="005D062F">
        <w:rPr>
          <w:sz w:val="22"/>
          <w:szCs w:val="22"/>
          <w:lang w:val="fr-FR"/>
        </w:rPr>
        <w:t xml:space="preserve">, </w:t>
      </w:r>
      <w:r w:rsidRPr="005D062F">
        <w:rPr>
          <w:sz w:val="22"/>
          <w:szCs w:val="22"/>
          <w:lang w:val="fr-FR"/>
        </w:rPr>
        <w:t>le Conseil de l’éducation initiale et primaire</w:t>
      </w:r>
      <w:r w:rsidR="00543D52" w:rsidRPr="005D062F">
        <w:rPr>
          <w:sz w:val="22"/>
          <w:szCs w:val="22"/>
          <w:lang w:val="fr-FR"/>
        </w:rPr>
        <w:t xml:space="preserve">, </w:t>
      </w:r>
      <w:r w:rsidRPr="005D062F">
        <w:rPr>
          <w:sz w:val="22"/>
          <w:szCs w:val="22"/>
          <w:lang w:val="fr-FR"/>
        </w:rPr>
        <w:t>le ministère de la santé publique</w:t>
      </w:r>
      <w:r w:rsidR="00543D52" w:rsidRPr="005D062F">
        <w:rPr>
          <w:sz w:val="22"/>
          <w:szCs w:val="22"/>
          <w:lang w:val="fr-FR"/>
        </w:rPr>
        <w:t>,</w:t>
      </w:r>
      <w:r w:rsidR="00335CC1" w:rsidRPr="005D062F">
        <w:rPr>
          <w:sz w:val="22"/>
          <w:szCs w:val="22"/>
          <w:lang w:val="fr-FR"/>
        </w:rPr>
        <w:t xml:space="preserve"> </w:t>
      </w:r>
      <w:r w:rsidR="005114D9" w:rsidRPr="005D062F">
        <w:rPr>
          <w:i/>
          <w:iCs/>
          <w:sz w:val="22"/>
          <w:szCs w:val="22"/>
          <w:lang w:val="fr-FR"/>
        </w:rPr>
        <w:t>Uruguay Crece Contigo</w:t>
      </w:r>
      <w:r w:rsidR="00543D52" w:rsidRPr="005D062F">
        <w:rPr>
          <w:sz w:val="22"/>
          <w:szCs w:val="22"/>
          <w:lang w:val="fr-FR"/>
        </w:rPr>
        <w:t xml:space="preserve"> </w:t>
      </w:r>
      <w:r w:rsidRPr="005D062F">
        <w:rPr>
          <w:sz w:val="22"/>
          <w:szCs w:val="22"/>
          <w:lang w:val="fr-FR"/>
        </w:rPr>
        <w:t>et le système national inté</w:t>
      </w:r>
      <w:r w:rsidR="005114D9" w:rsidRPr="005D062F">
        <w:rPr>
          <w:sz w:val="22"/>
          <w:szCs w:val="22"/>
          <w:lang w:val="fr-FR"/>
        </w:rPr>
        <w:t>gr</w:t>
      </w:r>
      <w:r w:rsidRPr="005D062F">
        <w:rPr>
          <w:sz w:val="22"/>
          <w:szCs w:val="22"/>
          <w:lang w:val="fr-FR"/>
        </w:rPr>
        <w:t>é de soins</w:t>
      </w:r>
      <w:r w:rsidR="005114D9" w:rsidRPr="005D062F">
        <w:rPr>
          <w:sz w:val="22"/>
          <w:szCs w:val="22"/>
          <w:lang w:val="fr-FR"/>
        </w:rPr>
        <w:t>.</w:t>
      </w:r>
    </w:p>
    <w:p w14:paraId="6C80854C" w14:textId="77777777" w:rsidR="005114D9" w:rsidRPr="005D062F" w:rsidRDefault="005114D9" w:rsidP="00723DAD">
      <w:pPr>
        <w:jc w:val="both"/>
        <w:rPr>
          <w:rFonts w:ascii="Times New Roman" w:hAnsi="Times New Roman" w:cs="Times New Roman"/>
          <w:sz w:val="22"/>
          <w:szCs w:val="22"/>
          <w:lang w:val="fr-FR"/>
        </w:rPr>
      </w:pPr>
    </w:p>
    <w:p w14:paraId="2D4EFBAA" w14:textId="60BBAB57" w:rsidR="00543D52" w:rsidRPr="005D062F" w:rsidRDefault="00543D52" w:rsidP="00CB030B">
      <w:pPr>
        <w:ind w:left="720"/>
        <w:contextualSpacing/>
        <w:rPr>
          <w:rFonts w:ascii="Times New Roman" w:eastAsia="MS PGothic" w:hAnsi="Times New Roman" w:cs="Times New Roman"/>
          <w:b/>
          <w:bCs/>
          <w:kern w:val="24"/>
          <w:sz w:val="22"/>
          <w:szCs w:val="22"/>
          <w:u w:val="single"/>
          <w:lang w:val="fr-FR"/>
        </w:rPr>
      </w:pPr>
      <w:r w:rsidRPr="005D062F">
        <w:rPr>
          <w:rFonts w:ascii="Times New Roman" w:eastAsia="MS PGothic" w:hAnsi="Times New Roman" w:cs="Times New Roman"/>
          <w:b/>
          <w:bCs/>
          <w:kern w:val="24"/>
          <w:sz w:val="22"/>
          <w:szCs w:val="22"/>
          <w:u w:val="single"/>
          <w:lang w:val="fr-FR"/>
        </w:rPr>
        <w:t xml:space="preserve">Cycle </w:t>
      </w:r>
      <w:r w:rsidR="00F17BA3" w:rsidRPr="005D062F">
        <w:rPr>
          <w:rFonts w:ascii="Times New Roman" w:eastAsia="MS PGothic" w:hAnsi="Times New Roman" w:cs="Times New Roman"/>
          <w:b/>
          <w:bCs/>
          <w:kern w:val="24"/>
          <w:sz w:val="22"/>
          <w:szCs w:val="22"/>
          <w:u w:val="single"/>
          <w:lang w:val="fr-FR"/>
        </w:rPr>
        <w:t xml:space="preserve">de programmation </w:t>
      </w:r>
      <w:r w:rsidRPr="005D062F">
        <w:rPr>
          <w:rFonts w:ascii="Times New Roman" w:eastAsia="MS PGothic" w:hAnsi="Times New Roman" w:cs="Times New Roman"/>
          <w:b/>
          <w:bCs/>
          <w:kern w:val="24"/>
          <w:sz w:val="22"/>
          <w:szCs w:val="22"/>
          <w:u w:val="single"/>
          <w:lang w:val="fr-FR"/>
        </w:rPr>
        <w:t>2021-2024</w:t>
      </w:r>
      <w:r w:rsidR="00F17BA3" w:rsidRPr="005D062F">
        <w:rPr>
          <w:rFonts w:ascii="Times New Roman" w:eastAsia="MS PGothic" w:hAnsi="Times New Roman" w:cs="Times New Roman"/>
          <w:b/>
          <w:bCs/>
          <w:kern w:val="24"/>
          <w:sz w:val="22"/>
          <w:szCs w:val="22"/>
          <w:u w:val="single"/>
          <w:lang w:val="fr-FR"/>
        </w:rPr>
        <w:t xml:space="preserve"> du FCD/ OEA</w:t>
      </w:r>
    </w:p>
    <w:p w14:paraId="29B6B57E" w14:textId="77777777" w:rsidR="005114D9" w:rsidRPr="005D062F" w:rsidRDefault="005114D9" w:rsidP="00723DAD">
      <w:pPr>
        <w:jc w:val="both"/>
        <w:rPr>
          <w:rFonts w:ascii="Times New Roman" w:eastAsia="Calibri" w:hAnsi="Times New Roman" w:cs="Times New Roman"/>
          <w:color w:val="000000" w:themeColor="text1"/>
          <w:sz w:val="22"/>
          <w:szCs w:val="22"/>
          <w:lang w:val="fr-FR"/>
        </w:rPr>
      </w:pPr>
    </w:p>
    <w:p w14:paraId="4A19831F" w14:textId="6CFB33A6" w:rsidR="00543D52" w:rsidRPr="005D062F" w:rsidRDefault="00F17BA3" w:rsidP="006E7478">
      <w:pPr>
        <w:pStyle w:val="ListParagraph"/>
        <w:numPr>
          <w:ilvl w:val="0"/>
          <w:numId w:val="35"/>
        </w:numPr>
        <w:ind w:left="1440" w:hanging="720"/>
        <w:contextualSpacing/>
        <w:jc w:val="both"/>
        <w:rPr>
          <w:sz w:val="22"/>
          <w:szCs w:val="22"/>
          <w:lang w:val="fr-FR"/>
        </w:rPr>
      </w:pPr>
      <w:bookmarkStart w:id="30" w:name="_Hlk94741489"/>
      <w:r w:rsidRPr="005D062F">
        <w:rPr>
          <w:sz w:val="22"/>
          <w:szCs w:val="22"/>
          <w:lang w:val="fr-FR"/>
        </w:rPr>
        <w:t>Le Conseil d’administration de l’Agence interaméricaine pour la coopération et le développement</w:t>
      </w:r>
      <w:r w:rsidR="005114D9" w:rsidRPr="005D062F">
        <w:rPr>
          <w:sz w:val="22"/>
          <w:szCs w:val="22"/>
          <w:lang w:val="fr-FR"/>
        </w:rPr>
        <w:t xml:space="preserve"> (</w:t>
      </w:r>
      <w:r w:rsidRPr="005D062F">
        <w:rPr>
          <w:sz w:val="22"/>
          <w:szCs w:val="22"/>
          <w:lang w:val="fr-FR"/>
        </w:rPr>
        <w:t>CA/</w:t>
      </w:r>
      <w:r w:rsidR="00543D52" w:rsidRPr="005D062F">
        <w:rPr>
          <w:sz w:val="22"/>
          <w:szCs w:val="22"/>
          <w:lang w:val="fr-FR"/>
        </w:rPr>
        <w:t>A</w:t>
      </w:r>
      <w:r w:rsidRPr="005D062F">
        <w:rPr>
          <w:sz w:val="22"/>
          <w:szCs w:val="22"/>
          <w:lang w:val="fr-FR"/>
        </w:rPr>
        <w:t>I</w:t>
      </w:r>
      <w:r w:rsidR="00543D52" w:rsidRPr="005D062F">
        <w:rPr>
          <w:sz w:val="22"/>
          <w:szCs w:val="22"/>
          <w:lang w:val="fr-FR"/>
        </w:rPr>
        <w:t>CD</w:t>
      </w:r>
      <w:r w:rsidR="005114D9" w:rsidRPr="005D062F">
        <w:rPr>
          <w:sz w:val="22"/>
          <w:szCs w:val="22"/>
          <w:lang w:val="fr-FR"/>
        </w:rPr>
        <w:t>)</w:t>
      </w:r>
      <w:r w:rsidR="00543D52" w:rsidRPr="005D062F">
        <w:rPr>
          <w:sz w:val="22"/>
          <w:szCs w:val="22"/>
          <w:lang w:val="fr-FR"/>
        </w:rPr>
        <w:t xml:space="preserve"> </w:t>
      </w:r>
      <w:r w:rsidRPr="005D062F">
        <w:rPr>
          <w:rFonts w:eastAsia="Times New Roman"/>
          <w:sz w:val="22"/>
          <w:szCs w:val="22"/>
          <w:lang w:val="fr-FR"/>
        </w:rPr>
        <w:t>a approuvé le thème de la</w:t>
      </w:r>
      <w:r w:rsidR="00543D52" w:rsidRPr="005D062F">
        <w:rPr>
          <w:sz w:val="22"/>
          <w:szCs w:val="22"/>
          <w:lang w:val="fr-FR"/>
        </w:rPr>
        <w:t xml:space="preserve"> </w:t>
      </w:r>
      <w:r w:rsidRPr="005D062F">
        <w:rPr>
          <w:rFonts w:eastAsia="Times New Roman"/>
          <w:sz w:val="22"/>
          <w:szCs w:val="22"/>
          <w:lang w:val="fr-FR"/>
        </w:rPr>
        <w:t>« </w:t>
      </w:r>
      <w:r w:rsidRPr="005D062F">
        <w:rPr>
          <w:rFonts w:eastAsia="Times New Roman"/>
          <w:b/>
          <w:sz w:val="22"/>
          <w:szCs w:val="22"/>
          <w:lang w:val="fr-FR"/>
        </w:rPr>
        <w:t>Résilience inclusive pour une reprise efficace, avec un accent sur la science et la technologie</w:t>
      </w:r>
      <w:r w:rsidRPr="005D062F">
        <w:rPr>
          <w:rFonts w:eastAsia="Times New Roman"/>
          <w:sz w:val="22"/>
          <w:szCs w:val="22"/>
          <w:lang w:val="fr-FR"/>
        </w:rPr>
        <w:t> »</w:t>
      </w:r>
      <w:r w:rsidRPr="005D062F">
        <w:rPr>
          <w:sz w:val="22"/>
          <w:szCs w:val="22"/>
          <w:lang w:val="fr-FR"/>
        </w:rPr>
        <w:t xml:space="preserve"> </w:t>
      </w:r>
      <w:r w:rsidR="005114D9" w:rsidRPr="005D062F">
        <w:rPr>
          <w:sz w:val="22"/>
          <w:szCs w:val="22"/>
          <w:lang w:val="fr-FR"/>
        </w:rPr>
        <w:t>(</w:t>
      </w:r>
      <w:hyperlink r:id="rId23" w:history="1">
        <w:r w:rsidR="005114D9" w:rsidRPr="005D062F">
          <w:rPr>
            <w:color w:val="0563C1" w:themeColor="hyperlink"/>
            <w:sz w:val="22"/>
            <w:szCs w:val="22"/>
            <w:u w:val="single"/>
            <w:lang w:val="fr-FR"/>
          </w:rPr>
          <w:t>AICD/JD/DE-126/20</w:t>
        </w:r>
      </w:hyperlink>
      <w:r w:rsidR="005114D9" w:rsidRPr="005D062F">
        <w:rPr>
          <w:sz w:val="22"/>
          <w:szCs w:val="22"/>
          <w:lang w:val="fr-FR"/>
        </w:rPr>
        <w:t xml:space="preserve">) </w:t>
      </w:r>
      <w:r w:rsidRPr="005D062F">
        <w:rPr>
          <w:rFonts w:eastAsia="Times New Roman"/>
          <w:sz w:val="22"/>
          <w:szCs w:val="22"/>
          <w:lang w:val="fr-FR"/>
        </w:rPr>
        <w:t>comme domaine</w:t>
      </w:r>
      <w:r w:rsidRPr="005D062F">
        <w:rPr>
          <w:sz w:val="22"/>
          <w:szCs w:val="22"/>
          <w:lang w:val="fr-FR"/>
        </w:rPr>
        <w:t xml:space="preserve"> thématique stratégique</w:t>
      </w:r>
      <w:r w:rsidR="005114D9" w:rsidRPr="005D062F">
        <w:rPr>
          <w:sz w:val="22"/>
          <w:szCs w:val="22"/>
          <w:lang w:val="fr-FR"/>
        </w:rPr>
        <w:t xml:space="preserve"> </w:t>
      </w:r>
      <w:r w:rsidRPr="005D062F">
        <w:rPr>
          <w:rFonts w:eastAsia="Times New Roman"/>
          <w:sz w:val="22"/>
          <w:szCs w:val="22"/>
          <w:lang w:val="fr-FR"/>
        </w:rPr>
        <w:t xml:space="preserve">pour le cycle de programmation </w:t>
      </w:r>
      <w:r w:rsidR="005114D9" w:rsidRPr="005D062F">
        <w:rPr>
          <w:sz w:val="22"/>
          <w:szCs w:val="22"/>
          <w:lang w:val="fr-FR"/>
        </w:rPr>
        <w:t xml:space="preserve">2021-2024 </w:t>
      </w:r>
      <w:r w:rsidRPr="005D062F">
        <w:rPr>
          <w:rFonts w:eastAsia="Times New Roman"/>
          <w:sz w:val="22"/>
          <w:szCs w:val="22"/>
          <w:lang w:val="fr-FR"/>
        </w:rPr>
        <w:t>du FCD/OEA</w:t>
      </w:r>
      <w:r w:rsidR="005114D9" w:rsidRPr="005D062F">
        <w:rPr>
          <w:sz w:val="22"/>
          <w:szCs w:val="22"/>
          <w:lang w:val="fr-FR"/>
        </w:rPr>
        <w:t xml:space="preserve">, </w:t>
      </w:r>
      <w:r w:rsidRPr="005D062F">
        <w:rPr>
          <w:sz w:val="22"/>
          <w:szCs w:val="22"/>
          <w:lang w:val="fr-FR"/>
        </w:rPr>
        <w:t xml:space="preserve">mis en évidence par </w:t>
      </w:r>
      <w:r w:rsidRPr="005D062F">
        <w:rPr>
          <w:rFonts w:eastAsia="Times New Roman"/>
          <w:sz w:val="22"/>
          <w:szCs w:val="22"/>
          <w:lang w:val="fr-FR"/>
        </w:rPr>
        <w:t>quatre thèmes programmatiques supplémentaires</w:t>
      </w:r>
      <w:r w:rsidRPr="005D062F">
        <w:rPr>
          <w:sz w:val="22"/>
          <w:szCs w:val="22"/>
          <w:lang w:val="fr-FR"/>
        </w:rPr>
        <w:t> </w:t>
      </w:r>
      <w:r w:rsidR="005114D9" w:rsidRPr="005D062F">
        <w:rPr>
          <w:sz w:val="22"/>
          <w:szCs w:val="22"/>
          <w:lang w:val="fr-FR"/>
        </w:rPr>
        <w:t>:</w:t>
      </w:r>
    </w:p>
    <w:p w14:paraId="54BA7718" w14:textId="77777777" w:rsidR="005114D9" w:rsidRPr="005D062F" w:rsidRDefault="005114D9" w:rsidP="00CB030B">
      <w:pPr>
        <w:contextualSpacing/>
        <w:jc w:val="both"/>
        <w:rPr>
          <w:rFonts w:ascii="Times New Roman" w:eastAsia="MS PGothic" w:hAnsi="Times New Roman" w:cs="Times New Roman"/>
          <w:kern w:val="24"/>
          <w:sz w:val="22"/>
          <w:szCs w:val="22"/>
          <w:lang w:val="fr-FR"/>
        </w:rPr>
      </w:pPr>
    </w:p>
    <w:p w14:paraId="48328064" w14:textId="7887B0D1" w:rsidR="005114D9" w:rsidRPr="005D062F" w:rsidRDefault="00CF18F1" w:rsidP="00CB030B">
      <w:pPr>
        <w:pStyle w:val="ListParagraph"/>
        <w:numPr>
          <w:ilvl w:val="0"/>
          <w:numId w:val="39"/>
        </w:numPr>
        <w:ind w:left="2160" w:hanging="720"/>
        <w:contextualSpacing/>
        <w:jc w:val="both"/>
        <w:rPr>
          <w:rFonts w:eastAsia="Times New Roman"/>
          <w:sz w:val="22"/>
          <w:szCs w:val="22"/>
          <w:lang w:val="fr-FR"/>
        </w:rPr>
      </w:pPr>
      <w:r w:rsidRPr="005D062F">
        <w:rPr>
          <w:rFonts w:eastAsia="Times New Roman"/>
          <w:sz w:val="22"/>
          <w:szCs w:val="22"/>
          <w:lang w:val="fr-FR"/>
        </w:rPr>
        <w:t>Le renforcement des MPME par l’</w:t>
      </w:r>
      <w:r w:rsidR="00F17BA3" w:rsidRPr="005D062F">
        <w:rPr>
          <w:rFonts w:eastAsia="Times New Roman"/>
          <w:sz w:val="22"/>
          <w:szCs w:val="22"/>
          <w:lang w:val="fr-FR"/>
        </w:rPr>
        <w:t>innovation et la technologie</w:t>
      </w:r>
      <w:r w:rsidR="00543D52" w:rsidRPr="005D062F">
        <w:rPr>
          <w:rFonts w:eastAsia="Times New Roman"/>
          <w:sz w:val="22"/>
          <w:szCs w:val="22"/>
          <w:lang w:val="fr-FR"/>
        </w:rPr>
        <w:t>.</w:t>
      </w:r>
    </w:p>
    <w:p w14:paraId="75EBDE20" w14:textId="2EFC881F" w:rsidR="005114D9" w:rsidRPr="005D062F" w:rsidRDefault="00CF18F1" w:rsidP="00CB030B">
      <w:pPr>
        <w:pStyle w:val="ListParagraph"/>
        <w:numPr>
          <w:ilvl w:val="0"/>
          <w:numId w:val="39"/>
        </w:numPr>
        <w:ind w:left="2160" w:hanging="720"/>
        <w:contextualSpacing/>
        <w:jc w:val="both"/>
        <w:rPr>
          <w:rFonts w:eastAsia="Times New Roman"/>
          <w:sz w:val="22"/>
          <w:szCs w:val="22"/>
          <w:lang w:val="fr-FR"/>
        </w:rPr>
      </w:pPr>
      <w:r w:rsidRPr="005D062F">
        <w:rPr>
          <w:rFonts w:eastAsia="Times New Roman"/>
          <w:sz w:val="22"/>
          <w:szCs w:val="22"/>
          <w:lang w:val="fr-FR"/>
        </w:rPr>
        <w:t>La reconversion de la main-d’</w:t>
      </w:r>
      <w:r w:rsidR="00F17BA3" w:rsidRPr="005D062F">
        <w:rPr>
          <w:rFonts w:eastAsia="Times New Roman"/>
          <w:sz w:val="22"/>
          <w:szCs w:val="22"/>
          <w:lang w:val="fr-FR"/>
        </w:rPr>
        <w:t>œuvre par une approche innovante en vue du relèvement du secteur du tourisme et des économies régionales</w:t>
      </w:r>
      <w:r w:rsidR="00543D52" w:rsidRPr="005D062F">
        <w:rPr>
          <w:rFonts w:eastAsia="Times New Roman"/>
          <w:sz w:val="22"/>
          <w:szCs w:val="22"/>
          <w:lang w:val="fr-FR"/>
        </w:rPr>
        <w:t>.</w:t>
      </w:r>
    </w:p>
    <w:p w14:paraId="64185C51" w14:textId="3891240C" w:rsidR="005114D9" w:rsidRPr="005D062F" w:rsidRDefault="00CF18F1" w:rsidP="00CB030B">
      <w:pPr>
        <w:pStyle w:val="ListParagraph"/>
        <w:numPr>
          <w:ilvl w:val="0"/>
          <w:numId w:val="39"/>
        </w:numPr>
        <w:ind w:left="2160" w:hanging="720"/>
        <w:contextualSpacing/>
        <w:jc w:val="both"/>
        <w:rPr>
          <w:rFonts w:eastAsia="Times New Roman"/>
          <w:sz w:val="22"/>
          <w:szCs w:val="22"/>
          <w:lang w:val="fr-FR"/>
        </w:rPr>
      </w:pPr>
      <w:r w:rsidRPr="005D062F">
        <w:rPr>
          <w:rFonts w:eastAsia="Times New Roman"/>
          <w:sz w:val="22"/>
          <w:szCs w:val="22"/>
          <w:lang w:val="fr-FR"/>
        </w:rPr>
        <w:t>L’</w:t>
      </w:r>
      <w:r w:rsidR="00F17BA3" w:rsidRPr="005D062F">
        <w:rPr>
          <w:rFonts w:eastAsia="Times New Roman"/>
          <w:sz w:val="22"/>
          <w:szCs w:val="22"/>
          <w:lang w:val="fr-FR"/>
        </w:rPr>
        <w:t>innovation scientifique et technologique au service de la résilience</w:t>
      </w:r>
      <w:r w:rsidR="00543D52" w:rsidRPr="005D062F">
        <w:rPr>
          <w:rFonts w:eastAsia="Times New Roman"/>
          <w:sz w:val="22"/>
          <w:szCs w:val="22"/>
          <w:lang w:val="fr-FR"/>
        </w:rPr>
        <w:t>.</w:t>
      </w:r>
    </w:p>
    <w:p w14:paraId="08B96032" w14:textId="67C8251A" w:rsidR="00543D52" w:rsidRPr="005D062F" w:rsidRDefault="00F17BA3" w:rsidP="00CB030B">
      <w:pPr>
        <w:pStyle w:val="ListParagraph"/>
        <w:numPr>
          <w:ilvl w:val="0"/>
          <w:numId w:val="39"/>
        </w:numPr>
        <w:ind w:left="2160" w:hanging="720"/>
        <w:contextualSpacing/>
        <w:jc w:val="both"/>
        <w:rPr>
          <w:rFonts w:eastAsia="Times New Roman"/>
          <w:sz w:val="22"/>
          <w:szCs w:val="22"/>
          <w:lang w:val="fr-FR"/>
        </w:rPr>
      </w:pPr>
      <w:r w:rsidRPr="005D062F">
        <w:rPr>
          <w:rFonts w:eastAsia="Times New Roman"/>
          <w:sz w:val="22"/>
          <w:szCs w:val="22"/>
          <w:lang w:val="fr-FR"/>
        </w:rPr>
        <w:t>La science au service de la prise de décision dans la planification des risques de catastrophe</w:t>
      </w:r>
      <w:r w:rsidR="00543D52" w:rsidRPr="005D062F">
        <w:rPr>
          <w:rFonts w:eastAsia="Times New Roman"/>
          <w:sz w:val="22"/>
          <w:szCs w:val="22"/>
          <w:lang w:val="fr-FR"/>
        </w:rPr>
        <w:t>.</w:t>
      </w:r>
    </w:p>
    <w:p w14:paraId="6196D26C" w14:textId="77777777" w:rsidR="005114D9" w:rsidRPr="005D062F" w:rsidRDefault="005114D9" w:rsidP="00CB030B">
      <w:pPr>
        <w:contextualSpacing/>
        <w:jc w:val="both"/>
        <w:rPr>
          <w:rFonts w:ascii="Times New Roman" w:hAnsi="Times New Roman" w:cs="Times New Roman"/>
          <w:color w:val="000000"/>
          <w:sz w:val="22"/>
          <w:szCs w:val="22"/>
          <w:lang w:val="fr-FR"/>
        </w:rPr>
      </w:pPr>
    </w:p>
    <w:p w14:paraId="4AAC0CFE" w14:textId="65FCA953" w:rsidR="00543D52" w:rsidRPr="00E409C2" w:rsidRDefault="00FE3880" w:rsidP="006E7478">
      <w:pPr>
        <w:pStyle w:val="ListParagraph"/>
        <w:numPr>
          <w:ilvl w:val="0"/>
          <w:numId w:val="35"/>
        </w:numPr>
        <w:ind w:left="1440" w:hanging="720"/>
        <w:contextualSpacing/>
        <w:jc w:val="both"/>
        <w:rPr>
          <w:sz w:val="22"/>
          <w:szCs w:val="22"/>
          <w:u w:val="single"/>
          <w:lang w:val="fr-FR"/>
        </w:rPr>
      </w:pPr>
      <w:r w:rsidRPr="005D062F">
        <w:rPr>
          <w:rFonts w:eastAsia="Times New Roman"/>
          <w:color w:val="000000"/>
          <w:sz w:val="22"/>
          <w:szCs w:val="22"/>
          <w:lang w:val="fr-FR"/>
        </w:rPr>
        <w:t xml:space="preserve">Le domaine </w:t>
      </w:r>
      <w:r w:rsidRPr="006E7478">
        <w:rPr>
          <w:sz w:val="22"/>
          <w:szCs w:val="22"/>
          <w:lang w:val="fr-FR"/>
        </w:rPr>
        <w:t>d’</w:t>
      </w:r>
      <w:r w:rsidR="00E633AC" w:rsidRPr="006E7478">
        <w:rPr>
          <w:sz w:val="22"/>
          <w:szCs w:val="22"/>
          <w:lang w:val="fr-FR"/>
        </w:rPr>
        <w:t>action</w:t>
      </w:r>
      <w:r w:rsidR="00E633AC" w:rsidRPr="005D062F">
        <w:rPr>
          <w:rFonts w:eastAsia="Times New Roman"/>
          <w:color w:val="000000"/>
          <w:sz w:val="22"/>
          <w:szCs w:val="22"/>
          <w:lang w:val="fr-FR"/>
        </w:rPr>
        <w:t xml:space="preserve"> et les thèmes correspondants ont été approuvés par le CIDI lors de sa réunion ordinaire, tenue le 8 décembre</w:t>
      </w:r>
      <w:r w:rsidR="00543D52" w:rsidRPr="005D062F">
        <w:rPr>
          <w:color w:val="000000"/>
          <w:sz w:val="22"/>
          <w:szCs w:val="22"/>
          <w:lang w:val="fr-FR"/>
        </w:rPr>
        <w:t xml:space="preserve"> 2020 </w:t>
      </w:r>
      <w:r w:rsidR="005114D9" w:rsidRPr="005D062F">
        <w:rPr>
          <w:color w:val="000000"/>
          <w:sz w:val="22"/>
          <w:szCs w:val="22"/>
          <w:lang w:val="fr-FR"/>
        </w:rPr>
        <w:t>(</w:t>
      </w:r>
      <w:hyperlink r:id="rId24" w:tgtFrame="_blank" w:history="1">
        <w:r w:rsidR="00543D52" w:rsidRPr="005D062F">
          <w:rPr>
            <w:color w:val="0563C1" w:themeColor="hyperlink"/>
            <w:sz w:val="22"/>
            <w:szCs w:val="22"/>
            <w:u w:val="single"/>
            <w:lang w:val="fr-FR"/>
          </w:rPr>
          <w:t xml:space="preserve">CIDI/doc.304/20 </w:t>
        </w:r>
        <w:r w:rsidR="00B25E7B" w:rsidRPr="005D062F">
          <w:rPr>
            <w:color w:val="0563C1" w:themeColor="hyperlink"/>
            <w:sz w:val="22"/>
            <w:szCs w:val="22"/>
            <w:u w:val="single"/>
            <w:lang w:val="fr-FR"/>
          </w:rPr>
          <w:t>rev. 1</w:t>
        </w:r>
      </w:hyperlink>
      <w:r w:rsidR="00543D52" w:rsidRPr="005D062F">
        <w:rPr>
          <w:color w:val="000000" w:themeColor="text1"/>
          <w:sz w:val="22"/>
          <w:szCs w:val="22"/>
          <w:lang w:val="fr-FR"/>
        </w:rPr>
        <w:t>.</w:t>
      </w:r>
      <w:r w:rsidR="005114D9" w:rsidRPr="005D062F">
        <w:rPr>
          <w:color w:val="000000" w:themeColor="text1"/>
          <w:sz w:val="22"/>
          <w:szCs w:val="22"/>
          <w:lang w:val="fr-FR"/>
        </w:rPr>
        <w:t>)</w:t>
      </w:r>
    </w:p>
    <w:p w14:paraId="457B5A45" w14:textId="77777777" w:rsidR="00543D52" w:rsidRPr="005D062F" w:rsidRDefault="00543D52" w:rsidP="00723DAD">
      <w:pPr>
        <w:jc w:val="both"/>
        <w:rPr>
          <w:rFonts w:ascii="Times New Roman" w:eastAsia="MS PGothic" w:hAnsi="Times New Roman" w:cs="Times New Roman"/>
          <w:kern w:val="24"/>
          <w:sz w:val="22"/>
          <w:szCs w:val="22"/>
          <w:lang w:val="fr-FR"/>
        </w:rPr>
      </w:pPr>
    </w:p>
    <w:p w14:paraId="2702473C" w14:textId="19034F1E" w:rsidR="00543D52" w:rsidRPr="005D062F" w:rsidRDefault="00E633AC" w:rsidP="00CB030B">
      <w:pPr>
        <w:pStyle w:val="ListParagraph"/>
        <w:numPr>
          <w:ilvl w:val="0"/>
          <w:numId w:val="40"/>
        </w:numPr>
        <w:ind w:left="1440" w:hanging="720"/>
        <w:contextualSpacing/>
        <w:jc w:val="both"/>
        <w:rPr>
          <w:spacing w:val="-2"/>
          <w:sz w:val="22"/>
          <w:szCs w:val="22"/>
          <w:lang w:val="fr-FR"/>
        </w:rPr>
      </w:pPr>
      <w:r w:rsidRPr="005D062F">
        <w:rPr>
          <w:spacing w:val="-2"/>
          <w:sz w:val="22"/>
          <w:szCs w:val="22"/>
          <w:lang w:val="fr-FR"/>
        </w:rPr>
        <w:t>Le 24 août</w:t>
      </w:r>
      <w:r w:rsidR="005114D9" w:rsidRPr="005D062F">
        <w:rPr>
          <w:spacing w:val="-2"/>
          <w:sz w:val="22"/>
          <w:szCs w:val="22"/>
          <w:lang w:val="fr-FR"/>
        </w:rPr>
        <w:t xml:space="preserve"> 2021</w:t>
      </w:r>
      <w:r w:rsidRPr="005D062F">
        <w:rPr>
          <w:spacing w:val="-2"/>
          <w:sz w:val="22"/>
          <w:szCs w:val="22"/>
          <w:lang w:val="fr-FR"/>
        </w:rPr>
        <w:t>,</w:t>
      </w:r>
      <w:r w:rsidR="005114D9" w:rsidRPr="005D062F">
        <w:rPr>
          <w:spacing w:val="-2"/>
          <w:sz w:val="22"/>
          <w:szCs w:val="22"/>
          <w:lang w:val="fr-FR"/>
        </w:rPr>
        <w:t xml:space="preserve"> </w:t>
      </w:r>
      <w:r w:rsidRPr="005D062F">
        <w:rPr>
          <w:spacing w:val="-2"/>
          <w:sz w:val="22"/>
          <w:szCs w:val="22"/>
          <w:lang w:val="fr-FR"/>
        </w:rPr>
        <w:t>l</w:t>
      </w:r>
      <w:r w:rsidR="00543D52" w:rsidRPr="005D062F">
        <w:rPr>
          <w:spacing w:val="-2"/>
          <w:sz w:val="22"/>
          <w:szCs w:val="22"/>
          <w:lang w:val="fr-FR"/>
        </w:rPr>
        <w:t xml:space="preserve">e </w:t>
      </w:r>
      <w:r w:rsidRPr="005D062F">
        <w:rPr>
          <w:rFonts w:eastAsia="Times New Roman"/>
          <w:sz w:val="22"/>
          <w:szCs w:val="22"/>
          <w:lang w:val="fr-FR"/>
        </w:rPr>
        <w:t>CA/AICD a approuvé le fonds d’amorçage de 1,7 million USD</w:t>
      </w:r>
      <w:r w:rsidRPr="005D062F">
        <w:rPr>
          <w:spacing w:val="-2"/>
          <w:sz w:val="22"/>
          <w:szCs w:val="22"/>
          <w:lang w:val="fr-FR"/>
        </w:rPr>
        <w:t xml:space="preserve"> </w:t>
      </w:r>
      <w:r w:rsidR="00543D52" w:rsidRPr="005D062F">
        <w:rPr>
          <w:spacing w:val="-2"/>
          <w:sz w:val="22"/>
          <w:szCs w:val="22"/>
          <w:lang w:val="fr-FR"/>
        </w:rPr>
        <w:t>(</w:t>
      </w:r>
      <w:hyperlink r:id="rId25" w:history="1">
        <w:r w:rsidR="00543D52" w:rsidRPr="005D062F">
          <w:rPr>
            <w:color w:val="0563C1" w:themeColor="hyperlink"/>
            <w:spacing w:val="-2"/>
            <w:sz w:val="22"/>
            <w:szCs w:val="22"/>
            <w:u w:val="single"/>
            <w:lang w:val="fr-FR"/>
          </w:rPr>
          <w:t>AICD/JD/DE-130/21</w:t>
        </w:r>
      </w:hyperlink>
      <w:r w:rsidRPr="005D062F">
        <w:rPr>
          <w:spacing w:val="-2"/>
          <w:sz w:val="22"/>
          <w:szCs w:val="22"/>
          <w:lang w:val="fr-FR"/>
        </w:rPr>
        <w:t>, en anglais seulement</w:t>
      </w:r>
      <w:r w:rsidR="00543D52" w:rsidRPr="005D062F">
        <w:rPr>
          <w:spacing w:val="-2"/>
          <w:sz w:val="22"/>
          <w:szCs w:val="22"/>
          <w:lang w:val="fr-FR"/>
        </w:rPr>
        <w:t xml:space="preserve">) </w:t>
      </w:r>
      <w:r w:rsidRPr="005D062F">
        <w:rPr>
          <w:rFonts w:eastAsia="Times New Roman"/>
          <w:sz w:val="22"/>
          <w:szCs w:val="22"/>
          <w:lang w:val="fr-FR"/>
        </w:rPr>
        <w:t xml:space="preserve">et, le 2 novembre </w:t>
      </w:r>
      <w:r w:rsidR="00543D52" w:rsidRPr="005D062F">
        <w:rPr>
          <w:sz w:val="22"/>
          <w:szCs w:val="22"/>
          <w:lang w:val="fr-FR"/>
        </w:rPr>
        <w:t>2021</w:t>
      </w:r>
      <w:r w:rsidRPr="005D062F">
        <w:rPr>
          <w:sz w:val="22"/>
          <w:szCs w:val="22"/>
          <w:lang w:val="fr-FR"/>
        </w:rPr>
        <w:t>,</w:t>
      </w:r>
      <w:r w:rsidR="00543D52" w:rsidRPr="005D062F">
        <w:rPr>
          <w:sz w:val="22"/>
          <w:szCs w:val="22"/>
          <w:lang w:val="fr-FR"/>
        </w:rPr>
        <w:t xml:space="preserve"> </w:t>
      </w:r>
      <w:r w:rsidRPr="005D062F">
        <w:rPr>
          <w:rFonts w:eastAsia="Times New Roman"/>
          <w:sz w:val="22"/>
          <w:szCs w:val="22"/>
          <w:lang w:val="fr-FR"/>
        </w:rPr>
        <w:t>a ajouté 100 000 USD</w:t>
      </w:r>
      <w:r w:rsidRPr="005D062F">
        <w:rPr>
          <w:sz w:val="22"/>
          <w:szCs w:val="22"/>
          <w:lang w:val="fr-FR"/>
        </w:rPr>
        <w:t xml:space="preserve"> </w:t>
      </w:r>
      <w:r w:rsidR="005114D9" w:rsidRPr="005D062F">
        <w:rPr>
          <w:sz w:val="22"/>
          <w:szCs w:val="22"/>
          <w:lang w:val="fr-FR"/>
        </w:rPr>
        <w:t>(</w:t>
      </w:r>
      <w:hyperlink r:id="rId26" w:history="1">
        <w:r w:rsidR="005114D9" w:rsidRPr="005D062F">
          <w:rPr>
            <w:color w:val="0563C1" w:themeColor="hyperlink"/>
            <w:sz w:val="22"/>
            <w:szCs w:val="22"/>
            <w:u w:val="single"/>
            <w:lang w:val="fr-FR"/>
          </w:rPr>
          <w:t>AICD/JD/DE-131/21</w:t>
        </w:r>
      </w:hyperlink>
      <w:r w:rsidRPr="005D062F">
        <w:rPr>
          <w:sz w:val="22"/>
          <w:szCs w:val="22"/>
          <w:lang w:val="fr-FR"/>
        </w:rPr>
        <w:t xml:space="preserve">, </w:t>
      </w:r>
      <w:r w:rsidRPr="005D062F">
        <w:rPr>
          <w:spacing w:val="-2"/>
          <w:sz w:val="22"/>
          <w:szCs w:val="22"/>
          <w:lang w:val="fr-FR"/>
        </w:rPr>
        <w:t>en anglais seulement</w:t>
      </w:r>
      <w:r w:rsidR="005114D9" w:rsidRPr="005D062F">
        <w:rPr>
          <w:sz w:val="22"/>
          <w:szCs w:val="22"/>
          <w:lang w:val="fr-FR"/>
        </w:rPr>
        <w:t xml:space="preserve">) </w:t>
      </w:r>
      <w:r w:rsidRPr="005D062F">
        <w:rPr>
          <w:rFonts w:eastAsia="Times New Roman"/>
          <w:sz w:val="22"/>
          <w:szCs w:val="22"/>
          <w:lang w:val="fr-FR"/>
        </w:rPr>
        <w:t>parvenant à un total de 1,8 million USD pour le cycle de programmation 2021-2024</w:t>
      </w:r>
      <w:r w:rsidR="00745A2A" w:rsidRPr="005D062F">
        <w:rPr>
          <w:sz w:val="22"/>
          <w:szCs w:val="22"/>
          <w:lang w:val="fr-FR"/>
        </w:rPr>
        <w:t xml:space="preserve"> </w:t>
      </w:r>
      <w:r w:rsidR="00A05458" w:rsidRPr="005D062F">
        <w:rPr>
          <w:sz w:val="22"/>
          <w:szCs w:val="22"/>
          <w:lang w:val="fr-FR"/>
        </w:rPr>
        <w:t>(</w:t>
      </w:r>
      <w:r w:rsidRPr="005D062F">
        <w:rPr>
          <w:sz w:val="22"/>
          <w:szCs w:val="22"/>
          <w:lang w:val="fr-FR"/>
        </w:rPr>
        <w:t xml:space="preserve">Cet ajout est intervenu </w:t>
      </w:r>
      <w:r w:rsidRPr="005D062F">
        <w:rPr>
          <w:rFonts w:eastAsia="Times New Roman"/>
          <w:sz w:val="22"/>
          <w:szCs w:val="22"/>
          <w:lang w:val="fr-FR"/>
        </w:rPr>
        <w:t>en réponse à l’inclusion de Saint-Vincent-et-Grenadines comme bénéficiaire</w:t>
      </w:r>
      <w:bookmarkEnd w:id="30"/>
      <w:r w:rsidR="00A05458" w:rsidRPr="005D062F">
        <w:rPr>
          <w:rFonts w:eastAsia="MS PGothic"/>
          <w:kern w:val="24"/>
          <w:sz w:val="22"/>
          <w:szCs w:val="22"/>
          <w:lang w:val="fr-FR"/>
        </w:rPr>
        <w:t>.)</w:t>
      </w:r>
      <w:r w:rsidR="00745A2A" w:rsidRPr="005D062F">
        <w:rPr>
          <w:rFonts w:eastAsia="MS PGothic"/>
          <w:kern w:val="24"/>
          <w:sz w:val="22"/>
          <w:szCs w:val="22"/>
          <w:lang w:val="fr-FR"/>
        </w:rPr>
        <w:t>.</w:t>
      </w:r>
    </w:p>
    <w:p w14:paraId="6BC19C1F" w14:textId="77777777" w:rsidR="00A05458" w:rsidRPr="005D062F" w:rsidRDefault="00A05458" w:rsidP="00723DAD">
      <w:pPr>
        <w:jc w:val="both"/>
        <w:rPr>
          <w:rFonts w:ascii="Times New Roman" w:hAnsi="Times New Roman" w:cs="Times New Roman"/>
          <w:spacing w:val="-2"/>
          <w:sz w:val="22"/>
          <w:szCs w:val="22"/>
          <w:lang w:val="fr-FR"/>
        </w:rPr>
      </w:pPr>
    </w:p>
    <w:p w14:paraId="7E129587" w14:textId="5A2B1861" w:rsidR="00A05458" w:rsidRPr="005D062F" w:rsidRDefault="00697D7D" w:rsidP="00CB030B">
      <w:pPr>
        <w:pStyle w:val="ListParagraph"/>
        <w:numPr>
          <w:ilvl w:val="0"/>
          <w:numId w:val="40"/>
        </w:numPr>
        <w:ind w:left="1440" w:hanging="720"/>
        <w:jc w:val="both"/>
        <w:rPr>
          <w:spacing w:val="-2"/>
          <w:sz w:val="22"/>
          <w:szCs w:val="22"/>
          <w:lang w:val="fr-FR"/>
        </w:rPr>
      </w:pPr>
      <w:r w:rsidRPr="005D062F">
        <w:rPr>
          <w:spacing w:val="-2"/>
          <w:sz w:val="22"/>
          <w:szCs w:val="22"/>
          <w:lang w:val="fr-FR"/>
        </w:rPr>
        <w:t>Dix-huit (18) pays sont éligibles pour participer au cycle de programmation 2021-2024 du FCD/OEA et mettre en œuvre un projet sur l’un des quatre thèmes susmentionnés</w:t>
      </w:r>
      <w:r w:rsidR="00A05458" w:rsidRPr="005D062F">
        <w:rPr>
          <w:spacing w:val="-2"/>
          <w:sz w:val="22"/>
          <w:szCs w:val="22"/>
          <w:lang w:val="fr-FR"/>
        </w:rPr>
        <w:t xml:space="preserve">. </w:t>
      </w:r>
      <w:r w:rsidR="004D4F5F" w:rsidRPr="005D062F">
        <w:rPr>
          <w:spacing w:val="-2"/>
          <w:sz w:val="22"/>
          <w:szCs w:val="22"/>
          <w:lang w:val="fr-FR"/>
        </w:rPr>
        <w:t>Cette année</w:t>
      </w:r>
      <w:r w:rsidR="00A05458" w:rsidRPr="005D062F">
        <w:rPr>
          <w:spacing w:val="-2"/>
          <w:sz w:val="22"/>
          <w:szCs w:val="22"/>
          <w:lang w:val="fr-FR"/>
        </w:rPr>
        <w:t xml:space="preserve">, </w:t>
      </w:r>
      <w:r w:rsidR="00E409C2">
        <w:rPr>
          <w:spacing w:val="-2"/>
          <w:sz w:val="22"/>
          <w:szCs w:val="22"/>
          <w:lang w:val="fr-FR"/>
        </w:rPr>
        <w:t>15</w:t>
      </w:r>
      <w:r w:rsidR="004D4F5F" w:rsidRPr="005D062F">
        <w:rPr>
          <w:spacing w:val="-2"/>
          <w:sz w:val="22"/>
          <w:szCs w:val="22"/>
          <w:lang w:val="fr-FR"/>
        </w:rPr>
        <w:t xml:space="preserve"> projets </w:t>
      </w:r>
      <w:r w:rsidR="00401298" w:rsidRPr="005D062F">
        <w:rPr>
          <w:spacing w:val="-2"/>
          <w:sz w:val="22"/>
          <w:szCs w:val="22"/>
          <w:lang w:val="fr-FR"/>
        </w:rPr>
        <w:t>ont vu leurs plans d</w:t>
      </w:r>
      <w:r w:rsidR="00CF18F1" w:rsidRPr="005D062F">
        <w:rPr>
          <w:spacing w:val="-2"/>
          <w:sz w:val="22"/>
          <w:szCs w:val="22"/>
          <w:lang w:val="fr-FR"/>
        </w:rPr>
        <w:t>’</w:t>
      </w:r>
      <w:r w:rsidR="00401298" w:rsidRPr="005D062F">
        <w:rPr>
          <w:spacing w:val="-2"/>
          <w:sz w:val="22"/>
          <w:szCs w:val="22"/>
          <w:lang w:val="fr-FR"/>
        </w:rPr>
        <w:t>exécution approuvés et ont démarré la mise en œuvre</w:t>
      </w:r>
      <w:r w:rsidR="00A05458" w:rsidRPr="005D062F">
        <w:rPr>
          <w:spacing w:val="-2"/>
          <w:sz w:val="22"/>
          <w:szCs w:val="22"/>
          <w:lang w:val="fr-FR"/>
        </w:rPr>
        <w:t xml:space="preserve">. </w:t>
      </w:r>
      <w:r w:rsidR="004D4F5F" w:rsidRPr="005D062F">
        <w:rPr>
          <w:spacing w:val="-2"/>
          <w:sz w:val="22"/>
          <w:szCs w:val="22"/>
          <w:lang w:val="fr-FR"/>
        </w:rPr>
        <w:t>Au dernier trimestre</w:t>
      </w:r>
      <w:r w:rsidR="00A05458" w:rsidRPr="005D062F">
        <w:rPr>
          <w:spacing w:val="-2"/>
          <w:sz w:val="22"/>
          <w:szCs w:val="22"/>
          <w:lang w:val="fr-FR"/>
        </w:rPr>
        <w:t xml:space="preserve"> 2022, </w:t>
      </w:r>
      <w:r w:rsidR="004D4F5F" w:rsidRPr="005D062F">
        <w:rPr>
          <w:spacing w:val="-2"/>
          <w:sz w:val="22"/>
          <w:szCs w:val="22"/>
          <w:lang w:val="fr-FR"/>
        </w:rPr>
        <w:t xml:space="preserve">quatre </w:t>
      </w:r>
      <w:r w:rsidR="00A05458" w:rsidRPr="005D062F">
        <w:rPr>
          <w:spacing w:val="-2"/>
          <w:sz w:val="22"/>
          <w:szCs w:val="22"/>
          <w:lang w:val="fr-FR"/>
        </w:rPr>
        <w:t>program</w:t>
      </w:r>
      <w:r w:rsidR="004D4F5F" w:rsidRPr="005D062F">
        <w:rPr>
          <w:spacing w:val="-2"/>
          <w:sz w:val="22"/>
          <w:szCs w:val="22"/>
          <w:lang w:val="fr-FR"/>
        </w:rPr>
        <w:t>me</w:t>
      </w:r>
      <w:r w:rsidR="00A05458" w:rsidRPr="005D062F">
        <w:rPr>
          <w:spacing w:val="-2"/>
          <w:sz w:val="22"/>
          <w:szCs w:val="22"/>
          <w:lang w:val="fr-FR"/>
        </w:rPr>
        <w:t>s</w:t>
      </w:r>
      <w:r w:rsidR="00F95CD7" w:rsidRPr="005D062F">
        <w:rPr>
          <w:spacing w:val="-2"/>
          <w:sz w:val="22"/>
          <w:szCs w:val="22"/>
          <w:lang w:val="fr-FR"/>
        </w:rPr>
        <w:t xml:space="preserve"> ont subi des retards de mise en œuvre en raison des processus </w:t>
      </w:r>
      <w:r w:rsidR="00A05458" w:rsidRPr="005D062F">
        <w:rPr>
          <w:spacing w:val="-2"/>
          <w:sz w:val="22"/>
          <w:szCs w:val="22"/>
          <w:lang w:val="fr-FR"/>
        </w:rPr>
        <w:t>administrati</w:t>
      </w:r>
      <w:r w:rsidR="00F95CD7" w:rsidRPr="005D062F">
        <w:rPr>
          <w:spacing w:val="-2"/>
          <w:sz w:val="22"/>
          <w:szCs w:val="22"/>
          <w:lang w:val="fr-FR"/>
        </w:rPr>
        <w:t xml:space="preserve">fs internes ou ont lancé une activité de </w:t>
      </w:r>
      <w:r w:rsidR="00A05458" w:rsidRPr="005D062F">
        <w:rPr>
          <w:spacing w:val="-2"/>
          <w:sz w:val="22"/>
          <w:szCs w:val="22"/>
          <w:lang w:val="fr-FR"/>
        </w:rPr>
        <w:t>restructur</w:t>
      </w:r>
      <w:r w:rsidR="00F95CD7" w:rsidRPr="005D062F">
        <w:rPr>
          <w:spacing w:val="-2"/>
          <w:sz w:val="22"/>
          <w:szCs w:val="22"/>
          <w:lang w:val="fr-FR"/>
        </w:rPr>
        <w:t>ation pour mieux répondre aux besoins de leur pays</w:t>
      </w:r>
      <w:r w:rsidR="00A05458" w:rsidRPr="005D062F">
        <w:rPr>
          <w:spacing w:val="-2"/>
          <w:sz w:val="22"/>
          <w:szCs w:val="22"/>
          <w:lang w:val="fr-FR"/>
        </w:rPr>
        <w:t xml:space="preserve">. </w:t>
      </w:r>
    </w:p>
    <w:p w14:paraId="4D25516E" w14:textId="77777777" w:rsidR="008D58EF" w:rsidRPr="005D062F" w:rsidRDefault="008D58EF" w:rsidP="00CB030B">
      <w:pPr>
        <w:rPr>
          <w:rFonts w:ascii="Times New Roman" w:hAnsi="Times New Roman" w:cs="Times New Roman"/>
          <w:spacing w:val="-2"/>
          <w:sz w:val="22"/>
          <w:szCs w:val="22"/>
          <w:lang w:val="fr-FR"/>
        </w:rPr>
      </w:pPr>
    </w:p>
    <w:p w14:paraId="0A91206A" w14:textId="20C1DE7D" w:rsidR="00F86E25" w:rsidRPr="005D062F" w:rsidRDefault="00C2663A" w:rsidP="002D4DF7">
      <w:pPr>
        <w:pStyle w:val="Heading2"/>
      </w:pPr>
      <w:bookmarkStart w:id="31" w:name="_Toc124243418"/>
      <w:r w:rsidRPr="005D062F">
        <w:t>OBJECTIF</w:t>
      </w:r>
      <w:r w:rsidR="007818BC" w:rsidRPr="005D062F">
        <w:t xml:space="preserve"> </w:t>
      </w:r>
      <w:r w:rsidR="00B46A1B" w:rsidRPr="005D062F">
        <w:t>5</w:t>
      </w:r>
      <w:r w:rsidR="007818BC" w:rsidRPr="005D062F">
        <w:t>.1</w:t>
      </w:r>
      <w:bookmarkEnd w:id="31"/>
    </w:p>
    <w:p w14:paraId="11551228" w14:textId="77777777" w:rsidR="00F86E25" w:rsidRPr="005D062F" w:rsidRDefault="00F86E25" w:rsidP="00607D18">
      <w:pPr>
        <w:jc w:val="both"/>
        <w:rPr>
          <w:rFonts w:ascii="Times New Roman" w:hAnsi="Times New Roman" w:cs="Times New Roman"/>
          <w:bCs/>
          <w:sz w:val="22"/>
          <w:szCs w:val="22"/>
          <w:lang w:val="fr-FR"/>
        </w:rPr>
      </w:pPr>
    </w:p>
    <w:p w14:paraId="1D79FD20" w14:textId="262D6AEB" w:rsidR="007818BC" w:rsidRPr="005D062F" w:rsidRDefault="00682B03" w:rsidP="00607D18">
      <w:pPr>
        <w:ind w:firstLine="720"/>
        <w:jc w:val="both"/>
        <w:rPr>
          <w:rFonts w:ascii="Times New Roman" w:hAnsi="Times New Roman" w:cs="Times New Roman"/>
          <w:bCs/>
          <w:sz w:val="22"/>
          <w:szCs w:val="22"/>
          <w:lang w:val="fr-FR"/>
        </w:rPr>
      </w:pPr>
      <w:r w:rsidRPr="005D062F">
        <w:rPr>
          <w:rFonts w:ascii="Times New Roman" w:hAnsi="Times New Roman" w:cs="Times New Roman"/>
          <w:bCs/>
          <w:sz w:val="22"/>
          <w:szCs w:val="22"/>
          <w:lang w:val="fr-FR"/>
        </w:rPr>
        <w:t xml:space="preserve">Promouvoir la coopération bilatérale, Sud-Sud, </w:t>
      </w:r>
      <w:r w:rsidR="007818BC" w:rsidRPr="005D062F">
        <w:rPr>
          <w:rFonts w:ascii="Times New Roman" w:hAnsi="Times New Roman" w:cs="Times New Roman"/>
          <w:bCs/>
          <w:sz w:val="22"/>
          <w:szCs w:val="22"/>
          <w:lang w:val="fr-FR"/>
        </w:rPr>
        <w:t>triangula</w:t>
      </w:r>
      <w:r w:rsidRPr="005D062F">
        <w:rPr>
          <w:rFonts w:ascii="Times New Roman" w:hAnsi="Times New Roman" w:cs="Times New Roman"/>
          <w:bCs/>
          <w:sz w:val="22"/>
          <w:szCs w:val="22"/>
          <w:lang w:val="fr-FR"/>
        </w:rPr>
        <w:t>i</w:t>
      </w:r>
      <w:r w:rsidR="007818BC" w:rsidRPr="005D062F">
        <w:rPr>
          <w:rFonts w:ascii="Times New Roman" w:hAnsi="Times New Roman" w:cs="Times New Roman"/>
          <w:bCs/>
          <w:sz w:val="22"/>
          <w:szCs w:val="22"/>
          <w:lang w:val="fr-FR"/>
        </w:rPr>
        <w:t>r</w:t>
      </w:r>
      <w:r w:rsidRPr="005D062F">
        <w:rPr>
          <w:rFonts w:ascii="Times New Roman" w:hAnsi="Times New Roman" w:cs="Times New Roman"/>
          <w:bCs/>
          <w:sz w:val="22"/>
          <w:szCs w:val="22"/>
          <w:lang w:val="fr-FR"/>
        </w:rPr>
        <w:t xml:space="preserve">e et </w:t>
      </w:r>
      <w:r w:rsidR="007818BC" w:rsidRPr="005D062F">
        <w:rPr>
          <w:rFonts w:ascii="Times New Roman" w:hAnsi="Times New Roman" w:cs="Times New Roman"/>
          <w:bCs/>
          <w:sz w:val="22"/>
          <w:szCs w:val="22"/>
          <w:lang w:val="fr-FR"/>
        </w:rPr>
        <w:t>international</w:t>
      </w:r>
      <w:r w:rsidRPr="005D062F">
        <w:rPr>
          <w:rFonts w:ascii="Times New Roman" w:hAnsi="Times New Roman" w:cs="Times New Roman"/>
          <w:bCs/>
          <w:sz w:val="22"/>
          <w:szCs w:val="22"/>
          <w:lang w:val="fr-FR"/>
        </w:rPr>
        <w:t>e à travers le continent</w:t>
      </w:r>
    </w:p>
    <w:p w14:paraId="745085A1" w14:textId="601C430D" w:rsidR="00543D52" w:rsidRPr="005D062F" w:rsidRDefault="00543D52" w:rsidP="00607D18">
      <w:pPr>
        <w:contextualSpacing/>
        <w:jc w:val="both"/>
        <w:rPr>
          <w:rFonts w:ascii="Times New Roman" w:hAnsi="Times New Roman" w:cs="Times New Roman"/>
          <w:spacing w:val="-2"/>
          <w:sz w:val="22"/>
          <w:szCs w:val="22"/>
          <w:lang w:val="fr-FR"/>
        </w:rPr>
      </w:pPr>
    </w:p>
    <w:p w14:paraId="59CF5490" w14:textId="1CD02F32" w:rsidR="007818BC" w:rsidRPr="005D062F" w:rsidRDefault="007818BC" w:rsidP="00607D18">
      <w:pPr>
        <w:ind w:firstLine="720"/>
        <w:jc w:val="both"/>
        <w:rPr>
          <w:rFonts w:ascii="Times New Roman" w:hAnsi="Times New Roman" w:cs="Times New Roman"/>
          <w:b/>
          <w:bCs/>
          <w:color w:val="000000" w:themeColor="text1"/>
          <w:sz w:val="22"/>
          <w:szCs w:val="22"/>
          <w:lang w:val="fr-FR"/>
        </w:rPr>
      </w:pPr>
      <w:r w:rsidRPr="005D062F">
        <w:rPr>
          <w:rFonts w:ascii="Times New Roman" w:hAnsi="Times New Roman" w:cs="Times New Roman"/>
          <w:b/>
          <w:bCs/>
          <w:color w:val="000000" w:themeColor="text1"/>
          <w:sz w:val="22"/>
          <w:szCs w:val="22"/>
          <w:lang w:val="fr-FR"/>
        </w:rPr>
        <w:t>Secr</w:t>
      </w:r>
      <w:r w:rsidR="00682B03" w:rsidRPr="005D062F">
        <w:rPr>
          <w:rFonts w:ascii="Times New Roman" w:hAnsi="Times New Roman" w:cs="Times New Roman"/>
          <w:b/>
          <w:bCs/>
          <w:color w:val="000000" w:themeColor="text1"/>
          <w:sz w:val="22"/>
          <w:szCs w:val="22"/>
          <w:lang w:val="fr-FR"/>
        </w:rPr>
        <w:t>é</w:t>
      </w:r>
      <w:r w:rsidRPr="005D062F">
        <w:rPr>
          <w:rFonts w:ascii="Times New Roman" w:hAnsi="Times New Roman" w:cs="Times New Roman"/>
          <w:b/>
          <w:bCs/>
          <w:color w:val="000000" w:themeColor="text1"/>
          <w:sz w:val="22"/>
          <w:szCs w:val="22"/>
          <w:lang w:val="fr-FR"/>
        </w:rPr>
        <w:t xml:space="preserve">tariat </w:t>
      </w:r>
      <w:r w:rsidR="00682B03" w:rsidRPr="005D062F">
        <w:rPr>
          <w:rFonts w:ascii="Times New Roman" w:hAnsi="Times New Roman" w:cs="Times New Roman"/>
          <w:b/>
          <w:bCs/>
          <w:color w:val="000000" w:themeColor="text1"/>
          <w:sz w:val="22"/>
          <w:szCs w:val="22"/>
          <w:lang w:val="fr-FR"/>
        </w:rPr>
        <w:t>de la Commission interaméricaine des ports</w:t>
      </w:r>
      <w:r w:rsidR="00682B03" w:rsidRPr="005D062F">
        <w:rPr>
          <w:rFonts w:ascii="Times New Roman" w:eastAsia="Times New Roman" w:hAnsi="Times New Roman" w:cs="Times New Roman"/>
          <w:b/>
          <w:color w:val="000000"/>
          <w:sz w:val="22"/>
          <w:szCs w:val="22"/>
          <w:lang w:val="fr-FR"/>
        </w:rPr>
        <w:t xml:space="preserve"> </w:t>
      </w:r>
      <w:r w:rsidRPr="005D062F">
        <w:rPr>
          <w:rFonts w:ascii="Times New Roman" w:hAnsi="Times New Roman" w:cs="Times New Roman"/>
          <w:b/>
          <w:bCs/>
          <w:color w:val="000000" w:themeColor="text1"/>
          <w:sz w:val="22"/>
          <w:szCs w:val="22"/>
          <w:lang w:val="fr-FR"/>
        </w:rPr>
        <w:t>(CIP)</w:t>
      </w:r>
    </w:p>
    <w:p w14:paraId="4D97CC8E" w14:textId="0E43D85A" w:rsidR="00802F7C" w:rsidRPr="005D062F" w:rsidRDefault="00600D0A" w:rsidP="006E7478">
      <w:pPr>
        <w:pStyle w:val="ListParagraph"/>
        <w:numPr>
          <w:ilvl w:val="0"/>
          <w:numId w:val="35"/>
        </w:numPr>
        <w:ind w:left="1440" w:hanging="720"/>
        <w:contextualSpacing/>
        <w:jc w:val="both"/>
        <w:rPr>
          <w:color w:val="000000"/>
          <w:sz w:val="22"/>
          <w:szCs w:val="22"/>
          <w:lang w:val="fr-FR"/>
        </w:rPr>
      </w:pPr>
      <w:r w:rsidRPr="005D062F">
        <w:rPr>
          <w:color w:val="000000"/>
          <w:sz w:val="22"/>
          <w:szCs w:val="22"/>
          <w:lang w:val="fr-FR"/>
        </w:rPr>
        <w:t>U</w:t>
      </w:r>
      <w:r w:rsidRPr="005D062F">
        <w:rPr>
          <w:rFonts w:eastAsia="Times New Roman"/>
          <w:color w:val="000000"/>
          <w:sz w:val="22"/>
          <w:szCs w:val="22"/>
          <w:lang w:val="fr-FR"/>
        </w:rPr>
        <w:t>ne évaluation liée à</w:t>
      </w:r>
      <w:r w:rsidR="002A0C18" w:rsidRPr="005D062F">
        <w:rPr>
          <w:rFonts w:eastAsia="Times New Roman"/>
          <w:color w:val="000000"/>
          <w:sz w:val="22"/>
          <w:szCs w:val="22"/>
          <w:lang w:val="fr-FR"/>
        </w:rPr>
        <w:t xml:space="preserve"> la logistique et à la chaîne d’</w:t>
      </w:r>
      <w:r w:rsidRPr="005D062F">
        <w:rPr>
          <w:rFonts w:eastAsia="Times New Roman"/>
          <w:color w:val="000000"/>
          <w:sz w:val="22"/>
          <w:szCs w:val="22"/>
          <w:lang w:val="fr-FR"/>
        </w:rPr>
        <w:t>approvisionnement internationale</w:t>
      </w:r>
      <w:r w:rsidRPr="005D062F">
        <w:rPr>
          <w:color w:val="000000"/>
          <w:sz w:val="22"/>
          <w:szCs w:val="22"/>
          <w:lang w:val="fr-FR"/>
        </w:rPr>
        <w:t xml:space="preserve"> a été réalisée </w:t>
      </w:r>
      <w:r w:rsidRPr="006E7478">
        <w:rPr>
          <w:sz w:val="22"/>
          <w:szCs w:val="22"/>
          <w:lang w:val="fr-FR"/>
        </w:rPr>
        <w:t>et</w:t>
      </w:r>
      <w:r w:rsidRPr="005D062F">
        <w:rPr>
          <w:color w:val="000000"/>
          <w:sz w:val="22"/>
          <w:szCs w:val="22"/>
          <w:lang w:val="fr-FR"/>
        </w:rPr>
        <w:t xml:space="preserve"> une </w:t>
      </w:r>
      <w:r w:rsidRPr="005D062F">
        <w:rPr>
          <w:rFonts w:eastAsia="Times New Roman"/>
          <w:color w:val="000000"/>
          <w:sz w:val="22"/>
          <w:szCs w:val="22"/>
          <w:lang w:val="fr-FR"/>
        </w:rPr>
        <w:t>feuille de route a été élaborée pour son exécution, avec une série de recommandations juridiques, opérationnelles et financière</w:t>
      </w:r>
      <w:r w:rsidR="008632B7" w:rsidRPr="005D062F">
        <w:rPr>
          <w:rFonts w:eastAsia="Times New Roman"/>
          <w:color w:val="000000"/>
          <w:sz w:val="22"/>
          <w:szCs w:val="22"/>
          <w:lang w:val="fr-FR"/>
        </w:rPr>
        <w:t xml:space="preserve">s pour la </w:t>
      </w:r>
      <w:r w:rsidR="00CF18F1" w:rsidRPr="005D062F">
        <w:rPr>
          <w:rFonts w:eastAsia="Times New Roman"/>
          <w:color w:val="000000"/>
          <w:sz w:val="22"/>
          <w:szCs w:val="22"/>
          <w:lang w:val="fr-FR"/>
        </w:rPr>
        <w:t>création</w:t>
      </w:r>
      <w:r w:rsidR="008632B7" w:rsidRPr="005D062F">
        <w:rPr>
          <w:rFonts w:eastAsia="Times New Roman"/>
          <w:color w:val="000000"/>
          <w:sz w:val="22"/>
          <w:szCs w:val="22"/>
          <w:lang w:val="fr-FR"/>
        </w:rPr>
        <w:t xml:space="preserve"> et la mise en œuvre du système national de collectivité portuaire dans le cadre du projet d’établissement d’un</w:t>
      </w:r>
      <w:r w:rsidR="008632B7" w:rsidRPr="005D062F">
        <w:rPr>
          <w:color w:val="000000"/>
          <w:sz w:val="22"/>
          <w:szCs w:val="22"/>
          <w:lang w:val="fr-FR"/>
        </w:rPr>
        <w:t xml:space="preserve"> </w:t>
      </w:r>
      <w:r w:rsidR="008632B7" w:rsidRPr="005D062F">
        <w:rPr>
          <w:b/>
          <w:color w:val="000000"/>
          <w:sz w:val="22"/>
          <w:szCs w:val="22"/>
          <w:lang w:val="fr-FR"/>
        </w:rPr>
        <w:t>système de collectivité portuaire à la Barbade</w:t>
      </w:r>
      <w:r w:rsidR="007818BC" w:rsidRPr="005D062F">
        <w:rPr>
          <w:color w:val="000000"/>
          <w:sz w:val="22"/>
          <w:szCs w:val="22"/>
          <w:lang w:val="fr-FR"/>
        </w:rPr>
        <w:t>.</w:t>
      </w:r>
    </w:p>
    <w:p w14:paraId="781DE08A" w14:textId="4B386AD6" w:rsidR="007818BC" w:rsidRPr="005D062F" w:rsidRDefault="007818BC" w:rsidP="00723DAD">
      <w:pPr>
        <w:jc w:val="both"/>
        <w:rPr>
          <w:rFonts w:ascii="Times New Roman" w:hAnsi="Times New Roman" w:cs="Times New Roman"/>
          <w:color w:val="000000"/>
          <w:sz w:val="22"/>
          <w:szCs w:val="22"/>
          <w:lang w:val="fr-FR"/>
        </w:rPr>
      </w:pPr>
    </w:p>
    <w:p w14:paraId="0B1EC9E4" w14:textId="571A1921" w:rsidR="007818BC" w:rsidRPr="005D062F" w:rsidRDefault="002A0C18" w:rsidP="006E7478">
      <w:pPr>
        <w:pStyle w:val="ListParagraph"/>
        <w:numPr>
          <w:ilvl w:val="0"/>
          <w:numId w:val="35"/>
        </w:numPr>
        <w:ind w:left="1440" w:hanging="720"/>
        <w:contextualSpacing/>
        <w:jc w:val="both"/>
        <w:rPr>
          <w:b/>
          <w:bCs/>
          <w:color w:val="000000"/>
          <w:sz w:val="22"/>
          <w:szCs w:val="22"/>
          <w:lang w:val="fr-FR"/>
        </w:rPr>
      </w:pPr>
      <w:r w:rsidRPr="005D062F">
        <w:rPr>
          <w:color w:val="000000"/>
          <w:sz w:val="22"/>
          <w:szCs w:val="22"/>
          <w:lang w:val="fr-FR"/>
        </w:rPr>
        <w:t xml:space="preserve">Un contrat de neuf mois a été signé entre </w:t>
      </w:r>
      <w:r w:rsidR="00A5022D" w:rsidRPr="005D062F">
        <w:rPr>
          <w:color w:val="000000"/>
          <w:sz w:val="22"/>
          <w:szCs w:val="22"/>
          <w:lang w:val="fr-FR"/>
        </w:rPr>
        <w:t xml:space="preserve">le SG/OEA et le </w:t>
      </w:r>
      <w:r w:rsidR="007818BC" w:rsidRPr="005D062F">
        <w:rPr>
          <w:color w:val="000000"/>
          <w:sz w:val="22"/>
          <w:szCs w:val="22"/>
          <w:lang w:val="fr-FR"/>
        </w:rPr>
        <w:t>Go</w:t>
      </w:r>
      <w:r w:rsidR="00A5022D" w:rsidRPr="005D062F">
        <w:rPr>
          <w:color w:val="000000"/>
          <w:sz w:val="22"/>
          <w:szCs w:val="22"/>
          <w:lang w:val="fr-FR"/>
        </w:rPr>
        <w:t>u</w:t>
      </w:r>
      <w:r w:rsidR="007818BC" w:rsidRPr="005D062F">
        <w:rPr>
          <w:color w:val="000000"/>
          <w:sz w:val="22"/>
          <w:szCs w:val="22"/>
          <w:lang w:val="fr-FR"/>
        </w:rPr>
        <w:t>vern</w:t>
      </w:r>
      <w:r w:rsidR="00A5022D" w:rsidRPr="005D062F">
        <w:rPr>
          <w:color w:val="000000"/>
          <w:sz w:val="22"/>
          <w:szCs w:val="22"/>
          <w:lang w:val="fr-FR"/>
        </w:rPr>
        <w:t>e</w:t>
      </w:r>
      <w:r w:rsidR="007818BC" w:rsidRPr="005D062F">
        <w:rPr>
          <w:color w:val="000000"/>
          <w:sz w:val="22"/>
          <w:szCs w:val="22"/>
          <w:lang w:val="fr-FR"/>
        </w:rPr>
        <w:t xml:space="preserve">ment </w:t>
      </w:r>
      <w:r w:rsidR="00A5022D" w:rsidRPr="005D062F">
        <w:rPr>
          <w:color w:val="000000"/>
          <w:sz w:val="22"/>
          <w:szCs w:val="22"/>
          <w:lang w:val="fr-FR"/>
        </w:rPr>
        <w:t>du</w:t>
      </w:r>
      <w:r w:rsidR="007818BC" w:rsidRPr="005D062F">
        <w:rPr>
          <w:color w:val="000000"/>
          <w:sz w:val="22"/>
          <w:szCs w:val="22"/>
          <w:lang w:val="fr-FR"/>
        </w:rPr>
        <w:t xml:space="preserve"> Belize </w:t>
      </w:r>
      <w:r w:rsidR="00A5022D" w:rsidRPr="005D062F">
        <w:rPr>
          <w:color w:val="000000"/>
          <w:sz w:val="22"/>
          <w:szCs w:val="22"/>
          <w:lang w:val="fr-FR"/>
        </w:rPr>
        <w:t xml:space="preserve">pour étudier les exigences techniques, juridiques et financières relatives à la création et au </w:t>
      </w:r>
      <w:r w:rsidR="00A5022D" w:rsidRPr="006E7478">
        <w:rPr>
          <w:sz w:val="22"/>
          <w:szCs w:val="22"/>
          <w:lang w:val="fr-FR"/>
        </w:rPr>
        <w:t>fonctionnement</w:t>
      </w:r>
      <w:r w:rsidR="00A5022D" w:rsidRPr="005D062F">
        <w:rPr>
          <w:color w:val="000000"/>
          <w:sz w:val="22"/>
          <w:szCs w:val="22"/>
          <w:lang w:val="fr-FR"/>
        </w:rPr>
        <w:t xml:space="preserve"> d’un guichet unique électronique (GUE) et formuler des </w:t>
      </w:r>
      <w:r w:rsidR="00A5022D" w:rsidRPr="005D062F">
        <w:rPr>
          <w:color w:val="000000" w:themeColor="text1"/>
          <w:sz w:val="22"/>
          <w:szCs w:val="22"/>
          <w:lang w:val="fr-FR"/>
        </w:rPr>
        <w:t>recomma</w:t>
      </w:r>
      <w:r w:rsidR="00802F7C" w:rsidRPr="005D062F">
        <w:rPr>
          <w:color w:val="000000" w:themeColor="text1"/>
          <w:sz w:val="22"/>
          <w:szCs w:val="22"/>
          <w:lang w:val="fr-FR"/>
        </w:rPr>
        <w:t>ndations</w:t>
      </w:r>
      <w:r w:rsidR="00A5022D" w:rsidRPr="005D062F">
        <w:rPr>
          <w:color w:val="000000" w:themeColor="text1"/>
          <w:sz w:val="22"/>
          <w:szCs w:val="22"/>
          <w:lang w:val="fr-FR"/>
        </w:rPr>
        <w:t xml:space="preserve"> sur les meilleures pratiques de mise en œuvre des projets</w:t>
      </w:r>
      <w:r w:rsidR="00802F7C" w:rsidRPr="005D062F">
        <w:rPr>
          <w:color w:val="000000"/>
          <w:sz w:val="22"/>
          <w:szCs w:val="22"/>
          <w:lang w:val="fr-FR"/>
        </w:rPr>
        <w:t xml:space="preserve">. </w:t>
      </w:r>
      <w:r w:rsidR="00A5022D" w:rsidRPr="005D062F">
        <w:rPr>
          <w:color w:val="000000"/>
          <w:sz w:val="22"/>
          <w:szCs w:val="22"/>
          <w:lang w:val="fr-FR"/>
        </w:rPr>
        <w:t>L’étude, qui fait partie de l’</w:t>
      </w:r>
      <w:r w:rsidR="00A5022D" w:rsidRPr="005D062F">
        <w:rPr>
          <w:b/>
          <w:color w:val="000000"/>
          <w:sz w:val="22"/>
          <w:szCs w:val="22"/>
          <w:lang w:val="fr-FR"/>
        </w:rPr>
        <w:t>étude de faisabilité pour la mise en place d’un GUE pour le commerce</w:t>
      </w:r>
      <w:r w:rsidR="00A5022D" w:rsidRPr="005D062F">
        <w:rPr>
          <w:color w:val="000000"/>
          <w:sz w:val="22"/>
          <w:szCs w:val="22"/>
          <w:lang w:val="fr-FR"/>
        </w:rPr>
        <w:t xml:space="preserve">, menée par la CIP, </w:t>
      </w:r>
      <w:r w:rsidR="00A646D3" w:rsidRPr="005D062F">
        <w:rPr>
          <w:color w:val="000000"/>
          <w:sz w:val="22"/>
          <w:szCs w:val="22"/>
          <w:lang w:val="fr-FR"/>
        </w:rPr>
        <w:t>analysera aussi le système bélizien actuel d’organisation du commerce extérieur</w:t>
      </w:r>
      <w:r w:rsidR="00802F7C" w:rsidRPr="005D062F">
        <w:rPr>
          <w:color w:val="000000"/>
          <w:sz w:val="22"/>
          <w:szCs w:val="22"/>
          <w:lang w:val="fr-FR"/>
        </w:rPr>
        <w:t>.</w:t>
      </w:r>
    </w:p>
    <w:p w14:paraId="40DF3D04" w14:textId="77777777" w:rsidR="00EE3694" w:rsidRPr="005D062F" w:rsidRDefault="00EE3694" w:rsidP="00723DAD">
      <w:pPr>
        <w:jc w:val="both"/>
        <w:rPr>
          <w:rFonts w:ascii="Times New Roman" w:hAnsi="Times New Roman" w:cs="Times New Roman"/>
          <w:b/>
          <w:bCs/>
          <w:color w:val="000000"/>
          <w:sz w:val="22"/>
          <w:szCs w:val="22"/>
          <w:lang w:val="fr-FR"/>
        </w:rPr>
      </w:pPr>
    </w:p>
    <w:p w14:paraId="01FB354F" w14:textId="2FD42FFB" w:rsidR="00802F7C" w:rsidRPr="005D062F" w:rsidRDefault="00903430" w:rsidP="00CB030B">
      <w:pPr>
        <w:pStyle w:val="NoSpacing"/>
        <w:numPr>
          <w:ilvl w:val="0"/>
          <w:numId w:val="41"/>
        </w:numPr>
        <w:ind w:left="1440" w:hanging="720"/>
        <w:jc w:val="both"/>
        <w:rPr>
          <w:rFonts w:ascii="Times New Roman" w:hAnsi="Times New Roman"/>
          <w:iCs/>
          <w:color w:val="000000" w:themeColor="text1"/>
          <w:lang w:val="fr-FR"/>
        </w:rPr>
      </w:pPr>
      <w:r w:rsidRPr="005D062F">
        <w:rPr>
          <w:rFonts w:ascii="Times New Roman" w:hAnsi="Times New Roman"/>
          <w:iCs/>
          <w:color w:val="000000" w:themeColor="text1"/>
          <w:lang w:val="fr-FR"/>
        </w:rPr>
        <w:t>La mise à jour du portail de la CIP a été assurée</w:t>
      </w:r>
      <w:r w:rsidR="00802F7C" w:rsidRPr="005D062F">
        <w:rPr>
          <w:rFonts w:ascii="Times New Roman" w:hAnsi="Times New Roman"/>
          <w:iCs/>
          <w:color w:val="000000" w:themeColor="text1"/>
          <w:lang w:val="fr-FR"/>
        </w:rPr>
        <w:t xml:space="preserve">. </w:t>
      </w:r>
      <w:r w:rsidR="00A646D3" w:rsidRPr="005D062F">
        <w:rPr>
          <w:rFonts w:ascii="Times New Roman" w:hAnsi="Times New Roman"/>
          <w:iCs/>
          <w:color w:val="000000" w:themeColor="text1"/>
          <w:lang w:val="fr-FR"/>
        </w:rPr>
        <w:t xml:space="preserve">Le portail, un outil pratique destiné aux </w:t>
      </w:r>
      <w:r w:rsidR="007818BC" w:rsidRPr="005D062F">
        <w:rPr>
          <w:rFonts w:ascii="Times New Roman" w:hAnsi="Times New Roman"/>
          <w:iCs/>
          <w:color w:val="000000" w:themeColor="text1"/>
          <w:lang w:val="fr-FR"/>
        </w:rPr>
        <w:t xml:space="preserve">34 </w:t>
      </w:r>
      <w:r w:rsidR="00A646D3" w:rsidRPr="005D062F">
        <w:rPr>
          <w:rFonts w:ascii="Times New Roman" w:hAnsi="Times New Roman"/>
          <w:iCs/>
          <w:color w:val="000000" w:themeColor="text1"/>
          <w:lang w:val="fr-FR"/>
        </w:rPr>
        <w:t>autorités portuaires n</w:t>
      </w:r>
      <w:r w:rsidR="007818BC" w:rsidRPr="005D062F">
        <w:rPr>
          <w:rFonts w:ascii="Times New Roman" w:hAnsi="Times New Roman"/>
          <w:iCs/>
          <w:color w:val="000000" w:themeColor="text1"/>
          <w:lang w:val="fr-FR"/>
        </w:rPr>
        <w:t>ational</w:t>
      </w:r>
      <w:r w:rsidR="00A646D3" w:rsidRPr="005D062F">
        <w:rPr>
          <w:rFonts w:ascii="Times New Roman" w:hAnsi="Times New Roman"/>
          <w:iCs/>
          <w:color w:val="000000" w:themeColor="text1"/>
          <w:lang w:val="fr-FR"/>
        </w:rPr>
        <w:t>es</w:t>
      </w:r>
      <w:r w:rsidR="007818BC" w:rsidRPr="005D062F">
        <w:rPr>
          <w:rFonts w:ascii="Times New Roman" w:hAnsi="Times New Roman"/>
          <w:iCs/>
          <w:color w:val="000000" w:themeColor="text1"/>
          <w:lang w:val="fr-FR"/>
        </w:rPr>
        <w:t xml:space="preserve"> </w:t>
      </w:r>
      <w:r w:rsidR="00A646D3" w:rsidRPr="005D062F">
        <w:rPr>
          <w:rFonts w:ascii="Times New Roman" w:hAnsi="Times New Roman"/>
          <w:iCs/>
          <w:color w:val="000000" w:themeColor="text1"/>
          <w:lang w:val="fr-FR"/>
        </w:rPr>
        <w:t xml:space="preserve">et au secteur privé </w:t>
      </w:r>
      <w:r w:rsidR="007818BC" w:rsidRPr="005D062F">
        <w:rPr>
          <w:rFonts w:ascii="Times New Roman" w:hAnsi="Times New Roman"/>
          <w:iCs/>
          <w:color w:val="000000" w:themeColor="text1"/>
          <w:lang w:val="fr-FR"/>
        </w:rPr>
        <w:t>(</w:t>
      </w:r>
      <w:r w:rsidR="00A646D3" w:rsidRPr="005D062F">
        <w:rPr>
          <w:rFonts w:ascii="Times New Roman" w:hAnsi="Times New Roman"/>
          <w:iCs/>
          <w:color w:val="000000" w:themeColor="text1"/>
          <w:lang w:val="fr-FR"/>
        </w:rPr>
        <w:t>memb</w:t>
      </w:r>
      <w:r w:rsidR="00C67D84" w:rsidRPr="005D062F">
        <w:rPr>
          <w:rFonts w:ascii="Times New Roman" w:hAnsi="Times New Roman"/>
          <w:iCs/>
          <w:color w:val="000000" w:themeColor="text1"/>
          <w:lang w:val="fr-FR"/>
        </w:rPr>
        <w:t>r</w:t>
      </w:r>
      <w:r w:rsidR="00A646D3" w:rsidRPr="005D062F">
        <w:rPr>
          <w:rFonts w:ascii="Times New Roman" w:hAnsi="Times New Roman"/>
          <w:iCs/>
          <w:color w:val="000000" w:themeColor="text1"/>
          <w:lang w:val="fr-FR"/>
        </w:rPr>
        <w:t>e</w:t>
      </w:r>
      <w:r w:rsidR="007818BC" w:rsidRPr="005D062F">
        <w:rPr>
          <w:rFonts w:ascii="Times New Roman" w:hAnsi="Times New Roman"/>
          <w:iCs/>
          <w:color w:val="000000" w:themeColor="text1"/>
          <w:lang w:val="fr-FR"/>
        </w:rPr>
        <w:t>s</w:t>
      </w:r>
      <w:r w:rsidR="00A646D3" w:rsidRPr="005D062F">
        <w:rPr>
          <w:rFonts w:ascii="Times New Roman" w:hAnsi="Times New Roman"/>
          <w:iCs/>
          <w:color w:val="000000" w:themeColor="text1"/>
          <w:lang w:val="fr-FR"/>
        </w:rPr>
        <w:t xml:space="preserve"> associés et</w:t>
      </w:r>
      <w:r w:rsidR="007818BC" w:rsidRPr="005D062F">
        <w:rPr>
          <w:rFonts w:ascii="Times New Roman" w:hAnsi="Times New Roman"/>
          <w:iCs/>
          <w:color w:val="000000" w:themeColor="text1"/>
          <w:lang w:val="fr-FR"/>
        </w:rPr>
        <w:t xml:space="preserve"> </w:t>
      </w:r>
      <w:r w:rsidR="00802F7C" w:rsidRPr="005D062F">
        <w:rPr>
          <w:rFonts w:ascii="Times New Roman" w:hAnsi="Times New Roman"/>
          <w:iCs/>
          <w:color w:val="000000" w:themeColor="text1"/>
          <w:lang w:val="fr-FR"/>
        </w:rPr>
        <w:t>p</w:t>
      </w:r>
      <w:r w:rsidR="007818BC" w:rsidRPr="005D062F">
        <w:rPr>
          <w:rFonts w:ascii="Times New Roman" w:hAnsi="Times New Roman"/>
          <w:iCs/>
          <w:color w:val="000000" w:themeColor="text1"/>
          <w:lang w:val="fr-FR"/>
        </w:rPr>
        <w:t>art</w:t>
      </w:r>
      <w:r w:rsidR="00A646D3" w:rsidRPr="005D062F">
        <w:rPr>
          <w:rFonts w:ascii="Times New Roman" w:hAnsi="Times New Roman"/>
          <w:iCs/>
          <w:color w:val="000000" w:themeColor="text1"/>
          <w:lang w:val="fr-FR"/>
        </w:rPr>
        <w:t>e</w:t>
      </w:r>
      <w:r w:rsidR="007818BC" w:rsidRPr="005D062F">
        <w:rPr>
          <w:rFonts w:ascii="Times New Roman" w:hAnsi="Times New Roman"/>
          <w:iCs/>
          <w:color w:val="000000" w:themeColor="text1"/>
          <w:lang w:val="fr-FR"/>
        </w:rPr>
        <w:t>n</w:t>
      </w:r>
      <w:r w:rsidR="00A646D3" w:rsidRPr="005D062F">
        <w:rPr>
          <w:rFonts w:ascii="Times New Roman" w:hAnsi="Times New Roman"/>
          <w:iCs/>
          <w:color w:val="000000" w:themeColor="text1"/>
          <w:lang w:val="fr-FR"/>
        </w:rPr>
        <w:t>ai</w:t>
      </w:r>
      <w:r w:rsidR="007818BC" w:rsidRPr="005D062F">
        <w:rPr>
          <w:rFonts w:ascii="Times New Roman" w:hAnsi="Times New Roman"/>
          <w:iCs/>
          <w:color w:val="000000" w:themeColor="text1"/>
          <w:lang w:val="fr-FR"/>
        </w:rPr>
        <w:t>r</w:t>
      </w:r>
      <w:r w:rsidR="00A646D3" w:rsidRPr="005D062F">
        <w:rPr>
          <w:rFonts w:ascii="Times New Roman" w:hAnsi="Times New Roman"/>
          <w:iCs/>
          <w:color w:val="000000" w:themeColor="text1"/>
          <w:lang w:val="fr-FR"/>
        </w:rPr>
        <w:t>e</w:t>
      </w:r>
      <w:r w:rsidR="007818BC" w:rsidRPr="005D062F">
        <w:rPr>
          <w:rFonts w:ascii="Times New Roman" w:hAnsi="Times New Roman"/>
          <w:iCs/>
          <w:color w:val="000000" w:themeColor="text1"/>
          <w:lang w:val="fr-FR"/>
        </w:rPr>
        <w:t>s</w:t>
      </w:r>
      <w:r w:rsidR="00A646D3" w:rsidRPr="005D062F">
        <w:rPr>
          <w:rFonts w:ascii="Times New Roman" w:hAnsi="Times New Roman"/>
          <w:iCs/>
          <w:color w:val="000000" w:themeColor="text1"/>
          <w:lang w:val="fr-FR"/>
        </w:rPr>
        <w:t xml:space="preserve"> stratégiques</w:t>
      </w:r>
      <w:r w:rsidR="007818BC" w:rsidRPr="005D062F">
        <w:rPr>
          <w:rFonts w:ascii="Times New Roman" w:hAnsi="Times New Roman"/>
          <w:iCs/>
          <w:color w:val="000000" w:themeColor="text1"/>
          <w:lang w:val="fr-FR"/>
        </w:rPr>
        <w:t>)</w:t>
      </w:r>
      <w:r w:rsidR="00802F7C" w:rsidRPr="005D062F">
        <w:rPr>
          <w:rFonts w:ascii="Times New Roman" w:hAnsi="Times New Roman"/>
          <w:iCs/>
          <w:color w:val="000000" w:themeColor="text1"/>
          <w:lang w:val="fr-FR"/>
        </w:rPr>
        <w:t xml:space="preserve">, </w:t>
      </w:r>
      <w:r w:rsidR="00A646D3" w:rsidRPr="005D062F">
        <w:rPr>
          <w:rFonts w:ascii="Times New Roman" w:hAnsi="Times New Roman"/>
          <w:iCs/>
          <w:color w:val="000000" w:themeColor="text1"/>
          <w:lang w:val="fr-FR"/>
        </w:rPr>
        <w:t xml:space="preserve">a enregistré plus de 14 000 utilisateurs cette année, ce qui représente une </w:t>
      </w:r>
      <w:r w:rsidR="00CF18F1" w:rsidRPr="005D062F">
        <w:rPr>
          <w:rFonts w:ascii="Times New Roman" w:hAnsi="Times New Roman"/>
          <w:iCs/>
          <w:color w:val="000000" w:themeColor="text1"/>
          <w:lang w:val="fr-FR"/>
        </w:rPr>
        <w:t>augmentation</w:t>
      </w:r>
      <w:r w:rsidR="00A646D3" w:rsidRPr="005D062F">
        <w:rPr>
          <w:rFonts w:ascii="Times New Roman" w:hAnsi="Times New Roman"/>
          <w:iCs/>
          <w:color w:val="000000" w:themeColor="text1"/>
          <w:lang w:val="fr-FR"/>
        </w:rPr>
        <w:t xml:space="preserve"> du trafic de près de 22 % par rapport aux chiffres de </w:t>
      </w:r>
      <w:r w:rsidRPr="005D062F">
        <w:rPr>
          <w:rFonts w:ascii="Times New Roman" w:hAnsi="Times New Roman"/>
          <w:iCs/>
          <w:color w:val="000000" w:themeColor="text1"/>
          <w:lang w:val="fr-FR"/>
        </w:rPr>
        <w:t>2021</w:t>
      </w:r>
      <w:r w:rsidR="00802F7C" w:rsidRPr="005D062F">
        <w:rPr>
          <w:rFonts w:ascii="Times New Roman" w:hAnsi="Times New Roman"/>
          <w:iCs/>
          <w:color w:val="000000" w:themeColor="text1"/>
          <w:lang w:val="fr-FR"/>
        </w:rPr>
        <w:t>.</w:t>
      </w:r>
    </w:p>
    <w:p w14:paraId="2687205D" w14:textId="77777777" w:rsidR="00B46A1B" w:rsidRPr="005D062F" w:rsidRDefault="00B46A1B" w:rsidP="00CB030B">
      <w:pPr>
        <w:jc w:val="both"/>
        <w:rPr>
          <w:rFonts w:ascii="Times New Roman" w:hAnsi="Times New Roman" w:cs="Times New Roman"/>
          <w:sz w:val="22"/>
          <w:szCs w:val="22"/>
          <w:lang w:val="fr-FR"/>
        </w:rPr>
      </w:pPr>
    </w:p>
    <w:p w14:paraId="2C82F2FB" w14:textId="1C446C0B" w:rsidR="00B46A1B" w:rsidRPr="005D062F" w:rsidRDefault="00C2663A" w:rsidP="002D4DF7">
      <w:pPr>
        <w:pStyle w:val="Heading2"/>
      </w:pPr>
      <w:bookmarkStart w:id="32" w:name="_Toc124243419"/>
      <w:r w:rsidRPr="005D062F">
        <w:t>OBJECTIF</w:t>
      </w:r>
      <w:r w:rsidR="00B46A1B" w:rsidRPr="005D062F">
        <w:t xml:space="preserve"> 5.2</w:t>
      </w:r>
      <w:bookmarkEnd w:id="32"/>
    </w:p>
    <w:p w14:paraId="2C03C658" w14:textId="77777777" w:rsidR="00F86E25" w:rsidRPr="005D062F" w:rsidRDefault="00F86E25" w:rsidP="00CB030B">
      <w:pPr>
        <w:jc w:val="both"/>
        <w:rPr>
          <w:rFonts w:ascii="Times New Roman" w:hAnsi="Times New Roman" w:cs="Times New Roman"/>
          <w:color w:val="000000" w:themeColor="text1"/>
          <w:sz w:val="22"/>
          <w:szCs w:val="22"/>
          <w:lang w:val="fr-FR"/>
        </w:rPr>
      </w:pPr>
    </w:p>
    <w:p w14:paraId="6ADD2018" w14:textId="32B856B5" w:rsidR="00B46A1B" w:rsidRPr="005D062F" w:rsidRDefault="002F6355" w:rsidP="00CB030B">
      <w:pPr>
        <w:ind w:firstLine="720"/>
        <w:jc w:val="both"/>
        <w:rPr>
          <w:rFonts w:ascii="Times New Roman" w:hAnsi="Times New Roman" w:cs="Times New Roman"/>
          <w:color w:val="000000" w:themeColor="text1"/>
          <w:sz w:val="22"/>
          <w:szCs w:val="22"/>
          <w:lang w:val="fr-FR"/>
        </w:rPr>
      </w:pPr>
      <w:r w:rsidRPr="005D062F">
        <w:rPr>
          <w:rFonts w:ascii="Times New Roman" w:hAnsi="Times New Roman" w:cs="Times New Roman"/>
          <w:color w:val="000000" w:themeColor="text1"/>
          <w:sz w:val="22"/>
          <w:szCs w:val="22"/>
          <w:lang w:val="fr-FR"/>
        </w:rPr>
        <w:t>Encourager les partenariats multisectoriels efficaces pour soutenir les États membres dans la réalisation des objectifs de développement durable</w:t>
      </w:r>
      <w:r w:rsidR="00B46A1B" w:rsidRPr="005D062F">
        <w:rPr>
          <w:rFonts w:ascii="Times New Roman" w:hAnsi="Times New Roman" w:cs="Times New Roman"/>
          <w:color w:val="000000" w:themeColor="text1"/>
          <w:sz w:val="22"/>
          <w:szCs w:val="22"/>
          <w:lang w:val="fr-FR"/>
        </w:rPr>
        <w:t>.</w:t>
      </w:r>
    </w:p>
    <w:p w14:paraId="3091C6A6" w14:textId="77777777" w:rsidR="00B46A1B" w:rsidRPr="005D062F" w:rsidRDefault="00B46A1B" w:rsidP="00CB030B">
      <w:pPr>
        <w:jc w:val="both"/>
        <w:rPr>
          <w:rFonts w:ascii="Times New Roman" w:hAnsi="Times New Roman" w:cs="Times New Roman"/>
          <w:color w:val="000000" w:themeColor="text1"/>
          <w:sz w:val="22"/>
          <w:szCs w:val="22"/>
          <w:lang w:val="fr-FR"/>
        </w:rPr>
      </w:pPr>
    </w:p>
    <w:p w14:paraId="40251B53" w14:textId="4469495D" w:rsidR="00B46A1B" w:rsidRPr="005D062F" w:rsidRDefault="002D73BD" w:rsidP="006E7478">
      <w:pPr>
        <w:pStyle w:val="ListParagraph"/>
        <w:numPr>
          <w:ilvl w:val="0"/>
          <w:numId w:val="35"/>
        </w:numPr>
        <w:ind w:left="1440" w:hanging="720"/>
        <w:contextualSpacing/>
        <w:jc w:val="both"/>
        <w:rPr>
          <w:color w:val="000000" w:themeColor="text1"/>
          <w:sz w:val="22"/>
          <w:szCs w:val="22"/>
          <w:lang w:val="fr-FR"/>
        </w:rPr>
      </w:pPr>
      <w:r w:rsidRPr="005D062F">
        <w:rPr>
          <w:color w:val="000000" w:themeColor="text1"/>
          <w:sz w:val="22"/>
          <w:szCs w:val="22"/>
          <w:lang w:val="fr-FR"/>
        </w:rPr>
        <w:t xml:space="preserve">Le </w:t>
      </w:r>
      <w:r w:rsidR="00B46A1B" w:rsidRPr="005D062F">
        <w:rPr>
          <w:color w:val="000000" w:themeColor="text1"/>
          <w:sz w:val="22"/>
          <w:szCs w:val="22"/>
          <w:lang w:val="fr-FR"/>
        </w:rPr>
        <w:t>S</w:t>
      </w:r>
      <w:r w:rsidRPr="005D062F">
        <w:rPr>
          <w:color w:val="000000" w:themeColor="text1"/>
          <w:sz w:val="22"/>
          <w:szCs w:val="22"/>
          <w:lang w:val="fr-FR"/>
        </w:rPr>
        <w:t>EDI a s</w:t>
      </w:r>
      <w:r w:rsidR="00B46A1B" w:rsidRPr="005D062F">
        <w:rPr>
          <w:color w:val="000000" w:themeColor="text1"/>
          <w:sz w:val="22"/>
          <w:szCs w:val="22"/>
          <w:lang w:val="fr-FR"/>
        </w:rPr>
        <w:t>ign</w:t>
      </w:r>
      <w:r w:rsidRPr="005D062F">
        <w:rPr>
          <w:color w:val="000000" w:themeColor="text1"/>
          <w:sz w:val="22"/>
          <w:szCs w:val="22"/>
          <w:lang w:val="fr-FR"/>
        </w:rPr>
        <w:t xml:space="preserve">é un MA entre l’Université du Chili et le SG/OEA, qui favorisera une </w:t>
      </w:r>
      <w:r w:rsidR="00B46A1B" w:rsidRPr="005D062F">
        <w:rPr>
          <w:color w:val="000000" w:themeColor="text1"/>
          <w:sz w:val="22"/>
          <w:szCs w:val="22"/>
          <w:lang w:val="fr-FR"/>
        </w:rPr>
        <w:t xml:space="preserve">collaboration </w:t>
      </w:r>
      <w:r w:rsidRPr="005D062F">
        <w:rPr>
          <w:color w:val="000000" w:themeColor="text1"/>
          <w:sz w:val="22"/>
          <w:szCs w:val="22"/>
          <w:lang w:val="fr-FR"/>
        </w:rPr>
        <w:t>accrue avec le Secré</w:t>
      </w:r>
      <w:r w:rsidR="00B46A1B" w:rsidRPr="005D062F">
        <w:rPr>
          <w:color w:val="000000" w:themeColor="text1"/>
          <w:sz w:val="22"/>
          <w:szCs w:val="22"/>
          <w:lang w:val="fr-FR"/>
        </w:rPr>
        <w:t>tariat</w:t>
      </w:r>
      <w:r w:rsidRPr="005D062F">
        <w:rPr>
          <w:color w:val="000000" w:themeColor="text1"/>
          <w:sz w:val="22"/>
          <w:szCs w:val="22"/>
          <w:lang w:val="fr-FR"/>
        </w:rPr>
        <w:t xml:space="preserve"> de la CIP </w:t>
      </w:r>
      <w:r w:rsidR="001978F6" w:rsidRPr="005D062F">
        <w:rPr>
          <w:color w:val="000000" w:themeColor="text1"/>
          <w:sz w:val="22"/>
          <w:szCs w:val="22"/>
          <w:lang w:val="fr-FR"/>
        </w:rPr>
        <w:t>en vue de</w:t>
      </w:r>
      <w:r w:rsidRPr="005D062F">
        <w:rPr>
          <w:color w:val="000000" w:themeColor="text1"/>
          <w:sz w:val="22"/>
          <w:szCs w:val="22"/>
          <w:lang w:val="fr-FR"/>
        </w:rPr>
        <w:t xml:space="preserve"> l’élaboration d’un nouveau </w:t>
      </w:r>
      <w:r w:rsidR="001978F6" w:rsidRPr="005D062F">
        <w:rPr>
          <w:color w:val="000000" w:themeColor="text1"/>
          <w:sz w:val="22"/>
          <w:szCs w:val="22"/>
          <w:lang w:val="fr-FR"/>
        </w:rPr>
        <w:t xml:space="preserve">cursus </w:t>
      </w:r>
      <w:r w:rsidR="001978F6" w:rsidRPr="006E7478">
        <w:rPr>
          <w:sz w:val="22"/>
          <w:szCs w:val="22"/>
          <w:lang w:val="fr-FR"/>
        </w:rPr>
        <w:t>relatif</w:t>
      </w:r>
      <w:r w:rsidR="001978F6" w:rsidRPr="005D062F">
        <w:rPr>
          <w:color w:val="000000" w:themeColor="text1"/>
          <w:sz w:val="22"/>
          <w:szCs w:val="22"/>
          <w:lang w:val="fr-FR"/>
        </w:rPr>
        <w:t xml:space="preserve"> à un </w:t>
      </w:r>
      <w:r w:rsidR="00BB78EC" w:rsidRPr="005D062F">
        <w:rPr>
          <w:color w:val="000000" w:themeColor="text1"/>
          <w:sz w:val="22"/>
          <w:szCs w:val="22"/>
          <w:lang w:val="fr-FR"/>
        </w:rPr>
        <w:t xml:space="preserve">nouveau </w:t>
      </w:r>
      <w:r w:rsidR="001978F6" w:rsidRPr="005D062F">
        <w:rPr>
          <w:color w:val="000000" w:themeColor="text1"/>
          <w:sz w:val="22"/>
          <w:szCs w:val="22"/>
          <w:lang w:val="fr-FR"/>
        </w:rPr>
        <w:t>programme interaméricain de maîtrise en ge</w:t>
      </w:r>
      <w:r w:rsidR="00BB78EC" w:rsidRPr="005D062F">
        <w:rPr>
          <w:color w:val="000000" w:themeColor="text1"/>
          <w:sz w:val="22"/>
          <w:szCs w:val="22"/>
          <w:lang w:val="fr-FR"/>
        </w:rPr>
        <w:t>stion des ports</w:t>
      </w:r>
      <w:r w:rsidR="00B46A1B" w:rsidRPr="005D062F">
        <w:rPr>
          <w:color w:val="000000" w:themeColor="text1"/>
          <w:sz w:val="22"/>
          <w:szCs w:val="22"/>
          <w:lang w:val="fr-FR"/>
        </w:rPr>
        <w:t xml:space="preserve">. </w:t>
      </w:r>
      <w:r w:rsidRPr="005D062F">
        <w:rPr>
          <w:color w:val="000000" w:themeColor="text1"/>
          <w:sz w:val="22"/>
          <w:szCs w:val="22"/>
          <w:lang w:val="fr-FR"/>
        </w:rPr>
        <w:t>De plus, l’Université du Chili a géné</w:t>
      </w:r>
      <w:r w:rsidR="00B46A1B" w:rsidRPr="005D062F">
        <w:rPr>
          <w:color w:val="000000" w:themeColor="text1"/>
          <w:sz w:val="22"/>
          <w:szCs w:val="22"/>
          <w:lang w:val="fr-FR"/>
        </w:rPr>
        <w:t>r</w:t>
      </w:r>
      <w:r w:rsidRPr="005D062F">
        <w:rPr>
          <w:color w:val="000000" w:themeColor="text1"/>
          <w:sz w:val="22"/>
          <w:szCs w:val="22"/>
          <w:lang w:val="fr-FR"/>
        </w:rPr>
        <w:t xml:space="preserve">eusement offert des bourses d’études aux autorités portuaires nationales </w:t>
      </w:r>
      <w:r w:rsidR="009B1A98" w:rsidRPr="005D062F">
        <w:rPr>
          <w:color w:val="000000" w:themeColor="text1"/>
          <w:sz w:val="22"/>
          <w:szCs w:val="22"/>
          <w:lang w:val="fr-FR"/>
        </w:rPr>
        <w:t>affiliées à</w:t>
      </w:r>
      <w:r w:rsidRPr="005D062F">
        <w:rPr>
          <w:color w:val="000000" w:themeColor="text1"/>
          <w:sz w:val="22"/>
          <w:szCs w:val="22"/>
          <w:lang w:val="fr-FR"/>
        </w:rPr>
        <w:t xml:space="preserve"> la </w:t>
      </w:r>
      <w:r w:rsidR="00B46A1B" w:rsidRPr="005D062F">
        <w:rPr>
          <w:color w:val="000000" w:themeColor="text1"/>
          <w:sz w:val="22"/>
          <w:szCs w:val="22"/>
          <w:lang w:val="fr-FR"/>
        </w:rPr>
        <w:t>CIP.</w:t>
      </w:r>
    </w:p>
    <w:p w14:paraId="171E9EF0" w14:textId="77777777" w:rsidR="009F6016" w:rsidRPr="005D062F" w:rsidRDefault="009F6016" w:rsidP="00723DAD">
      <w:pPr>
        <w:jc w:val="both"/>
        <w:rPr>
          <w:rFonts w:ascii="Times New Roman" w:hAnsi="Times New Roman" w:cs="Times New Roman"/>
          <w:color w:val="000000" w:themeColor="text1"/>
          <w:sz w:val="22"/>
          <w:szCs w:val="22"/>
          <w:lang w:val="fr-FR"/>
        </w:rPr>
      </w:pPr>
    </w:p>
    <w:p w14:paraId="19E62998" w14:textId="5E265C0A" w:rsidR="009F6016" w:rsidRPr="005D062F" w:rsidRDefault="00AB57A0" w:rsidP="00CB030B">
      <w:pPr>
        <w:pStyle w:val="ListParagraph"/>
        <w:numPr>
          <w:ilvl w:val="0"/>
          <w:numId w:val="41"/>
        </w:numPr>
        <w:ind w:left="1440" w:hanging="720"/>
        <w:contextualSpacing/>
        <w:jc w:val="both"/>
        <w:rPr>
          <w:rFonts w:eastAsiaTheme="minorHAnsi"/>
          <w:sz w:val="22"/>
          <w:szCs w:val="22"/>
          <w:lang w:val="fr-FR"/>
        </w:rPr>
      </w:pPr>
      <w:r w:rsidRPr="005D062F">
        <w:rPr>
          <w:iCs/>
          <w:color w:val="000000" w:themeColor="text1"/>
          <w:sz w:val="22"/>
          <w:szCs w:val="22"/>
          <w:lang w:val="fr-FR"/>
        </w:rPr>
        <w:t>Il a o</w:t>
      </w:r>
      <w:r w:rsidR="009F6016" w:rsidRPr="005D062F">
        <w:rPr>
          <w:iCs/>
          <w:color w:val="000000" w:themeColor="text1"/>
          <w:sz w:val="22"/>
          <w:szCs w:val="22"/>
          <w:lang w:val="fr-FR"/>
        </w:rPr>
        <w:t>rgani</w:t>
      </w:r>
      <w:r w:rsidRPr="005D062F">
        <w:rPr>
          <w:iCs/>
          <w:color w:val="000000" w:themeColor="text1"/>
          <w:sz w:val="22"/>
          <w:szCs w:val="22"/>
          <w:lang w:val="fr-FR"/>
        </w:rPr>
        <w:t xml:space="preserve">sé la </w:t>
      </w:r>
      <w:r w:rsidR="00F86E25" w:rsidRPr="005D062F">
        <w:rPr>
          <w:iCs/>
          <w:color w:val="000000" w:themeColor="text1"/>
          <w:sz w:val="22"/>
          <w:szCs w:val="22"/>
          <w:lang w:val="fr-FR"/>
        </w:rPr>
        <w:t>XXII</w:t>
      </w:r>
      <w:r w:rsidRPr="005D062F">
        <w:rPr>
          <w:iCs/>
          <w:color w:val="000000" w:themeColor="text1"/>
          <w:sz w:val="22"/>
          <w:szCs w:val="22"/>
          <w:vertAlign w:val="superscript"/>
          <w:lang w:val="fr-FR"/>
        </w:rPr>
        <w:t>e</w:t>
      </w:r>
      <w:r w:rsidRPr="005D062F">
        <w:rPr>
          <w:iCs/>
          <w:color w:val="000000" w:themeColor="text1"/>
          <w:sz w:val="22"/>
          <w:szCs w:val="22"/>
          <w:lang w:val="fr-FR"/>
        </w:rPr>
        <w:t xml:space="preserve"> Réunion</w:t>
      </w:r>
      <w:r w:rsidR="00F86E25" w:rsidRPr="005D062F">
        <w:rPr>
          <w:iCs/>
          <w:color w:val="000000" w:themeColor="text1"/>
          <w:sz w:val="22"/>
          <w:szCs w:val="22"/>
          <w:lang w:val="fr-FR"/>
        </w:rPr>
        <w:t xml:space="preserve"> </w:t>
      </w:r>
      <w:r w:rsidRPr="005D062F">
        <w:rPr>
          <w:iCs/>
          <w:color w:val="000000" w:themeColor="text1"/>
          <w:sz w:val="22"/>
          <w:szCs w:val="22"/>
          <w:lang w:val="fr-FR"/>
        </w:rPr>
        <w:t>du Comité exécutif de la</w:t>
      </w:r>
      <w:r w:rsidR="009F6016" w:rsidRPr="005D062F">
        <w:rPr>
          <w:iCs/>
          <w:color w:val="000000" w:themeColor="text1"/>
          <w:sz w:val="22"/>
          <w:szCs w:val="22"/>
          <w:lang w:val="fr-FR"/>
        </w:rPr>
        <w:t xml:space="preserve"> CIP </w:t>
      </w:r>
      <w:r w:rsidR="00F15A1B" w:rsidRPr="005D062F">
        <w:rPr>
          <w:iCs/>
          <w:color w:val="000000" w:themeColor="text1"/>
          <w:sz w:val="22"/>
          <w:szCs w:val="22"/>
          <w:lang w:val="fr-FR"/>
        </w:rPr>
        <w:t>(C</w:t>
      </w:r>
      <w:r w:rsidR="00B40953" w:rsidRPr="005D062F">
        <w:rPr>
          <w:iCs/>
          <w:color w:val="000000" w:themeColor="text1"/>
          <w:sz w:val="22"/>
          <w:szCs w:val="22"/>
          <w:lang w:val="fr-FR"/>
        </w:rPr>
        <w:t>E</w:t>
      </w:r>
      <w:r w:rsidR="00F15A1B" w:rsidRPr="005D062F">
        <w:rPr>
          <w:iCs/>
          <w:color w:val="000000" w:themeColor="text1"/>
          <w:sz w:val="22"/>
          <w:szCs w:val="22"/>
          <w:lang w:val="fr-FR"/>
        </w:rPr>
        <w:t>C</w:t>
      </w:r>
      <w:r w:rsidR="00B40953" w:rsidRPr="005D062F">
        <w:rPr>
          <w:iCs/>
          <w:color w:val="000000" w:themeColor="text1"/>
          <w:sz w:val="22"/>
          <w:szCs w:val="22"/>
          <w:lang w:val="fr-FR"/>
        </w:rPr>
        <w:t>I</w:t>
      </w:r>
      <w:r w:rsidR="00F15A1B" w:rsidRPr="005D062F">
        <w:rPr>
          <w:iCs/>
          <w:color w:val="000000" w:themeColor="text1"/>
          <w:sz w:val="22"/>
          <w:szCs w:val="22"/>
          <w:lang w:val="fr-FR"/>
        </w:rPr>
        <w:t>P)</w:t>
      </w:r>
      <w:r w:rsidR="009F6016" w:rsidRPr="005D062F">
        <w:rPr>
          <w:iCs/>
          <w:color w:val="000000" w:themeColor="text1"/>
          <w:sz w:val="22"/>
          <w:szCs w:val="22"/>
          <w:lang w:val="fr-FR"/>
        </w:rPr>
        <w:t xml:space="preserve">, </w:t>
      </w:r>
      <w:r w:rsidRPr="005D062F">
        <w:rPr>
          <w:iCs/>
          <w:color w:val="000000" w:themeColor="text1"/>
          <w:sz w:val="22"/>
          <w:szCs w:val="22"/>
          <w:lang w:val="fr-FR"/>
        </w:rPr>
        <w:t xml:space="preserve">qui s’est tenue en mode virtuel le 15 mars </w:t>
      </w:r>
      <w:r w:rsidR="009F6016" w:rsidRPr="005D062F">
        <w:rPr>
          <w:iCs/>
          <w:color w:val="000000" w:themeColor="text1"/>
          <w:sz w:val="22"/>
          <w:szCs w:val="22"/>
          <w:lang w:val="fr-FR"/>
        </w:rPr>
        <w:t xml:space="preserve">2022. </w:t>
      </w:r>
      <w:r w:rsidRPr="005D062F">
        <w:rPr>
          <w:iCs/>
          <w:color w:val="000000" w:themeColor="text1"/>
          <w:sz w:val="22"/>
          <w:szCs w:val="22"/>
          <w:lang w:val="fr-FR"/>
        </w:rPr>
        <w:t>Lors de la réunion, la Ré</w:t>
      </w:r>
      <w:r w:rsidR="009F6016" w:rsidRPr="005D062F">
        <w:rPr>
          <w:iCs/>
          <w:color w:val="000000" w:themeColor="text1"/>
          <w:sz w:val="22"/>
          <w:szCs w:val="22"/>
          <w:lang w:val="fr-FR"/>
        </w:rPr>
        <w:t xml:space="preserve">solution </w:t>
      </w:r>
      <w:r w:rsidRPr="005D062F">
        <w:rPr>
          <w:iCs/>
          <w:color w:val="000000" w:themeColor="text1"/>
          <w:sz w:val="22"/>
          <w:szCs w:val="22"/>
          <w:lang w:val="fr-FR"/>
        </w:rPr>
        <w:t xml:space="preserve">de </w:t>
      </w:r>
      <w:r w:rsidR="009F6016" w:rsidRPr="005D062F">
        <w:rPr>
          <w:iCs/>
          <w:color w:val="000000" w:themeColor="text1"/>
          <w:sz w:val="22"/>
          <w:szCs w:val="22"/>
          <w:lang w:val="fr-FR"/>
        </w:rPr>
        <w:t xml:space="preserve">Colonia, </w:t>
      </w:r>
      <w:r w:rsidRPr="005D062F">
        <w:rPr>
          <w:iCs/>
          <w:color w:val="000000" w:themeColor="text1"/>
          <w:sz w:val="22"/>
          <w:szCs w:val="22"/>
          <w:lang w:val="fr-FR"/>
        </w:rPr>
        <w:t xml:space="preserve">le budget de fonctionnement </w:t>
      </w:r>
      <w:r w:rsidR="009F6016" w:rsidRPr="005D062F">
        <w:rPr>
          <w:iCs/>
          <w:color w:val="000000" w:themeColor="text1"/>
          <w:sz w:val="22"/>
          <w:szCs w:val="22"/>
          <w:lang w:val="fr-FR"/>
        </w:rPr>
        <w:t>2022-2023</w:t>
      </w:r>
      <w:r w:rsidRPr="005D062F">
        <w:rPr>
          <w:iCs/>
          <w:color w:val="000000" w:themeColor="text1"/>
          <w:sz w:val="22"/>
          <w:szCs w:val="22"/>
          <w:lang w:val="fr-FR"/>
        </w:rPr>
        <w:t xml:space="preserve"> et les rapports d’activité à mi-parcours émanant de</w:t>
      </w:r>
      <w:r w:rsidR="000E5674" w:rsidRPr="005D062F">
        <w:rPr>
          <w:iCs/>
          <w:color w:val="000000" w:themeColor="text1"/>
          <w:sz w:val="22"/>
          <w:szCs w:val="22"/>
          <w:lang w:val="fr-FR"/>
        </w:rPr>
        <w:t xml:space="preserve"> </w:t>
      </w:r>
      <w:r w:rsidRPr="005D062F">
        <w:rPr>
          <w:iCs/>
          <w:color w:val="000000" w:themeColor="text1"/>
          <w:sz w:val="22"/>
          <w:szCs w:val="22"/>
          <w:lang w:val="fr-FR"/>
        </w:rPr>
        <w:t xml:space="preserve">six groupes consultatifs techniques </w:t>
      </w:r>
      <w:r w:rsidR="0047640A" w:rsidRPr="005D062F">
        <w:rPr>
          <w:iCs/>
          <w:color w:val="000000" w:themeColor="text1"/>
          <w:sz w:val="22"/>
          <w:szCs w:val="22"/>
          <w:lang w:val="fr-FR"/>
        </w:rPr>
        <w:t xml:space="preserve">et du </w:t>
      </w:r>
      <w:r w:rsidR="0047640A" w:rsidRPr="005D062F">
        <w:rPr>
          <w:color w:val="000000" w:themeColor="text1"/>
          <w:sz w:val="22"/>
          <w:szCs w:val="22"/>
          <w:lang w:val="fr-FR"/>
        </w:rPr>
        <w:t>Secrétariat de la CIP ont été</w:t>
      </w:r>
      <w:r w:rsidR="009F6016" w:rsidRPr="005D062F">
        <w:rPr>
          <w:iCs/>
          <w:color w:val="000000" w:themeColor="text1"/>
          <w:sz w:val="22"/>
          <w:szCs w:val="22"/>
          <w:lang w:val="fr-FR"/>
        </w:rPr>
        <w:t xml:space="preserve"> appro</w:t>
      </w:r>
      <w:r w:rsidR="0047640A" w:rsidRPr="005D062F">
        <w:rPr>
          <w:iCs/>
          <w:color w:val="000000" w:themeColor="text1"/>
          <w:sz w:val="22"/>
          <w:szCs w:val="22"/>
          <w:lang w:val="fr-FR"/>
        </w:rPr>
        <w:t>uvés</w:t>
      </w:r>
      <w:r w:rsidR="009F6016" w:rsidRPr="005D062F">
        <w:rPr>
          <w:iCs/>
          <w:color w:val="000000" w:themeColor="text1"/>
          <w:sz w:val="22"/>
          <w:szCs w:val="22"/>
          <w:lang w:val="fr-FR"/>
        </w:rPr>
        <w:t xml:space="preserve">. </w:t>
      </w:r>
      <w:r w:rsidR="008512B9" w:rsidRPr="005D062F">
        <w:rPr>
          <w:iCs/>
          <w:color w:val="000000" w:themeColor="text1"/>
          <w:sz w:val="22"/>
          <w:szCs w:val="22"/>
          <w:lang w:val="fr-FR"/>
        </w:rPr>
        <w:t>Point</w:t>
      </w:r>
      <w:r w:rsidR="00880239" w:rsidRPr="005D062F">
        <w:rPr>
          <w:iCs/>
          <w:color w:val="000000" w:themeColor="text1"/>
          <w:sz w:val="22"/>
          <w:szCs w:val="22"/>
          <w:lang w:val="fr-FR"/>
        </w:rPr>
        <w:t xml:space="preserve"> important, le </w:t>
      </w:r>
      <w:r w:rsidR="00F15A1B" w:rsidRPr="005D062F">
        <w:rPr>
          <w:iCs/>
          <w:color w:val="000000" w:themeColor="text1"/>
          <w:sz w:val="22"/>
          <w:szCs w:val="22"/>
          <w:lang w:val="fr-FR"/>
        </w:rPr>
        <w:t>CE</w:t>
      </w:r>
      <w:r w:rsidR="00B40953" w:rsidRPr="005D062F">
        <w:rPr>
          <w:iCs/>
          <w:color w:val="000000" w:themeColor="text1"/>
          <w:sz w:val="22"/>
          <w:szCs w:val="22"/>
          <w:lang w:val="fr-FR"/>
        </w:rPr>
        <w:t>C</w:t>
      </w:r>
      <w:r w:rsidR="00F15A1B" w:rsidRPr="005D062F">
        <w:rPr>
          <w:iCs/>
          <w:color w:val="000000" w:themeColor="text1"/>
          <w:sz w:val="22"/>
          <w:szCs w:val="22"/>
          <w:lang w:val="fr-FR"/>
        </w:rPr>
        <w:t>I</w:t>
      </w:r>
      <w:r w:rsidR="00B40953" w:rsidRPr="005D062F">
        <w:rPr>
          <w:iCs/>
          <w:color w:val="000000" w:themeColor="text1"/>
          <w:sz w:val="22"/>
          <w:szCs w:val="22"/>
          <w:lang w:val="fr-FR"/>
        </w:rPr>
        <w:t>P</w:t>
      </w:r>
      <w:r w:rsidR="00F15A1B" w:rsidRPr="005D062F">
        <w:rPr>
          <w:iCs/>
          <w:color w:val="000000" w:themeColor="text1"/>
          <w:sz w:val="22"/>
          <w:szCs w:val="22"/>
          <w:lang w:val="fr-FR"/>
        </w:rPr>
        <w:t xml:space="preserve"> </w:t>
      </w:r>
      <w:r w:rsidR="00880239" w:rsidRPr="005D062F">
        <w:rPr>
          <w:iCs/>
          <w:color w:val="000000" w:themeColor="text1"/>
          <w:sz w:val="22"/>
          <w:szCs w:val="22"/>
          <w:lang w:val="fr-FR"/>
        </w:rPr>
        <w:t xml:space="preserve">a </w:t>
      </w:r>
      <w:r w:rsidR="00F15A1B" w:rsidRPr="005D062F">
        <w:rPr>
          <w:iCs/>
          <w:color w:val="000000" w:themeColor="text1"/>
          <w:sz w:val="22"/>
          <w:szCs w:val="22"/>
          <w:lang w:val="fr-FR"/>
        </w:rPr>
        <w:t>appro</w:t>
      </w:r>
      <w:r w:rsidR="00880239" w:rsidRPr="005D062F">
        <w:rPr>
          <w:iCs/>
          <w:color w:val="000000" w:themeColor="text1"/>
          <w:sz w:val="22"/>
          <w:szCs w:val="22"/>
          <w:lang w:val="fr-FR"/>
        </w:rPr>
        <w:t>u</w:t>
      </w:r>
      <w:r w:rsidR="00F15A1B" w:rsidRPr="005D062F">
        <w:rPr>
          <w:iCs/>
          <w:color w:val="000000" w:themeColor="text1"/>
          <w:sz w:val="22"/>
          <w:szCs w:val="22"/>
          <w:lang w:val="fr-FR"/>
        </w:rPr>
        <w:t>v</w:t>
      </w:r>
      <w:r w:rsidR="00880239" w:rsidRPr="005D062F">
        <w:rPr>
          <w:iCs/>
          <w:color w:val="000000" w:themeColor="text1"/>
          <w:sz w:val="22"/>
          <w:szCs w:val="22"/>
          <w:lang w:val="fr-FR"/>
        </w:rPr>
        <w:t xml:space="preserve">é les modifications apportées au Règlement de la </w:t>
      </w:r>
      <w:r w:rsidR="009F6016" w:rsidRPr="005D062F">
        <w:rPr>
          <w:iCs/>
          <w:color w:val="000000" w:themeColor="text1"/>
          <w:sz w:val="22"/>
          <w:szCs w:val="22"/>
          <w:lang w:val="fr-FR"/>
        </w:rPr>
        <w:t xml:space="preserve">CIP, </w:t>
      </w:r>
      <w:r w:rsidR="00880239" w:rsidRPr="005D062F">
        <w:rPr>
          <w:iCs/>
          <w:color w:val="000000" w:themeColor="text1"/>
          <w:sz w:val="22"/>
          <w:szCs w:val="22"/>
          <w:lang w:val="fr-FR"/>
        </w:rPr>
        <w:t>q</w:t>
      </w:r>
      <w:r w:rsidR="00206075" w:rsidRPr="005D062F">
        <w:rPr>
          <w:iCs/>
          <w:color w:val="000000" w:themeColor="text1"/>
          <w:sz w:val="22"/>
          <w:szCs w:val="22"/>
          <w:lang w:val="fr-FR"/>
        </w:rPr>
        <w:t>ui seront</w:t>
      </w:r>
      <w:r w:rsidR="00880239" w:rsidRPr="005D062F">
        <w:rPr>
          <w:iCs/>
          <w:color w:val="000000" w:themeColor="text1"/>
          <w:sz w:val="22"/>
          <w:szCs w:val="22"/>
          <w:lang w:val="fr-FR"/>
        </w:rPr>
        <w:t xml:space="preserve"> pré</w:t>
      </w:r>
      <w:r w:rsidR="009F6016" w:rsidRPr="005D062F">
        <w:rPr>
          <w:iCs/>
          <w:color w:val="000000" w:themeColor="text1"/>
          <w:sz w:val="22"/>
          <w:szCs w:val="22"/>
          <w:lang w:val="fr-FR"/>
        </w:rPr>
        <w:t>sent</w:t>
      </w:r>
      <w:r w:rsidR="00880239" w:rsidRPr="005D062F">
        <w:rPr>
          <w:iCs/>
          <w:color w:val="000000" w:themeColor="text1"/>
          <w:sz w:val="22"/>
          <w:szCs w:val="22"/>
          <w:lang w:val="fr-FR"/>
        </w:rPr>
        <w:t>é</w:t>
      </w:r>
      <w:r w:rsidR="00206075" w:rsidRPr="005D062F">
        <w:rPr>
          <w:iCs/>
          <w:color w:val="000000" w:themeColor="text1"/>
          <w:sz w:val="22"/>
          <w:szCs w:val="22"/>
          <w:lang w:val="fr-FR"/>
        </w:rPr>
        <w:t>es</w:t>
      </w:r>
      <w:r w:rsidR="00880239" w:rsidRPr="005D062F">
        <w:rPr>
          <w:iCs/>
          <w:color w:val="000000" w:themeColor="text1"/>
          <w:sz w:val="22"/>
          <w:szCs w:val="22"/>
          <w:lang w:val="fr-FR"/>
        </w:rPr>
        <w:t xml:space="preserve"> à la </w:t>
      </w:r>
      <w:r w:rsidR="00F15A1B" w:rsidRPr="005D062F">
        <w:rPr>
          <w:iCs/>
          <w:color w:val="000000" w:themeColor="text1"/>
          <w:sz w:val="22"/>
          <w:szCs w:val="22"/>
          <w:lang w:val="fr-FR"/>
        </w:rPr>
        <w:t>Commi</w:t>
      </w:r>
      <w:r w:rsidR="00880239" w:rsidRPr="005D062F">
        <w:rPr>
          <w:iCs/>
          <w:color w:val="000000" w:themeColor="text1"/>
          <w:sz w:val="22"/>
          <w:szCs w:val="22"/>
          <w:lang w:val="fr-FR"/>
        </w:rPr>
        <w:t xml:space="preserve">ssion en plénière pour approbation lors de sa </w:t>
      </w:r>
      <w:r w:rsidR="00EE3694" w:rsidRPr="005D062F">
        <w:rPr>
          <w:rFonts w:eastAsiaTheme="minorHAnsi"/>
          <w:sz w:val="22"/>
          <w:szCs w:val="22"/>
          <w:lang w:val="fr-FR"/>
        </w:rPr>
        <w:t>XIII</w:t>
      </w:r>
      <w:r w:rsidR="00880239" w:rsidRPr="005D062F">
        <w:rPr>
          <w:rFonts w:eastAsiaTheme="minorHAnsi"/>
          <w:sz w:val="22"/>
          <w:szCs w:val="22"/>
          <w:lang w:val="fr-FR"/>
        </w:rPr>
        <w:t>e </w:t>
      </w:r>
      <w:r w:rsidR="009F6016" w:rsidRPr="005D062F">
        <w:rPr>
          <w:rFonts w:eastAsiaTheme="minorHAnsi"/>
          <w:sz w:val="22"/>
          <w:szCs w:val="22"/>
          <w:lang w:val="fr-FR"/>
        </w:rPr>
        <w:t>R</w:t>
      </w:r>
      <w:r w:rsidR="00880239" w:rsidRPr="005D062F">
        <w:rPr>
          <w:rFonts w:eastAsiaTheme="minorHAnsi"/>
          <w:sz w:val="22"/>
          <w:szCs w:val="22"/>
          <w:lang w:val="fr-FR"/>
        </w:rPr>
        <w:t xml:space="preserve">éunion ordinaire en </w:t>
      </w:r>
      <w:r w:rsidR="009F6016" w:rsidRPr="005D062F">
        <w:rPr>
          <w:rFonts w:eastAsiaTheme="minorHAnsi"/>
          <w:sz w:val="22"/>
          <w:szCs w:val="22"/>
          <w:lang w:val="fr-FR"/>
        </w:rPr>
        <w:t>2023,</w:t>
      </w:r>
      <w:r w:rsidR="00F15A1B" w:rsidRPr="005D062F">
        <w:rPr>
          <w:rFonts w:eastAsiaTheme="minorHAnsi"/>
          <w:sz w:val="22"/>
          <w:szCs w:val="22"/>
          <w:lang w:val="fr-FR"/>
        </w:rPr>
        <w:t xml:space="preserve"> </w:t>
      </w:r>
      <w:r w:rsidR="00880239" w:rsidRPr="005D062F">
        <w:rPr>
          <w:rFonts w:eastAsiaTheme="minorHAnsi"/>
          <w:sz w:val="22"/>
          <w:szCs w:val="22"/>
          <w:lang w:val="fr-FR"/>
        </w:rPr>
        <w:t xml:space="preserve">et par la suite au </w:t>
      </w:r>
      <w:r w:rsidR="009F6016" w:rsidRPr="005D062F">
        <w:rPr>
          <w:rFonts w:eastAsiaTheme="minorHAnsi"/>
          <w:sz w:val="22"/>
          <w:szCs w:val="22"/>
          <w:lang w:val="fr-FR"/>
        </w:rPr>
        <w:t xml:space="preserve">CIDI </w:t>
      </w:r>
      <w:r w:rsidR="00880239" w:rsidRPr="005D062F">
        <w:rPr>
          <w:rFonts w:eastAsiaTheme="minorHAnsi"/>
          <w:sz w:val="22"/>
          <w:szCs w:val="22"/>
          <w:lang w:val="fr-FR"/>
        </w:rPr>
        <w:t>pour approbation finale</w:t>
      </w:r>
      <w:r w:rsidR="009F6016" w:rsidRPr="005D062F">
        <w:rPr>
          <w:rFonts w:eastAsiaTheme="minorHAnsi"/>
          <w:sz w:val="22"/>
          <w:szCs w:val="22"/>
          <w:lang w:val="fr-FR"/>
        </w:rPr>
        <w:t>.</w:t>
      </w:r>
    </w:p>
    <w:p w14:paraId="6351D02D" w14:textId="77777777" w:rsidR="00F15A1B" w:rsidRPr="005D062F" w:rsidRDefault="00F15A1B" w:rsidP="00723DAD">
      <w:pPr>
        <w:jc w:val="both"/>
        <w:rPr>
          <w:rFonts w:ascii="Times New Roman" w:hAnsi="Times New Roman" w:cs="Times New Roman"/>
          <w:color w:val="000000" w:themeColor="text1"/>
          <w:sz w:val="22"/>
          <w:szCs w:val="22"/>
          <w:lang w:val="fr-FR"/>
        </w:rPr>
      </w:pPr>
    </w:p>
    <w:p w14:paraId="4A74702F" w14:textId="1EBC8734" w:rsidR="00F15A1B" w:rsidRPr="005D062F" w:rsidRDefault="00914112" w:rsidP="00CB030B">
      <w:pPr>
        <w:pStyle w:val="ListParagraph"/>
        <w:numPr>
          <w:ilvl w:val="0"/>
          <w:numId w:val="41"/>
        </w:numPr>
        <w:ind w:left="1440" w:hanging="720"/>
        <w:contextualSpacing/>
        <w:jc w:val="both"/>
        <w:rPr>
          <w:color w:val="000000" w:themeColor="text1"/>
          <w:sz w:val="22"/>
          <w:szCs w:val="22"/>
          <w:lang w:val="fr-FR"/>
        </w:rPr>
      </w:pPr>
      <w:r w:rsidRPr="005D062F">
        <w:rPr>
          <w:color w:val="000000" w:themeColor="text1"/>
          <w:sz w:val="22"/>
          <w:szCs w:val="22"/>
          <w:lang w:val="fr-FR"/>
        </w:rPr>
        <w:t>Il a attribué quatre prix maritimes des Amériques et trois mentions d’honneur à des</w:t>
      </w:r>
      <w:r w:rsidR="00F15A1B" w:rsidRPr="005D062F">
        <w:rPr>
          <w:color w:val="000000" w:themeColor="text1"/>
          <w:sz w:val="22"/>
          <w:szCs w:val="22"/>
          <w:lang w:val="fr-FR"/>
        </w:rPr>
        <w:t xml:space="preserve"> institutions </w:t>
      </w:r>
      <w:r w:rsidRPr="005D062F">
        <w:rPr>
          <w:color w:val="000000" w:themeColor="text1"/>
          <w:sz w:val="22"/>
          <w:szCs w:val="22"/>
          <w:lang w:val="fr-FR"/>
        </w:rPr>
        <w:t>publiques et privées du Brés</w:t>
      </w:r>
      <w:r w:rsidR="00F15A1B" w:rsidRPr="005D062F">
        <w:rPr>
          <w:color w:val="000000" w:themeColor="text1"/>
          <w:sz w:val="22"/>
          <w:szCs w:val="22"/>
          <w:lang w:val="fr-FR"/>
        </w:rPr>
        <w:t xml:space="preserve">il, </w:t>
      </w:r>
      <w:r w:rsidRPr="005D062F">
        <w:rPr>
          <w:color w:val="000000" w:themeColor="text1"/>
          <w:sz w:val="22"/>
          <w:szCs w:val="22"/>
          <w:lang w:val="fr-FR"/>
        </w:rPr>
        <w:t>de la Jamaïque</w:t>
      </w:r>
      <w:r w:rsidR="00F15A1B" w:rsidRPr="005D062F">
        <w:rPr>
          <w:color w:val="000000" w:themeColor="text1"/>
          <w:sz w:val="22"/>
          <w:szCs w:val="22"/>
          <w:lang w:val="fr-FR"/>
        </w:rPr>
        <w:t xml:space="preserve">, </w:t>
      </w:r>
      <w:r w:rsidRPr="005D062F">
        <w:rPr>
          <w:color w:val="000000" w:themeColor="text1"/>
          <w:sz w:val="22"/>
          <w:szCs w:val="22"/>
          <w:lang w:val="fr-FR"/>
        </w:rPr>
        <w:t>du Mexique</w:t>
      </w:r>
      <w:r w:rsidR="00F15A1B" w:rsidRPr="005D062F">
        <w:rPr>
          <w:color w:val="000000" w:themeColor="text1"/>
          <w:sz w:val="22"/>
          <w:szCs w:val="22"/>
          <w:lang w:val="fr-FR"/>
        </w:rPr>
        <w:t xml:space="preserve">, </w:t>
      </w:r>
      <w:r w:rsidRPr="005D062F">
        <w:rPr>
          <w:color w:val="000000" w:themeColor="text1"/>
          <w:sz w:val="22"/>
          <w:szCs w:val="22"/>
          <w:lang w:val="fr-FR"/>
        </w:rPr>
        <w:t xml:space="preserve">du </w:t>
      </w:r>
      <w:r w:rsidR="00F15A1B" w:rsidRPr="005D062F">
        <w:rPr>
          <w:color w:val="000000" w:themeColor="text1"/>
          <w:sz w:val="22"/>
          <w:szCs w:val="22"/>
          <w:lang w:val="fr-FR"/>
        </w:rPr>
        <w:t>Panama</w:t>
      </w:r>
      <w:r w:rsidRPr="005D062F">
        <w:rPr>
          <w:color w:val="000000" w:themeColor="text1"/>
          <w:sz w:val="22"/>
          <w:szCs w:val="22"/>
          <w:lang w:val="fr-FR"/>
        </w:rPr>
        <w:t xml:space="preserve"> et du Pé</w:t>
      </w:r>
      <w:r w:rsidR="00F15A1B" w:rsidRPr="005D062F">
        <w:rPr>
          <w:color w:val="000000" w:themeColor="text1"/>
          <w:sz w:val="22"/>
          <w:szCs w:val="22"/>
          <w:lang w:val="fr-FR"/>
        </w:rPr>
        <w:t>r</w:t>
      </w:r>
      <w:r w:rsidRPr="005D062F">
        <w:rPr>
          <w:color w:val="000000" w:themeColor="text1"/>
          <w:sz w:val="22"/>
          <w:szCs w:val="22"/>
          <w:lang w:val="fr-FR"/>
        </w:rPr>
        <w:t>o</w:t>
      </w:r>
      <w:r w:rsidR="00F15A1B" w:rsidRPr="005D062F">
        <w:rPr>
          <w:color w:val="000000" w:themeColor="text1"/>
          <w:sz w:val="22"/>
          <w:szCs w:val="22"/>
          <w:lang w:val="fr-FR"/>
        </w:rPr>
        <w:t>u</w:t>
      </w:r>
      <w:r w:rsidRPr="005D062F">
        <w:rPr>
          <w:color w:val="000000" w:themeColor="text1"/>
          <w:sz w:val="22"/>
          <w:szCs w:val="22"/>
          <w:lang w:val="fr-FR"/>
        </w:rPr>
        <w:t xml:space="preserve"> pour leurs pratiques exemplaires dans les domaines de la numérisation compétitive, de la cybersécurité dans les ports et/ou terminaux</w:t>
      </w:r>
      <w:r w:rsidR="00F15A1B" w:rsidRPr="005D062F">
        <w:rPr>
          <w:color w:val="000000" w:themeColor="text1"/>
          <w:sz w:val="22"/>
          <w:szCs w:val="22"/>
          <w:lang w:val="fr-FR"/>
        </w:rPr>
        <w:t xml:space="preserve">, </w:t>
      </w:r>
      <w:r w:rsidR="00F42DD0" w:rsidRPr="005D062F">
        <w:rPr>
          <w:color w:val="000000" w:themeColor="text1"/>
          <w:sz w:val="22"/>
          <w:szCs w:val="22"/>
          <w:lang w:val="fr-FR"/>
        </w:rPr>
        <w:t>des opérations portuaires écologiques et de la gestion durable</w:t>
      </w:r>
      <w:r w:rsidRPr="005D062F">
        <w:rPr>
          <w:color w:val="000000" w:themeColor="text1"/>
          <w:sz w:val="22"/>
          <w:szCs w:val="22"/>
          <w:lang w:val="fr-FR"/>
        </w:rPr>
        <w:t>, de l’autonomisation et de l’égalité ainsi que des femmes exceptionnelles dans le secteur portuaire</w:t>
      </w:r>
      <w:r w:rsidR="00F15A1B" w:rsidRPr="005D062F">
        <w:rPr>
          <w:color w:val="000000" w:themeColor="text1"/>
          <w:sz w:val="22"/>
          <w:szCs w:val="22"/>
          <w:lang w:val="fr-FR"/>
        </w:rPr>
        <w:t>.</w:t>
      </w:r>
    </w:p>
    <w:p w14:paraId="32591164" w14:textId="77777777" w:rsidR="00F15A1B" w:rsidRPr="005D062F" w:rsidRDefault="00F15A1B" w:rsidP="00723DAD">
      <w:pPr>
        <w:jc w:val="both"/>
        <w:rPr>
          <w:rFonts w:ascii="Times New Roman" w:hAnsi="Times New Roman" w:cs="Times New Roman"/>
          <w:color w:val="000000" w:themeColor="text1"/>
          <w:sz w:val="22"/>
          <w:szCs w:val="22"/>
          <w:lang w:val="fr-FR"/>
        </w:rPr>
      </w:pPr>
    </w:p>
    <w:p w14:paraId="79621014" w14:textId="339532AA" w:rsidR="00F15A1B" w:rsidRPr="005D062F" w:rsidRDefault="002E2F7D" w:rsidP="00CB030B">
      <w:pPr>
        <w:pStyle w:val="ListParagraph"/>
        <w:numPr>
          <w:ilvl w:val="0"/>
          <w:numId w:val="41"/>
        </w:numPr>
        <w:ind w:left="1440" w:hanging="720"/>
        <w:contextualSpacing/>
        <w:jc w:val="both"/>
        <w:rPr>
          <w:color w:val="000000" w:themeColor="text1"/>
          <w:sz w:val="22"/>
          <w:szCs w:val="22"/>
          <w:lang w:val="fr-FR"/>
        </w:rPr>
      </w:pPr>
      <w:r w:rsidRPr="005D062F">
        <w:rPr>
          <w:color w:val="000000" w:themeColor="text1"/>
          <w:sz w:val="22"/>
          <w:szCs w:val="22"/>
          <w:lang w:val="fr-FR"/>
        </w:rPr>
        <w:t>Il a attribué, e</w:t>
      </w:r>
      <w:r w:rsidR="00F15A1B" w:rsidRPr="005D062F">
        <w:rPr>
          <w:color w:val="000000" w:themeColor="text1"/>
          <w:sz w:val="22"/>
          <w:szCs w:val="22"/>
          <w:lang w:val="fr-FR"/>
        </w:rPr>
        <w:t xml:space="preserve">n collaboration </w:t>
      </w:r>
      <w:r w:rsidRPr="005D062F">
        <w:rPr>
          <w:color w:val="000000" w:themeColor="text1"/>
          <w:sz w:val="22"/>
          <w:szCs w:val="22"/>
          <w:lang w:val="fr-FR"/>
        </w:rPr>
        <w:t>avec l’</w:t>
      </w:r>
      <w:r w:rsidR="00F15A1B" w:rsidRPr="005D062F">
        <w:rPr>
          <w:color w:val="000000" w:themeColor="text1"/>
          <w:sz w:val="22"/>
          <w:szCs w:val="22"/>
          <w:lang w:val="fr-FR"/>
        </w:rPr>
        <w:t>Association</w:t>
      </w:r>
      <w:r w:rsidRPr="005D062F">
        <w:rPr>
          <w:color w:val="000000" w:themeColor="text1"/>
          <w:sz w:val="22"/>
          <w:szCs w:val="22"/>
          <w:lang w:val="fr-FR"/>
        </w:rPr>
        <w:t xml:space="preserve"> américaine des aut</w:t>
      </w:r>
      <w:r w:rsidR="00F15A1B" w:rsidRPr="005D062F">
        <w:rPr>
          <w:color w:val="000000" w:themeColor="text1"/>
          <w:sz w:val="22"/>
          <w:szCs w:val="22"/>
          <w:lang w:val="fr-FR"/>
        </w:rPr>
        <w:t>orit</w:t>
      </w:r>
      <w:r w:rsidRPr="005D062F">
        <w:rPr>
          <w:color w:val="000000" w:themeColor="text1"/>
          <w:sz w:val="22"/>
          <w:szCs w:val="22"/>
          <w:lang w:val="fr-FR"/>
        </w:rPr>
        <w:t>é</w:t>
      </w:r>
      <w:r w:rsidR="00F15A1B" w:rsidRPr="005D062F">
        <w:rPr>
          <w:color w:val="000000" w:themeColor="text1"/>
          <w:sz w:val="22"/>
          <w:szCs w:val="22"/>
          <w:lang w:val="fr-FR"/>
        </w:rPr>
        <w:t>s</w:t>
      </w:r>
      <w:r w:rsidRPr="005D062F">
        <w:rPr>
          <w:color w:val="000000" w:themeColor="text1"/>
          <w:sz w:val="22"/>
          <w:szCs w:val="22"/>
          <w:lang w:val="fr-FR"/>
        </w:rPr>
        <w:t xml:space="preserve"> portuaires</w:t>
      </w:r>
      <w:r w:rsidR="00F15A1B" w:rsidRPr="005D062F">
        <w:rPr>
          <w:color w:val="000000" w:themeColor="text1"/>
          <w:sz w:val="22"/>
          <w:szCs w:val="22"/>
          <w:lang w:val="fr-FR"/>
        </w:rPr>
        <w:t xml:space="preserve">, </w:t>
      </w:r>
      <w:r w:rsidRPr="005D062F">
        <w:rPr>
          <w:color w:val="000000" w:themeColor="text1"/>
          <w:sz w:val="22"/>
          <w:szCs w:val="22"/>
          <w:lang w:val="fr-FR"/>
        </w:rPr>
        <w:t>trois prix d’excellence dans l’industrie portuaire à des institutions publiques et privées</w:t>
      </w:r>
      <w:r w:rsidR="00F15A1B" w:rsidRPr="005D062F">
        <w:rPr>
          <w:color w:val="000000" w:themeColor="text1"/>
          <w:sz w:val="22"/>
          <w:szCs w:val="22"/>
          <w:lang w:val="fr-FR"/>
        </w:rPr>
        <w:t xml:space="preserve"> </w:t>
      </w:r>
      <w:r w:rsidRPr="005D062F">
        <w:rPr>
          <w:color w:val="000000" w:themeColor="text1"/>
          <w:sz w:val="22"/>
          <w:szCs w:val="22"/>
          <w:lang w:val="fr-FR"/>
        </w:rPr>
        <w:t>du Brésil et du Pérou</w:t>
      </w:r>
      <w:r w:rsidR="00F15A1B" w:rsidRPr="005D062F">
        <w:rPr>
          <w:color w:val="000000" w:themeColor="text1"/>
          <w:sz w:val="22"/>
          <w:szCs w:val="22"/>
          <w:lang w:val="fr-FR"/>
        </w:rPr>
        <w:t xml:space="preserve"> </w:t>
      </w:r>
      <w:r w:rsidRPr="005D062F">
        <w:rPr>
          <w:color w:val="000000" w:themeColor="text1"/>
          <w:sz w:val="22"/>
          <w:szCs w:val="22"/>
          <w:lang w:val="fr-FR"/>
        </w:rPr>
        <w:t>pour leurs pratiques réussies dans les domaines de la technologie et l’innovation</w:t>
      </w:r>
      <w:r w:rsidR="00F15A1B" w:rsidRPr="005D062F">
        <w:rPr>
          <w:color w:val="000000" w:themeColor="text1"/>
          <w:sz w:val="22"/>
          <w:szCs w:val="22"/>
          <w:lang w:val="fr-FR"/>
        </w:rPr>
        <w:t xml:space="preserve">, </w:t>
      </w:r>
      <w:r w:rsidRPr="005D062F">
        <w:rPr>
          <w:color w:val="000000" w:themeColor="text1"/>
          <w:sz w:val="22"/>
          <w:szCs w:val="22"/>
          <w:lang w:val="fr-FR"/>
        </w:rPr>
        <w:t>du développement des infrastructures portuaires</w:t>
      </w:r>
      <w:r w:rsidR="00F15A1B" w:rsidRPr="005D062F">
        <w:rPr>
          <w:color w:val="000000" w:themeColor="text1"/>
          <w:sz w:val="22"/>
          <w:szCs w:val="22"/>
          <w:lang w:val="fr-FR"/>
        </w:rPr>
        <w:t xml:space="preserve"> </w:t>
      </w:r>
      <w:r w:rsidRPr="005D062F">
        <w:rPr>
          <w:color w:val="000000" w:themeColor="text1"/>
          <w:sz w:val="22"/>
          <w:szCs w:val="22"/>
          <w:lang w:val="fr-FR"/>
        </w:rPr>
        <w:t>et des partenariats public-privé</w:t>
      </w:r>
      <w:r w:rsidR="00F15A1B" w:rsidRPr="005D062F">
        <w:rPr>
          <w:color w:val="000000" w:themeColor="text1"/>
          <w:sz w:val="22"/>
          <w:szCs w:val="22"/>
          <w:lang w:val="fr-FR"/>
        </w:rPr>
        <w:t>.</w:t>
      </w:r>
    </w:p>
    <w:p w14:paraId="551EEEEE" w14:textId="77777777" w:rsidR="00F15A1B" w:rsidRPr="005D062F" w:rsidRDefault="00F15A1B" w:rsidP="00723DAD">
      <w:pPr>
        <w:jc w:val="both"/>
        <w:rPr>
          <w:rFonts w:ascii="Times New Roman" w:hAnsi="Times New Roman" w:cs="Times New Roman"/>
          <w:color w:val="000000" w:themeColor="text1"/>
          <w:sz w:val="22"/>
          <w:szCs w:val="22"/>
          <w:lang w:val="fr-FR"/>
        </w:rPr>
      </w:pPr>
    </w:p>
    <w:p w14:paraId="42DB3A54" w14:textId="085F92C3" w:rsidR="00F15A1B" w:rsidRPr="005D062F" w:rsidRDefault="00F900B3" w:rsidP="00CB030B">
      <w:pPr>
        <w:pStyle w:val="ListParagraph"/>
        <w:numPr>
          <w:ilvl w:val="0"/>
          <w:numId w:val="41"/>
        </w:numPr>
        <w:ind w:left="1440" w:hanging="720"/>
        <w:contextualSpacing/>
        <w:jc w:val="both"/>
        <w:rPr>
          <w:sz w:val="22"/>
          <w:szCs w:val="22"/>
          <w:lang w:val="fr-FR"/>
        </w:rPr>
      </w:pPr>
      <w:r w:rsidRPr="005D062F">
        <w:rPr>
          <w:color w:val="000000" w:themeColor="text1"/>
          <w:sz w:val="22"/>
          <w:szCs w:val="22"/>
          <w:lang w:val="fr-FR"/>
        </w:rPr>
        <w:t>Il a p</w:t>
      </w:r>
      <w:r w:rsidR="00F15A1B" w:rsidRPr="005D062F">
        <w:rPr>
          <w:color w:val="000000" w:themeColor="text1"/>
          <w:sz w:val="22"/>
          <w:szCs w:val="22"/>
          <w:lang w:val="fr-FR"/>
        </w:rPr>
        <w:t>articip</w:t>
      </w:r>
      <w:r w:rsidRPr="005D062F">
        <w:rPr>
          <w:color w:val="000000" w:themeColor="text1"/>
          <w:sz w:val="22"/>
          <w:szCs w:val="22"/>
          <w:lang w:val="fr-FR"/>
        </w:rPr>
        <w:t xml:space="preserve">é à quatre événements </w:t>
      </w:r>
      <w:r w:rsidR="00F15A1B" w:rsidRPr="005D062F">
        <w:rPr>
          <w:color w:val="000000" w:themeColor="text1"/>
          <w:sz w:val="22"/>
          <w:szCs w:val="22"/>
          <w:lang w:val="fr-FR"/>
        </w:rPr>
        <w:t>virtu</w:t>
      </w:r>
      <w:r w:rsidRPr="005D062F">
        <w:rPr>
          <w:color w:val="000000" w:themeColor="text1"/>
          <w:sz w:val="22"/>
          <w:szCs w:val="22"/>
          <w:lang w:val="fr-FR"/>
        </w:rPr>
        <w:t>e</w:t>
      </w:r>
      <w:r w:rsidR="00F15A1B" w:rsidRPr="005D062F">
        <w:rPr>
          <w:color w:val="000000" w:themeColor="text1"/>
          <w:sz w:val="22"/>
          <w:szCs w:val="22"/>
          <w:lang w:val="fr-FR"/>
        </w:rPr>
        <w:t>l</w:t>
      </w:r>
      <w:r w:rsidRPr="005D062F">
        <w:rPr>
          <w:color w:val="000000" w:themeColor="text1"/>
          <w:sz w:val="22"/>
          <w:szCs w:val="22"/>
          <w:lang w:val="fr-FR"/>
        </w:rPr>
        <w:t>s</w:t>
      </w:r>
      <w:r w:rsidR="00F15A1B" w:rsidRPr="005D062F">
        <w:rPr>
          <w:color w:val="000000" w:themeColor="text1"/>
          <w:sz w:val="22"/>
          <w:szCs w:val="22"/>
          <w:lang w:val="fr-FR"/>
        </w:rPr>
        <w:t xml:space="preserve"> </w:t>
      </w:r>
      <w:r w:rsidRPr="005D062F">
        <w:rPr>
          <w:color w:val="000000" w:themeColor="text1"/>
          <w:sz w:val="22"/>
          <w:szCs w:val="22"/>
          <w:lang w:val="fr-FR"/>
        </w:rPr>
        <w:t>e</w:t>
      </w:r>
      <w:r w:rsidR="00F15A1B" w:rsidRPr="005D062F">
        <w:rPr>
          <w:color w:val="000000" w:themeColor="text1"/>
          <w:sz w:val="22"/>
          <w:szCs w:val="22"/>
          <w:lang w:val="fr-FR"/>
        </w:rPr>
        <w:t xml:space="preserve">n </w:t>
      </w:r>
      <w:r w:rsidRPr="005D062F">
        <w:rPr>
          <w:color w:val="000000" w:themeColor="text1"/>
          <w:sz w:val="22"/>
          <w:szCs w:val="22"/>
          <w:lang w:val="fr-FR"/>
        </w:rPr>
        <w:t>Amé</w:t>
      </w:r>
      <w:r w:rsidR="00F15A1B" w:rsidRPr="005D062F">
        <w:rPr>
          <w:color w:val="000000" w:themeColor="text1"/>
          <w:sz w:val="22"/>
          <w:szCs w:val="22"/>
          <w:lang w:val="fr-FR"/>
        </w:rPr>
        <w:t>ri</w:t>
      </w:r>
      <w:r w:rsidRPr="005D062F">
        <w:rPr>
          <w:color w:val="000000" w:themeColor="text1"/>
          <w:sz w:val="22"/>
          <w:szCs w:val="22"/>
          <w:lang w:val="fr-FR"/>
        </w:rPr>
        <w:t xml:space="preserve">que latine et dans les Caraïbes organisés par les </w:t>
      </w:r>
      <w:r w:rsidR="00CF18F1" w:rsidRPr="005D062F">
        <w:rPr>
          <w:color w:val="000000" w:themeColor="text1"/>
          <w:sz w:val="22"/>
          <w:szCs w:val="22"/>
          <w:lang w:val="fr-FR"/>
        </w:rPr>
        <w:t>partenaires</w:t>
      </w:r>
      <w:r w:rsidRPr="005D062F">
        <w:rPr>
          <w:color w:val="000000" w:themeColor="text1"/>
          <w:sz w:val="22"/>
          <w:szCs w:val="22"/>
          <w:lang w:val="fr-FR"/>
        </w:rPr>
        <w:t xml:space="preserve"> stratégiques et les membres associés de la </w:t>
      </w:r>
      <w:r w:rsidR="00F15A1B" w:rsidRPr="005D062F">
        <w:rPr>
          <w:color w:val="000000" w:themeColor="text1"/>
          <w:sz w:val="22"/>
          <w:szCs w:val="22"/>
          <w:lang w:val="fr-FR"/>
        </w:rPr>
        <w:t xml:space="preserve">CIP </w:t>
      </w:r>
      <w:r w:rsidRPr="005D062F">
        <w:rPr>
          <w:color w:val="000000" w:themeColor="text1"/>
          <w:sz w:val="22"/>
          <w:szCs w:val="22"/>
          <w:lang w:val="fr-FR"/>
        </w:rPr>
        <w:t>afin de discuter des tendances et des défis actuels dans le secteur portuaire</w:t>
      </w:r>
      <w:r w:rsidR="00F15A1B" w:rsidRPr="005D062F">
        <w:rPr>
          <w:color w:val="000000" w:themeColor="text1"/>
          <w:sz w:val="22"/>
          <w:szCs w:val="22"/>
          <w:lang w:val="fr-FR"/>
        </w:rPr>
        <w:t>.</w:t>
      </w:r>
    </w:p>
    <w:p w14:paraId="0F7A5DFA" w14:textId="77777777" w:rsidR="00F15A1B" w:rsidRPr="005D062F" w:rsidRDefault="00F15A1B" w:rsidP="00723DAD">
      <w:pPr>
        <w:jc w:val="both"/>
        <w:rPr>
          <w:rFonts w:ascii="Times New Roman" w:hAnsi="Times New Roman" w:cs="Times New Roman"/>
          <w:sz w:val="22"/>
          <w:szCs w:val="22"/>
          <w:lang w:val="fr-FR"/>
        </w:rPr>
      </w:pPr>
    </w:p>
    <w:p w14:paraId="4F8FC332" w14:textId="01656AA4" w:rsidR="00F15A1B" w:rsidRPr="005D062F" w:rsidRDefault="00F15A1B" w:rsidP="00CB030B">
      <w:pPr>
        <w:pStyle w:val="ListParagraph"/>
        <w:numPr>
          <w:ilvl w:val="0"/>
          <w:numId w:val="41"/>
        </w:numPr>
        <w:ind w:left="1440" w:hanging="720"/>
        <w:contextualSpacing/>
        <w:jc w:val="both"/>
        <w:rPr>
          <w:color w:val="000000" w:themeColor="text1"/>
          <w:sz w:val="22"/>
          <w:szCs w:val="22"/>
          <w:lang w:val="fr-FR"/>
        </w:rPr>
      </w:pPr>
      <w:r w:rsidRPr="005D062F">
        <w:rPr>
          <w:color w:val="000000" w:themeColor="text1"/>
          <w:sz w:val="22"/>
          <w:szCs w:val="22"/>
          <w:lang w:val="fr-FR"/>
        </w:rPr>
        <w:t>I</w:t>
      </w:r>
      <w:r w:rsidR="00F900B3" w:rsidRPr="005D062F">
        <w:rPr>
          <w:color w:val="000000" w:themeColor="text1"/>
          <w:sz w:val="22"/>
          <w:szCs w:val="22"/>
          <w:lang w:val="fr-FR"/>
        </w:rPr>
        <w:t>l a intégré un nouveau membre associé originaire d’Argentine</w:t>
      </w:r>
      <w:r w:rsidRPr="005D062F">
        <w:rPr>
          <w:color w:val="000000" w:themeColor="text1"/>
          <w:sz w:val="22"/>
          <w:szCs w:val="22"/>
          <w:lang w:val="fr-FR"/>
        </w:rPr>
        <w:t>. Puerto Dock Sud</w:t>
      </w:r>
      <w:r w:rsidR="00F900B3" w:rsidRPr="005D062F">
        <w:rPr>
          <w:color w:val="000000" w:themeColor="text1"/>
          <w:sz w:val="22"/>
          <w:szCs w:val="22"/>
          <w:lang w:val="fr-FR"/>
        </w:rPr>
        <w:t xml:space="preserve"> a rejoint la CIP en novemb</w:t>
      </w:r>
      <w:r w:rsidRPr="005D062F">
        <w:rPr>
          <w:color w:val="000000" w:themeColor="text1"/>
          <w:sz w:val="22"/>
          <w:szCs w:val="22"/>
          <w:lang w:val="fr-FR"/>
        </w:rPr>
        <w:t>r</w:t>
      </w:r>
      <w:r w:rsidR="00F900B3" w:rsidRPr="005D062F">
        <w:rPr>
          <w:color w:val="000000" w:themeColor="text1"/>
          <w:sz w:val="22"/>
          <w:szCs w:val="22"/>
          <w:lang w:val="fr-FR"/>
        </w:rPr>
        <w:t>e</w:t>
      </w:r>
      <w:r w:rsidRPr="005D062F">
        <w:rPr>
          <w:color w:val="000000" w:themeColor="text1"/>
          <w:sz w:val="22"/>
          <w:szCs w:val="22"/>
          <w:lang w:val="fr-FR"/>
        </w:rPr>
        <w:t>.</w:t>
      </w:r>
    </w:p>
    <w:p w14:paraId="1E21B6D6" w14:textId="77777777" w:rsidR="00F86E25" w:rsidRPr="00E409C2" w:rsidRDefault="00F86E25" w:rsidP="00CB030B">
      <w:pPr>
        <w:pStyle w:val="NoSpacing"/>
        <w:jc w:val="both"/>
        <w:rPr>
          <w:rFonts w:ascii="Times New Roman" w:hAnsi="Times New Roman"/>
          <w:iCs/>
          <w:color w:val="000000" w:themeColor="text1"/>
          <w:lang w:val="fr-FR"/>
        </w:rPr>
      </w:pPr>
    </w:p>
    <w:p w14:paraId="76F0BB8E" w14:textId="77777777" w:rsidR="00F86E25" w:rsidRPr="00E409C2" w:rsidRDefault="00F86E25" w:rsidP="00CB030B">
      <w:pPr>
        <w:pStyle w:val="NoSpacing"/>
        <w:jc w:val="both"/>
        <w:rPr>
          <w:rFonts w:ascii="Times New Roman" w:hAnsi="Times New Roman"/>
          <w:iCs/>
          <w:color w:val="000000" w:themeColor="text1"/>
          <w:lang w:val="fr-FR"/>
        </w:rPr>
      </w:pPr>
    </w:p>
    <w:p w14:paraId="1011703D" w14:textId="0E6FED56" w:rsidR="00213DFE" w:rsidRPr="00002E24" w:rsidRDefault="00F15A1B" w:rsidP="00002E24">
      <w:pPr>
        <w:pStyle w:val="Heading1"/>
        <w:keepNext/>
      </w:pPr>
      <w:bookmarkStart w:id="33" w:name="_Toc124243420"/>
      <w:r w:rsidRPr="00002E24">
        <w:t>CONCLUSION</w:t>
      </w:r>
      <w:bookmarkEnd w:id="33"/>
    </w:p>
    <w:p w14:paraId="168A7C62" w14:textId="4F712904" w:rsidR="004D5E2A" w:rsidRPr="005D062F" w:rsidRDefault="00213DFE" w:rsidP="00CB030B">
      <w:pPr>
        <w:pStyle w:val="NoSpacing"/>
        <w:pBdr>
          <w:bottom w:val="single" w:sz="6" w:space="1" w:color="auto"/>
        </w:pBdr>
        <w:jc w:val="both"/>
        <w:rPr>
          <w:rFonts w:ascii="Times New Roman" w:hAnsi="Times New Roman"/>
          <w:iCs/>
          <w:color w:val="000000" w:themeColor="text1"/>
          <w:lang w:val="fr-FR"/>
        </w:rPr>
      </w:pPr>
      <w:r w:rsidRPr="005D062F">
        <w:rPr>
          <w:rFonts w:ascii="Times New Roman" w:hAnsi="Times New Roman"/>
          <w:iCs/>
          <w:color w:val="000000" w:themeColor="text1"/>
          <w:lang w:val="fr-FR"/>
        </w:rPr>
        <w:t xml:space="preserve">EFFORTS </w:t>
      </w:r>
      <w:r w:rsidR="0025071B" w:rsidRPr="005D062F">
        <w:rPr>
          <w:rFonts w:ascii="Times New Roman" w:hAnsi="Times New Roman"/>
          <w:iCs/>
          <w:color w:val="000000" w:themeColor="text1"/>
          <w:lang w:val="fr-FR"/>
        </w:rPr>
        <w:t>DÉPLOYÉS PAR LE SEDI E</w:t>
      </w:r>
      <w:r w:rsidRPr="005D062F">
        <w:rPr>
          <w:rFonts w:ascii="Times New Roman" w:hAnsi="Times New Roman"/>
          <w:iCs/>
          <w:color w:val="000000" w:themeColor="text1"/>
          <w:lang w:val="fr-FR"/>
        </w:rPr>
        <w:t xml:space="preserve">N 2023 </w:t>
      </w:r>
      <w:r w:rsidR="0025071B" w:rsidRPr="005D062F">
        <w:rPr>
          <w:rFonts w:ascii="Times New Roman" w:hAnsi="Times New Roman"/>
          <w:iCs/>
          <w:color w:val="000000" w:themeColor="text1"/>
          <w:lang w:val="fr-FR"/>
        </w:rPr>
        <w:t>ET AU-DELÀ</w:t>
      </w:r>
    </w:p>
    <w:p w14:paraId="79D3BA3C" w14:textId="77777777" w:rsidR="004D5E2A" w:rsidRPr="005D062F" w:rsidRDefault="004D5E2A" w:rsidP="00CB030B">
      <w:pPr>
        <w:jc w:val="both"/>
        <w:rPr>
          <w:rFonts w:ascii="Times New Roman" w:hAnsi="Times New Roman" w:cs="Times New Roman"/>
          <w:bCs/>
          <w:sz w:val="22"/>
          <w:szCs w:val="22"/>
          <w:lang w:val="fr-FR"/>
        </w:rPr>
      </w:pPr>
    </w:p>
    <w:p w14:paraId="6E8E105B" w14:textId="35346D7F" w:rsidR="00BE059A" w:rsidRPr="005D062F" w:rsidRDefault="00911EEF" w:rsidP="00CB030B">
      <w:pPr>
        <w:ind w:firstLine="720"/>
        <w:jc w:val="both"/>
        <w:rPr>
          <w:rFonts w:ascii="Times New Roman" w:hAnsi="Times New Roman" w:cs="Times New Roman"/>
          <w:bCs/>
          <w:sz w:val="22"/>
          <w:szCs w:val="22"/>
          <w:lang w:val="fr-FR"/>
        </w:rPr>
      </w:pPr>
      <w:r w:rsidRPr="005D062F">
        <w:rPr>
          <w:rFonts w:ascii="Times New Roman" w:hAnsi="Times New Roman" w:cs="Times New Roman"/>
          <w:bCs/>
          <w:sz w:val="22"/>
          <w:szCs w:val="22"/>
          <w:lang w:val="fr-FR"/>
        </w:rPr>
        <w:t>La</w:t>
      </w:r>
      <w:r w:rsidR="00BF49B3" w:rsidRPr="005D062F">
        <w:rPr>
          <w:rFonts w:ascii="Times New Roman" w:hAnsi="Times New Roman" w:cs="Times New Roman"/>
          <w:bCs/>
          <w:sz w:val="22"/>
          <w:szCs w:val="22"/>
          <w:lang w:val="fr-FR"/>
        </w:rPr>
        <w:t xml:space="preserve"> transition</w:t>
      </w:r>
      <w:r w:rsidRPr="005D062F">
        <w:rPr>
          <w:rFonts w:ascii="Times New Roman" w:hAnsi="Times New Roman" w:cs="Times New Roman"/>
          <w:bCs/>
          <w:sz w:val="22"/>
          <w:szCs w:val="22"/>
          <w:lang w:val="fr-FR"/>
        </w:rPr>
        <w:t xml:space="preserve"> </w:t>
      </w:r>
      <w:r w:rsidR="007B4162" w:rsidRPr="005D062F">
        <w:rPr>
          <w:rFonts w:ascii="Times New Roman" w:hAnsi="Times New Roman" w:cs="Times New Roman"/>
          <w:bCs/>
          <w:sz w:val="22"/>
          <w:szCs w:val="22"/>
          <w:lang w:val="fr-FR"/>
        </w:rPr>
        <w:t xml:space="preserve">grâce à laquelle les pays s’éloignent de </w:t>
      </w:r>
      <w:r w:rsidR="00053D2E" w:rsidRPr="005D062F">
        <w:rPr>
          <w:rFonts w:ascii="Times New Roman" w:hAnsi="Times New Roman" w:cs="Times New Roman"/>
          <w:bCs/>
          <w:sz w:val="22"/>
          <w:szCs w:val="22"/>
          <w:lang w:val="fr-FR"/>
        </w:rPr>
        <w:t xml:space="preserve">la </w:t>
      </w:r>
      <w:r w:rsidRPr="005D062F">
        <w:rPr>
          <w:rFonts w:ascii="Times New Roman" w:hAnsi="Times New Roman" w:cs="Times New Roman"/>
          <w:bCs/>
          <w:sz w:val="22"/>
          <w:szCs w:val="22"/>
          <w:lang w:val="fr-FR"/>
        </w:rPr>
        <w:t>pandémie mondiale</w:t>
      </w:r>
      <w:r w:rsidR="00BF49B3" w:rsidRPr="005D062F">
        <w:rPr>
          <w:rFonts w:ascii="Times New Roman" w:hAnsi="Times New Roman" w:cs="Times New Roman"/>
          <w:bCs/>
          <w:sz w:val="22"/>
          <w:szCs w:val="22"/>
          <w:lang w:val="fr-FR"/>
        </w:rPr>
        <w:t xml:space="preserve"> </w:t>
      </w:r>
      <w:r w:rsidR="007B4162" w:rsidRPr="005D062F">
        <w:rPr>
          <w:rFonts w:ascii="Times New Roman" w:hAnsi="Times New Roman" w:cs="Times New Roman"/>
          <w:bCs/>
          <w:sz w:val="22"/>
          <w:szCs w:val="22"/>
          <w:lang w:val="fr-FR"/>
        </w:rPr>
        <w:t xml:space="preserve">a entraîné dans son sillage </w:t>
      </w:r>
      <w:r w:rsidR="00C0204A" w:rsidRPr="005D062F">
        <w:rPr>
          <w:rFonts w:ascii="Times New Roman" w:hAnsi="Times New Roman" w:cs="Times New Roman"/>
          <w:bCs/>
          <w:sz w:val="22"/>
          <w:szCs w:val="22"/>
          <w:lang w:val="fr-FR"/>
        </w:rPr>
        <w:t xml:space="preserve">une évolution </w:t>
      </w:r>
      <w:r w:rsidR="007B4162" w:rsidRPr="005D062F">
        <w:rPr>
          <w:rFonts w:ascii="Times New Roman" w:hAnsi="Times New Roman" w:cs="Times New Roman"/>
          <w:bCs/>
          <w:sz w:val="22"/>
          <w:szCs w:val="22"/>
          <w:lang w:val="fr-FR"/>
        </w:rPr>
        <w:t>vers une nouvelle crise mondiale</w:t>
      </w:r>
      <w:r w:rsidR="00C0204A" w:rsidRPr="005D062F">
        <w:rPr>
          <w:rFonts w:ascii="Times New Roman" w:hAnsi="Times New Roman" w:cs="Times New Roman"/>
          <w:bCs/>
          <w:sz w:val="22"/>
          <w:szCs w:val="22"/>
          <w:lang w:val="fr-FR"/>
        </w:rPr>
        <w:t> </w:t>
      </w:r>
      <w:r w:rsidR="00BF49B3" w:rsidRPr="005D062F">
        <w:rPr>
          <w:rFonts w:ascii="Times New Roman" w:hAnsi="Times New Roman" w:cs="Times New Roman"/>
          <w:bCs/>
          <w:sz w:val="22"/>
          <w:szCs w:val="22"/>
          <w:lang w:val="fr-FR"/>
        </w:rPr>
        <w:t xml:space="preserve">: </w:t>
      </w:r>
      <w:r w:rsidR="00F1441E" w:rsidRPr="005D062F">
        <w:rPr>
          <w:rFonts w:ascii="Times New Roman" w:hAnsi="Times New Roman" w:cs="Times New Roman"/>
          <w:bCs/>
          <w:sz w:val="22"/>
          <w:szCs w:val="22"/>
          <w:lang w:val="fr-FR"/>
        </w:rPr>
        <w:t>le c</w:t>
      </w:r>
      <w:r w:rsidR="00B247A4" w:rsidRPr="005D062F">
        <w:rPr>
          <w:rFonts w:ascii="Times New Roman" w:hAnsi="Times New Roman" w:cs="Times New Roman"/>
          <w:bCs/>
          <w:sz w:val="22"/>
          <w:szCs w:val="22"/>
          <w:lang w:val="fr-FR"/>
        </w:rPr>
        <w:t>hangement climatique</w:t>
      </w:r>
      <w:r w:rsidR="00BE059A" w:rsidRPr="005D062F">
        <w:rPr>
          <w:rFonts w:ascii="Times New Roman" w:hAnsi="Times New Roman" w:cs="Times New Roman"/>
          <w:bCs/>
          <w:sz w:val="22"/>
          <w:szCs w:val="22"/>
          <w:lang w:val="fr-FR"/>
        </w:rPr>
        <w:t>.</w:t>
      </w:r>
      <w:r w:rsidR="00B247A4" w:rsidRPr="005D062F">
        <w:rPr>
          <w:rFonts w:ascii="Times New Roman" w:hAnsi="Times New Roman" w:cs="Times New Roman"/>
          <w:bCs/>
          <w:sz w:val="22"/>
          <w:szCs w:val="22"/>
          <w:lang w:val="fr-FR"/>
        </w:rPr>
        <w:t xml:space="preserve"> En ce qui concerne l’avenir, il est impératif d’intégrer l</w:t>
      </w:r>
      <w:r w:rsidR="000E5674" w:rsidRPr="005D062F">
        <w:rPr>
          <w:rFonts w:ascii="Times New Roman" w:hAnsi="Times New Roman" w:cs="Times New Roman"/>
          <w:bCs/>
          <w:sz w:val="22"/>
          <w:szCs w:val="22"/>
          <w:lang w:val="fr-FR"/>
        </w:rPr>
        <w:t>a force</w:t>
      </w:r>
      <w:r w:rsidR="00CF18F1" w:rsidRPr="005D062F">
        <w:rPr>
          <w:rFonts w:ascii="Times New Roman" w:hAnsi="Times New Roman" w:cs="Times New Roman"/>
          <w:bCs/>
          <w:sz w:val="22"/>
          <w:szCs w:val="22"/>
          <w:lang w:val="fr-FR"/>
        </w:rPr>
        <w:t xml:space="preserve"> des mouvements de lutte contre le </w:t>
      </w:r>
      <w:r w:rsidR="00B247A4" w:rsidRPr="005D062F">
        <w:rPr>
          <w:rFonts w:ascii="Times New Roman" w:hAnsi="Times New Roman" w:cs="Times New Roman"/>
          <w:bCs/>
          <w:sz w:val="22"/>
          <w:szCs w:val="22"/>
          <w:lang w:val="fr-FR"/>
        </w:rPr>
        <w:t xml:space="preserve">changement climatique </w:t>
      </w:r>
      <w:r w:rsidR="000E5674" w:rsidRPr="005D062F">
        <w:rPr>
          <w:rFonts w:ascii="Times New Roman" w:hAnsi="Times New Roman" w:cs="Times New Roman"/>
          <w:bCs/>
          <w:sz w:val="22"/>
          <w:szCs w:val="22"/>
          <w:lang w:val="fr-FR"/>
        </w:rPr>
        <w:t>à travers</w:t>
      </w:r>
      <w:r w:rsidR="00CF18F1" w:rsidRPr="005D062F">
        <w:rPr>
          <w:rFonts w:ascii="Times New Roman" w:hAnsi="Times New Roman" w:cs="Times New Roman"/>
          <w:bCs/>
          <w:sz w:val="22"/>
          <w:szCs w:val="22"/>
          <w:lang w:val="fr-FR"/>
        </w:rPr>
        <w:t xml:space="preserve"> le </w:t>
      </w:r>
      <w:r w:rsidR="00B247A4" w:rsidRPr="005D062F">
        <w:rPr>
          <w:rFonts w:ascii="Times New Roman" w:hAnsi="Times New Roman" w:cs="Times New Roman"/>
          <w:bCs/>
          <w:sz w:val="22"/>
          <w:szCs w:val="22"/>
          <w:lang w:val="fr-FR"/>
        </w:rPr>
        <w:t>continent américain dans les efforts du SEDI en matière de programm</w:t>
      </w:r>
      <w:r w:rsidR="00AE6E12" w:rsidRPr="005D062F">
        <w:rPr>
          <w:rFonts w:ascii="Times New Roman" w:hAnsi="Times New Roman" w:cs="Times New Roman"/>
          <w:bCs/>
          <w:sz w:val="22"/>
          <w:szCs w:val="22"/>
          <w:lang w:val="fr-FR"/>
        </w:rPr>
        <w:t>es</w:t>
      </w:r>
      <w:r w:rsidR="00E73E02" w:rsidRPr="005D062F">
        <w:rPr>
          <w:rFonts w:ascii="Times New Roman" w:hAnsi="Times New Roman" w:cs="Times New Roman"/>
          <w:bCs/>
          <w:sz w:val="22"/>
          <w:szCs w:val="22"/>
          <w:lang w:val="fr-FR"/>
        </w:rPr>
        <w:t xml:space="preserve">. </w:t>
      </w:r>
      <w:r w:rsidR="00B247A4" w:rsidRPr="005D062F">
        <w:rPr>
          <w:rFonts w:ascii="Times New Roman" w:hAnsi="Times New Roman" w:cs="Times New Roman"/>
          <w:bCs/>
          <w:sz w:val="22"/>
          <w:szCs w:val="22"/>
          <w:lang w:val="fr-FR"/>
        </w:rPr>
        <w:t>Ces prochaines années</w:t>
      </w:r>
      <w:r w:rsidR="00E73E02" w:rsidRPr="005D062F">
        <w:rPr>
          <w:rFonts w:ascii="Times New Roman" w:hAnsi="Times New Roman" w:cs="Times New Roman"/>
          <w:bCs/>
          <w:sz w:val="22"/>
          <w:szCs w:val="22"/>
          <w:lang w:val="fr-FR"/>
        </w:rPr>
        <w:t xml:space="preserve">, </w:t>
      </w:r>
      <w:r w:rsidR="00B247A4" w:rsidRPr="005D062F">
        <w:rPr>
          <w:rFonts w:ascii="Times New Roman" w:hAnsi="Times New Roman" w:cs="Times New Roman"/>
          <w:bCs/>
          <w:sz w:val="22"/>
          <w:szCs w:val="22"/>
          <w:lang w:val="fr-FR"/>
        </w:rPr>
        <w:t xml:space="preserve">le </w:t>
      </w:r>
      <w:r w:rsidR="00E73E02" w:rsidRPr="005D062F">
        <w:rPr>
          <w:rFonts w:ascii="Times New Roman" w:hAnsi="Times New Roman" w:cs="Times New Roman"/>
          <w:bCs/>
          <w:sz w:val="22"/>
          <w:szCs w:val="22"/>
          <w:lang w:val="fr-FR"/>
        </w:rPr>
        <w:t xml:space="preserve">SEDI </w:t>
      </w:r>
      <w:r w:rsidR="00B247A4" w:rsidRPr="005D062F">
        <w:rPr>
          <w:rFonts w:ascii="Times New Roman" w:hAnsi="Times New Roman" w:cs="Times New Roman"/>
          <w:bCs/>
          <w:sz w:val="22"/>
          <w:szCs w:val="22"/>
          <w:lang w:val="fr-FR"/>
        </w:rPr>
        <w:t xml:space="preserve">s’attachera à </w:t>
      </w:r>
      <w:r w:rsidR="00053FF3" w:rsidRPr="005D062F">
        <w:rPr>
          <w:rFonts w:ascii="Times New Roman" w:hAnsi="Times New Roman" w:cs="Times New Roman"/>
          <w:bCs/>
          <w:sz w:val="22"/>
          <w:szCs w:val="22"/>
          <w:lang w:val="fr-FR"/>
        </w:rPr>
        <w:t>renforcer ses domaines d’intérêt stratégique</w:t>
      </w:r>
      <w:r w:rsidR="00BB6247" w:rsidRPr="005D062F">
        <w:rPr>
          <w:rFonts w:ascii="Times New Roman" w:hAnsi="Times New Roman" w:cs="Times New Roman"/>
          <w:bCs/>
          <w:sz w:val="22"/>
          <w:szCs w:val="22"/>
          <w:lang w:val="fr-FR"/>
        </w:rPr>
        <w:t xml:space="preserve">, à l’exemple de son repositionnement lors de la pandémie, </w:t>
      </w:r>
      <w:r w:rsidR="003D2DBE" w:rsidRPr="005D062F">
        <w:rPr>
          <w:rFonts w:ascii="Times New Roman" w:hAnsi="Times New Roman" w:cs="Times New Roman"/>
          <w:bCs/>
          <w:sz w:val="22"/>
          <w:szCs w:val="22"/>
          <w:lang w:val="fr-FR"/>
        </w:rPr>
        <w:t xml:space="preserve">afin de veiller à ce </w:t>
      </w:r>
      <w:r w:rsidR="00053FF3" w:rsidRPr="005D062F">
        <w:rPr>
          <w:rFonts w:ascii="Times New Roman" w:hAnsi="Times New Roman" w:cs="Times New Roman"/>
          <w:bCs/>
          <w:sz w:val="22"/>
          <w:szCs w:val="22"/>
          <w:lang w:val="fr-FR"/>
        </w:rPr>
        <w:t>que le changement climatique soit le principal thème t</w:t>
      </w:r>
      <w:r w:rsidR="003D2DBE" w:rsidRPr="005D062F">
        <w:rPr>
          <w:rFonts w:ascii="Times New Roman" w:hAnsi="Times New Roman" w:cs="Times New Roman"/>
          <w:bCs/>
          <w:sz w:val="22"/>
          <w:szCs w:val="22"/>
          <w:lang w:val="fr-FR"/>
        </w:rPr>
        <w:t>r</w:t>
      </w:r>
      <w:r w:rsidR="00053FF3" w:rsidRPr="005D062F">
        <w:rPr>
          <w:rFonts w:ascii="Times New Roman" w:hAnsi="Times New Roman" w:cs="Times New Roman"/>
          <w:bCs/>
          <w:sz w:val="22"/>
          <w:szCs w:val="22"/>
          <w:lang w:val="fr-FR"/>
        </w:rPr>
        <w:t>ansversal inscrit à son ordre du jour</w:t>
      </w:r>
      <w:r w:rsidR="00E73E02" w:rsidRPr="005D062F">
        <w:rPr>
          <w:rFonts w:ascii="Times New Roman" w:hAnsi="Times New Roman" w:cs="Times New Roman"/>
          <w:bCs/>
          <w:sz w:val="22"/>
          <w:szCs w:val="22"/>
          <w:lang w:val="fr-FR"/>
        </w:rPr>
        <w:t xml:space="preserve">. </w:t>
      </w:r>
      <w:r w:rsidR="00053FF3" w:rsidRPr="005D062F">
        <w:rPr>
          <w:rFonts w:ascii="Times New Roman" w:hAnsi="Times New Roman" w:cs="Times New Roman"/>
          <w:bCs/>
          <w:sz w:val="22"/>
          <w:szCs w:val="22"/>
          <w:lang w:val="fr-FR"/>
        </w:rPr>
        <w:t>De profonds changements devront intervenir, entre les gouvernements, les organisations et les citoyens de tous les États membres de l’</w:t>
      </w:r>
      <w:r w:rsidR="003D2DBE" w:rsidRPr="005D062F">
        <w:rPr>
          <w:rFonts w:ascii="Times New Roman" w:hAnsi="Times New Roman" w:cs="Times New Roman"/>
          <w:bCs/>
          <w:sz w:val="22"/>
          <w:szCs w:val="22"/>
          <w:lang w:val="fr-FR"/>
        </w:rPr>
        <w:t xml:space="preserve">OEA, pour s’assurer de continuer à défendre la devise de l’OEA « Plus de droits pour plus de personnes ». </w:t>
      </w:r>
      <w:r w:rsidR="00BB6247" w:rsidRPr="005D062F">
        <w:rPr>
          <w:rFonts w:ascii="Times New Roman" w:hAnsi="Times New Roman" w:cs="Times New Roman"/>
          <w:bCs/>
          <w:sz w:val="22"/>
          <w:szCs w:val="22"/>
          <w:lang w:val="fr-FR"/>
        </w:rPr>
        <w:t>Autrement, les consé</w:t>
      </w:r>
      <w:r w:rsidR="00BE059A" w:rsidRPr="005D062F">
        <w:rPr>
          <w:rFonts w:ascii="Times New Roman" w:hAnsi="Times New Roman" w:cs="Times New Roman"/>
          <w:bCs/>
          <w:sz w:val="22"/>
          <w:szCs w:val="22"/>
          <w:lang w:val="fr-FR"/>
        </w:rPr>
        <w:t xml:space="preserve">quences </w:t>
      </w:r>
      <w:r w:rsidR="00BB6247" w:rsidRPr="005D062F">
        <w:rPr>
          <w:rFonts w:ascii="Times New Roman" w:hAnsi="Times New Roman" w:cs="Times New Roman"/>
          <w:bCs/>
          <w:sz w:val="22"/>
          <w:szCs w:val="22"/>
          <w:lang w:val="fr-FR"/>
        </w:rPr>
        <w:t xml:space="preserve">s’annoncent désastreuses ; La Commission économique des Nations Unies pour l’Amérique latine et les Caraïbes </w:t>
      </w:r>
      <w:r w:rsidR="00C613AA" w:rsidRPr="005D062F">
        <w:rPr>
          <w:rFonts w:ascii="Times New Roman" w:hAnsi="Times New Roman" w:cs="Times New Roman"/>
          <w:bCs/>
          <w:sz w:val="22"/>
          <w:szCs w:val="22"/>
          <w:lang w:val="fr-FR"/>
        </w:rPr>
        <w:t>note que la région comprend 13 des 50 pays les plus touchés par le changement climatique. Les progrès considérables qu’ont réalisés le SEDI et les organisations similaires pour sortir la région de la pandémie seront réduits à néant si les pays de la région n’agissent pas en conséquence</w:t>
      </w:r>
      <w:r w:rsidR="00403FCB" w:rsidRPr="005D062F">
        <w:rPr>
          <w:rFonts w:ascii="Times New Roman" w:hAnsi="Times New Roman" w:cs="Times New Roman"/>
          <w:sz w:val="22"/>
          <w:szCs w:val="22"/>
          <w:lang w:val="fr-FR"/>
        </w:rPr>
        <w:t>.</w:t>
      </w:r>
    </w:p>
    <w:p w14:paraId="07AD9773" w14:textId="1C39040F" w:rsidR="00BE059A" w:rsidRPr="005D062F" w:rsidRDefault="00BE059A" w:rsidP="00CB030B">
      <w:pPr>
        <w:jc w:val="both"/>
        <w:rPr>
          <w:rFonts w:ascii="Times New Roman" w:hAnsi="Times New Roman" w:cs="Times New Roman"/>
          <w:bCs/>
          <w:sz w:val="22"/>
          <w:szCs w:val="22"/>
          <w:lang w:val="fr-FR"/>
        </w:rPr>
      </w:pPr>
    </w:p>
    <w:p w14:paraId="626F54B7" w14:textId="00963181" w:rsidR="00897AF2" w:rsidRPr="005D062F" w:rsidRDefault="00BD4779" w:rsidP="00CB030B">
      <w:pPr>
        <w:ind w:firstLine="720"/>
        <w:jc w:val="both"/>
        <w:rPr>
          <w:rFonts w:ascii="Times New Roman" w:hAnsi="Times New Roman" w:cs="Times New Roman"/>
          <w:bCs/>
          <w:sz w:val="22"/>
          <w:szCs w:val="22"/>
          <w:lang w:val="fr-FR"/>
        </w:rPr>
      </w:pPr>
      <w:r w:rsidRPr="005D062F">
        <w:rPr>
          <w:rFonts w:ascii="Times New Roman" w:hAnsi="Times New Roman" w:cs="Times New Roman"/>
          <w:bCs/>
          <w:sz w:val="22"/>
          <w:szCs w:val="22"/>
          <w:lang w:val="fr-FR"/>
        </w:rPr>
        <w:t>C’est le bien-être de toute la région qui est en jeu. Les économies i</w:t>
      </w:r>
      <w:r w:rsidR="00897AF2" w:rsidRPr="005D062F">
        <w:rPr>
          <w:rFonts w:ascii="Times New Roman" w:hAnsi="Times New Roman" w:cs="Times New Roman"/>
          <w:bCs/>
          <w:sz w:val="22"/>
          <w:szCs w:val="22"/>
          <w:lang w:val="fr-FR"/>
        </w:rPr>
        <w:t>nclusive</w:t>
      </w:r>
      <w:r w:rsidRPr="005D062F">
        <w:rPr>
          <w:rFonts w:ascii="Times New Roman" w:hAnsi="Times New Roman" w:cs="Times New Roman"/>
          <w:bCs/>
          <w:sz w:val="22"/>
          <w:szCs w:val="22"/>
          <w:lang w:val="fr-FR"/>
        </w:rPr>
        <w:t>s et compé</w:t>
      </w:r>
      <w:r w:rsidR="00897AF2" w:rsidRPr="005D062F">
        <w:rPr>
          <w:rFonts w:ascii="Times New Roman" w:hAnsi="Times New Roman" w:cs="Times New Roman"/>
          <w:bCs/>
          <w:sz w:val="22"/>
          <w:szCs w:val="22"/>
          <w:lang w:val="fr-FR"/>
        </w:rPr>
        <w:t>titive</w:t>
      </w:r>
      <w:r w:rsidRPr="005D062F">
        <w:rPr>
          <w:rFonts w:ascii="Times New Roman" w:hAnsi="Times New Roman" w:cs="Times New Roman"/>
          <w:bCs/>
          <w:sz w:val="22"/>
          <w:szCs w:val="22"/>
          <w:lang w:val="fr-FR"/>
        </w:rPr>
        <w:t>s ne sont qu’une utopie si une dépendance marquée</w:t>
      </w:r>
      <w:r w:rsidR="00A75D09" w:rsidRPr="005D062F">
        <w:rPr>
          <w:rFonts w:ascii="Times New Roman" w:hAnsi="Times New Roman" w:cs="Times New Roman"/>
          <w:bCs/>
          <w:sz w:val="22"/>
          <w:szCs w:val="22"/>
          <w:lang w:val="fr-FR"/>
        </w:rPr>
        <w:t xml:space="preserve"> aux combustibles fossiles continue de dicter les politiques énergétiques de la région</w:t>
      </w:r>
      <w:r w:rsidR="00897AF2" w:rsidRPr="005D062F">
        <w:rPr>
          <w:rFonts w:ascii="Times New Roman" w:hAnsi="Times New Roman" w:cs="Times New Roman"/>
          <w:bCs/>
          <w:sz w:val="22"/>
          <w:szCs w:val="22"/>
          <w:lang w:val="fr-FR"/>
        </w:rPr>
        <w:t xml:space="preserve">. </w:t>
      </w:r>
      <w:r w:rsidR="00A75D09" w:rsidRPr="005D062F">
        <w:rPr>
          <w:rFonts w:ascii="Times New Roman" w:hAnsi="Times New Roman" w:cs="Times New Roman"/>
          <w:bCs/>
          <w:sz w:val="22"/>
          <w:szCs w:val="22"/>
          <w:lang w:val="fr-FR"/>
        </w:rPr>
        <w:t>En revanche, elles peuvent exister si des solutions de remplacement plus écologiques, réduisant les émissions de gaz à effet de serre, sont étudiées, élaborées et mises en œuvre comme alternatives durables</w:t>
      </w:r>
      <w:r w:rsidR="00897AF2" w:rsidRPr="005D062F">
        <w:rPr>
          <w:rFonts w:ascii="Times New Roman" w:hAnsi="Times New Roman" w:cs="Times New Roman"/>
          <w:bCs/>
          <w:sz w:val="22"/>
          <w:szCs w:val="22"/>
          <w:lang w:val="fr-FR"/>
        </w:rPr>
        <w:t xml:space="preserve">. </w:t>
      </w:r>
      <w:r w:rsidR="00A75D09" w:rsidRPr="005D062F">
        <w:rPr>
          <w:rFonts w:ascii="Times New Roman" w:hAnsi="Times New Roman" w:cs="Times New Roman"/>
          <w:bCs/>
          <w:sz w:val="22"/>
          <w:szCs w:val="22"/>
          <w:lang w:val="fr-FR"/>
        </w:rPr>
        <w:t>Il est impossible au SEDI de réaliser les Objectifs de développement durable si les</w:t>
      </w:r>
      <w:r w:rsidR="008E24A2" w:rsidRPr="005D062F">
        <w:rPr>
          <w:rFonts w:ascii="Times New Roman" w:hAnsi="Times New Roman" w:cs="Times New Roman"/>
          <w:bCs/>
          <w:sz w:val="22"/>
          <w:szCs w:val="22"/>
          <w:lang w:val="fr-FR"/>
        </w:rPr>
        <w:t xml:space="preserve"> fonds </w:t>
      </w:r>
      <w:r w:rsidR="00723E5D" w:rsidRPr="005D062F">
        <w:rPr>
          <w:rFonts w:ascii="Times New Roman" w:hAnsi="Times New Roman" w:cs="Times New Roman"/>
          <w:bCs/>
          <w:sz w:val="22"/>
          <w:szCs w:val="22"/>
          <w:lang w:val="fr-FR"/>
        </w:rPr>
        <w:t>doivent être</w:t>
      </w:r>
      <w:r w:rsidR="008E24A2" w:rsidRPr="005D062F">
        <w:rPr>
          <w:rFonts w:ascii="Times New Roman" w:hAnsi="Times New Roman" w:cs="Times New Roman"/>
          <w:bCs/>
          <w:sz w:val="22"/>
          <w:szCs w:val="22"/>
          <w:lang w:val="fr-FR"/>
        </w:rPr>
        <w:t xml:space="preserve"> réaffectés </w:t>
      </w:r>
      <w:r w:rsidR="00723E5D" w:rsidRPr="005D062F">
        <w:rPr>
          <w:rFonts w:ascii="Times New Roman" w:hAnsi="Times New Roman" w:cs="Times New Roman"/>
          <w:bCs/>
          <w:sz w:val="22"/>
          <w:szCs w:val="22"/>
          <w:lang w:val="fr-FR"/>
        </w:rPr>
        <w:t>plutôt</w:t>
      </w:r>
      <w:r w:rsidR="008E24A2" w:rsidRPr="005D062F">
        <w:rPr>
          <w:rFonts w:ascii="Times New Roman" w:hAnsi="Times New Roman" w:cs="Times New Roman"/>
          <w:bCs/>
          <w:sz w:val="22"/>
          <w:szCs w:val="22"/>
          <w:lang w:val="fr-FR"/>
        </w:rPr>
        <w:t xml:space="preserve"> aux budgets consacrés aux secours d’urgence </w:t>
      </w:r>
      <w:r w:rsidR="00AE6E12" w:rsidRPr="005D062F">
        <w:rPr>
          <w:rFonts w:ascii="Times New Roman" w:hAnsi="Times New Roman" w:cs="Times New Roman"/>
          <w:bCs/>
          <w:sz w:val="22"/>
          <w:szCs w:val="22"/>
          <w:lang w:val="fr-FR"/>
        </w:rPr>
        <w:t xml:space="preserve">et </w:t>
      </w:r>
      <w:r w:rsidR="008E24A2" w:rsidRPr="005D062F">
        <w:rPr>
          <w:rFonts w:ascii="Times New Roman" w:hAnsi="Times New Roman" w:cs="Times New Roman"/>
          <w:bCs/>
          <w:sz w:val="22"/>
          <w:szCs w:val="22"/>
          <w:lang w:val="fr-FR"/>
        </w:rPr>
        <w:t>en cas de catastrophe</w:t>
      </w:r>
      <w:r w:rsidR="00223A31" w:rsidRPr="005D062F">
        <w:rPr>
          <w:rFonts w:ascii="Times New Roman" w:hAnsi="Times New Roman" w:cs="Times New Roman"/>
          <w:bCs/>
          <w:sz w:val="22"/>
          <w:szCs w:val="22"/>
          <w:lang w:val="fr-FR"/>
        </w:rPr>
        <w:t xml:space="preserve">. </w:t>
      </w:r>
      <w:r w:rsidR="00AE6E12" w:rsidRPr="005D062F">
        <w:rPr>
          <w:rFonts w:ascii="Times New Roman" w:hAnsi="Times New Roman" w:cs="Times New Roman"/>
          <w:bCs/>
          <w:sz w:val="22"/>
          <w:szCs w:val="22"/>
          <w:lang w:val="fr-FR"/>
        </w:rPr>
        <w:t xml:space="preserve">Ces objectifs peuvent être atteints à condition que les efforts déployés en matière de programmes créent des sociétés plus résilientes </w:t>
      </w:r>
      <w:r w:rsidR="00015DBA" w:rsidRPr="005D062F">
        <w:rPr>
          <w:rFonts w:ascii="Times New Roman" w:hAnsi="Times New Roman" w:cs="Times New Roman"/>
          <w:bCs/>
          <w:sz w:val="22"/>
          <w:szCs w:val="22"/>
          <w:lang w:val="fr-FR"/>
        </w:rPr>
        <w:t xml:space="preserve">sur le plan environnemental </w:t>
      </w:r>
      <w:r w:rsidR="00AE6E12" w:rsidRPr="005D062F">
        <w:rPr>
          <w:rFonts w:ascii="Times New Roman" w:hAnsi="Times New Roman" w:cs="Times New Roman"/>
          <w:bCs/>
          <w:sz w:val="22"/>
          <w:szCs w:val="22"/>
          <w:lang w:val="fr-FR"/>
        </w:rPr>
        <w:t xml:space="preserve">et favorisent les conditions </w:t>
      </w:r>
      <w:r w:rsidR="00015DBA" w:rsidRPr="005D062F">
        <w:rPr>
          <w:rFonts w:ascii="Times New Roman" w:hAnsi="Times New Roman" w:cs="Times New Roman"/>
          <w:bCs/>
          <w:sz w:val="22"/>
          <w:szCs w:val="22"/>
          <w:lang w:val="fr-FR"/>
        </w:rPr>
        <w:t>écologiques nécessaires à la protection des côtes et des lits fluviaux</w:t>
      </w:r>
      <w:r w:rsidR="00223A31" w:rsidRPr="005D062F">
        <w:rPr>
          <w:rFonts w:ascii="Times New Roman" w:hAnsi="Times New Roman" w:cs="Times New Roman"/>
          <w:bCs/>
          <w:sz w:val="22"/>
          <w:szCs w:val="22"/>
          <w:lang w:val="fr-FR"/>
        </w:rPr>
        <w:t xml:space="preserve">. </w:t>
      </w:r>
      <w:r w:rsidR="00CF1B8D" w:rsidRPr="005D062F">
        <w:rPr>
          <w:rFonts w:ascii="Times New Roman" w:hAnsi="Times New Roman" w:cs="Times New Roman"/>
          <w:bCs/>
          <w:sz w:val="22"/>
          <w:szCs w:val="22"/>
          <w:lang w:val="fr-FR"/>
        </w:rPr>
        <w:t>Il est difficile de garantir aux populations constamment déplacées en raison des effets du changement climatique un accès régulier à l’éducation de qualité</w:t>
      </w:r>
      <w:r w:rsidR="00223A31" w:rsidRPr="005D062F">
        <w:rPr>
          <w:rFonts w:ascii="Times New Roman" w:hAnsi="Times New Roman" w:cs="Times New Roman"/>
          <w:bCs/>
          <w:sz w:val="22"/>
          <w:szCs w:val="22"/>
          <w:lang w:val="fr-FR"/>
        </w:rPr>
        <w:t xml:space="preserve">. </w:t>
      </w:r>
      <w:r w:rsidR="00802959" w:rsidRPr="005D062F">
        <w:rPr>
          <w:rFonts w:ascii="Times New Roman" w:hAnsi="Times New Roman" w:cs="Times New Roman"/>
          <w:bCs/>
          <w:sz w:val="22"/>
          <w:szCs w:val="22"/>
          <w:lang w:val="fr-FR"/>
        </w:rPr>
        <w:t>C’est cependant possible si ces populations ne sont pas contraintes de migrer et si les enseignants, les dirigeants locaux et les citoyens deviennent des gardiens de l’environnement au sein de leur propre communauté et se battent pour leur droit au développement humain</w:t>
      </w:r>
      <w:r w:rsidR="00223A31" w:rsidRPr="005D062F">
        <w:rPr>
          <w:rFonts w:ascii="Times New Roman" w:hAnsi="Times New Roman" w:cs="Times New Roman"/>
          <w:bCs/>
          <w:sz w:val="22"/>
          <w:szCs w:val="22"/>
          <w:lang w:val="fr-FR"/>
        </w:rPr>
        <w:t xml:space="preserve">. </w:t>
      </w:r>
      <w:r w:rsidR="00B06C46" w:rsidRPr="005D062F">
        <w:rPr>
          <w:rFonts w:ascii="Times New Roman" w:hAnsi="Times New Roman" w:cs="Times New Roman"/>
          <w:bCs/>
          <w:sz w:val="22"/>
          <w:szCs w:val="22"/>
          <w:lang w:val="fr-FR"/>
        </w:rPr>
        <w:t>Le travail dé</w:t>
      </w:r>
      <w:r w:rsidR="00570E1B" w:rsidRPr="005D062F">
        <w:rPr>
          <w:rFonts w:ascii="Times New Roman" w:hAnsi="Times New Roman" w:cs="Times New Roman"/>
          <w:bCs/>
          <w:sz w:val="22"/>
          <w:szCs w:val="22"/>
          <w:lang w:val="fr-FR"/>
        </w:rPr>
        <w:t>cent, dign</w:t>
      </w:r>
      <w:r w:rsidR="00B06C46" w:rsidRPr="005D062F">
        <w:rPr>
          <w:rFonts w:ascii="Times New Roman" w:hAnsi="Times New Roman" w:cs="Times New Roman"/>
          <w:bCs/>
          <w:sz w:val="22"/>
          <w:szCs w:val="22"/>
          <w:lang w:val="fr-FR"/>
        </w:rPr>
        <w:t xml:space="preserve">e et </w:t>
      </w:r>
      <w:r w:rsidR="00570E1B" w:rsidRPr="005D062F">
        <w:rPr>
          <w:rFonts w:ascii="Times New Roman" w:hAnsi="Times New Roman" w:cs="Times New Roman"/>
          <w:bCs/>
          <w:sz w:val="22"/>
          <w:szCs w:val="22"/>
          <w:lang w:val="fr-FR"/>
        </w:rPr>
        <w:t>producti</w:t>
      </w:r>
      <w:r w:rsidR="00FE3CED" w:rsidRPr="005D062F">
        <w:rPr>
          <w:rFonts w:ascii="Times New Roman" w:hAnsi="Times New Roman" w:cs="Times New Roman"/>
          <w:bCs/>
          <w:sz w:val="22"/>
          <w:szCs w:val="22"/>
          <w:lang w:val="fr-FR"/>
        </w:rPr>
        <w:t>f ne peut se développer dans des systèmes où l’on détruit l’environnement pour des gains matériels</w:t>
      </w:r>
      <w:r w:rsidR="00570E1B" w:rsidRPr="005D062F">
        <w:rPr>
          <w:rFonts w:ascii="Times New Roman" w:hAnsi="Times New Roman" w:cs="Times New Roman"/>
          <w:bCs/>
          <w:sz w:val="22"/>
          <w:szCs w:val="22"/>
          <w:lang w:val="fr-FR"/>
        </w:rPr>
        <w:t xml:space="preserve">. </w:t>
      </w:r>
      <w:r w:rsidR="00FE3CED" w:rsidRPr="005D062F">
        <w:rPr>
          <w:rFonts w:ascii="Times New Roman" w:hAnsi="Times New Roman" w:cs="Times New Roman"/>
          <w:bCs/>
          <w:sz w:val="22"/>
          <w:szCs w:val="22"/>
          <w:lang w:val="fr-FR"/>
        </w:rPr>
        <w:t xml:space="preserve">En revanche, il peut prospérer de pair avec les pratiques agricoles durables et au sein de systèmes œuvrant pour promouvoir l’équité professionnelle dans le cadre de l’économie formelle. </w:t>
      </w:r>
      <w:r w:rsidR="00723E5D" w:rsidRPr="005D062F">
        <w:rPr>
          <w:rFonts w:ascii="Times New Roman" w:hAnsi="Times New Roman" w:cs="Times New Roman"/>
          <w:bCs/>
          <w:sz w:val="22"/>
          <w:szCs w:val="22"/>
          <w:lang w:val="fr-FR"/>
        </w:rPr>
        <w:t>La coopération et l</w:t>
      </w:r>
      <w:r w:rsidR="007D4B57" w:rsidRPr="005D062F">
        <w:rPr>
          <w:rFonts w:ascii="Times New Roman" w:hAnsi="Times New Roman" w:cs="Times New Roman"/>
          <w:bCs/>
          <w:sz w:val="22"/>
          <w:szCs w:val="22"/>
          <w:lang w:val="fr-FR"/>
        </w:rPr>
        <w:t>es partenariats authentiques, dont de très nombreux</w:t>
      </w:r>
      <w:r w:rsidR="004B56D1" w:rsidRPr="005D062F">
        <w:rPr>
          <w:rFonts w:ascii="Times New Roman" w:hAnsi="Times New Roman" w:cs="Times New Roman"/>
          <w:bCs/>
          <w:sz w:val="22"/>
          <w:szCs w:val="22"/>
          <w:lang w:val="fr-FR"/>
        </w:rPr>
        <w:t xml:space="preserve"> </w:t>
      </w:r>
      <w:r w:rsidR="007D4B57" w:rsidRPr="005D062F">
        <w:rPr>
          <w:rFonts w:ascii="Times New Roman" w:hAnsi="Times New Roman" w:cs="Times New Roman"/>
          <w:bCs/>
          <w:sz w:val="22"/>
          <w:szCs w:val="22"/>
          <w:lang w:val="fr-FR"/>
        </w:rPr>
        <w:t>États membres sont tributaires, ne sont pas en mesure de remplir leurs missions s’il n’est pas tenu compte des effets du changement climatique et donc des enjeux pour la région</w:t>
      </w:r>
      <w:r w:rsidR="00570E1B" w:rsidRPr="005D062F">
        <w:rPr>
          <w:rFonts w:ascii="Times New Roman" w:hAnsi="Times New Roman" w:cs="Times New Roman"/>
          <w:bCs/>
          <w:sz w:val="22"/>
          <w:szCs w:val="22"/>
          <w:lang w:val="fr-FR"/>
        </w:rPr>
        <w:t xml:space="preserve">. </w:t>
      </w:r>
      <w:r w:rsidR="00B27D79" w:rsidRPr="005D062F">
        <w:rPr>
          <w:rFonts w:ascii="Times New Roman" w:hAnsi="Times New Roman" w:cs="Times New Roman"/>
          <w:bCs/>
          <w:sz w:val="22"/>
          <w:szCs w:val="22"/>
          <w:lang w:val="fr-FR"/>
        </w:rPr>
        <w:t>Les partenariats peuvent produire les effets que le SEDI exige de ses parties prenantes à condition d’intégrer les efforts d’atténuation du changement climatique dans toutes les futures actions en matière de programmes</w:t>
      </w:r>
      <w:r w:rsidR="009F4037" w:rsidRPr="005D062F">
        <w:rPr>
          <w:rFonts w:ascii="Times New Roman" w:hAnsi="Times New Roman" w:cs="Times New Roman"/>
          <w:bCs/>
          <w:sz w:val="22"/>
          <w:szCs w:val="22"/>
          <w:lang w:val="fr-FR"/>
        </w:rPr>
        <w:t>.</w:t>
      </w:r>
      <w:r w:rsidR="0091142D" w:rsidRPr="005D062F">
        <w:rPr>
          <w:rFonts w:ascii="Times New Roman" w:hAnsi="Times New Roman" w:cs="Times New Roman"/>
          <w:bCs/>
          <w:noProof/>
          <w:sz w:val="22"/>
          <w:szCs w:val="22"/>
          <w:lang w:val="fr-FR" w:eastAsia="fr-FR"/>
        </w:rPr>
        <mc:AlternateContent>
          <mc:Choice Requires="wps">
            <w:drawing>
              <wp:anchor distT="0" distB="0" distL="114300" distR="114300" simplePos="0" relativeHeight="251652096" behindDoc="0" locked="1" layoutInCell="1" allowOverlap="1" wp14:anchorId="79BE4215" wp14:editId="7A59AFE5">
                <wp:simplePos x="0" y="0"/>
                <wp:positionH relativeFrom="column">
                  <wp:posOffset>-267970</wp:posOffset>
                </wp:positionH>
                <wp:positionV relativeFrom="page">
                  <wp:posOffset>9271000</wp:posOffset>
                </wp:positionV>
                <wp:extent cx="152654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6540" cy="228600"/>
                        </a:xfrm>
                        <a:prstGeom prst="rect">
                          <a:avLst/>
                        </a:prstGeom>
                        <a:noFill/>
                        <a:ln w="9525" cap="flat" cmpd="sng" algn="ctr">
                          <a:noFill/>
                          <a:prstDash val="solid"/>
                          <a:round/>
                          <a:headEnd type="none" w="med" len="med"/>
                          <a:tailEnd type="none" w="med" len="med"/>
                        </a:ln>
                      </wps:spPr>
                      <wps:txbx>
                        <w:txbxContent>
                          <w:p w14:paraId="44BF41EE" w14:textId="163A3509" w:rsidR="005B3541" w:rsidRPr="0091142D" w:rsidRDefault="005B3541">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295FB4">
                              <w:rPr>
                                <w:rFonts w:ascii="Times New Roman" w:hAnsi="Times New Roman" w:cs="Times New Roman"/>
                                <w:noProof/>
                                <w:sz w:val="18"/>
                              </w:rPr>
                              <w:t>CIDRP03760F01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E4215" id="_x0000_t202" coordsize="21600,21600" o:spt="202" path="m,l,21600r21600,l21600,xe">
                <v:stroke joinstyle="miter"/>
                <v:path gradientshapeok="t" o:connecttype="rect"/>
              </v:shapetype>
              <v:shape id="Text Box 3" o:spid="_x0000_s1026" type="#_x0000_t202" style="position:absolute;left:0;text-align:left;margin-left:-21.1pt;margin-top:730pt;width:120.2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" filled="f" stroked="f">
                <v:stroke joinstyle="round"/>
                <v:textbox>
                  <w:txbxContent>
                    <w:p w14:paraId="44BF41EE" w14:textId="163A3509" w:rsidR="005B3541" w:rsidRPr="0091142D" w:rsidRDefault="005B3541">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295FB4">
                        <w:rPr>
                          <w:rFonts w:ascii="Times New Roman" w:hAnsi="Times New Roman" w:cs="Times New Roman"/>
                          <w:noProof/>
                          <w:sz w:val="18"/>
                        </w:rPr>
                        <w:t>CIDRP03760F01</w:t>
                      </w:r>
                      <w:r>
                        <w:rPr>
                          <w:rFonts w:ascii="Times New Roman" w:hAnsi="Times New Roman" w:cs="Times New Roman"/>
                          <w:sz w:val="18"/>
                        </w:rPr>
                        <w:fldChar w:fldCharType="end"/>
                      </w:r>
                    </w:p>
                  </w:txbxContent>
                </v:textbox>
                <w10:wrap anchory="page"/>
                <w10:anchorlock/>
              </v:shape>
            </w:pict>
          </mc:Fallback>
        </mc:AlternateContent>
      </w:r>
    </w:p>
    <w:sectPr w:rsidR="00897AF2" w:rsidRPr="005D062F" w:rsidSect="00BC7DB3">
      <w:headerReference w:type="default" r:id="rId27"/>
      <w:footerReference w:type="default" r:id="rId28"/>
      <w:headerReference w:type="first" r:id="rId29"/>
      <w:footerReference w:type="first" r:id="rId30"/>
      <w:type w:val="oddPage"/>
      <w:pgSz w:w="12240" w:h="15840" w:code="1"/>
      <w:pgMar w:top="2160" w:right="1570" w:bottom="1296" w:left="1699"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F84DD" w14:textId="77777777" w:rsidR="008D6794" w:rsidRDefault="008D6794" w:rsidP="0022022F">
      <w:r>
        <w:separator/>
      </w:r>
    </w:p>
  </w:endnote>
  <w:endnote w:type="continuationSeparator" w:id="0">
    <w:p w14:paraId="4D1384EB" w14:textId="77777777" w:rsidR="008D6794" w:rsidRDefault="008D6794" w:rsidP="0022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3175485"/>
      <w:docPartObj>
        <w:docPartGallery w:val="Page Numbers (Bottom of Page)"/>
        <w:docPartUnique/>
      </w:docPartObj>
    </w:sdtPr>
    <w:sdtEndPr>
      <w:rPr>
        <w:rStyle w:val="PageNumber"/>
      </w:rPr>
    </w:sdtEndPr>
    <w:sdtContent>
      <w:p w14:paraId="637A9B0F" w14:textId="34199094" w:rsidR="005B3541" w:rsidRDefault="005B3541" w:rsidP="006542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8B499BD" w14:textId="77777777" w:rsidR="005B3541" w:rsidRDefault="005B3541" w:rsidP="006542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9644" w14:textId="77777777" w:rsidR="005B3541" w:rsidRDefault="005B3541" w:rsidP="006542C0">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127443"/>
      <w:docPartObj>
        <w:docPartGallery w:val="Page Numbers (Bottom of Page)"/>
        <w:docPartUnique/>
      </w:docPartObj>
    </w:sdtPr>
    <w:sdtEndPr>
      <w:rPr>
        <w:rFonts w:ascii="Times New Roman" w:hAnsi="Times New Roman" w:cs="Times New Roman"/>
        <w:noProof/>
        <w:sz w:val="22"/>
        <w:szCs w:val="22"/>
      </w:rPr>
    </w:sdtEndPr>
    <w:sdtContent>
      <w:p w14:paraId="64164298" w14:textId="42944FBC" w:rsidR="00BC7DB3" w:rsidRPr="00BC7DB3" w:rsidRDefault="00BC7DB3">
        <w:pPr>
          <w:pStyle w:val="Footer"/>
          <w:jc w:val="center"/>
          <w:rPr>
            <w:rFonts w:ascii="Times New Roman" w:hAnsi="Times New Roman" w:cs="Times New Roman"/>
            <w:sz w:val="22"/>
            <w:szCs w:val="22"/>
          </w:rPr>
        </w:pPr>
        <w:r w:rsidRPr="00BC7DB3">
          <w:rPr>
            <w:rFonts w:ascii="Times New Roman" w:hAnsi="Times New Roman" w:cs="Times New Roman"/>
            <w:sz w:val="22"/>
            <w:szCs w:val="22"/>
          </w:rPr>
          <w:fldChar w:fldCharType="begin"/>
        </w:r>
        <w:r w:rsidRPr="00BC7DB3">
          <w:rPr>
            <w:rFonts w:ascii="Times New Roman" w:hAnsi="Times New Roman" w:cs="Times New Roman"/>
            <w:sz w:val="22"/>
            <w:szCs w:val="22"/>
          </w:rPr>
          <w:instrText xml:space="preserve"> PAGE   \* MERGEFORMAT </w:instrText>
        </w:r>
        <w:r w:rsidRPr="00BC7DB3">
          <w:rPr>
            <w:rFonts w:ascii="Times New Roman" w:hAnsi="Times New Roman" w:cs="Times New Roman"/>
            <w:sz w:val="22"/>
            <w:szCs w:val="22"/>
          </w:rPr>
          <w:fldChar w:fldCharType="separate"/>
        </w:r>
        <w:r w:rsidRPr="00BC7DB3">
          <w:rPr>
            <w:rFonts w:ascii="Times New Roman" w:hAnsi="Times New Roman" w:cs="Times New Roman"/>
            <w:noProof/>
            <w:sz w:val="22"/>
            <w:szCs w:val="22"/>
          </w:rPr>
          <w:t>2</w:t>
        </w:r>
        <w:r w:rsidRPr="00BC7DB3">
          <w:rPr>
            <w:rFonts w:ascii="Times New Roman" w:hAnsi="Times New Roman" w:cs="Times New Roman"/>
            <w:noProof/>
            <w:sz w:val="22"/>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248915"/>
      <w:docPartObj>
        <w:docPartGallery w:val="Page Numbers (Bottom of Page)"/>
        <w:docPartUnique/>
      </w:docPartObj>
    </w:sdtPr>
    <w:sdtEndPr>
      <w:rPr>
        <w:rFonts w:ascii="Times New Roman" w:hAnsi="Times New Roman" w:cs="Times New Roman"/>
        <w:noProof/>
        <w:sz w:val="22"/>
        <w:szCs w:val="22"/>
      </w:rPr>
    </w:sdtEndPr>
    <w:sdtContent>
      <w:p w14:paraId="0248CA86" w14:textId="44B656B7" w:rsidR="00BC7DB3" w:rsidRPr="00BC7DB3" w:rsidRDefault="00BC7DB3">
        <w:pPr>
          <w:pStyle w:val="Footer"/>
          <w:jc w:val="center"/>
          <w:rPr>
            <w:rFonts w:ascii="Times New Roman" w:hAnsi="Times New Roman" w:cs="Times New Roman"/>
            <w:sz w:val="22"/>
            <w:szCs w:val="22"/>
          </w:rPr>
        </w:pPr>
        <w:r w:rsidRPr="00BC7DB3">
          <w:rPr>
            <w:rFonts w:ascii="Times New Roman" w:hAnsi="Times New Roman" w:cs="Times New Roman"/>
            <w:sz w:val="22"/>
            <w:szCs w:val="22"/>
          </w:rPr>
          <w:fldChar w:fldCharType="begin"/>
        </w:r>
        <w:r w:rsidRPr="00BC7DB3">
          <w:rPr>
            <w:rFonts w:ascii="Times New Roman" w:hAnsi="Times New Roman" w:cs="Times New Roman"/>
            <w:sz w:val="22"/>
            <w:szCs w:val="22"/>
          </w:rPr>
          <w:instrText xml:space="preserve"> PAGE   \* MERGEFORMAT </w:instrText>
        </w:r>
        <w:r w:rsidRPr="00BC7DB3">
          <w:rPr>
            <w:rFonts w:ascii="Times New Roman" w:hAnsi="Times New Roman" w:cs="Times New Roman"/>
            <w:sz w:val="22"/>
            <w:szCs w:val="22"/>
          </w:rPr>
          <w:fldChar w:fldCharType="separate"/>
        </w:r>
        <w:r w:rsidRPr="00BC7DB3">
          <w:rPr>
            <w:rFonts w:ascii="Times New Roman" w:hAnsi="Times New Roman" w:cs="Times New Roman"/>
            <w:noProof/>
            <w:sz w:val="22"/>
            <w:szCs w:val="22"/>
          </w:rPr>
          <w:t>2</w:t>
        </w:r>
        <w:r w:rsidRPr="00BC7DB3">
          <w:rPr>
            <w:rFonts w:ascii="Times New Roman" w:hAnsi="Times New Roman" w:cs="Times New Roman"/>
            <w:noProof/>
            <w:sz w:val="22"/>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E689" w14:textId="16D48B3C" w:rsidR="00BC7DB3" w:rsidRPr="00BC7DB3" w:rsidRDefault="00BC7DB3">
    <w:pPr>
      <w:pStyle w:val="Footer"/>
      <w:jc w:val="center"/>
      <w:rPr>
        <w:rFonts w:ascii="Times New Roman" w:hAnsi="Times New Roman" w:cs="Times New Roman"/>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087E" w14:textId="75083D9B" w:rsidR="00BC7DB3" w:rsidRPr="00BC7DB3" w:rsidRDefault="00BC7DB3">
    <w:pPr>
      <w:pStyle w:val="Footer"/>
      <w:jc w:val="center"/>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17A99" w14:textId="77777777" w:rsidR="008D6794" w:rsidRDefault="008D6794" w:rsidP="0022022F">
      <w:r>
        <w:separator/>
      </w:r>
    </w:p>
  </w:footnote>
  <w:footnote w:type="continuationSeparator" w:id="0">
    <w:p w14:paraId="0443E53A" w14:textId="77777777" w:rsidR="008D6794" w:rsidRDefault="008D6794" w:rsidP="0022022F">
      <w:r>
        <w:continuationSeparator/>
      </w:r>
    </w:p>
  </w:footnote>
  <w:footnote w:id="1">
    <w:p w14:paraId="38CE70B4" w14:textId="36824665" w:rsidR="005B3541" w:rsidRPr="00BC7DB3" w:rsidRDefault="005B3541" w:rsidP="005F2C83">
      <w:pPr>
        <w:pStyle w:val="FootnoteText"/>
        <w:ind w:left="720" w:hanging="360"/>
        <w:rPr>
          <w:rFonts w:ascii="Times New Roman" w:hAnsi="Times New Roman" w:cs="Times New Roman"/>
          <w:lang w:val="fr-FR"/>
        </w:rPr>
      </w:pPr>
      <w:r w:rsidRPr="00BC7DB3">
        <w:rPr>
          <w:rStyle w:val="FootnoteReference"/>
          <w:rFonts w:ascii="Times New Roman" w:hAnsi="Times New Roman" w:cs="Times New Roman"/>
          <w:vertAlign w:val="baseline"/>
        </w:rPr>
        <w:footnoteRef/>
      </w:r>
      <w:r w:rsidRPr="00BC7DB3">
        <w:rPr>
          <w:rFonts w:ascii="Times New Roman" w:hAnsi="Times New Roman" w:cs="Times New Roman"/>
          <w:lang w:val="fr-FR"/>
        </w:rPr>
        <w:t>.</w:t>
      </w:r>
      <w:r w:rsidRPr="00BC7DB3">
        <w:rPr>
          <w:rFonts w:ascii="Times New Roman" w:hAnsi="Times New Roman" w:cs="Times New Roman"/>
          <w:lang w:val="fr-FR"/>
        </w:rPr>
        <w:tab/>
        <w:t>Seulement pour les abréviations figurant plusieurs fois dans le présent rapport.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097269"/>
      <w:docPartObj>
        <w:docPartGallery w:val="Page Numbers (Top of Page)"/>
        <w:docPartUnique/>
      </w:docPartObj>
    </w:sdtPr>
    <w:sdtEndPr>
      <w:rPr>
        <w:rFonts w:ascii="Times New Roman" w:hAnsi="Times New Roman" w:cs="Times New Roman"/>
        <w:noProof/>
        <w:sz w:val="22"/>
        <w:szCs w:val="22"/>
      </w:rPr>
    </w:sdtEndPr>
    <w:sdtContent>
      <w:p w14:paraId="1983119A" w14:textId="61126B8E" w:rsidR="005B3541" w:rsidRPr="005F2C83" w:rsidRDefault="005B3541">
        <w:pPr>
          <w:pStyle w:val="Header"/>
          <w:jc w:val="center"/>
          <w:rPr>
            <w:rFonts w:ascii="Times New Roman" w:hAnsi="Times New Roman" w:cs="Times New Roman"/>
            <w:sz w:val="22"/>
            <w:szCs w:val="22"/>
          </w:rPr>
        </w:pPr>
        <w:r w:rsidRPr="005F2C83">
          <w:rPr>
            <w:rFonts w:ascii="Times New Roman" w:hAnsi="Times New Roman" w:cs="Times New Roman"/>
            <w:sz w:val="22"/>
            <w:szCs w:val="22"/>
          </w:rPr>
          <w:fldChar w:fldCharType="begin"/>
        </w:r>
        <w:r w:rsidRPr="005F2C83">
          <w:rPr>
            <w:rFonts w:ascii="Times New Roman" w:hAnsi="Times New Roman" w:cs="Times New Roman"/>
            <w:sz w:val="22"/>
            <w:szCs w:val="22"/>
          </w:rPr>
          <w:instrText xml:space="preserve"> PAGE   \* MERGEFORMAT </w:instrText>
        </w:r>
        <w:r w:rsidRPr="005F2C83">
          <w:rPr>
            <w:rFonts w:ascii="Times New Roman" w:hAnsi="Times New Roman" w:cs="Times New Roman"/>
            <w:sz w:val="22"/>
            <w:szCs w:val="22"/>
          </w:rPr>
          <w:fldChar w:fldCharType="separate"/>
        </w:r>
        <w:r w:rsidR="00FC18B1">
          <w:rPr>
            <w:rFonts w:ascii="Times New Roman" w:hAnsi="Times New Roman" w:cs="Times New Roman"/>
            <w:noProof/>
            <w:sz w:val="22"/>
            <w:szCs w:val="22"/>
          </w:rPr>
          <w:t>- 6 -</w:t>
        </w:r>
        <w:r w:rsidRPr="005F2C83">
          <w:rPr>
            <w:rFonts w:ascii="Times New Roman" w:hAnsi="Times New Roman" w:cs="Times New Roman"/>
            <w:noProof/>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AE82" w14:textId="6EE1D5A6" w:rsidR="005B3541" w:rsidRDefault="00BC7DB3" w:rsidP="00D25C2D">
    <w:pPr>
      <w:pStyle w:val="Header"/>
    </w:pPr>
    <w:r>
      <w:rPr>
        <w:rFonts w:ascii="News Gothic MT" w:hAnsi="News Gothic MT"/>
        <w:noProof/>
        <w:color w:val="000000"/>
        <w:lang w:val="fr-FR" w:eastAsia="fr-FR"/>
      </w:rPr>
      <w:drawing>
        <wp:anchor distT="0" distB="0" distL="114300" distR="114300" simplePos="0" relativeHeight="251662336" behindDoc="0" locked="0" layoutInCell="1" allowOverlap="1" wp14:anchorId="67BCBE4E" wp14:editId="229345BD">
          <wp:simplePos x="0" y="0"/>
          <wp:positionH relativeFrom="column">
            <wp:posOffset>5102115</wp:posOffset>
          </wp:positionH>
          <wp:positionV relativeFrom="paragraph">
            <wp:posOffset>-102843</wp:posOffset>
          </wp:positionV>
          <wp:extent cx="1106805" cy="768985"/>
          <wp:effectExtent l="0" t="0" r="0" b="0"/>
          <wp:wrapSquare wrapText="bothSides"/>
          <wp:docPr id="25"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768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mc:AlternateContent>
        <mc:Choice Requires="wps">
          <w:drawing>
            <wp:anchor distT="0" distB="0" distL="114300" distR="114300" simplePos="0" relativeHeight="251654144" behindDoc="0" locked="0" layoutInCell="1" allowOverlap="1" wp14:anchorId="13B0109C" wp14:editId="4D388B48">
              <wp:simplePos x="0" y="0"/>
              <wp:positionH relativeFrom="column">
                <wp:posOffset>556260</wp:posOffset>
              </wp:positionH>
              <wp:positionV relativeFrom="paragraph">
                <wp:posOffset>-34318</wp:posOffset>
              </wp:positionV>
              <wp:extent cx="4364687" cy="703304"/>
              <wp:effectExtent l="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687" cy="703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F6898F" w14:textId="44763EE3" w:rsidR="005B3541" w:rsidRPr="00506B9D" w:rsidRDefault="005B3541" w:rsidP="00D25C2D">
                          <w:pPr>
                            <w:pStyle w:val="Header"/>
                            <w:tabs>
                              <w:tab w:val="left" w:pos="900"/>
                            </w:tabs>
                            <w:spacing w:line="0" w:lineRule="atLeast"/>
                            <w:jc w:val="center"/>
                            <w:rPr>
                              <w:rFonts w:ascii="Garamond" w:hAnsi="Garamond"/>
                              <w:b/>
                              <w:sz w:val="28"/>
                              <w:szCs w:val="28"/>
                              <w:lang w:val="fr-FR"/>
                            </w:rPr>
                          </w:pPr>
                          <w:r w:rsidRPr="00506B9D">
                            <w:rPr>
                              <w:rFonts w:ascii="Garamond" w:hAnsi="Garamond"/>
                              <w:b/>
                              <w:sz w:val="28"/>
                              <w:szCs w:val="28"/>
                              <w:lang w:val="fr-FR"/>
                            </w:rPr>
                            <w:t xml:space="preserve">ORGANISATION DES ÉTATS AMÉRICAINS </w:t>
                          </w:r>
                        </w:p>
                        <w:p w14:paraId="6A07D869" w14:textId="6C018BB7" w:rsidR="005B3541" w:rsidRPr="00506B9D" w:rsidRDefault="005B3541" w:rsidP="00D25C2D">
                          <w:pPr>
                            <w:pStyle w:val="Header"/>
                            <w:tabs>
                              <w:tab w:val="left" w:pos="900"/>
                            </w:tabs>
                            <w:spacing w:line="0" w:lineRule="atLeast"/>
                            <w:jc w:val="center"/>
                            <w:rPr>
                              <w:rFonts w:ascii="Garamond" w:hAnsi="Garamond"/>
                              <w:b/>
                              <w:sz w:val="28"/>
                              <w:szCs w:val="28"/>
                              <w:lang w:val="fr-FR"/>
                            </w:rPr>
                          </w:pPr>
                          <w:r w:rsidRPr="00506B9D">
                            <w:rPr>
                              <w:rFonts w:ascii="Garamond" w:hAnsi="Garamond"/>
                              <w:b/>
                              <w:sz w:val="28"/>
                              <w:szCs w:val="28"/>
                              <w:lang w:val="fr-FR"/>
                            </w:rPr>
                            <w:t xml:space="preserve">Conseil interaméricain pour le développement intégré </w:t>
                          </w:r>
                        </w:p>
                        <w:p w14:paraId="4A062D75" w14:textId="77777777" w:rsidR="005B3541" w:rsidRPr="00506B9D" w:rsidRDefault="005B3541" w:rsidP="00D25C2D">
                          <w:pPr>
                            <w:pStyle w:val="Header"/>
                            <w:tabs>
                              <w:tab w:val="left" w:pos="900"/>
                            </w:tabs>
                            <w:spacing w:line="0" w:lineRule="atLeast"/>
                            <w:jc w:val="center"/>
                            <w:rPr>
                              <w:b/>
                              <w:sz w:val="28"/>
                              <w:szCs w:val="28"/>
                              <w:lang w:val="fr-FR"/>
                            </w:rPr>
                          </w:pPr>
                          <w:r w:rsidRPr="00506B9D">
                            <w:rPr>
                              <w:rFonts w:ascii="Garamond" w:hAnsi="Garamond"/>
                              <w:b/>
                              <w:sz w:val="28"/>
                              <w:szCs w:val="28"/>
                              <w:lang w:val="fr-F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0109C" id="_x0000_t202" coordsize="21600,21600" o:spt="202" path="m,l,21600r21600,l21600,xe">
              <v:stroke joinstyle="miter"/>
              <v:path gradientshapeok="t" o:connecttype="rect"/>
            </v:shapetype>
            <v:shape id="Text Box 1" o:spid="_x0000_s1027" type="#_x0000_t202" style="position:absolute;margin-left:43.8pt;margin-top:-2.7pt;width:343.7pt;height:5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" stroked="f">
              <v:textbox>
                <w:txbxContent>
                  <w:p w14:paraId="01F6898F" w14:textId="44763EE3" w:rsidR="005B3541" w:rsidRPr="00506B9D" w:rsidRDefault="005B3541" w:rsidP="00D25C2D">
                    <w:pPr>
                      <w:pStyle w:val="Header"/>
                      <w:tabs>
                        <w:tab w:val="left" w:pos="900"/>
                      </w:tabs>
                      <w:spacing w:line="0" w:lineRule="atLeast"/>
                      <w:jc w:val="center"/>
                      <w:rPr>
                        <w:rFonts w:ascii="Garamond" w:hAnsi="Garamond"/>
                        <w:b/>
                        <w:sz w:val="28"/>
                        <w:szCs w:val="28"/>
                        <w:lang w:val="fr-FR"/>
                      </w:rPr>
                    </w:pPr>
                    <w:r w:rsidRPr="00506B9D">
                      <w:rPr>
                        <w:rFonts w:ascii="Garamond" w:hAnsi="Garamond"/>
                        <w:b/>
                        <w:sz w:val="28"/>
                        <w:szCs w:val="28"/>
                        <w:lang w:val="fr-FR"/>
                      </w:rPr>
                      <w:t xml:space="preserve">ORGANISATION DES ÉTATS AMÉRICAINS </w:t>
                    </w:r>
                  </w:p>
                  <w:p w14:paraId="6A07D869" w14:textId="6C018BB7" w:rsidR="005B3541" w:rsidRPr="00506B9D" w:rsidRDefault="005B3541" w:rsidP="00D25C2D">
                    <w:pPr>
                      <w:pStyle w:val="Header"/>
                      <w:tabs>
                        <w:tab w:val="left" w:pos="900"/>
                      </w:tabs>
                      <w:spacing w:line="0" w:lineRule="atLeast"/>
                      <w:jc w:val="center"/>
                      <w:rPr>
                        <w:rFonts w:ascii="Garamond" w:hAnsi="Garamond"/>
                        <w:b/>
                        <w:sz w:val="28"/>
                        <w:szCs w:val="28"/>
                        <w:lang w:val="fr-FR"/>
                      </w:rPr>
                    </w:pPr>
                    <w:r w:rsidRPr="00506B9D">
                      <w:rPr>
                        <w:rFonts w:ascii="Garamond" w:hAnsi="Garamond"/>
                        <w:b/>
                        <w:sz w:val="28"/>
                        <w:szCs w:val="28"/>
                        <w:lang w:val="fr-FR"/>
                      </w:rPr>
                      <w:t xml:space="preserve">Conseil interaméricain pour le développement intégré </w:t>
                    </w:r>
                  </w:p>
                  <w:p w14:paraId="4A062D75" w14:textId="77777777" w:rsidR="005B3541" w:rsidRPr="00506B9D" w:rsidRDefault="005B3541" w:rsidP="00D25C2D">
                    <w:pPr>
                      <w:pStyle w:val="Header"/>
                      <w:tabs>
                        <w:tab w:val="left" w:pos="900"/>
                      </w:tabs>
                      <w:spacing w:line="0" w:lineRule="atLeast"/>
                      <w:jc w:val="center"/>
                      <w:rPr>
                        <w:b/>
                        <w:sz w:val="28"/>
                        <w:szCs w:val="28"/>
                        <w:lang w:val="fr-FR"/>
                      </w:rPr>
                    </w:pPr>
                    <w:r w:rsidRPr="00506B9D">
                      <w:rPr>
                        <w:rFonts w:ascii="Garamond" w:hAnsi="Garamond"/>
                        <w:b/>
                        <w:sz w:val="28"/>
                        <w:szCs w:val="28"/>
                        <w:lang w:val="fr-FR"/>
                      </w:rPr>
                      <w:t>(CIDI)</w:t>
                    </w:r>
                  </w:p>
                </w:txbxContent>
              </v:textbox>
            </v:shape>
          </w:pict>
        </mc:Fallback>
      </mc:AlternateContent>
    </w:r>
    <w:r>
      <w:rPr>
        <w:noProof/>
        <w:lang w:val="fr-FR" w:eastAsia="fr-FR"/>
      </w:rPr>
      <w:drawing>
        <wp:anchor distT="0" distB="0" distL="114300" distR="114300" simplePos="0" relativeHeight="251658240" behindDoc="0" locked="0" layoutInCell="1" allowOverlap="1" wp14:anchorId="1A08C403" wp14:editId="44F28E9C">
          <wp:simplePos x="0" y="0"/>
          <wp:positionH relativeFrom="column">
            <wp:posOffset>-444500</wp:posOffset>
          </wp:positionH>
          <wp:positionV relativeFrom="paragraph">
            <wp:posOffset>-173134</wp:posOffset>
          </wp:positionV>
          <wp:extent cx="822960" cy="824865"/>
          <wp:effectExtent l="0" t="0" r="0" b="0"/>
          <wp:wrapNone/>
          <wp:docPr id="26" name="Picture 2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66137659" w14:textId="45015102" w:rsidR="005B3541" w:rsidRDefault="005B3541" w:rsidP="00D25C2D"/>
  <w:p w14:paraId="7DC0EC51" w14:textId="215FF641" w:rsidR="005B3541" w:rsidRDefault="005B35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AB0D2" w14:textId="17085E63" w:rsidR="00BC7DB3" w:rsidRPr="005F2C83" w:rsidRDefault="00BC7DB3">
    <w:pPr>
      <w:pStyle w:val="Header"/>
      <w:jc w:val="center"/>
      <w:rPr>
        <w:rFonts w:ascii="Times New Roman" w:hAnsi="Times New Roman" w:cs="Times New Roman"/>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667C" w14:textId="77777777" w:rsidR="00723DAD" w:rsidRPr="00723DAD" w:rsidRDefault="00723DAD" w:rsidP="00723D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E780" w14:textId="74C5B19E" w:rsidR="00BC7DB3" w:rsidRPr="00BC7DB3" w:rsidRDefault="00BC7DB3">
    <w:pPr>
      <w:pStyle w:val="Header"/>
      <w:jc w:val="center"/>
      <w:rPr>
        <w:rFonts w:ascii="Times New Roman" w:hAnsi="Times New Roman" w:cs="Times New Roman"/>
        <w:sz w:val="22"/>
        <w:szCs w:val="22"/>
      </w:rPr>
    </w:pPr>
    <w:r w:rsidRPr="00BC7DB3">
      <w:rPr>
        <w:rFonts w:ascii="Times New Roman" w:hAnsi="Times New Roman" w:cs="Times New Roman"/>
        <w:sz w:val="22"/>
        <w:szCs w:val="22"/>
      </w:rPr>
      <w:t xml:space="preserve">- </w:t>
    </w:r>
    <w:sdt>
      <w:sdtPr>
        <w:rPr>
          <w:rFonts w:ascii="Times New Roman" w:hAnsi="Times New Roman" w:cs="Times New Roman"/>
          <w:sz w:val="22"/>
          <w:szCs w:val="22"/>
        </w:rPr>
        <w:id w:val="-76373571"/>
        <w:docPartObj>
          <w:docPartGallery w:val="Page Numbers (Top of Page)"/>
          <w:docPartUnique/>
        </w:docPartObj>
      </w:sdtPr>
      <w:sdtEndPr>
        <w:rPr>
          <w:noProof/>
        </w:rPr>
      </w:sdtEndPr>
      <w:sdtContent>
        <w:r w:rsidRPr="00BC7DB3">
          <w:rPr>
            <w:rFonts w:ascii="Times New Roman" w:hAnsi="Times New Roman" w:cs="Times New Roman"/>
            <w:sz w:val="22"/>
            <w:szCs w:val="22"/>
          </w:rPr>
          <w:fldChar w:fldCharType="begin"/>
        </w:r>
        <w:r w:rsidRPr="00BC7DB3">
          <w:rPr>
            <w:rFonts w:ascii="Times New Roman" w:hAnsi="Times New Roman" w:cs="Times New Roman"/>
            <w:sz w:val="22"/>
            <w:szCs w:val="22"/>
          </w:rPr>
          <w:instrText xml:space="preserve"> PAGE   \* MERGEFORMAT </w:instrText>
        </w:r>
        <w:r w:rsidRPr="00BC7DB3">
          <w:rPr>
            <w:rFonts w:ascii="Times New Roman" w:hAnsi="Times New Roman" w:cs="Times New Roman"/>
            <w:sz w:val="22"/>
            <w:szCs w:val="22"/>
          </w:rPr>
          <w:fldChar w:fldCharType="separate"/>
        </w:r>
        <w:r w:rsidRPr="00BC7DB3">
          <w:rPr>
            <w:rFonts w:ascii="Times New Roman" w:hAnsi="Times New Roman" w:cs="Times New Roman"/>
            <w:noProof/>
            <w:sz w:val="22"/>
            <w:szCs w:val="22"/>
          </w:rPr>
          <w:t>2</w:t>
        </w:r>
        <w:r w:rsidRPr="00BC7DB3">
          <w:rPr>
            <w:rFonts w:ascii="Times New Roman" w:hAnsi="Times New Roman" w:cs="Times New Roman"/>
            <w:noProof/>
            <w:sz w:val="22"/>
            <w:szCs w:val="22"/>
          </w:rPr>
          <w:fldChar w:fldCharType="end"/>
        </w:r>
        <w:r w:rsidRPr="00BC7DB3">
          <w:rPr>
            <w:rFonts w:ascii="Times New Roman" w:hAnsi="Times New Roman" w:cs="Times New Roman"/>
            <w:noProof/>
            <w:sz w:val="22"/>
            <w:szCs w:val="22"/>
          </w:rPr>
          <w:t xml:space="preserve"> -</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030A" w14:textId="77777777" w:rsidR="00BC7DB3" w:rsidRPr="00723DAD" w:rsidRDefault="00BC7DB3" w:rsidP="00723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3313"/>
    <w:multiLevelType w:val="hybridMultilevel"/>
    <w:tmpl w:val="D22095A2"/>
    <w:lvl w:ilvl="0" w:tplc="EA1A8F66">
      <w:start w:val="1"/>
      <w:numFmt w:val="bullet"/>
      <w:lvlText w:val="•"/>
      <w:lvlJc w:val="left"/>
      <w:pPr>
        <w:tabs>
          <w:tab w:val="num" w:pos="720"/>
        </w:tabs>
        <w:ind w:left="720" w:hanging="360"/>
      </w:pPr>
      <w:rPr>
        <w:rFonts w:ascii="Symbol" w:hAnsi="Symbol" w:hint="default"/>
      </w:rPr>
    </w:lvl>
    <w:lvl w:ilvl="1" w:tplc="5C386DC4" w:tentative="1">
      <w:start w:val="1"/>
      <w:numFmt w:val="bullet"/>
      <w:lvlText w:val="•"/>
      <w:lvlJc w:val="left"/>
      <w:pPr>
        <w:tabs>
          <w:tab w:val="num" w:pos="1440"/>
        </w:tabs>
        <w:ind w:left="1440" w:hanging="360"/>
      </w:pPr>
      <w:rPr>
        <w:rFonts w:ascii="Arial" w:hAnsi="Arial" w:hint="default"/>
      </w:rPr>
    </w:lvl>
    <w:lvl w:ilvl="2" w:tplc="52586AAE" w:tentative="1">
      <w:start w:val="1"/>
      <w:numFmt w:val="bullet"/>
      <w:lvlText w:val="•"/>
      <w:lvlJc w:val="left"/>
      <w:pPr>
        <w:tabs>
          <w:tab w:val="num" w:pos="2160"/>
        </w:tabs>
        <w:ind w:left="2160" w:hanging="360"/>
      </w:pPr>
      <w:rPr>
        <w:rFonts w:ascii="Arial" w:hAnsi="Arial" w:hint="default"/>
      </w:rPr>
    </w:lvl>
    <w:lvl w:ilvl="3" w:tplc="23C45C1E" w:tentative="1">
      <w:start w:val="1"/>
      <w:numFmt w:val="bullet"/>
      <w:lvlText w:val="•"/>
      <w:lvlJc w:val="left"/>
      <w:pPr>
        <w:tabs>
          <w:tab w:val="num" w:pos="2880"/>
        </w:tabs>
        <w:ind w:left="2880" w:hanging="360"/>
      </w:pPr>
      <w:rPr>
        <w:rFonts w:ascii="Arial" w:hAnsi="Arial" w:hint="default"/>
      </w:rPr>
    </w:lvl>
    <w:lvl w:ilvl="4" w:tplc="7A3A815E" w:tentative="1">
      <w:start w:val="1"/>
      <w:numFmt w:val="bullet"/>
      <w:lvlText w:val="•"/>
      <w:lvlJc w:val="left"/>
      <w:pPr>
        <w:tabs>
          <w:tab w:val="num" w:pos="3600"/>
        </w:tabs>
        <w:ind w:left="3600" w:hanging="360"/>
      </w:pPr>
      <w:rPr>
        <w:rFonts w:ascii="Arial" w:hAnsi="Arial" w:hint="default"/>
      </w:rPr>
    </w:lvl>
    <w:lvl w:ilvl="5" w:tplc="646AAE84" w:tentative="1">
      <w:start w:val="1"/>
      <w:numFmt w:val="bullet"/>
      <w:lvlText w:val="•"/>
      <w:lvlJc w:val="left"/>
      <w:pPr>
        <w:tabs>
          <w:tab w:val="num" w:pos="4320"/>
        </w:tabs>
        <w:ind w:left="4320" w:hanging="360"/>
      </w:pPr>
      <w:rPr>
        <w:rFonts w:ascii="Arial" w:hAnsi="Arial" w:hint="default"/>
      </w:rPr>
    </w:lvl>
    <w:lvl w:ilvl="6" w:tplc="9738CC8E" w:tentative="1">
      <w:start w:val="1"/>
      <w:numFmt w:val="bullet"/>
      <w:lvlText w:val="•"/>
      <w:lvlJc w:val="left"/>
      <w:pPr>
        <w:tabs>
          <w:tab w:val="num" w:pos="5040"/>
        </w:tabs>
        <w:ind w:left="5040" w:hanging="360"/>
      </w:pPr>
      <w:rPr>
        <w:rFonts w:ascii="Arial" w:hAnsi="Arial" w:hint="default"/>
      </w:rPr>
    </w:lvl>
    <w:lvl w:ilvl="7" w:tplc="0A70B254" w:tentative="1">
      <w:start w:val="1"/>
      <w:numFmt w:val="bullet"/>
      <w:lvlText w:val="•"/>
      <w:lvlJc w:val="left"/>
      <w:pPr>
        <w:tabs>
          <w:tab w:val="num" w:pos="5760"/>
        </w:tabs>
        <w:ind w:left="5760" w:hanging="360"/>
      </w:pPr>
      <w:rPr>
        <w:rFonts w:ascii="Arial" w:hAnsi="Arial" w:hint="default"/>
      </w:rPr>
    </w:lvl>
    <w:lvl w:ilvl="8" w:tplc="D8B8A4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D221EC"/>
    <w:multiLevelType w:val="hybridMultilevel"/>
    <w:tmpl w:val="20C6A9C2"/>
    <w:lvl w:ilvl="0" w:tplc="EC2C11C2">
      <w:start w:val="1"/>
      <w:numFmt w:val="bullet"/>
      <w:lvlText w:val="•"/>
      <w:lvlJc w:val="left"/>
      <w:pPr>
        <w:tabs>
          <w:tab w:val="num" w:pos="720"/>
        </w:tabs>
        <w:ind w:left="720" w:hanging="360"/>
      </w:pPr>
      <w:rPr>
        <w:rFonts w:ascii="Arial" w:hAnsi="Arial" w:hint="default"/>
      </w:rPr>
    </w:lvl>
    <w:lvl w:ilvl="1" w:tplc="AFFABFA0" w:tentative="1">
      <w:start w:val="1"/>
      <w:numFmt w:val="bullet"/>
      <w:lvlText w:val="•"/>
      <w:lvlJc w:val="left"/>
      <w:pPr>
        <w:tabs>
          <w:tab w:val="num" w:pos="1440"/>
        </w:tabs>
        <w:ind w:left="1440" w:hanging="360"/>
      </w:pPr>
      <w:rPr>
        <w:rFonts w:ascii="Arial" w:hAnsi="Arial" w:hint="default"/>
      </w:rPr>
    </w:lvl>
    <w:lvl w:ilvl="2" w:tplc="008E89E2" w:tentative="1">
      <w:start w:val="1"/>
      <w:numFmt w:val="bullet"/>
      <w:lvlText w:val="•"/>
      <w:lvlJc w:val="left"/>
      <w:pPr>
        <w:tabs>
          <w:tab w:val="num" w:pos="2160"/>
        </w:tabs>
        <w:ind w:left="2160" w:hanging="360"/>
      </w:pPr>
      <w:rPr>
        <w:rFonts w:ascii="Arial" w:hAnsi="Arial" w:hint="default"/>
      </w:rPr>
    </w:lvl>
    <w:lvl w:ilvl="3" w:tplc="26B087CA" w:tentative="1">
      <w:start w:val="1"/>
      <w:numFmt w:val="bullet"/>
      <w:lvlText w:val="•"/>
      <w:lvlJc w:val="left"/>
      <w:pPr>
        <w:tabs>
          <w:tab w:val="num" w:pos="2880"/>
        </w:tabs>
        <w:ind w:left="2880" w:hanging="360"/>
      </w:pPr>
      <w:rPr>
        <w:rFonts w:ascii="Arial" w:hAnsi="Arial" w:hint="default"/>
      </w:rPr>
    </w:lvl>
    <w:lvl w:ilvl="4" w:tplc="F5322F74" w:tentative="1">
      <w:start w:val="1"/>
      <w:numFmt w:val="bullet"/>
      <w:lvlText w:val="•"/>
      <w:lvlJc w:val="left"/>
      <w:pPr>
        <w:tabs>
          <w:tab w:val="num" w:pos="3600"/>
        </w:tabs>
        <w:ind w:left="3600" w:hanging="360"/>
      </w:pPr>
      <w:rPr>
        <w:rFonts w:ascii="Arial" w:hAnsi="Arial" w:hint="default"/>
      </w:rPr>
    </w:lvl>
    <w:lvl w:ilvl="5" w:tplc="D43EF798" w:tentative="1">
      <w:start w:val="1"/>
      <w:numFmt w:val="bullet"/>
      <w:lvlText w:val="•"/>
      <w:lvlJc w:val="left"/>
      <w:pPr>
        <w:tabs>
          <w:tab w:val="num" w:pos="4320"/>
        </w:tabs>
        <w:ind w:left="4320" w:hanging="360"/>
      </w:pPr>
      <w:rPr>
        <w:rFonts w:ascii="Arial" w:hAnsi="Arial" w:hint="default"/>
      </w:rPr>
    </w:lvl>
    <w:lvl w:ilvl="6" w:tplc="2BA23A64" w:tentative="1">
      <w:start w:val="1"/>
      <w:numFmt w:val="bullet"/>
      <w:lvlText w:val="•"/>
      <w:lvlJc w:val="left"/>
      <w:pPr>
        <w:tabs>
          <w:tab w:val="num" w:pos="5040"/>
        </w:tabs>
        <w:ind w:left="5040" w:hanging="360"/>
      </w:pPr>
      <w:rPr>
        <w:rFonts w:ascii="Arial" w:hAnsi="Arial" w:hint="default"/>
      </w:rPr>
    </w:lvl>
    <w:lvl w:ilvl="7" w:tplc="69D47030" w:tentative="1">
      <w:start w:val="1"/>
      <w:numFmt w:val="bullet"/>
      <w:lvlText w:val="•"/>
      <w:lvlJc w:val="left"/>
      <w:pPr>
        <w:tabs>
          <w:tab w:val="num" w:pos="5760"/>
        </w:tabs>
        <w:ind w:left="5760" w:hanging="360"/>
      </w:pPr>
      <w:rPr>
        <w:rFonts w:ascii="Arial" w:hAnsi="Arial" w:hint="default"/>
      </w:rPr>
    </w:lvl>
    <w:lvl w:ilvl="8" w:tplc="58843D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0F49CF"/>
    <w:multiLevelType w:val="hybridMultilevel"/>
    <w:tmpl w:val="E8385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65521"/>
    <w:multiLevelType w:val="hybridMultilevel"/>
    <w:tmpl w:val="A19C6A7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257D4"/>
    <w:multiLevelType w:val="hybridMultilevel"/>
    <w:tmpl w:val="30021634"/>
    <w:lvl w:ilvl="0" w:tplc="0A06CC4E">
      <w:start w:val="1"/>
      <w:numFmt w:val="bullet"/>
      <w:lvlText w:val="•"/>
      <w:lvlJc w:val="left"/>
      <w:pPr>
        <w:tabs>
          <w:tab w:val="num" w:pos="720"/>
        </w:tabs>
        <w:ind w:left="720" w:hanging="360"/>
      </w:pPr>
      <w:rPr>
        <w:rFonts w:ascii="Arial" w:hAnsi="Arial" w:hint="default"/>
      </w:rPr>
    </w:lvl>
    <w:lvl w:ilvl="1" w:tplc="710E9C76" w:tentative="1">
      <w:start w:val="1"/>
      <w:numFmt w:val="bullet"/>
      <w:lvlText w:val="•"/>
      <w:lvlJc w:val="left"/>
      <w:pPr>
        <w:tabs>
          <w:tab w:val="num" w:pos="1440"/>
        </w:tabs>
        <w:ind w:left="1440" w:hanging="360"/>
      </w:pPr>
      <w:rPr>
        <w:rFonts w:ascii="Arial" w:hAnsi="Arial" w:hint="default"/>
      </w:rPr>
    </w:lvl>
    <w:lvl w:ilvl="2" w:tplc="CE482A44" w:tentative="1">
      <w:start w:val="1"/>
      <w:numFmt w:val="bullet"/>
      <w:lvlText w:val="•"/>
      <w:lvlJc w:val="left"/>
      <w:pPr>
        <w:tabs>
          <w:tab w:val="num" w:pos="2160"/>
        </w:tabs>
        <w:ind w:left="2160" w:hanging="360"/>
      </w:pPr>
      <w:rPr>
        <w:rFonts w:ascii="Arial" w:hAnsi="Arial" w:hint="default"/>
      </w:rPr>
    </w:lvl>
    <w:lvl w:ilvl="3" w:tplc="EAE88C14" w:tentative="1">
      <w:start w:val="1"/>
      <w:numFmt w:val="bullet"/>
      <w:lvlText w:val="•"/>
      <w:lvlJc w:val="left"/>
      <w:pPr>
        <w:tabs>
          <w:tab w:val="num" w:pos="2880"/>
        </w:tabs>
        <w:ind w:left="2880" w:hanging="360"/>
      </w:pPr>
      <w:rPr>
        <w:rFonts w:ascii="Arial" w:hAnsi="Arial" w:hint="default"/>
      </w:rPr>
    </w:lvl>
    <w:lvl w:ilvl="4" w:tplc="700635EE" w:tentative="1">
      <w:start w:val="1"/>
      <w:numFmt w:val="bullet"/>
      <w:lvlText w:val="•"/>
      <w:lvlJc w:val="left"/>
      <w:pPr>
        <w:tabs>
          <w:tab w:val="num" w:pos="3600"/>
        </w:tabs>
        <w:ind w:left="3600" w:hanging="360"/>
      </w:pPr>
      <w:rPr>
        <w:rFonts w:ascii="Arial" w:hAnsi="Arial" w:hint="default"/>
      </w:rPr>
    </w:lvl>
    <w:lvl w:ilvl="5" w:tplc="742E77F0" w:tentative="1">
      <w:start w:val="1"/>
      <w:numFmt w:val="bullet"/>
      <w:lvlText w:val="•"/>
      <w:lvlJc w:val="left"/>
      <w:pPr>
        <w:tabs>
          <w:tab w:val="num" w:pos="4320"/>
        </w:tabs>
        <w:ind w:left="4320" w:hanging="360"/>
      </w:pPr>
      <w:rPr>
        <w:rFonts w:ascii="Arial" w:hAnsi="Arial" w:hint="default"/>
      </w:rPr>
    </w:lvl>
    <w:lvl w:ilvl="6" w:tplc="9C3E9386" w:tentative="1">
      <w:start w:val="1"/>
      <w:numFmt w:val="bullet"/>
      <w:lvlText w:val="•"/>
      <w:lvlJc w:val="left"/>
      <w:pPr>
        <w:tabs>
          <w:tab w:val="num" w:pos="5040"/>
        </w:tabs>
        <w:ind w:left="5040" w:hanging="360"/>
      </w:pPr>
      <w:rPr>
        <w:rFonts w:ascii="Arial" w:hAnsi="Arial" w:hint="default"/>
      </w:rPr>
    </w:lvl>
    <w:lvl w:ilvl="7" w:tplc="F9106176" w:tentative="1">
      <w:start w:val="1"/>
      <w:numFmt w:val="bullet"/>
      <w:lvlText w:val="•"/>
      <w:lvlJc w:val="left"/>
      <w:pPr>
        <w:tabs>
          <w:tab w:val="num" w:pos="5760"/>
        </w:tabs>
        <w:ind w:left="5760" w:hanging="360"/>
      </w:pPr>
      <w:rPr>
        <w:rFonts w:ascii="Arial" w:hAnsi="Arial" w:hint="default"/>
      </w:rPr>
    </w:lvl>
    <w:lvl w:ilvl="8" w:tplc="740670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B01310"/>
    <w:multiLevelType w:val="hybridMultilevel"/>
    <w:tmpl w:val="1500E14C"/>
    <w:lvl w:ilvl="0" w:tplc="ABB4C3A0">
      <w:start w:val="1"/>
      <w:numFmt w:val="bullet"/>
      <w:lvlText w:val="•"/>
      <w:lvlJc w:val="left"/>
      <w:pPr>
        <w:tabs>
          <w:tab w:val="num" w:pos="720"/>
        </w:tabs>
        <w:ind w:left="720" w:hanging="360"/>
      </w:pPr>
      <w:rPr>
        <w:rFonts w:ascii="Arial" w:hAnsi="Arial" w:hint="default"/>
      </w:rPr>
    </w:lvl>
    <w:lvl w:ilvl="1" w:tplc="8D765726" w:tentative="1">
      <w:start w:val="1"/>
      <w:numFmt w:val="bullet"/>
      <w:lvlText w:val="•"/>
      <w:lvlJc w:val="left"/>
      <w:pPr>
        <w:tabs>
          <w:tab w:val="num" w:pos="1440"/>
        </w:tabs>
        <w:ind w:left="1440" w:hanging="360"/>
      </w:pPr>
      <w:rPr>
        <w:rFonts w:ascii="Arial" w:hAnsi="Arial" w:hint="default"/>
      </w:rPr>
    </w:lvl>
    <w:lvl w:ilvl="2" w:tplc="C7F224EA" w:tentative="1">
      <w:start w:val="1"/>
      <w:numFmt w:val="bullet"/>
      <w:lvlText w:val="•"/>
      <w:lvlJc w:val="left"/>
      <w:pPr>
        <w:tabs>
          <w:tab w:val="num" w:pos="2160"/>
        </w:tabs>
        <w:ind w:left="2160" w:hanging="360"/>
      </w:pPr>
      <w:rPr>
        <w:rFonts w:ascii="Arial" w:hAnsi="Arial" w:hint="default"/>
      </w:rPr>
    </w:lvl>
    <w:lvl w:ilvl="3" w:tplc="6B36858E" w:tentative="1">
      <w:start w:val="1"/>
      <w:numFmt w:val="bullet"/>
      <w:lvlText w:val="•"/>
      <w:lvlJc w:val="left"/>
      <w:pPr>
        <w:tabs>
          <w:tab w:val="num" w:pos="2880"/>
        </w:tabs>
        <w:ind w:left="2880" w:hanging="360"/>
      </w:pPr>
      <w:rPr>
        <w:rFonts w:ascii="Arial" w:hAnsi="Arial" w:hint="default"/>
      </w:rPr>
    </w:lvl>
    <w:lvl w:ilvl="4" w:tplc="3EEC6A06" w:tentative="1">
      <w:start w:val="1"/>
      <w:numFmt w:val="bullet"/>
      <w:lvlText w:val="•"/>
      <w:lvlJc w:val="left"/>
      <w:pPr>
        <w:tabs>
          <w:tab w:val="num" w:pos="3600"/>
        </w:tabs>
        <w:ind w:left="3600" w:hanging="360"/>
      </w:pPr>
      <w:rPr>
        <w:rFonts w:ascii="Arial" w:hAnsi="Arial" w:hint="default"/>
      </w:rPr>
    </w:lvl>
    <w:lvl w:ilvl="5" w:tplc="EDB258A0" w:tentative="1">
      <w:start w:val="1"/>
      <w:numFmt w:val="bullet"/>
      <w:lvlText w:val="•"/>
      <w:lvlJc w:val="left"/>
      <w:pPr>
        <w:tabs>
          <w:tab w:val="num" w:pos="4320"/>
        </w:tabs>
        <w:ind w:left="4320" w:hanging="360"/>
      </w:pPr>
      <w:rPr>
        <w:rFonts w:ascii="Arial" w:hAnsi="Arial" w:hint="default"/>
      </w:rPr>
    </w:lvl>
    <w:lvl w:ilvl="6" w:tplc="476A0886" w:tentative="1">
      <w:start w:val="1"/>
      <w:numFmt w:val="bullet"/>
      <w:lvlText w:val="•"/>
      <w:lvlJc w:val="left"/>
      <w:pPr>
        <w:tabs>
          <w:tab w:val="num" w:pos="5040"/>
        </w:tabs>
        <w:ind w:left="5040" w:hanging="360"/>
      </w:pPr>
      <w:rPr>
        <w:rFonts w:ascii="Arial" w:hAnsi="Arial" w:hint="default"/>
      </w:rPr>
    </w:lvl>
    <w:lvl w:ilvl="7" w:tplc="74B0EE00" w:tentative="1">
      <w:start w:val="1"/>
      <w:numFmt w:val="bullet"/>
      <w:lvlText w:val="•"/>
      <w:lvlJc w:val="left"/>
      <w:pPr>
        <w:tabs>
          <w:tab w:val="num" w:pos="5760"/>
        </w:tabs>
        <w:ind w:left="5760" w:hanging="360"/>
      </w:pPr>
      <w:rPr>
        <w:rFonts w:ascii="Arial" w:hAnsi="Arial" w:hint="default"/>
      </w:rPr>
    </w:lvl>
    <w:lvl w:ilvl="8" w:tplc="F4C8201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4A7E6D"/>
    <w:multiLevelType w:val="hybridMultilevel"/>
    <w:tmpl w:val="C74AE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837944"/>
    <w:multiLevelType w:val="hybridMultilevel"/>
    <w:tmpl w:val="EC1C6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E13B21"/>
    <w:multiLevelType w:val="hybridMultilevel"/>
    <w:tmpl w:val="414E9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D73A3"/>
    <w:multiLevelType w:val="hybridMultilevel"/>
    <w:tmpl w:val="ADA4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837689"/>
    <w:multiLevelType w:val="hybridMultilevel"/>
    <w:tmpl w:val="DB52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B356A"/>
    <w:multiLevelType w:val="hybridMultilevel"/>
    <w:tmpl w:val="CA5233F8"/>
    <w:lvl w:ilvl="0" w:tplc="027CBA3E">
      <w:start w:val="1"/>
      <w:numFmt w:val="bullet"/>
      <w:lvlText w:val="•"/>
      <w:lvlJc w:val="left"/>
      <w:pPr>
        <w:tabs>
          <w:tab w:val="num" w:pos="720"/>
        </w:tabs>
        <w:ind w:left="720" w:hanging="360"/>
      </w:pPr>
      <w:rPr>
        <w:rFonts w:ascii="Arial" w:hAnsi="Arial" w:hint="default"/>
      </w:rPr>
    </w:lvl>
    <w:lvl w:ilvl="1" w:tplc="6A3844F6" w:tentative="1">
      <w:start w:val="1"/>
      <w:numFmt w:val="bullet"/>
      <w:lvlText w:val="•"/>
      <w:lvlJc w:val="left"/>
      <w:pPr>
        <w:tabs>
          <w:tab w:val="num" w:pos="1440"/>
        </w:tabs>
        <w:ind w:left="1440" w:hanging="360"/>
      </w:pPr>
      <w:rPr>
        <w:rFonts w:ascii="Arial" w:hAnsi="Arial" w:hint="default"/>
      </w:rPr>
    </w:lvl>
    <w:lvl w:ilvl="2" w:tplc="2842DF5A" w:tentative="1">
      <w:start w:val="1"/>
      <w:numFmt w:val="bullet"/>
      <w:lvlText w:val="•"/>
      <w:lvlJc w:val="left"/>
      <w:pPr>
        <w:tabs>
          <w:tab w:val="num" w:pos="2160"/>
        </w:tabs>
        <w:ind w:left="2160" w:hanging="360"/>
      </w:pPr>
      <w:rPr>
        <w:rFonts w:ascii="Arial" w:hAnsi="Arial" w:hint="default"/>
      </w:rPr>
    </w:lvl>
    <w:lvl w:ilvl="3" w:tplc="1F8C90EE" w:tentative="1">
      <w:start w:val="1"/>
      <w:numFmt w:val="bullet"/>
      <w:lvlText w:val="•"/>
      <w:lvlJc w:val="left"/>
      <w:pPr>
        <w:tabs>
          <w:tab w:val="num" w:pos="2880"/>
        </w:tabs>
        <w:ind w:left="2880" w:hanging="360"/>
      </w:pPr>
      <w:rPr>
        <w:rFonts w:ascii="Arial" w:hAnsi="Arial" w:hint="default"/>
      </w:rPr>
    </w:lvl>
    <w:lvl w:ilvl="4" w:tplc="87EC0AC6" w:tentative="1">
      <w:start w:val="1"/>
      <w:numFmt w:val="bullet"/>
      <w:lvlText w:val="•"/>
      <w:lvlJc w:val="left"/>
      <w:pPr>
        <w:tabs>
          <w:tab w:val="num" w:pos="3600"/>
        </w:tabs>
        <w:ind w:left="3600" w:hanging="360"/>
      </w:pPr>
      <w:rPr>
        <w:rFonts w:ascii="Arial" w:hAnsi="Arial" w:hint="default"/>
      </w:rPr>
    </w:lvl>
    <w:lvl w:ilvl="5" w:tplc="A8DC7D9A" w:tentative="1">
      <w:start w:val="1"/>
      <w:numFmt w:val="bullet"/>
      <w:lvlText w:val="•"/>
      <w:lvlJc w:val="left"/>
      <w:pPr>
        <w:tabs>
          <w:tab w:val="num" w:pos="4320"/>
        </w:tabs>
        <w:ind w:left="4320" w:hanging="360"/>
      </w:pPr>
      <w:rPr>
        <w:rFonts w:ascii="Arial" w:hAnsi="Arial" w:hint="default"/>
      </w:rPr>
    </w:lvl>
    <w:lvl w:ilvl="6" w:tplc="EF529AD6" w:tentative="1">
      <w:start w:val="1"/>
      <w:numFmt w:val="bullet"/>
      <w:lvlText w:val="•"/>
      <w:lvlJc w:val="left"/>
      <w:pPr>
        <w:tabs>
          <w:tab w:val="num" w:pos="5040"/>
        </w:tabs>
        <w:ind w:left="5040" w:hanging="360"/>
      </w:pPr>
      <w:rPr>
        <w:rFonts w:ascii="Arial" w:hAnsi="Arial" w:hint="default"/>
      </w:rPr>
    </w:lvl>
    <w:lvl w:ilvl="7" w:tplc="78688B60" w:tentative="1">
      <w:start w:val="1"/>
      <w:numFmt w:val="bullet"/>
      <w:lvlText w:val="•"/>
      <w:lvlJc w:val="left"/>
      <w:pPr>
        <w:tabs>
          <w:tab w:val="num" w:pos="5760"/>
        </w:tabs>
        <w:ind w:left="5760" w:hanging="360"/>
      </w:pPr>
      <w:rPr>
        <w:rFonts w:ascii="Arial" w:hAnsi="Arial" w:hint="default"/>
      </w:rPr>
    </w:lvl>
    <w:lvl w:ilvl="8" w:tplc="878221C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4A1ACE"/>
    <w:multiLevelType w:val="hybridMultilevel"/>
    <w:tmpl w:val="13F0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98478C"/>
    <w:multiLevelType w:val="hybridMultilevel"/>
    <w:tmpl w:val="1BC49CBA"/>
    <w:lvl w:ilvl="0" w:tplc="04090001">
      <w:start w:val="1"/>
      <w:numFmt w:val="bullet"/>
      <w:lvlText w:val=""/>
      <w:lvlJc w:val="left"/>
      <w:pPr>
        <w:ind w:left="72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F23CF4"/>
    <w:multiLevelType w:val="hybridMultilevel"/>
    <w:tmpl w:val="E236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BD6AE8"/>
    <w:multiLevelType w:val="hybridMultilevel"/>
    <w:tmpl w:val="1DC20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7D2532"/>
    <w:multiLevelType w:val="hybridMultilevel"/>
    <w:tmpl w:val="65224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450C0E"/>
    <w:multiLevelType w:val="hybridMultilevel"/>
    <w:tmpl w:val="9C447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084903"/>
    <w:multiLevelType w:val="hybridMultilevel"/>
    <w:tmpl w:val="FA44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360A94"/>
    <w:multiLevelType w:val="hybridMultilevel"/>
    <w:tmpl w:val="EA985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D0330"/>
    <w:multiLevelType w:val="hybridMultilevel"/>
    <w:tmpl w:val="06D4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A11DF4"/>
    <w:multiLevelType w:val="hybridMultilevel"/>
    <w:tmpl w:val="7E1A4A18"/>
    <w:lvl w:ilvl="0" w:tplc="BEE8682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9E22E20"/>
    <w:multiLevelType w:val="hybridMultilevel"/>
    <w:tmpl w:val="8FE4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6F37BC"/>
    <w:multiLevelType w:val="hybridMultilevel"/>
    <w:tmpl w:val="2588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EF6D1D"/>
    <w:multiLevelType w:val="hybridMultilevel"/>
    <w:tmpl w:val="5D3E8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B361C6"/>
    <w:multiLevelType w:val="hybridMultilevel"/>
    <w:tmpl w:val="7F8A2E14"/>
    <w:lvl w:ilvl="0" w:tplc="32B47EA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BD494A"/>
    <w:multiLevelType w:val="hybridMultilevel"/>
    <w:tmpl w:val="A98CD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1B72C6"/>
    <w:multiLevelType w:val="hybridMultilevel"/>
    <w:tmpl w:val="1DDA97D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A604E"/>
    <w:multiLevelType w:val="hybridMultilevel"/>
    <w:tmpl w:val="B7524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177146"/>
    <w:multiLevelType w:val="hybridMultilevel"/>
    <w:tmpl w:val="F282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8D52DE"/>
    <w:multiLevelType w:val="hybridMultilevel"/>
    <w:tmpl w:val="1482F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244A8B"/>
    <w:multiLevelType w:val="hybridMultilevel"/>
    <w:tmpl w:val="F5EC25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4387217"/>
    <w:multiLevelType w:val="multilevel"/>
    <w:tmpl w:val="35CE9F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67F5C89"/>
    <w:multiLevelType w:val="hybridMultilevel"/>
    <w:tmpl w:val="ACF2478E"/>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04090001">
      <w:start w:val="1"/>
      <w:numFmt w:val="bullet"/>
      <w:lvlText w:val=""/>
      <w:lvlJc w:val="left"/>
      <w:pPr>
        <w:ind w:left="2160" w:hanging="360"/>
      </w:pPr>
      <w:rPr>
        <w:rFonts w:ascii="Symbol" w:hAnsi="Symbol" w:hint="default"/>
        <w:color w:val="000000"/>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93D09A3"/>
    <w:multiLevelType w:val="hybridMultilevel"/>
    <w:tmpl w:val="2580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A96797"/>
    <w:multiLevelType w:val="hybridMultilevel"/>
    <w:tmpl w:val="9248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A8013C"/>
    <w:multiLevelType w:val="hybridMultilevel"/>
    <w:tmpl w:val="1FF8D418"/>
    <w:lvl w:ilvl="0" w:tplc="1630A00A">
      <w:start w:val="1"/>
      <w:numFmt w:val="bullet"/>
      <w:lvlText w:val="•"/>
      <w:lvlJc w:val="left"/>
      <w:pPr>
        <w:tabs>
          <w:tab w:val="num" w:pos="720"/>
        </w:tabs>
        <w:ind w:left="720" w:hanging="360"/>
      </w:pPr>
      <w:rPr>
        <w:rFonts w:ascii="Arial" w:hAnsi="Arial" w:hint="default"/>
      </w:rPr>
    </w:lvl>
    <w:lvl w:ilvl="1" w:tplc="2A44C260" w:tentative="1">
      <w:start w:val="1"/>
      <w:numFmt w:val="bullet"/>
      <w:lvlText w:val="•"/>
      <w:lvlJc w:val="left"/>
      <w:pPr>
        <w:tabs>
          <w:tab w:val="num" w:pos="1440"/>
        </w:tabs>
        <w:ind w:left="1440" w:hanging="360"/>
      </w:pPr>
      <w:rPr>
        <w:rFonts w:ascii="Arial" w:hAnsi="Arial" w:hint="default"/>
      </w:rPr>
    </w:lvl>
    <w:lvl w:ilvl="2" w:tplc="4DEA780E" w:tentative="1">
      <w:start w:val="1"/>
      <w:numFmt w:val="bullet"/>
      <w:lvlText w:val="•"/>
      <w:lvlJc w:val="left"/>
      <w:pPr>
        <w:tabs>
          <w:tab w:val="num" w:pos="2160"/>
        </w:tabs>
        <w:ind w:left="2160" w:hanging="360"/>
      </w:pPr>
      <w:rPr>
        <w:rFonts w:ascii="Arial" w:hAnsi="Arial" w:hint="default"/>
      </w:rPr>
    </w:lvl>
    <w:lvl w:ilvl="3" w:tplc="42E846A0" w:tentative="1">
      <w:start w:val="1"/>
      <w:numFmt w:val="bullet"/>
      <w:lvlText w:val="•"/>
      <w:lvlJc w:val="left"/>
      <w:pPr>
        <w:tabs>
          <w:tab w:val="num" w:pos="2880"/>
        </w:tabs>
        <w:ind w:left="2880" w:hanging="360"/>
      </w:pPr>
      <w:rPr>
        <w:rFonts w:ascii="Arial" w:hAnsi="Arial" w:hint="default"/>
      </w:rPr>
    </w:lvl>
    <w:lvl w:ilvl="4" w:tplc="F0E64354" w:tentative="1">
      <w:start w:val="1"/>
      <w:numFmt w:val="bullet"/>
      <w:lvlText w:val="•"/>
      <w:lvlJc w:val="left"/>
      <w:pPr>
        <w:tabs>
          <w:tab w:val="num" w:pos="3600"/>
        </w:tabs>
        <w:ind w:left="3600" w:hanging="360"/>
      </w:pPr>
      <w:rPr>
        <w:rFonts w:ascii="Arial" w:hAnsi="Arial" w:hint="default"/>
      </w:rPr>
    </w:lvl>
    <w:lvl w:ilvl="5" w:tplc="777C2C5E" w:tentative="1">
      <w:start w:val="1"/>
      <w:numFmt w:val="bullet"/>
      <w:lvlText w:val="•"/>
      <w:lvlJc w:val="left"/>
      <w:pPr>
        <w:tabs>
          <w:tab w:val="num" w:pos="4320"/>
        </w:tabs>
        <w:ind w:left="4320" w:hanging="360"/>
      </w:pPr>
      <w:rPr>
        <w:rFonts w:ascii="Arial" w:hAnsi="Arial" w:hint="default"/>
      </w:rPr>
    </w:lvl>
    <w:lvl w:ilvl="6" w:tplc="571436CA" w:tentative="1">
      <w:start w:val="1"/>
      <w:numFmt w:val="bullet"/>
      <w:lvlText w:val="•"/>
      <w:lvlJc w:val="left"/>
      <w:pPr>
        <w:tabs>
          <w:tab w:val="num" w:pos="5040"/>
        </w:tabs>
        <w:ind w:left="5040" w:hanging="360"/>
      </w:pPr>
      <w:rPr>
        <w:rFonts w:ascii="Arial" w:hAnsi="Arial" w:hint="default"/>
      </w:rPr>
    </w:lvl>
    <w:lvl w:ilvl="7" w:tplc="6F604C6A" w:tentative="1">
      <w:start w:val="1"/>
      <w:numFmt w:val="bullet"/>
      <w:lvlText w:val="•"/>
      <w:lvlJc w:val="left"/>
      <w:pPr>
        <w:tabs>
          <w:tab w:val="num" w:pos="5760"/>
        </w:tabs>
        <w:ind w:left="5760" w:hanging="360"/>
      </w:pPr>
      <w:rPr>
        <w:rFonts w:ascii="Arial" w:hAnsi="Arial" w:hint="default"/>
      </w:rPr>
    </w:lvl>
    <w:lvl w:ilvl="8" w:tplc="CF86ECB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66B2606"/>
    <w:multiLevelType w:val="hybridMultilevel"/>
    <w:tmpl w:val="FB56C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41543B"/>
    <w:multiLevelType w:val="hybridMultilevel"/>
    <w:tmpl w:val="5BFA1354"/>
    <w:lvl w:ilvl="0" w:tplc="D85E3572">
      <w:start w:val="1"/>
      <w:numFmt w:val="bullet"/>
      <w:lvlText w:val="•"/>
      <w:lvlJc w:val="left"/>
      <w:pPr>
        <w:tabs>
          <w:tab w:val="num" w:pos="720"/>
        </w:tabs>
        <w:ind w:left="720" w:hanging="360"/>
      </w:pPr>
      <w:rPr>
        <w:rFonts w:ascii="Arial" w:hAnsi="Arial" w:hint="default"/>
      </w:rPr>
    </w:lvl>
    <w:lvl w:ilvl="1" w:tplc="9E8021D6" w:tentative="1">
      <w:start w:val="1"/>
      <w:numFmt w:val="bullet"/>
      <w:lvlText w:val="•"/>
      <w:lvlJc w:val="left"/>
      <w:pPr>
        <w:tabs>
          <w:tab w:val="num" w:pos="1440"/>
        </w:tabs>
        <w:ind w:left="1440" w:hanging="360"/>
      </w:pPr>
      <w:rPr>
        <w:rFonts w:ascii="Arial" w:hAnsi="Arial" w:hint="default"/>
      </w:rPr>
    </w:lvl>
    <w:lvl w:ilvl="2" w:tplc="643CD9D2" w:tentative="1">
      <w:start w:val="1"/>
      <w:numFmt w:val="bullet"/>
      <w:lvlText w:val="•"/>
      <w:lvlJc w:val="left"/>
      <w:pPr>
        <w:tabs>
          <w:tab w:val="num" w:pos="2160"/>
        </w:tabs>
        <w:ind w:left="2160" w:hanging="360"/>
      </w:pPr>
      <w:rPr>
        <w:rFonts w:ascii="Arial" w:hAnsi="Arial" w:hint="default"/>
      </w:rPr>
    </w:lvl>
    <w:lvl w:ilvl="3" w:tplc="F436714A" w:tentative="1">
      <w:start w:val="1"/>
      <w:numFmt w:val="bullet"/>
      <w:lvlText w:val="•"/>
      <w:lvlJc w:val="left"/>
      <w:pPr>
        <w:tabs>
          <w:tab w:val="num" w:pos="2880"/>
        </w:tabs>
        <w:ind w:left="2880" w:hanging="360"/>
      </w:pPr>
      <w:rPr>
        <w:rFonts w:ascii="Arial" w:hAnsi="Arial" w:hint="default"/>
      </w:rPr>
    </w:lvl>
    <w:lvl w:ilvl="4" w:tplc="B1D23D58" w:tentative="1">
      <w:start w:val="1"/>
      <w:numFmt w:val="bullet"/>
      <w:lvlText w:val="•"/>
      <w:lvlJc w:val="left"/>
      <w:pPr>
        <w:tabs>
          <w:tab w:val="num" w:pos="3600"/>
        </w:tabs>
        <w:ind w:left="3600" w:hanging="360"/>
      </w:pPr>
      <w:rPr>
        <w:rFonts w:ascii="Arial" w:hAnsi="Arial" w:hint="default"/>
      </w:rPr>
    </w:lvl>
    <w:lvl w:ilvl="5" w:tplc="A34E8B26" w:tentative="1">
      <w:start w:val="1"/>
      <w:numFmt w:val="bullet"/>
      <w:lvlText w:val="•"/>
      <w:lvlJc w:val="left"/>
      <w:pPr>
        <w:tabs>
          <w:tab w:val="num" w:pos="4320"/>
        </w:tabs>
        <w:ind w:left="4320" w:hanging="360"/>
      </w:pPr>
      <w:rPr>
        <w:rFonts w:ascii="Arial" w:hAnsi="Arial" w:hint="default"/>
      </w:rPr>
    </w:lvl>
    <w:lvl w:ilvl="6" w:tplc="B8C04680" w:tentative="1">
      <w:start w:val="1"/>
      <w:numFmt w:val="bullet"/>
      <w:lvlText w:val="•"/>
      <w:lvlJc w:val="left"/>
      <w:pPr>
        <w:tabs>
          <w:tab w:val="num" w:pos="5040"/>
        </w:tabs>
        <w:ind w:left="5040" w:hanging="360"/>
      </w:pPr>
      <w:rPr>
        <w:rFonts w:ascii="Arial" w:hAnsi="Arial" w:hint="default"/>
      </w:rPr>
    </w:lvl>
    <w:lvl w:ilvl="7" w:tplc="F97A5D72" w:tentative="1">
      <w:start w:val="1"/>
      <w:numFmt w:val="bullet"/>
      <w:lvlText w:val="•"/>
      <w:lvlJc w:val="left"/>
      <w:pPr>
        <w:tabs>
          <w:tab w:val="num" w:pos="5760"/>
        </w:tabs>
        <w:ind w:left="5760" w:hanging="360"/>
      </w:pPr>
      <w:rPr>
        <w:rFonts w:ascii="Arial" w:hAnsi="Arial" w:hint="default"/>
      </w:rPr>
    </w:lvl>
    <w:lvl w:ilvl="8" w:tplc="35207DE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7CB701C"/>
    <w:multiLevelType w:val="hybridMultilevel"/>
    <w:tmpl w:val="7494E5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7D003371"/>
    <w:multiLevelType w:val="hybridMultilevel"/>
    <w:tmpl w:val="48288B62"/>
    <w:lvl w:ilvl="0" w:tplc="BEE86826">
      <w:start w:val="1"/>
      <w:numFmt w:val="bullet"/>
      <w:lvlText w:val="·"/>
      <w:lvlJc w:val="left"/>
      <w:pPr>
        <w:ind w:left="720" w:hanging="360"/>
      </w:pPr>
      <w:rPr>
        <w:rFonts w:ascii="Symbol" w:hAnsi="Symbol" w:hint="default"/>
      </w:rPr>
    </w:lvl>
    <w:lvl w:ilvl="1" w:tplc="0AF00A60">
      <w:start w:val="1"/>
      <w:numFmt w:val="bullet"/>
      <w:lvlText w:val="o"/>
      <w:lvlJc w:val="left"/>
      <w:pPr>
        <w:ind w:left="1440" w:hanging="360"/>
      </w:pPr>
      <w:rPr>
        <w:rFonts w:ascii="Courier New" w:hAnsi="Courier New" w:hint="default"/>
      </w:rPr>
    </w:lvl>
    <w:lvl w:ilvl="2" w:tplc="86A26AE0">
      <w:start w:val="1"/>
      <w:numFmt w:val="bullet"/>
      <w:lvlText w:val=""/>
      <w:lvlJc w:val="left"/>
      <w:pPr>
        <w:ind w:left="2160" w:hanging="360"/>
      </w:pPr>
      <w:rPr>
        <w:rFonts w:ascii="Wingdings" w:hAnsi="Wingdings" w:hint="default"/>
      </w:rPr>
    </w:lvl>
    <w:lvl w:ilvl="3" w:tplc="B3D0DBE4">
      <w:start w:val="1"/>
      <w:numFmt w:val="bullet"/>
      <w:lvlText w:val=""/>
      <w:lvlJc w:val="left"/>
      <w:pPr>
        <w:ind w:left="2880" w:hanging="360"/>
      </w:pPr>
      <w:rPr>
        <w:rFonts w:ascii="Symbol" w:hAnsi="Symbol" w:hint="default"/>
      </w:rPr>
    </w:lvl>
    <w:lvl w:ilvl="4" w:tplc="3C887B44">
      <w:start w:val="1"/>
      <w:numFmt w:val="bullet"/>
      <w:lvlText w:val="o"/>
      <w:lvlJc w:val="left"/>
      <w:pPr>
        <w:ind w:left="3600" w:hanging="360"/>
      </w:pPr>
      <w:rPr>
        <w:rFonts w:ascii="Courier New" w:hAnsi="Courier New" w:hint="default"/>
      </w:rPr>
    </w:lvl>
    <w:lvl w:ilvl="5" w:tplc="5E44D80E">
      <w:start w:val="1"/>
      <w:numFmt w:val="bullet"/>
      <w:lvlText w:val=""/>
      <w:lvlJc w:val="left"/>
      <w:pPr>
        <w:ind w:left="4320" w:hanging="360"/>
      </w:pPr>
      <w:rPr>
        <w:rFonts w:ascii="Wingdings" w:hAnsi="Wingdings" w:hint="default"/>
      </w:rPr>
    </w:lvl>
    <w:lvl w:ilvl="6" w:tplc="48B8108E">
      <w:start w:val="1"/>
      <w:numFmt w:val="bullet"/>
      <w:lvlText w:val=""/>
      <w:lvlJc w:val="left"/>
      <w:pPr>
        <w:ind w:left="5040" w:hanging="360"/>
      </w:pPr>
      <w:rPr>
        <w:rFonts w:ascii="Symbol" w:hAnsi="Symbol" w:hint="default"/>
      </w:rPr>
    </w:lvl>
    <w:lvl w:ilvl="7" w:tplc="9C504FB4">
      <w:start w:val="1"/>
      <w:numFmt w:val="bullet"/>
      <w:lvlText w:val="o"/>
      <w:lvlJc w:val="left"/>
      <w:pPr>
        <w:ind w:left="5760" w:hanging="360"/>
      </w:pPr>
      <w:rPr>
        <w:rFonts w:ascii="Courier New" w:hAnsi="Courier New" w:hint="default"/>
      </w:rPr>
    </w:lvl>
    <w:lvl w:ilvl="8" w:tplc="4566EA50">
      <w:start w:val="1"/>
      <w:numFmt w:val="bullet"/>
      <w:lvlText w:val=""/>
      <w:lvlJc w:val="left"/>
      <w:pPr>
        <w:ind w:left="6480" w:hanging="360"/>
      </w:pPr>
      <w:rPr>
        <w:rFonts w:ascii="Wingdings" w:hAnsi="Wingdings" w:hint="default"/>
      </w:rPr>
    </w:lvl>
  </w:abstractNum>
  <w:num w:numId="1" w16cid:durableId="1145313806">
    <w:abstractNumId w:val="13"/>
  </w:num>
  <w:num w:numId="2" w16cid:durableId="1774520296">
    <w:abstractNumId w:val="29"/>
  </w:num>
  <w:num w:numId="3" w16cid:durableId="794636187">
    <w:abstractNumId w:val="27"/>
  </w:num>
  <w:num w:numId="4" w16cid:durableId="230434047">
    <w:abstractNumId w:val="3"/>
  </w:num>
  <w:num w:numId="5" w16cid:durableId="200556052">
    <w:abstractNumId w:val="39"/>
  </w:num>
  <w:num w:numId="6" w16cid:durableId="1450855346">
    <w:abstractNumId w:val="30"/>
  </w:num>
  <w:num w:numId="7" w16cid:durableId="1823080999">
    <w:abstractNumId w:val="23"/>
  </w:num>
  <w:num w:numId="8" w16cid:durableId="2006013212">
    <w:abstractNumId w:val="8"/>
  </w:num>
  <w:num w:numId="9" w16cid:durableId="1003703756">
    <w:abstractNumId w:val="19"/>
  </w:num>
  <w:num w:numId="10" w16cid:durableId="1637953073">
    <w:abstractNumId w:val="16"/>
  </w:num>
  <w:num w:numId="11" w16cid:durableId="1197231703">
    <w:abstractNumId w:val="14"/>
  </w:num>
  <w:num w:numId="12" w16cid:durableId="742605278">
    <w:abstractNumId w:val="32"/>
  </w:num>
  <w:num w:numId="13" w16cid:durableId="830103753">
    <w:abstractNumId w:val="15"/>
  </w:num>
  <w:num w:numId="14" w16cid:durableId="57629569">
    <w:abstractNumId w:val="2"/>
  </w:num>
  <w:num w:numId="15" w16cid:durableId="696857045">
    <w:abstractNumId w:val="10"/>
  </w:num>
  <w:num w:numId="16" w16cid:durableId="236787752">
    <w:abstractNumId w:val="24"/>
  </w:num>
  <w:num w:numId="17" w16cid:durableId="1285429584">
    <w:abstractNumId w:val="6"/>
  </w:num>
  <w:num w:numId="18" w16cid:durableId="525797837">
    <w:abstractNumId w:val="18"/>
  </w:num>
  <w:num w:numId="19" w16cid:durableId="342167626">
    <w:abstractNumId w:val="28"/>
  </w:num>
  <w:num w:numId="20" w16cid:durableId="761147109">
    <w:abstractNumId w:val="7"/>
  </w:num>
  <w:num w:numId="21" w16cid:durableId="1793279047">
    <w:abstractNumId w:val="9"/>
  </w:num>
  <w:num w:numId="22" w16cid:durableId="1845322711">
    <w:abstractNumId w:val="34"/>
  </w:num>
  <w:num w:numId="23" w16cid:durableId="347370185">
    <w:abstractNumId w:val="26"/>
  </w:num>
  <w:num w:numId="24" w16cid:durableId="1924606080">
    <w:abstractNumId w:val="37"/>
  </w:num>
  <w:num w:numId="25" w16cid:durableId="1333872998">
    <w:abstractNumId w:val="17"/>
  </w:num>
  <w:num w:numId="26" w16cid:durableId="1310667609">
    <w:abstractNumId w:val="40"/>
  </w:num>
  <w:num w:numId="27" w16cid:durableId="715543379">
    <w:abstractNumId w:val="36"/>
  </w:num>
  <w:num w:numId="28" w16cid:durableId="436407051">
    <w:abstractNumId w:val="1"/>
  </w:num>
  <w:num w:numId="29" w16cid:durableId="1044672723">
    <w:abstractNumId w:val="5"/>
  </w:num>
  <w:num w:numId="30" w16cid:durableId="360672192">
    <w:abstractNumId w:val="21"/>
  </w:num>
  <w:num w:numId="31" w16cid:durableId="78019562">
    <w:abstractNumId w:val="0"/>
  </w:num>
  <w:num w:numId="32" w16cid:durableId="1674409605">
    <w:abstractNumId w:val="35"/>
  </w:num>
  <w:num w:numId="33" w16cid:durableId="1995257784">
    <w:abstractNumId w:val="11"/>
  </w:num>
  <w:num w:numId="34" w16cid:durableId="450318897">
    <w:abstractNumId w:val="4"/>
  </w:num>
  <w:num w:numId="35" w16cid:durableId="1400667721">
    <w:abstractNumId w:val="22"/>
  </w:num>
  <w:num w:numId="36" w16cid:durableId="1995403713">
    <w:abstractNumId w:val="20"/>
  </w:num>
  <w:num w:numId="37" w16cid:durableId="572159694">
    <w:abstractNumId w:val="38"/>
  </w:num>
  <w:num w:numId="38" w16cid:durableId="195656053">
    <w:abstractNumId w:val="33"/>
  </w:num>
  <w:num w:numId="39" w16cid:durableId="198592396">
    <w:abstractNumId w:val="31"/>
  </w:num>
  <w:num w:numId="40" w16cid:durableId="1414856853">
    <w:abstractNumId w:val="25"/>
  </w:num>
  <w:num w:numId="41" w16cid:durableId="629158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pt-BR" w:vendorID="64" w:dllVersion="0"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fr-CA" w:vendorID="64" w:dllVersion="0" w:nlCheck="1" w:checkStyle="0"/>
  <w:proofState w:spelling="clean" w:grammar="clean"/>
  <w:defaultTabStop w:val="720"/>
  <w:hyphenationZone w:val="425"/>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22F"/>
    <w:rsid w:val="000010D4"/>
    <w:rsid w:val="00002E24"/>
    <w:rsid w:val="00006ED5"/>
    <w:rsid w:val="00007D15"/>
    <w:rsid w:val="00015DBA"/>
    <w:rsid w:val="00023346"/>
    <w:rsid w:val="000264C4"/>
    <w:rsid w:val="00026AEF"/>
    <w:rsid w:val="00026F42"/>
    <w:rsid w:val="00030235"/>
    <w:rsid w:val="0003245D"/>
    <w:rsid w:val="00032D45"/>
    <w:rsid w:val="00034C00"/>
    <w:rsid w:val="00035DB8"/>
    <w:rsid w:val="00043366"/>
    <w:rsid w:val="0004403B"/>
    <w:rsid w:val="00047D85"/>
    <w:rsid w:val="00053D2E"/>
    <w:rsid w:val="00053FF3"/>
    <w:rsid w:val="00056F7E"/>
    <w:rsid w:val="00060DD1"/>
    <w:rsid w:val="00063249"/>
    <w:rsid w:val="00063CD0"/>
    <w:rsid w:val="00067A8B"/>
    <w:rsid w:val="00067AB5"/>
    <w:rsid w:val="0007001E"/>
    <w:rsid w:val="00070513"/>
    <w:rsid w:val="00070E7D"/>
    <w:rsid w:val="0007309E"/>
    <w:rsid w:val="00074265"/>
    <w:rsid w:val="0007482A"/>
    <w:rsid w:val="00075C30"/>
    <w:rsid w:val="000760CB"/>
    <w:rsid w:val="00084A56"/>
    <w:rsid w:val="00086420"/>
    <w:rsid w:val="000A18D0"/>
    <w:rsid w:val="000A7A59"/>
    <w:rsid w:val="000B0A26"/>
    <w:rsid w:val="000B17E0"/>
    <w:rsid w:val="000B7151"/>
    <w:rsid w:val="000C1DFB"/>
    <w:rsid w:val="000C7454"/>
    <w:rsid w:val="000D410F"/>
    <w:rsid w:val="000D443A"/>
    <w:rsid w:val="000E29FB"/>
    <w:rsid w:val="000E497B"/>
    <w:rsid w:val="000E5674"/>
    <w:rsid w:val="000F0680"/>
    <w:rsid w:val="000F3ACC"/>
    <w:rsid w:val="001014D3"/>
    <w:rsid w:val="001044DC"/>
    <w:rsid w:val="00105701"/>
    <w:rsid w:val="00106289"/>
    <w:rsid w:val="001150C9"/>
    <w:rsid w:val="00123017"/>
    <w:rsid w:val="001244AE"/>
    <w:rsid w:val="0012451D"/>
    <w:rsid w:val="00124DD4"/>
    <w:rsid w:val="00135759"/>
    <w:rsid w:val="00141240"/>
    <w:rsid w:val="00151146"/>
    <w:rsid w:val="001516E7"/>
    <w:rsid w:val="00156BC2"/>
    <w:rsid w:val="0016123B"/>
    <w:rsid w:val="00161400"/>
    <w:rsid w:val="00166D41"/>
    <w:rsid w:val="00171E9D"/>
    <w:rsid w:val="0017474C"/>
    <w:rsid w:val="00174DB3"/>
    <w:rsid w:val="0017640E"/>
    <w:rsid w:val="00183AE6"/>
    <w:rsid w:val="00185CEE"/>
    <w:rsid w:val="00190D9F"/>
    <w:rsid w:val="001950CE"/>
    <w:rsid w:val="0019741F"/>
    <w:rsid w:val="001978F6"/>
    <w:rsid w:val="00197942"/>
    <w:rsid w:val="001A40EE"/>
    <w:rsid w:val="001A55CC"/>
    <w:rsid w:val="001A5EA7"/>
    <w:rsid w:val="001B26CB"/>
    <w:rsid w:val="001B2B17"/>
    <w:rsid w:val="001B478A"/>
    <w:rsid w:val="001C0516"/>
    <w:rsid w:val="001C22B9"/>
    <w:rsid w:val="001C2D0F"/>
    <w:rsid w:val="001C40B5"/>
    <w:rsid w:val="001C4DA4"/>
    <w:rsid w:val="001C5131"/>
    <w:rsid w:val="001C7424"/>
    <w:rsid w:val="001D32D3"/>
    <w:rsid w:val="001D47A8"/>
    <w:rsid w:val="001D5161"/>
    <w:rsid w:val="001D6234"/>
    <w:rsid w:val="001E2639"/>
    <w:rsid w:val="001E32D9"/>
    <w:rsid w:val="001E33D9"/>
    <w:rsid w:val="001E563F"/>
    <w:rsid w:val="001F022B"/>
    <w:rsid w:val="001F2C1F"/>
    <w:rsid w:val="001F6B15"/>
    <w:rsid w:val="001F7E11"/>
    <w:rsid w:val="0020104C"/>
    <w:rsid w:val="00202B8B"/>
    <w:rsid w:val="00205BB6"/>
    <w:rsid w:val="00206075"/>
    <w:rsid w:val="00213DFE"/>
    <w:rsid w:val="00214438"/>
    <w:rsid w:val="0022022F"/>
    <w:rsid w:val="002211A4"/>
    <w:rsid w:val="00223A31"/>
    <w:rsid w:val="0022638D"/>
    <w:rsid w:val="002264EA"/>
    <w:rsid w:val="00227B0A"/>
    <w:rsid w:val="002301E9"/>
    <w:rsid w:val="00231DC4"/>
    <w:rsid w:val="00232E74"/>
    <w:rsid w:val="00233790"/>
    <w:rsid w:val="00233936"/>
    <w:rsid w:val="00234B54"/>
    <w:rsid w:val="00244344"/>
    <w:rsid w:val="00244E4B"/>
    <w:rsid w:val="0024623D"/>
    <w:rsid w:val="002474B6"/>
    <w:rsid w:val="002500B3"/>
    <w:rsid w:val="002506B6"/>
    <w:rsid w:val="0025071B"/>
    <w:rsid w:val="002565B3"/>
    <w:rsid w:val="0025744F"/>
    <w:rsid w:val="00260F3C"/>
    <w:rsid w:val="002615BA"/>
    <w:rsid w:val="00262DCB"/>
    <w:rsid w:val="002649A6"/>
    <w:rsid w:val="0026761B"/>
    <w:rsid w:val="00267A47"/>
    <w:rsid w:val="00270088"/>
    <w:rsid w:val="002761FB"/>
    <w:rsid w:val="0027642A"/>
    <w:rsid w:val="00277CA5"/>
    <w:rsid w:val="00280F75"/>
    <w:rsid w:val="002823A1"/>
    <w:rsid w:val="00283235"/>
    <w:rsid w:val="002839C1"/>
    <w:rsid w:val="00295FB4"/>
    <w:rsid w:val="00297534"/>
    <w:rsid w:val="0029755C"/>
    <w:rsid w:val="002A0C18"/>
    <w:rsid w:val="002A21A7"/>
    <w:rsid w:val="002A2A83"/>
    <w:rsid w:val="002A71FE"/>
    <w:rsid w:val="002B1941"/>
    <w:rsid w:val="002B74BB"/>
    <w:rsid w:val="002C0A2E"/>
    <w:rsid w:val="002C4F3F"/>
    <w:rsid w:val="002C5C11"/>
    <w:rsid w:val="002D028C"/>
    <w:rsid w:val="002D0407"/>
    <w:rsid w:val="002D2BA8"/>
    <w:rsid w:val="002D4DF7"/>
    <w:rsid w:val="002D73BD"/>
    <w:rsid w:val="002E2F7D"/>
    <w:rsid w:val="002E459A"/>
    <w:rsid w:val="002F0270"/>
    <w:rsid w:val="002F3303"/>
    <w:rsid w:val="002F38B8"/>
    <w:rsid w:val="002F4FEA"/>
    <w:rsid w:val="002F6355"/>
    <w:rsid w:val="002F7E71"/>
    <w:rsid w:val="003031AD"/>
    <w:rsid w:val="003062D7"/>
    <w:rsid w:val="00311315"/>
    <w:rsid w:val="0031196C"/>
    <w:rsid w:val="00313077"/>
    <w:rsid w:val="0031520B"/>
    <w:rsid w:val="00315CC5"/>
    <w:rsid w:val="003215FB"/>
    <w:rsid w:val="00326F6A"/>
    <w:rsid w:val="003307E0"/>
    <w:rsid w:val="00334C14"/>
    <w:rsid w:val="00335CC1"/>
    <w:rsid w:val="00337436"/>
    <w:rsid w:val="0034016F"/>
    <w:rsid w:val="0034287B"/>
    <w:rsid w:val="00344D52"/>
    <w:rsid w:val="00347F16"/>
    <w:rsid w:val="003503CF"/>
    <w:rsid w:val="00351D73"/>
    <w:rsid w:val="003549D7"/>
    <w:rsid w:val="00355389"/>
    <w:rsid w:val="00356F10"/>
    <w:rsid w:val="00361BA0"/>
    <w:rsid w:val="003631D7"/>
    <w:rsid w:val="003634A2"/>
    <w:rsid w:val="00365276"/>
    <w:rsid w:val="00366466"/>
    <w:rsid w:val="00380BA1"/>
    <w:rsid w:val="00382C14"/>
    <w:rsid w:val="00382F03"/>
    <w:rsid w:val="00383563"/>
    <w:rsid w:val="00385C63"/>
    <w:rsid w:val="00387BDF"/>
    <w:rsid w:val="00392C24"/>
    <w:rsid w:val="00392DE1"/>
    <w:rsid w:val="00392E93"/>
    <w:rsid w:val="00395F9C"/>
    <w:rsid w:val="00396972"/>
    <w:rsid w:val="00397959"/>
    <w:rsid w:val="003A3724"/>
    <w:rsid w:val="003A4B18"/>
    <w:rsid w:val="003B0558"/>
    <w:rsid w:val="003B06E6"/>
    <w:rsid w:val="003B3FBD"/>
    <w:rsid w:val="003B59A5"/>
    <w:rsid w:val="003C1314"/>
    <w:rsid w:val="003C2349"/>
    <w:rsid w:val="003C2B81"/>
    <w:rsid w:val="003C2BE7"/>
    <w:rsid w:val="003C2DD0"/>
    <w:rsid w:val="003D008A"/>
    <w:rsid w:val="003D06B0"/>
    <w:rsid w:val="003D2DBE"/>
    <w:rsid w:val="003E659E"/>
    <w:rsid w:val="003F0A52"/>
    <w:rsid w:val="003F240A"/>
    <w:rsid w:val="00401298"/>
    <w:rsid w:val="00401BAB"/>
    <w:rsid w:val="00402FDE"/>
    <w:rsid w:val="00403FCB"/>
    <w:rsid w:val="004073D2"/>
    <w:rsid w:val="004113B4"/>
    <w:rsid w:val="004144D1"/>
    <w:rsid w:val="00414FA4"/>
    <w:rsid w:val="00417C3B"/>
    <w:rsid w:val="00420216"/>
    <w:rsid w:val="00422F6C"/>
    <w:rsid w:val="00435CF8"/>
    <w:rsid w:val="004368DF"/>
    <w:rsid w:val="00437DFC"/>
    <w:rsid w:val="00441785"/>
    <w:rsid w:val="004425D6"/>
    <w:rsid w:val="00445C43"/>
    <w:rsid w:val="00447799"/>
    <w:rsid w:val="00451914"/>
    <w:rsid w:val="00451A67"/>
    <w:rsid w:val="00454278"/>
    <w:rsid w:val="00454445"/>
    <w:rsid w:val="00461FC3"/>
    <w:rsid w:val="00462353"/>
    <w:rsid w:val="00462DCE"/>
    <w:rsid w:val="00463CAB"/>
    <w:rsid w:val="00465B4E"/>
    <w:rsid w:val="0046712B"/>
    <w:rsid w:val="004707D5"/>
    <w:rsid w:val="0047640A"/>
    <w:rsid w:val="004817D7"/>
    <w:rsid w:val="004859C2"/>
    <w:rsid w:val="00487B97"/>
    <w:rsid w:val="004901E7"/>
    <w:rsid w:val="004968D1"/>
    <w:rsid w:val="00497DEE"/>
    <w:rsid w:val="004A0D98"/>
    <w:rsid w:val="004A2282"/>
    <w:rsid w:val="004A7742"/>
    <w:rsid w:val="004B17EA"/>
    <w:rsid w:val="004B3BF6"/>
    <w:rsid w:val="004B56D1"/>
    <w:rsid w:val="004B5F8F"/>
    <w:rsid w:val="004C0712"/>
    <w:rsid w:val="004C078B"/>
    <w:rsid w:val="004C2AEC"/>
    <w:rsid w:val="004C5116"/>
    <w:rsid w:val="004D2F15"/>
    <w:rsid w:val="004D4528"/>
    <w:rsid w:val="004D4F5F"/>
    <w:rsid w:val="004D5E2A"/>
    <w:rsid w:val="004D63D2"/>
    <w:rsid w:val="004D74C2"/>
    <w:rsid w:val="004E7086"/>
    <w:rsid w:val="004F2E68"/>
    <w:rsid w:val="004F2F25"/>
    <w:rsid w:val="004F38CD"/>
    <w:rsid w:val="005059DC"/>
    <w:rsid w:val="00505DA2"/>
    <w:rsid w:val="00506B9D"/>
    <w:rsid w:val="005114D9"/>
    <w:rsid w:val="005141C6"/>
    <w:rsid w:val="0051535F"/>
    <w:rsid w:val="005200FB"/>
    <w:rsid w:val="005216D1"/>
    <w:rsid w:val="00523CF7"/>
    <w:rsid w:val="00526991"/>
    <w:rsid w:val="00537F58"/>
    <w:rsid w:val="00543D52"/>
    <w:rsid w:val="00554470"/>
    <w:rsid w:val="00555CF9"/>
    <w:rsid w:val="0056050F"/>
    <w:rsid w:val="00563566"/>
    <w:rsid w:val="00570B90"/>
    <w:rsid w:val="00570E1B"/>
    <w:rsid w:val="005740C9"/>
    <w:rsid w:val="00575BAD"/>
    <w:rsid w:val="00575D55"/>
    <w:rsid w:val="005824B3"/>
    <w:rsid w:val="00583264"/>
    <w:rsid w:val="00587F8C"/>
    <w:rsid w:val="00591999"/>
    <w:rsid w:val="00593166"/>
    <w:rsid w:val="00596B5F"/>
    <w:rsid w:val="005B15B9"/>
    <w:rsid w:val="005B3541"/>
    <w:rsid w:val="005B620F"/>
    <w:rsid w:val="005C4B6D"/>
    <w:rsid w:val="005C50A2"/>
    <w:rsid w:val="005C5CB6"/>
    <w:rsid w:val="005C749F"/>
    <w:rsid w:val="005D062F"/>
    <w:rsid w:val="005D1B68"/>
    <w:rsid w:val="005D496F"/>
    <w:rsid w:val="005D4D4B"/>
    <w:rsid w:val="005D6E10"/>
    <w:rsid w:val="005D753C"/>
    <w:rsid w:val="005E6468"/>
    <w:rsid w:val="005E67CA"/>
    <w:rsid w:val="005E708D"/>
    <w:rsid w:val="005F2C83"/>
    <w:rsid w:val="005F30B1"/>
    <w:rsid w:val="005F68EC"/>
    <w:rsid w:val="00600D0A"/>
    <w:rsid w:val="0060113E"/>
    <w:rsid w:val="006012BE"/>
    <w:rsid w:val="006016AD"/>
    <w:rsid w:val="00603D26"/>
    <w:rsid w:val="006043B4"/>
    <w:rsid w:val="00607C5E"/>
    <w:rsid w:val="00607D18"/>
    <w:rsid w:val="00612D53"/>
    <w:rsid w:val="006152EE"/>
    <w:rsid w:val="006260A0"/>
    <w:rsid w:val="00630EF2"/>
    <w:rsid w:val="00632696"/>
    <w:rsid w:val="006370C4"/>
    <w:rsid w:val="00642220"/>
    <w:rsid w:val="00650CA2"/>
    <w:rsid w:val="00653D80"/>
    <w:rsid w:val="006542C0"/>
    <w:rsid w:val="006550B9"/>
    <w:rsid w:val="00656DAD"/>
    <w:rsid w:val="00657369"/>
    <w:rsid w:val="00657864"/>
    <w:rsid w:val="006700A8"/>
    <w:rsid w:val="006701A1"/>
    <w:rsid w:val="00674601"/>
    <w:rsid w:val="0067583B"/>
    <w:rsid w:val="0068156E"/>
    <w:rsid w:val="00682133"/>
    <w:rsid w:val="006828EA"/>
    <w:rsid w:val="00682B03"/>
    <w:rsid w:val="006878E3"/>
    <w:rsid w:val="00696758"/>
    <w:rsid w:val="00697B86"/>
    <w:rsid w:val="00697D7D"/>
    <w:rsid w:val="006A27E3"/>
    <w:rsid w:val="006A44E4"/>
    <w:rsid w:val="006A6921"/>
    <w:rsid w:val="006B4D36"/>
    <w:rsid w:val="006B7FE1"/>
    <w:rsid w:val="006C0224"/>
    <w:rsid w:val="006C0408"/>
    <w:rsid w:val="006C38FA"/>
    <w:rsid w:val="006C5239"/>
    <w:rsid w:val="006C54A2"/>
    <w:rsid w:val="006C6986"/>
    <w:rsid w:val="006C6EE4"/>
    <w:rsid w:val="006C7FF8"/>
    <w:rsid w:val="006D3BBF"/>
    <w:rsid w:val="006E05BC"/>
    <w:rsid w:val="006E1BAB"/>
    <w:rsid w:val="006E3B11"/>
    <w:rsid w:val="006E4483"/>
    <w:rsid w:val="006E7478"/>
    <w:rsid w:val="006F08BC"/>
    <w:rsid w:val="006F5958"/>
    <w:rsid w:val="007025D5"/>
    <w:rsid w:val="00703CB3"/>
    <w:rsid w:val="00704809"/>
    <w:rsid w:val="00704E20"/>
    <w:rsid w:val="00705AAC"/>
    <w:rsid w:val="007130B5"/>
    <w:rsid w:val="007132D8"/>
    <w:rsid w:val="00714F10"/>
    <w:rsid w:val="00723DAD"/>
    <w:rsid w:val="00723E5D"/>
    <w:rsid w:val="00726BEA"/>
    <w:rsid w:val="00727E06"/>
    <w:rsid w:val="0073026A"/>
    <w:rsid w:val="007315B0"/>
    <w:rsid w:val="007322D4"/>
    <w:rsid w:val="00737C6C"/>
    <w:rsid w:val="0074320E"/>
    <w:rsid w:val="0074336B"/>
    <w:rsid w:val="00745A2A"/>
    <w:rsid w:val="00746168"/>
    <w:rsid w:val="00747CCA"/>
    <w:rsid w:val="007511BA"/>
    <w:rsid w:val="00755D7C"/>
    <w:rsid w:val="00756B6D"/>
    <w:rsid w:val="00757E43"/>
    <w:rsid w:val="007611E3"/>
    <w:rsid w:val="0076146E"/>
    <w:rsid w:val="00761F20"/>
    <w:rsid w:val="00765055"/>
    <w:rsid w:val="00770DE6"/>
    <w:rsid w:val="00774906"/>
    <w:rsid w:val="00774EE4"/>
    <w:rsid w:val="00777297"/>
    <w:rsid w:val="00777AF2"/>
    <w:rsid w:val="007818BC"/>
    <w:rsid w:val="00784AE3"/>
    <w:rsid w:val="00790EF2"/>
    <w:rsid w:val="007938F7"/>
    <w:rsid w:val="007A05A2"/>
    <w:rsid w:val="007A131D"/>
    <w:rsid w:val="007A334F"/>
    <w:rsid w:val="007B046E"/>
    <w:rsid w:val="007B0804"/>
    <w:rsid w:val="007B4162"/>
    <w:rsid w:val="007B6741"/>
    <w:rsid w:val="007B77AB"/>
    <w:rsid w:val="007C0814"/>
    <w:rsid w:val="007C29F0"/>
    <w:rsid w:val="007C5027"/>
    <w:rsid w:val="007C7FCE"/>
    <w:rsid w:val="007D30CA"/>
    <w:rsid w:val="007D4B57"/>
    <w:rsid w:val="007D5150"/>
    <w:rsid w:val="007E2D8E"/>
    <w:rsid w:val="007E6660"/>
    <w:rsid w:val="007F2445"/>
    <w:rsid w:val="007F35F6"/>
    <w:rsid w:val="007F7619"/>
    <w:rsid w:val="0080113B"/>
    <w:rsid w:val="00802959"/>
    <w:rsid w:val="00802F7C"/>
    <w:rsid w:val="00811833"/>
    <w:rsid w:val="008127F7"/>
    <w:rsid w:val="00827260"/>
    <w:rsid w:val="008307EE"/>
    <w:rsid w:val="00830C24"/>
    <w:rsid w:val="008344E5"/>
    <w:rsid w:val="0084346B"/>
    <w:rsid w:val="00846352"/>
    <w:rsid w:val="008512B9"/>
    <w:rsid w:val="00852553"/>
    <w:rsid w:val="00852D78"/>
    <w:rsid w:val="0085463B"/>
    <w:rsid w:val="00856921"/>
    <w:rsid w:val="00857FCF"/>
    <w:rsid w:val="008632B7"/>
    <w:rsid w:val="0086404E"/>
    <w:rsid w:val="00880239"/>
    <w:rsid w:val="00883D10"/>
    <w:rsid w:val="00886D41"/>
    <w:rsid w:val="00887BE3"/>
    <w:rsid w:val="00891A67"/>
    <w:rsid w:val="008954DC"/>
    <w:rsid w:val="00897AF2"/>
    <w:rsid w:val="008A0962"/>
    <w:rsid w:val="008A1A5F"/>
    <w:rsid w:val="008A2262"/>
    <w:rsid w:val="008A5C05"/>
    <w:rsid w:val="008A5D55"/>
    <w:rsid w:val="008A6E03"/>
    <w:rsid w:val="008B35D9"/>
    <w:rsid w:val="008B44F9"/>
    <w:rsid w:val="008B4A98"/>
    <w:rsid w:val="008C1A5B"/>
    <w:rsid w:val="008C2A72"/>
    <w:rsid w:val="008D06DA"/>
    <w:rsid w:val="008D1F59"/>
    <w:rsid w:val="008D2331"/>
    <w:rsid w:val="008D58EF"/>
    <w:rsid w:val="008D5918"/>
    <w:rsid w:val="008D6781"/>
    <w:rsid w:val="008D6794"/>
    <w:rsid w:val="008D7533"/>
    <w:rsid w:val="008E24A2"/>
    <w:rsid w:val="008E55C8"/>
    <w:rsid w:val="008E5D72"/>
    <w:rsid w:val="008E77CD"/>
    <w:rsid w:val="008E7A13"/>
    <w:rsid w:val="008E7DCC"/>
    <w:rsid w:val="008F36EC"/>
    <w:rsid w:val="008F3CFD"/>
    <w:rsid w:val="008F7F23"/>
    <w:rsid w:val="00901F40"/>
    <w:rsid w:val="00902AB5"/>
    <w:rsid w:val="00903430"/>
    <w:rsid w:val="0091142D"/>
    <w:rsid w:val="00911EEF"/>
    <w:rsid w:val="00914112"/>
    <w:rsid w:val="00915887"/>
    <w:rsid w:val="009211CD"/>
    <w:rsid w:val="00921BC4"/>
    <w:rsid w:val="0092634C"/>
    <w:rsid w:val="00931221"/>
    <w:rsid w:val="00931836"/>
    <w:rsid w:val="00933527"/>
    <w:rsid w:val="00933951"/>
    <w:rsid w:val="00937D65"/>
    <w:rsid w:val="00940067"/>
    <w:rsid w:val="00940F19"/>
    <w:rsid w:val="0094654F"/>
    <w:rsid w:val="0095406C"/>
    <w:rsid w:val="009603E2"/>
    <w:rsid w:val="00960F2C"/>
    <w:rsid w:val="0096279A"/>
    <w:rsid w:val="00962984"/>
    <w:rsid w:val="009661C1"/>
    <w:rsid w:val="00973042"/>
    <w:rsid w:val="00977197"/>
    <w:rsid w:val="00985D82"/>
    <w:rsid w:val="009939C5"/>
    <w:rsid w:val="0099633F"/>
    <w:rsid w:val="00996DC7"/>
    <w:rsid w:val="009A0602"/>
    <w:rsid w:val="009A1EDB"/>
    <w:rsid w:val="009B0089"/>
    <w:rsid w:val="009B1A98"/>
    <w:rsid w:val="009B1C83"/>
    <w:rsid w:val="009C0C40"/>
    <w:rsid w:val="009C19FE"/>
    <w:rsid w:val="009D5152"/>
    <w:rsid w:val="009D6806"/>
    <w:rsid w:val="009E1D78"/>
    <w:rsid w:val="009F0102"/>
    <w:rsid w:val="009F0218"/>
    <w:rsid w:val="009F0DD6"/>
    <w:rsid w:val="009F4037"/>
    <w:rsid w:val="009F53F1"/>
    <w:rsid w:val="009F6016"/>
    <w:rsid w:val="00A05458"/>
    <w:rsid w:val="00A056D1"/>
    <w:rsid w:val="00A05F17"/>
    <w:rsid w:val="00A06E1C"/>
    <w:rsid w:val="00A07D1E"/>
    <w:rsid w:val="00A147B6"/>
    <w:rsid w:val="00A26803"/>
    <w:rsid w:val="00A30900"/>
    <w:rsid w:val="00A427C5"/>
    <w:rsid w:val="00A46D25"/>
    <w:rsid w:val="00A5022D"/>
    <w:rsid w:val="00A52779"/>
    <w:rsid w:val="00A53906"/>
    <w:rsid w:val="00A548F6"/>
    <w:rsid w:val="00A55AC9"/>
    <w:rsid w:val="00A56CB6"/>
    <w:rsid w:val="00A56E61"/>
    <w:rsid w:val="00A646D3"/>
    <w:rsid w:val="00A65E7A"/>
    <w:rsid w:val="00A72960"/>
    <w:rsid w:val="00A73DB9"/>
    <w:rsid w:val="00A75CEF"/>
    <w:rsid w:val="00A75D09"/>
    <w:rsid w:val="00A8021B"/>
    <w:rsid w:val="00A81285"/>
    <w:rsid w:val="00A844A7"/>
    <w:rsid w:val="00A861CF"/>
    <w:rsid w:val="00A900C8"/>
    <w:rsid w:val="00A9257E"/>
    <w:rsid w:val="00A9359E"/>
    <w:rsid w:val="00AB4C70"/>
    <w:rsid w:val="00AB57A0"/>
    <w:rsid w:val="00AB67B9"/>
    <w:rsid w:val="00AC0FD0"/>
    <w:rsid w:val="00AD4DBC"/>
    <w:rsid w:val="00AD5D34"/>
    <w:rsid w:val="00AE0659"/>
    <w:rsid w:val="00AE49AF"/>
    <w:rsid w:val="00AE5375"/>
    <w:rsid w:val="00AE6E12"/>
    <w:rsid w:val="00AF0653"/>
    <w:rsid w:val="00AF428B"/>
    <w:rsid w:val="00AF7726"/>
    <w:rsid w:val="00B03FBF"/>
    <w:rsid w:val="00B04A50"/>
    <w:rsid w:val="00B054C0"/>
    <w:rsid w:val="00B06522"/>
    <w:rsid w:val="00B06C46"/>
    <w:rsid w:val="00B114BC"/>
    <w:rsid w:val="00B14354"/>
    <w:rsid w:val="00B20338"/>
    <w:rsid w:val="00B208F6"/>
    <w:rsid w:val="00B20FDC"/>
    <w:rsid w:val="00B247A4"/>
    <w:rsid w:val="00B2550C"/>
    <w:rsid w:val="00B25E7B"/>
    <w:rsid w:val="00B265B9"/>
    <w:rsid w:val="00B2795B"/>
    <w:rsid w:val="00B27D79"/>
    <w:rsid w:val="00B31F3D"/>
    <w:rsid w:val="00B32F27"/>
    <w:rsid w:val="00B333AC"/>
    <w:rsid w:val="00B33E89"/>
    <w:rsid w:val="00B341F2"/>
    <w:rsid w:val="00B345A4"/>
    <w:rsid w:val="00B35FD8"/>
    <w:rsid w:val="00B40953"/>
    <w:rsid w:val="00B46A1B"/>
    <w:rsid w:val="00B6431A"/>
    <w:rsid w:val="00B67832"/>
    <w:rsid w:val="00B81C81"/>
    <w:rsid w:val="00B8239E"/>
    <w:rsid w:val="00B832AD"/>
    <w:rsid w:val="00B870D5"/>
    <w:rsid w:val="00B90A02"/>
    <w:rsid w:val="00B91749"/>
    <w:rsid w:val="00B94146"/>
    <w:rsid w:val="00B95352"/>
    <w:rsid w:val="00BA40C8"/>
    <w:rsid w:val="00BB2314"/>
    <w:rsid w:val="00BB2532"/>
    <w:rsid w:val="00BB6247"/>
    <w:rsid w:val="00BB659A"/>
    <w:rsid w:val="00BB7659"/>
    <w:rsid w:val="00BB78EC"/>
    <w:rsid w:val="00BC32BD"/>
    <w:rsid w:val="00BC51C0"/>
    <w:rsid w:val="00BC56D0"/>
    <w:rsid w:val="00BC7DB3"/>
    <w:rsid w:val="00BD1795"/>
    <w:rsid w:val="00BD4217"/>
    <w:rsid w:val="00BD4779"/>
    <w:rsid w:val="00BD78E0"/>
    <w:rsid w:val="00BE059A"/>
    <w:rsid w:val="00BE396E"/>
    <w:rsid w:val="00BE3F2D"/>
    <w:rsid w:val="00BF0A1C"/>
    <w:rsid w:val="00BF1E64"/>
    <w:rsid w:val="00BF2130"/>
    <w:rsid w:val="00BF49B3"/>
    <w:rsid w:val="00BF4B76"/>
    <w:rsid w:val="00BF575E"/>
    <w:rsid w:val="00BF5BC0"/>
    <w:rsid w:val="00C00A21"/>
    <w:rsid w:val="00C0204A"/>
    <w:rsid w:val="00C05579"/>
    <w:rsid w:val="00C16994"/>
    <w:rsid w:val="00C175C9"/>
    <w:rsid w:val="00C213DE"/>
    <w:rsid w:val="00C24582"/>
    <w:rsid w:val="00C2663A"/>
    <w:rsid w:val="00C315B6"/>
    <w:rsid w:val="00C3751E"/>
    <w:rsid w:val="00C437CB"/>
    <w:rsid w:val="00C44A77"/>
    <w:rsid w:val="00C45B74"/>
    <w:rsid w:val="00C613AA"/>
    <w:rsid w:val="00C619C8"/>
    <w:rsid w:val="00C6516E"/>
    <w:rsid w:val="00C65FD3"/>
    <w:rsid w:val="00C67D84"/>
    <w:rsid w:val="00C7196E"/>
    <w:rsid w:val="00C81060"/>
    <w:rsid w:val="00C83F24"/>
    <w:rsid w:val="00C83F55"/>
    <w:rsid w:val="00C92F1E"/>
    <w:rsid w:val="00C93541"/>
    <w:rsid w:val="00C96196"/>
    <w:rsid w:val="00C9711E"/>
    <w:rsid w:val="00CA2F8E"/>
    <w:rsid w:val="00CA38CB"/>
    <w:rsid w:val="00CB030B"/>
    <w:rsid w:val="00CB27C5"/>
    <w:rsid w:val="00CB28A9"/>
    <w:rsid w:val="00CB2B58"/>
    <w:rsid w:val="00CB430F"/>
    <w:rsid w:val="00CC223D"/>
    <w:rsid w:val="00CC5824"/>
    <w:rsid w:val="00CD130A"/>
    <w:rsid w:val="00CD6CE6"/>
    <w:rsid w:val="00CE35D2"/>
    <w:rsid w:val="00CF18F1"/>
    <w:rsid w:val="00CF1B8D"/>
    <w:rsid w:val="00CF24B0"/>
    <w:rsid w:val="00D071DE"/>
    <w:rsid w:val="00D076CF"/>
    <w:rsid w:val="00D12E1A"/>
    <w:rsid w:val="00D13B80"/>
    <w:rsid w:val="00D2457B"/>
    <w:rsid w:val="00D25C2D"/>
    <w:rsid w:val="00D26AF2"/>
    <w:rsid w:val="00D27A0C"/>
    <w:rsid w:val="00D3071C"/>
    <w:rsid w:val="00D321C7"/>
    <w:rsid w:val="00D33178"/>
    <w:rsid w:val="00D44305"/>
    <w:rsid w:val="00D449B6"/>
    <w:rsid w:val="00D44F63"/>
    <w:rsid w:val="00D4628D"/>
    <w:rsid w:val="00D47F68"/>
    <w:rsid w:val="00D54261"/>
    <w:rsid w:val="00D81009"/>
    <w:rsid w:val="00D8592F"/>
    <w:rsid w:val="00D8692A"/>
    <w:rsid w:val="00D869A2"/>
    <w:rsid w:val="00D944D2"/>
    <w:rsid w:val="00D9541C"/>
    <w:rsid w:val="00DA3FDF"/>
    <w:rsid w:val="00DA51E5"/>
    <w:rsid w:val="00DA5E85"/>
    <w:rsid w:val="00DB0244"/>
    <w:rsid w:val="00DB1F46"/>
    <w:rsid w:val="00DB321A"/>
    <w:rsid w:val="00DC0D51"/>
    <w:rsid w:val="00DD5BE0"/>
    <w:rsid w:val="00DE02BA"/>
    <w:rsid w:val="00DE2741"/>
    <w:rsid w:val="00DF370C"/>
    <w:rsid w:val="00DF3AF3"/>
    <w:rsid w:val="00E01782"/>
    <w:rsid w:val="00E02C34"/>
    <w:rsid w:val="00E0382E"/>
    <w:rsid w:val="00E04E08"/>
    <w:rsid w:val="00E05025"/>
    <w:rsid w:val="00E06CD3"/>
    <w:rsid w:val="00E06DE1"/>
    <w:rsid w:val="00E073A5"/>
    <w:rsid w:val="00E11026"/>
    <w:rsid w:val="00E114D4"/>
    <w:rsid w:val="00E131EA"/>
    <w:rsid w:val="00E15D9A"/>
    <w:rsid w:val="00E1687A"/>
    <w:rsid w:val="00E247A7"/>
    <w:rsid w:val="00E3364C"/>
    <w:rsid w:val="00E34B9C"/>
    <w:rsid w:val="00E409C2"/>
    <w:rsid w:val="00E423F2"/>
    <w:rsid w:val="00E42D96"/>
    <w:rsid w:val="00E437C9"/>
    <w:rsid w:val="00E50F72"/>
    <w:rsid w:val="00E53EB5"/>
    <w:rsid w:val="00E57626"/>
    <w:rsid w:val="00E633AC"/>
    <w:rsid w:val="00E663E6"/>
    <w:rsid w:val="00E670B5"/>
    <w:rsid w:val="00E73129"/>
    <w:rsid w:val="00E73E02"/>
    <w:rsid w:val="00E7555B"/>
    <w:rsid w:val="00E81C89"/>
    <w:rsid w:val="00E85D19"/>
    <w:rsid w:val="00E90D13"/>
    <w:rsid w:val="00E97409"/>
    <w:rsid w:val="00EA3A90"/>
    <w:rsid w:val="00EB09BD"/>
    <w:rsid w:val="00EB37E7"/>
    <w:rsid w:val="00EB3FC0"/>
    <w:rsid w:val="00EB478E"/>
    <w:rsid w:val="00EB5440"/>
    <w:rsid w:val="00EB5DB4"/>
    <w:rsid w:val="00EB68C0"/>
    <w:rsid w:val="00EC18AA"/>
    <w:rsid w:val="00EC458A"/>
    <w:rsid w:val="00EC71D8"/>
    <w:rsid w:val="00ED2DE8"/>
    <w:rsid w:val="00ED69F7"/>
    <w:rsid w:val="00ED78BF"/>
    <w:rsid w:val="00ED7A8E"/>
    <w:rsid w:val="00EE20D3"/>
    <w:rsid w:val="00EE3694"/>
    <w:rsid w:val="00EE3754"/>
    <w:rsid w:val="00EE75BE"/>
    <w:rsid w:val="00F02923"/>
    <w:rsid w:val="00F03105"/>
    <w:rsid w:val="00F0346D"/>
    <w:rsid w:val="00F103AE"/>
    <w:rsid w:val="00F1441E"/>
    <w:rsid w:val="00F15A1B"/>
    <w:rsid w:val="00F17BA3"/>
    <w:rsid w:val="00F21F21"/>
    <w:rsid w:val="00F22109"/>
    <w:rsid w:val="00F2647E"/>
    <w:rsid w:val="00F328E6"/>
    <w:rsid w:val="00F34736"/>
    <w:rsid w:val="00F357C2"/>
    <w:rsid w:val="00F363A7"/>
    <w:rsid w:val="00F36898"/>
    <w:rsid w:val="00F4186C"/>
    <w:rsid w:val="00F42DD0"/>
    <w:rsid w:val="00F46F2B"/>
    <w:rsid w:val="00F57435"/>
    <w:rsid w:val="00F61725"/>
    <w:rsid w:val="00F70F5C"/>
    <w:rsid w:val="00F778C1"/>
    <w:rsid w:val="00F77E5F"/>
    <w:rsid w:val="00F81044"/>
    <w:rsid w:val="00F81B4E"/>
    <w:rsid w:val="00F8244E"/>
    <w:rsid w:val="00F82FD5"/>
    <w:rsid w:val="00F85024"/>
    <w:rsid w:val="00F86E25"/>
    <w:rsid w:val="00F900B3"/>
    <w:rsid w:val="00F91DD9"/>
    <w:rsid w:val="00F94BAE"/>
    <w:rsid w:val="00F95CD7"/>
    <w:rsid w:val="00FA052F"/>
    <w:rsid w:val="00FA4EDE"/>
    <w:rsid w:val="00FA78B8"/>
    <w:rsid w:val="00FB3C2A"/>
    <w:rsid w:val="00FB3E01"/>
    <w:rsid w:val="00FB4ADF"/>
    <w:rsid w:val="00FC03D6"/>
    <w:rsid w:val="00FC18B1"/>
    <w:rsid w:val="00FC65A2"/>
    <w:rsid w:val="00FC7C4A"/>
    <w:rsid w:val="00FD13F3"/>
    <w:rsid w:val="00FD1876"/>
    <w:rsid w:val="00FD1A77"/>
    <w:rsid w:val="00FE3880"/>
    <w:rsid w:val="00FE3CED"/>
    <w:rsid w:val="00FF0178"/>
    <w:rsid w:val="00FF1AA0"/>
    <w:rsid w:val="00FF28C6"/>
    <w:rsid w:val="00FF64A3"/>
    <w:rsid w:val="00FF7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333BC36"/>
  <w15:docId w15:val="{796EB54A-041B-4005-A3DA-0EF09142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2E24"/>
    <w:pPr>
      <w:pBdr>
        <w:bottom w:val="single" w:sz="6" w:space="1" w:color="auto"/>
      </w:pBdr>
      <w:outlineLvl w:val="0"/>
    </w:pPr>
    <w:rPr>
      <w:rFonts w:ascii="Times New Roman" w:hAnsi="Times New Roman" w:cs="Times New Roman"/>
      <w:b/>
      <w:bCs/>
      <w:sz w:val="22"/>
      <w:szCs w:val="22"/>
      <w:lang w:val="fr-FR"/>
    </w:rPr>
  </w:style>
  <w:style w:type="paragraph" w:styleId="Heading2">
    <w:name w:val="heading 2"/>
    <w:basedOn w:val="Normal"/>
    <w:next w:val="Normal"/>
    <w:link w:val="Heading2Char"/>
    <w:uiPriority w:val="9"/>
    <w:unhideWhenUsed/>
    <w:qFormat/>
    <w:rsid w:val="002D4DF7"/>
    <w:pPr>
      <w:contextualSpacing/>
      <w:outlineLvl w:val="1"/>
    </w:pPr>
    <w:rPr>
      <w:rFonts w:ascii="Times New Roman" w:eastAsia="Cambria" w:hAnsi="Times New Roman" w:cs="Times New Roman"/>
      <w:b/>
      <w:bCs/>
      <w:color w:val="000000" w:themeColor="text1"/>
      <w:sz w:val="22"/>
      <w:szCs w:val="22"/>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022F"/>
    <w:pPr>
      <w:tabs>
        <w:tab w:val="center" w:pos="4513"/>
        <w:tab w:val="right" w:pos="9026"/>
      </w:tabs>
    </w:pPr>
  </w:style>
  <w:style w:type="character" w:customStyle="1" w:styleId="FooterChar">
    <w:name w:val="Footer Char"/>
    <w:basedOn w:val="DefaultParagraphFont"/>
    <w:link w:val="Footer"/>
    <w:uiPriority w:val="99"/>
    <w:rsid w:val="0022022F"/>
  </w:style>
  <w:style w:type="character" w:styleId="PageNumber">
    <w:name w:val="page number"/>
    <w:basedOn w:val="DefaultParagraphFont"/>
    <w:uiPriority w:val="99"/>
    <w:semiHidden/>
    <w:unhideWhenUsed/>
    <w:rsid w:val="0022022F"/>
  </w:style>
  <w:style w:type="paragraph" w:styleId="Header">
    <w:name w:val="header"/>
    <w:aliases w:val="encabezado"/>
    <w:basedOn w:val="Normal"/>
    <w:link w:val="HeaderChar"/>
    <w:uiPriority w:val="99"/>
    <w:unhideWhenUsed/>
    <w:rsid w:val="00ED78BF"/>
    <w:pPr>
      <w:tabs>
        <w:tab w:val="center" w:pos="4513"/>
        <w:tab w:val="right" w:pos="9026"/>
      </w:tabs>
    </w:pPr>
  </w:style>
  <w:style w:type="character" w:customStyle="1" w:styleId="HeaderChar">
    <w:name w:val="Header Char"/>
    <w:aliases w:val="encabezado Char"/>
    <w:basedOn w:val="DefaultParagraphFont"/>
    <w:link w:val="Header"/>
    <w:uiPriority w:val="99"/>
    <w:rsid w:val="00ED78BF"/>
  </w:style>
  <w:style w:type="character" w:styleId="Hyperlink">
    <w:name w:val="Hyperlink"/>
    <w:basedOn w:val="DefaultParagraphFont"/>
    <w:uiPriority w:val="99"/>
    <w:unhideWhenUsed/>
    <w:rsid w:val="00ED78BF"/>
    <w:rPr>
      <w:color w:val="0563C1" w:themeColor="hyperlink"/>
      <w:u w:val="single"/>
    </w:rPr>
  </w:style>
  <w:style w:type="character" w:customStyle="1" w:styleId="UnresolvedMention1">
    <w:name w:val="Unresolved Mention1"/>
    <w:basedOn w:val="DefaultParagraphFont"/>
    <w:uiPriority w:val="99"/>
    <w:semiHidden/>
    <w:unhideWhenUsed/>
    <w:rsid w:val="00ED78BF"/>
    <w:rPr>
      <w:color w:val="605E5C"/>
      <w:shd w:val="clear" w:color="auto" w:fill="E1DFDD"/>
    </w:rPr>
  </w:style>
  <w:style w:type="paragraph" w:styleId="ListParagraph">
    <w:name w:val="List Paragraph"/>
    <w:aliases w:val="Fundamentacion,Bulleted List,SubPárrafo de lista"/>
    <w:basedOn w:val="Normal"/>
    <w:link w:val="ListParagraphChar"/>
    <w:uiPriority w:val="34"/>
    <w:qFormat/>
    <w:rsid w:val="00ED78BF"/>
    <w:pPr>
      <w:ind w:left="720"/>
    </w:pPr>
    <w:rPr>
      <w:rFonts w:ascii="Times New Roman" w:eastAsia="Calibri" w:hAnsi="Times New Roman" w:cs="Times New Roman"/>
      <w:lang w:val="en-US"/>
    </w:rPr>
  </w:style>
  <w:style w:type="paragraph" w:styleId="NormalWeb">
    <w:name w:val="Normal (Web)"/>
    <w:basedOn w:val="Normal"/>
    <w:uiPriority w:val="99"/>
    <w:unhideWhenUsed/>
    <w:rsid w:val="00ED78BF"/>
    <w:pPr>
      <w:spacing w:before="100" w:beforeAutospacing="1" w:after="100" w:afterAutospacing="1"/>
    </w:pPr>
    <w:rPr>
      <w:rFonts w:ascii="Times New Roman" w:eastAsia="Times New Roman" w:hAnsi="Times New Roman" w:cs="Times New Roman"/>
      <w:lang w:val="en-US"/>
    </w:rPr>
  </w:style>
  <w:style w:type="character" w:customStyle="1" w:styleId="ListParagraphChar">
    <w:name w:val="List Paragraph Char"/>
    <w:aliases w:val="Fundamentacion Char,Bulleted List Char,SubPárrafo de lista Char"/>
    <w:link w:val="ListParagraph"/>
    <w:uiPriority w:val="34"/>
    <w:locked/>
    <w:rsid w:val="00ED78BF"/>
    <w:rPr>
      <w:rFonts w:ascii="Times New Roman" w:eastAsia="Calibri" w:hAnsi="Times New Roman" w:cs="Times New Roman"/>
      <w:lang w:val="en-US"/>
    </w:rPr>
  </w:style>
  <w:style w:type="paragraph" w:customStyle="1" w:styleId="paragraph">
    <w:name w:val="paragraph"/>
    <w:basedOn w:val="Normal"/>
    <w:rsid w:val="00ED78BF"/>
    <w:pPr>
      <w:spacing w:before="100" w:beforeAutospacing="1" w:after="100" w:afterAutospacing="1"/>
    </w:pPr>
    <w:rPr>
      <w:rFonts w:ascii="Times New Roman" w:hAnsi="Times New Roman" w:cs="Times New Roman"/>
      <w:lang w:val="en-US"/>
    </w:rPr>
  </w:style>
  <w:style w:type="character" w:customStyle="1" w:styleId="Heading1Char">
    <w:name w:val="Heading 1 Char"/>
    <w:basedOn w:val="DefaultParagraphFont"/>
    <w:link w:val="Heading1"/>
    <w:uiPriority w:val="9"/>
    <w:rsid w:val="00002E24"/>
    <w:rPr>
      <w:rFonts w:ascii="Times New Roman" w:hAnsi="Times New Roman" w:cs="Times New Roman"/>
      <w:b/>
      <w:bCs/>
      <w:sz w:val="22"/>
      <w:szCs w:val="22"/>
      <w:lang w:val="fr-FR"/>
    </w:rPr>
  </w:style>
  <w:style w:type="paragraph" w:styleId="NoSpacing">
    <w:name w:val="No Spacing"/>
    <w:link w:val="NoSpacingChar"/>
    <w:uiPriority w:val="1"/>
    <w:qFormat/>
    <w:rsid w:val="007818BC"/>
    <w:rPr>
      <w:rFonts w:ascii="Calibri" w:eastAsia="Calibri" w:hAnsi="Calibri" w:cs="Times New Roman"/>
      <w:sz w:val="22"/>
      <w:szCs w:val="22"/>
      <w:lang w:val="es-ES"/>
    </w:rPr>
  </w:style>
  <w:style w:type="character" w:customStyle="1" w:styleId="NoSpacingChar">
    <w:name w:val="No Spacing Char"/>
    <w:link w:val="NoSpacing"/>
    <w:uiPriority w:val="1"/>
    <w:locked/>
    <w:rsid w:val="007818BC"/>
    <w:rPr>
      <w:rFonts w:ascii="Calibri" w:eastAsia="Calibri" w:hAnsi="Calibri" w:cs="Times New Roman"/>
      <w:sz w:val="22"/>
      <w:szCs w:val="22"/>
      <w:lang w:val="es-ES"/>
    </w:rPr>
  </w:style>
  <w:style w:type="paragraph" w:styleId="PlainText">
    <w:name w:val="Plain Text"/>
    <w:basedOn w:val="Normal"/>
    <w:link w:val="PlainTextChar"/>
    <w:uiPriority w:val="99"/>
    <w:unhideWhenUsed/>
    <w:rsid w:val="00B870D5"/>
    <w:rPr>
      <w:rFonts w:ascii="Courier New" w:eastAsia="Calibri" w:hAnsi="Courier New" w:cs="Courier New"/>
      <w:sz w:val="20"/>
      <w:szCs w:val="20"/>
      <w:lang w:val="en-US"/>
    </w:rPr>
  </w:style>
  <w:style w:type="character" w:customStyle="1" w:styleId="PlainTextChar">
    <w:name w:val="Plain Text Char"/>
    <w:basedOn w:val="DefaultParagraphFont"/>
    <w:link w:val="PlainText"/>
    <w:uiPriority w:val="99"/>
    <w:rsid w:val="00B870D5"/>
    <w:rPr>
      <w:rFonts w:ascii="Courier New" w:eastAsia="Calibri" w:hAnsi="Courier New" w:cs="Courier New"/>
      <w:sz w:val="20"/>
      <w:szCs w:val="20"/>
      <w:lang w:val="en-US"/>
    </w:rPr>
  </w:style>
  <w:style w:type="character" w:styleId="Strong">
    <w:name w:val="Strong"/>
    <w:basedOn w:val="DefaultParagraphFont"/>
    <w:uiPriority w:val="22"/>
    <w:qFormat/>
    <w:rsid w:val="00047D85"/>
    <w:rPr>
      <w:b/>
      <w:bCs/>
    </w:rPr>
  </w:style>
  <w:style w:type="paragraph" w:styleId="FootnoteText">
    <w:name w:val="footnote text"/>
    <w:basedOn w:val="Normal"/>
    <w:link w:val="FootnoteTextChar"/>
    <w:uiPriority w:val="99"/>
    <w:semiHidden/>
    <w:unhideWhenUsed/>
    <w:rsid w:val="004113B4"/>
    <w:rPr>
      <w:sz w:val="20"/>
      <w:szCs w:val="20"/>
    </w:rPr>
  </w:style>
  <w:style w:type="character" w:customStyle="1" w:styleId="FootnoteTextChar">
    <w:name w:val="Footnote Text Char"/>
    <w:basedOn w:val="DefaultParagraphFont"/>
    <w:link w:val="FootnoteText"/>
    <w:uiPriority w:val="99"/>
    <w:semiHidden/>
    <w:rsid w:val="004113B4"/>
    <w:rPr>
      <w:sz w:val="20"/>
      <w:szCs w:val="20"/>
    </w:rPr>
  </w:style>
  <w:style w:type="character" w:styleId="FootnoteReference">
    <w:name w:val="footnote reference"/>
    <w:basedOn w:val="DefaultParagraphFont"/>
    <w:uiPriority w:val="99"/>
    <w:semiHidden/>
    <w:unhideWhenUsed/>
    <w:rsid w:val="004113B4"/>
    <w:rPr>
      <w:vertAlign w:val="superscript"/>
    </w:rPr>
  </w:style>
  <w:style w:type="character" w:styleId="FollowedHyperlink">
    <w:name w:val="FollowedHyperlink"/>
    <w:basedOn w:val="DefaultParagraphFont"/>
    <w:uiPriority w:val="99"/>
    <w:semiHidden/>
    <w:unhideWhenUsed/>
    <w:rsid w:val="00CF24B0"/>
    <w:rPr>
      <w:color w:val="954F72" w:themeColor="followedHyperlink"/>
      <w:u w:val="single"/>
    </w:rPr>
  </w:style>
  <w:style w:type="paragraph" w:styleId="BalloonText">
    <w:name w:val="Balloon Text"/>
    <w:basedOn w:val="Normal"/>
    <w:link w:val="BalloonTextChar"/>
    <w:uiPriority w:val="99"/>
    <w:semiHidden/>
    <w:unhideWhenUsed/>
    <w:rsid w:val="00A53906"/>
    <w:rPr>
      <w:rFonts w:ascii="Tahoma" w:hAnsi="Tahoma" w:cs="Tahoma"/>
      <w:sz w:val="16"/>
      <w:szCs w:val="16"/>
    </w:rPr>
  </w:style>
  <w:style w:type="character" w:customStyle="1" w:styleId="BalloonTextChar">
    <w:name w:val="Balloon Text Char"/>
    <w:basedOn w:val="DefaultParagraphFont"/>
    <w:link w:val="BalloonText"/>
    <w:uiPriority w:val="99"/>
    <w:semiHidden/>
    <w:rsid w:val="00A53906"/>
    <w:rPr>
      <w:rFonts w:ascii="Tahoma" w:hAnsi="Tahoma" w:cs="Tahoma"/>
      <w:sz w:val="16"/>
      <w:szCs w:val="16"/>
    </w:rPr>
  </w:style>
  <w:style w:type="character" w:styleId="CommentReference">
    <w:name w:val="annotation reference"/>
    <w:basedOn w:val="DefaultParagraphFont"/>
    <w:uiPriority w:val="99"/>
    <w:semiHidden/>
    <w:unhideWhenUsed/>
    <w:rsid w:val="00EA3A90"/>
    <w:rPr>
      <w:sz w:val="16"/>
      <w:szCs w:val="16"/>
    </w:rPr>
  </w:style>
  <w:style w:type="paragraph" w:styleId="CommentText">
    <w:name w:val="annotation text"/>
    <w:basedOn w:val="Normal"/>
    <w:link w:val="CommentTextChar"/>
    <w:uiPriority w:val="99"/>
    <w:semiHidden/>
    <w:unhideWhenUsed/>
    <w:rsid w:val="00EA3A90"/>
    <w:rPr>
      <w:sz w:val="20"/>
      <w:szCs w:val="20"/>
    </w:rPr>
  </w:style>
  <w:style w:type="character" w:customStyle="1" w:styleId="CommentTextChar">
    <w:name w:val="Comment Text Char"/>
    <w:basedOn w:val="DefaultParagraphFont"/>
    <w:link w:val="CommentText"/>
    <w:uiPriority w:val="99"/>
    <w:semiHidden/>
    <w:rsid w:val="00EA3A90"/>
    <w:rPr>
      <w:sz w:val="20"/>
      <w:szCs w:val="20"/>
    </w:rPr>
  </w:style>
  <w:style w:type="paragraph" w:styleId="CommentSubject">
    <w:name w:val="annotation subject"/>
    <w:basedOn w:val="CommentText"/>
    <w:next w:val="CommentText"/>
    <w:link w:val="CommentSubjectChar"/>
    <w:uiPriority w:val="99"/>
    <w:semiHidden/>
    <w:unhideWhenUsed/>
    <w:rsid w:val="00EA3A90"/>
    <w:rPr>
      <w:b/>
      <w:bCs/>
    </w:rPr>
  </w:style>
  <w:style w:type="character" w:customStyle="1" w:styleId="CommentSubjectChar">
    <w:name w:val="Comment Subject Char"/>
    <w:basedOn w:val="CommentTextChar"/>
    <w:link w:val="CommentSubject"/>
    <w:uiPriority w:val="99"/>
    <w:semiHidden/>
    <w:rsid w:val="00EA3A90"/>
    <w:rPr>
      <w:b/>
      <w:bCs/>
      <w:sz w:val="20"/>
      <w:szCs w:val="20"/>
    </w:rPr>
  </w:style>
  <w:style w:type="character" w:styleId="Emphasis">
    <w:name w:val="Emphasis"/>
    <w:basedOn w:val="DefaultParagraphFont"/>
    <w:uiPriority w:val="20"/>
    <w:qFormat/>
    <w:rsid w:val="00704E20"/>
    <w:rPr>
      <w:i/>
      <w:iCs/>
    </w:rPr>
  </w:style>
  <w:style w:type="character" w:customStyle="1" w:styleId="Heading2Char">
    <w:name w:val="Heading 2 Char"/>
    <w:basedOn w:val="DefaultParagraphFont"/>
    <w:link w:val="Heading2"/>
    <w:uiPriority w:val="9"/>
    <w:rsid w:val="002D4DF7"/>
    <w:rPr>
      <w:rFonts w:ascii="Times New Roman" w:eastAsia="Cambria" w:hAnsi="Times New Roman" w:cs="Times New Roman"/>
      <w:b/>
      <w:bCs/>
      <w:color w:val="000000" w:themeColor="text1"/>
      <w:sz w:val="22"/>
      <w:szCs w:val="22"/>
      <w:u w:val="single"/>
      <w:lang w:val="fr-FR"/>
    </w:rPr>
  </w:style>
  <w:style w:type="paragraph" w:customStyle="1" w:styleId="Default">
    <w:name w:val="Default"/>
    <w:rsid w:val="00682B03"/>
    <w:pPr>
      <w:autoSpaceDE w:val="0"/>
      <w:autoSpaceDN w:val="0"/>
      <w:adjustRightInd w:val="0"/>
    </w:pPr>
    <w:rPr>
      <w:rFonts w:ascii="Times New Roman" w:hAnsi="Times New Roman" w:cs="Times New Roman"/>
      <w:color w:val="000000"/>
      <w:lang w:val="fr-FR"/>
    </w:rPr>
  </w:style>
  <w:style w:type="character" w:customStyle="1" w:styleId="muxgbd">
    <w:name w:val="muxgbd"/>
    <w:basedOn w:val="DefaultParagraphFont"/>
    <w:rsid w:val="002F6355"/>
  </w:style>
  <w:style w:type="paragraph" w:styleId="TOC1">
    <w:name w:val="toc 1"/>
    <w:basedOn w:val="Normal"/>
    <w:next w:val="Normal"/>
    <w:autoRedefine/>
    <w:uiPriority w:val="39"/>
    <w:unhideWhenUsed/>
    <w:rsid w:val="002D4DF7"/>
    <w:pPr>
      <w:spacing w:after="100"/>
    </w:pPr>
  </w:style>
  <w:style w:type="paragraph" w:styleId="TOC2">
    <w:name w:val="toc 2"/>
    <w:basedOn w:val="Normal"/>
    <w:next w:val="Normal"/>
    <w:autoRedefine/>
    <w:uiPriority w:val="39"/>
    <w:unhideWhenUsed/>
    <w:rsid w:val="002D4DF7"/>
    <w:pPr>
      <w:tabs>
        <w:tab w:val="right" w:leader="dot" w:pos="8961"/>
      </w:tabs>
      <w:spacing w:after="100"/>
      <w:ind w:left="240"/>
    </w:pPr>
    <w:rPr>
      <w:rFonts w:ascii="Times New Roman" w:hAnsi="Times New Roman" w:cs="Times New Roman"/>
      <w:i/>
      <w:iCs/>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5587">
      <w:bodyDiv w:val="1"/>
      <w:marLeft w:val="0"/>
      <w:marRight w:val="0"/>
      <w:marTop w:val="0"/>
      <w:marBottom w:val="0"/>
      <w:divBdr>
        <w:top w:val="none" w:sz="0" w:space="0" w:color="auto"/>
        <w:left w:val="none" w:sz="0" w:space="0" w:color="auto"/>
        <w:bottom w:val="none" w:sz="0" w:space="0" w:color="auto"/>
        <w:right w:val="none" w:sz="0" w:space="0" w:color="auto"/>
      </w:divBdr>
      <w:divsChild>
        <w:div w:id="526985009">
          <w:marLeft w:val="0"/>
          <w:marRight w:val="0"/>
          <w:marTop w:val="150"/>
          <w:marBottom w:val="150"/>
          <w:divBdr>
            <w:top w:val="none" w:sz="0" w:space="0" w:color="auto"/>
            <w:left w:val="none" w:sz="0" w:space="0" w:color="auto"/>
            <w:bottom w:val="none" w:sz="0" w:space="0" w:color="auto"/>
            <w:right w:val="none" w:sz="0" w:space="0" w:color="auto"/>
          </w:divBdr>
        </w:div>
      </w:divsChild>
    </w:div>
    <w:div w:id="85418813">
      <w:bodyDiv w:val="1"/>
      <w:marLeft w:val="0"/>
      <w:marRight w:val="0"/>
      <w:marTop w:val="0"/>
      <w:marBottom w:val="0"/>
      <w:divBdr>
        <w:top w:val="none" w:sz="0" w:space="0" w:color="auto"/>
        <w:left w:val="none" w:sz="0" w:space="0" w:color="auto"/>
        <w:bottom w:val="none" w:sz="0" w:space="0" w:color="auto"/>
        <w:right w:val="none" w:sz="0" w:space="0" w:color="auto"/>
      </w:divBdr>
      <w:divsChild>
        <w:div w:id="2060204493">
          <w:marLeft w:val="0"/>
          <w:marRight w:val="0"/>
          <w:marTop w:val="150"/>
          <w:marBottom w:val="150"/>
          <w:divBdr>
            <w:top w:val="none" w:sz="0" w:space="0" w:color="auto"/>
            <w:left w:val="none" w:sz="0" w:space="0" w:color="auto"/>
            <w:bottom w:val="none" w:sz="0" w:space="0" w:color="auto"/>
            <w:right w:val="none" w:sz="0" w:space="0" w:color="auto"/>
          </w:divBdr>
        </w:div>
      </w:divsChild>
    </w:div>
    <w:div w:id="471213209">
      <w:bodyDiv w:val="1"/>
      <w:marLeft w:val="0"/>
      <w:marRight w:val="0"/>
      <w:marTop w:val="0"/>
      <w:marBottom w:val="0"/>
      <w:divBdr>
        <w:top w:val="none" w:sz="0" w:space="0" w:color="auto"/>
        <w:left w:val="none" w:sz="0" w:space="0" w:color="auto"/>
        <w:bottom w:val="none" w:sz="0" w:space="0" w:color="auto"/>
        <w:right w:val="none" w:sz="0" w:space="0" w:color="auto"/>
      </w:divBdr>
    </w:div>
    <w:div w:id="523981309">
      <w:bodyDiv w:val="1"/>
      <w:marLeft w:val="0"/>
      <w:marRight w:val="0"/>
      <w:marTop w:val="0"/>
      <w:marBottom w:val="0"/>
      <w:divBdr>
        <w:top w:val="none" w:sz="0" w:space="0" w:color="auto"/>
        <w:left w:val="none" w:sz="0" w:space="0" w:color="auto"/>
        <w:bottom w:val="none" w:sz="0" w:space="0" w:color="auto"/>
        <w:right w:val="none" w:sz="0" w:space="0" w:color="auto"/>
      </w:divBdr>
      <w:divsChild>
        <w:div w:id="785612262">
          <w:marLeft w:val="0"/>
          <w:marRight w:val="0"/>
          <w:marTop w:val="0"/>
          <w:marBottom w:val="0"/>
          <w:divBdr>
            <w:top w:val="none" w:sz="0" w:space="0" w:color="auto"/>
            <w:left w:val="none" w:sz="0" w:space="0" w:color="auto"/>
            <w:bottom w:val="none" w:sz="0" w:space="0" w:color="auto"/>
            <w:right w:val="none" w:sz="0" w:space="0" w:color="auto"/>
          </w:divBdr>
        </w:div>
      </w:divsChild>
    </w:div>
    <w:div w:id="963774490">
      <w:bodyDiv w:val="1"/>
      <w:marLeft w:val="0"/>
      <w:marRight w:val="0"/>
      <w:marTop w:val="0"/>
      <w:marBottom w:val="0"/>
      <w:divBdr>
        <w:top w:val="none" w:sz="0" w:space="0" w:color="auto"/>
        <w:left w:val="none" w:sz="0" w:space="0" w:color="auto"/>
        <w:bottom w:val="none" w:sz="0" w:space="0" w:color="auto"/>
        <w:right w:val="none" w:sz="0" w:space="0" w:color="auto"/>
      </w:divBdr>
    </w:div>
    <w:div w:id="981930898">
      <w:bodyDiv w:val="1"/>
      <w:marLeft w:val="0"/>
      <w:marRight w:val="0"/>
      <w:marTop w:val="0"/>
      <w:marBottom w:val="0"/>
      <w:divBdr>
        <w:top w:val="none" w:sz="0" w:space="0" w:color="auto"/>
        <w:left w:val="none" w:sz="0" w:space="0" w:color="auto"/>
        <w:bottom w:val="none" w:sz="0" w:space="0" w:color="auto"/>
        <w:right w:val="none" w:sz="0" w:space="0" w:color="auto"/>
      </w:divBdr>
      <w:divsChild>
        <w:div w:id="1455707183">
          <w:marLeft w:val="0"/>
          <w:marRight w:val="0"/>
          <w:marTop w:val="150"/>
          <w:marBottom w:val="150"/>
          <w:divBdr>
            <w:top w:val="none" w:sz="0" w:space="0" w:color="auto"/>
            <w:left w:val="none" w:sz="0" w:space="0" w:color="auto"/>
            <w:bottom w:val="none" w:sz="0" w:space="0" w:color="auto"/>
            <w:right w:val="none" w:sz="0" w:space="0" w:color="auto"/>
          </w:divBdr>
        </w:div>
      </w:divsChild>
    </w:div>
    <w:div w:id="1055663762">
      <w:bodyDiv w:val="1"/>
      <w:marLeft w:val="0"/>
      <w:marRight w:val="0"/>
      <w:marTop w:val="0"/>
      <w:marBottom w:val="0"/>
      <w:divBdr>
        <w:top w:val="none" w:sz="0" w:space="0" w:color="auto"/>
        <w:left w:val="none" w:sz="0" w:space="0" w:color="auto"/>
        <w:bottom w:val="none" w:sz="0" w:space="0" w:color="auto"/>
        <w:right w:val="none" w:sz="0" w:space="0" w:color="auto"/>
      </w:divBdr>
      <w:divsChild>
        <w:div w:id="1464302979">
          <w:marLeft w:val="0"/>
          <w:marRight w:val="0"/>
          <w:marTop w:val="150"/>
          <w:marBottom w:val="150"/>
          <w:divBdr>
            <w:top w:val="none" w:sz="0" w:space="0" w:color="auto"/>
            <w:left w:val="none" w:sz="0" w:space="0" w:color="auto"/>
            <w:bottom w:val="none" w:sz="0" w:space="0" w:color="auto"/>
            <w:right w:val="none" w:sz="0" w:space="0" w:color="auto"/>
          </w:divBdr>
        </w:div>
      </w:divsChild>
    </w:div>
    <w:div w:id="1249121651">
      <w:bodyDiv w:val="1"/>
      <w:marLeft w:val="0"/>
      <w:marRight w:val="0"/>
      <w:marTop w:val="0"/>
      <w:marBottom w:val="0"/>
      <w:divBdr>
        <w:top w:val="none" w:sz="0" w:space="0" w:color="auto"/>
        <w:left w:val="none" w:sz="0" w:space="0" w:color="auto"/>
        <w:bottom w:val="none" w:sz="0" w:space="0" w:color="auto"/>
        <w:right w:val="none" w:sz="0" w:space="0" w:color="auto"/>
      </w:divBdr>
      <w:divsChild>
        <w:div w:id="1143280506">
          <w:marLeft w:val="0"/>
          <w:marRight w:val="0"/>
          <w:marTop w:val="0"/>
          <w:marBottom w:val="0"/>
          <w:divBdr>
            <w:top w:val="none" w:sz="0" w:space="0" w:color="auto"/>
            <w:left w:val="none" w:sz="0" w:space="0" w:color="auto"/>
            <w:bottom w:val="none" w:sz="0" w:space="0" w:color="auto"/>
            <w:right w:val="none" w:sz="0" w:space="0" w:color="auto"/>
          </w:divBdr>
        </w:div>
      </w:divsChild>
    </w:div>
    <w:div w:id="1256398486">
      <w:bodyDiv w:val="1"/>
      <w:marLeft w:val="0"/>
      <w:marRight w:val="0"/>
      <w:marTop w:val="0"/>
      <w:marBottom w:val="0"/>
      <w:divBdr>
        <w:top w:val="none" w:sz="0" w:space="0" w:color="auto"/>
        <w:left w:val="none" w:sz="0" w:space="0" w:color="auto"/>
        <w:bottom w:val="none" w:sz="0" w:space="0" w:color="auto"/>
        <w:right w:val="none" w:sz="0" w:space="0" w:color="auto"/>
      </w:divBdr>
    </w:div>
    <w:div w:id="1476876442">
      <w:bodyDiv w:val="1"/>
      <w:marLeft w:val="0"/>
      <w:marRight w:val="0"/>
      <w:marTop w:val="0"/>
      <w:marBottom w:val="0"/>
      <w:divBdr>
        <w:top w:val="none" w:sz="0" w:space="0" w:color="auto"/>
        <w:left w:val="none" w:sz="0" w:space="0" w:color="auto"/>
        <w:bottom w:val="none" w:sz="0" w:space="0" w:color="auto"/>
        <w:right w:val="none" w:sz="0" w:space="0" w:color="auto"/>
      </w:divBdr>
      <w:divsChild>
        <w:div w:id="1331372543">
          <w:marLeft w:val="0"/>
          <w:marRight w:val="0"/>
          <w:marTop w:val="150"/>
          <w:marBottom w:val="150"/>
          <w:divBdr>
            <w:top w:val="none" w:sz="0" w:space="0" w:color="auto"/>
            <w:left w:val="none" w:sz="0" w:space="0" w:color="auto"/>
            <w:bottom w:val="none" w:sz="0" w:space="0" w:color="auto"/>
            <w:right w:val="none" w:sz="0" w:space="0" w:color="auto"/>
          </w:divBdr>
        </w:div>
      </w:divsChild>
    </w:div>
    <w:div w:id="1667051833">
      <w:bodyDiv w:val="1"/>
      <w:marLeft w:val="0"/>
      <w:marRight w:val="0"/>
      <w:marTop w:val="0"/>
      <w:marBottom w:val="0"/>
      <w:divBdr>
        <w:top w:val="none" w:sz="0" w:space="0" w:color="auto"/>
        <w:left w:val="none" w:sz="0" w:space="0" w:color="auto"/>
        <w:bottom w:val="none" w:sz="0" w:space="0" w:color="auto"/>
        <w:right w:val="none" w:sz="0" w:space="0" w:color="auto"/>
      </w:divBdr>
    </w:div>
    <w:div w:id="1829444760">
      <w:bodyDiv w:val="1"/>
      <w:marLeft w:val="0"/>
      <w:marRight w:val="0"/>
      <w:marTop w:val="0"/>
      <w:marBottom w:val="0"/>
      <w:divBdr>
        <w:top w:val="none" w:sz="0" w:space="0" w:color="auto"/>
        <w:left w:val="none" w:sz="0" w:space="0" w:color="auto"/>
        <w:bottom w:val="none" w:sz="0" w:space="0" w:color="auto"/>
        <w:right w:val="none" w:sz="0" w:space="0" w:color="auto"/>
      </w:divBdr>
      <w:divsChild>
        <w:div w:id="127109117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cm.oas.org/IDMS/Redirectpage.aspx?class=V.14.1.CIDI/RME/doc&amp;classNum=6&amp;lang=f" TargetMode="External"/><Relationship Id="rId26" Type="http://schemas.openxmlformats.org/officeDocument/2006/relationships/hyperlink" Target="http://scm.oas.org/IDMS/Redirectpage.aspx?class=AICD/JD/DE&amp;classNum=131&amp;lang=e" TargetMode="External"/><Relationship Id="rId3" Type="http://schemas.openxmlformats.org/officeDocument/2006/relationships/styles" Target="styles.xml"/><Relationship Id="rId21" Type="http://schemas.openxmlformats.org/officeDocument/2006/relationships/hyperlink" Target="http://rialnet.org/?q=en/telework_JA"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llibrototal.com/" TargetMode="External"/><Relationship Id="rId25" Type="http://schemas.openxmlformats.org/officeDocument/2006/relationships/hyperlink" Target="http://scm.oas.org/IDMS/Redirectpage.aspx?class=AICD/JD/DE&amp;classNum=130&amp;lang=e" TargetMode="External"/><Relationship Id="rId2" Type="http://schemas.openxmlformats.org/officeDocument/2006/relationships/numbering" Target="numbering.xml"/><Relationship Id="rId16" Type="http://schemas.openxmlformats.org/officeDocument/2006/relationships/hyperlink" Target="https://indigenoustourism.net/" TargetMode="External"/><Relationship Id="rId20" Type="http://schemas.openxmlformats.org/officeDocument/2006/relationships/hyperlink" Target="https://scm.oas.org/IDMS/Redirectpage.aspx?class=V.14.1.CIDI/RME/doc&amp;classNum=8&amp;lang=f"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cm.oas.org/IDMS/Redirectpage.aspx?class=CIDI/doc.&amp;classNum=304&amp;lang=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cm.oas.org/IDMS/Redirectpage.aspx?class=AICD/JD/DE&amp;classNum=126&amp;lang=f" TargetMode="External"/><Relationship Id="rId28"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s://scm.oas.org/IDMS/Redirectpage.aspx?class=V.14.1.CIDI/RME/dec&amp;classNum=1&amp;lang=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scm.oas.org/IDMS/Redirectpage.aspx?class=AICD/JD/DE&amp;classNum=131&amp;lang=e" TargetMode="External"/><Relationship Id="rId27" Type="http://schemas.openxmlformats.org/officeDocument/2006/relationships/header" Target="header5.xml"/><Relationship Id="rId30" Type="http://schemas.openxmlformats.org/officeDocument/2006/relationships/footer" Target="footer6.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E64AC-14D9-4480-B9B5-08D1B52C5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39</Pages>
  <Words>15341</Words>
  <Characters>95268</Characters>
  <Application>Microsoft Office Word</Application>
  <DocSecurity>0</DocSecurity>
  <Lines>4536</Lines>
  <Paragraphs>2989</Paragraphs>
  <ScaleCrop>false</ScaleCrop>
  <HeadingPairs>
    <vt:vector size="6" baseType="variant">
      <vt:variant>
        <vt:lpstr>Title</vt:lpstr>
      </vt:variant>
      <vt:variant>
        <vt:i4>1</vt:i4>
      </vt:variant>
      <vt:variant>
        <vt:lpstr>Headings</vt:lpstr>
      </vt:variant>
      <vt:variant>
        <vt:i4>26</vt:i4>
      </vt:variant>
      <vt:variant>
        <vt:lpstr>Titre</vt:lpstr>
      </vt:variant>
      <vt:variant>
        <vt:i4>1</vt:i4>
      </vt:variant>
    </vt:vector>
  </HeadingPairs>
  <TitlesOfParts>
    <vt:vector size="28" baseType="lpstr">
      <vt:lpstr/>
      <vt:lpstr>LISTE DES ABRÉVIATIONS </vt:lpstr>
      <vt:lpstr>VUE D’ENSEMBLE DES LIGNES STRATÉGIQUES</vt:lpstr>
      <vt:lpstr>INTRODUCTION</vt:lpstr>
      <vt:lpstr>LIGNE STRATÉGIQUE 1</vt:lpstr>
      <vt:lpstr>    OBJECTIF 1.1</vt:lpstr>
      <vt:lpstr>    OBJECTIF 1.2</vt:lpstr>
      <vt:lpstr>    OBJECTIF 1.3</vt:lpstr>
      <vt:lpstr>    OBJECTIF 1.4</vt:lpstr>
      <vt:lpstr>LIGNE STRATÉGIQUE 2</vt:lpstr>
      <vt:lpstr>    OBJECTIF 2.1</vt:lpstr>
      <vt:lpstr>    OBJECTIF 2.2</vt:lpstr>
      <vt:lpstr>    OBJECTIF 2.3</vt:lpstr>
      <vt:lpstr>    </vt:lpstr>
      <vt:lpstr>    OBJECTIF 2.4</vt:lpstr>
      <vt:lpstr>    OBJECTIF 2.5</vt:lpstr>
      <vt:lpstr>    OBJECTIF 2.6</vt:lpstr>
      <vt:lpstr>LIGNE STRATÉGIQUE 3</vt:lpstr>
      <vt:lpstr>    OBJECTIF 3.1</vt:lpstr>
      <vt:lpstr>    OBJECTIF 3.2</vt:lpstr>
      <vt:lpstr>    OBJECTIF 3.3</vt:lpstr>
      <vt:lpstr>    OBJECTIF 3.4</vt:lpstr>
      <vt:lpstr>    </vt:lpstr>
      <vt:lpstr>LIGNE STRATÉGIQUE 4</vt:lpstr>
      <vt:lpstr>    OBJECTIF 4.1</vt:lpstr>
      <vt:lpstr>    OBJECTIF 4.2</vt:lpstr>
      <vt:lpstr>LIGNE STRATÉGIQUE 5</vt:lpstr>
      <vt:lpstr/>
    </vt:vector>
  </TitlesOfParts>
  <Company/>
  <LinksUpToDate>false</LinksUpToDate>
  <CharactersWithSpaces>107620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Knowles</dc:creator>
  <cp:lastModifiedBy>Burns, Sandra</cp:lastModifiedBy>
  <cp:revision>4</cp:revision>
  <cp:lastPrinted>2022-12-16T05:18:00Z</cp:lastPrinted>
  <dcterms:created xsi:type="dcterms:W3CDTF">2023-02-07T22:35:00Z</dcterms:created>
  <dcterms:modified xsi:type="dcterms:W3CDTF">2023-02-08T22:08:00Z</dcterms:modified>
</cp:coreProperties>
</file>